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B69B6" w14:textId="2F5145B4" w:rsidR="004F092A" w:rsidRDefault="004F092A" w:rsidP="009D531E">
      <w:pPr>
        <w:spacing w:line="360" w:lineRule="auto"/>
        <w:rPr>
          <w:rFonts w:ascii="Arial" w:hAnsi="Arial" w:cs="Arial"/>
          <w:b/>
        </w:rPr>
      </w:pPr>
      <w:r w:rsidRPr="004F092A">
        <w:rPr>
          <w:rFonts w:ascii="Arial" w:hAnsi="Arial" w:cs="Arial"/>
          <w:b/>
        </w:rPr>
        <w:t xml:space="preserve">Ai Declaration: </w:t>
      </w:r>
    </w:p>
    <w:p w14:paraId="41AA62B3" w14:textId="1AFF51CE" w:rsidR="0008183A" w:rsidRPr="009B2527" w:rsidRDefault="0008183A" w:rsidP="0008183A">
      <w:pPr>
        <w:pStyle w:val="ListParagraph"/>
        <w:numPr>
          <w:ilvl w:val="0"/>
          <w:numId w:val="21"/>
        </w:numPr>
        <w:spacing w:line="360" w:lineRule="auto"/>
        <w:rPr>
          <w:rFonts w:ascii="Arial" w:hAnsi="Arial" w:cs="Arial"/>
          <w:bCs/>
        </w:rPr>
      </w:pPr>
      <w:r w:rsidRPr="009B2527">
        <w:rPr>
          <w:rFonts w:ascii="Arial" w:hAnsi="Arial" w:cs="Arial"/>
          <w:bCs/>
        </w:rPr>
        <w:t xml:space="preserve">I used </w:t>
      </w:r>
      <w:r w:rsidR="00D474A4" w:rsidRPr="009B2527">
        <w:rPr>
          <w:rFonts w:ascii="Arial" w:hAnsi="Arial" w:cs="Arial"/>
          <w:bCs/>
        </w:rPr>
        <w:t>Grammarly</w:t>
      </w:r>
      <w:r w:rsidR="00D80C42" w:rsidRPr="009B2527">
        <w:rPr>
          <w:rFonts w:ascii="Arial" w:hAnsi="Arial" w:cs="Arial"/>
          <w:bCs/>
        </w:rPr>
        <w:t>’</w:t>
      </w:r>
      <w:r w:rsidR="00D474A4" w:rsidRPr="009B2527">
        <w:rPr>
          <w:rFonts w:ascii="Arial" w:hAnsi="Arial" w:cs="Arial"/>
          <w:bCs/>
        </w:rPr>
        <w:t>s</w:t>
      </w:r>
      <w:r w:rsidR="009F2A46" w:rsidRPr="009B2527">
        <w:rPr>
          <w:rFonts w:ascii="Arial" w:hAnsi="Arial" w:cs="Arial"/>
          <w:bCs/>
        </w:rPr>
        <w:t xml:space="preserve"> free automatic</w:t>
      </w:r>
      <w:r w:rsidR="00D80C42" w:rsidRPr="009B2527">
        <w:rPr>
          <w:rFonts w:ascii="Arial" w:hAnsi="Arial" w:cs="Arial"/>
          <w:bCs/>
        </w:rPr>
        <w:t xml:space="preserve"> editor for spelling and grammar check.</w:t>
      </w:r>
    </w:p>
    <w:p w14:paraId="5189C672" w14:textId="42C1BFFE" w:rsidR="00AA421C" w:rsidRDefault="00581539" w:rsidP="0008183A">
      <w:pPr>
        <w:pStyle w:val="ListParagraph"/>
        <w:numPr>
          <w:ilvl w:val="0"/>
          <w:numId w:val="21"/>
        </w:numPr>
        <w:spacing w:line="360" w:lineRule="auto"/>
        <w:rPr>
          <w:rFonts w:ascii="Arial" w:hAnsi="Arial" w:cs="Arial"/>
          <w:bCs/>
        </w:rPr>
      </w:pPr>
      <w:r w:rsidRPr="009B2527">
        <w:rPr>
          <w:rFonts w:ascii="Arial" w:hAnsi="Arial" w:cs="Arial"/>
          <w:bCs/>
        </w:rPr>
        <w:t>I have used ChatGPT</w:t>
      </w:r>
      <w:r w:rsidR="00B81BD0" w:rsidRPr="009B2527">
        <w:rPr>
          <w:rFonts w:ascii="Arial" w:hAnsi="Arial" w:cs="Arial"/>
          <w:bCs/>
        </w:rPr>
        <w:t xml:space="preserve"> to understand </w:t>
      </w:r>
      <w:r w:rsidR="009834D5" w:rsidRPr="009B2527">
        <w:rPr>
          <w:rFonts w:ascii="Arial" w:hAnsi="Arial" w:cs="Arial"/>
          <w:bCs/>
        </w:rPr>
        <w:t>what a skeleton argument is</w:t>
      </w:r>
      <w:r w:rsidR="00CA4D9E" w:rsidRPr="009B2527">
        <w:rPr>
          <w:rFonts w:ascii="Arial" w:hAnsi="Arial" w:cs="Arial"/>
          <w:bCs/>
        </w:rPr>
        <w:t>:</w:t>
      </w:r>
      <w:r w:rsidR="007C473A" w:rsidRPr="009B2527">
        <w:rPr>
          <w:rFonts w:ascii="Arial" w:hAnsi="Arial" w:cs="Arial"/>
          <w:bCs/>
        </w:rPr>
        <w:t xml:space="preserve"> “ Can you explain what a skeleton argument is for Land Law?”</w:t>
      </w:r>
    </w:p>
    <w:p w14:paraId="44313639" w14:textId="77777777" w:rsidR="0036434C" w:rsidRDefault="0036434C" w:rsidP="00CF744F">
      <w:pPr>
        <w:spacing w:line="360" w:lineRule="auto"/>
        <w:rPr>
          <w:rFonts w:ascii="Arial" w:hAnsi="Arial" w:cs="Arial"/>
          <w:bCs/>
        </w:rPr>
      </w:pPr>
    </w:p>
    <w:p w14:paraId="3E72FD4C" w14:textId="01BCD482" w:rsidR="00CF744F" w:rsidRDefault="00CF744F" w:rsidP="00CF744F">
      <w:pPr>
        <w:spacing w:line="360" w:lineRule="auto"/>
        <w:rPr>
          <w:rFonts w:ascii="Arial" w:hAnsi="Arial" w:cs="Arial"/>
          <w:b/>
        </w:rPr>
      </w:pPr>
      <w:r w:rsidRPr="00CF744F">
        <w:rPr>
          <w:rFonts w:ascii="Arial" w:hAnsi="Arial" w:cs="Arial"/>
          <w:b/>
        </w:rPr>
        <w:t>Oral Submission on behalf of the defendant</w:t>
      </w:r>
      <w:r>
        <w:rPr>
          <w:rFonts w:ascii="Arial" w:hAnsi="Arial" w:cs="Arial"/>
          <w:b/>
        </w:rPr>
        <w:t xml:space="preserve"> (Jennifer Williams)</w:t>
      </w:r>
    </w:p>
    <w:p w14:paraId="3EAB4034" w14:textId="77777777" w:rsidR="006D053D" w:rsidRDefault="006D053D" w:rsidP="00CF744F">
      <w:pPr>
        <w:spacing w:line="360" w:lineRule="auto"/>
        <w:rPr>
          <w:rFonts w:ascii="Arial" w:hAnsi="Arial" w:cs="Arial"/>
          <w:b/>
        </w:rPr>
      </w:pPr>
    </w:p>
    <w:p w14:paraId="14CFCB4D" w14:textId="2C045E88" w:rsidR="00584246" w:rsidRDefault="00CF744F" w:rsidP="00CF744F">
      <w:pPr>
        <w:spacing w:line="360" w:lineRule="auto"/>
        <w:rPr>
          <w:rFonts w:ascii="Arial" w:hAnsi="Arial" w:cs="Arial"/>
          <w:b/>
        </w:rPr>
      </w:pPr>
      <w:r>
        <w:rPr>
          <w:rFonts w:ascii="Arial" w:hAnsi="Arial" w:cs="Arial"/>
          <w:b/>
        </w:rPr>
        <w:t>Opening:</w:t>
      </w:r>
    </w:p>
    <w:p w14:paraId="529B5478" w14:textId="77777777" w:rsidR="006D053D" w:rsidRDefault="006D053D" w:rsidP="00CF744F">
      <w:pPr>
        <w:spacing w:line="360" w:lineRule="auto"/>
        <w:rPr>
          <w:rFonts w:ascii="Arial" w:hAnsi="Arial" w:cs="Arial"/>
          <w:bCs/>
        </w:rPr>
      </w:pPr>
    </w:p>
    <w:p w14:paraId="22555237" w14:textId="75B8EE4F" w:rsidR="00CF744F" w:rsidRPr="00584246" w:rsidRDefault="00CF744F" w:rsidP="00CF744F">
      <w:pPr>
        <w:spacing w:line="360" w:lineRule="auto"/>
        <w:rPr>
          <w:rFonts w:ascii="Arial" w:hAnsi="Arial" w:cs="Arial"/>
          <w:bCs/>
        </w:rPr>
      </w:pPr>
      <w:r w:rsidRPr="00584246">
        <w:rPr>
          <w:rFonts w:ascii="Arial" w:hAnsi="Arial" w:cs="Arial"/>
          <w:bCs/>
        </w:rPr>
        <w:t>“May it please the Court, I appear on behalf of the Defendant, Jennifer Williams. These submissions address the claimant’s assertion of a beneficial interest in the property at 14 Oak Lane, which is made on two different grounds: a proprietary estoppel and a common interest constructive trust</w:t>
      </w:r>
      <w:r w:rsidR="00584246" w:rsidRPr="00584246">
        <w:rPr>
          <w:rFonts w:ascii="Arial" w:hAnsi="Arial" w:cs="Arial"/>
          <w:bCs/>
        </w:rPr>
        <w:t>.”</w:t>
      </w:r>
    </w:p>
    <w:p w14:paraId="2E19168B" w14:textId="77777777" w:rsidR="00584246" w:rsidRPr="00584246" w:rsidRDefault="00584246" w:rsidP="00CF744F">
      <w:pPr>
        <w:spacing w:line="360" w:lineRule="auto"/>
        <w:rPr>
          <w:rFonts w:ascii="Arial" w:hAnsi="Arial" w:cs="Arial"/>
          <w:bCs/>
        </w:rPr>
      </w:pPr>
    </w:p>
    <w:p w14:paraId="06EFABF4" w14:textId="74C11394" w:rsidR="00584246" w:rsidRDefault="00584246" w:rsidP="00CF744F">
      <w:pPr>
        <w:spacing w:line="360" w:lineRule="auto"/>
        <w:rPr>
          <w:rFonts w:ascii="Arial" w:hAnsi="Arial" w:cs="Arial"/>
          <w:bCs/>
        </w:rPr>
      </w:pPr>
      <w:r w:rsidRPr="00584246">
        <w:rPr>
          <w:rFonts w:ascii="Arial" w:hAnsi="Arial" w:cs="Arial"/>
          <w:bCs/>
        </w:rPr>
        <w:t>“The defendant respectfully asks the court to confirm that she is the only legitimate and beneficial owner of the property and to dismiss the claim in its entirety.”</w:t>
      </w:r>
    </w:p>
    <w:p w14:paraId="77F5D001" w14:textId="77777777" w:rsidR="00584246" w:rsidRDefault="00584246" w:rsidP="00CF744F">
      <w:pPr>
        <w:spacing w:line="360" w:lineRule="auto"/>
        <w:rPr>
          <w:rFonts w:ascii="Arial" w:hAnsi="Arial" w:cs="Arial"/>
          <w:bCs/>
        </w:rPr>
      </w:pPr>
    </w:p>
    <w:p w14:paraId="406FDFEA" w14:textId="2E61C601" w:rsidR="00584246" w:rsidRDefault="00584246" w:rsidP="00CF744F">
      <w:pPr>
        <w:spacing w:line="360" w:lineRule="auto"/>
        <w:rPr>
          <w:rFonts w:ascii="Arial" w:hAnsi="Arial" w:cs="Arial"/>
          <w:bCs/>
        </w:rPr>
      </w:pPr>
      <w:r>
        <w:rPr>
          <w:rFonts w:ascii="Arial" w:hAnsi="Arial" w:cs="Arial"/>
          <w:bCs/>
        </w:rPr>
        <w:t>“I will address the case in five stages:”</w:t>
      </w:r>
    </w:p>
    <w:p w14:paraId="50B91110" w14:textId="77777777" w:rsidR="00584246" w:rsidRDefault="00584246" w:rsidP="00CF744F">
      <w:pPr>
        <w:spacing w:line="360" w:lineRule="auto"/>
        <w:rPr>
          <w:rFonts w:ascii="Arial" w:hAnsi="Arial" w:cs="Arial"/>
          <w:bCs/>
        </w:rPr>
      </w:pPr>
    </w:p>
    <w:p w14:paraId="480A3711" w14:textId="76DDEB73" w:rsidR="00584246" w:rsidRDefault="00584246" w:rsidP="00584246">
      <w:pPr>
        <w:pStyle w:val="ListParagraph"/>
        <w:numPr>
          <w:ilvl w:val="0"/>
          <w:numId w:val="23"/>
        </w:numPr>
        <w:spacing w:line="360" w:lineRule="auto"/>
        <w:rPr>
          <w:rFonts w:ascii="Arial" w:hAnsi="Arial" w:cs="Arial"/>
          <w:bCs/>
        </w:rPr>
      </w:pPr>
      <w:r>
        <w:rPr>
          <w:rFonts w:ascii="Arial" w:hAnsi="Arial" w:cs="Arial"/>
          <w:bCs/>
        </w:rPr>
        <w:t>First, I will provide a brief overview of the factual context relevant to the dispute between the parties.</w:t>
      </w:r>
    </w:p>
    <w:p w14:paraId="1FEFB5D1" w14:textId="77777777" w:rsidR="003D5FF1" w:rsidRDefault="003D5FF1" w:rsidP="003D5FF1">
      <w:pPr>
        <w:pStyle w:val="ListParagraph"/>
        <w:spacing w:line="360" w:lineRule="auto"/>
        <w:rPr>
          <w:rFonts w:ascii="Arial" w:hAnsi="Arial" w:cs="Arial"/>
          <w:bCs/>
        </w:rPr>
      </w:pPr>
    </w:p>
    <w:p w14:paraId="1E9C1651" w14:textId="5F8B3A2C" w:rsidR="003D5FF1" w:rsidRDefault="00584246" w:rsidP="003D5FF1">
      <w:pPr>
        <w:pStyle w:val="ListParagraph"/>
        <w:numPr>
          <w:ilvl w:val="0"/>
          <w:numId w:val="23"/>
        </w:numPr>
        <w:spacing w:line="360" w:lineRule="auto"/>
        <w:rPr>
          <w:rFonts w:ascii="Arial" w:hAnsi="Arial" w:cs="Arial"/>
          <w:bCs/>
        </w:rPr>
      </w:pPr>
      <w:r>
        <w:rPr>
          <w:rFonts w:ascii="Arial" w:hAnsi="Arial" w:cs="Arial"/>
          <w:bCs/>
        </w:rPr>
        <w:t>Second, I will address the claimant’s allegations that a beneficial interest arises under a common interest constructive trust.</w:t>
      </w:r>
    </w:p>
    <w:p w14:paraId="6C04BAB4" w14:textId="77777777" w:rsidR="003D5FF1" w:rsidRPr="003D5FF1" w:rsidRDefault="003D5FF1" w:rsidP="003D5FF1">
      <w:pPr>
        <w:spacing w:line="360" w:lineRule="auto"/>
        <w:rPr>
          <w:rFonts w:ascii="Arial" w:hAnsi="Arial" w:cs="Arial"/>
          <w:bCs/>
        </w:rPr>
      </w:pPr>
    </w:p>
    <w:p w14:paraId="176EC22D" w14:textId="20FF2C1B" w:rsidR="00584246" w:rsidRDefault="00584246" w:rsidP="00584246">
      <w:pPr>
        <w:pStyle w:val="ListParagraph"/>
        <w:numPr>
          <w:ilvl w:val="0"/>
          <w:numId w:val="23"/>
        </w:numPr>
        <w:spacing w:line="360" w:lineRule="auto"/>
        <w:rPr>
          <w:rFonts w:ascii="Arial" w:hAnsi="Arial" w:cs="Arial"/>
          <w:bCs/>
        </w:rPr>
      </w:pPr>
      <w:r>
        <w:rPr>
          <w:rFonts w:ascii="Arial" w:hAnsi="Arial" w:cs="Arial"/>
          <w:bCs/>
        </w:rPr>
        <w:t>Third, I will consider the claimant’s alternative claim based on proprietary estoppel.</w:t>
      </w:r>
    </w:p>
    <w:p w14:paraId="568A1CA0" w14:textId="77777777" w:rsidR="003D5FF1" w:rsidRDefault="003D5FF1" w:rsidP="003D5FF1">
      <w:pPr>
        <w:pStyle w:val="ListParagraph"/>
        <w:spacing w:line="360" w:lineRule="auto"/>
        <w:rPr>
          <w:rFonts w:ascii="Arial" w:hAnsi="Arial" w:cs="Arial"/>
          <w:bCs/>
        </w:rPr>
      </w:pPr>
    </w:p>
    <w:p w14:paraId="6A152CCA" w14:textId="33FEF6E5" w:rsidR="003D5FF1" w:rsidRDefault="00584246" w:rsidP="003D5FF1">
      <w:pPr>
        <w:pStyle w:val="ListParagraph"/>
        <w:numPr>
          <w:ilvl w:val="0"/>
          <w:numId w:val="23"/>
        </w:numPr>
        <w:spacing w:line="360" w:lineRule="auto"/>
        <w:rPr>
          <w:rFonts w:ascii="Arial" w:hAnsi="Arial" w:cs="Arial"/>
          <w:bCs/>
        </w:rPr>
      </w:pPr>
      <w:r>
        <w:rPr>
          <w:rFonts w:ascii="Arial" w:hAnsi="Arial" w:cs="Arial"/>
          <w:bCs/>
        </w:rPr>
        <w:t>Fourth, I will respond to the claimant’s key argument and explain why each of them fails in law and on the facts.</w:t>
      </w:r>
    </w:p>
    <w:p w14:paraId="11B9681A" w14:textId="77777777" w:rsidR="003D5FF1" w:rsidRPr="003D5FF1" w:rsidRDefault="003D5FF1" w:rsidP="003D5FF1">
      <w:pPr>
        <w:spacing w:line="360" w:lineRule="auto"/>
        <w:rPr>
          <w:rFonts w:ascii="Arial" w:hAnsi="Arial" w:cs="Arial"/>
          <w:bCs/>
        </w:rPr>
      </w:pPr>
    </w:p>
    <w:p w14:paraId="7938219D" w14:textId="4603D984" w:rsidR="00584246" w:rsidRDefault="00584246" w:rsidP="00584246">
      <w:pPr>
        <w:pStyle w:val="ListParagraph"/>
        <w:numPr>
          <w:ilvl w:val="0"/>
          <w:numId w:val="23"/>
        </w:numPr>
        <w:spacing w:line="360" w:lineRule="auto"/>
        <w:rPr>
          <w:rFonts w:ascii="Arial" w:hAnsi="Arial" w:cs="Arial"/>
          <w:bCs/>
        </w:rPr>
      </w:pPr>
      <w:r>
        <w:rPr>
          <w:rFonts w:ascii="Arial" w:hAnsi="Arial" w:cs="Arial"/>
          <w:bCs/>
        </w:rPr>
        <w:t>Finally. I will conclude by summarising why the defendant invites the Court to dismiss the claim in its entir</w:t>
      </w:r>
      <w:r w:rsidR="00D8590E">
        <w:rPr>
          <w:rFonts w:ascii="Arial" w:hAnsi="Arial" w:cs="Arial"/>
          <w:bCs/>
        </w:rPr>
        <w:t>ety.</w:t>
      </w:r>
    </w:p>
    <w:p w14:paraId="663A40E5" w14:textId="0E9CE9CE" w:rsidR="00D8590E" w:rsidRPr="00D8590E" w:rsidRDefault="00D8590E" w:rsidP="00D8590E">
      <w:pPr>
        <w:spacing w:line="360" w:lineRule="auto"/>
        <w:rPr>
          <w:rFonts w:ascii="Arial" w:hAnsi="Arial" w:cs="Arial"/>
          <w:b/>
        </w:rPr>
      </w:pPr>
      <w:r w:rsidRPr="00D8590E">
        <w:rPr>
          <w:rFonts w:ascii="Arial" w:hAnsi="Arial" w:cs="Arial"/>
          <w:b/>
        </w:rPr>
        <w:lastRenderedPageBreak/>
        <w:t>Factual overview</w:t>
      </w:r>
      <w:r>
        <w:rPr>
          <w:rFonts w:ascii="Arial" w:hAnsi="Arial" w:cs="Arial"/>
          <w:b/>
        </w:rPr>
        <w:t>:</w:t>
      </w:r>
    </w:p>
    <w:p w14:paraId="6A3E1E7A" w14:textId="77777777" w:rsidR="00713F3E" w:rsidRDefault="00713F3E" w:rsidP="00D8590E">
      <w:pPr>
        <w:spacing w:line="360" w:lineRule="auto"/>
        <w:rPr>
          <w:rFonts w:ascii="Arial" w:hAnsi="Arial" w:cs="Arial"/>
          <w:bCs/>
        </w:rPr>
      </w:pPr>
    </w:p>
    <w:p w14:paraId="38CC8F0A" w14:textId="0C671931" w:rsidR="00D8590E" w:rsidRDefault="00D8590E" w:rsidP="00D8590E">
      <w:pPr>
        <w:spacing w:line="360" w:lineRule="auto"/>
        <w:rPr>
          <w:rFonts w:ascii="Arial" w:hAnsi="Arial" w:cs="Arial"/>
          <w:bCs/>
        </w:rPr>
      </w:pPr>
      <w:r>
        <w:rPr>
          <w:rFonts w:ascii="Arial" w:hAnsi="Arial" w:cs="Arial"/>
          <w:bCs/>
        </w:rPr>
        <w:t>“The essential facts are largely uncontroversial.”</w:t>
      </w:r>
    </w:p>
    <w:p w14:paraId="06070FF8" w14:textId="77777777" w:rsidR="00D8590E" w:rsidRDefault="00D8590E" w:rsidP="00D8590E">
      <w:pPr>
        <w:spacing w:line="360" w:lineRule="auto"/>
        <w:rPr>
          <w:rFonts w:ascii="Arial" w:hAnsi="Arial" w:cs="Arial"/>
          <w:bCs/>
        </w:rPr>
      </w:pPr>
    </w:p>
    <w:p w14:paraId="2F2AABDF" w14:textId="5593112F" w:rsidR="00D8590E" w:rsidRDefault="00D8590E" w:rsidP="00D8590E">
      <w:pPr>
        <w:spacing w:line="360" w:lineRule="auto"/>
        <w:rPr>
          <w:rFonts w:ascii="Arial" w:hAnsi="Arial" w:cs="Arial"/>
          <w:bCs/>
        </w:rPr>
      </w:pPr>
      <w:r>
        <w:rPr>
          <w:rFonts w:ascii="Arial" w:hAnsi="Arial" w:cs="Arial"/>
          <w:bCs/>
        </w:rPr>
        <w:t>“The defendant bought the property solely in her name before cohabitation. She alone provided the deposit, signed the mortgage, and was responsible for it throughout.”</w:t>
      </w:r>
    </w:p>
    <w:p w14:paraId="4D5B6C65" w14:textId="77777777" w:rsidR="00412985" w:rsidRDefault="00412985" w:rsidP="00D8590E">
      <w:pPr>
        <w:spacing w:line="360" w:lineRule="auto"/>
        <w:rPr>
          <w:rFonts w:ascii="Arial" w:hAnsi="Arial" w:cs="Arial"/>
          <w:bCs/>
        </w:rPr>
      </w:pPr>
    </w:p>
    <w:p w14:paraId="233E4205" w14:textId="5C96962B" w:rsidR="00412985" w:rsidRDefault="00412985" w:rsidP="00713F3E">
      <w:pPr>
        <w:spacing w:line="360" w:lineRule="auto"/>
        <w:rPr>
          <w:rFonts w:ascii="Arial" w:hAnsi="Arial" w:cs="Arial"/>
          <w:bCs/>
        </w:rPr>
      </w:pPr>
      <w:r>
        <w:rPr>
          <w:rFonts w:ascii="Arial" w:hAnsi="Arial" w:cs="Arial"/>
          <w:bCs/>
        </w:rPr>
        <w:t>“The claimant did not contribute to the mortgage, the purchase price, or any capital improvements made to the property. The parties did not specifically discuss who owned or shared the beneficial interest.”</w:t>
      </w:r>
    </w:p>
    <w:p w14:paraId="51A5474E" w14:textId="77777777" w:rsidR="00212943" w:rsidRDefault="00212943" w:rsidP="00713F3E">
      <w:pPr>
        <w:spacing w:line="360" w:lineRule="auto"/>
        <w:rPr>
          <w:rFonts w:ascii="Arial" w:hAnsi="Arial" w:cs="Arial"/>
          <w:bCs/>
        </w:rPr>
      </w:pPr>
    </w:p>
    <w:p w14:paraId="4F6CBE1D" w14:textId="7AA4C9BB" w:rsidR="00212943" w:rsidRDefault="00212943" w:rsidP="007B7EFF">
      <w:pPr>
        <w:spacing w:line="360" w:lineRule="auto"/>
        <w:rPr>
          <w:rFonts w:ascii="Arial" w:hAnsi="Arial" w:cs="Arial"/>
          <w:bCs/>
        </w:rPr>
      </w:pPr>
      <w:r>
        <w:rPr>
          <w:rFonts w:ascii="Arial" w:hAnsi="Arial" w:cs="Arial"/>
          <w:bCs/>
        </w:rPr>
        <w:t>“</w:t>
      </w:r>
      <w:r w:rsidR="0057323D">
        <w:rPr>
          <w:rFonts w:ascii="Arial" w:hAnsi="Arial" w:cs="Arial"/>
          <w:bCs/>
        </w:rPr>
        <w:t>The</w:t>
      </w:r>
      <w:r>
        <w:rPr>
          <w:rFonts w:ascii="Arial" w:hAnsi="Arial" w:cs="Arial"/>
          <w:bCs/>
        </w:rPr>
        <w:t xml:space="preserve"> claimant uses a joint account that was only used for daily living expenses to make regular contributions towards home bills, such</w:t>
      </w:r>
      <w:r w:rsidR="007B7EFF">
        <w:rPr>
          <w:rFonts w:ascii="Arial" w:hAnsi="Arial" w:cs="Arial"/>
          <w:bCs/>
        </w:rPr>
        <w:t xml:space="preserve"> as utilities, food, and daycare. Additionally, at the time of financial difficulty, she made </w:t>
      </w:r>
      <w:r w:rsidR="0057323D">
        <w:rPr>
          <w:rFonts w:ascii="Arial" w:hAnsi="Arial" w:cs="Arial"/>
          <w:bCs/>
        </w:rPr>
        <w:t xml:space="preserve">a </w:t>
      </w:r>
      <w:r w:rsidR="007B7EFF">
        <w:rPr>
          <w:rFonts w:ascii="Arial" w:hAnsi="Arial" w:cs="Arial"/>
          <w:bCs/>
        </w:rPr>
        <w:t>one-off payment of £5,000, which the defen</w:t>
      </w:r>
      <w:r w:rsidR="0057323D">
        <w:rPr>
          <w:rFonts w:ascii="Arial" w:hAnsi="Arial" w:cs="Arial"/>
          <w:bCs/>
        </w:rPr>
        <w:t>dant’s evidence show</w:t>
      </w:r>
      <w:r w:rsidR="0043184A">
        <w:rPr>
          <w:rFonts w:ascii="Arial" w:hAnsi="Arial" w:cs="Arial"/>
          <w:bCs/>
        </w:rPr>
        <w:t xml:space="preserve">s </w:t>
      </w:r>
      <w:r w:rsidR="0057323D">
        <w:rPr>
          <w:rFonts w:ascii="Arial" w:hAnsi="Arial" w:cs="Arial"/>
          <w:bCs/>
        </w:rPr>
        <w:t>it was intended to support the household rather than the purchase of the home.”</w:t>
      </w:r>
    </w:p>
    <w:p w14:paraId="04FF34DE" w14:textId="77777777" w:rsidR="00820DB5" w:rsidRDefault="00820DB5" w:rsidP="007B7EFF">
      <w:pPr>
        <w:spacing w:line="360" w:lineRule="auto"/>
        <w:rPr>
          <w:rFonts w:ascii="Arial" w:hAnsi="Arial" w:cs="Arial"/>
          <w:bCs/>
        </w:rPr>
      </w:pPr>
    </w:p>
    <w:p w14:paraId="71F08B6B" w14:textId="7A736790" w:rsidR="00820DB5" w:rsidRDefault="00820DB5" w:rsidP="007B7EFF">
      <w:pPr>
        <w:spacing w:line="360" w:lineRule="auto"/>
        <w:rPr>
          <w:rFonts w:ascii="Arial" w:hAnsi="Arial" w:cs="Arial"/>
          <w:bCs/>
        </w:rPr>
      </w:pPr>
      <w:r>
        <w:rPr>
          <w:rFonts w:ascii="Arial" w:hAnsi="Arial" w:cs="Arial"/>
          <w:bCs/>
        </w:rPr>
        <w:t>“The claimant’s argument is based on relational language, assumptions, and interferences rather than express agreements.</w:t>
      </w:r>
      <w:r w:rsidR="006D053D">
        <w:rPr>
          <w:rFonts w:ascii="Arial" w:hAnsi="Arial" w:cs="Arial"/>
          <w:bCs/>
        </w:rPr>
        <w:t>”</w:t>
      </w:r>
    </w:p>
    <w:p w14:paraId="4AA26D70" w14:textId="77777777" w:rsidR="006D053D" w:rsidRDefault="006D053D" w:rsidP="007B7EFF">
      <w:pPr>
        <w:spacing w:line="360" w:lineRule="auto"/>
        <w:rPr>
          <w:rFonts w:ascii="Arial" w:hAnsi="Arial" w:cs="Arial"/>
          <w:bCs/>
        </w:rPr>
      </w:pPr>
    </w:p>
    <w:p w14:paraId="34C8BAFF" w14:textId="1E7C4547" w:rsidR="006D053D" w:rsidRDefault="006D053D" w:rsidP="007B7EFF">
      <w:pPr>
        <w:spacing w:line="360" w:lineRule="auto"/>
        <w:rPr>
          <w:rFonts w:ascii="Arial" w:hAnsi="Arial" w:cs="Arial"/>
          <w:bCs/>
        </w:rPr>
      </w:pPr>
      <w:r>
        <w:rPr>
          <w:rFonts w:ascii="Arial" w:hAnsi="Arial" w:cs="Arial"/>
          <w:bCs/>
        </w:rPr>
        <w:t>“It is argued that certain matters cannot give reason for property rights under the law.”</w:t>
      </w:r>
    </w:p>
    <w:p w14:paraId="730A584C" w14:textId="77777777" w:rsidR="00416B4E" w:rsidRDefault="00416B4E" w:rsidP="007B7EFF">
      <w:pPr>
        <w:spacing w:line="360" w:lineRule="auto"/>
        <w:rPr>
          <w:rFonts w:ascii="Arial" w:hAnsi="Arial" w:cs="Arial"/>
          <w:bCs/>
        </w:rPr>
      </w:pPr>
    </w:p>
    <w:p w14:paraId="2F5E117C" w14:textId="1AAFB20C" w:rsidR="00416B4E" w:rsidRDefault="00FB11AC" w:rsidP="007B7EFF">
      <w:pPr>
        <w:spacing w:line="360" w:lineRule="auto"/>
        <w:rPr>
          <w:rFonts w:ascii="Arial" w:hAnsi="Arial" w:cs="Arial"/>
          <w:b/>
        </w:rPr>
      </w:pPr>
      <w:r w:rsidRPr="00FB11AC">
        <w:rPr>
          <w:rFonts w:ascii="Arial" w:hAnsi="Arial" w:cs="Arial"/>
          <w:b/>
        </w:rPr>
        <w:t>Constructive trust</w:t>
      </w:r>
    </w:p>
    <w:p w14:paraId="745ADF85" w14:textId="487DBC5A" w:rsidR="003A54B4" w:rsidRDefault="003A54B4" w:rsidP="007B7EFF">
      <w:pPr>
        <w:spacing w:line="360" w:lineRule="auto"/>
        <w:rPr>
          <w:rFonts w:ascii="Arial" w:hAnsi="Arial" w:cs="Arial"/>
          <w:b/>
        </w:rPr>
      </w:pPr>
      <w:r>
        <w:rPr>
          <w:rFonts w:ascii="Arial" w:hAnsi="Arial" w:cs="Arial"/>
          <w:b/>
        </w:rPr>
        <w:t>Legal Framework</w:t>
      </w:r>
      <w:r w:rsidR="00E5667B">
        <w:rPr>
          <w:rFonts w:ascii="Arial" w:hAnsi="Arial" w:cs="Arial"/>
          <w:b/>
        </w:rPr>
        <w:t>:</w:t>
      </w:r>
    </w:p>
    <w:p w14:paraId="2F7E8746" w14:textId="77777777" w:rsidR="00E5667B" w:rsidRDefault="00E5667B" w:rsidP="007B7EFF">
      <w:pPr>
        <w:spacing w:line="360" w:lineRule="auto"/>
        <w:rPr>
          <w:rFonts w:ascii="Arial" w:hAnsi="Arial" w:cs="Arial"/>
          <w:b/>
        </w:rPr>
      </w:pPr>
    </w:p>
    <w:p w14:paraId="558D4D9A" w14:textId="0236DA87" w:rsidR="00E5667B" w:rsidRDefault="00E5667B" w:rsidP="007B7EFF">
      <w:pPr>
        <w:spacing w:line="360" w:lineRule="auto"/>
        <w:rPr>
          <w:rFonts w:ascii="Arial" w:hAnsi="Arial" w:cs="Arial"/>
          <w:bCs/>
        </w:rPr>
      </w:pPr>
      <w:r w:rsidRPr="00E5667B">
        <w:rPr>
          <w:rFonts w:ascii="Arial" w:hAnsi="Arial" w:cs="Arial"/>
          <w:bCs/>
        </w:rPr>
        <w:t>“In cases of sole legal ownership, the law is settled”</w:t>
      </w:r>
    </w:p>
    <w:p w14:paraId="268130D3" w14:textId="4EC3E385" w:rsidR="00125544" w:rsidRDefault="00125544" w:rsidP="001F643D">
      <w:pPr>
        <w:spacing w:line="360" w:lineRule="auto"/>
        <w:rPr>
          <w:rFonts w:ascii="Arial" w:hAnsi="Arial" w:cs="Arial"/>
          <w:bCs/>
        </w:rPr>
      </w:pPr>
    </w:p>
    <w:p w14:paraId="59FFB2DB" w14:textId="1E1079C5" w:rsidR="008D4800" w:rsidRDefault="008D4800" w:rsidP="001F643D">
      <w:pPr>
        <w:spacing w:line="360" w:lineRule="auto"/>
        <w:rPr>
          <w:rFonts w:ascii="Arial" w:hAnsi="Arial" w:cs="Arial"/>
          <w:bCs/>
        </w:rPr>
      </w:pPr>
      <w:r>
        <w:rPr>
          <w:rFonts w:ascii="Arial" w:hAnsi="Arial" w:cs="Arial"/>
          <w:bCs/>
        </w:rPr>
        <w:t>“</w:t>
      </w:r>
      <w:r w:rsidR="001910F2">
        <w:rPr>
          <w:rFonts w:ascii="Arial" w:hAnsi="Arial" w:cs="Arial"/>
          <w:bCs/>
        </w:rPr>
        <w:t>T</w:t>
      </w:r>
      <w:r>
        <w:rPr>
          <w:rFonts w:ascii="Arial" w:hAnsi="Arial" w:cs="Arial"/>
          <w:bCs/>
        </w:rPr>
        <w:t xml:space="preserve">o succeed, the claimant must prove both common </w:t>
      </w:r>
      <w:r w:rsidR="001910F2">
        <w:rPr>
          <w:rFonts w:ascii="Arial" w:hAnsi="Arial" w:cs="Arial"/>
          <w:bCs/>
        </w:rPr>
        <w:t>intentions</w:t>
      </w:r>
      <w:r>
        <w:rPr>
          <w:rFonts w:ascii="Arial" w:hAnsi="Arial" w:cs="Arial"/>
          <w:bCs/>
        </w:rPr>
        <w:t xml:space="preserve">, whether express </w:t>
      </w:r>
      <w:r w:rsidR="001910F2">
        <w:rPr>
          <w:rFonts w:ascii="Arial" w:hAnsi="Arial" w:cs="Arial"/>
          <w:bCs/>
        </w:rPr>
        <w:t>or inferred, that she. Would acquire a beneficial interest in the property, and detrimental reliance on that intention.</w:t>
      </w:r>
      <w:r w:rsidR="00476DAF">
        <w:rPr>
          <w:rFonts w:ascii="Arial" w:hAnsi="Arial" w:cs="Arial"/>
          <w:bCs/>
        </w:rPr>
        <w:t>”</w:t>
      </w:r>
    </w:p>
    <w:p w14:paraId="3EBB9000" w14:textId="77777777" w:rsidR="004742A8" w:rsidRDefault="004742A8" w:rsidP="001F643D">
      <w:pPr>
        <w:spacing w:line="360" w:lineRule="auto"/>
        <w:rPr>
          <w:rFonts w:ascii="Arial" w:hAnsi="Arial" w:cs="Arial"/>
          <w:bCs/>
        </w:rPr>
      </w:pPr>
    </w:p>
    <w:p w14:paraId="4E8FF95F" w14:textId="77777777" w:rsidR="00476DAF" w:rsidRDefault="004742A8" w:rsidP="00476DAF">
      <w:pPr>
        <w:spacing w:line="360" w:lineRule="auto"/>
        <w:rPr>
          <w:rFonts w:ascii="Arial" w:hAnsi="Arial" w:cs="Arial"/>
          <w:bCs/>
        </w:rPr>
      </w:pPr>
      <w:r>
        <w:rPr>
          <w:rFonts w:ascii="Arial" w:hAnsi="Arial" w:cs="Arial"/>
          <w:bCs/>
        </w:rPr>
        <w:lastRenderedPageBreak/>
        <w:t>“Lloyds Bank v Rosset established an example for this framework, which was improved</w:t>
      </w:r>
      <w:r w:rsidR="00A21FAD">
        <w:rPr>
          <w:rFonts w:ascii="Arial" w:hAnsi="Arial" w:cs="Arial"/>
          <w:bCs/>
        </w:rPr>
        <w:t xml:space="preserve"> in Stack v Dowden and Jones v </w:t>
      </w:r>
      <w:r w:rsidR="00476DAF">
        <w:rPr>
          <w:rFonts w:ascii="Arial" w:hAnsi="Arial" w:cs="Arial"/>
          <w:bCs/>
        </w:rPr>
        <w:t>K</w:t>
      </w:r>
      <w:r w:rsidR="00A21FAD">
        <w:rPr>
          <w:rFonts w:ascii="Arial" w:hAnsi="Arial" w:cs="Arial"/>
          <w:bCs/>
        </w:rPr>
        <w:t>ernott</w:t>
      </w:r>
      <w:r w:rsidR="00476DAF">
        <w:rPr>
          <w:rFonts w:ascii="Arial" w:hAnsi="Arial" w:cs="Arial"/>
          <w:bCs/>
        </w:rPr>
        <w:t>. Importantly, the aim must be directly related to property ownership rather than just shared life or commitment.”</w:t>
      </w:r>
    </w:p>
    <w:p w14:paraId="78BCDE73" w14:textId="77777777" w:rsidR="008F6E3C" w:rsidRDefault="008F6E3C" w:rsidP="00476DAF">
      <w:pPr>
        <w:spacing w:line="360" w:lineRule="auto"/>
        <w:rPr>
          <w:rFonts w:ascii="Arial" w:hAnsi="Arial" w:cs="Arial"/>
          <w:bCs/>
        </w:rPr>
      </w:pPr>
    </w:p>
    <w:p w14:paraId="50E3A323" w14:textId="5CBB0D69" w:rsidR="008F6E3C" w:rsidRDefault="008F6E3C" w:rsidP="00476DAF">
      <w:pPr>
        <w:spacing w:line="360" w:lineRule="auto"/>
        <w:rPr>
          <w:rFonts w:ascii="Arial" w:hAnsi="Arial" w:cs="Arial"/>
          <w:bCs/>
        </w:rPr>
      </w:pPr>
      <w:r>
        <w:rPr>
          <w:rFonts w:ascii="Arial" w:hAnsi="Arial" w:cs="Arial"/>
          <w:bCs/>
        </w:rPr>
        <w:t>“Domestic or household contributions alone are insufficient. James v Thomas, Geary v. Rankine, and Burns v Burns all</w:t>
      </w:r>
      <w:r w:rsidR="0092743E">
        <w:rPr>
          <w:rFonts w:ascii="Arial" w:hAnsi="Arial" w:cs="Arial"/>
          <w:bCs/>
        </w:rPr>
        <w:t xml:space="preserve"> consistently uphold this idea.”</w:t>
      </w:r>
    </w:p>
    <w:p w14:paraId="50C68193" w14:textId="77777777" w:rsidR="0092743E" w:rsidRDefault="0092743E" w:rsidP="00476DAF">
      <w:pPr>
        <w:spacing w:line="360" w:lineRule="auto"/>
        <w:rPr>
          <w:rFonts w:ascii="Arial" w:hAnsi="Arial" w:cs="Arial"/>
          <w:bCs/>
        </w:rPr>
      </w:pPr>
    </w:p>
    <w:p w14:paraId="5E8A87D0" w14:textId="0BD23350" w:rsidR="0092743E" w:rsidRDefault="0092743E" w:rsidP="00476DAF">
      <w:pPr>
        <w:spacing w:line="360" w:lineRule="auto"/>
        <w:rPr>
          <w:rFonts w:ascii="Arial" w:hAnsi="Arial" w:cs="Arial"/>
          <w:bCs/>
        </w:rPr>
      </w:pPr>
      <w:r>
        <w:rPr>
          <w:rFonts w:ascii="Arial" w:hAnsi="Arial" w:cs="Arial"/>
          <w:bCs/>
        </w:rPr>
        <w:t>“The law itself is not in dispute. The dispute lies in its application to the facts.”</w:t>
      </w:r>
    </w:p>
    <w:p w14:paraId="077FD66B" w14:textId="77777777" w:rsidR="00423B51" w:rsidRDefault="00423B51" w:rsidP="00476DAF">
      <w:pPr>
        <w:spacing w:line="360" w:lineRule="auto"/>
        <w:rPr>
          <w:rFonts w:ascii="Arial" w:hAnsi="Arial" w:cs="Arial"/>
          <w:bCs/>
        </w:rPr>
      </w:pPr>
    </w:p>
    <w:p w14:paraId="298FBA52" w14:textId="3B177616" w:rsidR="00423B51" w:rsidRDefault="00423B51" w:rsidP="00476DAF">
      <w:pPr>
        <w:spacing w:line="360" w:lineRule="auto"/>
        <w:rPr>
          <w:rFonts w:ascii="Arial" w:hAnsi="Arial" w:cs="Arial"/>
          <w:b/>
        </w:rPr>
      </w:pPr>
      <w:r w:rsidRPr="00662EC9">
        <w:rPr>
          <w:rFonts w:ascii="Arial" w:hAnsi="Arial" w:cs="Arial"/>
          <w:b/>
        </w:rPr>
        <w:t>No express common intention</w:t>
      </w:r>
    </w:p>
    <w:p w14:paraId="598C2EB9" w14:textId="77777777" w:rsidR="00EF77B8" w:rsidRDefault="00EF77B8" w:rsidP="00476DAF">
      <w:pPr>
        <w:spacing w:line="360" w:lineRule="auto"/>
        <w:rPr>
          <w:rFonts w:ascii="Arial" w:hAnsi="Arial" w:cs="Arial"/>
          <w:b/>
        </w:rPr>
      </w:pPr>
    </w:p>
    <w:p w14:paraId="20982105" w14:textId="1773566D" w:rsidR="00EF77B8" w:rsidRPr="00775B50" w:rsidRDefault="00EF77B8" w:rsidP="00476DAF">
      <w:pPr>
        <w:spacing w:line="360" w:lineRule="auto"/>
        <w:rPr>
          <w:rFonts w:ascii="Arial" w:hAnsi="Arial" w:cs="Arial"/>
          <w:bCs/>
        </w:rPr>
      </w:pPr>
      <w:r w:rsidRPr="00775B50">
        <w:rPr>
          <w:rFonts w:ascii="Arial" w:hAnsi="Arial" w:cs="Arial"/>
          <w:bCs/>
        </w:rPr>
        <w:t>“</w:t>
      </w:r>
      <w:r w:rsidR="0025293E" w:rsidRPr="00775B50">
        <w:rPr>
          <w:rFonts w:ascii="Arial" w:hAnsi="Arial" w:cs="Arial"/>
          <w:bCs/>
        </w:rPr>
        <w:t>T</w:t>
      </w:r>
      <w:r w:rsidR="003E77FC" w:rsidRPr="00775B50">
        <w:rPr>
          <w:rFonts w:ascii="Arial" w:hAnsi="Arial" w:cs="Arial"/>
          <w:bCs/>
        </w:rPr>
        <w:t>here is no evidence of any express agreement or discussion between the parties concerning beneficial ownership of the property.</w:t>
      </w:r>
      <w:r w:rsidR="0025293E" w:rsidRPr="00775B50">
        <w:rPr>
          <w:rFonts w:ascii="Arial" w:hAnsi="Arial" w:cs="Arial"/>
          <w:bCs/>
        </w:rPr>
        <w:t xml:space="preserve"> The claimant accepts that ownership was never discussed </w:t>
      </w:r>
      <w:r w:rsidR="00311DAD" w:rsidRPr="00775B50">
        <w:rPr>
          <w:rFonts w:ascii="Arial" w:hAnsi="Arial" w:cs="Arial"/>
          <w:bCs/>
        </w:rPr>
        <w:t>and instead relies on her own assumption that the parties would “share everything.</w:t>
      </w:r>
      <w:r w:rsidR="008A23BC" w:rsidRPr="00775B50">
        <w:rPr>
          <w:rFonts w:ascii="Arial" w:hAnsi="Arial" w:cs="Arial"/>
          <w:bCs/>
        </w:rPr>
        <w:t>”</w:t>
      </w:r>
    </w:p>
    <w:p w14:paraId="474C1901" w14:textId="47F2499E" w:rsidR="007D4BF3" w:rsidRPr="00775B50" w:rsidRDefault="007D4BF3" w:rsidP="00476DAF">
      <w:pPr>
        <w:spacing w:line="360" w:lineRule="auto"/>
        <w:rPr>
          <w:rFonts w:ascii="Arial" w:hAnsi="Arial" w:cs="Arial"/>
          <w:bCs/>
        </w:rPr>
      </w:pPr>
    </w:p>
    <w:p w14:paraId="34F30F73" w14:textId="0847F184" w:rsidR="007D4BF3" w:rsidRPr="00775B50" w:rsidRDefault="007D4BF3" w:rsidP="00476DAF">
      <w:pPr>
        <w:spacing w:line="360" w:lineRule="auto"/>
        <w:rPr>
          <w:rFonts w:ascii="Arial" w:hAnsi="Arial" w:cs="Arial"/>
          <w:bCs/>
        </w:rPr>
      </w:pPr>
      <w:r w:rsidRPr="00775B50">
        <w:rPr>
          <w:rFonts w:ascii="Arial" w:hAnsi="Arial" w:cs="Arial"/>
          <w:bCs/>
        </w:rPr>
        <w:t>“</w:t>
      </w:r>
      <w:r w:rsidR="00C71964" w:rsidRPr="00775B50">
        <w:rPr>
          <w:rFonts w:ascii="Arial" w:hAnsi="Arial" w:cs="Arial"/>
          <w:bCs/>
        </w:rPr>
        <w:t>H</w:t>
      </w:r>
      <w:r w:rsidRPr="00775B50">
        <w:rPr>
          <w:rFonts w:ascii="Arial" w:hAnsi="Arial" w:cs="Arial"/>
          <w:bCs/>
        </w:rPr>
        <w:t xml:space="preserve">owever, a </w:t>
      </w:r>
      <w:r w:rsidR="004A53E5" w:rsidRPr="00775B50">
        <w:rPr>
          <w:rFonts w:ascii="Arial" w:hAnsi="Arial" w:cs="Arial"/>
          <w:bCs/>
        </w:rPr>
        <w:t>unilateral assumption of this kind cannot be considered a</w:t>
      </w:r>
      <w:r w:rsidR="00C71964" w:rsidRPr="00775B50">
        <w:rPr>
          <w:rFonts w:ascii="Arial" w:hAnsi="Arial" w:cs="Arial"/>
          <w:bCs/>
        </w:rPr>
        <w:t>s common intention.</w:t>
      </w:r>
      <w:r w:rsidR="001D779C" w:rsidRPr="00775B50">
        <w:rPr>
          <w:rFonts w:ascii="Arial" w:hAnsi="Arial" w:cs="Arial"/>
          <w:bCs/>
        </w:rPr>
        <w:t xml:space="preserve"> In Lloyds Bank v Rosset, Lord Bridge clarified that the court is not interested in a simple subjective view held by one of the parties but rather in a </w:t>
      </w:r>
      <w:r w:rsidR="00AA394D" w:rsidRPr="00775B50">
        <w:rPr>
          <w:rFonts w:ascii="Arial" w:hAnsi="Arial" w:cs="Arial"/>
          <w:bCs/>
        </w:rPr>
        <w:t>shared goal expressed between the parties.”</w:t>
      </w:r>
    </w:p>
    <w:p w14:paraId="7E7365F7" w14:textId="77777777" w:rsidR="00AA394D" w:rsidRPr="00775B50" w:rsidRDefault="00AA394D" w:rsidP="00476DAF">
      <w:pPr>
        <w:spacing w:line="360" w:lineRule="auto"/>
        <w:rPr>
          <w:rFonts w:ascii="Arial" w:hAnsi="Arial" w:cs="Arial"/>
          <w:bCs/>
        </w:rPr>
      </w:pPr>
    </w:p>
    <w:p w14:paraId="3FA2736E" w14:textId="6EC5B5C1" w:rsidR="00AA394D" w:rsidRDefault="00AA394D" w:rsidP="00476DAF">
      <w:pPr>
        <w:spacing w:line="360" w:lineRule="auto"/>
        <w:rPr>
          <w:rFonts w:ascii="Arial" w:hAnsi="Arial" w:cs="Arial"/>
          <w:bCs/>
        </w:rPr>
      </w:pPr>
      <w:r w:rsidRPr="00775B50">
        <w:rPr>
          <w:rFonts w:ascii="Arial" w:hAnsi="Arial" w:cs="Arial"/>
          <w:bCs/>
        </w:rPr>
        <w:t>“</w:t>
      </w:r>
      <w:r w:rsidR="00775B50" w:rsidRPr="00775B50">
        <w:rPr>
          <w:rFonts w:ascii="Arial" w:hAnsi="Arial" w:cs="Arial"/>
          <w:bCs/>
        </w:rPr>
        <w:t>A</w:t>
      </w:r>
      <w:r w:rsidR="00235ED5" w:rsidRPr="00775B50">
        <w:rPr>
          <w:rFonts w:ascii="Arial" w:hAnsi="Arial" w:cs="Arial"/>
          <w:bCs/>
        </w:rPr>
        <w:t xml:space="preserve">ccordingly, the claimant’s case cannot succeed </w:t>
      </w:r>
      <w:r w:rsidR="00775B50" w:rsidRPr="00775B50">
        <w:rPr>
          <w:rFonts w:ascii="Arial" w:hAnsi="Arial" w:cs="Arial"/>
          <w:bCs/>
        </w:rPr>
        <w:t>based</w:t>
      </w:r>
      <w:r w:rsidR="00235ED5" w:rsidRPr="00775B50">
        <w:rPr>
          <w:rFonts w:ascii="Arial" w:hAnsi="Arial" w:cs="Arial"/>
          <w:bCs/>
        </w:rPr>
        <w:t xml:space="preserve"> o</w:t>
      </w:r>
      <w:r w:rsidR="00775B50" w:rsidRPr="00775B50">
        <w:rPr>
          <w:rFonts w:ascii="Arial" w:hAnsi="Arial" w:cs="Arial"/>
          <w:bCs/>
        </w:rPr>
        <w:t>n</w:t>
      </w:r>
      <w:r w:rsidR="00235ED5" w:rsidRPr="00775B50">
        <w:rPr>
          <w:rFonts w:ascii="Arial" w:hAnsi="Arial" w:cs="Arial"/>
          <w:bCs/>
        </w:rPr>
        <w:t xml:space="preserve"> any alleged express</w:t>
      </w:r>
      <w:r w:rsidR="00775B50" w:rsidRPr="00775B50">
        <w:rPr>
          <w:rFonts w:ascii="Arial" w:hAnsi="Arial" w:cs="Arial"/>
          <w:bCs/>
        </w:rPr>
        <w:t xml:space="preserve"> common intention.”</w:t>
      </w:r>
    </w:p>
    <w:p w14:paraId="5ADFF654" w14:textId="77777777" w:rsidR="00E17272" w:rsidRPr="006F2BF5" w:rsidRDefault="00E17272" w:rsidP="00476DAF">
      <w:pPr>
        <w:spacing w:line="360" w:lineRule="auto"/>
        <w:rPr>
          <w:rFonts w:ascii="Arial" w:hAnsi="Arial" w:cs="Arial"/>
          <w:b/>
        </w:rPr>
      </w:pPr>
    </w:p>
    <w:p w14:paraId="791A6BF3" w14:textId="553A7113" w:rsidR="00E17272" w:rsidRDefault="00E17272" w:rsidP="00476DAF">
      <w:pPr>
        <w:spacing w:line="360" w:lineRule="auto"/>
        <w:rPr>
          <w:rFonts w:ascii="Arial" w:hAnsi="Arial" w:cs="Arial"/>
          <w:b/>
        </w:rPr>
      </w:pPr>
      <w:r w:rsidRPr="006F2BF5">
        <w:rPr>
          <w:rFonts w:ascii="Arial" w:hAnsi="Arial" w:cs="Arial"/>
          <w:b/>
        </w:rPr>
        <w:t>No inferred common intention</w:t>
      </w:r>
    </w:p>
    <w:p w14:paraId="4B9726EA" w14:textId="77777777" w:rsidR="00FA6D13" w:rsidRDefault="00FA6D13" w:rsidP="00476DAF">
      <w:pPr>
        <w:spacing w:line="360" w:lineRule="auto"/>
        <w:rPr>
          <w:rFonts w:ascii="Arial" w:hAnsi="Arial" w:cs="Arial"/>
          <w:b/>
        </w:rPr>
      </w:pPr>
    </w:p>
    <w:p w14:paraId="657072F5" w14:textId="46FFBB05" w:rsidR="00FA6D13" w:rsidRPr="00480C67" w:rsidRDefault="00FA6D13" w:rsidP="00476DAF">
      <w:pPr>
        <w:spacing w:line="360" w:lineRule="auto"/>
        <w:rPr>
          <w:rFonts w:ascii="Arial" w:hAnsi="Arial" w:cs="Arial"/>
          <w:bCs/>
        </w:rPr>
      </w:pPr>
      <w:r w:rsidRPr="00480C67">
        <w:rPr>
          <w:rFonts w:ascii="Arial" w:hAnsi="Arial" w:cs="Arial"/>
          <w:bCs/>
        </w:rPr>
        <w:t>“</w:t>
      </w:r>
      <w:r w:rsidR="00001D3F" w:rsidRPr="00480C67">
        <w:rPr>
          <w:rFonts w:ascii="Arial" w:hAnsi="Arial" w:cs="Arial"/>
          <w:bCs/>
        </w:rPr>
        <w:t>A</w:t>
      </w:r>
      <w:r w:rsidRPr="00480C67">
        <w:rPr>
          <w:rFonts w:ascii="Arial" w:hAnsi="Arial" w:cs="Arial"/>
          <w:bCs/>
        </w:rPr>
        <w:t>s a result, the claimant asks the court to infer a shared intention from the parties</w:t>
      </w:r>
      <w:r w:rsidR="00001D3F" w:rsidRPr="00480C67">
        <w:rPr>
          <w:rFonts w:ascii="Arial" w:hAnsi="Arial" w:cs="Arial"/>
          <w:bCs/>
        </w:rPr>
        <w:t>’ actions; however, the claim fails for three different reasons.”</w:t>
      </w:r>
    </w:p>
    <w:p w14:paraId="438F0768" w14:textId="77777777" w:rsidR="00A51E41" w:rsidRPr="00480C67" w:rsidRDefault="00A51E41" w:rsidP="00476DAF">
      <w:pPr>
        <w:spacing w:line="360" w:lineRule="auto"/>
        <w:rPr>
          <w:rFonts w:ascii="Arial" w:hAnsi="Arial" w:cs="Arial"/>
          <w:bCs/>
        </w:rPr>
      </w:pPr>
    </w:p>
    <w:p w14:paraId="0BC8FC26" w14:textId="20172672" w:rsidR="00A51E41" w:rsidRPr="00480C67" w:rsidRDefault="00A51E41" w:rsidP="00476DAF">
      <w:pPr>
        <w:spacing w:line="360" w:lineRule="auto"/>
        <w:rPr>
          <w:rFonts w:ascii="Arial" w:hAnsi="Arial" w:cs="Arial"/>
          <w:bCs/>
        </w:rPr>
      </w:pPr>
      <w:r w:rsidRPr="00480C67">
        <w:rPr>
          <w:rFonts w:ascii="Arial" w:hAnsi="Arial" w:cs="Arial"/>
          <w:bCs/>
        </w:rPr>
        <w:t>“Firstly, none of the claimant’s contributions could be linked to the property’s purchase.</w:t>
      </w:r>
      <w:r w:rsidR="002A10D0" w:rsidRPr="00480C67">
        <w:rPr>
          <w:rFonts w:ascii="Arial" w:hAnsi="Arial" w:cs="Arial"/>
          <w:bCs/>
        </w:rPr>
        <w:t>”</w:t>
      </w:r>
    </w:p>
    <w:p w14:paraId="040DF8F4" w14:textId="77777777" w:rsidR="002A10D0" w:rsidRPr="00480C67" w:rsidRDefault="002A10D0" w:rsidP="00476DAF">
      <w:pPr>
        <w:spacing w:line="360" w:lineRule="auto"/>
        <w:rPr>
          <w:rFonts w:ascii="Arial" w:hAnsi="Arial" w:cs="Arial"/>
          <w:bCs/>
        </w:rPr>
      </w:pPr>
    </w:p>
    <w:p w14:paraId="62FF9A70" w14:textId="6F645DDC" w:rsidR="008425D2" w:rsidRDefault="002A10D0" w:rsidP="001165D0">
      <w:pPr>
        <w:spacing w:line="360" w:lineRule="auto"/>
        <w:rPr>
          <w:rFonts w:ascii="Arial" w:hAnsi="Arial" w:cs="Arial"/>
          <w:bCs/>
        </w:rPr>
      </w:pPr>
      <w:r w:rsidRPr="00480C67">
        <w:rPr>
          <w:rFonts w:ascii="Arial" w:hAnsi="Arial" w:cs="Arial"/>
          <w:bCs/>
        </w:rPr>
        <w:t xml:space="preserve">“The claimant made no financial contribution to the </w:t>
      </w:r>
      <w:r w:rsidR="001165D0" w:rsidRPr="00480C67">
        <w:rPr>
          <w:rFonts w:ascii="Arial" w:hAnsi="Arial" w:cs="Arial"/>
          <w:bCs/>
        </w:rPr>
        <w:t>purchase or value of the property. She did not pay the mortgage, she did not contribut</w:t>
      </w:r>
      <w:r w:rsidR="001D0B1C" w:rsidRPr="00480C67">
        <w:rPr>
          <w:rFonts w:ascii="Arial" w:hAnsi="Arial" w:cs="Arial"/>
          <w:bCs/>
        </w:rPr>
        <w:t xml:space="preserve">e to the deposit, and </w:t>
      </w:r>
      <w:r w:rsidR="001D0B1C" w:rsidRPr="00480C67">
        <w:rPr>
          <w:rFonts w:ascii="Arial" w:hAnsi="Arial" w:cs="Arial"/>
          <w:bCs/>
        </w:rPr>
        <w:lastRenderedPageBreak/>
        <w:t xml:space="preserve">she </w:t>
      </w:r>
      <w:r w:rsidR="00480C67" w:rsidRPr="00480C67">
        <w:rPr>
          <w:rFonts w:ascii="Arial" w:hAnsi="Arial" w:cs="Arial"/>
          <w:bCs/>
        </w:rPr>
        <w:t xml:space="preserve">did </w:t>
      </w:r>
      <w:r w:rsidR="001D0B1C" w:rsidRPr="00480C67">
        <w:rPr>
          <w:rFonts w:ascii="Arial" w:hAnsi="Arial" w:cs="Arial"/>
          <w:bCs/>
        </w:rPr>
        <w:t>not finance any capital improvements or repairs. Her only financial engagement was</w:t>
      </w:r>
      <w:r w:rsidR="00480C67" w:rsidRPr="00480C67">
        <w:rPr>
          <w:rFonts w:ascii="Arial" w:hAnsi="Arial" w:cs="Arial"/>
          <w:bCs/>
        </w:rPr>
        <w:t xml:space="preserve"> in regular home expenses, which is not enough to establish a beneficial interest claim.”</w:t>
      </w:r>
    </w:p>
    <w:p w14:paraId="3BA3C17C" w14:textId="77777777" w:rsidR="008425D2" w:rsidRDefault="008425D2" w:rsidP="001165D0">
      <w:pPr>
        <w:spacing w:line="360" w:lineRule="auto"/>
        <w:rPr>
          <w:rFonts w:ascii="Arial" w:hAnsi="Arial" w:cs="Arial"/>
          <w:bCs/>
        </w:rPr>
      </w:pPr>
    </w:p>
    <w:p w14:paraId="5556F3A8" w14:textId="70F84CC9" w:rsidR="008425D2" w:rsidRDefault="008425D2" w:rsidP="001165D0">
      <w:pPr>
        <w:spacing w:line="360" w:lineRule="auto"/>
        <w:rPr>
          <w:rFonts w:ascii="Arial" w:hAnsi="Arial" w:cs="Arial"/>
          <w:bCs/>
        </w:rPr>
      </w:pPr>
      <w:r>
        <w:rPr>
          <w:rFonts w:ascii="Arial" w:hAnsi="Arial" w:cs="Arial"/>
          <w:bCs/>
        </w:rPr>
        <w:t>“</w:t>
      </w:r>
      <w:r w:rsidR="00903513">
        <w:rPr>
          <w:rFonts w:ascii="Arial" w:hAnsi="Arial" w:cs="Arial"/>
          <w:bCs/>
        </w:rPr>
        <w:t>According</w:t>
      </w:r>
      <w:r>
        <w:rPr>
          <w:rFonts w:ascii="Arial" w:hAnsi="Arial" w:cs="Arial"/>
          <w:bCs/>
        </w:rPr>
        <w:t xml:space="preserve"> to the authorities, an infe</w:t>
      </w:r>
      <w:r w:rsidR="000C6ABC">
        <w:rPr>
          <w:rFonts w:ascii="Arial" w:hAnsi="Arial" w:cs="Arial"/>
          <w:bCs/>
        </w:rPr>
        <w:t>rence may only be supported by behaviour that is “unequivocally re</w:t>
      </w:r>
      <w:r w:rsidR="00903513">
        <w:rPr>
          <w:rFonts w:ascii="Arial" w:hAnsi="Arial" w:cs="Arial"/>
          <w:bCs/>
        </w:rPr>
        <w:t>ferable” to ownership. According to Burns v Burns, regular living costs fall short of that requirement.”</w:t>
      </w:r>
    </w:p>
    <w:p w14:paraId="2CC7A470" w14:textId="77777777" w:rsidR="00AF4C80" w:rsidRDefault="00AF4C80" w:rsidP="001165D0">
      <w:pPr>
        <w:spacing w:line="360" w:lineRule="auto"/>
        <w:rPr>
          <w:rFonts w:ascii="Arial" w:hAnsi="Arial" w:cs="Arial"/>
          <w:bCs/>
        </w:rPr>
      </w:pPr>
    </w:p>
    <w:p w14:paraId="4188A473" w14:textId="63BDF74D" w:rsidR="00AF4C80" w:rsidRDefault="00AF4C80" w:rsidP="001165D0">
      <w:pPr>
        <w:spacing w:line="360" w:lineRule="auto"/>
        <w:rPr>
          <w:rFonts w:ascii="Arial" w:hAnsi="Arial" w:cs="Arial"/>
          <w:bCs/>
        </w:rPr>
      </w:pPr>
      <w:r>
        <w:rPr>
          <w:rFonts w:ascii="Arial" w:hAnsi="Arial" w:cs="Arial"/>
          <w:bCs/>
        </w:rPr>
        <w:t xml:space="preserve">“Secondly, the </w:t>
      </w:r>
      <w:r w:rsidR="00286555">
        <w:rPr>
          <w:rFonts w:ascii="Arial" w:hAnsi="Arial" w:cs="Arial"/>
          <w:bCs/>
        </w:rPr>
        <w:t>£5,000 payment does not alter that position.”</w:t>
      </w:r>
    </w:p>
    <w:p w14:paraId="263CB0BD" w14:textId="77777777" w:rsidR="004274F1" w:rsidRDefault="004274F1" w:rsidP="001165D0">
      <w:pPr>
        <w:spacing w:line="360" w:lineRule="auto"/>
        <w:rPr>
          <w:rFonts w:ascii="Arial" w:hAnsi="Arial" w:cs="Arial"/>
          <w:bCs/>
        </w:rPr>
      </w:pPr>
    </w:p>
    <w:p w14:paraId="344544F2" w14:textId="3CEE01BE" w:rsidR="004274F1" w:rsidRDefault="004274F1" w:rsidP="001165D0">
      <w:pPr>
        <w:spacing w:line="360" w:lineRule="auto"/>
        <w:rPr>
          <w:rFonts w:ascii="Arial" w:hAnsi="Arial" w:cs="Arial"/>
          <w:bCs/>
        </w:rPr>
      </w:pPr>
      <w:r>
        <w:rPr>
          <w:rFonts w:ascii="Arial" w:hAnsi="Arial" w:cs="Arial"/>
          <w:bCs/>
        </w:rPr>
        <w:t>“</w:t>
      </w:r>
      <w:r w:rsidR="003928DE">
        <w:rPr>
          <w:rFonts w:ascii="Arial" w:hAnsi="Arial" w:cs="Arial"/>
          <w:bCs/>
        </w:rPr>
        <w:t>I</w:t>
      </w:r>
      <w:r>
        <w:rPr>
          <w:rFonts w:ascii="Arial" w:hAnsi="Arial" w:cs="Arial"/>
          <w:bCs/>
        </w:rPr>
        <w:t xml:space="preserve">t would be </w:t>
      </w:r>
      <w:r w:rsidR="008E407D">
        <w:rPr>
          <w:rFonts w:ascii="Arial" w:hAnsi="Arial" w:cs="Arial"/>
          <w:bCs/>
        </w:rPr>
        <w:t>incorrect to refer to the £5,000 payment as a contribution to the purchase of the property. It was not made immedia</w:t>
      </w:r>
      <w:r w:rsidR="0067223C">
        <w:rPr>
          <w:rFonts w:ascii="Arial" w:hAnsi="Arial" w:cs="Arial"/>
          <w:bCs/>
        </w:rPr>
        <w:t xml:space="preserve">tely with the purchase; it was not paid to the mortgage lender or the solicitors, and neither party ever defined </w:t>
      </w:r>
      <w:proofErr w:type="gramStart"/>
      <w:r w:rsidR="0067223C">
        <w:rPr>
          <w:rFonts w:ascii="Arial" w:hAnsi="Arial" w:cs="Arial"/>
          <w:bCs/>
        </w:rPr>
        <w:t>or</w:t>
      </w:r>
      <w:proofErr w:type="gramEnd"/>
      <w:r w:rsidR="0067223C">
        <w:rPr>
          <w:rFonts w:ascii="Arial" w:hAnsi="Arial" w:cs="Arial"/>
          <w:bCs/>
        </w:rPr>
        <w:t xml:space="preserve"> understood it as an ownership contribution. Rather, it served as a source</w:t>
      </w:r>
      <w:r w:rsidR="003928DE">
        <w:rPr>
          <w:rFonts w:ascii="Arial" w:hAnsi="Arial" w:cs="Arial"/>
          <w:bCs/>
        </w:rPr>
        <w:t xml:space="preserve"> of income for the home at a challenging time, and as such, it cannot be used to support any proprietary claim.”</w:t>
      </w:r>
    </w:p>
    <w:p w14:paraId="6893BBF9" w14:textId="77777777" w:rsidR="003928DE" w:rsidRDefault="003928DE" w:rsidP="001165D0">
      <w:pPr>
        <w:spacing w:line="360" w:lineRule="auto"/>
        <w:rPr>
          <w:rFonts w:ascii="Arial" w:hAnsi="Arial" w:cs="Arial"/>
          <w:bCs/>
        </w:rPr>
      </w:pPr>
    </w:p>
    <w:p w14:paraId="21AE3DDE" w14:textId="4B57A379" w:rsidR="003928DE" w:rsidRDefault="003928DE" w:rsidP="001165D0">
      <w:pPr>
        <w:spacing w:line="360" w:lineRule="auto"/>
        <w:rPr>
          <w:rFonts w:ascii="Arial" w:hAnsi="Arial" w:cs="Arial"/>
          <w:bCs/>
        </w:rPr>
      </w:pPr>
      <w:r>
        <w:rPr>
          <w:rFonts w:ascii="Arial" w:hAnsi="Arial" w:cs="Arial"/>
          <w:bCs/>
        </w:rPr>
        <w:t>“At most, it enabled the household to function during a difficult period. Geary v Rankine confirms that such indirect financial assistance does not generate beneficial interests.”</w:t>
      </w:r>
    </w:p>
    <w:p w14:paraId="3882AD89" w14:textId="77777777" w:rsidR="00686327" w:rsidRDefault="00686327" w:rsidP="001165D0">
      <w:pPr>
        <w:spacing w:line="360" w:lineRule="auto"/>
        <w:rPr>
          <w:rFonts w:ascii="Arial" w:hAnsi="Arial" w:cs="Arial"/>
          <w:bCs/>
        </w:rPr>
      </w:pPr>
    </w:p>
    <w:p w14:paraId="541D39F1" w14:textId="073B9054" w:rsidR="00686327" w:rsidRDefault="00686327" w:rsidP="001165D0">
      <w:pPr>
        <w:spacing w:line="360" w:lineRule="auto"/>
        <w:rPr>
          <w:rFonts w:ascii="Arial" w:hAnsi="Arial" w:cs="Arial"/>
          <w:bCs/>
        </w:rPr>
      </w:pPr>
      <w:r>
        <w:rPr>
          <w:rFonts w:ascii="Arial" w:hAnsi="Arial" w:cs="Arial"/>
          <w:bCs/>
        </w:rPr>
        <w:t>“Third, the parties’ financial</w:t>
      </w:r>
      <w:r w:rsidR="006F7A8D">
        <w:rPr>
          <w:rFonts w:ascii="Arial" w:hAnsi="Arial" w:cs="Arial"/>
          <w:bCs/>
        </w:rPr>
        <w:t xml:space="preserve"> arrangements point decisively away from shared ownership.</w:t>
      </w:r>
      <w:r w:rsidR="00891F9F">
        <w:rPr>
          <w:rFonts w:ascii="Arial" w:hAnsi="Arial" w:cs="Arial"/>
          <w:bCs/>
        </w:rPr>
        <w:t>”</w:t>
      </w:r>
    </w:p>
    <w:p w14:paraId="4CD6453A" w14:textId="77777777" w:rsidR="00891F9F" w:rsidRDefault="00891F9F" w:rsidP="001165D0">
      <w:pPr>
        <w:spacing w:line="360" w:lineRule="auto"/>
        <w:rPr>
          <w:rFonts w:ascii="Arial" w:hAnsi="Arial" w:cs="Arial"/>
          <w:bCs/>
        </w:rPr>
      </w:pPr>
    </w:p>
    <w:p w14:paraId="263B9958" w14:textId="41312637" w:rsidR="00891F9F" w:rsidRDefault="00891F9F" w:rsidP="001165D0">
      <w:pPr>
        <w:spacing w:line="360" w:lineRule="auto"/>
        <w:rPr>
          <w:rFonts w:ascii="Arial" w:hAnsi="Arial" w:cs="Arial"/>
          <w:bCs/>
        </w:rPr>
      </w:pPr>
      <w:r>
        <w:rPr>
          <w:rFonts w:ascii="Arial" w:hAnsi="Arial" w:cs="Arial"/>
          <w:bCs/>
        </w:rPr>
        <w:t>“The parties’ financial agreements</w:t>
      </w:r>
      <w:r w:rsidR="00ED625A">
        <w:rPr>
          <w:rFonts w:ascii="Arial" w:hAnsi="Arial" w:cs="Arial"/>
          <w:bCs/>
        </w:rPr>
        <w:t xml:space="preserve"> clearly show their</w:t>
      </w:r>
      <w:r w:rsidR="00537A54">
        <w:rPr>
          <w:rFonts w:ascii="Arial" w:hAnsi="Arial" w:cs="Arial"/>
          <w:bCs/>
        </w:rPr>
        <w:t xml:space="preserve"> separate ownership. The </w:t>
      </w:r>
      <w:r w:rsidR="00C5602A">
        <w:rPr>
          <w:rFonts w:ascii="Arial" w:hAnsi="Arial" w:cs="Arial"/>
          <w:bCs/>
        </w:rPr>
        <w:t xml:space="preserve">claimant had no access to or </w:t>
      </w:r>
      <w:r w:rsidR="006713B8">
        <w:rPr>
          <w:rFonts w:ascii="Arial" w:hAnsi="Arial" w:cs="Arial"/>
          <w:bCs/>
        </w:rPr>
        <w:t>involvement with mortgage information or payments, and the defendant was always solely responsible for the mortgage</w:t>
      </w:r>
      <w:r w:rsidR="00E37707">
        <w:rPr>
          <w:rFonts w:ascii="Arial" w:hAnsi="Arial" w:cs="Arial"/>
          <w:bCs/>
        </w:rPr>
        <w:t>. There was no shared financial arrangement</w:t>
      </w:r>
      <w:r w:rsidR="00E8770D">
        <w:rPr>
          <w:rFonts w:ascii="Arial" w:hAnsi="Arial" w:cs="Arial"/>
          <w:bCs/>
        </w:rPr>
        <w:t xml:space="preserve"> </w:t>
      </w:r>
      <w:r w:rsidR="00226FFC">
        <w:rPr>
          <w:rFonts w:ascii="Arial" w:hAnsi="Arial" w:cs="Arial"/>
          <w:bCs/>
        </w:rPr>
        <w:t>regarding</w:t>
      </w:r>
      <w:r w:rsidR="00E8770D">
        <w:rPr>
          <w:rFonts w:ascii="Arial" w:hAnsi="Arial" w:cs="Arial"/>
          <w:bCs/>
        </w:rPr>
        <w:t xml:space="preserve"> property ownership, as evidenced by the joint account</w:t>
      </w:r>
      <w:r w:rsidR="00226FFC">
        <w:rPr>
          <w:rFonts w:ascii="Arial" w:hAnsi="Arial" w:cs="Arial"/>
          <w:bCs/>
        </w:rPr>
        <w:t>’s primary use for home costs.</w:t>
      </w:r>
      <w:r w:rsidR="007A38A8">
        <w:rPr>
          <w:rFonts w:ascii="Arial" w:hAnsi="Arial" w:cs="Arial"/>
          <w:bCs/>
        </w:rPr>
        <w:t>”</w:t>
      </w:r>
    </w:p>
    <w:p w14:paraId="668293D9" w14:textId="77777777" w:rsidR="007A38A8" w:rsidRDefault="007A38A8" w:rsidP="001165D0">
      <w:pPr>
        <w:spacing w:line="360" w:lineRule="auto"/>
        <w:rPr>
          <w:rFonts w:ascii="Arial" w:hAnsi="Arial" w:cs="Arial"/>
          <w:bCs/>
        </w:rPr>
      </w:pPr>
    </w:p>
    <w:p w14:paraId="471803DB" w14:textId="264ADA11" w:rsidR="007A38A8" w:rsidRDefault="007A38A8" w:rsidP="001165D0">
      <w:pPr>
        <w:spacing w:line="360" w:lineRule="auto"/>
        <w:rPr>
          <w:rFonts w:ascii="Arial" w:hAnsi="Arial" w:cs="Arial"/>
          <w:bCs/>
        </w:rPr>
      </w:pPr>
      <w:r>
        <w:rPr>
          <w:rFonts w:ascii="Arial" w:hAnsi="Arial" w:cs="Arial"/>
          <w:bCs/>
        </w:rPr>
        <w:t>“</w:t>
      </w:r>
      <w:r w:rsidR="006C3F4C">
        <w:rPr>
          <w:rFonts w:ascii="Arial" w:hAnsi="Arial" w:cs="Arial"/>
          <w:bCs/>
        </w:rPr>
        <w:t>A</w:t>
      </w:r>
      <w:r>
        <w:rPr>
          <w:rFonts w:ascii="Arial" w:hAnsi="Arial" w:cs="Arial"/>
          <w:bCs/>
        </w:rPr>
        <w:t>s Stack v Dowden confirms, financial separation is a strong indicator o</w:t>
      </w:r>
      <w:r w:rsidR="006C3F4C">
        <w:rPr>
          <w:rFonts w:ascii="Arial" w:hAnsi="Arial" w:cs="Arial"/>
          <w:bCs/>
        </w:rPr>
        <w:t>f separate ownership.”</w:t>
      </w:r>
    </w:p>
    <w:p w14:paraId="0243E8B6" w14:textId="77777777" w:rsidR="00901EF1" w:rsidRDefault="00901EF1" w:rsidP="001165D0">
      <w:pPr>
        <w:spacing w:line="360" w:lineRule="auto"/>
        <w:rPr>
          <w:rFonts w:ascii="Arial" w:hAnsi="Arial" w:cs="Arial"/>
          <w:bCs/>
        </w:rPr>
      </w:pPr>
    </w:p>
    <w:p w14:paraId="51B3F910" w14:textId="3CE6EDF7" w:rsidR="00304F68" w:rsidRDefault="00304F68" w:rsidP="001165D0">
      <w:pPr>
        <w:spacing w:line="360" w:lineRule="auto"/>
        <w:rPr>
          <w:rFonts w:ascii="Arial" w:hAnsi="Arial" w:cs="Arial"/>
          <w:bCs/>
        </w:rPr>
      </w:pPr>
      <w:r>
        <w:rPr>
          <w:rFonts w:ascii="Arial" w:hAnsi="Arial" w:cs="Arial"/>
          <w:bCs/>
        </w:rPr>
        <w:lastRenderedPageBreak/>
        <w:t>“</w:t>
      </w:r>
      <w:r w:rsidR="00901EF1">
        <w:rPr>
          <w:rFonts w:ascii="Arial" w:hAnsi="Arial" w:cs="Arial"/>
          <w:bCs/>
        </w:rPr>
        <w:t>W</w:t>
      </w:r>
      <w:r>
        <w:rPr>
          <w:rFonts w:ascii="Arial" w:hAnsi="Arial" w:cs="Arial"/>
          <w:bCs/>
        </w:rPr>
        <w:t>hen considered together, there is not enough evidence for the Court to</w:t>
      </w:r>
      <w:r w:rsidR="00901EF1">
        <w:rPr>
          <w:rFonts w:ascii="Arial" w:hAnsi="Arial" w:cs="Arial"/>
          <w:bCs/>
        </w:rPr>
        <w:t xml:space="preserve"> conclude a shared goal.</w:t>
      </w:r>
    </w:p>
    <w:p w14:paraId="559667EC" w14:textId="77777777" w:rsidR="0066277C" w:rsidRDefault="0066277C" w:rsidP="001165D0">
      <w:pPr>
        <w:spacing w:line="360" w:lineRule="auto"/>
        <w:rPr>
          <w:rFonts w:ascii="Arial" w:hAnsi="Arial" w:cs="Arial"/>
          <w:bCs/>
        </w:rPr>
      </w:pPr>
    </w:p>
    <w:p w14:paraId="3B54432B" w14:textId="46E24F82" w:rsidR="0066277C" w:rsidRDefault="0066277C" w:rsidP="001165D0">
      <w:pPr>
        <w:spacing w:line="360" w:lineRule="auto"/>
        <w:rPr>
          <w:rFonts w:ascii="Arial" w:hAnsi="Arial" w:cs="Arial"/>
          <w:b/>
        </w:rPr>
      </w:pPr>
      <w:r w:rsidRPr="0066277C">
        <w:rPr>
          <w:rFonts w:ascii="Arial" w:hAnsi="Arial" w:cs="Arial"/>
          <w:b/>
        </w:rPr>
        <w:t>No determent referable to ownership</w:t>
      </w:r>
    </w:p>
    <w:p w14:paraId="43ADE38C" w14:textId="77777777" w:rsidR="00FE62DC" w:rsidRDefault="00FE62DC" w:rsidP="001165D0">
      <w:pPr>
        <w:spacing w:line="360" w:lineRule="auto"/>
        <w:rPr>
          <w:rFonts w:ascii="Arial" w:hAnsi="Arial" w:cs="Arial"/>
          <w:b/>
        </w:rPr>
      </w:pPr>
    </w:p>
    <w:p w14:paraId="5E3E55BB" w14:textId="40C2CFA0" w:rsidR="00FE62DC" w:rsidRDefault="00FE62DC" w:rsidP="001165D0">
      <w:pPr>
        <w:spacing w:line="360" w:lineRule="auto"/>
        <w:rPr>
          <w:rFonts w:ascii="Arial" w:hAnsi="Arial" w:cs="Arial"/>
          <w:bCs/>
        </w:rPr>
      </w:pPr>
      <w:r w:rsidRPr="00E50FC1">
        <w:rPr>
          <w:rFonts w:ascii="Arial" w:hAnsi="Arial" w:cs="Arial"/>
          <w:bCs/>
        </w:rPr>
        <w:t>“</w:t>
      </w:r>
      <w:r w:rsidR="00E50FC1" w:rsidRPr="00E50FC1">
        <w:rPr>
          <w:rFonts w:ascii="Arial" w:hAnsi="Arial" w:cs="Arial"/>
          <w:bCs/>
        </w:rPr>
        <w:t>T</w:t>
      </w:r>
      <w:r w:rsidRPr="00E50FC1">
        <w:rPr>
          <w:rFonts w:ascii="Arial" w:hAnsi="Arial" w:cs="Arial"/>
          <w:bCs/>
        </w:rPr>
        <w:t xml:space="preserve">he claimant still fails to establish any detriment sufficient to support a constructive trust, even if the Court were to find </w:t>
      </w:r>
      <w:r w:rsidR="00703CD6" w:rsidRPr="00E50FC1">
        <w:rPr>
          <w:rFonts w:ascii="Arial" w:hAnsi="Arial" w:cs="Arial"/>
          <w:bCs/>
        </w:rPr>
        <w:t>that some form of common intention existed, contrary to the defendant’s primary case.”</w:t>
      </w:r>
    </w:p>
    <w:p w14:paraId="20F67D7E" w14:textId="77777777" w:rsidR="003C29D5" w:rsidRDefault="003C29D5" w:rsidP="001165D0">
      <w:pPr>
        <w:spacing w:line="360" w:lineRule="auto"/>
        <w:rPr>
          <w:rFonts w:ascii="Arial" w:hAnsi="Arial" w:cs="Arial"/>
          <w:bCs/>
        </w:rPr>
      </w:pPr>
    </w:p>
    <w:p w14:paraId="46111CD1" w14:textId="227DA318" w:rsidR="003C29D5" w:rsidRDefault="003C29D5" w:rsidP="001165D0">
      <w:pPr>
        <w:spacing w:line="360" w:lineRule="auto"/>
        <w:rPr>
          <w:rFonts w:ascii="Arial" w:hAnsi="Arial" w:cs="Arial"/>
          <w:bCs/>
        </w:rPr>
      </w:pPr>
      <w:r>
        <w:rPr>
          <w:rFonts w:ascii="Arial" w:hAnsi="Arial" w:cs="Arial"/>
          <w:bCs/>
        </w:rPr>
        <w:t>“The claimant’s actions fail to demonstrate enough harm to justify a constructive trust</w:t>
      </w:r>
      <w:r w:rsidR="00B97368">
        <w:rPr>
          <w:rFonts w:ascii="Arial" w:hAnsi="Arial" w:cs="Arial"/>
          <w:bCs/>
        </w:rPr>
        <w:t>. She made no professional decisions, no personal sacrifices, and no investmen</w:t>
      </w:r>
      <w:r w:rsidR="002547A5">
        <w:rPr>
          <w:rFonts w:ascii="Arial" w:hAnsi="Arial" w:cs="Arial"/>
          <w:bCs/>
        </w:rPr>
        <w:t>t</w:t>
      </w:r>
      <w:r w:rsidR="00B97368">
        <w:rPr>
          <w:rFonts w:ascii="Arial" w:hAnsi="Arial" w:cs="Arial"/>
          <w:bCs/>
        </w:rPr>
        <w:t>s related to property ownership that she would not have made in a domestic partnership. Without detriment that i</w:t>
      </w:r>
      <w:r w:rsidR="009645E4">
        <w:rPr>
          <w:rFonts w:ascii="Arial" w:hAnsi="Arial" w:cs="Arial"/>
          <w:bCs/>
        </w:rPr>
        <w:t>s both substantial and clearly link</w:t>
      </w:r>
      <w:r w:rsidR="002547A5">
        <w:rPr>
          <w:rFonts w:ascii="Arial" w:hAnsi="Arial" w:cs="Arial"/>
          <w:bCs/>
        </w:rPr>
        <w:t>ed to a common intention to share ownership, no constructive trust can arise.”</w:t>
      </w:r>
    </w:p>
    <w:p w14:paraId="5C39A4BE" w14:textId="77777777" w:rsidR="006A2CB7" w:rsidRDefault="006A2CB7" w:rsidP="001165D0">
      <w:pPr>
        <w:spacing w:line="360" w:lineRule="auto"/>
        <w:rPr>
          <w:rFonts w:ascii="Arial" w:hAnsi="Arial" w:cs="Arial"/>
          <w:bCs/>
        </w:rPr>
      </w:pPr>
    </w:p>
    <w:p w14:paraId="3D6DABED" w14:textId="36957CE7" w:rsidR="004E5466" w:rsidRDefault="006A2CB7" w:rsidP="001165D0">
      <w:pPr>
        <w:spacing w:line="360" w:lineRule="auto"/>
        <w:rPr>
          <w:rFonts w:ascii="Arial" w:hAnsi="Arial" w:cs="Arial"/>
          <w:b/>
        </w:rPr>
      </w:pPr>
      <w:r w:rsidRPr="006A2CB7">
        <w:rPr>
          <w:rFonts w:ascii="Arial" w:hAnsi="Arial" w:cs="Arial"/>
          <w:b/>
        </w:rPr>
        <w:t>Proprietary estoppel</w:t>
      </w:r>
    </w:p>
    <w:p w14:paraId="41D18899" w14:textId="77777777" w:rsidR="004E5466" w:rsidRDefault="004E5466" w:rsidP="001165D0">
      <w:pPr>
        <w:spacing w:line="360" w:lineRule="auto"/>
        <w:rPr>
          <w:rFonts w:ascii="Arial" w:hAnsi="Arial" w:cs="Arial"/>
          <w:b/>
        </w:rPr>
      </w:pPr>
    </w:p>
    <w:p w14:paraId="1E7DC94E" w14:textId="5FB76E96" w:rsidR="004E5466" w:rsidRPr="002C1F28" w:rsidRDefault="004E5466" w:rsidP="001165D0">
      <w:pPr>
        <w:spacing w:line="360" w:lineRule="auto"/>
        <w:rPr>
          <w:rFonts w:ascii="Arial" w:hAnsi="Arial" w:cs="Arial"/>
          <w:bCs/>
        </w:rPr>
      </w:pPr>
      <w:r w:rsidRPr="002C1F28">
        <w:rPr>
          <w:rFonts w:ascii="Arial" w:hAnsi="Arial" w:cs="Arial"/>
          <w:bCs/>
        </w:rPr>
        <w:t>“Proprietary</w:t>
      </w:r>
      <w:r w:rsidR="00C30493" w:rsidRPr="002C1F28">
        <w:rPr>
          <w:rFonts w:ascii="Arial" w:hAnsi="Arial" w:cs="Arial"/>
          <w:bCs/>
        </w:rPr>
        <w:t xml:space="preserve"> estoppel has been presented by the claimant as an alternative justification. Nonetheless, the defendant argues that this reasoning fails</w:t>
      </w:r>
      <w:r w:rsidR="00045B13" w:rsidRPr="002C1F28">
        <w:rPr>
          <w:rFonts w:ascii="Arial" w:hAnsi="Arial" w:cs="Arial"/>
          <w:bCs/>
        </w:rPr>
        <w:t xml:space="preserve"> throughout the whole analysis. There is no clear or obvious guarantee of property rights, no reliance by the claimant that would result in an equitable interest, and no significant harm that would just</w:t>
      </w:r>
      <w:r w:rsidR="0092247C" w:rsidRPr="002C1F28">
        <w:rPr>
          <w:rFonts w:ascii="Arial" w:hAnsi="Arial" w:cs="Arial"/>
          <w:bCs/>
        </w:rPr>
        <w:t>ify the Court’s action. Therefore, the claim is unsuccessful.”</w:t>
      </w:r>
    </w:p>
    <w:p w14:paraId="12466515" w14:textId="77777777" w:rsidR="00EB4F57" w:rsidRDefault="00EB4F57" w:rsidP="001165D0">
      <w:pPr>
        <w:spacing w:line="360" w:lineRule="auto"/>
        <w:rPr>
          <w:rFonts w:ascii="Arial" w:hAnsi="Arial" w:cs="Arial"/>
          <w:b/>
        </w:rPr>
      </w:pPr>
    </w:p>
    <w:p w14:paraId="77017DED" w14:textId="468466F1" w:rsidR="00EB4F57" w:rsidRDefault="00EB4F57" w:rsidP="001165D0">
      <w:pPr>
        <w:spacing w:line="360" w:lineRule="auto"/>
        <w:rPr>
          <w:rFonts w:ascii="Arial" w:hAnsi="Arial" w:cs="Arial"/>
          <w:b/>
        </w:rPr>
      </w:pPr>
      <w:r>
        <w:rPr>
          <w:rFonts w:ascii="Arial" w:hAnsi="Arial" w:cs="Arial"/>
          <w:b/>
        </w:rPr>
        <w:t>Legal framework</w:t>
      </w:r>
    </w:p>
    <w:p w14:paraId="2F4F1230" w14:textId="77777777" w:rsidR="005D4972" w:rsidRDefault="005D4972" w:rsidP="001165D0">
      <w:pPr>
        <w:spacing w:line="360" w:lineRule="auto"/>
        <w:rPr>
          <w:rFonts w:ascii="Arial" w:hAnsi="Arial" w:cs="Arial"/>
          <w:b/>
        </w:rPr>
      </w:pPr>
    </w:p>
    <w:p w14:paraId="5C8EEB6A" w14:textId="08D1C91F" w:rsidR="005D4972" w:rsidRDefault="005D4972" w:rsidP="001165D0">
      <w:pPr>
        <w:spacing w:line="360" w:lineRule="auto"/>
        <w:rPr>
          <w:rFonts w:ascii="Arial" w:hAnsi="Arial" w:cs="Arial"/>
          <w:bCs/>
        </w:rPr>
      </w:pPr>
      <w:r w:rsidRPr="00C84E15">
        <w:rPr>
          <w:rFonts w:ascii="Arial" w:hAnsi="Arial" w:cs="Arial"/>
          <w:bCs/>
        </w:rPr>
        <w:t xml:space="preserve">“The claimant must establish three crucial components under the strict law of proprietary estoppel: first, the legal owner’s clear and </w:t>
      </w:r>
      <w:r w:rsidR="003F39FA" w:rsidRPr="00C84E15">
        <w:rPr>
          <w:rFonts w:ascii="Arial" w:hAnsi="Arial" w:cs="Arial"/>
          <w:bCs/>
        </w:rPr>
        <w:t xml:space="preserve">straightforward assurance of the property’s rights; second, that the </w:t>
      </w:r>
      <w:r w:rsidR="00116C1F" w:rsidRPr="00C84E15">
        <w:rPr>
          <w:rFonts w:ascii="Arial" w:hAnsi="Arial" w:cs="Arial"/>
          <w:bCs/>
        </w:rPr>
        <w:t>claimant</w:t>
      </w:r>
      <w:r w:rsidR="003F39FA" w:rsidRPr="00C84E15">
        <w:rPr>
          <w:rFonts w:ascii="Arial" w:hAnsi="Arial" w:cs="Arial"/>
          <w:bCs/>
        </w:rPr>
        <w:t xml:space="preserve"> relies on </w:t>
      </w:r>
      <w:r w:rsidR="00116C1F" w:rsidRPr="00C84E15">
        <w:rPr>
          <w:rFonts w:ascii="Arial" w:hAnsi="Arial" w:cs="Arial"/>
          <w:bCs/>
        </w:rPr>
        <w:t xml:space="preserve">such promise; and third, showing the claimant’s reliance directly caused a </w:t>
      </w:r>
      <w:r w:rsidR="00C84E15" w:rsidRPr="00C84E15">
        <w:rPr>
          <w:rFonts w:ascii="Arial" w:hAnsi="Arial" w:cs="Arial"/>
          <w:bCs/>
        </w:rPr>
        <w:t>genuine and substantial harm. A proprietary estoppel claim must be unsuccessful if any one of these elements is missing.”</w:t>
      </w:r>
    </w:p>
    <w:p w14:paraId="52A543B9" w14:textId="77777777" w:rsidR="00C84E15" w:rsidRDefault="00C84E15" w:rsidP="001165D0">
      <w:pPr>
        <w:spacing w:line="360" w:lineRule="auto"/>
        <w:rPr>
          <w:rFonts w:ascii="Arial" w:hAnsi="Arial" w:cs="Arial"/>
          <w:bCs/>
        </w:rPr>
      </w:pPr>
    </w:p>
    <w:p w14:paraId="61D0E04A" w14:textId="6A3583BE" w:rsidR="00C84E15" w:rsidRDefault="00C84E15" w:rsidP="001165D0">
      <w:pPr>
        <w:spacing w:line="360" w:lineRule="auto"/>
        <w:rPr>
          <w:rFonts w:ascii="Arial" w:hAnsi="Arial" w:cs="Arial"/>
          <w:bCs/>
        </w:rPr>
      </w:pPr>
      <w:r>
        <w:rPr>
          <w:rFonts w:ascii="Arial" w:hAnsi="Arial" w:cs="Arial"/>
          <w:bCs/>
        </w:rPr>
        <w:t>“As stated in Thorner v Major, the assurance must be sufficiently clear in context, and the detriment must be substantial.”</w:t>
      </w:r>
    </w:p>
    <w:p w14:paraId="353F3E9C" w14:textId="16DF6696" w:rsidR="0040086D" w:rsidRDefault="0040086D" w:rsidP="001165D0">
      <w:pPr>
        <w:spacing w:line="360" w:lineRule="auto"/>
        <w:rPr>
          <w:rFonts w:ascii="Arial" w:hAnsi="Arial" w:cs="Arial"/>
          <w:bCs/>
        </w:rPr>
      </w:pPr>
      <w:r>
        <w:rPr>
          <w:rFonts w:ascii="Arial" w:hAnsi="Arial" w:cs="Arial"/>
          <w:bCs/>
        </w:rPr>
        <w:lastRenderedPageBreak/>
        <w:t>“</w:t>
      </w:r>
      <w:r w:rsidR="002C1721">
        <w:rPr>
          <w:rFonts w:ascii="Arial" w:hAnsi="Arial" w:cs="Arial"/>
          <w:bCs/>
        </w:rPr>
        <w:t>Importantly</w:t>
      </w:r>
      <w:r>
        <w:rPr>
          <w:rFonts w:ascii="Arial" w:hAnsi="Arial" w:cs="Arial"/>
          <w:bCs/>
        </w:rPr>
        <w:t>, not every unfairness engages equity. The doctrine is not a vehicle for r</w:t>
      </w:r>
      <w:r w:rsidR="002C1721">
        <w:rPr>
          <w:rFonts w:ascii="Arial" w:hAnsi="Arial" w:cs="Arial"/>
          <w:bCs/>
        </w:rPr>
        <w:t>edistributing property following a relationship breakdown.</w:t>
      </w:r>
    </w:p>
    <w:p w14:paraId="0199D370" w14:textId="77777777" w:rsidR="003F7EE9" w:rsidRDefault="003F7EE9" w:rsidP="001165D0">
      <w:pPr>
        <w:spacing w:line="360" w:lineRule="auto"/>
        <w:rPr>
          <w:rFonts w:ascii="Arial" w:hAnsi="Arial" w:cs="Arial"/>
          <w:bCs/>
        </w:rPr>
      </w:pPr>
    </w:p>
    <w:p w14:paraId="11CAD5F2" w14:textId="7B029627" w:rsidR="003F7EE9" w:rsidRDefault="003F7EE9" w:rsidP="001165D0">
      <w:pPr>
        <w:spacing w:line="360" w:lineRule="auto"/>
        <w:rPr>
          <w:rFonts w:ascii="Arial" w:hAnsi="Arial" w:cs="Arial"/>
          <w:b/>
        </w:rPr>
      </w:pPr>
      <w:r w:rsidRPr="003F7EE9">
        <w:rPr>
          <w:rFonts w:ascii="Arial" w:hAnsi="Arial" w:cs="Arial"/>
          <w:b/>
        </w:rPr>
        <w:t>No clear assurance</w:t>
      </w:r>
    </w:p>
    <w:p w14:paraId="07C09584" w14:textId="77777777" w:rsidR="000F2194" w:rsidRDefault="000F2194" w:rsidP="001165D0">
      <w:pPr>
        <w:spacing w:line="360" w:lineRule="auto"/>
        <w:rPr>
          <w:rFonts w:ascii="Arial" w:hAnsi="Arial" w:cs="Arial"/>
          <w:b/>
        </w:rPr>
      </w:pPr>
    </w:p>
    <w:p w14:paraId="35BE4C84" w14:textId="4253BE36" w:rsidR="000F2194" w:rsidRPr="00264D96" w:rsidRDefault="000F2194" w:rsidP="001165D0">
      <w:pPr>
        <w:spacing w:line="360" w:lineRule="auto"/>
        <w:rPr>
          <w:rFonts w:ascii="Arial" w:hAnsi="Arial" w:cs="Arial"/>
          <w:bCs/>
        </w:rPr>
      </w:pPr>
      <w:r w:rsidRPr="00264D96">
        <w:rPr>
          <w:rFonts w:ascii="Arial" w:hAnsi="Arial" w:cs="Arial"/>
          <w:bCs/>
        </w:rPr>
        <w:t>“The claimant bases her argument on phrases like ‘this is our home’ and ‘we’re building a future together.’ However, rather than</w:t>
      </w:r>
      <w:r w:rsidR="00B521AC" w:rsidRPr="00264D96">
        <w:rPr>
          <w:rFonts w:ascii="Arial" w:hAnsi="Arial" w:cs="Arial"/>
          <w:bCs/>
        </w:rPr>
        <w:t xml:space="preserve"> expressing any desire to provide proprietary rights, these remarks are obviously relational in origin and how emotional commitment. They cannot establish a constructive trust</w:t>
      </w:r>
      <w:r w:rsidR="00C70F93" w:rsidRPr="00264D96">
        <w:rPr>
          <w:rFonts w:ascii="Arial" w:hAnsi="Arial" w:cs="Arial"/>
          <w:bCs/>
        </w:rPr>
        <w:t xml:space="preserve"> </w:t>
      </w:r>
      <w:r w:rsidR="003901BB" w:rsidRPr="00264D96">
        <w:rPr>
          <w:rFonts w:ascii="Arial" w:hAnsi="Arial" w:cs="Arial"/>
          <w:bCs/>
        </w:rPr>
        <w:t xml:space="preserve">or </w:t>
      </w:r>
      <w:r w:rsidR="00C70F93" w:rsidRPr="00264D96">
        <w:rPr>
          <w:rFonts w:ascii="Arial" w:hAnsi="Arial" w:cs="Arial"/>
          <w:bCs/>
        </w:rPr>
        <w:t>a claim based on proprietary estoppel since they do not cons</w:t>
      </w:r>
      <w:r w:rsidR="001A54B8" w:rsidRPr="00264D96">
        <w:rPr>
          <w:rFonts w:ascii="Arial" w:hAnsi="Arial" w:cs="Arial"/>
          <w:bCs/>
        </w:rPr>
        <w:t>titute specific or clear</w:t>
      </w:r>
      <w:r w:rsidR="00257F1A" w:rsidRPr="00264D96">
        <w:rPr>
          <w:rFonts w:ascii="Arial" w:hAnsi="Arial" w:cs="Arial"/>
          <w:bCs/>
        </w:rPr>
        <w:t xml:space="preserve"> guarantees on property ownership.”</w:t>
      </w:r>
    </w:p>
    <w:p w14:paraId="37FBC45D" w14:textId="77777777" w:rsidR="00257F1A" w:rsidRPr="00264D96" w:rsidRDefault="00257F1A" w:rsidP="001165D0">
      <w:pPr>
        <w:spacing w:line="360" w:lineRule="auto"/>
        <w:rPr>
          <w:rFonts w:ascii="Arial" w:hAnsi="Arial" w:cs="Arial"/>
          <w:bCs/>
        </w:rPr>
      </w:pPr>
    </w:p>
    <w:p w14:paraId="7E39333E" w14:textId="3463DA11" w:rsidR="00257F1A" w:rsidRPr="00264D96" w:rsidRDefault="00257F1A" w:rsidP="001165D0">
      <w:pPr>
        <w:spacing w:line="360" w:lineRule="auto"/>
        <w:rPr>
          <w:rFonts w:ascii="Arial" w:hAnsi="Arial" w:cs="Arial"/>
          <w:bCs/>
        </w:rPr>
      </w:pPr>
      <w:r w:rsidRPr="00264D96">
        <w:rPr>
          <w:rFonts w:ascii="Arial" w:hAnsi="Arial" w:cs="Arial"/>
          <w:bCs/>
        </w:rPr>
        <w:t>“In James v Thomas, the Court of Appeal held that expression of shared life or future security is insufficient to amount to assurance of property rights.”</w:t>
      </w:r>
    </w:p>
    <w:p w14:paraId="0CAAF1B7" w14:textId="77777777" w:rsidR="00257F1A" w:rsidRPr="00264D96" w:rsidRDefault="00257F1A" w:rsidP="001165D0">
      <w:pPr>
        <w:spacing w:line="360" w:lineRule="auto"/>
        <w:rPr>
          <w:rFonts w:ascii="Arial" w:hAnsi="Arial" w:cs="Arial"/>
          <w:bCs/>
        </w:rPr>
      </w:pPr>
    </w:p>
    <w:p w14:paraId="62AB42DD" w14:textId="00A6892B" w:rsidR="00257F1A" w:rsidRDefault="00257F1A" w:rsidP="001165D0">
      <w:pPr>
        <w:spacing w:line="360" w:lineRule="auto"/>
        <w:rPr>
          <w:rFonts w:ascii="Arial" w:hAnsi="Arial" w:cs="Arial"/>
          <w:bCs/>
        </w:rPr>
      </w:pPr>
      <w:r w:rsidRPr="00264D96">
        <w:rPr>
          <w:rFonts w:ascii="Arial" w:hAnsi="Arial" w:cs="Arial"/>
          <w:bCs/>
        </w:rPr>
        <w:t>“</w:t>
      </w:r>
      <w:r w:rsidR="00487745" w:rsidRPr="00264D96">
        <w:rPr>
          <w:rFonts w:ascii="Arial" w:hAnsi="Arial" w:cs="Arial"/>
          <w:bCs/>
        </w:rPr>
        <w:t>W</w:t>
      </w:r>
      <w:r w:rsidRPr="00264D96">
        <w:rPr>
          <w:rFonts w:ascii="Arial" w:hAnsi="Arial" w:cs="Arial"/>
          <w:bCs/>
        </w:rPr>
        <w:t>ithout</w:t>
      </w:r>
      <w:r w:rsidR="009F3839" w:rsidRPr="00264D96">
        <w:rPr>
          <w:rFonts w:ascii="Arial" w:hAnsi="Arial" w:cs="Arial"/>
          <w:bCs/>
        </w:rPr>
        <w:t xml:space="preserve"> specific guarantees</w:t>
      </w:r>
      <w:r w:rsidR="000F2E11" w:rsidRPr="00264D96">
        <w:rPr>
          <w:rFonts w:ascii="Arial" w:hAnsi="Arial" w:cs="Arial"/>
          <w:bCs/>
        </w:rPr>
        <w:t xml:space="preserve"> about ownership, such language cannot groun</w:t>
      </w:r>
      <w:r w:rsidR="00487745" w:rsidRPr="00264D96">
        <w:rPr>
          <w:rFonts w:ascii="Arial" w:hAnsi="Arial" w:cs="Arial"/>
          <w:bCs/>
        </w:rPr>
        <w:t>d</w:t>
      </w:r>
      <w:r w:rsidR="000F2E11" w:rsidRPr="00264D96">
        <w:rPr>
          <w:rFonts w:ascii="Arial" w:hAnsi="Arial" w:cs="Arial"/>
          <w:bCs/>
        </w:rPr>
        <w:t xml:space="preserve"> estoppel. The defendant never promised the claimant a share of the property,</w:t>
      </w:r>
      <w:r w:rsidR="00487745" w:rsidRPr="00264D96">
        <w:rPr>
          <w:rFonts w:ascii="Arial" w:hAnsi="Arial" w:cs="Arial"/>
          <w:bCs/>
        </w:rPr>
        <w:t xml:space="preserve"> expressly or implicitly.”</w:t>
      </w:r>
    </w:p>
    <w:p w14:paraId="05CA4F3B" w14:textId="77777777" w:rsidR="00B33133" w:rsidRDefault="00B33133" w:rsidP="001165D0">
      <w:pPr>
        <w:spacing w:line="360" w:lineRule="auto"/>
        <w:rPr>
          <w:rFonts w:ascii="Arial" w:hAnsi="Arial" w:cs="Arial"/>
          <w:bCs/>
        </w:rPr>
      </w:pPr>
    </w:p>
    <w:p w14:paraId="7DB284ED" w14:textId="796A537C" w:rsidR="00B33133" w:rsidRDefault="00B33133" w:rsidP="001165D0">
      <w:pPr>
        <w:spacing w:line="360" w:lineRule="auto"/>
        <w:rPr>
          <w:rFonts w:ascii="Arial" w:hAnsi="Arial" w:cs="Arial"/>
          <w:b/>
        </w:rPr>
      </w:pPr>
      <w:r w:rsidRPr="00B33133">
        <w:rPr>
          <w:rFonts w:ascii="Arial" w:hAnsi="Arial" w:cs="Arial"/>
          <w:b/>
        </w:rPr>
        <w:t>No reliance</w:t>
      </w:r>
    </w:p>
    <w:p w14:paraId="667574BC" w14:textId="77777777" w:rsidR="00B33133" w:rsidRDefault="00B33133" w:rsidP="001165D0">
      <w:pPr>
        <w:spacing w:line="360" w:lineRule="auto"/>
        <w:rPr>
          <w:rFonts w:ascii="Arial" w:hAnsi="Arial" w:cs="Arial"/>
          <w:b/>
        </w:rPr>
      </w:pPr>
    </w:p>
    <w:p w14:paraId="4A39D304" w14:textId="1B1DB924" w:rsidR="00B33133" w:rsidRDefault="00B33133" w:rsidP="001165D0">
      <w:pPr>
        <w:spacing w:line="360" w:lineRule="auto"/>
        <w:rPr>
          <w:rFonts w:ascii="Arial" w:hAnsi="Arial" w:cs="Arial"/>
          <w:bCs/>
        </w:rPr>
      </w:pPr>
      <w:r w:rsidRPr="00AF4CD7">
        <w:rPr>
          <w:rFonts w:ascii="Arial" w:hAnsi="Arial" w:cs="Arial"/>
          <w:bCs/>
        </w:rPr>
        <w:t>“</w:t>
      </w:r>
      <w:r w:rsidR="00AF4CD7" w:rsidRPr="00AF4CD7">
        <w:rPr>
          <w:rFonts w:ascii="Arial" w:hAnsi="Arial" w:cs="Arial"/>
          <w:bCs/>
        </w:rPr>
        <w:t>T</w:t>
      </w:r>
      <w:r w:rsidRPr="00AF4CD7">
        <w:rPr>
          <w:rFonts w:ascii="Arial" w:hAnsi="Arial" w:cs="Arial"/>
          <w:bCs/>
        </w:rPr>
        <w:t>he Claimant must demonstrate that the alleged assurance caused her to act, but the circumstances do not allow her to do so. She didn’t make any</w:t>
      </w:r>
      <w:r w:rsidR="0093467A" w:rsidRPr="00AF4CD7">
        <w:rPr>
          <w:rFonts w:ascii="Arial" w:hAnsi="Arial" w:cs="Arial"/>
          <w:bCs/>
        </w:rPr>
        <w:t xml:space="preserve"> investment in the property itself, didn’t change her financial situation</w:t>
      </w:r>
      <w:r w:rsidR="00AF4CD7" w:rsidRPr="00AF4CD7">
        <w:rPr>
          <w:rFonts w:ascii="Arial" w:hAnsi="Arial" w:cs="Arial"/>
          <w:bCs/>
        </w:rPr>
        <w:t>, and carried on working as before. Her actions do not constitute reliance in the legal sense necessary to establish proprietary estoppel, and they are completely in line with the typical occurrences of long-term cohabitation.”</w:t>
      </w:r>
    </w:p>
    <w:p w14:paraId="225E341A" w14:textId="77777777" w:rsidR="00320783" w:rsidRPr="00CA189D" w:rsidRDefault="00320783" w:rsidP="001165D0">
      <w:pPr>
        <w:spacing w:line="360" w:lineRule="auto"/>
        <w:rPr>
          <w:rFonts w:ascii="Arial" w:hAnsi="Arial" w:cs="Arial"/>
          <w:b/>
        </w:rPr>
      </w:pPr>
    </w:p>
    <w:p w14:paraId="3E07DA0A" w14:textId="47704E3B" w:rsidR="00320783" w:rsidRDefault="00320783" w:rsidP="001165D0">
      <w:pPr>
        <w:spacing w:line="360" w:lineRule="auto"/>
        <w:rPr>
          <w:rFonts w:ascii="Arial" w:hAnsi="Arial" w:cs="Arial"/>
          <w:b/>
        </w:rPr>
      </w:pPr>
      <w:r w:rsidRPr="00CA189D">
        <w:rPr>
          <w:rFonts w:ascii="Arial" w:hAnsi="Arial" w:cs="Arial"/>
          <w:b/>
        </w:rPr>
        <w:t xml:space="preserve">No </w:t>
      </w:r>
      <w:r w:rsidR="00CA189D" w:rsidRPr="00CA189D">
        <w:rPr>
          <w:rFonts w:ascii="Arial" w:hAnsi="Arial" w:cs="Arial"/>
          <w:b/>
        </w:rPr>
        <w:t>substantial detriment</w:t>
      </w:r>
    </w:p>
    <w:p w14:paraId="0A707754" w14:textId="77777777" w:rsidR="00A96920" w:rsidRDefault="00A96920" w:rsidP="001165D0">
      <w:pPr>
        <w:spacing w:line="360" w:lineRule="auto"/>
        <w:rPr>
          <w:rFonts w:ascii="Arial" w:hAnsi="Arial" w:cs="Arial"/>
          <w:b/>
        </w:rPr>
      </w:pPr>
    </w:p>
    <w:p w14:paraId="393E007A" w14:textId="5BB5FEEB" w:rsidR="00A96920" w:rsidRDefault="00A96920" w:rsidP="001165D0">
      <w:pPr>
        <w:spacing w:line="360" w:lineRule="auto"/>
        <w:rPr>
          <w:rFonts w:ascii="Arial" w:hAnsi="Arial" w:cs="Arial"/>
          <w:bCs/>
        </w:rPr>
      </w:pPr>
      <w:r w:rsidRPr="00B46393">
        <w:rPr>
          <w:rFonts w:ascii="Arial" w:hAnsi="Arial" w:cs="Arial"/>
          <w:bCs/>
        </w:rPr>
        <w:t>“</w:t>
      </w:r>
      <w:r w:rsidR="00B46393" w:rsidRPr="00B46393">
        <w:rPr>
          <w:rFonts w:ascii="Arial" w:hAnsi="Arial" w:cs="Arial"/>
          <w:bCs/>
        </w:rPr>
        <w:t>T</w:t>
      </w:r>
      <w:r w:rsidRPr="00B46393">
        <w:rPr>
          <w:rFonts w:ascii="Arial" w:hAnsi="Arial" w:cs="Arial"/>
          <w:bCs/>
        </w:rPr>
        <w:t>he claimant</w:t>
      </w:r>
      <w:r w:rsidR="006607F3" w:rsidRPr="00B46393">
        <w:rPr>
          <w:rFonts w:ascii="Arial" w:hAnsi="Arial" w:cs="Arial"/>
          <w:bCs/>
        </w:rPr>
        <w:t xml:space="preserve"> claims that making a £5,000</w:t>
      </w:r>
      <w:r w:rsidR="00871B86" w:rsidRPr="00B46393">
        <w:rPr>
          <w:rFonts w:ascii="Arial" w:hAnsi="Arial" w:cs="Arial"/>
          <w:bCs/>
        </w:rPr>
        <w:t xml:space="preserve"> payment, helping with childcare expenses, and paying home</w:t>
      </w:r>
      <w:r w:rsidR="00B46393" w:rsidRPr="00B46393">
        <w:rPr>
          <w:rFonts w:ascii="Arial" w:hAnsi="Arial" w:cs="Arial"/>
          <w:bCs/>
        </w:rPr>
        <w:t xml:space="preserve"> utilities caused her harm. for proprietary estoppel, each of these issues, however, represents typical household expenses resulting from cohabitation rather than behaviour that may be considered legally harmful.”</w:t>
      </w:r>
    </w:p>
    <w:p w14:paraId="360C34FB" w14:textId="1DE1AE1A" w:rsidR="00352713" w:rsidRDefault="00352713" w:rsidP="001165D0">
      <w:pPr>
        <w:spacing w:line="360" w:lineRule="auto"/>
        <w:rPr>
          <w:rFonts w:ascii="Arial" w:hAnsi="Arial" w:cs="Arial"/>
          <w:bCs/>
        </w:rPr>
      </w:pPr>
      <w:r>
        <w:rPr>
          <w:rFonts w:ascii="Arial" w:hAnsi="Arial" w:cs="Arial"/>
          <w:bCs/>
        </w:rPr>
        <w:lastRenderedPageBreak/>
        <w:t>“</w:t>
      </w:r>
      <w:r w:rsidR="00556AAD">
        <w:rPr>
          <w:rFonts w:ascii="Arial" w:hAnsi="Arial" w:cs="Arial"/>
          <w:bCs/>
        </w:rPr>
        <w:t>T</w:t>
      </w:r>
      <w:r>
        <w:rPr>
          <w:rFonts w:ascii="Arial" w:hAnsi="Arial" w:cs="Arial"/>
          <w:bCs/>
        </w:rPr>
        <w:t>he courts in Geary v Rankins and Hopkins v Hopkins confirm that such routine expenses, incurred in the ordinary course of cohabitation, do not a</w:t>
      </w:r>
      <w:r w:rsidR="00556AAD">
        <w:rPr>
          <w:rFonts w:ascii="Arial" w:hAnsi="Arial" w:cs="Arial"/>
          <w:bCs/>
        </w:rPr>
        <w:t>mount to legally relevant detriment.”</w:t>
      </w:r>
    </w:p>
    <w:p w14:paraId="50BED3BF" w14:textId="77777777" w:rsidR="00556AAD" w:rsidRDefault="00556AAD" w:rsidP="001165D0">
      <w:pPr>
        <w:spacing w:line="360" w:lineRule="auto"/>
        <w:rPr>
          <w:rFonts w:ascii="Arial" w:hAnsi="Arial" w:cs="Arial"/>
          <w:bCs/>
        </w:rPr>
      </w:pPr>
    </w:p>
    <w:p w14:paraId="5435F412" w14:textId="03383129" w:rsidR="00556AAD" w:rsidRDefault="00556AAD" w:rsidP="001165D0">
      <w:pPr>
        <w:spacing w:line="360" w:lineRule="auto"/>
        <w:rPr>
          <w:rFonts w:ascii="Arial" w:hAnsi="Arial" w:cs="Arial"/>
          <w:bCs/>
        </w:rPr>
      </w:pPr>
      <w:r>
        <w:rPr>
          <w:rFonts w:ascii="Arial" w:hAnsi="Arial" w:cs="Arial"/>
          <w:bCs/>
        </w:rPr>
        <w:t>“</w:t>
      </w:r>
      <w:r w:rsidR="00DD48BA">
        <w:rPr>
          <w:rFonts w:ascii="Arial" w:hAnsi="Arial" w:cs="Arial"/>
          <w:bCs/>
        </w:rPr>
        <w:t>These issues don’t even add up to the significant harm needed to support proprietary intervention.</w:t>
      </w:r>
    </w:p>
    <w:p w14:paraId="0D988718" w14:textId="77777777" w:rsidR="00523E10" w:rsidRDefault="00523E10" w:rsidP="001165D0">
      <w:pPr>
        <w:spacing w:line="360" w:lineRule="auto"/>
        <w:rPr>
          <w:rFonts w:ascii="Arial" w:hAnsi="Arial" w:cs="Arial"/>
          <w:bCs/>
        </w:rPr>
      </w:pPr>
    </w:p>
    <w:p w14:paraId="5F164F6B" w14:textId="4C09C76C" w:rsidR="00523E10" w:rsidRDefault="00523E10" w:rsidP="001165D0">
      <w:pPr>
        <w:spacing w:line="360" w:lineRule="auto"/>
        <w:rPr>
          <w:rFonts w:ascii="Arial" w:hAnsi="Arial" w:cs="Arial"/>
          <w:b/>
        </w:rPr>
      </w:pPr>
      <w:r w:rsidRPr="00523E10">
        <w:rPr>
          <w:rFonts w:ascii="Arial" w:hAnsi="Arial" w:cs="Arial"/>
          <w:b/>
        </w:rPr>
        <w:t xml:space="preserve">Proportionality </w:t>
      </w:r>
    </w:p>
    <w:p w14:paraId="097DB677" w14:textId="77777777" w:rsidR="00E0490C" w:rsidRDefault="00E0490C" w:rsidP="001165D0">
      <w:pPr>
        <w:spacing w:line="360" w:lineRule="auto"/>
        <w:rPr>
          <w:rFonts w:ascii="Arial" w:hAnsi="Arial" w:cs="Arial"/>
          <w:b/>
        </w:rPr>
      </w:pPr>
    </w:p>
    <w:p w14:paraId="098CEA6C" w14:textId="3724DBB6" w:rsidR="00E0490C" w:rsidRPr="00770107" w:rsidRDefault="00E0490C" w:rsidP="001165D0">
      <w:pPr>
        <w:spacing w:line="360" w:lineRule="auto"/>
        <w:rPr>
          <w:rFonts w:ascii="Arial" w:hAnsi="Arial" w:cs="Arial"/>
          <w:bCs/>
        </w:rPr>
      </w:pPr>
      <w:r w:rsidRPr="00770107">
        <w:rPr>
          <w:rFonts w:ascii="Arial" w:hAnsi="Arial" w:cs="Arial"/>
          <w:bCs/>
        </w:rPr>
        <w:t>“Finally</w:t>
      </w:r>
      <w:r w:rsidR="00490AB9" w:rsidRPr="00770107">
        <w:rPr>
          <w:rFonts w:ascii="Arial" w:hAnsi="Arial" w:cs="Arial"/>
          <w:bCs/>
        </w:rPr>
        <w:t>, the remedy requested by the claimant is completely out of proportion to any claimed assurance or harm, even if the court were to determine that some basic equity ex</w:t>
      </w:r>
      <w:r w:rsidR="00770107" w:rsidRPr="00770107">
        <w:rPr>
          <w:rFonts w:ascii="Arial" w:hAnsi="Arial" w:cs="Arial"/>
          <w:bCs/>
        </w:rPr>
        <w:t>ists, which the defendant strongly disputes.”</w:t>
      </w:r>
    </w:p>
    <w:p w14:paraId="553150D6" w14:textId="77777777" w:rsidR="00770107" w:rsidRPr="00770107" w:rsidRDefault="00770107" w:rsidP="001165D0">
      <w:pPr>
        <w:spacing w:line="360" w:lineRule="auto"/>
        <w:rPr>
          <w:rFonts w:ascii="Arial" w:hAnsi="Arial" w:cs="Arial"/>
          <w:bCs/>
        </w:rPr>
      </w:pPr>
    </w:p>
    <w:p w14:paraId="23F59415" w14:textId="1FEC90C3" w:rsidR="00770107" w:rsidRDefault="00770107" w:rsidP="001165D0">
      <w:pPr>
        <w:spacing w:line="360" w:lineRule="auto"/>
        <w:rPr>
          <w:rFonts w:ascii="Arial" w:hAnsi="Arial" w:cs="Arial"/>
          <w:bCs/>
        </w:rPr>
      </w:pPr>
      <w:r w:rsidRPr="00770107">
        <w:rPr>
          <w:rFonts w:ascii="Arial" w:hAnsi="Arial" w:cs="Arial"/>
          <w:bCs/>
        </w:rPr>
        <w:t>“As Jennings v Rice makes clear, equity must be proportionate to the detriment. A modest financial contribution cannot justify the purchase of a share in a valuable property.”</w:t>
      </w:r>
    </w:p>
    <w:p w14:paraId="73522304" w14:textId="77777777" w:rsidR="006D10B7" w:rsidRDefault="006D10B7" w:rsidP="001165D0">
      <w:pPr>
        <w:spacing w:line="360" w:lineRule="auto"/>
        <w:rPr>
          <w:rFonts w:ascii="Arial" w:hAnsi="Arial" w:cs="Arial"/>
          <w:bCs/>
        </w:rPr>
      </w:pPr>
    </w:p>
    <w:p w14:paraId="3CA316ED" w14:textId="02FC8006" w:rsidR="006D10B7" w:rsidRDefault="006D10B7" w:rsidP="001165D0">
      <w:pPr>
        <w:spacing w:line="360" w:lineRule="auto"/>
        <w:rPr>
          <w:rFonts w:ascii="Arial" w:hAnsi="Arial" w:cs="Arial"/>
          <w:b/>
        </w:rPr>
      </w:pPr>
      <w:r w:rsidRPr="006D10B7">
        <w:rPr>
          <w:rFonts w:ascii="Arial" w:hAnsi="Arial" w:cs="Arial"/>
          <w:b/>
        </w:rPr>
        <w:t>The claimant’s case in reality</w:t>
      </w:r>
    </w:p>
    <w:p w14:paraId="6C04B2C6" w14:textId="7FACB3AE" w:rsidR="00B124AC" w:rsidRDefault="00B124AC" w:rsidP="001165D0">
      <w:pPr>
        <w:spacing w:line="360" w:lineRule="auto"/>
        <w:rPr>
          <w:rFonts w:ascii="Arial" w:hAnsi="Arial" w:cs="Arial"/>
          <w:b/>
        </w:rPr>
      </w:pPr>
    </w:p>
    <w:p w14:paraId="24A02973" w14:textId="41E385EC" w:rsidR="00670A03" w:rsidRPr="001C3C6D" w:rsidRDefault="00670A03" w:rsidP="001165D0">
      <w:pPr>
        <w:spacing w:line="360" w:lineRule="auto"/>
        <w:rPr>
          <w:rFonts w:ascii="Arial" w:hAnsi="Arial" w:cs="Arial"/>
          <w:bCs/>
        </w:rPr>
      </w:pPr>
      <w:r w:rsidRPr="001C3C6D">
        <w:rPr>
          <w:rFonts w:ascii="Arial" w:hAnsi="Arial" w:cs="Arial"/>
          <w:bCs/>
        </w:rPr>
        <w:t>“Essentially, the claimant’s case asks the court to turn a long-term relationship into property rights.</w:t>
      </w:r>
      <w:r w:rsidR="007F1B54" w:rsidRPr="001C3C6D">
        <w:rPr>
          <w:rFonts w:ascii="Arial" w:hAnsi="Arial" w:cs="Arial"/>
          <w:bCs/>
        </w:rPr>
        <w:t xml:space="preserve"> However, the law has consistently rejected that approach.”</w:t>
      </w:r>
    </w:p>
    <w:p w14:paraId="10DC6126" w14:textId="77777777" w:rsidR="007F1B54" w:rsidRPr="001C3C6D" w:rsidRDefault="007F1B54" w:rsidP="001165D0">
      <w:pPr>
        <w:spacing w:line="360" w:lineRule="auto"/>
        <w:rPr>
          <w:rFonts w:ascii="Arial" w:hAnsi="Arial" w:cs="Arial"/>
          <w:bCs/>
        </w:rPr>
      </w:pPr>
    </w:p>
    <w:p w14:paraId="7F070C2E" w14:textId="68A74A53" w:rsidR="007F1B54" w:rsidRPr="001C3C6D" w:rsidRDefault="007F1B54" w:rsidP="001165D0">
      <w:pPr>
        <w:spacing w:line="360" w:lineRule="auto"/>
        <w:rPr>
          <w:rFonts w:ascii="Arial" w:hAnsi="Arial" w:cs="Arial"/>
          <w:bCs/>
        </w:rPr>
      </w:pPr>
      <w:r w:rsidRPr="001C3C6D">
        <w:rPr>
          <w:rFonts w:ascii="Arial" w:hAnsi="Arial" w:cs="Arial"/>
          <w:bCs/>
        </w:rPr>
        <w:t>“</w:t>
      </w:r>
      <w:r w:rsidR="001C3C6D" w:rsidRPr="001C3C6D">
        <w:rPr>
          <w:rFonts w:ascii="Arial" w:hAnsi="Arial" w:cs="Arial"/>
          <w:bCs/>
        </w:rPr>
        <w:t>A</w:t>
      </w:r>
      <w:r w:rsidRPr="001C3C6D">
        <w:rPr>
          <w:rFonts w:ascii="Arial" w:hAnsi="Arial" w:cs="Arial"/>
          <w:bCs/>
        </w:rPr>
        <w:t>s Baroness Hale observed, equity is not designed to correct every perceived un</w:t>
      </w:r>
      <w:r w:rsidR="004B27DB" w:rsidRPr="001C3C6D">
        <w:rPr>
          <w:rFonts w:ascii="Arial" w:hAnsi="Arial" w:cs="Arial"/>
          <w:bCs/>
        </w:rPr>
        <w:t>fairness arising from domestic relationships, and it is for parliament, not the courts</w:t>
      </w:r>
      <w:r w:rsidR="001C3C6D" w:rsidRPr="001C3C6D">
        <w:rPr>
          <w:rFonts w:ascii="Arial" w:hAnsi="Arial" w:cs="Arial"/>
          <w:bCs/>
        </w:rPr>
        <w:t>,</w:t>
      </w:r>
      <w:r w:rsidR="004B27DB" w:rsidRPr="001C3C6D">
        <w:rPr>
          <w:rFonts w:ascii="Arial" w:hAnsi="Arial" w:cs="Arial"/>
          <w:bCs/>
        </w:rPr>
        <w:t xml:space="preserve"> to decide whether automatic proprieta</w:t>
      </w:r>
      <w:r w:rsidR="001C3C6D" w:rsidRPr="001C3C6D">
        <w:rPr>
          <w:rFonts w:ascii="Arial" w:hAnsi="Arial" w:cs="Arial"/>
          <w:bCs/>
        </w:rPr>
        <w:t>ry rights should be conferred on cohabitants.”</w:t>
      </w:r>
    </w:p>
    <w:p w14:paraId="06BFBDD3" w14:textId="77777777" w:rsidR="001C3C6D" w:rsidRPr="001C3C6D" w:rsidRDefault="001C3C6D" w:rsidP="001165D0">
      <w:pPr>
        <w:spacing w:line="360" w:lineRule="auto"/>
        <w:rPr>
          <w:rFonts w:ascii="Arial" w:hAnsi="Arial" w:cs="Arial"/>
          <w:bCs/>
        </w:rPr>
      </w:pPr>
    </w:p>
    <w:p w14:paraId="6D1B4AC5" w14:textId="1F159C47" w:rsidR="001C3C6D" w:rsidRDefault="001C3C6D" w:rsidP="001165D0">
      <w:pPr>
        <w:spacing w:line="360" w:lineRule="auto"/>
        <w:rPr>
          <w:rFonts w:ascii="Arial" w:hAnsi="Arial" w:cs="Arial"/>
          <w:bCs/>
        </w:rPr>
      </w:pPr>
      <w:r w:rsidRPr="001C3C6D">
        <w:rPr>
          <w:rFonts w:ascii="Arial" w:hAnsi="Arial" w:cs="Arial"/>
          <w:bCs/>
        </w:rPr>
        <w:t>“To accept the claimant’s case would be to undermine settled principles and extend equitable doctrines beyond their proper limits.”</w:t>
      </w:r>
    </w:p>
    <w:p w14:paraId="53FE1E4F" w14:textId="77777777" w:rsidR="00512F72" w:rsidRDefault="00512F72" w:rsidP="001165D0">
      <w:pPr>
        <w:spacing w:line="360" w:lineRule="auto"/>
        <w:rPr>
          <w:rFonts w:ascii="Arial" w:hAnsi="Arial" w:cs="Arial"/>
          <w:bCs/>
        </w:rPr>
      </w:pPr>
    </w:p>
    <w:p w14:paraId="0F776BB4" w14:textId="46C1F31A" w:rsidR="00512F72" w:rsidRDefault="00512F72" w:rsidP="001165D0">
      <w:pPr>
        <w:spacing w:line="360" w:lineRule="auto"/>
        <w:rPr>
          <w:rFonts w:ascii="Arial" w:hAnsi="Arial" w:cs="Arial"/>
          <w:b/>
        </w:rPr>
      </w:pPr>
      <w:r w:rsidRPr="00512F72">
        <w:rPr>
          <w:rFonts w:ascii="Arial" w:hAnsi="Arial" w:cs="Arial"/>
          <w:b/>
        </w:rPr>
        <w:t xml:space="preserve">Conclusion </w:t>
      </w:r>
    </w:p>
    <w:p w14:paraId="0A4026BE" w14:textId="77777777" w:rsidR="00861A6A" w:rsidRDefault="00861A6A" w:rsidP="001165D0">
      <w:pPr>
        <w:spacing w:line="360" w:lineRule="auto"/>
        <w:rPr>
          <w:rFonts w:ascii="Arial" w:hAnsi="Arial" w:cs="Arial"/>
          <w:b/>
        </w:rPr>
      </w:pPr>
    </w:p>
    <w:p w14:paraId="5AE2F152" w14:textId="727E8CA2" w:rsidR="00861A6A" w:rsidRPr="004105EF" w:rsidRDefault="00861A6A" w:rsidP="001165D0">
      <w:pPr>
        <w:spacing w:line="360" w:lineRule="auto"/>
        <w:rPr>
          <w:rFonts w:ascii="Arial" w:hAnsi="Arial" w:cs="Arial"/>
          <w:bCs/>
        </w:rPr>
      </w:pPr>
      <w:r w:rsidRPr="004105EF">
        <w:rPr>
          <w:rFonts w:ascii="Arial" w:hAnsi="Arial" w:cs="Arial"/>
          <w:bCs/>
        </w:rPr>
        <w:t>“</w:t>
      </w:r>
      <w:r w:rsidR="004105EF">
        <w:rPr>
          <w:rFonts w:ascii="Arial" w:hAnsi="Arial" w:cs="Arial"/>
          <w:bCs/>
        </w:rPr>
        <w:t>F</w:t>
      </w:r>
      <w:r w:rsidRPr="004105EF">
        <w:rPr>
          <w:rFonts w:ascii="Arial" w:hAnsi="Arial" w:cs="Arial"/>
          <w:bCs/>
        </w:rPr>
        <w:t xml:space="preserve">or those reasons, the defendant respectfully </w:t>
      </w:r>
      <w:r w:rsidR="009A3884" w:rsidRPr="004105EF">
        <w:rPr>
          <w:rFonts w:ascii="Arial" w:hAnsi="Arial" w:cs="Arial"/>
          <w:bCs/>
        </w:rPr>
        <w:t>submits that the claimant</w:t>
      </w:r>
      <w:r w:rsidR="004105EF">
        <w:rPr>
          <w:rFonts w:ascii="Arial" w:hAnsi="Arial" w:cs="Arial"/>
          <w:bCs/>
        </w:rPr>
        <w:t>’</w:t>
      </w:r>
      <w:r w:rsidR="009A3884" w:rsidRPr="004105EF">
        <w:rPr>
          <w:rFonts w:ascii="Arial" w:hAnsi="Arial" w:cs="Arial"/>
          <w:bCs/>
        </w:rPr>
        <w:t>s case fails on both pleaded grounds. The</w:t>
      </w:r>
      <w:r w:rsidR="004105EF">
        <w:rPr>
          <w:rFonts w:ascii="Arial" w:hAnsi="Arial" w:cs="Arial"/>
          <w:bCs/>
        </w:rPr>
        <w:t>r</w:t>
      </w:r>
      <w:r w:rsidR="009A3884" w:rsidRPr="004105EF">
        <w:rPr>
          <w:rFonts w:ascii="Arial" w:hAnsi="Arial" w:cs="Arial"/>
          <w:bCs/>
        </w:rPr>
        <w:t xml:space="preserve">e was no common intention, whether express or </w:t>
      </w:r>
      <w:r w:rsidR="00E159C0" w:rsidRPr="004105EF">
        <w:rPr>
          <w:rFonts w:ascii="Arial" w:hAnsi="Arial" w:cs="Arial"/>
          <w:bCs/>
        </w:rPr>
        <w:t xml:space="preserve">inferred, capable of giving rise to a constructive trust, and the evidence does not </w:t>
      </w:r>
      <w:r w:rsidR="00E159C0" w:rsidRPr="004105EF">
        <w:rPr>
          <w:rFonts w:ascii="Arial" w:hAnsi="Arial" w:cs="Arial"/>
          <w:bCs/>
        </w:rPr>
        <w:lastRenderedPageBreak/>
        <w:t>establish the clear assurance, reliance, and substantial detriment required for proprietary estoppel. Accordingly, the claimant has no beneficial interest in the property, which remains sole</w:t>
      </w:r>
      <w:r w:rsidR="004105EF" w:rsidRPr="004105EF">
        <w:rPr>
          <w:rFonts w:ascii="Arial" w:hAnsi="Arial" w:cs="Arial"/>
          <w:bCs/>
        </w:rPr>
        <w:t>ly owned by the defendant both legally and beneficially.”</w:t>
      </w:r>
    </w:p>
    <w:p w14:paraId="32D93F4C" w14:textId="77777777" w:rsidR="004105EF" w:rsidRPr="004105EF" w:rsidRDefault="004105EF" w:rsidP="001165D0">
      <w:pPr>
        <w:spacing w:line="360" w:lineRule="auto"/>
        <w:rPr>
          <w:rFonts w:ascii="Arial" w:hAnsi="Arial" w:cs="Arial"/>
          <w:bCs/>
        </w:rPr>
      </w:pPr>
    </w:p>
    <w:p w14:paraId="5B9CDE22" w14:textId="7CBB9720" w:rsidR="004105EF" w:rsidRPr="004105EF" w:rsidRDefault="004105EF" w:rsidP="001165D0">
      <w:pPr>
        <w:spacing w:line="360" w:lineRule="auto"/>
        <w:rPr>
          <w:rFonts w:ascii="Arial" w:hAnsi="Arial" w:cs="Arial"/>
          <w:bCs/>
        </w:rPr>
      </w:pPr>
      <w:r w:rsidRPr="004105EF">
        <w:rPr>
          <w:rFonts w:ascii="Arial" w:hAnsi="Arial" w:cs="Arial"/>
          <w:bCs/>
        </w:rPr>
        <w:t>“The defendant, therefore, respectfully invites the court to dismiss the claim in full and to confirm her sole legal and beneficial ownership of 14 Oak Lane.”</w:t>
      </w:r>
    </w:p>
    <w:p w14:paraId="3C523D2B" w14:textId="77777777" w:rsidR="004105EF" w:rsidRPr="004105EF" w:rsidRDefault="004105EF" w:rsidP="001165D0">
      <w:pPr>
        <w:spacing w:line="360" w:lineRule="auto"/>
        <w:rPr>
          <w:rFonts w:ascii="Arial" w:hAnsi="Arial" w:cs="Arial"/>
          <w:bCs/>
        </w:rPr>
      </w:pPr>
    </w:p>
    <w:p w14:paraId="62C13CDA" w14:textId="08488A2D" w:rsidR="004105EF" w:rsidRPr="004105EF" w:rsidRDefault="004105EF" w:rsidP="001165D0">
      <w:pPr>
        <w:spacing w:line="360" w:lineRule="auto"/>
        <w:rPr>
          <w:rFonts w:ascii="Arial" w:hAnsi="Arial" w:cs="Arial"/>
          <w:bCs/>
        </w:rPr>
      </w:pPr>
      <w:r w:rsidRPr="004105EF">
        <w:rPr>
          <w:rFonts w:ascii="Arial" w:hAnsi="Arial" w:cs="Arial"/>
          <w:bCs/>
        </w:rPr>
        <w:t>“Unless I can assist the court further, those are my submissions.”</w:t>
      </w:r>
    </w:p>
    <w:p w14:paraId="58856D39" w14:textId="77777777" w:rsidR="004105EF" w:rsidRDefault="004105EF" w:rsidP="001165D0">
      <w:pPr>
        <w:spacing w:line="360" w:lineRule="auto"/>
        <w:rPr>
          <w:rFonts w:ascii="Arial" w:hAnsi="Arial" w:cs="Arial"/>
          <w:b/>
        </w:rPr>
      </w:pPr>
    </w:p>
    <w:p w14:paraId="76679998" w14:textId="77777777" w:rsidR="004105EF" w:rsidRPr="00512F72" w:rsidRDefault="004105EF" w:rsidP="001165D0">
      <w:pPr>
        <w:spacing w:line="360" w:lineRule="auto"/>
        <w:rPr>
          <w:rFonts w:ascii="Arial" w:hAnsi="Arial" w:cs="Arial"/>
          <w:b/>
        </w:rPr>
      </w:pPr>
    </w:p>
    <w:p w14:paraId="4C0F95B2" w14:textId="79AB6154" w:rsidR="00320783" w:rsidRDefault="00320783" w:rsidP="00770107"/>
    <w:p w14:paraId="0CEEBD76" w14:textId="77777777" w:rsidR="00320783" w:rsidRDefault="00320783" w:rsidP="00320783"/>
    <w:p w14:paraId="711E8B75" w14:textId="77777777" w:rsidR="00AF4C80" w:rsidRDefault="00AF4C80" w:rsidP="00E17272">
      <w:pPr>
        <w:pStyle w:val="NormalWeb"/>
        <w:spacing w:before="240" w:beforeAutospacing="0" w:after="240" w:afterAutospacing="0"/>
        <w:rPr>
          <w:color w:val="000000"/>
        </w:rPr>
      </w:pPr>
    </w:p>
    <w:p w14:paraId="0C801C18" w14:textId="77777777" w:rsidR="00AF4C80" w:rsidRDefault="00AF4C80" w:rsidP="00E17272">
      <w:pPr>
        <w:pStyle w:val="NormalWeb"/>
        <w:spacing w:before="240" w:beforeAutospacing="0" w:after="240" w:afterAutospacing="0"/>
        <w:rPr>
          <w:color w:val="000000"/>
        </w:rPr>
      </w:pPr>
    </w:p>
    <w:p w14:paraId="27E33712" w14:textId="77777777" w:rsidR="0066277C" w:rsidRDefault="0066277C" w:rsidP="009D531E">
      <w:pPr>
        <w:spacing w:line="360" w:lineRule="auto"/>
        <w:rPr>
          <w:rFonts w:ascii="Arial" w:hAnsi="Arial" w:cs="Arial"/>
          <w:bCs/>
        </w:rPr>
      </w:pPr>
    </w:p>
    <w:p w14:paraId="36FCC4CC" w14:textId="77777777" w:rsidR="001D4C67" w:rsidRDefault="001D4C67" w:rsidP="009D531E">
      <w:pPr>
        <w:spacing w:line="360" w:lineRule="auto"/>
        <w:rPr>
          <w:rFonts w:ascii="Arial" w:hAnsi="Arial" w:cs="Arial"/>
          <w:bCs/>
        </w:rPr>
      </w:pPr>
    </w:p>
    <w:p w14:paraId="6F6AD150" w14:textId="77777777" w:rsidR="001D4C67" w:rsidRDefault="001D4C67" w:rsidP="009D531E">
      <w:pPr>
        <w:spacing w:line="360" w:lineRule="auto"/>
        <w:rPr>
          <w:rFonts w:ascii="Arial" w:hAnsi="Arial" w:cs="Arial"/>
          <w:bCs/>
        </w:rPr>
      </w:pPr>
    </w:p>
    <w:p w14:paraId="6A88B6A0" w14:textId="77777777" w:rsidR="001D4C67" w:rsidRDefault="001D4C67" w:rsidP="009D531E">
      <w:pPr>
        <w:spacing w:line="360" w:lineRule="auto"/>
        <w:rPr>
          <w:rFonts w:ascii="Arial" w:hAnsi="Arial" w:cs="Arial"/>
          <w:bCs/>
        </w:rPr>
      </w:pPr>
    </w:p>
    <w:p w14:paraId="517EAA04" w14:textId="77777777" w:rsidR="001D4C67" w:rsidRDefault="001D4C67" w:rsidP="009D531E">
      <w:pPr>
        <w:spacing w:line="360" w:lineRule="auto"/>
        <w:rPr>
          <w:rFonts w:ascii="Arial" w:hAnsi="Arial" w:cs="Arial"/>
          <w:bCs/>
        </w:rPr>
      </w:pPr>
    </w:p>
    <w:p w14:paraId="44E285D5" w14:textId="77777777" w:rsidR="001D4C67" w:rsidRDefault="001D4C67" w:rsidP="009D531E">
      <w:pPr>
        <w:spacing w:line="360" w:lineRule="auto"/>
        <w:rPr>
          <w:rFonts w:ascii="Arial" w:hAnsi="Arial" w:cs="Arial"/>
          <w:bCs/>
        </w:rPr>
      </w:pPr>
    </w:p>
    <w:p w14:paraId="2A6364E3" w14:textId="77777777" w:rsidR="001D4C67" w:rsidRDefault="001D4C67" w:rsidP="009D531E">
      <w:pPr>
        <w:spacing w:line="360" w:lineRule="auto"/>
        <w:rPr>
          <w:rFonts w:ascii="Arial" w:hAnsi="Arial" w:cs="Arial"/>
          <w:bCs/>
        </w:rPr>
      </w:pPr>
    </w:p>
    <w:p w14:paraId="308CBE93" w14:textId="77777777" w:rsidR="001D4C67" w:rsidRDefault="001D4C67" w:rsidP="009D531E">
      <w:pPr>
        <w:spacing w:line="360" w:lineRule="auto"/>
        <w:rPr>
          <w:rFonts w:ascii="Arial" w:hAnsi="Arial" w:cs="Arial"/>
          <w:bCs/>
        </w:rPr>
      </w:pPr>
    </w:p>
    <w:p w14:paraId="6CE0A7D7" w14:textId="77777777" w:rsidR="001D4C67" w:rsidRDefault="001D4C67" w:rsidP="009D531E">
      <w:pPr>
        <w:spacing w:line="360" w:lineRule="auto"/>
        <w:rPr>
          <w:rFonts w:ascii="Arial" w:hAnsi="Arial" w:cs="Arial"/>
          <w:bCs/>
        </w:rPr>
      </w:pPr>
    </w:p>
    <w:p w14:paraId="1EC99ECD" w14:textId="77777777" w:rsidR="001D4C67" w:rsidRDefault="001D4C67" w:rsidP="009D531E">
      <w:pPr>
        <w:spacing w:line="360" w:lineRule="auto"/>
        <w:rPr>
          <w:rFonts w:ascii="Arial" w:hAnsi="Arial" w:cs="Arial"/>
          <w:bCs/>
        </w:rPr>
      </w:pPr>
    </w:p>
    <w:p w14:paraId="54534E5F" w14:textId="77777777" w:rsidR="001D4C67" w:rsidRDefault="001D4C67" w:rsidP="009D531E">
      <w:pPr>
        <w:spacing w:line="360" w:lineRule="auto"/>
        <w:rPr>
          <w:rFonts w:ascii="Arial" w:hAnsi="Arial" w:cs="Arial"/>
          <w:bCs/>
        </w:rPr>
      </w:pPr>
    </w:p>
    <w:p w14:paraId="630DD507" w14:textId="77777777" w:rsidR="001D4C67" w:rsidRDefault="001D4C67" w:rsidP="009D531E">
      <w:pPr>
        <w:spacing w:line="360" w:lineRule="auto"/>
        <w:rPr>
          <w:rFonts w:ascii="Arial" w:hAnsi="Arial" w:cs="Arial"/>
          <w:bCs/>
        </w:rPr>
      </w:pPr>
    </w:p>
    <w:p w14:paraId="67ED5AD0" w14:textId="77777777" w:rsidR="001D4C67" w:rsidRDefault="001D4C67" w:rsidP="009D531E">
      <w:pPr>
        <w:spacing w:line="360" w:lineRule="auto"/>
        <w:rPr>
          <w:rFonts w:ascii="Arial" w:hAnsi="Arial" w:cs="Arial"/>
          <w:bCs/>
        </w:rPr>
      </w:pPr>
    </w:p>
    <w:p w14:paraId="00717BE4" w14:textId="77777777" w:rsidR="001D4C67" w:rsidRDefault="001D4C67" w:rsidP="009D531E">
      <w:pPr>
        <w:spacing w:line="360" w:lineRule="auto"/>
        <w:rPr>
          <w:rFonts w:ascii="Arial" w:hAnsi="Arial" w:cs="Arial"/>
          <w:bCs/>
        </w:rPr>
      </w:pPr>
    </w:p>
    <w:p w14:paraId="575D4B1A" w14:textId="77777777" w:rsidR="001D4C67" w:rsidRDefault="001D4C67" w:rsidP="009D531E">
      <w:pPr>
        <w:spacing w:line="360" w:lineRule="auto"/>
        <w:rPr>
          <w:rFonts w:ascii="Arial" w:hAnsi="Arial" w:cs="Arial"/>
          <w:bCs/>
        </w:rPr>
      </w:pPr>
    </w:p>
    <w:p w14:paraId="5A94B340" w14:textId="77777777" w:rsidR="001D4C67" w:rsidRDefault="001D4C67" w:rsidP="009D531E">
      <w:pPr>
        <w:spacing w:line="360" w:lineRule="auto"/>
        <w:rPr>
          <w:rFonts w:ascii="Arial" w:hAnsi="Arial" w:cs="Arial"/>
          <w:bCs/>
        </w:rPr>
      </w:pPr>
    </w:p>
    <w:p w14:paraId="71767F13" w14:textId="77777777" w:rsidR="006D10B7" w:rsidRDefault="006D10B7" w:rsidP="009D531E">
      <w:pPr>
        <w:spacing w:line="360" w:lineRule="auto"/>
        <w:rPr>
          <w:rFonts w:ascii="Arial" w:hAnsi="Arial" w:cs="Arial"/>
          <w:bCs/>
        </w:rPr>
      </w:pPr>
    </w:p>
    <w:p w14:paraId="1A79C4B7" w14:textId="77777777" w:rsidR="006D10B7" w:rsidRDefault="006D10B7" w:rsidP="009D531E">
      <w:pPr>
        <w:spacing w:line="360" w:lineRule="auto"/>
        <w:rPr>
          <w:rFonts w:ascii="Arial" w:hAnsi="Arial" w:cs="Arial"/>
          <w:bCs/>
        </w:rPr>
      </w:pPr>
    </w:p>
    <w:p w14:paraId="5CDDDF70" w14:textId="77777777" w:rsidR="006D10B7" w:rsidRDefault="006D10B7" w:rsidP="009D531E">
      <w:pPr>
        <w:spacing w:line="360" w:lineRule="auto"/>
        <w:rPr>
          <w:rFonts w:ascii="Arial" w:hAnsi="Arial" w:cs="Arial"/>
          <w:bCs/>
        </w:rPr>
      </w:pPr>
    </w:p>
    <w:p w14:paraId="0955A03F" w14:textId="146C34DA" w:rsidR="002F7D75" w:rsidRPr="009D531E" w:rsidRDefault="002F7D75" w:rsidP="009D531E">
      <w:pPr>
        <w:spacing w:line="360" w:lineRule="auto"/>
        <w:rPr>
          <w:rFonts w:ascii="Arial" w:hAnsi="Arial" w:cs="Arial"/>
          <w:bCs/>
        </w:rPr>
      </w:pPr>
      <w:r w:rsidRPr="009D531E">
        <w:rPr>
          <w:rFonts w:ascii="Arial" w:hAnsi="Arial" w:cs="Arial"/>
          <w:bCs/>
        </w:rPr>
        <w:lastRenderedPageBreak/>
        <w:t xml:space="preserve">IN THE HIGH COURT OF ENGLAND AND WALES </w:t>
      </w:r>
    </w:p>
    <w:p w14:paraId="14530606" w14:textId="1671083C" w:rsidR="002F7D75" w:rsidRPr="009D531E" w:rsidRDefault="002F7D75" w:rsidP="009D531E">
      <w:pPr>
        <w:spacing w:line="360" w:lineRule="auto"/>
        <w:rPr>
          <w:rFonts w:ascii="Arial" w:hAnsi="Arial" w:cs="Arial"/>
          <w:bCs/>
        </w:rPr>
      </w:pPr>
      <w:r w:rsidRPr="009D531E">
        <w:rPr>
          <w:rFonts w:ascii="Arial" w:hAnsi="Arial" w:cs="Arial"/>
          <w:bCs/>
        </w:rPr>
        <w:t>(CHANCERY DIVISION)</w:t>
      </w:r>
    </w:p>
    <w:p w14:paraId="21FD89D9" w14:textId="55306B45" w:rsidR="002F7D75" w:rsidRPr="009D531E" w:rsidRDefault="002F7D75" w:rsidP="009D531E">
      <w:pPr>
        <w:spacing w:line="360" w:lineRule="auto"/>
        <w:jc w:val="right"/>
        <w:rPr>
          <w:rFonts w:ascii="Arial" w:hAnsi="Arial" w:cs="Arial"/>
          <w:bCs/>
        </w:rPr>
      </w:pPr>
      <w:r w:rsidRPr="009D531E">
        <w:rPr>
          <w:rFonts w:ascii="Arial" w:hAnsi="Arial" w:cs="Arial"/>
          <w:bCs/>
        </w:rPr>
        <w:t>CLAIM NUMBER:</w:t>
      </w:r>
      <w:r w:rsidR="00BA0A8D" w:rsidRPr="009D531E">
        <w:rPr>
          <w:rFonts w:ascii="Arial" w:hAnsi="Arial" w:cs="Arial"/>
          <w:bCs/>
        </w:rPr>
        <w:t xml:space="preserve"> 2024/840A3</w:t>
      </w:r>
    </w:p>
    <w:p w14:paraId="501AC0D6" w14:textId="324DE21F" w:rsidR="002F7D75" w:rsidRPr="009D531E" w:rsidRDefault="002F7D75" w:rsidP="009D531E">
      <w:pPr>
        <w:spacing w:line="360" w:lineRule="auto"/>
        <w:rPr>
          <w:rFonts w:ascii="Arial" w:hAnsi="Arial" w:cs="Arial"/>
          <w:bCs/>
        </w:rPr>
      </w:pPr>
      <w:r w:rsidRPr="009D531E">
        <w:rPr>
          <w:rFonts w:ascii="Arial" w:hAnsi="Arial" w:cs="Arial"/>
          <w:bCs/>
        </w:rPr>
        <w:t>BETWEEN:</w:t>
      </w:r>
    </w:p>
    <w:tbl>
      <w:tblPr>
        <w:tblW w:w="9035" w:type="dxa"/>
        <w:tblLayout w:type="fixed"/>
        <w:tblLook w:val="04A0" w:firstRow="1" w:lastRow="0" w:firstColumn="1" w:lastColumn="0" w:noHBand="0" w:noVBand="1"/>
      </w:tblPr>
      <w:tblGrid>
        <w:gridCol w:w="1418"/>
        <w:gridCol w:w="6237"/>
        <w:gridCol w:w="1380"/>
      </w:tblGrid>
      <w:tr w:rsidR="002F7D75" w:rsidRPr="009D531E" w14:paraId="2783C3B8" w14:textId="77777777" w:rsidTr="002F7D75">
        <w:trPr>
          <w:trHeight w:val="757"/>
        </w:trPr>
        <w:tc>
          <w:tcPr>
            <w:tcW w:w="1418" w:type="dxa"/>
          </w:tcPr>
          <w:p w14:paraId="3B29174A" w14:textId="2CF2EDC5" w:rsidR="002F7D75" w:rsidRPr="009D531E" w:rsidRDefault="002F7D75" w:rsidP="009D531E">
            <w:pPr>
              <w:spacing w:line="360" w:lineRule="auto"/>
              <w:jc w:val="center"/>
              <w:rPr>
                <w:rFonts w:ascii="Arial" w:hAnsi="Arial" w:cs="Arial"/>
                <w:lang w:eastAsia="zh-CN" w:bidi="ta-IN"/>
              </w:rPr>
            </w:pPr>
          </w:p>
        </w:tc>
        <w:tc>
          <w:tcPr>
            <w:tcW w:w="6237" w:type="dxa"/>
          </w:tcPr>
          <w:p w14:paraId="590905B3" w14:textId="6C2B9224" w:rsidR="002F7D75" w:rsidRPr="009D531E" w:rsidRDefault="002F7D75" w:rsidP="009D531E">
            <w:pPr>
              <w:spacing w:line="360" w:lineRule="auto"/>
              <w:jc w:val="center"/>
              <w:rPr>
                <w:rFonts w:ascii="Arial" w:eastAsia="PMingLiU" w:hAnsi="Arial" w:cs="Arial"/>
                <w:lang w:eastAsia="zh-CN" w:bidi="ta-IN"/>
              </w:rPr>
            </w:pPr>
            <w:r w:rsidRPr="009D531E">
              <w:rPr>
                <w:rFonts w:ascii="Arial" w:eastAsia="PMingLiU" w:hAnsi="Arial" w:cs="Arial"/>
                <w:lang w:eastAsia="zh-CN" w:bidi="ta-IN"/>
              </w:rPr>
              <w:t>SARAH MORGAN</w:t>
            </w:r>
          </w:p>
        </w:tc>
        <w:tc>
          <w:tcPr>
            <w:tcW w:w="1380" w:type="dxa"/>
          </w:tcPr>
          <w:p w14:paraId="4A2C7B52" w14:textId="77777777" w:rsidR="002F7D75" w:rsidRPr="009D531E" w:rsidRDefault="002F7D75" w:rsidP="009D531E">
            <w:pPr>
              <w:spacing w:line="360" w:lineRule="auto"/>
              <w:jc w:val="right"/>
              <w:rPr>
                <w:rFonts w:ascii="Arial" w:eastAsia="PMingLiU" w:hAnsi="Arial" w:cs="Arial"/>
                <w:u w:val="single"/>
                <w:lang w:eastAsia="zh-CN" w:bidi="ta-IN"/>
              </w:rPr>
            </w:pPr>
            <w:r w:rsidRPr="009D531E">
              <w:rPr>
                <w:rFonts w:ascii="Arial" w:eastAsia="PMingLiU" w:hAnsi="Arial" w:cs="Arial"/>
                <w:u w:val="single"/>
                <w:lang w:eastAsia="zh-CN" w:bidi="ta-IN"/>
              </w:rPr>
              <w:t xml:space="preserve">Claimant </w:t>
            </w:r>
          </w:p>
        </w:tc>
      </w:tr>
      <w:tr w:rsidR="002F7D75" w:rsidRPr="009D531E" w14:paraId="2EAEC865" w14:textId="77777777" w:rsidTr="002F7D75">
        <w:trPr>
          <w:trHeight w:val="757"/>
        </w:trPr>
        <w:tc>
          <w:tcPr>
            <w:tcW w:w="1418" w:type="dxa"/>
          </w:tcPr>
          <w:p w14:paraId="70E71ED4" w14:textId="77777777" w:rsidR="002F7D75" w:rsidRPr="009D531E" w:rsidRDefault="002F7D75" w:rsidP="009D531E">
            <w:pPr>
              <w:spacing w:line="360" w:lineRule="auto"/>
              <w:jc w:val="center"/>
              <w:rPr>
                <w:rFonts w:ascii="Arial" w:hAnsi="Arial" w:cs="Arial"/>
                <w:lang w:eastAsia="zh-CN" w:bidi="ta-IN"/>
              </w:rPr>
            </w:pPr>
          </w:p>
        </w:tc>
        <w:tc>
          <w:tcPr>
            <w:tcW w:w="6237" w:type="dxa"/>
          </w:tcPr>
          <w:p w14:paraId="04F835E6" w14:textId="32FD6C51" w:rsidR="002F7D75" w:rsidRPr="009D531E" w:rsidRDefault="002F7D75" w:rsidP="009D531E">
            <w:pPr>
              <w:spacing w:line="360" w:lineRule="auto"/>
              <w:jc w:val="center"/>
              <w:rPr>
                <w:rFonts w:ascii="Arial" w:eastAsia="PMingLiU" w:hAnsi="Arial" w:cs="Arial"/>
                <w:lang w:eastAsia="zh-CN" w:bidi="ta-IN"/>
              </w:rPr>
            </w:pPr>
            <w:r w:rsidRPr="009D531E">
              <w:rPr>
                <w:rFonts w:ascii="Arial" w:eastAsia="PMingLiU" w:hAnsi="Arial" w:cs="Arial"/>
                <w:lang w:eastAsia="zh-CN" w:bidi="ta-IN"/>
              </w:rPr>
              <w:t>-and-</w:t>
            </w:r>
          </w:p>
        </w:tc>
        <w:tc>
          <w:tcPr>
            <w:tcW w:w="1380" w:type="dxa"/>
          </w:tcPr>
          <w:p w14:paraId="41387A0B" w14:textId="77777777" w:rsidR="002F7D75" w:rsidRPr="009D531E" w:rsidRDefault="002F7D75" w:rsidP="009D531E">
            <w:pPr>
              <w:spacing w:line="360" w:lineRule="auto"/>
              <w:jc w:val="right"/>
              <w:rPr>
                <w:rFonts w:ascii="Arial" w:eastAsia="PMingLiU" w:hAnsi="Arial" w:cs="Arial"/>
                <w:lang w:eastAsia="zh-CN" w:bidi="ta-IN"/>
              </w:rPr>
            </w:pPr>
          </w:p>
        </w:tc>
      </w:tr>
      <w:tr w:rsidR="002F7D75" w:rsidRPr="009D531E" w14:paraId="2F590B3C" w14:textId="77777777" w:rsidTr="002F7D75">
        <w:trPr>
          <w:trHeight w:val="757"/>
        </w:trPr>
        <w:tc>
          <w:tcPr>
            <w:tcW w:w="1418" w:type="dxa"/>
          </w:tcPr>
          <w:p w14:paraId="44B27D71" w14:textId="7E9863DF" w:rsidR="002F7D75" w:rsidRPr="009D531E" w:rsidRDefault="002F7D75" w:rsidP="009D531E">
            <w:pPr>
              <w:spacing w:line="360" w:lineRule="auto"/>
              <w:jc w:val="center"/>
              <w:rPr>
                <w:rFonts w:ascii="Arial" w:hAnsi="Arial" w:cs="Arial"/>
                <w:lang w:eastAsia="zh-CN" w:bidi="ta-IN"/>
              </w:rPr>
            </w:pPr>
          </w:p>
        </w:tc>
        <w:tc>
          <w:tcPr>
            <w:tcW w:w="6237" w:type="dxa"/>
          </w:tcPr>
          <w:p w14:paraId="024AA0B7" w14:textId="5E8E55F3" w:rsidR="002F7D75" w:rsidRPr="009D531E" w:rsidRDefault="002F7D75" w:rsidP="009D531E">
            <w:pPr>
              <w:spacing w:line="360" w:lineRule="auto"/>
              <w:jc w:val="center"/>
              <w:rPr>
                <w:rFonts w:ascii="Arial" w:eastAsia="PMingLiU" w:hAnsi="Arial" w:cs="Arial"/>
                <w:lang w:eastAsia="zh-CN" w:bidi="ta-IN"/>
              </w:rPr>
            </w:pPr>
            <w:r w:rsidRPr="009D531E">
              <w:rPr>
                <w:rFonts w:ascii="Arial" w:eastAsia="PMingLiU" w:hAnsi="Arial" w:cs="Arial"/>
                <w:lang w:eastAsia="zh-CN" w:bidi="ta-IN"/>
              </w:rPr>
              <w:t>JENNIFER WILLIAMS</w:t>
            </w:r>
          </w:p>
        </w:tc>
        <w:tc>
          <w:tcPr>
            <w:tcW w:w="1380" w:type="dxa"/>
          </w:tcPr>
          <w:p w14:paraId="04042DAD" w14:textId="77777777" w:rsidR="002F7D75" w:rsidRPr="009D531E" w:rsidRDefault="002F7D75" w:rsidP="009D531E">
            <w:pPr>
              <w:spacing w:line="360" w:lineRule="auto"/>
              <w:jc w:val="right"/>
              <w:rPr>
                <w:rFonts w:ascii="Arial" w:eastAsia="PMingLiU" w:hAnsi="Arial" w:cs="Arial"/>
                <w:lang w:eastAsia="zh-CN" w:bidi="ta-IN"/>
              </w:rPr>
            </w:pPr>
            <w:r w:rsidRPr="009D531E">
              <w:rPr>
                <w:rFonts w:ascii="Arial" w:eastAsia="PMingLiU" w:hAnsi="Arial" w:cs="Arial"/>
                <w:u w:val="single"/>
                <w:lang w:eastAsia="zh-CN" w:bidi="ta-IN"/>
              </w:rPr>
              <w:t>Defendant</w:t>
            </w:r>
          </w:p>
        </w:tc>
      </w:tr>
    </w:tbl>
    <w:p w14:paraId="3D2FCE0E" w14:textId="77777777" w:rsidR="002F7D75" w:rsidRPr="009D531E" w:rsidRDefault="002F7D75" w:rsidP="009D531E">
      <w:pPr>
        <w:tabs>
          <w:tab w:val="left" w:pos="2656"/>
        </w:tabs>
        <w:autoSpaceDE w:val="0"/>
        <w:autoSpaceDN w:val="0"/>
        <w:adjustRightInd w:val="0"/>
        <w:spacing w:line="360" w:lineRule="auto"/>
        <w:rPr>
          <w:rFonts w:ascii="Arial" w:hAnsi="Arial" w:cs="Arial"/>
          <w:b/>
          <w:bCs/>
          <w:lang w:bidi="ta-IN"/>
        </w:rPr>
      </w:pPr>
      <w:r w:rsidRPr="009D531E">
        <w:rPr>
          <w:rFonts w:ascii="Arial" w:hAnsi="Arial" w:cs="Arial"/>
          <w:b/>
          <w:bCs/>
          <w:lang w:bidi="ta-IN"/>
        </w:rPr>
        <w:tab/>
      </w:r>
    </w:p>
    <w:p w14:paraId="6E00CF5E" w14:textId="77777777" w:rsidR="002F7D75" w:rsidRPr="009D531E" w:rsidRDefault="002F7D75" w:rsidP="009D531E">
      <w:pPr>
        <w:pBdr>
          <w:top w:val="single" w:sz="4" w:space="1" w:color="auto"/>
          <w:bottom w:val="single" w:sz="4" w:space="1" w:color="auto"/>
        </w:pBdr>
        <w:autoSpaceDE w:val="0"/>
        <w:autoSpaceDN w:val="0"/>
        <w:adjustRightInd w:val="0"/>
        <w:spacing w:line="360" w:lineRule="auto"/>
        <w:jc w:val="center"/>
        <w:rPr>
          <w:rFonts w:ascii="Arial" w:hAnsi="Arial" w:cs="Arial"/>
          <w:b/>
          <w:bCs/>
          <w:sz w:val="14"/>
          <w:szCs w:val="14"/>
          <w:lang w:bidi="ta-IN"/>
        </w:rPr>
      </w:pPr>
    </w:p>
    <w:p w14:paraId="5E43DA8D" w14:textId="5347CF6E" w:rsidR="002F7D75" w:rsidRDefault="002F7D75" w:rsidP="009D531E">
      <w:pPr>
        <w:pBdr>
          <w:top w:val="single" w:sz="4" w:space="1" w:color="auto"/>
          <w:bottom w:val="single" w:sz="4" w:space="1" w:color="auto"/>
        </w:pBdr>
        <w:autoSpaceDE w:val="0"/>
        <w:autoSpaceDN w:val="0"/>
        <w:adjustRightInd w:val="0"/>
        <w:spacing w:line="360" w:lineRule="auto"/>
        <w:jc w:val="center"/>
        <w:rPr>
          <w:rFonts w:ascii="Arial" w:eastAsiaTheme="majorEastAsia" w:hAnsi="Arial" w:cs="Arial"/>
          <w:b/>
          <w:bCs/>
          <w:lang w:bidi="ta-IN"/>
        </w:rPr>
      </w:pPr>
      <w:r w:rsidRPr="009D531E">
        <w:rPr>
          <w:rFonts w:ascii="Arial" w:hAnsi="Arial" w:cs="Arial"/>
          <w:b/>
          <w:bCs/>
          <w:lang w:bidi="ta-IN"/>
        </w:rPr>
        <w:t xml:space="preserve">Skeleton argument on behalf of </w:t>
      </w:r>
      <w:r w:rsidR="00395A18">
        <w:rPr>
          <w:rFonts w:ascii="Arial" w:eastAsiaTheme="majorEastAsia" w:hAnsi="Arial" w:cs="Arial"/>
          <w:b/>
          <w:bCs/>
          <w:lang w:bidi="ta-IN"/>
        </w:rPr>
        <w:t>the Defendant, Jennifer William</w:t>
      </w:r>
      <w:r w:rsidR="004E456B">
        <w:rPr>
          <w:rFonts w:ascii="Arial" w:eastAsiaTheme="majorEastAsia" w:hAnsi="Arial" w:cs="Arial"/>
          <w:b/>
          <w:bCs/>
          <w:lang w:bidi="ta-IN"/>
        </w:rPr>
        <w:t>s</w:t>
      </w:r>
    </w:p>
    <w:p w14:paraId="73C8006B" w14:textId="77777777" w:rsidR="009D531E" w:rsidRPr="009D531E" w:rsidRDefault="009D531E" w:rsidP="009D531E">
      <w:pPr>
        <w:pBdr>
          <w:top w:val="single" w:sz="4" w:space="1" w:color="auto"/>
          <w:bottom w:val="single" w:sz="4" w:space="1" w:color="auto"/>
        </w:pBdr>
        <w:autoSpaceDE w:val="0"/>
        <w:autoSpaceDN w:val="0"/>
        <w:adjustRightInd w:val="0"/>
        <w:jc w:val="center"/>
        <w:rPr>
          <w:rFonts w:ascii="Arial" w:hAnsi="Arial" w:cs="Arial"/>
          <w:b/>
          <w:bCs/>
          <w:sz w:val="14"/>
          <w:szCs w:val="14"/>
          <w:lang w:bidi="ta-IN"/>
        </w:rPr>
      </w:pPr>
    </w:p>
    <w:p w14:paraId="4BB50508" w14:textId="77777777" w:rsidR="005F216E" w:rsidRPr="009D531E" w:rsidRDefault="005F216E" w:rsidP="009D531E">
      <w:pPr>
        <w:pStyle w:val="Heading1"/>
      </w:pPr>
      <w:r w:rsidRPr="009D531E">
        <w:t>Introduction</w:t>
      </w:r>
    </w:p>
    <w:p w14:paraId="62083873" w14:textId="28739D01" w:rsidR="00A40C37" w:rsidRDefault="00A40C37" w:rsidP="009D531E">
      <w:pPr>
        <w:pStyle w:val="Heading2"/>
        <w:rPr>
          <w:color w:val="000000" w:themeColor="text1"/>
        </w:rPr>
      </w:pPr>
      <w:r w:rsidRPr="00C91AF2">
        <w:rPr>
          <w:color w:val="000000" w:themeColor="text1"/>
        </w:rPr>
        <w:t xml:space="preserve">The Defendant’s position </w:t>
      </w:r>
      <w:r w:rsidR="001C328D" w:rsidRPr="00C91AF2">
        <w:rPr>
          <w:color w:val="000000" w:themeColor="text1"/>
        </w:rPr>
        <w:t>in response to the Claimant’s claim for a beneficial interest</w:t>
      </w:r>
      <w:r w:rsidR="000E0EDB" w:rsidRPr="00C91AF2">
        <w:rPr>
          <w:color w:val="000000" w:themeColor="text1"/>
        </w:rPr>
        <w:t xml:space="preserve"> in the property at 14 Oak Lane is outlined</w:t>
      </w:r>
      <w:r w:rsidR="00C91AF2" w:rsidRPr="00C91AF2">
        <w:rPr>
          <w:color w:val="000000" w:themeColor="text1"/>
        </w:rPr>
        <w:t xml:space="preserve"> in this Skeleton Argument.</w:t>
      </w:r>
      <w:r w:rsidR="00247123">
        <w:rPr>
          <w:color w:val="000000" w:themeColor="text1"/>
        </w:rPr>
        <w:t xml:space="preserve"> The defendant asks the court to re</w:t>
      </w:r>
      <w:r w:rsidR="00220742">
        <w:rPr>
          <w:color w:val="000000" w:themeColor="text1"/>
        </w:rPr>
        <w:t>consider</w:t>
      </w:r>
      <w:r w:rsidR="00247123">
        <w:rPr>
          <w:color w:val="000000" w:themeColor="text1"/>
        </w:rPr>
        <w:t xml:space="preserve"> the claim on the grounds that the circumstances do not support either an estoppel of right or a </w:t>
      </w:r>
      <w:r w:rsidR="00220742">
        <w:rPr>
          <w:color w:val="000000" w:themeColor="text1"/>
        </w:rPr>
        <w:t>constructive</w:t>
      </w:r>
      <w:r w:rsidR="00247123">
        <w:rPr>
          <w:color w:val="000000" w:themeColor="text1"/>
        </w:rPr>
        <w:t xml:space="preserve"> </w:t>
      </w:r>
      <w:r w:rsidR="00220742">
        <w:rPr>
          <w:color w:val="000000" w:themeColor="text1"/>
        </w:rPr>
        <w:t>trust</w:t>
      </w:r>
      <w:r w:rsidR="00247123">
        <w:rPr>
          <w:color w:val="000000" w:themeColor="text1"/>
        </w:rPr>
        <w:t xml:space="preserve"> </w:t>
      </w:r>
      <w:r w:rsidR="00220742">
        <w:rPr>
          <w:color w:val="000000" w:themeColor="text1"/>
        </w:rPr>
        <w:t>based</w:t>
      </w:r>
      <w:r w:rsidR="00247123">
        <w:rPr>
          <w:color w:val="000000" w:themeColor="text1"/>
        </w:rPr>
        <w:t xml:space="preserve"> </w:t>
      </w:r>
      <w:r w:rsidR="00220742">
        <w:rPr>
          <w:color w:val="000000" w:themeColor="text1"/>
        </w:rPr>
        <w:t>on a shared purpose</w:t>
      </w:r>
      <w:r w:rsidR="00247123">
        <w:rPr>
          <w:color w:val="000000" w:themeColor="text1"/>
        </w:rPr>
        <w:t>.</w:t>
      </w:r>
    </w:p>
    <w:p w14:paraId="74F9E44B" w14:textId="77777777" w:rsidR="00EB2928" w:rsidRPr="00EB2928" w:rsidRDefault="00EB2928" w:rsidP="00EB2928"/>
    <w:p w14:paraId="6DE7295B" w14:textId="64354A9D" w:rsidR="009B2527" w:rsidRPr="00CF744F" w:rsidRDefault="000D2437" w:rsidP="009B2527">
      <w:pPr>
        <w:pStyle w:val="Heading2"/>
        <w:rPr>
          <w:color w:val="000000" w:themeColor="text1"/>
        </w:rPr>
      </w:pPr>
      <w:r>
        <w:rPr>
          <w:color w:val="000000" w:themeColor="text1"/>
        </w:rPr>
        <w:t>The defendant requests an order confirming</w:t>
      </w:r>
      <w:r w:rsidR="00EF2E48">
        <w:rPr>
          <w:color w:val="000000" w:themeColor="text1"/>
        </w:rPr>
        <w:t xml:space="preserve"> her exclusive beneficial and legal ownership of the property</w:t>
      </w:r>
      <w:r w:rsidR="008C08BC">
        <w:rPr>
          <w:color w:val="000000" w:themeColor="text1"/>
        </w:rPr>
        <w:t>. The claiman</w:t>
      </w:r>
      <w:r w:rsidR="00551214">
        <w:rPr>
          <w:color w:val="000000" w:themeColor="text1"/>
        </w:rPr>
        <w:t>t</w:t>
      </w:r>
      <w:r w:rsidR="008C08BC">
        <w:rPr>
          <w:color w:val="000000" w:themeColor="text1"/>
        </w:rPr>
        <w:t xml:space="preserve"> is unable to provide an</w:t>
      </w:r>
      <w:r w:rsidR="00551214">
        <w:rPr>
          <w:color w:val="000000" w:themeColor="text1"/>
        </w:rPr>
        <w:t>y</w:t>
      </w:r>
      <w:r w:rsidR="008C08BC">
        <w:rPr>
          <w:color w:val="000000" w:themeColor="text1"/>
        </w:rPr>
        <w:t xml:space="preserve"> evidence of a clear</w:t>
      </w:r>
      <w:r w:rsidR="00D363B0">
        <w:rPr>
          <w:color w:val="000000" w:themeColor="text1"/>
        </w:rPr>
        <w:t xml:space="preserve"> enough guarantee or harm to support propriet</w:t>
      </w:r>
      <w:r w:rsidR="00551214">
        <w:rPr>
          <w:color w:val="000000" w:themeColor="text1"/>
        </w:rPr>
        <w:t>ary estoppel, nor can they show any clear or suggested shared desire to share ownership</w:t>
      </w:r>
    </w:p>
    <w:p w14:paraId="74D96C8C" w14:textId="77777777" w:rsidR="005F216E" w:rsidRPr="009D531E" w:rsidRDefault="005F216E" w:rsidP="009D531E">
      <w:pPr>
        <w:pStyle w:val="Heading1"/>
      </w:pPr>
      <w:r w:rsidRPr="009D531E">
        <w:t>The issues</w:t>
      </w:r>
    </w:p>
    <w:p w14:paraId="4E446F84" w14:textId="77777777" w:rsidR="00665447" w:rsidRDefault="001D3BE9" w:rsidP="009D531E">
      <w:pPr>
        <w:pStyle w:val="Heading2"/>
        <w:rPr>
          <w:color w:val="000000"/>
        </w:rPr>
      </w:pPr>
      <w:r>
        <w:rPr>
          <w:color w:val="000000"/>
        </w:rPr>
        <w:t xml:space="preserve">The Court </w:t>
      </w:r>
      <w:r w:rsidR="00504425">
        <w:rPr>
          <w:color w:val="000000"/>
        </w:rPr>
        <w:t>must</w:t>
      </w:r>
      <w:r>
        <w:rPr>
          <w:color w:val="000000"/>
        </w:rPr>
        <w:t xml:space="preserve"> decide</w:t>
      </w:r>
      <w:r w:rsidR="00DF39E6">
        <w:rPr>
          <w:color w:val="000000"/>
        </w:rPr>
        <w:t xml:space="preserve"> two matters: </w:t>
      </w:r>
    </w:p>
    <w:p w14:paraId="17ABD795" w14:textId="0C810FB6" w:rsidR="001D3BE9" w:rsidRDefault="00625597" w:rsidP="00665447">
      <w:pPr>
        <w:pStyle w:val="Heading2"/>
        <w:numPr>
          <w:ilvl w:val="0"/>
          <w:numId w:val="17"/>
        </w:numPr>
        <w:rPr>
          <w:color w:val="000000"/>
        </w:rPr>
      </w:pPr>
      <w:r>
        <w:rPr>
          <w:color w:val="000000"/>
        </w:rPr>
        <w:t>Whether a. constructive trust with a shared intention grants the claimant a benefi</w:t>
      </w:r>
      <w:r w:rsidR="00A72B48">
        <w:rPr>
          <w:color w:val="000000"/>
        </w:rPr>
        <w:t>cial</w:t>
      </w:r>
      <w:r>
        <w:rPr>
          <w:color w:val="000000"/>
        </w:rPr>
        <w:t xml:space="preserve"> interest</w:t>
      </w:r>
      <w:r w:rsidR="00A72B48">
        <w:rPr>
          <w:color w:val="000000"/>
        </w:rPr>
        <w:t>.</w:t>
      </w:r>
    </w:p>
    <w:p w14:paraId="67F63F50" w14:textId="17D7C827" w:rsidR="002678B0" w:rsidRPr="000D51C6" w:rsidRDefault="00421597" w:rsidP="002678B0">
      <w:pPr>
        <w:pStyle w:val="ListParagraph"/>
        <w:numPr>
          <w:ilvl w:val="0"/>
          <w:numId w:val="17"/>
        </w:numPr>
        <w:rPr>
          <w:rFonts w:ascii="Arial" w:hAnsi="Arial" w:cs="Arial"/>
        </w:rPr>
      </w:pPr>
      <w:r w:rsidRPr="001F0520">
        <w:rPr>
          <w:rFonts w:ascii="Arial" w:hAnsi="Arial" w:cs="Arial"/>
        </w:rPr>
        <w:t>If a proprietary estoppel occurs, she may be en</w:t>
      </w:r>
      <w:r w:rsidR="001F0520" w:rsidRPr="001F0520">
        <w:rPr>
          <w:rFonts w:ascii="Arial" w:hAnsi="Arial" w:cs="Arial"/>
        </w:rPr>
        <w:t>titled to a share</w:t>
      </w:r>
    </w:p>
    <w:p w14:paraId="5520ACEB" w14:textId="77777777" w:rsidR="002678B0" w:rsidRPr="002678B0" w:rsidRDefault="002678B0" w:rsidP="002678B0"/>
    <w:p w14:paraId="3E7DCF87" w14:textId="355B6987" w:rsidR="009E15CB" w:rsidRPr="00807D55" w:rsidRDefault="0008721A" w:rsidP="00807D55">
      <w:pPr>
        <w:pStyle w:val="Heading2"/>
        <w:rPr>
          <w:sz w:val="28"/>
          <w:szCs w:val="28"/>
        </w:rPr>
      </w:pPr>
      <w:r w:rsidRPr="00807D55">
        <w:rPr>
          <w:color w:val="000000"/>
        </w:rPr>
        <w:lastRenderedPageBreak/>
        <w:t>The disputed facts include whether the £5,000 payment was connected to purchasing, whether household contributions suggest</w:t>
      </w:r>
      <w:r w:rsidR="00381627" w:rsidRPr="00807D55">
        <w:rPr>
          <w:color w:val="000000"/>
        </w:rPr>
        <w:t xml:space="preserve"> a shared intention, whether the Defendant gave any ownership guarantees, and whether the claimant’s action went beyond simple </w:t>
      </w:r>
      <w:r w:rsidR="00650104" w:rsidRPr="00807D55">
        <w:rPr>
          <w:color w:val="000000"/>
        </w:rPr>
        <w:t>cohabitation. The defendant disputes the existence of either proprietary estoppel or constructi</w:t>
      </w:r>
      <w:r w:rsidR="00807D55" w:rsidRPr="00807D55">
        <w:rPr>
          <w:color w:val="000000"/>
        </w:rPr>
        <w:t>ve trust.</w:t>
      </w:r>
    </w:p>
    <w:p w14:paraId="7B2205B7" w14:textId="77777777" w:rsidR="005F216E" w:rsidRPr="009D531E" w:rsidRDefault="005F216E" w:rsidP="009D531E">
      <w:pPr>
        <w:pStyle w:val="Heading1"/>
      </w:pPr>
      <w:r w:rsidRPr="009D531E">
        <w:t>The facts</w:t>
      </w:r>
    </w:p>
    <w:p w14:paraId="63423B6F" w14:textId="1E844A9B" w:rsidR="005F216E" w:rsidRPr="00F04DE8" w:rsidRDefault="00F04DE8" w:rsidP="00F04DE8">
      <w:pPr>
        <w:pStyle w:val="Heading2"/>
        <w:spacing w:before="360"/>
        <w:rPr>
          <w:color w:val="000000"/>
          <w:sz w:val="20"/>
          <w:szCs w:val="22"/>
        </w:rPr>
      </w:pPr>
      <w:r w:rsidRPr="00F04DE8">
        <w:rPr>
          <w:rFonts w:cs="Arial"/>
          <w:color w:val="000000"/>
          <w:szCs w:val="24"/>
        </w:rPr>
        <w:t>Before cohabitation, the defendant bought 14 Oak Lane under her own name. Neither the deposit nor the mortgage was ever paid for by the claimant. Through a joint account that was only used for living expenses, the claimant regularly paid for food, utilities, and daycare. The defendant claims that the £5,000 payment was made during a challenging financial time and was meant to support the household rather than the purchase. Ownership was never a topic for discussion. The claimant claims she “assumed” they would share everything, but there is no evidence that this was their purpose. The defendant’s evidence demonstrates that no proprietary rights were considered and that funds were kept apart</w:t>
      </w:r>
    </w:p>
    <w:p w14:paraId="020D26B5" w14:textId="77777777" w:rsidR="005F216E" w:rsidRPr="009D531E" w:rsidRDefault="005F216E" w:rsidP="009D531E">
      <w:pPr>
        <w:pStyle w:val="Heading1"/>
        <w:numPr>
          <w:ilvl w:val="0"/>
          <w:numId w:val="0"/>
        </w:numPr>
        <w:ind w:left="680" w:hanging="680"/>
        <w:rPr>
          <w:rStyle w:val="SubtleEmphasis"/>
          <w:b/>
          <w:iCs w:val="0"/>
        </w:rPr>
      </w:pPr>
      <w:r w:rsidRPr="009D531E">
        <w:rPr>
          <w:rStyle w:val="SubtleEmphasis"/>
          <w:b/>
          <w:iCs w:val="0"/>
        </w:rPr>
        <w:t>Claim arising under a constructive trust</w:t>
      </w:r>
    </w:p>
    <w:p w14:paraId="37E43624" w14:textId="77777777" w:rsidR="00F04DE8" w:rsidRDefault="005F216E" w:rsidP="009D531E">
      <w:pPr>
        <w:pStyle w:val="Heading1"/>
      </w:pPr>
      <w:r w:rsidRPr="009D531E">
        <w:t>The law</w:t>
      </w:r>
    </w:p>
    <w:p w14:paraId="678539B8" w14:textId="77777777" w:rsidR="00457A0B" w:rsidRDefault="00C04055" w:rsidP="00F04DE8">
      <w:pPr>
        <w:pStyle w:val="Heading2"/>
        <w:rPr>
          <w:color w:val="000000" w:themeColor="text1"/>
        </w:rPr>
      </w:pPr>
      <w:r w:rsidRPr="00905592">
        <w:rPr>
          <w:color w:val="000000" w:themeColor="text1"/>
        </w:rPr>
        <w:t>According to Stack</w:t>
      </w:r>
      <w:r w:rsidR="001C790A" w:rsidRPr="00905592">
        <w:rPr>
          <w:color w:val="000000" w:themeColor="text1"/>
        </w:rPr>
        <w:t xml:space="preserve"> v Dowden and Jones v Kernott, in situ</w:t>
      </w:r>
      <w:r w:rsidR="007D0C75" w:rsidRPr="00905592">
        <w:rPr>
          <w:color w:val="000000" w:themeColor="text1"/>
        </w:rPr>
        <w:t>ations involvi</w:t>
      </w:r>
      <w:r w:rsidR="003A1DF4" w:rsidRPr="00905592">
        <w:rPr>
          <w:color w:val="000000" w:themeColor="text1"/>
        </w:rPr>
        <w:t>ng the sole legal ownership</w:t>
      </w:r>
      <w:r w:rsidR="0072498F" w:rsidRPr="00905592">
        <w:rPr>
          <w:color w:val="000000" w:themeColor="text1"/>
        </w:rPr>
        <w:t>, the claimant must show a shared common purpose that she would have a beneficial interest</w:t>
      </w:r>
      <w:r w:rsidR="001F520B" w:rsidRPr="00905592">
        <w:rPr>
          <w:color w:val="000000" w:themeColor="text1"/>
        </w:rPr>
        <w:t>.</w:t>
      </w:r>
      <w:r w:rsidR="00AA6BA9" w:rsidRPr="00905592">
        <w:rPr>
          <w:color w:val="000000" w:themeColor="text1"/>
        </w:rPr>
        <w:t xml:space="preserve"> (Citylawtutors, 2025).</w:t>
      </w:r>
      <w:r w:rsidR="005E0719" w:rsidRPr="00905592">
        <w:rPr>
          <w:color w:val="000000" w:themeColor="text1"/>
        </w:rPr>
        <w:t xml:space="preserve"> According to Grant v</w:t>
      </w:r>
      <w:r w:rsidR="007E35AF" w:rsidRPr="00905592">
        <w:rPr>
          <w:color w:val="000000" w:themeColor="text1"/>
        </w:rPr>
        <w:t xml:space="preserve"> Edwards and Eves v Eves, this purpose must be demonstrated either by a)</w:t>
      </w:r>
      <w:r w:rsidR="00804C2B" w:rsidRPr="00905592">
        <w:rPr>
          <w:color w:val="000000" w:themeColor="text1"/>
        </w:rPr>
        <w:t xml:space="preserve"> direct conversations or b) inference from behav</w:t>
      </w:r>
      <w:r w:rsidR="00905592" w:rsidRPr="00905592">
        <w:rPr>
          <w:color w:val="000000" w:themeColor="text1"/>
        </w:rPr>
        <w:t>iour “unequivocally referable” to the property. Unilateral belief is not enough. (UOLLB, 2024).</w:t>
      </w:r>
      <w:r w:rsidR="00457A0B">
        <w:rPr>
          <w:color w:val="000000" w:themeColor="text1"/>
        </w:rPr>
        <w:t xml:space="preserve"> </w:t>
      </w:r>
    </w:p>
    <w:p w14:paraId="2AA4C657" w14:textId="77777777" w:rsidR="004713FE" w:rsidRDefault="00457A0B" w:rsidP="00457A0B">
      <w:pPr>
        <w:pStyle w:val="Heading2"/>
        <w:numPr>
          <w:ilvl w:val="0"/>
          <w:numId w:val="0"/>
        </w:numPr>
        <w:ind w:left="680"/>
        <w:rPr>
          <w:color w:val="000000" w:themeColor="text1"/>
        </w:rPr>
      </w:pPr>
      <w:r>
        <w:rPr>
          <w:color w:val="000000" w:themeColor="text1"/>
        </w:rPr>
        <w:t xml:space="preserve">According to </w:t>
      </w:r>
      <w:r w:rsidR="00B75E8D">
        <w:rPr>
          <w:color w:val="000000" w:themeColor="text1"/>
        </w:rPr>
        <w:t>Burns v Burns, household or domestic contributions, such as paying for electricity, daycare, or basic living expen</w:t>
      </w:r>
      <w:r w:rsidR="00CD31B6">
        <w:rPr>
          <w:color w:val="000000" w:themeColor="text1"/>
        </w:rPr>
        <w:t>ses, typically do not reflect a shared desire. (FJG</w:t>
      </w:r>
      <w:r w:rsidR="001D3C18">
        <w:rPr>
          <w:color w:val="000000" w:themeColor="text1"/>
        </w:rPr>
        <w:t>, 2025). According to James v Thomas, courts are cautious</w:t>
      </w:r>
      <w:r w:rsidR="003C073D">
        <w:rPr>
          <w:color w:val="000000" w:themeColor="text1"/>
        </w:rPr>
        <w:t xml:space="preserve"> when applying purpose from marital arrang</w:t>
      </w:r>
      <w:r w:rsidR="00FB0163">
        <w:rPr>
          <w:color w:val="000000" w:themeColor="text1"/>
        </w:rPr>
        <w:t>e</w:t>
      </w:r>
      <w:r w:rsidR="003C073D">
        <w:rPr>
          <w:color w:val="000000" w:themeColor="text1"/>
        </w:rPr>
        <w:t xml:space="preserve">ments because they </w:t>
      </w:r>
      <w:r w:rsidR="003C073D">
        <w:rPr>
          <w:color w:val="000000" w:themeColor="text1"/>
        </w:rPr>
        <w:lastRenderedPageBreak/>
        <w:t>understand that actions taken out of love or conven</w:t>
      </w:r>
      <w:r w:rsidR="00555A1F">
        <w:rPr>
          <w:color w:val="000000" w:themeColor="text1"/>
        </w:rPr>
        <w:t>ience do not constitu</w:t>
      </w:r>
      <w:r w:rsidR="00FB0163">
        <w:rPr>
          <w:color w:val="000000" w:themeColor="text1"/>
        </w:rPr>
        <w:t>t</w:t>
      </w:r>
      <w:r w:rsidR="00555A1F">
        <w:rPr>
          <w:color w:val="000000" w:themeColor="text1"/>
        </w:rPr>
        <w:t>e financial contributio</w:t>
      </w:r>
      <w:r w:rsidR="00FB0163">
        <w:rPr>
          <w:color w:val="000000" w:themeColor="text1"/>
        </w:rPr>
        <w:t>ns. (Casemine, 2023)</w:t>
      </w:r>
      <w:r w:rsidR="00C84DD1">
        <w:rPr>
          <w:color w:val="000000" w:themeColor="text1"/>
        </w:rPr>
        <w:t>.</w:t>
      </w:r>
      <w:r w:rsidR="00933D2B">
        <w:rPr>
          <w:color w:val="000000" w:themeColor="text1"/>
        </w:rPr>
        <w:t xml:space="preserve"> </w:t>
      </w:r>
    </w:p>
    <w:p w14:paraId="708FA5B6" w14:textId="5D088DD6" w:rsidR="00E415F3" w:rsidRPr="001130D8" w:rsidRDefault="00933D2B" w:rsidP="001130D8">
      <w:pPr>
        <w:pStyle w:val="Heading2"/>
        <w:numPr>
          <w:ilvl w:val="0"/>
          <w:numId w:val="0"/>
        </w:numPr>
        <w:ind w:left="680"/>
        <w:rPr>
          <w:color w:val="000000" w:themeColor="text1"/>
        </w:rPr>
      </w:pPr>
      <w:r>
        <w:rPr>
          <w:color w:val="000000" w:themeColor="text1"/>
        </w:rPr>
        <w:t>According to Lloyds Bank v R</w:t>
      </w:r>
      <w:r w:rsidR="00721224">
        <w:rPr>
          <w:color w:val="000000" w:themeColor="text1"/>
        </w:rPr>
        <w:t>osset</w:t>
      </w:r>
      <w:r w:rsidR="005A32E9">
        <w:rPr>
          <w:color w:val="000000" w:themeColor="text1"/>
        </w:rPr>
        <w:t>, contributions must be directly related to the purchase</w:t>
      </w:r>
      <w:r w:rsidR="004713FE">
        <w:rPr>
          <w:color w:val="000000" w:themeColor="text1"/>
        </w:rPr>
        <w:t>, mortgage, or major improvement of the property. (</w:t>
      </w:r>
      <w:proofErr w:type="spellStart"/>
      <w:r w:rsidR="004713FE">
        <w:rPr>
          <w:color w:val="000000" w:themeColor="text1"/>
        </w:rPr>
        <w:t>Vlex</w:t>
      </w:r>
      <w:proofErr w:type="spellEnd"/>
      <w:r w:rsidR="004713FE">
        <w:rPr>
          <w:color w:val="000000" w:themeColor="text1"/>
        </w:rPr>
        <w:t>, 2025).</w:t>
      </w:r>
      <w:r w:rsidR="0090365C">
        <w:rPr>
          <w:color w:val="000000" w:themeColor="text1"/>
        </w:rPr>
        <w:t xml:space="preserve"> According to Geary v Rankie, a contribution that just makes it possible for the legal owner to ful</w:t>
      </w:r>
      <w:r w:rsidR="00CF124B">
        <w:rPr>
          <w:color w:val="000000" w:themeColor="text1"/>
        </w:rPr>
        <w:t>fil financial responsibilities is insufficient. There is no disagreement about the leg</w:t>
      </w:r>
      <w:r w:rsidR="001130D8">
        <w:rPr>
          <w:color w:val="000000" w:themeColor="text1"/>
        </w:rPr>
        <w:t>islation; the problem is how it should be applied. (IPSA, 2022).</w:t>
      </w:r>
    </w:p>
    <w:p w14:paraId="0808BE11" w14:textId="77777777" w:rsidR="005F216E" w:rsidRPr="009D531E" w:rsidRDefault="005F216E" w:rsidP="009D531E">
      <w:pPr>
        <w:pStyle w:val="Heading1"/>
      </w:pPr>
      <w:r w:rsidRPr="009D531E">
        <w:t xml:space="preserve">Submissions </w:t>
      </w:r>
    </w:p>
    <w:p w14:paraId="6F5860F6" w14:textId="00E9CEFD" w:rsidR="00500E0B" w:rsidRPr="009828C9" w:rsidRDefault="00500E0B" w:rsidP="009D531E">
      <w:pPr>
        <w:pStyle w:val="Heading2"/>
        <w:rPr>
          <w:color w:val="000000" w:themeColor="text1"/>
        </w:rPr>
      </w:pPr>
      <w:r w:rsidRPr="009828C9">
        <w:rPr>
          <w:color w:val="000000" w:themeColor="text1"/>
        </w:rPr>
        <w:t>The claimant is unable to meet the standard of proving a shared intention. There is no proof that beneficial ownership was specifically discussed. The claimant claims that she “assumed” a shared ownership</w:t>
      </w:r>
      <w:r w:rsidR="007F43A4" w:rsidRPr="009828C9">
        <w:rPr>
          <w:color w:val="000000" w:themeColor="text1"/>
        </w:rPr>
        <w:t xml:space="preserve"> model based on her own expectations rather than a common or stated desire with the defendant.</w:t>
      </w:r>
    </w:p>
    <w:p w14:paraId="1B48F354" w14:textId="32FC90E6" w:rsidR="00F463F8" w:rsidRDefault="008514BC" w:rsidP="007257DD">
      <w:pPr>
        <w:pStyle w:val="Heading2"/>
        <w:numPr>
          <w:ilvl w:val="0"/>
          <w:numId w:val="0"/>
        </w:numPr>
        <w:ind w:left="680"/>
        <w:rPr>
          <w:color w:val="000000" w:themeColor="text1"/>
        </w:rPr>
      </w:pPr>
      <w:r w:rsidRPr="00F463F8">
        <w:rPr>
          <w:color w:val="000000" w:themeColor="text1"/>
        </w:rPr>
        <w:t>The £5,000 contribution does not imply any purpose. This was a donation</w:t>
      </w:r>
      <w:r w:rsidR="006E221D" w:rsidRPr="00F463F8">
        <w:rPr>
          <w:color w:val="000000" w:themeColor="text1"/>
        </w:rPr>
        <w:t xml:space="preserve"> to shared living expenses during a period of financial hardship, according to the evidence</w:t>
      </w:r>
      <w:r w:rsidR="00F463F8" w:rsidRPr="00F463F8">
        <w:rPr>
          <w:color w:val="000000" w:themeColor="text1"/>
        </w:rPr>
        <w:t>. It had no impact on the mortgage arrangement, was not paid to the conveyancer, and was not offered as a deposit contribution. According to Burns v Burns, supporting or indirect contributions are not enough. (FJG, 2025).</w:t>
      </w:r>
    </w:p>
    <w:p w14:paraId="1F4F02D8" w14:textId="77777777" w:rsidR="008D2B09" w:rsidRDefault="003D266B" w:rsidP="007257DD">
      <w:pPr>
        <w:pStyle w:val="Heading2"/>
        <w:numPr>
          <w:ilvl w:val="0"/>
          <w:numId w:val="0"/>
        </w:numPr>
        <w:ind w:left="680"/>
        <w:rPr>
          <w:color w:val="000000" w:themeColor="text1"/>
        </w:rPr>
      </w:pPr>
      <w:r>
        <w:rPr>
          <w:color w:val="000000" w:themeColor="text1"/>
        </w:rPr>
        <w:t xml:space="preserve">According to </w:t>
      </w:r>
      <w:r w:rsidR="000F6367">
        <w:rPr>
          <w:color w:val="000000" w:themeColor="text1"/>
        </w:rPr>
        <w:t xml:space="preserve">FJG (2025) and </w:t>
      </w:r>
      <w:r w:rsidR="001B3EEF">
        <w:rPr>
          <w:color w:val="000000" w:themeColor="text1"/>
        </w:rPr>
        <w:t>IPSA (2022)</w:t>
      </w:r>
      <w:r w:rsidR="00F67DD3">
        <w:rPr>
          <w:color w:val="000000" w:themeColor="text1"/>
        </w:rPr>
        <w:t>,</w:t>
      </w:r>
      <w:r w:rsidR="00B006A0">
        <w:rPr>
          <w:color w:val="000000" w:themeColor="text1"/>
        </w:rPr>
        <w:t xml:space="preserve"> the claimant’s reliance on contributions into the joint account and home bills is unsuccessful. These payments were not applied to the property’s capital value or the mortgage. Their chara</w:t>
      </w:r>
      <w:r w:rsidR="008D2B09">
        <w:rPr>
          <w:color w:val="000000" w:themeColor="text1"/>
        </w:rPr>
        <w:t>c</w:t>
      </w:r>
      <w:r w:rsidR="00B006A0">
        <w:rPr>
          <w:color w:val="000000" w:themeColor="text1"/>
        </w:rPr>
        <w:t>ter and intent match the kinds of contributions that were repeat</w:t>
      </w:r>
      <w:r w:rsidR="005A4C24">
        <w:rPr>
          <w:color w:val="000000" w:themeColor="text1"/>
        </w:rPr>
        <w:t>edly turned down in Burns v</w:t>
      </w:r>
      <w:r w:rsidR="00AB5D70">
        <w:rPr>
          <w:color w:val="000000" w:themeColor="text1"/>
        </w:rPr>
        <w:t xml:space="preserve"> </w:t>
      </w:r>
      <w:r w:rsidR="008D2B09">
        <w:rPr>
          <w:color w:val="000000" w:themeColor="text1"/>
        </w:rPr>
        <w:t>Burns and Geary v Rankine.</w:t>
      </w:r>
    </w:p>
    <w:p w14:paraId="72C7AAB0" w14:textId="680E9F26" w:rsidR="009828C9" w:rsidRPr="00220742" w:rsidRDefault="008D2B09" w:rsidP="00220742">
      <w:pPr>
        <w:pStyle w:val="Heading2"/>
        <w:numPr>
          <w:ilvl w:val="0"/>
          <w:numId w:val="0"/>
        </w:numPr>
        <w:ind w:left="680"/>
        <w:rPr>
          <w:color w:val="000000" w:themeColor="text1"/>
        </w:rPr>
      </w:pPr>
      <w:r>
        <w:rPr>
          <w:color w:val="000000" w:themeColor="text1"/>
        </w:rPr>
        <w:t xml:space="preserve"> </w:t>
      </w:r>
      <w:r w:rsidR="00637986">
        <w:rPr>
          <w:color w:val="000000" w:themeColor="text1"/>
        </w:rPr>
        <w:t>The</w:t>
      </w:r>
      <w:r w:rsidR="004611F0">
        <w:rPr>
          <w:color w:val="000000" w:themeColor="text1"/>
        </w:rPr>
        <w:t xml:space="preserve"> </w:t>
      </w:r>
      <w:r w:rsidR="00637986">
        <w:rPr>
          <w:color w:val="000000" w:themeColor="text1"/>
        </w:rPr>
        <w:t>parties’</w:t>
      </w:r>
      <w:r w:rsidR="004611F0">
        <w:rPr>
          <w:color w:val="000000" w:themeColor="text1"/>
        </w:rPr>
        <w:t xml:space="preserve"> </w:t>
      </w:r>
      <w:r w:rsidR="00637986">
        <w:rPr>
          <w:color w:val="000000" w:themeColor="text1"/>
        </w:rPr>
        <w:t>financial</w:t>
      </w:r>
      <w:r w:rsidR="004611F0">
        <w:rPr>
          <w:color w:val="000000" w:themeColor="text1"/>
        </w:rPr>
        <w:t xml:space="preserve"> </w:t>
      </w:r>
      <w:r w:rsidR="00637986">
        <w:rPr>
          <w:color w:val="000000" w:themeColor="text1"/>
        </w:rPr>
        <w:t>arrangement</w:t>
      </w:r>
      <w:r w:rsidR="004611F0">
        <w:rPr>
          <w:color w:val="000000" w:themeColor="text1"/>
        </w:rPr>
        <w:t>s strongly</w:t>
      </w:r>
      <w:r w:rsidR="00EA4977">
        <w:rPr>
          <w:color w:val="000000" w:themeColor="text1"/>
        </w:rPr>
        <w:t xml:space="preserve"> reject </w:t>
      </w:r>
      <w:r w:rsidR="00637986">
        <w:rPr>
          <w:color w:val="000000" w:themeColor="text1"/>
        </w:rPr>
        <w:t>an</w:t>
      </w:r>
      <w:r w:rsidR="00EA4977">
        <w:rPr>
          <w:color w:val="000000" w:themeColor="text1"/>
        </w:rPr>
        <w:t xml:space="preserve">y </w:t>
      </w:r>
      <w:r w:rsidR="00637986">
        <w:rPr>
          <w:color w:val="000000" w:themeColor="text1"/>
        </w:rPr>
        <w:t>desir</w:t>
      </w:r>
      <w:r w:rsidR="00EA4977">
        <w:rPr>
          <w:color w:val="000000" w:themeColor="text1"/>
        </w:rPr>
        <w:t xml:space="preserve">e </w:t>
      </w:r>
      <w:r w:rsidR="00637986">
        <w:rPr>
          <w:color w:val="000000" w:themeColor="text1"/>
        </w:rPr>
        <w:t>to</w:t>
      </w:r>
      <w:r w:rsidR="00EA4977">
        <w:rPr>
          <w:color w:val="000000" w:themeColor="text1"/>
        </w:rPr>
        <w:t xml:space="preserve"> </w:t>
      </w:r>
      <w:r w:rsidR="00637986">
        <w:rPr>
          <w:color w:val="000000" w:themeColor="text1"/>
        </w:rPr>
        <w:t>share</w:t>
      </w:r>
      <w:r w:rsidR="00EA4977">
        <w:rPr>
          <w:color w:val="000000" w:themeColor="text1"/>
        </w:rPr>
        <w:t xml:space="preserve"> </w:t>
      </w:r>
      <w:r w:rsidR="00637986">
        <w:rPr>
          <w:color w:val="000000" w:themeColor="text1"/>
        </w:rPr>
        <w:t>ownership</w:t>
      </w:r>
      <w:r w:rsidR="00EA4977">
        <w:rPr>
          <w:color w:val="000000" w:themeColor="text1"/>
        </w:rPr>
        <w:t>. (GOV.UK, 2024). The Claimant never requested visibility</w:t>
      </w:r>
      <w:r w:rsidR="00EF5116">
        <w:rPr>
          <w:color w:val="000000" w:themeColor="text1"/>
        </w:rPr>
        <w:t xml:space="preserve"> into or access to the Defendant’s separate mortgage account. According to Stack v </w:t>
      </w:r>
      <w:r w:rsidR="00EF5116">
        <w:rPr>
          <w:color w:val="000000" w:themeColor="text1"/>
        </w:rPr>
        <w:lastRenderedPageBreak/>
        <w:t>Dowden, financial separation is a significant indi</w:t>
      </w:r>
      <w:r w:rsidR="00924C05">
        <w:rPr>
          <w:color w:val="000000" w:themeColor="text1"/>
        </w:rPr>
        <w:t>cator of separate ownership. (Citylawtutors, 2025).</w:t>
      </w:r>
      <w:r w:rsidR="000F0376">
        <w:rPr>
          <w:color w:val="000000" w:themeColor="text1"/>
        </w:rPr>
        <w:t xml:space="preserve"> </w:t>
      </w:r>
    </w:p>
    <w:p w14:paraId="07741E18" w14:textId="77777777" w:rsidR="0073618B" w:rsidRDefault="00C339E7" w:rsidP="0073618B">
      <w:pPr>
        <w:pStyle w:val="Heading2"/>
        <w:numPr>
          <w:ilvl w:val="0"/>
          <w:numId w:val="0"/>
        </w:numPr>
        <w:ind w:left="680"/>
        <w:rPr>
          <w:color w:val="000000" w:themeColor="text1"/>
        </w:rPr>
      </w:pPr>
      <w:r w:rsidRPr="00C339E7">
        <w:rPr>
          <w:color w:val="000000" w:themeColor="text1"/>
        </w:rPr>
        <w:t xml:space="preserve">Expressions </w:t>
      </w:r>
      <w:r>
        <w:rPr>
          <w:color w:val="000000" w:themeColor="text1"/>
        </w:rPr>
        <w:t>like “this is our home” do not provide evidence of a shared ownership intention. In James v Thomas, the court ruled that relational language about a shared life or future goals does not imply private purpose. (Casemine, 2023).</w:t>
      </w:r>
      <w:r w:rsidR="0073618B">
        <w:rPr>
          <w:color w:val="000000" w:themeColor="text1"/>
        </w:rPr>
        <w:t xml:space="preserve"> </w:t>
      </w:r>
    </w:p>
    <w:p w14:paraId="2CD633CF" w14:textId="77777777" w:rsidR="00E3594E" w:rsidRDefault="0073618B" w:rsidP="0073618B">
      <w:pPr>
        <w:pStyle w:val="Heading2"/>
        <w:numPr>
          <w:ilvl w:val="0"/>
          <w:numId w:val="0"/>
        </w:numPr>
        <w:ind w:left="680"/>
        <w:rPr>
          <w:color w:val="000000" w:themeColor="text1"/>
        </w:rPr>
      </w:pPr>
      <w:r>
        <w:rPr>
          <w:color w:val="000000" w:themeColor="text1"/>
        </w:rPr>
        <w:t>The claimant may argue that shared ownership is implied by the dynamics of the partnership, the time of living together, and joint parenting. Relationship factors, however</w:t>
      </w:r>
      <w:r w:rsidR="000153A8">
        <w:rPr>
          <w:color w:val="000000" w:themeColor="text1"/>
        </w:rPr>
        <w:t>, are unable to close evidential gaps in cases when the legal test requires evidence of a specific ownership purpose.</w:t>
      </w:r>
      <w:r w:rsidR="009D7C78">
        <w:rPr>
          <w:color w:val="000000" w:themeColor="text1"/>
        </w:rPr>
        <w:t xml:space="preserve"> (GOV.UK</w:t>
      </w:r>
      <w:r w:rsidR="00EB39F6">
        <w:rPr>
          <w:color w:val="000000" w:themeColor="text1"/>
        </w:rPr>
        <w:t>,2024).</w:t>
      </w:r>
      <w:r w:rsidR="00E3594E">
        <w:rPr>
          <w:color w:val="000000" w:themeColor="text1"/>
        </w:rPr>
        <w:t xml:space="preserve"> </w:t>
      </w:r>
    </w:p>
    <w:p w14:paraId="7B785BB0" w14:textId="783A67BE" w:rsidR="00E3594E" w:rsidRPr="001F0522" w:rsidRDefault="00E3594E" w:rsidP="001F0522">
      <w:pPr>
        <w:pStyle w:val="Heading2"/>
        <w:numPr>
          <w:ilvl w:val="0"/>
          <w:numId w:val="0"/>
        </w:numPr>
        <w:ind w:left="680"/>
        <w:rPr>
          <w:color w:val="000000" w:themeColor="text1"/>
        </w:rPr>
      </w:pPr>
      <w:r>
        <w:rPr>
          <w:color w:val="000000" w:themeColor="text1"/>
        </w:rPr>
        <w:t>It is insufficient and not suitably referable to the ac</w:t>
      </w:r>
      <w:r w:rsidR="006E0719">
        <w:rPr>
          <w:color w:val="000000" w:themeColor="text1"/>
        </w:rPr>
        <w:t>quisition, even if the Court were to establish some kind of harm. A</w:t>
      </w:r>
      <w:r w:rsidR="001F0522">
        <w:rPr>
          <w:color w:val="000000" w:themeColor="text1"/>
        </w:rPr>
        <w:t xml:space="preserve"> constructive trust cannot be created by harm in the absence of a demonstrated shared aim; therefore, the allegation must be false.</w:t>
      </w:r>
    </w:p>
    <w:p w14:paraId="22F84A5B" w14:textId="77777777" w:rsidR="005F216E" w:rsidRPr="009D531E" w:rsidRDefault="005F216E" w:rsidP="009D531E">
      <w:pPr>
        <w:pStyle w:val="Heading1"/>
      </w:pPr>
      <w:r w:rsidRPr="009D531E">
        <w:t xml:space="preserve">Conclusions </w:t>
      </w:r>
    </w:p>
    <w:p w14:paraId="14C9FBB6" w14:textId="12BD6303" w:rsidR="00D21098" w:rsidRPr="00674F24" w:rsidRDefault="00D21098" w:rsidP="009D531E">
      <w:pPr>
        <w:pStyle w:val="Heading2"/>
        <w:rPr>
          <w:color w:val="000000" w:themeColor="text1"/>
        </w:rPr>
      </w:pPr>
      <w:r w:rsidRPr="00674F24">
        <w:rPr>
          <w:color w:val="000000" w:themeColor="text1"/>
        </w:rPr>
        <w:t xml:space="preserve">The claimant is unable to prove a meaningful harm or a shared purpose. The defendant continues to be the only beneficial and legal owner, and no constructive </w:t>
      </w:r>
      <w:r w:rsidR="00674F24" w:rsidRPr="00674F24">
        <w:rPr>
          <w:color w:val="000000" w:themeColor="text1"/>
        </w:rPr>
        <w:t>trust develops.</w:t>
      </w:r>
    </w:p>
    <w:p w14:paraId="3FA2DFDB" w14:textId="77777777" w:rsidR="005F216E" w:rsidRPr="009D531E" w:rsidRDefault="005F216E" w:rsidP="00674F24">
      <w:pPr>
        <w:pStyle w:val="Heading1"/>
        <w:numPr>
          <w:ilvl w:val="0"/>
          <w:numId w:val="0"/>
        </w:numPr>
        <w:rPr>
          <w:rStyle w:val="SubtleEmphasis"/>
          <w:b/>
          <w:iCs w:val="0"/>
        </w:rPr>
      </w:pPr>
      <w:r w:rsidRPr="009D531E">
        <w:rPr>
          <w:rStyle w:val="SubtleEmphasis"/>
          <w:b/>
          <w:iCs w:val="0"/>
        </w:rPr>
        <w:t xml:space="preserve">Claim arising under a proprietary estoppel </w:t>
      </w:r>
    </w:p>
    <w:p w14:paraId="6672ADB9" w14:textId="77777777" w:rsidR="005F216E" w:rsidRPr="009D531E" w:rsidRDefault="005F216E" w:rsidP="009D531E">
      <w:pPr>
        <w:pStyle w:val="Heading1"/>
      </w:pPr>
      <w:r w:rsidRPr="009D531E">
        <w:t xml:space="preserve">The law </w:t>
      </w:r>
    </w:p>
    <w:p w14:paraId="3FAA26FD" w14:textId="77777777" w:rsidR="006A4635" w:rsidRDefault="00F45FD6" w:rsidP="00F45FD6">
      <w:pPr>
        <w:pStyle w:val="Heading2"/>
        <w:rPr>
          <w:color w:val="000000" w:themeColor="text1"/>
        </w:rPr>
      </w:pPr>
      <w:r w:rsidRPr="00127808">
        <w:rPr>
          <w:color w:val="000000" w:themeColor="text1"/>
        </w:rPr>
        <w:t xml:space="preserve">Three requirements must be met for proprietary estoppel: 1) an unambiguous guarantee,2) reliance, and 3) harm sustained. (LexisNexis, 2025). In Thorner v Major, the court established that a claimant may rely on unofficial property guarantees, provided they are sufficiently explicit, the claimant acts in reliance on them, and the claimant experiences a negative outcome. (Parliament.uk, 2024). </w:t>
      </w:r>
      <w:r w:rsidR="00E447BA">
        <w:rPr>
          <w:color w:val="000000" w:themeColor="text1"/>
        </w:rPr>
        <w:t>According to James v Th</w:t>
      </w:r>
      <w:r w:rsidR="00FB0BF1">
        <w:rPr>
          <w:color w:val="000000" w:themeColor="text1"/>
        </w:rPr>
        <w:t xml:space="preserve">omas, ambiguous or relational statements are </w:t>
      </w:r>
      <w:r w:rsidR="00FB0BF1">
        <w:rPr>
          <w:color w:val="000000" w:themeColor="text1"/>
        </w:rPr>
        <w:lastRenderedPageBreak/>
        <w:t>insuff</w:t>
      </w:r>
      <w:r w:rsidR="00E548E2">
        <w:rPr>
          <w:color w:val="000000" w:themeColor="text1"/>
        </w:rPr>
        <w:t>icient. The guarantee must be specific to the property’s ownership or rights, not just general declarations of commitment.</w:t>
      </w:r>
      <w:r w:rsidR="00BC0D70">
        <w:rPr>
          <w:color w:val="000000" w:themeColor="text1"/>
        </w:rPr>
        <w:t xml:space="preserve"> (Casemine, 2023). </w:t>
      </w:r>
      <w:r w:rsidR="006A4635">
        <w:rPr>
          <w:color w:val="000000" w:themeColor="text1"/>
        </w:rPr>
        <w:t xml:space="preserve">                     </w:t>
      </w:r>
    </w:p>
    <w:p w14:paraId="226184FC" w14:textId="786B1653" w:rsidR="0040237B" w:rsidRPr="006A4635" w:rsidRDefault="00155226" w:rsidP="006A4635">
      <w:pPr>
        <w:pStyle w:val="Heading2"/>
        <w:numPr>
          <w:ilvl w:val="0"/>
          <w:numId w:val="0"/>
        </w:numPr>
        <w:ind w:left="680"/>
        <w:rPr>
          <w:color w:val="000000" w:themeColor="text1"/>
        </w:rPr>
      </w:pPr>
      <w:r>
        <w:rPr>
          <w:color w:val="000000" w:themeColor="text1"/>
        </w:rPr>
        <w:t xml:space="preserve">It must be demonstrated </w:t>
      </w:r>
      <w:r w:rsidR="00285FA3">
        <w:rPr>
          <w:color w:val="000000" w:themeColor="text1"/>
        </w:rPr>
        <w:t xml:space="preserve">that reliance comes from the </w:t>
      </w:r>
      <w:r w:rsidR="006A4635">
        <w:rPr>
          <w:color w:val="000000" w:themeColor="text1"/>
        </w:rPr>
        <w:t>guarantees</w:t>
      </w:r>
      <w:r w:rsidR="00285FA3">
        <w:rPr>
          <w:color w:val="000000" w:themeColor="text1"/>
        </w:rPr>
        <w:t xml:space="preserve"> rather than from</w:t>
      </w:r>
      <w:r w:rsidR="006B7EFD">
        <w:rPr>
          <w:color w:val="000000" w:themeColor="text1"/>
        </w:rPr>
        <w:t xml:space="preserve"> cohabitation or relationship expectations. For cohabiting couples, harm must be </w:t>
      </w:r>
      <w:r w:rsidR="00C311EF">
        <w:rPr>
          <w:color w:val="000000" w:themeColor="text1"/>
        </w:rPr>
        <w:t>significant and “out of the ordinary.” According to Jennings v Rice, if estoppel is shown, the remedy must be reasonable</w:t>
      </w:r>
      <w:r w:rsidR="00224158">
        <w:rPr>
          <w:color w:val="000000" w:themeColor="text1"/>
        </w:rPr>
        <w:t xml:space="preserve"> and offer just the bare minimum of equity to achieve justice. (Casemine, 2023</w:t>
      </w:r>
      <w:r w:rsidR="006A4635">
        <w:rPr>
          <w:color w:val="000000" w:themeColor="text1"/>
        </w:rPr>
        <w:t xml:space="preserve">b). </w:t>
      </w:r>
    </w:p>
    <w:p w14:paraId="3C3827A7" w14:textId="77777777" w:rsidR="005F216E" w:rsidRPr="009D531E" w:rsidRDefault="005F216E" w:rsidP="009D531E">
      <w:pPr>
        <w:pStyle w:val="Heading1"/>
      </w:pPr>
      <w:r w:rsidRPr="009D531E">
        <w:t xml:space="preserve">Submissions </w:t>
      </w:r>
    </w:p>
    <w:p w14:paraId="2638351B" w14:textId="77777777" w:rsidR="00DF2AE2" w:rsidRDefault="00DF2AE2" w:rsidP="00DF2AE2">
      <w:pPr>
        <w:pStyle w:val="Heading2"/>
        <w:rPr>
          <w:color w:val="000000" w:themeColor="text1"/>
        </w:rPr>
      </w:pPr>
      <w:r w:rsidRPr="006224C1">
        <w:rPr>
          <w:color w:val="000000" w:themeColor="text1"/>
        </w:rPr>
        <w:t>The defendant did not make any clear promises. The claimant relied upon promises, such as “this is our home” and “ we’re building a future together,” which are relational statements that reflect emotional connection rather than ownership.</w:t>
      </w:r>
      <w:r>
        <w:rPr>
          <w:color w:val="000000" w:themeColor="text1"/>
        </w:rPr>
        <w:t xml:space="preserve"> According to James v Thomas, these claims are too complicated and vague to qualify as ownership guarantees. (Casemine, 2023).                 </w:t>
      </w:r>
    </w:p>
    <w:p w14:paraId="555A19E9" w14:textId="77777777" w:rsidR="00DF2AE2" w:rsidRDefault="00DF2AE2" w:rsidP="00DF2AE2">
      <w:pPr>
        <w:pStyle w:val="Heading2"/>
        <w:numPr>
          <w:ilvl w:val="0"/>
          <w:numId w:val="0"/>
        </w:numPr>
        <w:ind w:left="680"/>
        <w:rPr>
          <w:color w:val="000000" w:themeColor="text1"/>
        </w:rPr>
      </w:pPr>
      <w:r>
        <w:rPr>
          <w:color w:val="000000" w:themeColor="text1"/>
        </w:rPr>
        <w:t xml:space="preserve">The claimant is unable to show reliance. She did not do anything that she would not have done in a long-term relationship. She never gave up her job, did not invest in improvements, did not contribute to the mortgage, and did not undertake any professional sacrifices. For estoppel, regular bill payments are not reliance.                                                                                                      </w:t>
      </w:r>
    </w:p>
    <w:p w14:paraId="7CA0E398" w14:textId="77777777" w:rsidR="00DF2AE2" w:rsidRDefault="00DF2AE2" w:rsidP="00DF2AE2">
      <w:pPr>
        <w:pStyle w:val="Heading2"/>
        <w:numPr>
          <w:ilvl w:val="0"/>
          <w:numId w:val="0"/>
        </w:numPr>
        <w:ind w:left="680"/>
        <w:rPr>
          <w:color w:val="000000" w:themeColor="text1"/>
        </w:rPr>
      </w:pPr>
      <w:r>
        <w:rPr>
          <w:color w:val="000000" w:themeColor="text1"/>
        </w:rPr>
        <w:t xml:space="preserve">The claimed detrimental effect is not sufficient to establish harm, as such effects are commonly encountered in everyday life. Ordinary cohabitation typically involves sharing daily expenses such as food, utility bills, and other living costs, which are standard aspects of such arrangements and do not necessarily indicate any form of harm or unintended consequences. (Weightmans, 2014). According to Casemine (2015) and IPSA (2022), the Courts in Geary v Rankine and Hopkins v Hopkins confirm that such routine household and living expenses, spent in the ordinary course of cohabitation, do not amount to legally relevant detriment or harm capable of supporting a proprietary estoppel claim. </w:t>
      </w:r>
    </w:p>
    <w:p w14:paraId="43484A43" w14:textId="77777777" w:rsidR="00DF2AE2" w:rsidRDefault="00DF2AE2" w:rsidP="00DF2AE2">
      <w:pPr>
        <w:pStyle w:val="Heading2"/>
        <w:numPr>
          <w:ilvl w:val="0"/>
          <w:numId w:val="0"/>
        </w:numPr>
        <w:ind w:left="680"/>
        <w:rPr>
          <w:color w:val="000000" w:themeColor="text1"/>
        </w:rPr>
      </w:pPr>
      <w:r>
        <w:rPr>
          <w:color w:val="000000" w:themeColor="text1"/>
        </w:rPr>
        <w:t xml:space="preserve">A proprietary remedy cannot be justified by the £5,000 in detriment. Even if the Court determined that there was just a minor detriment. According to the Jennings v Rice proportionality rule, the remedy must be proportionate to the </w:t>
      </w:r>
      <w:r>
        <w:rPr>
          <w:color w:val="000000" w:themeColor="text1"/>
        </w:rPr>
        <w:lastRenderedPageBreak/>
        <w:t xml:space="preserve">detriment. This kind of cash contribution is insufficient to support a beneficial interest in a significantly more valuable property. (Casemine,2023b).                                                                          </w:t>
      </w:r>
    </w:p>
    <w:p w14:paraId="4F69ADF4" w14:textId="7418B937" w:rsidR="000C6A65" w:rsidRPr="00DF2AE2" w:rsidRDefault="00DF2AE2" w:rsidP="00DF2AE2">
      <w:pPr>
        <w:pStyle w:val="Heading2"/>
        <w:numPr>
          <w:ilvl w:val="0"/>
          <w:numId w:val="0"/>
        </w:numPr>
        <w:ind w:left="680"/>
        <w:rPr>
          <w:color w:val="000000" w:themeColor="text1"/>
        </w:rPr>
      </w:pPr>
      <w:r>
        <w:rPr>
          <w:color w:val="000000" w:themeColor="text1"/>
        </w:rPr>
        <w:t>In the claimant’s case, regular household arrangements are unlawfully attempted to be converted into property rights. Such a change has no legal foundation unless there is proof of both considerable detriment and clear guarantees, neither of which is proved.</w:t>
      </w:r>
    </w:p>
    <w:p w14:paraId="0A9CE178" w14:textId="77777777" w:rsidR="005F216E" w:rsidRPr="009D531E" w:rsidRDefault="005F216E" w:rsidP="009D531E">
      <w:pPr>
        <w:pStyle w:val="Heading1"/>
      </w:pPr>
      <w:r w:rsidRPr="009D531E">
        <w:t xml:space="preserve">Conclusions </w:t>
      </w:r>
    </w:p>
    <w:p w14:paraId="3F826E65" w14:textId="74B70B0E" w:rsidR="005F216E" w:rsidRPr="00441F21" w:rsidRDefault="00921B25" w:rsidP="009D531E">
      <w:pPr>
        <w:pStyle w:val="Heading2"/>
        <w:rPr>
          <w:color w:val="000000" w:themeColor="text1"/>
        </w:rPr>
      </w:pPr>
      <w:r w:rsidRPr="00441F21">
        <w:rPr>
          <w:color w:val="000000" w:themeColor="text1"/>
        </w:rPr>
        <w:t xml:space="preserve">Proprietary estoppel fails since </w:t>
      </w:r>
      <w:r w:rsidR="00441F21" w:rsidRPr="00441F21">
        <w:rPr>
          <w:color w:val="000000" w:themeColor="text1"/>
        </w:rPr>
        <w:t>there is no clear assurance, reliance, or significant detriment, and the claimant has no equitable interest in the property.</w:t>
      </w:r>
    </w:p>
    <w:p w14:paraId="52F9839E" w14:textId="77777777" w:rsidR="005F216E" w:rsidRPr="009D531E" w:rsidRDefault="005F216E" w:rsidP="009D531E">
      <w:pPr>
        <w:pStyle w:val="Heading1"/>
      </w:pPr>
      <w:r w:rsidRPr="009D531E">
        <w:t xml:space="preserve">Overall conclusions </w:t>
      </w:r>
    </w:p>
    <w:p w14:paraId="493B1E3D" w14:textId="5416BA6A" w:rsidR="005F216E" w:rsidRPr="00F5702E" w:rsidRDefault="00C6792D" w:rsidP="009D531E">
      <w:pPr>
        <w:pStyle w:val="Heading2"/>
        <w:rPr>
          <w:color w:val="000000" w:themeColor="text1"/>
        </w:rPr>
      </w:pPr>
      <w:r w:rsidRPr="00F5702E">
        <w:rPr>
          <w:color w:val="000000" w:themeColor="text1"/>
        </w:rPr>
        <w:t>The claiman</w:t>
      </w:r>
      <w:r w:rsidR="007B1D7F" w:rsidRPr="00F5702E">
        <w:rPr>
          <w:color w:val="000000" w:themeColor="text1"/>
        </w:rPr>
        <w:t>t fails to demonstrate the elements of a proprietary estoppel</w:t>
      </w:r>
      <w:r w:rsidR="00CB3521" w:rsidRPr="00F5702E">
        <w:rPr>
          <w:color w:val="000000" w:themeColor="text1"/>
        </w:rPr>
        <w:t xml:space="preserve"> or a constructive trust. The defendant respectfully </w:t>
      </w:r>
      <w:r w:rsidR="003F783D" w:rsidRPr="00F5702E">
        <w:rPr>
          <w:color w:val="000000" w:themeColor="text1"/>
        </w:rPr>
        <w:t>requests that the claim be completely</w:t>
      </w:r>
      <w:r w:rsidR="00F5702E" w:rsidRPr="00F5702E">
        <w:rPr>
          <w:color w:val="000000" w:themeColor="text1"/>
        </w:rPr>
        <w:t xml:space="preserve"> dismissed and that the court verify her exclusive beneficial ownership of the property.</w:t>
      </w:r>
    </w:p>
    <w:p w14:paraId="3B1553C5" w14:textId="495300A1" w:rsidR="005F216E" w:rsidRDefault="009E464C" w:rsidP="00D62530">
      <w:pPr>
        <w:spacing w:line="360" w:lineRule="auto"/>
        <w:jc w:val="right"/>
        <w:rPr>
          <w:rFonts w:asciiTheme="majorHAnsi" w:hAnsiTheme="majorHAnsi" w:cstheme="majorHAnsi"/>
          <w:b/>
          <w:bCs/>
        </w:rPr>
      </w:pPr>
      <w:r>
        <w:rPr>
          <w:rFonts w:asciiTheme="majorHAnsi" w:hAnsiTheme="majorHAnsi" w:cstheme="majorHAnsi"/>
          <w:b/>
          <w:bCs/>
        </w:rPr>
        <w:t>Diana Demeterova</w:t>
      </w:r>
    </w:p>
    <w:p w14:paraId="0ADC9468" w14:textId="001EE4A5" w:rsidR="00D62530" w:rsidRPr="00D62530" w:rsidRDefault="009E464C" w:rsidP="00773A3C">
      <w:pPr>
        <w:spacing w:line="360" w:lineRule="auto"/>
        <w:jc w:val="right"/>
        <w:rPr>
          <w:rFonts w:asciiTheme="majorHAnsi" w:hAnsiTheme="majorHAnsi" w:cstheme="majorHAnsi"/>
          <w:b/>
          <w:bCs/>
        </w:rPr>
      </w:pPr>
      <w:r>
        <w:rPr>
          <w:rFonts w:asciiTheme="majorHAnsi" w:hAnsiTheme="majorHAnsi" w:cstheme="majorHAnsi"/>
          <w:b/>
          <w:bCs/>
        </w:rPr>
        <w:t>Defendant Represent</w:t>
      </w:r>
    </w:p>
    <w:p w14:paraId="7E25C8BA" w14:textId="13EA7EAF" w:rsidR="00D62530" w:rsidRDefault="00D62530" w:rsidP="00D62530">
      <w:pPr>
        <w:spacing w:line="360" w:lineRule="auto"/>
        <w:jc w:val="right"/>
        <w:rPr>
          <w:rFonts w:asciiTheme="majorHAnsi" w:hAnsiTheme="majorHAnsi" w:cstheme="majorHAnsi"/>
          <w:b/>
          <w:bCs/>
        </w:rPr>
      </w:pPr>
      <w:r>
        <w:rPr>
          <w:rFonts w:asciiTheme="majorHAnsi" w:hAnsiTheme="majorHAnsi" w:cstheme="majorHAnsi"/>
          <w:b/>
          <w:bCs/>
        </w:rPr>
        <w:t>Date</w:t>
      </w:r>
      <w:r w:rsidR="00773A3C">
        <w:rPr>
          <w:rFonts w:asciiTheme="majorHAnsi" w:hAnsiTheme="majorHAnsi" w:cstheme="majorHAnsi"/>
          <w:b/>
          <w:bCs/>
        </w:rPr>
        <w:t>: 29.12.2025</w:t>
      </w:r>
    </w:p>
    <w:p w14:paraId="59D9D6F6" w14:textId="77777777" w:rsidR="00D62530" w:rsidRDefault="00D62530" w:rsidP="009D531E">
      <w:pPr>
        <w:spacing w:line="360" w:lineRule="auto"/>
      </w:pPr>
    </w:p>
    <w:p w14:paraId="69DBDB51" w14:textId="77777777" w:rsidR="00D62530" w:rsidRPr="009D531E" w:rsidRDefault="00D62530" w:rsidP="009D531E">
      <w:pPr>
        <w:spacing w:line="360" w:lineRule="auto"/>
      </w:pPr>
    </w:p>
    <w:p w14:paraId="50E5695E" w14:textId="77777777" w:rsidR="005F216E" w:rsidRPr="009D531E" w:rsidRDefault="005F216E" w:rsidP="009D531E">
      <w:pPr>
        <w:spacing w:line="360" w:lineRule="auto"/>
        <w:rPr>
          <w:rFonts w:ascii="Arial" w:hAnsi="Arial" w:cs="Arial"/>
        </w:rPr>
      </w:pPr>
      <w:r w:rsidRPr="009D531E">
        <w:rPr>
          <w:rFonts w:ascii="Arial" w:hAnsi="Arial" w:cs="Arial"/>
        </w:rPr>
        <w:br w:type="page"/>
      </w:r>
    </w:p>
    <w:p w14:paraId="0699BBAE" w14:textId="77777777" w:rsidR="0003621E" w:rsidRDefault="0003621E">
      <w:pPr>
        <w:rPr>
          <w:rFonts w:asciiTheme="minorHAnsi" w:hAnsiTheme="minorHAnsi" w:cstheme="minorHAnsi"/>
          <w:b/>
          <w:bCs/>
        </w:rPr>
      </w:pPr>
      <w:r w:rsidRPr="0003621E">
        <w:rPr>
          <w:rFonts w:asciiTheme="minorHAnsi" w:hAnsiTheme="minorHAnsi" w:cstheme="minorHAnsi"/>
          <w:b/>
          <w:bCs/>
        </w:rPr>
        <w:lastRenderedPageBreak/>
        <w:t>Case note</w:t>
      </w:r>
    </w:p>
    <w:p w14:paraId="6E60BBB7" w14:textId="77777777" w:rsidR="0003621E" w:rsidRDefault="0003621E">
      <w:pPr>
        <w:rPr>
          <w:rFonts w:asciiTheme="minorHAnsi" w:hAnsiTheme="minorHAnsi" w:cstheme="minorHAnsi"/>
          <w:b/>
          <w:bCs/>
        </w:rPr>
      </w:pPr>
    </w:p>
    <w:p w14:paraId="4F8C09E8" w14:textId="36A57213" w:rsidR="008912EA" w:rsidRPr="0051383F" w:rsidRDefault="008912EA" w:rsidP="00483FF3">
      <w:pPr>
        <w:spacing w:line="276" w:lineRule="auto"/>
        <w:jc w:val="center"/>
        <w:rPr>
          <w:rFonts w:asciiTheme="minorHAnsi" w:hAnsiTheme="minorHAnsi" w:cstheme="minorHAnsi"/>
          <w:b/>
          <w:bCs/>
          <w:color w:val="000000" w:themeColor="text1"/>
        </w:rPr>
      </w:pPr>
      <w:r w:rsidRPr="0051383F">
        <w:rPr>
          <w:rFonts w:asciiTheme="minorHAnsi" w:hAnsiTheme="minorHAnsi" w:cstheme="minorHAnsi"/>
          <w:b/>
          <w:bCs/>
          <w:color w:val="000000" w:themeColor="text1"/>
        </w:rPr>
        <w:t>Case Name</w:t>
      </w:r>
      <w:r w:rsidR="00E34995">
        <w:rPr>
          <w:rFonts w:asciiTheme="minorHAnsi" w:hAnsiTheme="minorHAnsi" w:cstheme="minorHAnsi"/>
          <w:b/>
          <w:bCs/>
          <w:color w:val="000000" w:themeColor="text1"/>
        </w:rPr>
        <w:t xml:space="preserve">: </w:t>
      </w:r>
      <w:r w:rsidR="00415FF6" w:rsidRPr="0051383F">
        <w:rPr>
          <w:rFonts w:asciiTheme="minorHAnsi" w:hAnsiTheme="minorHAnsi" w:cstheme="minorHAnsi"/>
          <w:b/>
          <w:bCs/>
          <w:color w:val="000000" w:themeColor="text1"/>
        </w:rPr>
        <w:t>James v Thomas</w:t>
      </w:r>
    </w:p>
    <w:p w14:paraId="2C61F804" w14:textId="041604FE" w:rsidR="008912EA" w:rsidRPr="0051383F" w:rsidRDefault="008912EA" w:rsidP="00483FF3">
      <w:pPr>
        <w:spacing w:line="276" w:lineRule="auto"/>
        <w:jc w:val="center"/>
        <w:rPr>
          <w:rFonts w:asciiTheme="minorHAnsi" w:hAnsiTheme="minorHAnsi" w:cstheme="minorHAnsi"/>
          <w:b/>
          <w:bCs/>
          <w:color w:val="000000" w:themeColor="text1"/>
        </w:rPr>
      </w:pPr>
      <w:r w:rsidRPr="0051383F">
        <w:rPr>
          <w:rFonts w:asciiTheme="minorHAnsi" w:hAnsiTheme="minorHAnsi" w:cstheme="minorHAnsi"/>
          <w:b/>
          <w:bCs/>
          <w:color w:val="000000" w:themeColor="text1"/>
        </w:rPr>
        <w:t>Citation</w:t>
      </w:r>
      <w:r w:rsidR="00E34995">
        <w:rPr>
          <w:rFonts w:asciiTheme="minorHAnsi" w:hAnsiTheme="minorHAnsi" w:cstheme="minorHAnsi"/>
          <w:b/>
          <w:bCs/>
          <w:color w:val="000000" w:themeColor="text1"/>
        </w:rPr>
        <w:t>:</w:t>
      </w:r>
      <w:r w:rsidR="00415FF6" w:rsidRPr="0051383F">
        <w:rPr>
          <w:rFonts w:asciiTheme="minorHAnsi" w:hAnsiTheme="minorHAnsi" w:cstheme="minorHAnsi"/>
          <w:b/>
          <w:bCs/>
          <w:color w:val="000000" w:themeColor="text1"/>
        </w:rPr>
        <w:t xml:space="preserve"> [2007] EWCA Civ 1212</w:t>
      </w:r>
    </w:p>
    <w:p w14:paraId="43A22AF8" w14:textId="62B070F1" w:rsidR="001A6CEE" w:rsidRPr="00483FF3" w:rsidRDefault="009A4560" w:rsidP="00483FF3">
      <w:pPr>
        <w:spacing w:line="276" w:lineRule="auto"/>
        <w:jc w:val="center"/>
        <w:rPr>
          <w:rFonts w:asciiTheme="minorHAnsi" w:hAnsiTheme="minorHAnsi" w:cstheme="minorHAnsi"/>
          <w:b/>
          <w:bCs/>
          <w:color w:val="000000" w:themeColor="text1"/>
        </w:rPr>
      </w:pPr>
      <w:r w:rsidRPr="0051383F">
        <w:rPr>
          <w:rFonts w:asciiTheme="minorHAnsi" w:hAnsiTheme="minorHAnsi" w:cstheme="minorHAnsi"/>
          <w:b/>
          <w:bCs/>
          <w:color w:val="000000" w:themeColor="text1"/>
        </w:rPr>
        <w:t>Court of Appeal (Civil Division)</w:t>
      </w:r>
    </w:p>
    <w:p w14:paraId="17C74CC6" w14:textId="77777777" w:rsidR="001A6CEE" w:rsidRPr="001A6CEE" w:rsidRDefault="001A6CEE" w:rsidP="008912EA">
      <w:pPr>
        <w:jc w:val="center"/>
        <w:rPr>
          <w:rFonts w:asciiTheme="minorHAnsi" w:hAnsiTheme="minorHAnsi" w:cstheme="minorHAnsi"/>
          <w:b/>
          <w:bCs/>
          <w:color w:val="002060"/>
        </w:rPr>
      </w:pPr>
    </w:p>
    <w:p w14:paraId="6BBE8D0D" w14:textId="77777777" w:rsidR="008912EA" w:rsidRDefault="008912EA" w:rsidP="008912EA">
      <w:pPr>
        <w:rPr>
          <w:rFonts w:asciiTheme="minorHAnsi" w:hAnsiTheme="minorHAnsi" w:cstheme="minorHAnsi"/>
          <w:b/>
          <w:bCs/>
        </w:rPr>
      </w:pPr>
      <w:r>
        <w:rPr>
          <w:rFonts w:asciiTheme="minorHAnsi" w:hAnsiTheme="minorHAnsi" w:cstheme="minorHAnsi"/>
          <w:b/>
          <w:bCs/>
        </w:rPr>
        <w:t>Parties</w:t>
      </w:r>
    </w:p>
    <w:p w14:paraId="5A375804" w14:textId="176D2FD1" w:rsidR="001A6CEE" w:rsidRPr="00483FF3" w:rsidRDefault="00483FF3" w:rsidP="00483FF3">
      <w:pPr>
        <w:spacing w:line="276" w:lineRule="auto"/>
        <w:rPr>
          <w:rFonts w:asciiTheme="minorHAnsi" w:hAnsiTheme="minorHAnsi" w:cstheme="minorHAnsi"/>
          <w:color w:val="000000" w:themeColor="text1"/>
        </w:rPr>
      </w:pPr>
      <w:r w:rsidRPr="00483FF3">
        <w:rPr>
          <w:rFonts w:asciiTheme="minorHAnsi" w:hAnsiTheme="minorHAnsi" w:cstheme="minorHAnsi"/>
          <w:color w:val="000000" w:themeColor="text1"/>
        </w:rPr>
        <w:t>Catherine James (Appellant)</w:t>
      </w:r>
    </w:p>
    <w:p w14:paraId="41F667AA" w14:textId="532B4928" w:rsidR="008912EA" w:rsidRPr="00483FF3" w:rsidRDefault="00483FF3" w:rsidP="00483FF3">
      <w:pPr>
        <w:spacing w:line="276" w:lineRule="auto"/>
        <w:rPr>
          <w:rFonts w:asciiTheme="minorHAnsi" w:hAnsiTheme="minorHAnsi" w:cstheme="minorHAnsi"/>
          <w:color w:val="000000" w:themeColor="text1"/>
        </w:rPr>
      </w:pPr>
      <w:r w:rsidRPr="00483FF3">
        <w:rPr>
          <w:rFonts w:asciiTheme="minorHAnsi" w:hAnsiTheme="minorHAnsi" w:cstheme="minorHAnsi"/>
          <w:color w:val="000000" w:themeColor="text1"/>
        </w:rPr>
        <w:t>Dylan Thomas (Respondent)</w:t>
      </w:r>
    </w:p>
    <w:p w14:paraId="76D08C93" w14:textId="77777777" w:rsidR="00483FF3" w:rsidRDefault="00483FF3" w:rsidP="008912EA">
      <w:pPr>
        <w:rPr>
          <w:rFonts w:asciiTheme="minorHAnsi" w:hAnsiTheme="minorHAnsi" w:cstheme="minorHAnsi"/>
          <w:b/>
          <w:bCs/>
        </w:rPr>
      </w:pPr>
    </w:p>
    <w:p w14:paraId="1A4CBE6D" w14:textId="5E641E97" w:rsidR="008912EA" w:rsidRDefault="008912EA" w:rsidP="008912EA">
      <w:pPr>
        <w:rPr>
          <w:rFonts w:asciiTheme="minorHAnsi" w:hAnsiTheme="minorHAnsi" w:cstheme="minorHAnsi"/>
          <w:b/>
          <w:bCs/>
        </w:rPr>
      </w:pPr>
      <w:r>
        <w:rPr>
          <w:rFonts w:asciiTheme="minorHAnsi" w:hAnsiTheme="minorHAnsi" w:cstheme="minorHAnsi"/>
          <w:b/>
          <w:bCs/>
        </w:rPr>
        <w:t>Procedural History</w:t>
      </w:r>
    </w:p>
    <w:p w14:paraId="60D4EF14" w14:textId="77777777" w:rsidR="003309AF" w:rsidRDefault="003309AF" w:rsidP="008912EA">
      <w:pPr>
        <w:rPr>
          <w:rFonts w:asciiTheme="minorHAnsi" w:hAnsiTheme="minorHAnsi" w:cstheme="minorHAnsi"/>
        </w:rPr>
      </w:pPr>
    </w:p>
    <w:p w14:paraId="56CFE898" w14:textId="58FB7ED7" w:rsidR="00B45659" w:rsidRPr="00B45659" w:rsidRDefault="003309AF" w:rsidP="008912EA">
      <w:pPr>
        <w:rPr>
          <w:rFonts w:asciiTheme="minorHAnsi" w:hAnsiTheme="minorHAnsi" w:cstheme="minorHAnsi"/>
        </w:rPr>
      </w:pPr>
      <w:r>
        <w:rPr>
          <w:rFonts w:asciiTheme="minorHAnsi" w:hAnsiTheme="minorHAnsi" w:cstheme="minorHAnsi"/>
        </w:rPr>
        <w:t>Initially</w:t>
      </w:r>
      <w:r w:rsidR="00B45659" w:rsidRPr="00B45659">
        <w:rPr>
          <w:rFonts w:asciiTheme="minorHAnsi" w:hAnsiTheme="minorHAnsi" w:cstheme="minorHAnsi"/>
        </w:rPr>
        <w:t>, the appellant’s grounds for proprietary estoppel and a constructive trust were rejected. The Court of Appeal rejected her appeal.</w:t>
      </w:r>
    </w:p>
    <w:p w14:paraId="6A47837C" w14:textId="77777777" w:rsidR="00E34995" w:rsidRPr="00202FC4" w:rsidRDefault="00E34995" w:rsidP="008912EA">
      <w:pPr>
        <w:rPr>
          <w:rFonts w:asciiTheme="minorHAnsi" w:hAnsiTheme="minorHAnsi" w:cstheme="minorHAnsi"/>
        </w:rPr>
      </w:pPr>
    </w:p>
    <w:p w14:paraId="6ABE88E2" w14:textId="77777777" w:rsidR="008912EA" w:rsidRDefault="008912EA" w:rsidP="008912EA">
      <w:pPr>
        <w:rPr>
          <w:rFonts w:asciiTheme="minorHAnsi" w:hAnsiTheme="minorHAnsi" w:cstheme="minorHAnsi"/>
          <w:b/>
          <w:bCs/>
        </w:rPr>
      </w:pPr>
      <w:r>
        <w:rPr>
          <w:rFonts w:asciiTheme="minorHAnsi" w:hAnsiTheme="minorHAnsi" w:cstheme="minorHAnsi"/>
          <w:b/>
          <w:bCs/>
        </w:rPr>
        <w:t>Material facts</w:t>
      </w:r>
    </w:p>
    <w:p w14:paraId="5760D64F" w14:textId="77777777" w:rsidR="003309AF" w:rsidRDefault="003309AF" w:rsidP="00313168">
      <w:pPr>
        <w:rPr>
          <w:rFonts w:asciiTheme="minorHAnsi" w:hAnsiTheme="minorHAnsi" w:cstheme="minorHAnsi"/>
        </w:rPr>
      </w:pPr>
    </w:p>
    <w:p w14:paraId="77E55724" w14:textId="282CBD24" w:rsidR="00313168" w:rsidRDefault="002779F1" w:rsidP="00313168">
      <w:pPr>
        <w:rPr>
          <w:rFonts w:asciiTheme="minorHAnsi" w:hAnsiTheme="minorHAnsi" w:cstheme="minorHAnsi"/>
        </w:rPr>
      </w:pPr>
      <w:r w:rsidRPr="009F69F6">
        <w:rPr>
          <w:rFonts w:asciiTheme="minorHAnsi" w:hAnsiTheme="minorHAnsi" w:cstheme="minorHAnsi"/>
        </w:rPr>
        <w:t>The respondent was the only owner</w:t>
      </w:r>
      <w:r w:rsidR="00FF1972" w:rsidRPr="009F69F6">
        <w:rPr>
          <w:rFonts w:asciiTheme="minorHAnsi" w:hAnsiTheme="minorHAnsi" w:cstheme="minorHAnsi"/>
        </w:rPr>
        <w:t xml:space="preserve"> of the</w:t>
      </w:r>
      <w:r w:rsidR="004E76A7" w:rsidRPr="009F69F6">
        <w:rPr>
          <w:rFonts w:asciiTheme="minorHAnsi" w:hAnsiTheme="minorHAnsi" w:cstheme="minorHAnsi"/>
        </w:rPr>
        <w:t xml:space="preserve"> property where the parties lived together for around eighteen years. The appellant </w:t>
      </w:r>
      <w:r w:rsidR="00223044" w:rsidRPr="009F69F6">
        <w:rPr>
          <w:rFonts w:asciiTheme="minorHAnsi" w:hAnsiTheme="minorHAnsi" w:cstheme="minorHAnsi"/>
        </w:rPr>
        <w:t>did not contribute any money towards the mortgage or purchase price. She relied on claims about their shared future and mutual gain while working extensively and</w:t>
      </w:r>
      <w:r w:rsidR="009F69F6" w:rsidRPr="009F69F6">
        <w:rPr>
          <w:rFonts w:asciiTheme="minorHAnsi" w:hAnsiTheme="minorHAnsi" w:cstheme="minorHAnsi"/>
        </w:rPr>
        <w:t xml:space="preserve"> often unpaid, in the respondent’s business. The ownership of the property was not specifically discussed.</w:t>
      </w:r>
    </w:p>
    <w:p w14:paraId="52A616C8" w14:textId="77777777" w:rsidR="009F69F6" w:rsidRPr="009F69F6" w:rsidRDefault="009F69F6" w:rsidP="00313168">
      <w:pPr>
        <w:rPr>
          <w:rFonts w:asciiTheme="minorHAnsi" w:hAnsiTheme="minorHAnsi" w:cstheme="minorHAnsi"/>
        </w:rPr>
      </w:pPr>
    </w:p>
    <w:p w14:paraId="68FF017D" w14:textId="1E6C8FB5" w:rsidR="00C35C72" w:rsidRDefault="008912EA" w:rsidP="008912EA">
      <w:pPr>
        <w:rPr>
          <w:rFonts w:asciiTheme="minorHAnsi" w:hAnsiTheme="minorHAnsi" w:cstheme="minorHAnsi"/>
          <w:b/>
          <w:bCs/>
        </w:rPr>
      </w:pPr>
      <w:r>
        <w:rPr>
          <w:rFonts w:asciiTheme="minorHAnsi" w:hAnsiTheme="minorHAnsi" w:cstheme="minorHAnsi"/>
          <w:b/>
          <w:bCs/>
        </w:rPr>
        <w:t xml:space="preserve">Legal </w:t>
      </w:r>
      <w:r w:rsidR="001A6CEE">
        <w:rPr>
          <w:rFonts w:asciiTheme="minorHAnsi" w:hAnsiTheme="minorHAnsi" w:cstheme="minorHAnsi"/>
          <w:b/>
          <w:bCs/>
        </w:rPr>
        <w:t>questions for the court</w:t>
      </w:r>
      <w:r>
        <w:rPr>
          <w:rFonts w:asciiTheme="minorHAnsi" w:hAnsiTheme="minorHAnsi" w:cstheme="minorHAnsi"/>
          <w:b/>
          <w:bCs/>
        </w:rPr>
        <w:t xml:space="preserve"> </w:t>
      </w:r>
    </w:p>
    <w:p w14:paraId="05C66C13" w14:textId="77777777" w:rsidR="003309AF" w:rsidRDefault="003309AF" w:rsidP="008912EA">
      <w:pPr>
        <w:rPr>
          <w:rFonts w:asciiTheme="minorHAnsi" w:hAnsiTheme="minorHAnsi" w:cstheme="minorHAnsi"/>
          <w:b/>
          <w:bCs/>
        </w:rPr>
      </w:pPr>
    </w:p>
    <w:p w14:paraId="3984B0C2" w14:textId="35E37C56" w:rsidR="00973BFB" w:rsidRPr="00D169EC" w:rsidRDefault="00973BFB" w:rsidP="00973BFB">
      <w:pPr>
        <w:pStyle w:val="ListParagraph"/>
        <w:numPr>
          <w:ilvl w:val="0"/>
          <w:numId w:val="20"/>
        </w:numPr>
        <w:rPr>
          <w:rFonts w:asciiTheme="minorHAnsi" w:hAnsiTheme="minorHAnsi" w:cstheme="minorHAnsi"/>
        </w:rPr>
      </w:pPr>
      <w:r w:rsidRPr="00D169EC">
        <w:rPr>
          <w:rFonts w:asciiTheme="minorHAnsi" w:hAnsiTheme="minorHAnsi" w:cstheme="minorHAnsi"/>
        </w:rPr>
        <w:t>Whether general relational statements may be enough to create a constructive trust by contributing to a shared aim.</w:t>
      </w:r>
    </w:p>
    <w:p w14:paraId="190F7908" w14:textId="4267B90E" w:rsidR="008912EA" w:rsidRPr="00D905A8" w:rsidRDefault="00973BFB" w:rsidP="008912EA">
      <w:pPr>
        <w:pStyle w:val="ListParagraph"/>
        <w:numPr>
          <w:ilvl w:val="0"/>
          <w:numId w:val="20"/>
        </w:numPr>
        <w:rPr>
          <w:rFonts w:asciiTheme="minorHAnsi" w:hAnsiTheme="minorHAnsi" w:cstheme="minorHAnsi"/>
        </w:rPr>
      </w:pPr>
      <w:r w:rsidRPr="00D169EC">
        <w:rPr>
          <w:rFonts w:asciiTheme="minorHAnsi" w:hAnsiTheme="minorHAnsi" w:cstheme="minorHAnsi"/>
        </w:rPr>
        <w:t xml:space="preserve">Whether such remarks and unpaid work might </w:t>
      </w:r>
      <w:r w:rsidR="00D169EC" w:rsidRPr="00D169EC">
        <w:rPr>
          <w:rFonts w:asciiTheme="minorHAnsi" w:hAnsiTheme="minorHAnsi" w:cstheme="minorHAnsi"/>
        </w:rPr>
        <w:t>result in property estoppel.</w:t>
      </w:r>
    </w:p>
    <w:p w14:paraId="6B20F962" w14:textId="77777777" w:rsidR="008912EA" w:rsidRDefault="008912EA" w:rsidP="008912EA">
      <w:pPr>
        <w:rPr>
          <w:rFonts w:asciiTheme="minorHAnsi" w:hAnsiTheme="minorHAnsi" w:cstheme="minorHAnsi"/>
          <w:color w:val="70AD47" w:themeColor="accent6"/>
        </w:rPr>
      </w:pPr>
    </w:p>
    <w:p w14:paraId="5C0D4EA2" w14:textId="54B97E92" w:rsidR="001A6CEE" w:rsidRDefault="001A6CEE" w:rsidP="001A6CEE">
      <w:pPr>
        <w:rPr>
          <w:rFonts w:asciiTheme="minorHAnsi" w:hAnsiTheme="minorHAnsi" w:cstheme="minorHAnsi"/>
          <w:b/>
          <w:bCs/>
        </w:rPr>
      </w:pPr>
      <w:r>
        <w:rPr>
          <w:rFonts w:asciiTheme="minorHAnsi" w:hAnsiTheme="minorHAnsi" w:cstheme="minorHAnsi"/>
          <w:b/>
          <w:bCs/>
        </w:rPr>
        <w:t>Appellant arguments</w:t>
      </w:r>
    </w:p>
    <w:p w14:paraId="261A59F1" w14:textId="77777777" w:rsidR="003309AF" w:rsidRDefault="003309AF" w:rsidP="001A6CEE">
      <w:pPr>
        <w:rPr>
          <w:rFonts w:asciiTheme="minorHAnsi" w:hAnsiTheme="minorHAnsi" w:cstheme="minorHAnsi"/>
        </w:rPr>
      </w:pPr>
    </w:p>
    <w:p w14:paraId="0D6CBC97" w14:textId="069891B4" w:rsidR="00416CF1" w:rsidRPr="006D6EC7" w:rsidRDefault="00416CF1" w:rsidP="001A6CEE">
      <w:pPr>
        <w:rPr>
          <w:rFonts w:asciiTheme="minorHAnsi" w:hAnsiTheme="minorHAnsi" w:cstheme="minorHAnsi"/>
        </w:rPr>
      </w:pPr>
      <w:r w:rsidRPr="006D6EC7">
        <w:rPr>
          <w:rFonts w:asciiTheme="minorHAnsi" w:hAnsiTheme="minorHAnsi" w:cstheme="minorHAnsi"/>
        </w:rPr>
        <w:t>The appellant claimed that the respondent’s statement regarding “their</w:t>
      </w:r>
      <w:r w:rsidR="00D73655" w:rsidRPr="006D6EC7">
        <w:rPr>
          <w:rFonts w:asciiTheme="minorHAnsi" w:hAnsiTheme="minorHAnsi" w:cstheme="minorHAnsi"/>
        </w:rPr>
        <w:t xml:space="preserve"> future” and mutual gain amounted to guarantees of a propri</w:t>
      </w:r>
      <w:r w:rsidR="001B7ED1" w:rsidRPr="006D6EC7">
        <w:rPr>
          <w:rFonts w:asciiTheme="minorHAnsi" w:hAnsiTheme="minorHAnsi" w:cstheme="minorHAnsi"/>
        </w:rPr>
        <w:t xml:space="preserve">etary interest. She argued that a constructive trust or proprietary estoppel </w:t>
      </w:r>
      <w:r w:rsidR="003309AF">
        <w:rPr>
          <w:rFonts w:asciiTheme="minorHAnsi" w:hAnsiTheme="minorHAnsi" w:cstheme="minorHAnsi"/>
        </w:rPr>
        <w:t xml:space="preserve">had </w:t>
      </w:r>
      <w:r w:rsidR="001B7ED1" w:rsidRPr="006D6EC7">
        <w:rPr>
          <w:rFonts w:asciiTheme="minorHAnsi" w:hAnsiTheme="minorHAnsi" w:cstheme="minorHAnsi"/>
        </w:rPr>
        <w:t>resulted from her unpaid employment</w:t>
      </w:r>
      <w:r w:rsidR="006F6D59" w:rsidRPr="006D6EC7">
        <w:rPr>
          <w:rFonts w:asciiTheme="minorHAnsi" w:hAnsiTheme="minorHAnsi" w:cstheme="minorHAnsi"/>
        </w:rPr>
        <w:t xml:space="preserve"> in the respondent’s business, which </w:t>
      </w:r>
      <w:r w:rsidR="003309AF">
        <w:rPr>
          <w:rFonts w:asciiTheme="minorHAnsi" w:hAnsiTheme="minorHAnsi" w:cstheme="minorHAnsi"/>
        </w:rPr>
        <w:t>constituted</w:t>
      </w:r>
      <w:r w:rsidR="006F6D59" w:rsidRPr="006D6EC7">
        <w:rPr>
          <w:rFonts w:asciiTheme="minorHAnsi" w:hAnsiTheme="minorHAnsi" w:cstheme="minorHAnsi"/>
        </w:rPr>
        <w:t xml:space="preserve"> reliance and harm. </w:t>
      </w:r>
    </w:p>
    <w:p w14:paraId="72682E9E" w14:textId="2FFDAFE7" w:rsidR="00100ED0" w:rsidRPr="00416CF1" w:rsidRDefault="00100ED0" w:rsidP="001A6CEE">
      <w:pPr>
        <w:rPr>
          <w:rFonts w:ascii="-webkit-standard" w:hAnsi="-webkit-standard"/>
          <w:color w:val="000000"/>
          <w:sz w:val="25"/>
        </w:rPr>
      </w:pPr>
    </w:p>
    <w:p w14:paraId="1176F083" w14:textId="025AD9F5" w:rsidR="001A6CEE" w:rsidRDefault="001A6CEE" w:rsidP="001A6CEE">
      <w:pPr>
        <w:rPr>
          <w:rFonts w:asciiTheme="minorHAnsi" w:hAnsiTheme="minorHAnsi" w:cstheme="minorHAnsi"/>
          <w:b/>
          <w:bCs/>
        </w:rPr>
      </w:pPr>
      <w:r>
        <w:rPr>
          <w:rFonts w:asciiTheme="minorHAnsi" w:hAnsiTheme="minorHAnsi" w:cstheme="minorHAnsi"/>
          <w:b/>
          <w:bCs/>
        </w:rPr>
        <w:t>Respondent’s arguments</w:t>
      </w:r>
    </w:p>
    <w:p w14:paraId="12D1683C" w14:textId="77777777" w:rsidR="003309AF" w:rsidRDefault="003309AF" w:rsidP="001A6CEE">
      <w:pPr>
        <w:rPr>
          <w:rFonts w:asciiTheme="minorHAnsi" w:hAnsiTheme="minorHAnsi" w:cstheme="minorHAnsi"/>
        </w:rPr>
      </w:pPr>
    </w:p>
    <w:p w14:paraId="4909E702" w14:textId="7D070ED8" w:rsidR="005D7BDE" w:rsidRPr="003309AF" w:rsidRDefault="005D7BDE" w:rsidP="001A6CEE">
      <w:pPr>
        <w:rPr>
          <w:rFonts w:asciiTheme="minorHAnsi" w:hAnsiTheme="minorHAnsi" w:cstheme="minorHAnsi"/>
        </w:rPr>
      </w:pPr>
      <w:r w:rsidRPr="003309AF">
        <w:rPr>
          <w:rFonts w:asciiTheme="minorHAnsi" w:hAnsiTheme="minorHAnsi" w:cstheme="minorHAnsi"/>
        </w:rPr>
        <w:t>The respondent argued that the stated remarks lacked any private information</w:t>
      </w:r>
      <w:r w:rsidR="00BF62CE" w:rsidRPr="003309AF">
        <w:rPr>
          <w:rFonts w:asciiTheme="minorHAnsi" w:hAnsiTheme="minorHAnsi" w:cstheme="minorHAnsi"/>
        </w:rPr>
        <w:t xml:space="preserve"> and were vague relational claims. He argued that there was</w:t>
      </w:r>
      <w:r w:rsidR="00614720" w:rsidRPr="003309AF">
        <w:rPr>
          <w:rFonts w:asciiTheme="minorHAnsi" w:hAnsiTheme="minorHAnsi" w:cstheme="minorHAnsi"/>
        </w:rPr>
        <w:t xml:space="preserve"> insufficient evidence of purpose, reliance, or harm because the appellant’s work in the firm was done willingly within the partnership.</w:t>
      </w:r>
    </w:p>
    <w:p w14:paraId="3203BAD8" w14:textId="77777777" w:rsidR="00614720" w:rsidRDefault="00614720" w:rsidP="001A6CEE">
      <w:pPr>
        <w:rPr>
          <w:rFonts w:ascii="-webkit-standard" w:hAnsi="-webkit-standard"/>
          <w:color w:val="000000"/>
          <w:sz w:val="27"/>
          <w:szCs w:val="27"/>
        </w:rPr>
      </w:pPr>
    </w:p>
    <w:p w14:paraId="2F034DC2" w14:textId="2EDA5203" w:rsidR="001A6CEE" w:rsidRDefault="001A6CEE" w:rsidP="001A6CEE">
      <w:pPr>
        <w:rPr>
          <w:rFonts w:asciiTheme="minorHAnsi" w:hAnsiTheme="minorHAnsi" w:cstheme="minorHAnsi"/>
          <w:b/>
          <w:bCs/>
        </w:rPr>
      </w:pPr>
      <w:r>
        <w:rPr>
          <w:rFonts w:asciiTheme="minorHAnsi" w:hAnsiTheme="minorHAnsi" w:cstheme="minorHAnsi"/>
          <w:b/>
          <w:bCs/>
        </w:rPr>
        <w:t xml:space="preserve">Decision of </w:t>
      </w:r>
      <w:r w:rsidR="003309AF">
        <w:rPr>
          <w:rFonts w:asciiTheme="minorHAnsi" w:hAnsiTheme="minorHAnsi" w:cstheme="minorHAnsi"/>
          <w:b/>
          <w:bCs/>
        </w:rPr>
        <w:t xml:space="preserve">the </w:t>
      </w:r>
      <w:r>
        <w:rPr>
          <w:rFonts w:asciiTheme="minorHAnsi" w:hAnsiTheme="minorHAnsi" w:cstheme="minorHAnsi"/>
          <w:b/>
          <w:bCs/>
        </w:rPr>
        <w:t>court</w:t>
      </w:r>
    </w:p>
    <w:p w14:paraId="2CA2CFB5" w14:textId="77777777" w:rsidR="003309AF" w:rsidRDefault="003309AF" w:rsidP="001A6CEE">
      <w:pPr>
        <w:rPr>
          <w:rFonts w:asciiTheme="minorHAnsi" w:hAnsiTheme="minorHAnsi" w:cstheme="minorHAnsi"/>
        </w:rPr>
      </w:pPr>
    </w:p>
    <w:p w14:paraId="0B1C9E59" w14:textId="4CB3E69C" w:rsidR="003309AF" w:rsidRPr="003309AF" w:rsidRDefault="003309AF" w:rsidP="001A6CEE">
      <w:pPr>
        <w:rPr>
          <w:rFonts w:asciiTheme="minorHAnsi" w:hAnsiTheme="minorHAnsi" w:cstheme="minorHAnsi"/>
        </w:rPr>
      </w:pPr>
      <w:r w:rsidRPr="003309AF">
        <w:rPr>
          <w:rFonts w:asciiTheme="minorHAnsi" w:hAnsiTheme="minorHAnsi" w:cstheme="minorHAnsi"/>
        </w:rPr>
        <w:t xml:space="preserve">Appeal dismissed </w:t>
      </w:r>
    </w:p>
    <w:p w14:paraId="44F2D4BF" w14:textId="77777777" w:rsidR="003309AF" w:rsidRDefault="003309AF" w:rsidP="001A6CEE">
      <w:pPr>
        <w:rPr>
          <w:rFonts w:asciiTheme="minorHAnsi" w:hAnsiTheme="minorHAnsi" w:cstheme="minorHAnsi"/>
          <w:color w:val="70AD47" w:themeColor="accent6"/>
        </w:rPr>
      </w:pPr>
    </w:p>
    <w:p w14:paraId="46178BAA" w14:textId="77777777" w:rsidR="001A6CEE" w:rsidRDefault="001A6CEE" w:rsidP="008912EA">
      <w:pPr>
        <w:rPr>
          <w:rFonts w:asciiTheme="minorHAnsi" w:hAnsiTheme="minorHAnsi" w:cstheme="minorHAnsi"/>
        </w:rPr>
      </w:pPr>
    </w:p>
    <w:p w14:paraId="21C1A310" w14:textId="77777777" w:rsidR="00032155" w:rsidRDefault="00032155" w:rsidP="001A6CEE">
      <w:pPr>
        <w:rPr>
          <w:rFonts w:asciiTheme="minorHAnsi" w:hAnsiTheme="minorHAnsi" w:cstheme="minorHAnsi"/>
          <w:b/>
          <w:bCs/>
        </w:rPr>
      </w:pPr>
    </w:p>
    <w:p w14:paraId="1055E542" w14:textId="7EABD970" w:rsidR="001A6CEE" w:rsidRDefault="001A6CEE" w:rsidP="001A6CEE">
      <w:pPr>
        <w:rPr>
          <w:rFonts w:asciiTheme="minorHAnsi" w:hAnsiTheme="minorHAnsi" w:cstheme="minorHAnsi"/>
          <w:b/>
          <w:bCs/>
        </w:rPr>
      </w:pPr>
      <w:r>
        <w:rPr>
          <w:rFonts w:asciiTheme="minorHAnsi" w:hAnsiTheme="minorHAnsi" w:cstheme="minorHAnsi"/>
          <w:b/>
          <w:bCs/>
        </w:rPr>
        <w:lastRenderedPageBreak/>
        <w:t>Rule of law</w:t>
      </w:r>
    </w:p>
    <w:p w14:paraId="4FC55E4B" w14:textId="77777777" w:rsidR="00E8033F" w:rsidRDefault="00E8033F" w:rsidP="001A6CEE">
      <w:pPr>
        <w:rPr>
          <w:rFonts w:asciiTheme="minorHAnsi" w:hAnsiTheme="minorHAnsi" w:cstheme="minorHAnsi"/>
          <w:b/>
          <w:bCs/>
        </w:rPr>
      </w:pPr>
    </w:p>
    <w:p w14:paraId="033B1AC6" w14:textId="3DED32DF" w:rsidR="000E4A39" w:rsidRPr="00C6628D" w:rsidRDefault="000E4A39" w:rsidP="001A6CEE">
      <w:pPr>
        <w:rPr>
          <w:rFonts w:asciiTheme="minorHAnsi" w:hAnsiTheme="minorHAnsi" w:cstheme="minorHAnsi"/>
        </w:rPr>
      </w:pPr>
      <w:r w:rsidRPr="00C6628D">
        <w:rPr>
          <w:rFonts w:asciiTheme="minorHAnsi" w:hAnsiTheme="minorHAnsi" w:cstheme="minorHAnsi"/>
        </w:rPr>
        <w:t>Without specific guarantees about property rights, general remarks about shared life or goals for the future are insufficient to establish a common purpose, constructive trust or proprietary estoppel.</w:t>
      </w:r>
    </w:p>
    <w:p w14:paraId="20258E0C" w14:textId="77777777" w:rsidR="000E4A39" w:rsidRDefault="000E4A39" w:rsidP="001A6CEE">
      <w:pPr>
        <w:rPr>
          <w:rFonts w:asciiTheme="minorHAnsi" w:hAnsiTheme="minorHAnsi" w:cstheme="minorHAnsi"/>
          <w:color w:val="70AD47" w:themeColor="accent6"/>
        </w:rPr>
      </w:pPr>
    </w:p>
    <w:p w14:paraId="008C3387" w14:textId="0B1A599F" w:rsidR="001A6CEE" w:rsidRDefault="001A6CEE" w:rsidP="001A6CEE">
      <w:pPr>
        <w:rPr>
          <w:rFonts w:asciiTheme="minorHAnsi" w:hAnsiTheme="minorHAnsi" w:cstheme="minorHAnsi"/>
          <w:b/>
          <w:bCs/>
        </w:rPr>
      </w:pPr>
      <w:r>
        <w:rPr>
          <w:rFonts w:asciiTheme="minorHAnsi" w:hAnsiTheme="minorHAnsi" w:cstheme="minorHAnsi"/>
          <w:b/>
          <w:bCs/>
        </w:rPr>
        <w:t>Reasoning</w:t>
      </w:r>
    </w:p>
    <w:p w14:paraId="22B98C23" w14:textId="77777777" w:rsidR="00FB2AEE" w:rsidRDefault="00FB2AEE" w:rsidP="001A6CEE">
      <w:pPr>
        <w:rPr>
          <w:rFonts w:asciiTheme="minorHAnsi" w:hAnsiTheme="minorHAnsi" w:cstheme="minorHAnsi"/>
        </w:rPr>
      </w:pPr>
    </w:p>
    <w:p w14:paraId="58DBBD68" w14:textId="616A20F0" w:rsidR="00A57D4A" w:rsidRDefault="007E7277">
      <w:pPr>
        <w:rPr>
          <w:rFonts w:asciiTheme="minorHAnsi" w:hAnsiTheme="minorHAnsi" w:cstheme="minorHAnsi"/>
        </w:rPr>
      </w:pPr>
      <w:r w:rsidRPr="00FB2AEE">
        <w:rPr>
          <w:rFonts w:asciiTheme="minorHAnsi" w:hAnsiTheme="minorHAnsi" w:cstheme="minorHAnsi"/>
        </w:rPr>
        <w:t>According to the Court of Appeal, the Appellant was unable to</w:t>
      </w:r>
      <w:r w:rsidR="00163484" w:rsidRPr="00FB2AEE">
        <w:rPr>
          <w:rFonts w:asciiTheme="minorHAnsi" w:hAnsiTheme="minorHAnsi" w:cstheme="minorHAnsi"/>
        </w:rPr>
        <w:t xml:space="preserve"> prove that there was a shared purpose </w:t>
      </w:r>
      <w:r w:rsidR="00534C8F" w:rsidRPr="00FB2AEE">
        <w:rPr>
          <w:rFonts w:asciiTheme="minorHAnsi" w:hAnsiTheme="minorHAnsi" w:cstheme="minorHAnsi"/>
        </w:rPr>
        <w:t>about</w:t>
      </w:r>
      <w:r w:rsidR="00163484" w:rsidRPr="00FB2AEE">
        <w:rPr>
          <w:rFonts w:asciiTheme="minorHAnsi" w:hAnsiTheme="minorHAnsi" w:cstheme="minorHAnsi"/>
        </w:rPr>
        <w:t xml:space="preserve"> beneficial </w:t>
      </w:r>
      <w:r w:rsidR="00534C8F" w:rsidRPr="00FB2AEE">
        <w:rPr>
          <w:rFonts w:asciiTheme="minorHAnsi" w:hAnsiTheme="minorHAnsi" w:cstheme="minorHAnsi"/>
        </w:rPr>
        <w:t>ownership, directly or indirectly. The alleged comments were not relevant to property rights and were too vague. The Court stated that living together and making contributions</w:t>
      </w:r>
      <w:r w:rsidR="00CA2EF6" w:rsidRPr="00FB2AEE">
        <w:rPr>
          <w:rFonts w:asciiTheme="minorHAnsi" w:hAnsiTheme="minorHAnsi" w:cstheme="minorHAnsi"/>
        </w:rPr>
        <w:t xml:space="preserve"> out of love or commitment to a partnership do not establish equitable interests. Regarding proprietary estoppel</w:t>
      </w:r>
      <w:r w:rsidR="00A302B8" w:rsidRPr="00FB2AEE">
        <w:rPr>
          <w:rFonts w:asciiTheme="minorHAnsi" w:hAnsiTheme="minorHAnsi" w:cstheme="minorHAnsi"/>
        </w:rPr>
        <w:t>, the court determined that there was neither a clear guarantee nor any harm beyond what is usually expected in a domestic relationship.</w:t>
      </w:r>
      <w:r w:rsidR="0003398A" w:rsidRPr="00FB2AEE">
        <w:rPr>
          <w:rFonts w:asciiTheme="minorHAnsi" w:hAnsiTheme="minorHAnsi" w:cstheme="minorHAnsi"/>
        </w:rPr>
        <w:t xml:space="preserve"> Despite its importan</w:t>
      </w:r>
      <w:r w:rsidR="00FB2AEE" w:rsidRPr="00FB2AEE">
        <w:rPr>
          <w:rFonts w:asciiTheme="minorHAnsi" w:hAnsiTheme="minorHAnsi" w:cstheme="minorHAnsi"/>
        </w:rPr>
        <w:t>ce</w:t>
      </w:r>
      <w:r w:rsidR="0003398A" w:rsidRPr="00FB2AEE">
        <w:rPr>
          <w:rFonts w:asciiTheme="minorHAnsi" w:hAnsiTheme="minorHAnsi" w:cstheme="minorHAnsi"/>
        </w:rPr>
        <w:t>, the appellant’s unpaid work was not done in expectation of a guarantee</w:t>
      </w:r>
      <w:r w:rsidR="0096213A" w:rsidRPr="00FB2AEE">
        <w:rPr>
          <w:rFonts w:asciiTheme="minorHAnsi" w:hAnsiTheme="minorHAnsi" w:cstheme="minorHAnsi"/>
        </w:rPr>
        <w:t xml:space="preserve"> of property rights.</w:t>
      </w:r>
    </w:p>
    <w:p w14:paraId="70CB8AD3" w14:textId="77777777" w:rsidR="00220742" w:rsidRPr="00220742" w:rsidRDefault="00220742">
      <w:pPr>
        <w:rPr>
          <w:rFonts w:asciiTheme="minorHAnsi" w:hAnsiTheme="minorHAnsi" w:cstheme="minorHAnsi"/>
        </w:rPr>
      </w:pPr>
    </w:p>
    <w:p w14:paraId="2F87977C" w14:textId="77777777" w:rsidR="00A57D4A" w:rsidRDefault="00A57D4A"/>
    <w:p w14:paraId="7FCB4BAF" w14:textId="516D4FF6" w:rsidR="00A57D4A" w:rsidRPr="009D531E" w:rsidRDefault="00A57D4A" w:rsidP="00A57D4A">
      <w:pPr>
        <w:spacing w:line="360" w:lineRule="auto"/>
        <w:rPr>
          <w:rFonts w:ascii="Arial" w:hAnsi="Arial" w:cs="Arial"/>
          <w:color w:val="70AD47" w:themeColor="accent6"/>
        </w:rPr>
      </w:pPr>
      <w:r w:rsidRPr="009D531E">
        <w:rPr>
          <w:rFonts w:ascii="Arial" w:hAnsi="Arial" w:cs="Arial"/>
          <w:b/>
          <w:bCs/>
        </w:rPr>
        <w:t xml:space="preserve">Word count: </w:t>
      </w:r>
      <w:r w:rsidR="005E545B">
        <w:rPr>
          <w:rFonts w:ascii="Arial" w:hAnsi="Arial" w:cs="Arial"/>
          <w:b/>
          <w:bCs/>
        </w:rPr>
        <w:t>2</w:t>
      </w:r>
      <w:r w:rsidR="008D5940">
        <w:rPr>
          <w:rFonts w:ascii="Arial" w:hAnsi="Arial" w:cs="Arial"/>
          <w:b/>
          <w:bCs/>
        </w:rPr>
        <w:t>,</w:t>
      </w:r>
      <w:r w:rsidR="005E545B">
        <w:rPr>
          <w:rFonts w:ascii="Arial" w:hAnsi="Arial" w:cs="Arial"/>
          <w:b/>
          <w:bCs/>
        </w:rPr>
        <w:t>02</w:t>
      </w:r>
      <w:r w:rsidR="008D5940">
        <w:rPr>
          <w:rFonts w:ascii="Arial" w:hAnsi="Arial" w:cs="Arial"/>
          <w:b/>
          <w:bCs/>
        </w:rPr>
        <w:t xml:space="preserve">5 </w:t>
      </w:r>
    </w:p>
    <w:p w14:paraId="73A72906" w14:textId="00FE1C12" w:rsidR="001A6CEE" w:rsidRDefault="001A6CEE">
      <w:pPr>
        <w:rPr>
          <w:rFonts w:asciiTheme="majorHAnsi" w:eastAsiaTheme="majorEastAsia" w:hAnsiTheme="majorHAnsi" w:cstheme="majorBidi"/>
          <w:b/>
          <w:szCs w:val="40"/>
        </w:rPr>
      </w:pPr>
      <w:r>
        <w:br w:type="page"/>
      </w:r>
    </w:p>
    <w:p w14:paraId="242D97F0" w14:textId="7C89AFFB" w:rsidR="0057790B" w:rsidRDefault="005F216E" w:rsidP="0057790B">
      <w:pPr>
        <w:pStyle w:val="Heading1"/>
        <w:numPr>
          <w:ilvl w:val="0"/>
          <w:numId w:val="0"/>
        </w:numPr>
        <w:ind w:left="680" w:hanging="680"/>
      </w:pPr>
      <w:r w:rsidRPr="009D531E">
        <w:lastRenderedPageBreak/>
        <w:t>References</w:t>
      </w:r>
    </w:p>
    <w:p w14:paraId="1CC507BC" w14:textId="35ED41C9" w:rsidR="0057790B" w:rsidRPr="00436052" w:rsidRDefault="0057790B" w:rsidP="0057790B">
      <w:pPr>
        <w:rPr>
          <w:rFonts w:ascii="Arial" w:hAnsi="Arial" w:cs="Arial"/>
        </w:rPr>
      </w:pPr>
      <w:r w:rsidRPr="00436052">
        <w:rPr>
          <w:rFonts w:ascii="Arial" w:hAnsi="Arial" w:cs="Arial"/>
        </w:rPr>
        <w:t>Casemine (2015). Hopkins v Hopkins, [2015] EWHC 812</w:t>
      </w:r>
      <w:r w:rsidR="00266D51" w:rsidRPr="00436052">
        <w:rPr>
          <w:rFonts w:ascii="Arial" w:hAnsi="Arial" w:cs="Arial"/>
        </w:rPr>
        <w:t xml:space="preserve"> | England and Wales High Court, Judgement Law. Available at:</w:t>
      </w:r>
      <w:r w:rsidR="00436052" w:rsidRPr="00436052">
        <w:rPr>
          <w:rFonts w:ascii="Arial" w:hAnsi="Arial" w:cs="Arial"/>
        </w:rPr>
        <w:t xml:space="preserve"> </w:t>
      </w:r>
      <w:hyperlink r:id="rId8" w:history="1">
        <w:r w:rsidR="00436052" w:rsidRPr="00436052">
          <w:rPr>
            <w:rStyle w:val="Hyperlink"/>
            <w:rFonts w:ascii="Arial" w:hAnsi="Arial" w:cs="Arial"/>
          </w:rPr>
          <w:t>https://www.casemine.com/judgement/uk/5a8ff7cd60d03e7f57eb234d</w:t>
        </w:r>
      </w:hyperlink>
      <w:r w:rsidR="00436052" w:rsidRPr="00436052">
        <w:rPr>
          <w:rFonts w:ascii="Arial" w:hAnsi="Arial" w:cs="Arial"/>
        </w:rPr>
        <w:t xml:space="preserve"> (Accessed: 29.12.2025)</w:t>
      </w:r>
    </w:p>
    <w:p w14:paraId="598B8E58" w14:textId="77777777" w:rsidR="00436052" w:rsidRPr="0057790B" w:rsidRDefault="00436052" w:rsidP="0057790B"/>
    <w:p w14:paraId="76FB32B3" w14:textId="77777777" w:rsidR="002C1E8B" w:rsidRDefault="00AA7A99" w:rsidP="00744A17">
      <w:pPr>
        <w:rPr>
          <w:rFonts w:ascii="Arial" w:hAnsi="Arial" w:cs="Arial"/>
          <w:color w:val="000000" w:themeColor="text1"/>
        </w:rPr>
      </w:pPr>
      <w:r>
        <w:rPr>
          <w:rFonts w:ascii="Arial" w:hAnsi="Arial" w:cs="Arial"/>
          <w:color w:val="000000" w:themeColor="text1"/>
        </w:rPr>
        <w:t>Casemine</w:t>
      </w:r>
      <w:r w:rsidR="00CC4992">
        <w:rPr>
          <w:rFonts w:ascii="Arial" w:hAnsi="Arial" w:cs="Arial"/>
          <w:color w:val="000000" w:themeColor="text1"/>
        </w:rPr>
        <w:t xml:space="preserve"> (2023). James v Thomas, [2007] </w:t>
      </w:r>
      <w:r w:rsidR="009F1367">
        <w:rPr>
          <w:rFonts w:ascii="Arial" w:hAnsi="Arial" w:cs="Arial"/>
          <w:color w:val="000000" w:themeColor="text1"/>
        </w:rPr>
        <w:t>England and Wales Court of Appeal</w:t>
      </w:r>
      <w:r w:rsidR="00A90E70">
        <w:rPr>
          <w:rFonts w:ascii="Arial" w:hAnsi="Arial" w:cs="Arial"/>
          <w:color w:val="000000" w:themeColor="text1"/>
        </w:rPr>
        <w:t xml:space="preserve"> (Civil Divisi</w:t>
      </w:r>
      <w:r w:rsidR="00233A77">
        <w:rPr>
          <w:rFonts w:ascii="Arial" w:hAnsi="Arial" w:cs="Arial"/>
          <w:color w:val="000000" w:themeColor="text1"/>
        </w:rPr>
        <w:t xml:space="preserve">on). Available at: </w:t>
      </w:r>
      <w:hyperlink r:id="rId9" w:history="1">
        <w:r w:rsidR="00233A77" w:rsidRPr="00410F27">
          <w:rPr>
            <w:rStyle w:val="Hyperlink"/>
            <w:rFonts w:ascii="Arial" w:hAnsi="Arial" w:cs="Arial"/>
          </w:rPr>
          <w:t>https://www.casemine.com/judgement/uk/5a8ff7a260d03e7f57eb0881</w:t>
        </w:r>
      </w:hyperlink>
      <w:r w:rsidR="00233A77">
        <w:rPr>
          <w:rFonts w:ascii="Arial" w:hAnsi="Arial" w:cs="Arial"/>
          <w:color w:val="000000" w:themeColor="text1"/>
        </w:rPr>
        <w:t xml:space="preserve"> </w:t>
      </w:r>
    </w:p>
    <w:p w14:paraId="512F9772" w14:textId="1D459F0E" w:rsidR="00AA7A99" w:rsidRDefault="00233A77" w:rsidP="00744A17">
      <w:pPr>
        <w:rPr>
          <w:rFonts w:ascii="Arial" w:hAnsi="Arial" w:cs="Arial"/>
          <w:color w:val="000000" w:themeColor="text1"/>
        </w:rPr>
      </w:pPr>
      <w:r>
        <w:rPr>
          <w:rFonts w:ascii="Arial" w:hAnsi="Arial" w:cs="Arial"/>
          <w:color w:val="000000" w:themeColor="text1"/>
        </w:rPr>
        <w:t>(</w:t>
      </w:r>
      <w:r w:rsidR="002C1E8B">
        <w:rPr>
          <w:rFonts w:ascii="Arial" w:hAnsi="Arial" w:cs="Arial"/>
          <w:color w:val="000000" w:themeColor="text1"/>
        </w:rPr>
        <w:t>Accessed: 28.12.20250</w:t>
      </w:r>
    </w:p>
    <w:p w14:paraId="020E4DDA" w14:textId="77777777" w:rsidR="006A44CD" w:rsidRDefault="006A44CD" w:rsidP="00744A17">
      <w:pPr>
        <w:rPr>
          <w:rFonts w:ascii="Arial" w:hAnsi="Arial" w:cs="Arial"/>
          <w:color w:val="000000" w:themeColor="text1"/>
        </w:rPr>
      </w:pPr>
    </w:p>
    <w:p w14:paraId="1DFB66FA" w14:textId="4DC5597A" w:rsidR="006A44CD" w:rsidRDefault="006A44CD" w:rsidP="00744A17">
      <w:pPr>
        <w:rPr>
          <w:rFonts w:ascii="Arial" w:hAnsi="Arial" w:cs="Arial"/>
          <w:color w:val="000000" w:themeColor="text1"/>
        </w:rPr>
      </w:pPr>
      <w:r>
        <w:rPr>
          <w:rFonts w:ascii="Arial" w:hAnsi="Arial" w:cs="Arial"/>
          <w:color w:val="000000" w:themeColor="text1"/>
        </w:rPr>
        <w:t>Casemine (2023). Jennings v Rice &amp; Ors</w:t>
      </w:r>
      <w:r w:rsidR="0069056C">
        <w:rPr>
          <w:rFonts w:ascii="Arial" w:hAnsi="Arial" w:cs="Arial"/>
          <w:color w:val="000000" w:themeColor="text1"/>
        </w:rPr>
        <w:t>, (2003) 1 FCR 501| England and Wales Court of Appeal</w:t>
      </w:r>
      <w:r w:rsidR="009C092B">
        <w:rPr>
          <w:rFonts w:ascii="Arial" w:hAnsi="Arial" w:cs="Arial"/>
          <w:color w:val="000000" w:themeColor="text1"/>
        </w:rPr>
        <w:t xml:space="preserve">, Judgement Law. Available at: </w:t>
      </w:r>
      <w:hyperlink r:id="rId10" w:history="1">
        <w:r w:rsidR="009C092B" w:rsidRPr="00410F27">
          <w:rPr>
            <w:rStyle w:val="Hyperlink"/>
            <w:rFonts w:ascii="Arial" w:hAnsi="Arial" w:cs="Arial"/>
          </w:rPr>
          <w:t>https://www.casemine.com/judgement/uk/5a8ff7aa60d03e7f57eb1065</w:t>
        </w:r>
      </w:hyperlink>
      <w:r w:rsidR="009C092B">
        <w:rPr>
          <w:rFonts w:ascii="Arial" w:hAnsi="Arial" w:cs="Arial"/>
          <w:color w:val="000000" w:themeColor="text1"/>
        </w:rPr>
        <w:t xml:space="preserve">  (Accessed: 29.12).2025)</w:t>
      </w:r>
    </w:p>
    <w:p w14:paraId="0D325302" w14:textId="77777777" w:rsidR="002C1E8B" w:rsidRDefault="002C1E8B" w:rsidP="00744A17">
      <w:pPr>
        <w:rPr>
          <w:rFonts w:ascii="Arial" w:hAnsi="Arial" w:cs="Arial"/>
          <w:color w:val="000000" w:themeColor="text1"/>
        </w:rPr>
      </w:pPr>
    </w:p>
    <w:p w14:paraId="19FFB22F" w14:textId="1F45BB4F" w:rsidR="00C150F9" w:rsidRDefault="00C56652" w:rsidP="00744A17">
      <w:pPr>
        <w:rPr>
          <w:rFonts w:ascii="Arial" w:hAnsi="Arial" w:cs="Arial"/>
          <w:color w:val="000000" w:themeColor="text1"/>
        </w:rPr>
      </w:pPr>
      <w:r w:rsidRPr="00D35B33">
        <w:rPr>
          <w:rFonts w:ascii="Arial" w:hAnsi="Arial" w:cs="Arial"/>
          <w:color w:val="000000" w:themeColor="text1"/>
        </w:rPr>
        <w:t>Citylaw</w:t>
      </w:r>
      <w:r w:rsidR="00665D63" w:rsidRPr="00D35B33">
        <w:rPr>
          <w:rFonts w:ascii="Arial" w:hAnsi="Arial" w:cs="Arial"/>
          <w:color w:val="000000" w:themeColor="text1"/>
        </w:rPr>
        <w:t>tutors (2025)</w:t>
      </w:r>
      <w:r w:rsidR="001A6CEE" w:rsidRPr="00D35B33">
        <w:rPr>
          <w:rFonts w:ascii="Arial" w:hAnsi="Arial" w:cs="Arial"/>
          <w:color w:val="000000" w:themeColor="text1"/>
        </w:rPr>
        <w:t xml:space="preserve">. </w:t>
      </w:r>
      <w:r w:rsidR="00DF36A3" w:rsidRPr="00D35B33">
        <w:rPr>
          <w:rFonts w:ascii="Arial" w:hAnsi="Arial" w:cs="Arial"/>
          <w:color w:val="000000" w:themeColor="text1"/>
        </w:rPr>
        <w:t>Stack v</w:t>
      </w:r>
      <w:r w:rsidR="00A62B15" w:rsidRPr="00D35B33">
        <w:rPr>
          <w:rFonts w:ascii="Arial" w:hAnsi="Arial" w:cs="Arial"/>
          <w:color w:val="000000" w:themeColor="text1"/>
        </w:rPr>
        <w:t xml:space="preserve"> Dowden and Jones v Kernott Failed to Settle </w:t>
      </w:r>
      <w:r w:rsidR="00F855AF" w:rsidRPr="00D35B33">
        <w:rPr>
          <w:rFonts w:ascii="Arial" w:hAnsi="Arial" w:cs="Arial"/>
          <w:color w:val="000000" w:themeColor="text1"/>
        </w:rPr>
        <w:t>the</w:t>
      </w:r>
      <w:r w:rsidR="00A62B15" w:rsidRPr="00D35B33">
        <w:rPr>
          <w:rFonts w:ascii="Arial" w:hAnsi="Arial" w:cs="Arial"/>
          <w:color w:val="000000" w:themeColor="text1"/>
        </w:rPr>
        <w:t xml:space="preserve"> Law</w:t>
      </w:r>
      <w:r w:rsidR="00F855AF" w:rsidRPr="00D35B33">
        <w:rPr>
          <w:rFonts w:ascii="Arial" w:hAnsi="Arial" w:cs="Arial"/>
          <w:color w:val="000000" w:themeColor="text1"/>
        </w:rPr>
        <w:t xml:space="preserve">. Available at: </w:t>
      </w:r>
      <w:hyperlink r:id="rId11" w:history="1">
        <w:r w:rsidR="00273BBC" w:rsidRPr="00D35B33">
          <w:rPr>
            <w:rStyle w:val="Hyperlink"/>
            <w:rFonts w:ascii="Arial" w:hAnsi="Arial" w:cs="Arial"/>
          </w:rPr>
          <w:t>https://citylawtutors.co.uk/law-journal/stack-v-dowden-and-jones-v-kernott</w:t>
        </w:r>
      </w:hyperlink>
      <w:r w:rsidR="00273BBC" w:rsidRPr="00D35B33">
        <w:rPr>
          <w:rFonts w:ascii="Arial" w:hAnsi="Arial" w:cs="Arial"/>
          <w:color w:val="000000" w:themeColor="text1"/>
        </w:rPr>
        <w:t xml:space="preserve"> </w:t>
      </w:r>
      <w:r w:rsidR="000B75A1" w:rsidRPr="00D35B33">
        <w:rPr>
          <w:rFonts w:ascii="Arial" w:hAnsi="Arial" w:cs="Arial"/>
          <w:color w:val="000000" w:themeColor="text1"/>
        </w:rPr>
        <w:t xml:space="preserve"> (accessed: 28.12.2025)</w:t>
      </w:r>
    </w:p>
    <w:p w14:paraId="042C9A56" w14:textId="77777777" w:rsidR="00D35B33" w:rsidRPr="00D35B33" w:rsidRDefault="00D35B33" w:rsidP="00744A17">
      <w:pPr>
        <w:rPr>
          <w:rFonts w:ascii="Arial" w:hAnsi="Arial" w:cs="Arial"/>
          <w:color w:val="000000" w:themeColor="text1"/>
        </w:rPr>
      </w:pPr>
    </w:p>
    <w:p w14:paraId="57C6F388" w14:textId="377413F6" w:rsidR="00D35B33" w:rsidRDefault="004507D4" w:rsidP="00744A17">
      <w:pPr>
        <w:rPr>
          <w:rFonts w:ascii="Arial" w:hAnsi="Arial" w:cs="Arial"/>
          <w:color w:val="000000" w:themeColor="text1"/>
        </w:rPr>
      </w:pPr>
      <w:r w:rsidRPr="00D35B33">
        <w:rPr>
          <w:rFonts w:ascii="Arial" w:hAnsi="Arial" w:cs="Arial"/>
          <w:color w:val="000000" w:themeColor="text1"/>
        </w:rPr>
        <w:t xml:space="preserve">FJG </w:t>
      </w:r>
      <w:r w:rsidR="00DC11E6" w:rsidRPr="00D35B33">
        <w:rPr>
          <w:rFonts w:ascii="Arial" w:hAnsi="Arial" w:cs="Arial"/>
          <w:color w:val="000000" w:themeColor="text1"/>
        </w:rPr>
        <w:t>(2025)</w:t>
      </w:r>
      <w:r w:rsidR="00B07F3F" w:rsidRPr="00D35B33">
        <w:rPr>
          <w:rFonts w:ascii="Arial" w:hAnsi="Arial" w:cs="Arial"/>
          <w:color w:val="000000" w:themeColor="text1"/>
        </w:rPr>
        <w:t>.</w:t>
      </w:r>
      <w:r w:rsidR="00E72CC0" w:rsidRPr="00D35B33">
        <w:rPr>
          <w:rFonts w:ascii="Arial" w:hAnsi="Arial" w:cs="Arial"/>
          <w:color w:val="000000" w:themeColor="text1"/>
        </w:rPr>
        <w:t xml:space="preserve"> </w:t>
      </w:r>
      <w:r w:rsidR="00B07F3F" w:rsidRPr="00D35B33">
        <w:rPr>
          <w:rFonts w:ascii="Arial" w:hAnsi="Arial" w:cs="Arial"/>
          <w:color w:val="000000" w:themeColor="text1"/>
        </w:rPr>
        <w:t>A Cohabitation Case Study – Burns v Burns</w:t>
      </w:r>
      <w:r w:rsidR="00E72CC0" w:rsidRPr="00D35B33">
        <w:rPr>
          <w:rFonts w:ascii="Arial" w:hAnsi="Arial" w:cs="Arial"/>
          <w:color w:val="000000" w:themeColor="text1"/>
        </w:rPr>
        <w:t>. Fisher Jones</w:t>
      </w:r>
      <w:r w:rsidR="00106A00" w:rsidRPr="00D35B33">
        <w:rPr>
          <w:rFonts w:ascii="Arial" w:hAnsi="Arial" w:cs="Arial"/>
          <w:color w:val="000000" w:themeColor="text1"/>
        </w:rPr>
        <w:t xml:space="preserve"> Greenwood. Available at: </w:t>
      </w:r>
      <w:hyperlink r:id="rId12" w:history="1">
        <w:r w:rsidR="00106A00" w:rsidRPr="00D35B33">
          <w:rPr>
            <w:rStyle w:val="Hyperlink"/>
            <w:rFonts w:ascii="Arial" w:hAnsi="Arial" w:cs="Arial"/>
          </w:rPr>
          <w:t>https://www.fjg.co.uk/a-cohabitation-case-study-burns-v-burns/</w:t>
        </w:r>
      </w:hyperlink>
      <w:r w:rsidR="00106A00" w:rsidRPr="00D35B33">
        <w:rPr>
          <w:rFonts w:ascii="Arial" w:hAnsi="Arial" w:cs="Arial"/>
          <w:color w:val="000000" w:themeColor="text1"/>
        </w:rPr>
        <w:t xml:space="preserve"> (accessed: </w:t>
      </w:r>
      <w:r w:rsidR="00D35B33" w:rsidRPr="00D35B33">
        <w:rPr>
          <w:rFonts w:ascii="Arial" w:hAnsi="Arial" w:cs="Arial"/>
          <w:color w:val="000000" w:themeColor="text1"/>
        </w:rPr>
        <w:t>28.12.2025)</w:t>
      </w:r>
    </w:p>
    <w:p w14:paraId="0B16B3F9" w14:textId="77777777" w:rsidR="00684AAB" w:rsidRDefault="00684AAB" w:rsidP="00744A17">
      <w:pPr>
        <w:rPr>
          <w:rFonts w:ascii="Arial" w:hAnsi="Arial" w:cs="Arial"/>
          <w:color w:val="000000" w:themeColor="text1"/>
        </w:rPr>
      </w:pPr>
    </w:p>
    <w:p w14:paraId="6EC0E10A" w14:textId="3E311A6E" w:rsidR="00684AAB" w:rsidRDefault="00684AAB" w:rsidP="00744A17">
      <w:pPr>
        <w:rPr>
          <w:rFonts w:ascii="Arial" w:hAnsi="Arial" w:cs="Arial"/>
          <w:color w:val="000000" w:themeColor="text1"/>
        </w:rPr>
      </w:pPr>
      <w:r>
        <w:rPr>
          <w:rFonts w:ascii="Arial" w:hAnsi="Arial" w:cs="Arial"/>
          <w:color w:val="000000" w:themeColor="text1"/>
        </w:rPr>
        <w:t>GOV.UK (2024)</w:t>
      </w:r>
      <w:r w:rsidR="009D7C78">
        <w:rPr>
          <w:rFonts w:ascii="Arial" w:hAnsi="Arial" w:cs="Arial"/>
          <w:color w:val="000000" w:themeColor="text1"/>
        </w:rPr>
        <w:t xml:space="preserve">. </w:t>
      </w:r>
      <w:r w:rsidR="006A0097">
        <w:rPr>
          <w:rFonts w:ascii="Arial" w:hAnsi="Arial" w:cs="Arial"/>
          <w:color w:val="000000" w:themeColor="text1"/>
        </w:rPr>
        <w:t>Shared ownership homes: buying, improving and selling.</w:t>
      </w:r>
      <w:r w:rsidR="006B08CE">
        <w:rPr>
          <w:rFonts w:ascii="Arial" w:hAnsi="Arial" w:cs="Arial"/>
          <w:color w:val="000000" w:themeColor="text1"/>
        </w:rPr>
        <w:t xml:space="preserve"> Available at: </w:t>
      </w:r>
      <w:hyperlink r:id="rId13" w:history="1">
        <w:r w:rsidR="006B08CE" w:rsidRPr="00410F27">
          <w:rPr>
            <w:rStyle w:val="Hyperlink"/>
            <w:rFonts w:ascii="Arial" w:hAnsi="Arial" w:cs="Arial"/>
          </w:rPr>
          <w:t>https://www.gov.uk/shared-ownership-scheme</w:t>
        </w:r>
      </w:hyperlink>
      <w:r w:rsidR="006B08CE">
        <w:rPr>
          <w:rFonts w:ascii="Arial" w:hAnsi="Arial" w:cs="Arial"/>
          <w:color w:val="000000" w:themeColor="text1"/>
        </w:rPr>
        <w:t xml:space="preserve"> (Accessed: 28.12.2025)</w:t>
      </w:r>
    </w:p>
    <w:p w14:paraId="6F5FA1C8" w14:textId="77777777" w:rsidR="00056338" w:rsidRDefault="00056338" w:rsidP="00744A17">
      <w:pPr>
        <w:rPr>
          <w:rFonts w:ascii="Arial" w:hAnsi="Arial" w:cs="Arial"/>
          <w:color w:val="000000" w:themeColor="text1"/>
        </w:rPr>
      </w:pPr>
    </w:p>
    <w:p w14:paraId="6B580659" w14:textId="77777777" w:rsidR="00AB6530" w:rsidRDefault="00056338" w:rsidP="00744A17">
      <w:pPr>
        <w:rPr>
          <w:rFonts w:ascii="Arial" w:hAnsi="Arial" w:cs="Arial"/>
          <w:color w:val="000000" w:themeColor="text1"/>
        </w:rPr>
      </w:pPr>
      <w:r>
        <w:rPr>
          <w:rFonts w:ascii="Arial" w:hAnsi="Arial" w:cs="Arial"/>
          <w:color w:val="000000" w:themeColor="text1"/>
        </w:rPr>
        <w:t>IPSA (2022). Geary v Ranki</w:t>
      </w:r>
      <w:r w:rsidR="00D47705">
        <w:rPr>
          <w:rFonts w:ascii="Arial" w:hAnsi="Arial" w:cs="Arial"/>
          <w:color w:val="000000" w:themeColor="text1"/>
        </w:rPr>
        <w:t>ne – Case Summary. IPSA LOQUITUR. Available at:</w:t>
      </w:r>
      <w:r w:rsidR="00AB6530">
        <w:rPr>
          <w:rFonts w:ascii="Arial" w:hAnsi="Arial" w:cs="Arial"/>
          <w:color w:val="000000" w:themeColor="text1"/>
        </w:rPr>
        <w:t xml:space="preserve"> </w:t>
      </w:r>
      <w:hyperlink r:id="rId14" w:anchor="google_vignette" w:history="1">
        <w:r w:rsidR="00AB6530" w:rsidRPr="00410F27">
          <w:rPr>
            <w:rStyle w:val="Hyperlink"/>
            <w:rFonts w:ascii="Arial" w:hAnsi="Arial" w:cs="Arial"/>
          </w:rPr>
          <w:t>https://ipsaloquitur.com/land-law/cases/geary-v-rankine/#google_vignette</w:t>
        </w:r>
      </w:hyperlink>
      <w:r w:rsidR="00AB6530">
        <w:rPr>
          <w:rFonts w:ascii="Arial" w:hAnsi="Arial" w:cs="Arial"/>
          <w:color w:val="000000" w:themeColor="text1"/>
        </w:rPr>
        <w:t xml:space="preserve"> </w:t>
      </w:r>
    </w:p>
    <w:p w14:paraId="4680A044" w14:textId="489411FC" w:rsidR="00056338" w:rsidRDefault="00AB6530" w:rsidP="00744A17">
      <w:pPr>
        <w:rPr>
          <w:rFonts w:ascii="Arial" w:hAnsi="Arial" w:cs="Arial"/>
          <w:color w:val="000000" w:themeColor="text1"/>
        </w:rPr>
      </w:pPr>
      <w:r>
        <w:rPr>
          <w:rFonts w:ascii="Arial" w:hAnsi="Arial" w:cs="Arial"/>
          <w:color w:val="000000" w:themeColor="text1"/>
        </w:rPr>
        <w:t>(accessed: 28.12.2025)</w:t>
      </w:r>
    </w:p>
    <w:p w14:paraId="752C057F" w14:textId="77777777" w:rsidR="006D4646" w:rsidRDefault="006D4646" w:rsidP="00744A17">
      <w:pPr>
        <w:pStyle w:val="NormalWeb"/>
        <w:spacing w:before="0" w:beforeAutospacing="0" w:after="240" w:afterAutospacing="0"/>
        <w:rPr>
          <w:rFonts w:ascii="Arial" w:hAnsi="Arial" w:cs="Arial"/>
          <w:color w:val="000000"/>
        </w:rPr>
      </w:pPr>
    </w:p>
    <w:p w14:paraId="25411400" w14:textId="057F0694" w:rsidR="00541A15" w:rsidRDefault="00541A15" w:rsidP="00744A17">
      <w:pPr>
        <w:pStyle w:val="NormalWeb"/>
        <w:spacing w:before="0" w:beforeAutospacing="0" w:after="240" w:afterAutospacing="0"/>
        <w:rPr>
          <w:rFonts w:ascii="Arial" w:hAnsi="Arial" w:cs="Arial"/>
          <w:color w:val="000000"/>
        </w:rPr>
      </w:pPr>
      <w:r w:rsidRPr="00A15C06">
        <w:rPr>
          <w:rFonts w:ascii="Arial" w:hAnsi="Arial" w:cs="Arial"/>
          <w:color w:val="000000"/>
        </w:rPr>
        <w:t>LexisNexis (2025)</w:t>
      </w:r>
      <w:r w:rsidR="00160988">
        <w:rPr>
          <w:rFonts w:ascii="Arial" w:hAnsi="Arial" w:cs="Arial"/>
          <w:color w:val="000000"/>
        </w:rPr>
        <w:t>.</w:t>
      </w:r>
      <w:r w:rsidRPr="00A15C06">
        <w:rPr>
          <w:rFonts w:ascii="Arial" w:hAnsi="Arial" w:cs="Arial"/>
          <w:color w:val="000000"/>
        </w:rPr>
        <w:t xml:space="preserve"> Proprietary estoppel</w:t>
      </w:r>
      <w:r w:rsidR="000401BE" w:rsidRPr="00A15C06">
        <w:rPr>
          <w:rFonts w:ascii="Arial" w:hAnsi="Arial" w:cs="Arial"/>
          <w:color w:val="000000"/>
        </w:rPr>
        <w:t xml:space="preserve">. Available at: </w:t>
      </w:r>
      <w:hyperlink r:id="rId15" w:history="1">
        <w:r w:rsidR="00744A17" w:rsidRPr="00410F27">
          <w:rPr>
            <w:rStyle w:val="Hyperlink"/>
            <w:rFonts w:ascii="Arial" w:hAnsi="Arial" w:cs="Arial"/>
          </w:rPr>
          <w:t>https://www.lexisnexis.co.uk/legal/guidance/proprietary-estoppel</w:t>
        </w:r>
      </w:hyperlink>
      <w:r w:rsidR="00744A17">
        <w:rPr>
          <w:rFonts w:ascii="Arial" w:hAnsi="Arial" w:cs="Arial"/>
          <w:color w:val="000000"/>
        </w:rPr>
        <w:t xml:space="preserve"> </w:t>
      </w:r>
      <w:r w:rsidR="000401BE" w:rsidRPr="00A15C06">
        <w:rPr>
          <w:rFonts w:ascii="Arial" w:hAnsi="Arial" w:cs="Arial"/>
          <w:color w:val="000000"/>
        </w:rPr>
        <w:t>(Accessed: 29.12.2025)</w:t>
      </w:r>
    </w:p>
    <w:p w14:paraId="0151B9A7" w14:textId="7EBB0072" w:rsidR="00160988" w:rsidRPr="00A15C06" w:rsidRDefault="00160988" w:rsidP="00744A17">
      <w:pPr>
        <w:pStyle w:val="NormalWeb"/>
        <w:spacing w:before="0" w:beforeAutospacing="0" w:after="240" w:afterAutospacing="0"/>
        <w:rPr>
          <w:rFonts w:ascii="Arial" w:hAnsi="Arial" w:cs="Arial"/>
          <w:color w:val="000000"/>
        </w:rPr>
      </w:pPr>
      <w:r>
        <w:rPr>
          <w:rFonts w:ascii="Arial" w:hAnsi="Arial" w:cs="Arial"/>
          <w:color w:val="000000"/>
        </w:rPr>
        <w:t>Parliament.uk (2024). House of Lords</w:t>
      </w:r>
      <w:r w:rsidR="00661BC6">
        <w:rPr>
          <w:rFonts w:ascii="Arial" w:hAnsi="Arial" w:cs="Arial"/>
          <w:color w:val="000000"/>
        </w:rPr>
        <w:t xml:space="preserve"> – Thorner (Appellant) v Major and others (</w:t>
      </w:r>
      <w:r w:rsidR="000A23A7">
        <w:rPr>
          <w:rFonts w:ascii="Arial" w:hAnsi="Arial" w:cs="Arial"/>
          <w:color w:val="000000"/>
        </w:rPr>
        <w:t>R</w:t>
      </w:r>
      <w:r w:rsidR="00661BC6">
        <w:rPr>
          <w:rFonts w:ascii="Arial" w:hAnsi="Arial" w:cs="Arial"/>
          <w:color w:val="000000"/>
        </w:rPr>
        <w:t>esp</w:t>
      </w:r>
      <w:r w:rsidR="000A23A7">
        <w:rPr>
          <w:rFonts w:ascii="Arial" w:hAnsi="Arial" w:cs="Arial"/>
          <w:color w:val="000000"/>
        </w:rPr>
        <w:t xml:space="preserve">ondents). Available at: </w:t>
      </w:r>
      <w:hyperlink r:id="rId16" w:history="1">
        <w:r w:rsidR="000A23A7" w:rsidRPr="00410F27">
          <w:rPr>
            <w:rStyle w:val="Hyperlink"/>
            <w:rFonts w:ascii="Arial" w:hAnsi="Arial" w:cs="Arial"/>
          </w:rPr>
          <w:t>https://publications.parliament.uk/pa/ld200809/ldjudgmt/jd090325/thorn-1.htm</w:t>
        </w:r>
      </w:hyperlink>
      <w:r w:rsidR="000A23A7">
        <w:rPr>
          <w:rFonts w:ascii="Arial" w:hAnsi="Arial" w:cs="Arial"/>
          <w:color w:val="000000"/>
        </w:rPr>
        <w:t xml:space="preserve"> (Accessed: 29.12.2025)</w:t>
      </w:r>
    </w:p>
    <w:p w14:paraId="06042197" w14:textId="6CDD4BC2" w:rsidR="00A97E9E" w:rsidRDefault="002E332B" w:rsidP="00744A17">
      <w:pPr>
        <w:rPr>
          <w:rFonts w:ascii="Arial" w:hAnsi="Arial" w:cs="Arial"/>
          <w:color w:val="000000" w:themeColor="text1"/>
        </w:rPr>
      </w:pPr>
      <w:r w:rsidRPr="00D35B33">
        <w:rPr>
          <w:rFonts w:ascii="Arial" w:hAnsi="Arial" w:cs="Arial"/>
          <w:color w:val="000000" w:themeColor="text1"/>
        </w:rPr>
        <w:t>UOLLB (2024)</w:t>
      </w:r>
      <w:r w:rsidR="00561DA6" w:rsidRPr="00D35B33">
        <w:rPr>
          <w:rFonts w:ascii="Arial" w:hAnsi="Arial" w:cs="Arial"/>
          <w:color w:val="000000" w:themeColor="text1"/>
        </w:rPr>
        <w:t>. Grant v Edward [1986]</w:t>
      </w:r>
      <w:r w:rsidR="00072283" w:rsidRPr="00D35B33">
        <w:rPr>
          <w:rFonts w:ascii="Arial" w:hAnsi="Arial" w:cs="Arial"/>
          <w:color w:val="000000" w:themeColor="text1"/>
        </w:rPr>
        <w:t>. Available at:</w:t>
      </w:r>
      <w:r w:rsidR="000C56EC" w:rsidRPr="00D35B33">
        <w:rPr>
          <w:rFonts w:ascii="Arial" w:hAnsi="Arial" w:cs="Arial"/>
          <w:color w:val="000000" w:themeColor="text1"/>
        </w:rPr>
        <w:t xml:space="preserve"> </w:t>
      </w:r>
      <w:hyperlink r:id="rId17" w:history="1">
        <w:r w:rsidR="000C56EC" w:rsidRPr="00D35B33">
          <w:rPr>
            <w:rStyle w:val="Hyperlink"/>
            <w:rFonts w:ascii="Arial" w:hAnsi="Arial" w:cs="Arial"/>
          </w:rPr>
          <w:t>https://uollb.com/blogs/uol/grant-v-edwards-1986</w:t>
        </w:r>
      </w:hyperlink>
      <w:r w:rsidR="000C56EC" w:rsidRPr="00D35B33">
        <w:rPr>
          <w:rFonts w:ascii="Arial" w:hAnsi="Arial" w:cs="Arial"/>
          <w:color w:val="000000" w:themeColor="text1"/>
        </w:rPr>
        <w:t xml:space="preserve"> (accessed: 28.12.2025</w:t>
      </w:r>
      <w:r w:rsidR="00AF00E5">
        <w:rPr>
          <w:rFonts w:ascii="Arial" w:hAnsi="Arial" w:cs="Arial"/>
          <w:color w:val="000000" w:themeColor="text1"/>
        </w:rPr>
        <w:t>)</w:t>
      </w:r>
    </w:p>
    <w:p w14:paraId="62831774" w14:textId="77777777" w:rsidR="00AF00E5" w:rsidRPr="00AF00E5" w:rsidRDefault="00AF00E5" w:rsidP="00744A17">
      <w:pPr>
        <w:rPr>
          <w:rFonts w:ascii="Arial" w:hAnsi="Arial" w:cs="Arial"/>
          <w:color w:val="000000" w:themeColor="text1"/>
        </w:rPr>
      </w:pPr>
    </w:p>
    <w:p w14:paraId="4B9BD420" w14:textId="20703E5D" w:rsidR="00A97E9E" w:rsidRDefault="00A97E9E" w:rsidP="00744A17">
      <w:pPr>
        <w:rPr>
          <w:rFonts w:ascii="Arial" w:hAnsi="Arial" w:cs="Arial"/>
          <w:color w:val="000000" w:themeColor="text1"/>
        </w:rPr>
      </w:pPr>
      <w:proofErr w:type="spellStart"/>
      <w:r>
        <w:rPr>
          <w:rFonts w:ascii="Arial" w:hAnsi="Arial" w:cs="Arial"/>
          <w:color w:val="000000" w:themeColor="text1"/>
        </w:rPr>
        <w:t>Vlex</w:t>
      </w:r>
      <w:proofErr w:type="spellEnd"/>
      <w:r>
        <w:rPr>
          <w:rFonts w:ascii="Arial" w:hAnsi="Arial" w:cs="Arial"/>
          <w:color w:val="000000" w:themeColor="text1"/>
        </w:rPr>
        <w:t xml:space="preserve"> (2025). Lloyds Bank Plc</w:t>
      </w:r>
      <w:r w:rsidR="00AD3403">
        <w:rPr>
          <w:rFonts w:ascii="Arial" w:hAnsi="Arial" w:cs="Arial"/>
          <w:color w:val="000000" w:themeColor="text1"/>
        </w:rPr>
        <w:t xml:space="preserve"> v Rosset. Available at: </w:t>
      </w:r>
      <w:hyperlink r:id="rId18" w:history="1">
        <w:r w:rsidR="00AF00E5" w:rsidRPr="00410F27">
          <w:rPr>
            <w:rStyle w:val="Hyperlink"/>
            <w:rFonts w:ascii="Arial" w:hAnsi="Arial" w:cs="Arial"/>
          </w:rPr>
          <w:t>https://vlex.co.uk/vid/lloyds-bank-plc-v-793778589</w:t>
        </w:r>
      </w:hyperlink>
      <w:r w:rsidR="00AF00E5">
        <w:rPr>
          <w:rFonts w:ascii="Arial" w:hAnsi="Arial" w:cs="Arial"/>
          <w:color w:val="000000" w:themeColor="text1"/>
        </w:rPr>
        <w:t xml:space="preserve"> (accessed: 28.12.2025)</w:t>
      </w:r>
    </w:p>
    <w:p w14:paraId="1E8F7984" w14:textId="77777777" w:rsidR="00F27DCE" w:rsidRDefault="00F27DCE" w:rsidP="00744A17">
      <w:pPr>
        <w:rPr>
          <w:rFonts w:ascii="Arial" w:hAnsi="Arial" w:cs="Arial"/>
          <w:color w:val="000000" w:themeColor="text1"/>
        </w:rPr>
      </w:pPr>
    </w:p>
    <w:p w14:paraId="29011130" w14:textId="56537082" w:rsidR="00AF00E5" w:rsidRPr="00D35B33" w:rsidRDefault="00F27DCE" w:rsidP="008D71BD">
      <w:pPr>
        <w:rPr>
          <w:rFonts w:ascii="Arial" w:hAnsi="Arial" w:cs="Arial"/>
          <w:color w:val="000000" w:themeColor="text1"/>
        </w:rPr>
      </w:pPr>
      <w:r>
        <w:rPr>
          <w:rFonts w:ascii="Arial" w:hAnsi="Arial" w:cs="Arial"/>
          <w:color w:val="000000" w:themeColor="text1"/>
        </w:rPr>
        <w:t>Weightmans (2014). What is cohabitation or “living together” and why is it import</w:t>
      </w:r>
      <w:r w:rsidR="006D4646">
        <w:rPr>
          <w:rFonts w:ascii="Arial" w:hAnsi="Arial" w:cs="Arial"/>
          <w:color w:val="000000" w:themeColor="text1"/>
        </w:rPr>
        <w:t xml:space="preserve">ant? Available at: </w:t>
      </w:r>
      <w:hyperlink r:id="rId19" w:history="1">
        <w:r w:rsidR="006D4646" w:rsidRPr="00410F27">
          <w:rPr>
            <w:rStyle w:val="Hyperlink"/>
            <w:rFonts w:ascii="Arial" w:hAnsi="Arial" w:cs="Arial"/>
          </w:rPr>
          <w:t>https://www.weightmans.com/insights/what-is-cohabitation-or-living-together-and-why-is-it-important/</w:t>
        </w:r>
      </w:hyperlink>
      <w:r w:rsidR="006D4646">
        <w:rPr>
          <w:rFonts w:ascii="Arial" w:hAnsi="Arial" w:cs="Arial"/>
          <w:color w:val="000000" w:themeColor="text1"/>
        </w:rPr>
        <w:t xml:space="preserve"> (Accessed: 29.12.2025)</w:t>
      </w:r>
    </w:p>
    <w:p w14:paraId="284D692C" w14:textId="77777777" w:rsidR="000C56EC" w:rsidRPr="00273BBC" w:rsidRDefault="000C56EC" w:rsidP="00D35B33">
      <w:pPr>
        <w:pStyle w:val="ListParagraph"/>
        <w:spacing w:line="360" w:lineRule="auto"/>
        <w:rPr>
          <w:rFonts w:ascii="Arial" w:hAnsi="Arial" w:cs="Arial"/>
          <w:color w:val="000000" w:themeColor="text1"/>
        </w:rPr>
      </w:pPr>
    </w:p>
    <w:p w14:paraId="5FA7FBEF" w14:textId="77777777" w:rsidR="000B75A1" w:rsidRPr="001A6CEE" w:rsidRDefault="000B75A1" w:rsidP="001A6CEE">
      <w:pPr>
        <w:spacing w:line="360" w:lineRule="auto"/>
        <w:rPr>
          <w:rFonts w:ascii="Arial" w:hAnsi="Arial" w:cs="Arial"/>
          <w:color w:val="70AD47" w:themeColor="accent6"/>
        </w:rPr>
      </w:pPr>
    </w:p>
    <w:p w14:paraId="6C408D3D" w14:textId="77777777" w:rsidR="005F216E" w:rsidRPr="009D531E" w:rsidRDefault="005F216E" w:rsidP="009D531E">
      <w:pPr>
        <w:spacing w:line="360" w:lineRule="auto"/>
        <w:rPr>
          <w:rFonts w:ascii="Arial" w:hAnsi="Arial" w:cs="Arial"/>
        </w:rPr>
      </w:pPr>
    </w:p>
    <w:sectPr w:rsidR="005F216E" w:rsidRPr="009D531E">
      <w:headerReference w:type="default" r:id="rId20"/>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6E5271" w14:textId="77777777" w:rsidR="00CD67BB" w:rsidRDefault="00CD67BB" w:rsidP="00A27820">
      <w:r>
        <w:separator/>
      </w:r>
    </w:p>
  </w:endnote>
  <w:endnote w:type="continuationSeparator" w:id="0">
    <w:p w14:paraId="290BBF30" w14:textId="77777777" w:rsidR="00CD67BB" w:rsidRDefault="00CD67BB" w:rsidP="00A278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PMingLiU">
    <w:altName w:val="新細明體"/>
    <w:panose1 w:val="02020500000000000000"/>
    <w:charset w:val="88"/>
    <w:family w:val="roman"/>
    <w:pitch w:val="variable"/>
    <w:sig w:usb0="A00002FF" w:usb1="28CFFCFA" w:usb2="00000016" w:usb3="00000000" w:csb0="00100001"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82042476"/>
      <w:docPartObj>
        <w:docPartGallery w:val="Page Numbers (Bottom of Page)"/>
        <w:docPartUnique/>
      </w:docPartObj>
    </w:sdtPr>
    <w:sdtEndPr>
      <w:rPr>
        <w:rStyle w:val="PageNumber"/>
      </w:rPr>
    </w:sdtEndPr>
    <w:sdtContent>
      <w:p w14:paraId="506C8DEB" w14:textId="1BD1DADE" w:rsidR="00A27820" w:rsidRDefault="00A27820" w:rsidP="005E5D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18541F" w14:textId="77777777" w:rsidR="00A27820" w:rsidRDefault="00A27820" w:rsidP="00A2782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53464338"/>
      <w:docPartObj>
        <w:docPartGallery w:val="Page Numbers (Bottom of Page)"/>
        <w:docPartUnique/>
      </w:docPartObj>
    </w:sdtPr>
    <w:sdtEndPr>
      <w:rPr>
        <w:rStyle w:val="PageNumber"/>
      </w:rPr>
    </w:sdtEndPr>
    <w:sdtContent>
      <w:p w14:paraId="355AE08A" w14:textId="733A5AC3" w:rsidR="00A27820" w:rsidRDefault="00A27820" w:rsidP="005E5DC7">
        <w:pPr>
          <w:pStyle w:val="Footer"/>
          <w:framePr w:wrap="none" w:vAnchor="text" w:hAnchor="margin" w:xAlign="right" w:y="1"/>
          <w:rPr>
            <w:rStyle w:val="PageNumber"/>
          </w:rPr>
        </w:pPr>
        <w:r w:rsidRPr="005F216E">
          <w:rPr>
            <w:rStyle w:val="PageNumber"/>
            <w:rFonts w:asciiTheme="majorHAnsi" w:hAnsiTheme="majorHAnsi" w:cstheme="majorHAnsi"/>
          </w:rPr>
          <w:fldChar w:fldCharType="begin"/>
        </w:r>
        <w:r w:rsidRPr="005F216E">
          <w:rPr>
            <w:rStyle w:val="PageNumber"/>
            <w:rFonts w:asciiTheme="majorHAnsi" w:hAnsiTheme="majorHAnsi" w:cstheme="majorHAnsi"/>
          </w:rPr>
          <w:instrText xml:space="preserve"> PAGE </w:instrText>
        </w:r>
        <w:r w:rsidRPr="005F216E">
          <w:rPr>
            <w:rStyle w:val="PageNumber"/>
            <w:rFonts w:asciiTheme="majorHAnsi" w:hAnsiTheme="majorHAnsi" w:cstheme="majorHAnsi"/>
          </w:rPr>
          <w:fldChar w:fldCharType="separate"/>
        </w:r>
        <w:r w:rsidRPr="005F216E">
          <w:rPr>
            <w:rStyle w:val="PageNumber"/>
            <w:rFonts w:asciiTheme="majorHAnsi" w:hAnsiTheme="majorHAnsi" w:cstheme="majorHAnsi"/>
            <w:noProof/>
          </w:rPr>
          <w:t>1</w:t>
        </w:r>
        <w:r w:rsidRPr="005F216E">
          <w:rPr>
            <w:rStyle w:val="PageNumber"/>
            <w:rFonts w:asciiTheme="majorHAnsi" w:hAnsiTheme="majorHAnsi" w:cstheme="majorHAnsi"/>
          </w:rPr>
          <w:fldChar w:fldCharType="end"/>
        </w:r>
      </w:p>
    </w:sdtContent>
  </w:sdt>
  <w:p w14:paraId="24F1ACD8" w14:textId="77777777" w:rsidR="00A27820" w:rsidRDefault="00A27820" w:rsidP="00A2782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591BBD" w14:textId="77777777" w:rsidR="00CD67BB" w:rsidRDefault="00CD67BB" w:rsidP="00A27820">
      <w:r>
        <w:separator/>
      </w:r>
    </w:p>
  </w:footnote>
  <w:footnote w:type="continuationSeparator" w:id="0">
    <w:p w14:paraId="6279BB11" w14:textId="77777777" w:rsidR="00CD67BB" w:rsidRDefault="00CD67BB" w:rsidP="00A278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F02D6B" w14:textId="0C22C289" w:rsidR="00101698" w:rsidRPr="004F092A" w:rsidRDefault="00101698">
    <w:pPr>
      <w:pStyle w:val="Header"/>
      <w:rPr>
        <w:rFonts w:ascii="Arial" w:hAnsi="Arial" w:cs="Arial"/>
      </w:rPr>
    </w:pPr>
    <w:r w:rsidRPr="004F092A">
      <w:rPr>
        <w:rFonts w:ascii="Arial" w:hAnsi="Arial" w:cs="Arial"/>
      </w:rPr>
      <w:t>Diana Demeterova                                                                Land Law Assignment</w:t>
    </w:r>
  </w:p>
  <w:p w14:paraId="1AA5D0AC" w14:textId="45A351FC" w:rsidR="00101698" w:rsidRPr="004F092A" w:rsidRDefault="00101698">
    <w:pPr>
      <w:pStyle w:val="Header"/>
      <w:rPr>
        <w:rFonts w:ascii="Arial" w:hAnsi="Arial" w:cs="Arial"/>
      </w:rPr>
    </w:pPr>
    <w:r w:rsidRPr="004F092A">
      <w:rPr>
        <w:rFonts w:ascii="Arial" w:hAnsi="Arial" w:cs="Arial"/>
      </w:rPr>
      <w:t xml:space="preserve">   2314066                                                                         </w:t>
    </w:r>
    <w:r w:rsidR="004F092A" w:rsidRPr="004F092A">
      <w:rPr>
        <w:rFonts w:ascii="Arial" w:hAnsi="Arial" w:cs="Arial"/>
      </w:rPr>
      <w:t xml:space="preserve">       Skeleton Argument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C5264"/>
    <w:multiLevelType w:val="hybridMultilevel"/>
    <w:tmpl w:val="20D02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590264"/>
    <w:multiLevelType w:val="multilevel"/>
    <w:tmpl w:val="C8B2E30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02633E2A"/>
    <w:multiLevelType w:val="multilevel"/>
    <w:tmpl w:val="060424E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 w15:restartNumberingAfterBreak="0">
    <w:nsid w:val="045A19B2"/>
    <w:multiLevelType w:val="multilevel"/>
    <w:tmpl w:val="DD5251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693CEF"/>
    <w:multiLevelType w:val="multilevel"/>
    <w:tmpl w:val="AE881D9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0D440AB6"/>
    <w:multiLevelType w:val="hybridMultilevel"/>
    <w:tmpl w:val="3B04845A"/>
    <w:lvl w:ilvl="0" w:tplc="8872DD78">
      <w:start w:val="1"/>
      <w:numFmt w:val="bullet"/>
      <w:pStyle w:val="Heading4"/>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5E1325"/>
    <w:multiLevelType w:val="hybridMultilevel"/>
    <w:tmpl w:val="69184CA2"/>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7" w15:restartNumberingAfterBreak="0">
    <w:nsid w:val="1BAC425D"/>
    <w:multiLevelType w:val="multilevel"/>
    <w:tmpl w:val="A53EB360"/>
    <w:lvl w:ilvl="0">
      <w:start w:val="1"/>
      <w:numFmt w:val="decimal"/>
      <w:pStyle w:val="Heading1"/>
      <w:lvlText w:val="%1"/>
      <w:lvlJc w:val="left"/>
      <w:pPr>
        <w:ind w:left="432" w:hanging="432"/>
      </w:pPr>
    </w:lvl>
    <w:lvl w:ilvl="1">
      <w:start w:val="1"/>
      <w:numFmt w:val="decimal"/>
      <w:pStyle w:val="Heading2"/>
      <w:lvlText w:val="%1.%2"/>
      <w:lvlJc w:val="left"/>
      <w:pPr>
        <w:ind w:left="576" w:hanging="576"/>
      </w:pPr>
      <w:rPr>
        <w:sz w:val="24"/>
        <w:szCs w:val="24"/>
      </w:r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1D296EAA"/>
    <w:multiLevelType w:val="multilevel"/>
    <w:tmpl w:val="68A62DB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9" w15:restartNumberingAfterBreak="0">
    <w:nsid w:val="23F52117"/>
    <w:multiLevelType w:val="multilevel"/>
    <w:tmpl w:val="5C024BD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0" w15:restartNumberingAfterBreak="0">
    <w:nsid w:val="32CC018B"/>
    <w:multiLevelType w:val="multilevel"/>
    <w:tmpl w:val="C3AE9B7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35C75A23"/>
    <w:multiLevelType w:val="multilevel"/>
    <w:tmpl w:val="549C6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36587E"/>
    <w:multiLevelType w:val="hybridMultilevel"/>
    <w:tmpl w:val="67AA8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663AF2"/>
    <w:multiLevelType w:val="multilevel"/>
    <w:tmpl w:val="38E4F0A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4" w15:restartNumberingAfterBreak="0">
    <w:nsid w:val="3E5E65B2"/>
    <w:multiLevelType w:val="hybridMultilevel"/>
    <w:tmpl w:val="58ECA7F2"/>
    <w:lvl w:ilvl="0" w:tplc="1E98391C">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F4F6E02"/>
    <w:multiLevelType w:val="multilevel"/>
    <w:tmpl w:val="331C036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6" w15:restartNumberingAfterBreak="0">
    <w:nsid w:val="43682C20"/>
    <w:multiLevelType w:val="hybridMultilevel"/>
    <w:tmpl w:val="EE248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DF6366"/>
    <w:multiLevelType w:val="multilevel"/>
    <w:tmpl w:val="1AA69AB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8" w15:restartNumberingAfterBreak="0">
    <w:nsid w:val="4CF9416E"/>
    <w:multiLevelType w:val="multilevel"/>
    <w:tmpl w:val="08090025"/>
    <w:styleLink w:val="CurrentList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9" w15:restartNumberingAfterBreak="0">
    <w:nsid w:val="4DD40BA2"/>
    <w:multiLevelType w:val="multilevel"/>
    <w:tmpl w:val="10F83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14571D"/>
    <w:multiLevelType w:val="hybridMultilevel"/>
    <w:tmpl w:val="5C28CF2C"/>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21" w15:restartNumberingAfterBreak="0">
    <w:nsid w:val="5122509F"/>
    <w:multiLevelType w:val="hybridMultilevel"/>
    <w:tmpl w:val="5AEEB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110BEF"/>
    <w:multiLevelType w:val="multilevel"/>
    <w:tmpl w:val="F10635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91F44B6"/>
    <w:multiLevelType w:val="hybridMultilevel"/>
    <w:tmpl w:val="5F98B3AA"/>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60E31E98"/>
    <w:multiLevelType w:val="multilevel"/>
    <w:tmpl w:val="AEE63C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4130999"/>
    <w:multiLevelType w:val="hybridMultilevel"/>
    <w:tmpl w:val="C9B80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193BFA"/>
    <w:multiLevelType w:val="multilevel"/>
    <w:tmpl w:val="401E4A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BFB3C95"/>
    <w:multiLevelType w:val="multilevel"/>
    <w:tmpl w:val="9BDA626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8" w15:restartNumberingAfterBreak="0">
    <w:nsid w:val="76E617DA"/>
    <w:multiLevelType w:val="multilevel"/>
    <w:tmpl w:val="9CF4B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2338276">
    <w:abstractNumId w:val="17"/>
  </w:num>
  <w:num w:numId="2" w16cid:durableId="2120635015">
    <w:abstractNumId w:val="2"/>
  </w:num>
  <w:num w:numId="3" w16cid:durableId="409429405">
    <w:abstractNumId w:val="13"/>
  </w:num>
  <w:num w:numId="4" w16cid:durableId="966425405">
    <w:abstractNumId w:val="4"/>
  </w:num>
  <w:num w:numId="5" w16cid:durableId="905720763">
    <w:abstractNumId w:val="10"/>
  </w:num>
  <w:num w:numId="6" w16cid:durableId="1688821942">
    <w:abstractNumId w:val="15"/>
  </w:num>
  <w:num w:numId="7" w16cid:durableId="1028261598">
    <w:abstractNumId w:val="7"/>
  </w:num>
  <w:num w:numId="8" w16cid:durableId="1507552221">
    <w:abstractNumId w:val="18"/>
  </w:num>
  <w:num w:numId="9" w16cid:durableId="2146777341">
    <w:abstractNumId w:val="5"/>
  </w:num>
  <w:num w:numId="10" w16cid:durableId="1605649047">
    <w:abstractNumId w:val="9"/>
  </w:num>
  <w:num w:numId="11" w16cid:durableId="1501387600">
    <w:abstractNumId w:val="1"/>
  </w:num>
  <w:num w:numId="12" w16cid:durableId="759907699">
    <w:abstractNumId w:val="8"/>
  </w:num>
  <w:num w:numId="13" w16cid:durableId="1294866029">
    <w:abstractNumId w:val="27"/>
  </w:num>
  <w:num w:numId="14" w16cid:durableId="600912506">
    <w:abstractNumId w:val="23"/>
  </w:num>
  <w:num w:numId="15" w16cid:durableId="882865229">
    <w:abstractNumId w:val="14"/>
  </w:num>
  <w:num w:numId="16" w16cid:durableId="607006908">
    <w:abstractNumId w:val="20"/>
  </w:num>
  <w:num w:numId="17" w16cid:durableId="9063826">
    <w:abstractNumId w:val="6"/>
  </w:num>
  <w:num w:numId="18" w16cid:durableId="2025746734">
    <w:abstractNumId w:val="16"/>
  </w:num>
  <w:num w:numId="19" w16cid:durableId="560554446">
    <w:abstractNumId w:val="24"/>
  </w:num>
  <w:num w:numId="20" w16cid:durableId="1743873993">
    <w:abstractNumId w:val="21"/>
  </w:num>
  <w:num w:numId="21" w16cid:durableId="1633367811">
    <w:abstractNumId w:val="12"/>
  </w:num>
  <w:num w:numId="22" w16cid:durableId="1271158359">
    <w:abstractNumId w:val="26"/>
  </w:num>
  <w:num w:numId="23" w16cid:durableId="1320424685">
    <w:abstractNumId w:val="0"/>
  </w:num>
  <w:num w:numId="24" w16cid:durableId="1214654683">
    <w:abstractNumId w:val="22"/>
  </w:num>
  <w:num w:numId="25" w16cid:durableId="737095364">
    <w:abstractNumId w:val="25"/>
  </w:num>
  <w:num w:numId="26" w16cid:durableId="1001931604">
    <w:abstractNumId w:val="3"/>
  </w:num>
  <w:num w:numId="27" w16cid:durableId="1392148068">
    <w:abstractNumId w:val="28"/>
  </w:num>
  <w:num w:numId="28" w16cid:durableId="198514921">
    <w:abstractNumId w:val="19"/>
  </w:num>
  <w:num w:numId="29" w16cid:durableId="121138620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D75"/>
    <w:rsid w:val="00001D3F"/>
    <w:rsid w:val="000153A8"/>
    <w:rsid w:val="00032155"/>
    <w:rsid w:val="0003398A"/>
    <w:rsid w:val="0003621E"/>
    <w:rsid w:val="00036322"/>
    <w:rsid w:val="000401BE"/>
    <w:rsid w:val="00045B13"/>
    <w:rsid w:val="00051AA5"/>
    <w:rsid w:val="00056338"/>
    <w:rsid w:val="0006555E"/>
    <w:rsid w:val="00072283"/>
    <w:rsid w:val="0008183A"/>
    <w:rsid w:val="000851C2"/>
    <w:rsid w:val="0008721A"/>
    <w:rsid w:val="00093B58"/>
    <w:rsid w:val="00093E8D"/>
    <w:rsid w:val="000A23A7"/>
    <w:rsid w:val="000B02BA"/>
    <w:rsid w:val="000B75A1"/>
    <w:rsid w:val="000C56EC"/>
    <w:rsid w:val="000C6A65"/>
    <w:rsid w:val="000C6ABC"/>
    <w:rsid w:val="000D2437"/>
    <w:rsid w:val="000D51C6"/>
    <w:rsid w:val="000E0EDB"/>
    <w:rsid w:val="000E4A39"/>
    <w:rsid w:val="000F0376"/>
    <w:rsid w:val="000F08A4"/>
    <w:rsid w:val="000F2194"/>
    <w:rsid w:val="000F2E11"/>
    <w:rsid w:val="000F6367"/>
    <w:rsid w:val="00100ED0"/>
    <w:rsid w:val="00101698"/>
    <w:rsid w:val="00106A00"/>
    <w:rsid w:val="001130D8"/>
    <w:rsid w:val="001165D0"/>
    <w:rsid w:val="00116C1F"/>
    <w:rsid w:val="001218FF"/>
    <w:rsid w:val="00122144"/>
    <w:rsid w:val="00125544"/>
    <w:rsid w:val="00127808"/>
    <w:rsid w:val="001303D5"/>
    <w:rsid w:val="00144A7A"/>
    <w:rsid w:val="00146055"/>
    <w:rsid w:val="00151B46"/>
    <w:rsid w:val="0015251C"/>
    <w:rsid w:val="00155226"/>
    <w:rsid w:val="00160988"/>
    <w:rsid w:val="00163484"/>
    <w:rsid w:val="001910F2"/>
    <w:rsid w:val="00195634"/>
    <w:rsid w:val="001963B2"/>
    <w:rsid w:val="001A4BE9"/>
    <w:rsid w:val="001A54B8"/>
    <w:rsid w:val="001A6CEE"/>
    <w:rsid w:val="001B3EEF"/>
    <w:rsid w:val="001B7ED1"/>
    <w:rsid w:val="001C328D"/>
    <w:rsid w:val="001C3C6D"/>
    <w:rsid w:val="001C790A"/>
    <w:rsid w:val="001D0B1C"/>
    <w:rsid w:val="001D3BE9"/>
    <w:rsid w:val="001D3C18"/>
    <w:rsid w:val="001D4C67"/>
    <w:rsid w:val="001D5CE8"/>
    <w:rsid w:val="001D779C"/>
    <w:rsid w:val="001E5188"/>
    <w:rsid w:val="001E62E8"/>
    <w:rsid w:val="001F0520"/>
    <w:rsid w:val="001F0522"/>
    <w:rsid w:val="001F1471"/>
    <w:rsid w:val="001F1F1D"/>
    <w:rsid w:val="001F2EFC"/>
    <w:rsid w:val="001F520B"/>
    <w:rsid w:val="001F643D"/>
    <w:rsid w:val="00202FC4"/>
    <w:rsid w:val="0021185E"/>
    <w:rsid w:val="00212943"/>
    <w:rsid w:val="002148B2"/>
    <w:rsid w:val="00220742"/>
    <w:rsid w:val="00223044"/>
    <w:rsid w:val="00224158"/>
    <w:rsid w:val="00226FFC"/>
    <w:rsid w:val="00233A77"/>
    <w:rsid w:val="00235B0E"/>
    <w:rsid w:val="00235ED5"/>
    <w:rsid w:val="00241699"/>
    <w:rsid w:val="00244677"/>
    <w:rsid w:val="002448FC"/>
    <w:rsid w:val="00247123"/>
    <w:rsid w:val="0025293E"/>
    <w:rsid w:val="002547A5"/>
    <w:rsid w:val="00257F1A"/>
    <w:rsid w:val="00264D96"/>
    <w:rsid w:val="00264EC2"/>
    <w:rsid w:val="00266D51"/>
    <w:rsid w:val="002678B0"/>
    <w:rsid w:val="00273BBC"/>
    <w:rsid w:val="002779F1"/>
    <w:rsid w:val="00285FA3"/>
    <w:rsid w:val="00286555"/>
    <w:rsid w:val="0029585B"/>
    <w:rsid w:val="002A10D0"/>
    <w:rsid w:val="002A43E7"/>
    <w:rsid w:val="002A61F3"/>
    <w:rsid w:val="002C1721"/>
    <w:rsid w:val="002C1E8B"/>
    <w:rsid w:val="002C1F28"/>
    <w:rsid w:val="002C71DB"/>
    <w:rsid w:val="002E332B"/>
    <w:rsid w:val="002E3888"/>
    <w:rsid w:val="002F3259"/>
    <w:rsid w:val="002F7D75"/>
    <w:rsid w:val="00304F68"/>
    <w:rsid w:val="00311C71"/>
    <w:rsid w:val="00311DAD"/>
    <w:rsid w:val="00313168"/>
    <w:rsid w:val="003144A7"/>
    <w:rsid w:val="00320783"/>
    <w:rsid w:val="00323DEA"/>
    <w:rsid w:val="00326D64"/>
    <w:rsid w:val="003309AF"/>
    <w:rsid w:val="003425F3"/>
    <w:rsid w:val="00346562"/>
    <w:rsid w:val="00352713"/>
    <w:rsid w:val="0036434C"/>
    <w:rsid w:val="00372006"/>
    <w:rsid w:val="00381627"/>
    <w:rsid w:val="00382A8C"/>
    <w:rsid w:val="003901BB"/>
    <w:rsid w:val="003928DE"/>
    <w:rsid w:val="00395A18"/>
    <w:rsid w:val="003A1DF4"/>
    <w:rsid w:val="003A42AC"/>
    <w:rsid w:val="003A54B4"/>
    <w:rsid w:val="003B7E0F"/>
    <w:rsid w:val="003C073D"/>
    <w:rsid w:val="003C29D5"/>
    <w:rsid w:val="003C7EFB"/>
    <w:rsid w:val="003D266B"/>
    <w:rsid w:val="003D5FF1"/>
    <w:rsid w:val="003D7F6A"/>
    <w:rsid w:val="003E77FC"/>
    <w:rsid w:val="003E7818"/>
    <w:rsid w:val="003F39FA"/>
    <w:rsid w:val="003F73AF"/>
    <w:rsid w:val="003F783D"/>
    <w:rsid w:val="003F7EE9"/>
    <w:rsid w:val="0040086D"/>
    <w:rsid w:val="0040237B"/>
    <w:rsid w:val="00403E8A"/>
    <w:rsid w:val="004105EF"/>
    <w:rsid w:val="00412985"/>
    <w:rsid w:val="00415FF6"/>
    <w:rsid w:val="00416B4E"/>
    <w:rsid w:val="00416CF1"/>
    <w:rsid w:val="004176CB"/>
    <w:rsid w:val="0042108F"/>
    <w:rsid w:val="00421597"/>
    <w:rsid w:val="00423B51"/>
    <w:rsid w:val="004274F1"/>
    <w:rsid w:val="00431789"/>
    <w:rsid w:val="0043184A"/>
    <w:rsid w:val="00436052"/>
    <w:rsid w:val="00436A6D"/>
    <w:rsid w:val="00441F21"/>
    <w:rsid w:val="004507D4"/>
    <w:rsid w:val="00451FF9"/>
    <w:rsid w:val="004568EA"/>
    <w:rsid w:val="00457A0B"/>
    <w:rsid w:val="004611F0"/>
    <w:rsid w:val="004713FE"/>
    <w:rsid w:val="004742A8"/>
    <w:rsid w:val="00475476"/>
    <w:rsid w:val="00476DAF"/>
    <w:rsid w:val="00480C67"/>
    <w:rsid w:val="004834F4"/>
    <w:rsid w:val="00483FF3"/>
    <w:rsid w:val="00487745"/>
    <w:rsid w:val="00490AB9"/>
    <w:rsid w:val="004941B9"/>
    <w:rsid w:val="004A0DD0"/>
    <w:rsid w:val="004A53E5"/>
    <w:rsid w:val="004A5AB3"/>
    <w:rsid w:val="004A7F04"/>
    <w:rsid w:val="004B084E"/>
    <w:rsid w:val="004B27DB"/>
    <w:rsid w:val="004D3751"/>
    <w:rsid w:val="004E456B"/>
    <w:rsid w:val="004E5466"/>
    <w:rsid w:val="004E76A7"/>
    <w:rsid w:val="004F092A"/>
    <w:rsid w:val="00500E0B"/>
    <w:rsid w:val="005010E4"/>
    <w:rsid w:val="00504425"/>
    <w:rsid w:val="00506880"/>
    <w:rsid w:val="0051236F"/>
    <w:rsid w:val="00512F72"/>
    <w:rsid w:val="0051383F"/>
    <w:rsid w:val="005145F6"/>
    <w:rsid w:val="005150BF"/>
    <w:rsid w:val="005203CC"/>
    <w:rsid w:val="00523E10"/>
    <w:rsid w:val="00525085"/>
    <w:rsid w:val="00534C8F"/>
    <w:rsid w:val="00537A54"/>
    <w:rsid w:val="00541A15"/>
    <w:rsid w:val="00546CA9"/>
    <w:rsid w:val="00551214"/>
    <w:rsid w:val="005530E4"/>
    <w:rsid w:val="00555119"/>
    <w:rsid w:val="00555A1F"/>
    <w:rsid w:val="00556AAD"/>
    <w:rsid w:val="00561DA6"/>
    <w:rsid w:val="00562492"/>
    <w:rsid w:val="00563A66"/>
    <w:rsid w:val="0057323D"/>
    <w:rsid w:val="00575B94"/>
    <w:rsid w:val="0057790B"/>
    <w:rsid w:val="00580E5B"/>
    <w:rsid w:val="00581539"/>
    <w:rsid w:val="005832F2"/>
    <w:rsid w:val="00584246"/>
    <w:rsid w:val="00590860"/>
    <w:rsid w:val="005935A8"/>
    <w:rsid w:val="005A32E9"/>
    <w:rsid w:val="005A4C24"/>
    <w:rsid w:val="005A7A2B"/>
    <w:rsid w:val="005C2CB5"/>
    <w:rsid w:val="005D37DF"/>
    <w:rsid w:val="005D4972"/>
    <w:rsid w:val="005D564C"/>
    <w:rsid w:val="005D7BDE"/>
    <w:rsid w:val="005E0719"/>
    <w:rsid w:val="005E545B"/>
    <w:rsid w:val="005E7D91"/>
    <w:rsid w:val="005F216E"/>
    <w:rsid w:val="005F2EDA"/>
    <w:rsid w:val="00611206"/>
    <w:rsid w:val="00614720"/>
    <w:rsid w:val="00614875"/>
    <w:rsid w:val="006202AE"/>
    <w:rsid w:val="006224C1"/>
    <w:rsid w:val="00625597"/>
    <w:rsid w:val="00630128"/>
    <w:rsid w:val="00637986"/>
    <w:rsid w:val="0064268A"/>
    <w:rsid w:val="00650104"/>
    <w:rsid w:val="0065375F"/>
    <w:rsid w:val="0065600C"/>
    <w:rsid w:val="006607F3"/>
    <w:rsid w:val="00661BC6"/>
    <w:rsid w:val="0066277C"/>
    <w:rsid w:val="00662EC9"/>
    <w:rsid w:val="006642EC"/>
    <w:rsid w:val="00665447"/>
    <w:rsid w:val="00665D63"/>
    <w:rsid w:val="00670A03"/>
    <w:rsid w:val="006713B8"/>
    <w:rsid w:val="0067223C"/>
    <w:rsid w:val="00674F24"/>
    <w:rsid w:val="00684AAB"/>
    <w:rsid w:val="006851F0"/>
    <w:rsid w:val="00686327"/>
    <w:rsid w:val="0069056C"/>
    <w:rsid w:val="00694DFA"/>
    <w:rsid w:val="006A0097"/>
    <w:rsid w:val="006A11F4"/>
    <w:rsid w:val="006A2CB7"/>
    <w:rsid w:val="006A44CD"/>
    <w:rsid w:val="006A4635"/>
    <w:rsid w:val="006A6A90"/>
    <w:rsid w:val="006B08CE"/>
    <w:rsid w:val="006B7EFD"/>
    <w:rsid w:val="006C3F4C"/>
    <w:rsid w:val="006D053D"/>
    <w:rsid w:val="006D10B7"/>
    <w:rsid w:val="006D138F"/>
    <w:rsid w:val="006D4646"/>
    <w:rsid w:val="006D6EC7"/>
    <w:rsid w:val="006E0719"/>
    <w:rsid w:val="006E221D"/>
    <w:rsid w:val="006F2BF5"/>
    <w:rsid w:val="006F3B4F"/>
    <w:rsid w:val="006F6D59"/>
    <w:rsid w:val="006F7A8D"/>
    <w:rsid w:val="00703CD6"/>
    <w:rsid w:val="00703F0F"/>
    <w:rsid w:val="00713F3E"/>
    <w:rsid w:val="00721224"/>
    <w:rsid w:val="0072498F"/>
    <w:rsid w:val="007257DD"/>
    <w:rsid w:val="00730F9B"/>
    <w:rsid w:val="0073618B"/>
    <w:rsid w:val="00744A17"/>
    <w:rsid w:val="0075150E"/>
    <w:rsid w:val="00755124"/>
    <w:rsid w:val="007554CA"/>
    <w:rsid w:val="00756676"/>
    <w:rsid w:val="00760EE1"/>
    <w:rsid w:val="0076417E"/>
    <w:rsid w:val="00770107"/>
    <w:rsid w:val="00770884"/>
    <w:rsid w:val="00773A3C"/>
    <w:rsid w:val="00775B50"/>
    <w:rsid w:val="007A1560"/>
    <w:rsid w:val="007A38A8"/>
    <w:rsid w:val="007B1D7F"/>
    <w:rsid w:val="007B7EFF"/>
    <w:rsid w:val="007C2B51"/>
    <w:rsid w:val="007C473A"/>
    <w:rsid w:val="007D0C75"/>
    <w:rsid w:val="007D4BF3"/>
    <w:rsid w:val="007D5C3F"/>
    <w:rsid w:val="007D6888"/>
    <w:rsid w:val="007E35AF"/>
    <w:rsid w:val="007E7277"/>
    <w:rsid w:val="007F1B54"/>
    <w:rsid w:val="007F43A4"/>
    <w:rsid w:val="0080234C"/>
    <w:rsid w:val="00804C2B"/>
    <w:rsid w:val="00807D55"/>
    <w:rsid w:val="008143F1"/>
    <w:rsid w:val="00820DB5"/>
    <w:rsid w:val="008425D2"/>
    <w:rsid w:val="008514BC"/>
    <w:rsid w:val="0085507E"/>
    <w:rsid w:val="00855397"/>
    <w:rsid w:val="00861A6A"/>
    <w:rsid w:val="00871965"/>
    <w:rsid w:val="00871B86"/>
    <w:rsid w:val="00871E32"/>
    <w:rsid w:val="00880AF7"/>
    <w:rsid w:val="0088370F"/>
    <w:rsid w:val="0088654A"/>
    <w:rsid w:val="008912EA"/>
    <w:rsid w:val="00891F9F"/>
    <w:rsid w:val="00892DBA"/>
    <w:rsid w:val="00894903"/>
    <w:rsid w:val="008A23BC"/>
    <w:rsid w:val="008B3572"/>
    <w:rsid w:val="008C08BC"/>
    <w:rsid w:val="008C0EE0"/>
    <w:rsid w:val="008C2F1F"/>
    <w:rsid w:val="008D2B09"/>
    <w:rsid w:val="008D4800"/>
    <w:rsid w:val="008D5940"/>
    <w:rsid w:val="008D71BD"/>
    <w:rsid w:val="008E407D"/>
    <w:rsid w:val="008F34A7"/>
    <w:rsid w:val="008F6E3C"/>
    <w:rsid w:val="008F7F9D"/>
    <w:rsid w:val="00901EF1"/>
    <w:rsid w:val="00903513"/>
    <w:rsid w:val="0090365C"/>
    <w:rsid w:val="00905592"/>
    <w:rsid w:val="00914C82"/>
    <w:rsid w:val="00921B25"/>
    <w:rsid w:val="0092247C"/>
    <w:rsid w:val="00924B90"/>
    <w:rsid w:val="00924C05"/>
    <w:rsid w:val="009265B9"/>
    <w:rsid w:val="0092743E"/>
    <w:rsid w:val="00933D2B"/>
    <w:rsid w:val="0093467A"/>
    <w:rsid w:val="0096213A"/>
    <w:rsid w:val="00962418"/>
    <w:rsid w:val="009645E4"/>
    <w:rsid w:val="00973BFB"/>
    <w:rsid w:val="00977017"/>
    <w:rsid w:val="009828C9"/>
    <w:rsid w:val="009834D5"/>
    <w:rsid w:val="009A3884"/>
    <w:rsid w:val="009A4560"/>
    <w:rsid w:val="009A688B"/>
    <w:rsid w:val="009B2527"/>
    <w:rsid w:val="009B428F"/>
    <w:rsid w:val="009C092B"/>
    <w:rsid w:val="009D531E"/>
    <w:rsid w:val="009D59B1"/>
    <w:rsid w:val="009D5EDE"/>
    <w:rsid w:val="009D7C78"/>
    <w:rsid w:val="009E15CB"/>
    <w:rsid w:val="009E464C"/>
    <w:rsid w:val="009F1367"/>
    <w:rsid w:val="009F2A46"/>
    <w:rsid w:val="009F3839"/>
    <w:rsid w:val="009F69F6"/>
    <w:rsid w:val="00A01A59"/>
    <w:rsid w:val="00A15C06"/>
    <w:rsid w:val="00A21FAD"/>
    <w:rsid w:val="00A27820"/>
    <w:rsid w:val="00A302B8"/>
    <w:rsid w:val="00A40C37"/>
    <w:rsid w:val="00A51E41"/>
    <w:rsid w:val="00A52468"/>
    <w:rsid w:val="00A57D4A"/>
    <w:rsid w:val="00A601EE"/>
    <w:rsid w:val="00A62B15"/>
    <w:rsid w:val="00A72B48"/>
    <w:rsid w:val="00A82EE6"/>
    <w:rsid w:val="00A87B26"/>
    <w:rsid w:val="00A90E70"/>
    <w:rsid w:val="00A90FBC"/>
    <w:rsid w:val="00A942DB"/>
    <w:rsid w:val="00A96920"/>
    <w:rsid w:val="00A97E9E"/>
    <w:rsid w:val="00AA394D"/>
    <w:rsid w:val="00AA421C"/>
    <w:rsid w:val="00AA44C8"/>
    <w:rsid w:val="00AA6BA9"/>
    <w:rsid w:val="00AA7A99"/>
    <w:rsid w:val="00AB2E88"/>
    <w:rsid w:val="00AB5D70"/>
    <w:rsid w:val="00AB6530"/>
    <w:rsid w:val="00AC29B5"/>
    <w:rsid w:val="00AD3403"/>
    <w:rsid w:val="00AD343D"/>
    <w:rsid w:val="00AF00E5"/>
    <w:rsid w:val="00AF1759"/>
    <w:rsid w:val="00AF4C80"/>
    <w:rsid w:val="00AF4CD7"/>
    <w:rsid w:val="00B006A0"/>
    <w:rsid w:val="00B07F3F"/>
    <w:rsid w:val="00B124AC"/>
    <w:rsid w:val="00B24B94"/>
    <w:rsid w:val="00B27772"/>
    <w:rsid w:val="00B321A7"/>
    <w:rsid w:val="00B33133"/>
    <w:rsid w:val="00B3586F"/>
    <w:rsid w:val="00B365A7"/>
    <w:rsid w:val="00B45659"/>
    <w:rsid w:val="00B46393"/>
    <w:rsid w:val="00B521AC"/>
    <w:rsid w:val="00B610B0"/>
    <w:rsid w:val="00B67821"/>
    <w:rsid w:val="00B75E8D"/>
    <w:rsid w:val="00B81288"/>
    <w:rsid w:val="00B8190D"/>
    <w:rsid w:val="00B81BD0"/>
    <w:rsid w:val="00B91837"/>
    <w:rsid w:val="00B97368"/>
    <w:rsid w:val="00B977B7"/>
    <w:rsid w:val="00BA0A8D"/>
    <w:rsid w:val="00BA629C"/>
    <w:rsid w:val="00BC0D70"/>
    <w:rsid w:val="00BC3708"/>
    <w:rsid w:val="00BD1801"/>
    <w:rsid w:val="00BD2A4C"/>
    <w:rsid w:val="00BF62CE"/>
    <w:rsid w:val="00BF7E8B"/>
    <w:rsid w:val="00C04055"/>
    <w:rsid w:val="00C07750"/>
    <w:rsid w:val="00C150F9"/>
    <w:rsid w:val="00C30493"/>
    <w:rsid w:val="00C311EF"/>
    <w:rsid w:val="00C339E7"/>
    <w:rsid w:val="00C35C72"/>
    <w:rsid w:val="00C5602A"/>
    <w:rsid w:val="00C56652"/>
    <w:rsid w:val="00C6628D"/>
    <w:rsid w:val="00C6792D"/>
    <w:rsid w:val="00C67930"/>
    <w:rsid w:val="00C70F93"/>
    <w:rsid w:val="00C71964"/>
    <w:rsid w:val="00C80049"/>
    <w:rsid w:val="00C84929"/>
    <w:rsid w:val="00C84DD1"/>
    <w:rsid w:val="00C84E15"/>
    <w:rsid w:val="00C91AF2"/>
    <w:rsid w:val="00CA189D"/>
    <w:rsid w:val="00CA2EF6"/>
    <w:rsid w:val="00CA47E4"/>
    <w:rsid w:val="00CA4D9E"/>
    <w:rsid w:val="00CB3521"/>
    <w:rsid w:val="00CC39C6"/>
    <w:rsid w:val="00CC4992"/>
    <w:rsid w:val="00CD31B6"/>
    <w:rsid w:val="00CD3FA6"/>
    <w:rsid w:val="00CD67BB"/>
    <w:rsid w:val="00CF124B"/>
    <w:rsid w:val="00CF1C59"/>
    <w:rsid w:val="00CF1E17"/>
    <w:rsid w:val="00CF744F"/>
    <w:rsid w:val="00D136E7"/>
    <w:rsid w:val="00D169EC"/>
    <w:rsid w:val="00D20738"/>
    <w:rsid w:val="00D20B82"/>
    <w:rsid w:val="00D21098"/>
    <w:rsid w:val="00D35B33"/>
    <w:rsid w:val="00D363B0"/>
    <w:rsid w:val="00D474A4"/>
    <w:rsid w:val="00D47705"/>
    <w:rsid w:val="00D52F29"/>
    <w:rsid w:val="00D53D67"/>
    <w:rsid w:val="00D607EE"/>
    <w:rsid w:val="00D62530"/>
    <w:rsid w:val="00D6603D"/>
    <w:rsid w:val="00D73283"/>
    <w:rsid w:val="00D73655"/>
    <w:rsid w:val="00D80C42"/>
    <w:rsid w:val="00D8590E"/>
    <w:rsid w:val="00D905A8"/>
    <w:rsid w:val="00D926E2"/>
    <w:rsid w:val="00D94925"/>
    <w:rsid w:val="00D94E6A"/>
    <w:rsid w:val="00DA1B7E"/>
    <w:rsid w:val="00DA5226"/>
    <w:rsid w:val="00DA5CE9"/>
    <w:rsid w:val="00DC11E6"/>
    <w:rsid w:val="00DC5399"/>
    <w:rsid w:val="00DC5524"/>
    <w:rsid w:val="00DC761E"/>
    <w:rsid w:val="00DD48BA"/>
    <w:rsid w:val="00DD496D"/>
    <w:rsid w:val="00DD7C2D"/>
    <w:rsid w:val="00DE3ECD"/>
    <w:rsid w:val="00DE7FEE"/>
    <w:rsid w:val="00DF2AE2"/>
    <w:rsid w:val="00DF36A3"/>
    <w:rsid w:val="00DF39E6"/>
    <w:rsid w:val="00E01D8F"/>
    <w:rsid w:val="00E02DE7"/>
    <w:rsid w:val="00E0490C"/>
    <w:rsid w:val="00E159C0"/>
    <w:rsid w:val="00E17272"/>
    <w:rsid w:val="00E213F2"/>
    <w:rsid w:val="00E3082F"/>
    <w:rsid w:val="00E3405E"/>
    <w:rsid w:val="00E34995"/>
    <w:rsid w:val="00E3594E"/>
    <w:rsid w:val="00E37707"/>
    <w:rsid w:val="00E415F3"/>
    <w:rsid w:val="00E447BA"/>
    <w:rsid w:val="00E44B23"/>
    <w:rsid w:val="00E50FC1"/>
    <w:rsid w:val="00E519EF"/>
    <w:rsid w:val="00E548E2"/>
    <w:rsid w:val="00E5667B"/>
    <w:rsid w:val="00E62B0E"/>
    <w:rsid w:val="00E62E55"/>
    <w:rsid w:val="00E72CC0"/>
    <w:rsid w:val="00E8033F"/>
    <w:rsid w:val="00E8770D"/>
    <w:rsid w:val="00E91965"/>
    <w:rsid w:val="00E91E10"/>
    <w:rsid w:val="00E951F5"/>
    <w:rsid w:val="00EA287C"/>
    <w:rsid w:val="00EA4977"/>
    <w:rsid w:val="00EA4D32"/>
    <w:rsid w:val="00EB2928"/>
    <w:rsid w:val="00EB39F6"/>
    <w:rsid w:val="00EB4F57"/>
    <w:rsid w:val="00EC1222"/>
    <w:rsid w:val="00EC6185"/>
    <w:rsid w:val="00ED2BE2"/>
    <w:rsid w:val="00ED625A"/>
    <w:rsid w:val="00ED7ADF"/>
    <w:rsid w:val="00EF2E48"/>
    <w:rsid w:val="00EF5116"/>
    <w:rsid w:val="00EF77B8"/>
    <w:rsid w:val="00F04DE8"/>
    <w:rsid w:val="00F10F77"/>
    <w:rsid w:val="00F13422"/>
    <w:rsid w:val="00F14498"/>
    <w:rsid w:val="00F161D7"/>
    <w:rsid w:val="00F16753"/>
    <w:rsid w:val="00F1771A"/>
    <w:rsid w:val="00F21751"/>
    <w:rsid w:val="00F24A6C"/>
    <w:rsid w:val="00F27DCE"/>
    <w:rsid w:val="00F31919"/>
    <w:rsid w:val="00F34894"/>
    <w:rsid w:val="00F45FD6"/>
    <w:rsid w:val="00F463F8"/>
    <w:rsid w:val="00F51E27"/>
    <w:rsid w:val="00F564F0"/>
    <w:rsid w:val="00F5702E"/>
    <w:rsid w:val="00F6130D"/>
    <w:rsid w:val="00F61B64"/>
    <w:rsid w:val="00F65F8C"/>
    <w:rsid w:val="00F67DD3"/>
    <w:rsid w:val="00F75C9D"/>
    <w:rsid w:val="00F855AF"/>
    <w:rsid w:val="00F932DB"/>
    <w:rsid w:val="00F93743"/>
    <w:rsid w:val="00FA6D13"/>
    <w:rsid w:val="00FB0163"/>
    <w:rsid w:val="00FB09DA"/>
    <w:rsid w:val="00FB0BF1"/>
    <w:rsid w:val="00FB11AC"/>
    <w:rsid w:val="00FB2AEE"/>
    <w:rsid w:val="00FB7D00"/>
    <w:rsid w:val="00FD3D5A"/>
    <w:rsid w:val="00FE62DC"/>
    <w:rsid w:val="00FF1972"/>
    <w:rsid w:val="00FF62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80978"/>
  <w15:chartTrackingRefBased/>
  <w15:docId w15:val="{E861BE5F-1F2B-FE4C-9BDF-092B2AD56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0A8D"/>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F216E"/>
    <w:pPr>
      <w:numPr>
        <w:numId w:val="7"/>
      </w:numPr>
      <w:snapToGrid w:val="0"/>
      <w:spacing w:before="360" w:after="80" w:line="360" w:lineRule="auto"/>
      <w:ind w:left="680" w:hanging="680"/>
      <w:outlineLvl w:val="0"/>
    </w:pPr>
    <w:rPr>
      <w:rFonts w:asciiTheme="majorHAnsi" w:eastAsiaTheme="majorEastAsia" w:hAnsiTheme="majorHAnsi" w:cstheme="majorBidi"/>
      <w:b/>
      <w:szCs w:val="40"/>
    </w:rPr>
  </w:style>
  <w:style w:type="paragraph" w:styleId="Heading2">
    <w:name w:val="heading 2"/>
    <w:aliases w:val="Main body"/>
    <w:basedOn w:val="Normal"/>
    <w:next w:val="Normal"/>
    <w:link w:val="Heading2Char"/>
    <w:uiPriority w:val="9"/>
    <w:unhideWhenUsed/>
    <w:qFormat/>
    <w:rsid w:val="005F216E"/>
    <w:pPr>
      <w:keepNext/>
      <w:numPr>
        <w:ilvl w:val="1"/>
        <w:numId w:val="7"/>
      </w:numPr>
      <w:spacing w:before="160" w:after="80" w:line="360" w:lineRule="auto"/>
      <w:ind w:left="680" w:hanging="680"/>
      <w:outlineLvl w:val="1"/>
    </w:pPr>
    <w:rPr>
      <w:rFonts w:ascii="Arial" w:eastAsiaTheme="majorEastAsia" w:hAnsi="Arial" w:cstheme="majorBidi"/>
      <w:szCs w:val="32"/>
    </w:rPr>
  </w:style>
  <w:style w:type="paragraph" w:styleId="Heading3">
    <w:name w:val="heading 3"/>
    <w:basedOn w:val="Normal"/>
    <w:next w:val="Normal"/>
    <w:link w:val="Heading3Char"/>
    <w:uiPriority w:val="9"/>
    <w:unhideWhenUsed/>
    <w:rsid w:val="002F7D75"/>
    <w:pPr>
      <w:keepNext/>
      <w:keepLines/>
      <w:numPr>
        <w:ilvl w:val="2"/>
        <w:numId w:val="7"/>
      </w:numPr>
      <w:spacing w:before="160" w:after="80"/>
      <w:outlineLvl w:val="2"/>
    </w:pPr>
    <w:rPr>
      <w:rFonts w:eastAsiaTheme="majorEastAsia" w:cstheme="majorBidi"/>
      <w:color w:val="2F5496" w:themeColor="accent1" w:themeShade="BF"/>
      <w:sz w:val="28"/>
      <w:szCs w:val="28"/>
    </w:rPr>
  </w:style>
  <w:style w:type="paragraph" w:styleId="Heading4">
    <w:name w:val="heading 4"/>
    <w:aliases w:val="bullet list"/>
    <w:basedOn w:val="Normal"/>
    <w:next w:val="Normal"/>
    <w:link w:val="Heading4Char"/>
    <w:uiPriority w:val="9"/>
    <w:unhideWhenUsed/>
    <w:qFormat/>
    <w:rsid w:val="00F6130D"/>
    <w:pPr>
      <w:keepNext/>
      <w:keepLines/>
      <w:numPr>
        <w:numId w:val="9"/>
      </w:numPr>
      <w:spacing w:before="80" w:after="40" w:line="360" w:lineRule="auto"/>
      <w:ind w:left="1020" w:hanging="340"/>
      <w:outlineLvl w:val="3"/>
    </w:pPr>
    <w:rPr>
      <w:rFonts w:asciiTheme="majorHAnsi" w:eastAsiaTheme="majorEastAsia" w:hAnsiTheme="majorHAnsi" w:cstheme="majorBidi"/>
      <w:iCs/>
    </w:rPr>
  </w:style>
  <w:style w:type="paragraph" w:styleId="Heading5">
    <w:name w:val="heading 5"/>
    <w:basedOn w:val="Normal"/>
    <w:next w:val="Normal"/>
    <w:link w:val="Heading5Char"/>
    <w:uiPriority w:val="9"/>
    <w:unhideWhenUsed/>
    <w:rsid w:val="002F7D75"/>
    <w:pPr>
      <w:keepNext/>
      <w:keepLines/>
      <w:numPr>
        <w:ilvl w:val="4"/>
        <w:numId w:val="7"/>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F7D75"/>
    <w:pPr>
      <w:keepNext/>
      <w:keepLines/>
      <w:numPr>
        <w:ilvl w:val="5"/>
        <w:numId w:val="7"/>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7D75"/>
    <w:pPr>
      <w:keepNext/>
      <w:keepLines/>
      <w:numPr>
        <w:ilvl w:val="6"/>
        <w:numId w:val="7"/>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7D75"/>
    <w:pPr>
      <w:keepNext/>
      <w:keepLines/>
      <w:numPr>
        <w:ilvl w:val="7"/>
        <w:numId w:val="7"/>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7D75"/>
    <w:pPr>
      <w:keepNext/>
      <w:keepLines/>
      <w:numPr>
        <w:ilvl w:val="8"/>
        <w:numId w:val="7"/>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216E"/>
    <w:rPr>
      <w:rFonts w:asciiTheme="majorHAnsi" w:eastAsiaTheme="majorEastAsia" w:hAnsiTheme="majorHAnsi" w:cstheme="majorBidi"/>
      <w:b/>
      <w:kern w:val="0"/>
      <w:szCs w:val="40"/>
      <w:lang w:eastAsia="en-GB"/>
      <w14:ligatures w14:val="none"/>
    </w:rPr>
  </w:style>
  <w:style w:type="character" w:customStyle="1" w:styleId="Heading2Char">
    <w:name w:val="Heading 2 Char"/>
    <w:aliases w:val="Main body Char"/>
    <w:basedOn w:val="DefaultParagraphFont"/>
    <w:link w:val="Heading2"/>
    <w:uiPriority w:val="9"/>
    <w:rsid w:val="005F216E"/>
    <w:rPr>
      <w:rFonts w:ascii="Arial" w:eastAsiaTheme="majorEastAsia" w:hAnsi="Arial" w:cstheme="majorBidi"/>
      <w:kern w:val="0"/>
      <w:szCs w:val="32"/>
      <w:lang w:eastAsia="en-GB"/>
      <w14:ligatures w14:val="none"/>
    </w:rPr>
  </w:style>
  <w:style w:type="character" w:customStyle="1" w:styleId="Heading3Char">
    <w:name w:val="Heading 3 Char"/>
    <w:basedOn w:val="DefaultParagraphFont"/>
    <w:link w:val="Heading3"/>
    <w:uiPriority w:val="9"/>
    <w:rsid w:val="002F7D75"/>
    <w:rPr>
      <w:rFonts w:eastAsiaTheme="majorEastAsia" w:cstheme="majorBidi"/>
      <w:color w:val="2F5496" w:themeColor="accent1" w:themeShade="BF"/>
      <w:sz w:val="28"/>
      <w:szCs w:val="28"/>
    </w:rPr>
  </w:style>
  <w:style w:type="character" w:customStyle="1" w:styleId="Heading4Char">
    <w:name w:val="Heading 4 Char"/>
    <w:aliases w:val="bullet list Char"/>
    <w:basedOn w:val="DefaultParagraphFont"/>
    <w:link w:val="Heading4"/>
    <w:uiPriority w:val="9"/>
    <w:rsid w:val="00F6130D"/>
    <w:rPr>
      <w:rFonts w:asciiTheme="majorHAnsi" w:eastAsiaTheme="majorEastAsia" w:hAnsiTheme="majorHAnsi" w:cstheme="majorBidi"/>
      <w:iCs/>
      <w:kern w:val="0"/>
      <w:lang w:eastAsia="en-GB"/>
      <w14:ligatures w14:val="none"/>
    </w:rPr>
  </w:style>
  <w:style w:type="character" w:customStyle="1" w:styleId="Heading5Char">
    <w:name w:val="Heading 5 Char"/>
    <w:basedOn w:val="DefaultParagraphFont"/>
    <w:link w:val="Heading5"/>
    <w:uiPriority w:val="9"/>
    <w:rsid w:val="002F7D7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F7D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7D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7D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7D75"/>
    <w:rPr>
      <w:rFonts w:eastAsiaTheme="majorEastAsia" w:cstheme="majorBidi"/>
      <w:color w:val="272727" w:themeColor="text1" w:themeTint="D8"/>
    </w:rPr>
  </w:style>
  <w:style w:type="paragraph" w:styleId="Title">
    <w:name w:val="Title"/>
    <w:basedOn w:val="Normal"/>
    <w:next w:val="Normal"/>
    <w:link w:val="TitleChar"/>
    <w:uiPriority w:val="10"/>
    <w:rsid w:val="002F7D7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7D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rsid w:val="002F7D7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7D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7D7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F7D75"/>
    <w:rPr>
      <w:i/>
      <w:iCs/>
      <w:color w:val="404040" w:themeColor="text1" w:themeTint="BF"/>
    </w:rPr>
  </w:style>
  <w:style w:type="paragraph" w:styleId="ListParagraph">
    <w:name w:val="List Paragraph"/>
    <w:basedOn w:val="Normal"/>
    <w:uiPriority w:val="34"/>
    <w:qFormat/>
    <w:rsid w:val="002F7D75"/>
    <w:pPr>
      <w:ind w:left="720"/>
      <w:contextualSpacing/>
    </w:pPr>
  </w:style>
  <w:style w:type="character" w:styleId="IntenseEmphasis">
    <w:name w:val="Intense Emphasis"/>
    <w:basedOn w:val="DefaultParagraphFont"/>
    <w:uiPriority w:val="21"/>
    <w:rsid w:val="002F7D75"/>
    <w:rPr>
      <w:i/>
      <w:iCs/>
      <w:color w:val="2F5496" w:themeColor="accent1" w:themeShade="BF"/>
    </w:rPr>
  </w:style>
  <w:style w:type="paragraph" w:styleId="IntenseQuote">
    <w:name w:val="Intense Quote"/>
    <w:basedOn w:val="Normal"/>
    <w:next w:val="Normal"/>
    <w:link w:val="IntenseQuoteChar"/>
    <w:uiPriority w:val="30"/>
    <w:rsid w:val="002F7D7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F7D75"/>
    <w:rPr>
      <w:i/>
      <w:iCs/>
      <w:color w:val="2F5496" w:themeColor="accent1" w:themeShade="BF"/>
    </w:rPr>
  </w:style>
  <w:style w:type="character" w:styleId="IntenseReference">
    <w:name w:val="Intense Reference"/>
    <w:basedOn w:val="DefaultParagraphFont"/>
    <w:uiPriority w:val="32"/>
    <w:rsid w:val="002F7D75"/>
    <w:rPr>
      <w:b/>
      <w:bCs/>
      <w:smallCaps/>
      <w:color w:val="2F5496" w:themeColor="accent1" w:themeShade="BF"/>
      <w:spacing w:val="5"/>
    </w:rPr>
  </w:style>
  <w:style w:type="numbering" w:customStyle="1" w:styleId="CurrentList1">
    <w:name w:val="Current List1"/>
    <w:uiPriority w:val="99"/>
    <w:rsid w:val="00BA0A8D"/>
    <w:pPr>
      <w:numPr>
        <w:numId w:val="8"/>
      </w:numPr>
    </w:pPr>
  </w:style>
  <w:style w:type="character" w:styleId="Hyperlink">
    <w:name w:val="Hyperlink"/>
    <w:basedOn w:val="DefaultParagraphFont"/>
    <w:uiPriority w:val="99"/>
    <w:unhideWhenUsed/>
    <w:rsid w:val="008143F1"/>
    <w:rPr>
      <w:color w:val="0563C1" w:themeColor="hyperlink"/>
      <w:u w:val="single"/>
    </w:rPr>
  </w:style>
  <w:style w:type="character" w:styleId="UnresolvedMention">
    <w:name w:val="Unresolved Mention"/>
    <w:basedOn w:val="DefaultParagraphFont"/>
    <w:uiPriority w:val="99"/>
    <w:semiHidden/>
    <w:unhideWhenUsed/>
    <w:rsid w:val="008143F1"/>
    <w:rPr>
      <w:color w:val="605E5C"/>
      <w:shd w:val="clear" w:color="auto" w:fill="E1DFDD"/>
    </w:rPr>
  </w:style>
  <w:style w:type="character" w:styleId="FollowedHyperlink">
    <w:name w:val="FollowedHyperlink"/>
    <w:basedOn w:val="DefaultParagraphFont"/>
    <w:uiPriority w:val="99"/>
    <w:semiHidden/>
    <w:unhideWhenUsed/>
    <w:rsid w:val="008143F1"/>
    <w:rPr>
      <w:color w:val="954F72" w:themeColor="followedHyperlink"/>
      <w:u w:val="single"/>
    </w:rPr>
  </w:style>
  <w:style w:type="character" w:styleId="SubtleEmphasis">
    <w:name w:val="Subtle Emphasis"/>
    <w:aliases w:val="Subtitle 1"/>
    <w:basedOn w:val="DefaultParagraphFont"/>
    <w:uiPriority w:val="19"/>
    <w:qFormat/>
    <w:rsid w:val="00F6130D"/>
    <w:rPr>
      <w:rFonts w:asciiTheme="majorHAnsi" w:hAnsiTheme="majorHAnsi"/>
      <w:b/>
      <w:iCs/>
      <w:color w:val="auto"/>
      <w:spacing w:val="0"/>
      <w:sz w:val="24"/>
      <w:u w:val="none"/>
    </w:rPr>
  </w:style>
  <w:style w:type="paragraph" w:styleId="Header">
    <w:name w:val="header"/>
    <w:basedOn w:val="Normal"/>
    <w:link w:val="HeaderChar"/>
    <w:uiPriority w:val="99"/>
    <w:unhideWhenUsed/>
    <w:rsid w:val="00A27820"/>
    <w:pPr>
      <w:tabs>
        <w:tab w:val="center" w:pos="4513"/>
        <w:tab w:val="right" w:pos="9026"/>
      </w:tabs>
    </w:pPr>
  </w:style>
  <w:style w:type="character" w:customStyle="1" w:styleId="HeaderChar">
    <w:name w:val="Header Char"/>
    <w:basedOn w:val="DefaultParagraphFont"/>
    <w:link w:val="Header"/>
    <w:uiPriority w:val="99"/>
    <w:rsid w:val="00A27820"/>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A27820"/>
    <w:pPr>
      <w:tabs>
        <w:tab w:val="center" w:pos="4513"/>
        <w:tab w:val="right" w:pos="9026"/>
      </w:tabs>
    </w:pPr>
  </w:style>
  <w:style w:type="character" w:customStyle="1" w:styleId="FooterChar">
    <w:name w:val="Footer Char"/>
    <w:basedOn w:val="DefaultParagraphFont"/>
    <w:link w:val="Footer"/>
    <w:uiPriority w:val="99"/>
    <w:rsid w:val="00A27820"/>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A27820"/>
  </w:style>
  <w:style w:type="paragraph" w:styleId="NormalWeb">
    <w:name w:val="Normal (Web)"/>
    <w:basedOn w:val="Normal"/>
    <w:uiPriority w:val="99"/>
    <w:unhideWhenUsed/>
    <w:rsid w:val="00C56652"/>
    <w:pPr>
      <w:spacing w:before="100" w:beforeAutospacing="1" w:after="100" w:afterAutospacing="1"/>
    </w:pPr>
  </w:style>
  <w:style w:type="character" w:customStyle="1" w:styleId="apple-converted-space">
    <w:name w:val="apple-converted-space"/>
    <w:basedOn w:val="DefaultParagraphFont"/>
    <w:rsid w:val="00C56652"/>
  </w:style>
  <w:style w:type="character" w:styleId="Emphasis">
    <w:name w:val="Emphasis"/>
    <w:basedOn w:val="DefaultParagraphFont"/>
    <w:uiPriority w:val="20"/>
    <w:qFormat/>
    <w:rsid w:val="001F1471"/>
    <w:rPr>
      <w:i/>
      <w:iCs/>
    </w:rPr>
  </w:style>
  <w:style w:type="character" w:styleId="Strong">
    <w:name w:val="Strong"/>
    <w:basedOn w:val="DefaultParagraphFont"/>
    <w:uiPriority w:val="22"/>
    <w:qFormat/>
    <w:rsid w:val="00CF744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04228">
      <w:bodyDiv w:val="1"/>
      <w:marLeft w:val="0"/>
      <w:marRight w:val="0"/>
      <w:marTop w:val="0"/>
      <w:marBottom w:val="0"/>
      <w:divBdr>
        <w:top w:val="none" w:sz="0" w:space="0" w:color="auto"/>
        <w:left w:val="none" w:sz="0" w:space="0" w:color="auto"/>
        <w:bottom w:val="none" w:sz="0" w:space="0" w:color="auto"/>
        <w:right w:val="none" w:sz="0" w:space="0" w:color="auto"/>
      </w:divBdr>
    </w:div>
    <w:div w:id="45305397">
      <w:bodyDiv w:val="1"/>
      <w:marLeft w:val="0"/>
      <w:marRight w:val="0"/>
      <w:marTop w:val="0"/>
      <w:marBottom w:val="0"/>
      <w:divBdr>
        <w:top w:val="none" w:sz="0" w:space="0" w:color="auto"/>
        <w:left w:val="none" w:sz="0" w:space="0" w:color="auto"/>
        <w:bottom w:val="none" w:sz="0" w:space="0" w:color="auto"/>
        <w:right w:val="none" w:sz="0" w:space="0" w:color="auto"/>
      </w:divBdr>
    </w:div>
    <w:div w:id="202910413">
      <w:bodyDiv w:val="1"/>
      <w:marLeft w:val="0"/>
      <w:marRight w:val="0"/>
      <w:marTop w:val="0"/>
      <w:marBottom w:val="0"/>
      <w:divBdr>
        <w:top w:val="none" w:sz="0" w:space="0" w:color="auto"/>
        <w:left w:val="none" w:sz="0" w:space="0" w:color="auto"/>
        <w:bottom w:val="none" w:sz="0" w:space="0" w:color="auto"/>
        <w:right w:val="none" w:sz="0" w:space="0" w:color="auto"/>
      </w:divBdr>
    </w:div>
    <w:div w:id="967469452">
      <w:bodyDiv w:val="1"/>
      <w:marLeft w:val="0"/>
      <w:marRight w:val="0"/>
      <w:marTop w:val="0"/>
      <w:marBottom w:val="0"/>
      <w:divBdr>
        <w:top w:val="none" w:sz="0" w:space="0" w:color="auto"/>
        <w:left w:val="none" w:sz="0" w:space="0" w:color="auto"/>
        <w:bottom w:val="none" w:sz="0" w:space="0" w:color="auto"/>
        <w:right w:val="none" w:sz="0" w:space="0" w:color="auto"/>
      </w:divBdr>
    </w:div>
    <w:div w:id="1175803410">
      <w:bodyDiv w:val="1"/>
      <w:marLeft w:val="0"/>
      <w:marRight w:val="0"/>
      <w:marTop w:val="0"/>
      <w:marBottom w:val="0"/>
      <w:divBdr>
        <w:top w:val="none" w:sz="0" w:space="0" w:color="auto"/>
        <w:left w:val="none" w:sz="0" w:space="0" w:color="auto"/>
        <w:bottom w:val="none" w:sz="0" w:space="0" w:color="auto"/>
        <w:right w:val="none" w:sz="0" w:space="0" w:color="auto"/>
      </w:divBdr>
    </w:div>
    <w:div w:id="1254897530">
      <w:bodyDiv w:val="1"/>
      <w:marLeft w:val="0"/>
      <w:marRight w:val="0"/>
      <w:marTop w:val="0"/>
      <w:marBottom w:val="0"/>
      <w:divBdr>
        <w:top w:val="none" w:sz="0" w:space="0" w:color="auto"/>
        <w:left w:val="none" w:sz="0" w:space="0" w:color="auto"/>
        <w:bottom w:val="none" w:sz="0" w:space="0" w:color="auto"/>
        <w:right w:val="none" w:sz="0" w:space="0" w:color="auto"/>
      </w:divBdr>
    </w:div>
    <w:div w:id="1845127967">
      <w:bodyDiv w:val="1"/>
      <w:marLeft w:val="0"/>
      <w:marRight w:val="0"/>
      <w:marTop w:val="0"/>
      <w:marBottom w:val="0"/>
      <w:divBdr>
        <w:top w:val="none" w:sz="0" w:space="0" w:color="auto"/>
        <w:left w:val="none" w:sz="0" w:space="0" w:color="auto"/>
        <w:bottom w:val="none" w:sz="0" w:space="0" w:color="auto"/>
        <w:right w:val="none" w:sz="0" w:space="0" w:color="auto"/>
      </w:divBdr>
    </w:div>
    <w:div w:id="1872839953">
      <w:bodyDiv w:val="1"/>
      <w:marLeft w:val="0"/>
      <w:marRight w:val="0"/>
      <w:marTop w:val="0"/>
      <w:marBottom w:val="0"/>
      <w:divBdr>
        <w:top w:val="none" w:sz="0" w:space="0" w:color="auto"/>
        <w:left w:val="none" w:sz="0" w:space="0" w:color="auto"/>
        <w:bottom w:val="none" w:sz="0" w:space="0" w:color="auto"/>
        <w:right w:val="none" w:sz="0" w:space="0" w:color="auto"/>
      </w:divBdr>
    </w:div>
    <w:div w:id="2076775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semine.com/judgement/uk/5a8ff7cd60d03e7f57eb234d" TargetMode="External"/><Relationship Id="rId13" Type="http://schemas.openxmlformats.org/officeDocument/2006/relationships/hyperlink" Target="https://www.gov.uk/shared-ownership-scheme" TargetMode="External"/><Relationship Id="rId18" Type="http://schemas.openxmlformats.org/officeDocument/2006/relationships/hyperlink" Target="https://vlex.co.uk/vid/lloyds-bank-plc-v-793778589"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fjg.co.uk/a-cohabitation-case-study-burns-v-burns/" TargetMode="External"/><Relationship Id="rId17" Type="http://schemas.openxmlformats.org/officeDocument/2006/relationships/hyperlink" Target="https://uollb.com/blogs/uol/grant-v-edwards-1986" TargetMode="External"/><Relationship Id="rId2" Type="http://schemas.openxmlformats.org/officeDocument/2006/relationships/numbering" Target="numbering.xml"/><Relationship Id="rId16" Type="http://schemas.openxmlformats.org/officeDocument/2006/relationships/hyperlink" Target="https://publications.parliament.uk/pa/ld200809/ldjudgmt/jd090325/thorn-1.htm"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itylawtutors.co.uk/law-journal/stack-v-dowden-and-jones-v-kernott"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lexisnexis.co.uk/legal/guidance/proprietary-estoppel" TargetMode="External"/><Relationship Id="rId23" Type="http://schemas.openxmlformats.org/officeDocument/2006/relationships/fontTable" Target="fontTable.xml"/><Relationship Id="rId10" Type="http://schemas.openxmlformats.org/officeDocument/2006/relationships/hyperlink" Target="https://www.casemine.com/judgement/uk/5a8ff7aa60d03e7f57eb1065" TargetMode="External"/><Relationship Id="rId19" Type="http://schemas.openxmlformats.org/officeDocument/2006/relationships/hyperlink" Target="https://www.weightmans.com/insights/what-is-cohabitation-or-living-together-and-why-is-it-important/" TargetMode="External"/><Relationship Id="rId4" Type="http://schemas.openxmlformats.org/officeDocument/2006/relationships/settings" Target="settings.xml"/><Relationship Id="rId9" Type="http://schemas.openxmlformats.org/officeDocument/2006/relationships/hyperlink" Target="https://www.casemine.com/judgement/uk/5a8ff7a260d03e7f57eb0881" TargetMode="External"/><Relationship Id="rId14" Type="http://schemas.openxmlformats.org/officeDocument/2006/relationships/hyperlink" Target="https://ipsaloquitur.com/land-law/cases/geary-v-rankine/"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E36363-62DC-A541-91AE-3A87E35562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3979</Words>
  <Characters>22681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Jones</dc:creator>
  <cp:keywords/>
  <dc:description/>
  <cp:lastModifiedBy>diana demeterova</cp:lastModifiedBy>
  <cp:revision>2</cp:revision>
  <dcterms:created xsi:type="dcterms:W3CDTF">2026-01-09T19:02:00Z</dcterms:created>
  <dcterms:modified xsi:type="dcterms:W3CDTF">2026-01-09T19:02:00Z</dcterms:modified>
</cp:coreProperties>
</file>