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F5ABAFF" w14:textId="77777777" w:rsidR="003A4FD0" w:rsidRDefault="003A4FD0" w:rsidP="00755556">
      <w:pPr>
        <w:spacing w:after="240" w:line="360" w:lineRule="auto"/>
        <w:jc w:val="center"/>
        <w:rPr>
          <w:rFonts w:eastAsia="Times New Roman"/>
          <w:b/>
          <w:bCs/>
          <w:sz w:val="32"/>
          <w:szCs w:val="32"/>
          <w:lang w:val="en-GB"/>
        </w:rPr>
      </w:pPr>
    </w:p>
    <w:p w14:paraId="2CE1CB61" w14:textId="0DA0E895" w:rsidR="003A4FD0" w:rsidRDefault="00D00B75" w:rsidP="00755556">
      <w:pPr>
        <w:spacing w:after="240" w:line="360" w:lineRule="auto"/>
        <w:jc w:val="center"/>
        <w:rPr>
          <w:rFonts w:eastAsia="Times New Roman"/>
          <w:b/>
          <w:bCs/>
          <w:sz w:val="32"/>
          <w:szCs w:val="32"/>
          <w:lang w:val="en-GB"/>
        </w:rPr>
      </w:pPr>
      <w:r w:rsidRPr="00465980">
        <w:rPr>
          <w:noProof/>
          <w:lang w:val="en-US"/>
        </w:rPr>
        <w:drawing>
          <wp:inline distT="0" distB="0" distL="0" distR="0" wp14:anchorId="298C04AD" wp14:editId="7B9C1A8A">
            <wp:extent cx="2976957" cy="1243067"/>
            <wp:effectExtent l="0" t="0" r="0" b="0"/>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5112" cy="1246472"/>
                    </a:xfrm>
                    <a:prstGeom prst="rect">
                      <a:avLst/>
                    </a:prstGeom>
                    <a:noFill/>
                    <a:ln>
                      <a:noFill/>
                    </a:ln>
                  </pic:spPr>
                </pic:pic>
              </a:graphicData>
            </a:graphic>
          </wp:inline>
        </w:drawing>
      </w:r>
    </w:p>
    <w:p w14:paraId="7107633C" w14:textId="556C3858" w:rsidR="00755556" w:rsidRDefault="00755556" w:rsidP="00755556">
      <w:pPr>
        <w:spacing w:after="240" w:line="360" w:lineRule="auto"/>
        <w:jc w:val="center"/>
        <w:rPr>
          <w:rFonts w:eastAsia="Times New Roman"/>
          <w:b/>
          <w:bCs/>
          <w:sz w:val="32"/>
          <w:szCs w:val="32"/>
          <w:lang w:val="en-GB"/>
        </w:rPr>
      </w:pPr>
      <w:r w:rsidRPr="006913C8">
        <w:rPr>
          <w:rFonts w:eastAsia="Times New Roman"/>
          <w:b/>
          <w:bCs/>
          <w:sz w:val="32"/>
          <w:szCs w:val="32"/>
          <w:lang w:val="en-GB"/>
        </w:rPr>
        <w:t>Module Name:</w:t>
      </w:r>
      <w:r>
        <w:rPr>
          <w:rFonts w:eastAsia="Times New Roman"/>
          <w:b/>
          <w:bCs/>
          <w:sz w:val="32"/>
          <w:szCs w:val="32"/>
          <w:lang w:val="en-GB"/>
        </w:rPr>
        <w:t xml:space="preserve"> </w:t>
      </w:r>
      <w:r w:rsidRPr="003A4FD0">
        <w:rPr>
          <w:rFonts w:eastAsia="Times New Roman"/>
          <w:b/>
          <w:bCs/>
          <w:sz w:val="32"/>
          <w:szCs w:val="32"/>
          <w:lang w:val="en-GB"/>
        </w:rPr>
        <w:t>Financial Management</w:t>
      </w:r>
    </w:p>
    <w:p w14:paraId="0E2201F9" w14:textId="05A64AAA" w:rsidR="006913C8" w:rsidRPr="006913C8" w:rsidRDefault="00755556" w:rsidP="00755556">
      <w:pPr>
        <w:spacing w:after="240" w:line="360" w:lineRule="auto"/>
        <w:jc w:val="center"/>
        <w:rPr>
          <w:rFonts w:eastAsia="Times New Roman"/>
          <w:b/>
          <w:bCs/>
          <w:sz w:val="32"/>
          <w:szCs w:val="32"/>
          <w:lang w:val="en-GB"/>
        </w:rPr>
      </w:pPr>
      <w:r w:rsidRPr="006913C8">
        <w:rPr>
          <w:rFonts w:eastAsia="Times New Roman"/>
          <w:b/>
          <w:bCs/>
          <w:sz w:val="32"/>
          <w:szCs w:val="32"/>
          <w:lang w:val="en-GB"/>
        </w:rPr>
        <w:t>Module Code:</w:t>
      </w:r>
      <w:r w:rsidRPr="003A4FD0">
        <w:t xml:space="preserve"> </w:t>
      </w:r>
      <w:r w:rsidRPr="003A4FD0">
        <w:rPr>
          <w:rFonts w:eastAsia="Times New Roman"/>
          <w:b/>
          <w:bCs/>
          <w:sz w:val="32"/>
          <w:szCs w:val="32"/>
          <w:lang w:val="en-GB"/>
        </w:rPr>
        <w:t>LCMB7002</w:t>
      </w:r>
    </w:p>
    <w:p w14:paraId="431CCA2C" w14:textId="68D8BB4D" w:rsidR="006913C8" w:rsidRPr="006913C8" w:rsidRDefault="00755556" w:rsidP="00755556">
      <w:pPr>
        <w:pStyle w:val="NormalWeb"/>
        <w:spacing w:before="0" w:beforeAutospacing="0" w:after="240" w:afterAutospacing="0" w:line="360" w:lineRule="auto"/>
        <w:jc w:val="center"/>
        <w:rPr>
          <w:rFonts w:ascii="Arial" w:hAnsi="Arial" w:cs="Arial"/>
          <w:sz w:val="32"/>
          <w:szCs w:val="32"/>
        </w:rPr>
      </w:pPr>
      <w:r w:rsidRPr="006913C8">
        <w:rPr>
          <w:rFonts w:ascii="Arial" w:hAnsi="Arial" w:cs="Arial"/>
          <w:b/>
          <w:bCs/>
          <w:sz w:val="32"/>
          <w:szCs w:val="32"/>
          <w:lang w:val="en-GB"/>
        </w:rPr>
        <w:t xml:space="preserve">Topic: </w:t>
      </w:r>
      <w:r w:rsidRPr="006913C8">
        <w:rPr>
          <w:rFonts w:ascii="Arial" w:hAnsi="Arial" w:cs="Arial"/>
          <w:b/>
          <w:bCs/>
          <w:color w:val="000000"/>
          <w:sz w:val="32"/>
          <w:szCs w:val="32"/>
        </w:rPr>
        <w:t xml:space="preserve">Financial Performance And Management: Intercontinental Hotels Group </w:t>
      </w:r>
      <w:r w:rsidR="003A4FD0" w:rsidRPr="006913C8">
        <w:rPr>
          <w:rFonts w:ascii="Arial" w:hAnsi="Arial" w:cs="Arial"/>
          <w:b/>
          <w:bCs/>
          <w:color w:val="000000"/>
          <w:sz w:val="32"/>
          <w:szCs w:val="32"/>
        </w:rPr>
        <w:t>(IHG)</w:t>
      </w:r>
    </w:p>
    <w:p w14:paraId="03CBC93D" w14:textId="74D3D6B9" w:rsidR="006913C8" w:rsidRPr="006913C8" w:rsidRDefault="00755556" w:rsidP="00755556">
      <w:pPr>
        <w:spacing w:after="240" w:line="360" w:lineRule="auto"/>
        <w:jc w:val="center"/>
        <w:rPr>
          <w:rFonts w:eastAsia="Times New Roman"/>
          <w:b/>
          <w:bCs/>
          <w:sz w:val="32"/>
          <w:szCs w:val="32"/>
          <w:lang w:val="en-US"/>
        </w:rPr>
      </w:pPr>
      <w:r w:rsidRPr="006913C8">
        <w:rPr>
          <w:rFonts w:eastAsia="Times New Roman"/>
          <w:b/>
          <w:bCs/>
          <w:sz w:val="32"/>
          <w:szCs w:val="32"/>
          <w:lang w:val="en-US"/>
        </w:rPr>
        <w:t>Student Name:</w:t>
      </w:r>
      <w:r w:rsidR="00831DE7">
        <w:rPr>
          <w:rFonts w:eastAsia="Times New Roman"/>
          <w:b/>
          <w:bCs/>
          <w:sz w:val="32"/>
          <w:szCs w:val="32"/>
          <w:lang w:val="en-US"/>
        </w:rPr>
        <w:t xml:space="preserve"> SAVITRI GORKHA</w:t>
      </w:r>
    </w:p>
    <w:p w14:paraId="5C134247" w14:textId="02EFCC79" w:rsidR="006913C8" w:rsidRPr="006913C8" w:rsidRDefault="00755556" w:rsidP="00755556">
      <w:pPr>
        <w:spacing w:after="240" w:line="360" w:lineRule="auto"/>
        <w:jc w:val="center"/>
        <w:rPr>
          <w:rFonts w:eastAsia="Times New Roman"/>
          <w:b/>
          <w:bCs/>
          <w:sz w:val="32"/>
          <w:szCs w:val="32"/>
          <w:lang w:val="en-US"/>
        </w:rPr>
      </w:pPr>
      <w:r w:rsidRPr="006913C8">
        <w:rPr>
          <w:rFonts w:eastAsia="Times New Roman"/>
          <w:b/>
          <w:bCs/>
          <w:sz w:val="32"/>
          <w:szCs w:val="32"/>
          <w:lang w:val="en-US"/>
        </w:rPr>
        <w:t>Student Id:</w:t>
      </w:r>
      <w:r w:rsidR="00831DE7">
        <w:rPr>
          <w:rFonts w:eastAsia="Times New Roman"/>
          <w:b/>
          <w:bCs/>
          <w:sz w:val="32"/>
          <w:szCs w:val="32"/>
          <w:lang w:val="en-US"/>
        </w:rPr>
        <w:t xml:space="preserve"> 2538796</w:t>
      </w:r>
    </w:p>
    <w:p w14:paraId="2680E697" w14:textId="39B7B4A6" w:rsidR="006913C8" w:rsidRPr="006913C8" w:rsidRDefault="006913C8" w:rsidP="00755556">
      <w:pPr>
        <w:spacing w:after="240" w:line="360" w:lineRule="auto"/>
        <w:rPr>
          <w:rFonts w:eastAsia="Times New Roman"/>
          <w:b/>
          <w:bCs/>
          <w:sz w:val="24"/>
          <w:szCs w:val="24"/>
          <w:lang w:val="en-US"/>
        </w:rPr>
      </w:pPr>
      <w:r>
        <w:rPr>
          <w:rFonts w:eastAsia="Times New Roman"/>
          <w:b/>
          <w:bCs/>
          <w:sz w:val="24"/>
          <w:szCs w:val="24"/>
          <w:lang w:val="en-US"/>
        </w:rPr>
        <w:br w:type="page"/>
      </w:r>
    </w:p>
    <w:sdt>
      <w:sdtPr>
        <w:rPr>
          <w:rFonts w:ascii="Arial" w:eastAsia="Arial" w:hAnsi="Arial" w:cs="Arial"/>
          <w:color w:val="auto"/>
          <w:sz w:val="24"/>
          <w:szCs w:val="24"/>
          <w:lang w:val="en"/>
        </w:rPr>
        <w:id w:val="-1967736558"/>
        <w:docPartObj>
          <w:docPartGallery w:val="Table of Contents"/>
          <w:docPartUnique/>
        </w:docPartObj>
      </w:sdtPr>
      <w:sdtEndPr>
        <w:rPr>
          <w:b/>
          <w:bCs/>
          <w:noProof/>
        </w:rPr>
      </w:sdtEndPr>
      <w:sdtContent>
        <w:p w14:paraId="44999E72" w14:textId="08AF3A47" w:rsidR="00DB3818" w:rsidRPr="00D00B75" w:rsidRDefault="00DB3818" w:rsidP="00755556">
          <w:pPr>
            <w:pStyle w:val="TOCHeading"/>
            <w:spacing w:after="240" w:line="360" w:lineRule="auto"/>
            <w:jc w:val="center"/>
            <w:rPr>
              <w:rFonts w:ascii="Arial" w:hAnsi="Arial" w:cs="Arial"/>
              <w:b/>
              <w:color w:val="000000" w:themeColor="text1"/>
              <w:sz w:val="28"/>
              <w:szCs w:val="28"/>
            </w:rPr>
          </w:pPr>
          <w:r w:rsidRPr="00D00B75">
            <w:rPr>
              <w:rFonts w:ascii="Arial" w:hAnsi="Arial" w:cs="Arial"/>
              <w:b/>
              <w:color w:val="000000" w:themeColor="text1"/>
              <w:sz w:val="28"/>
              <w:szCs w:val="28"/>
            </w:rPr>
            <w:t>Table of Contents</w:t>
          </w:r>
        </w:p>
        <w:p w14:paraId="6370A45E" w14:textId="244B4AED" w:rsidR="00755556" w:rsidRPr="00755556" w:rsidRDefault="00DB3818" w:rsidP="00755556">
          <w:pPr>
            <w:pStyle w:val="TOC1"/>
            <w:tabs>
              <w:tab w:val="right" w:leader="dot" w:pos="9016"/>
            </w:tabs>
            <w:spacing w:after="0" w:line="240" w:lineRule="auto"/>
            <w:jc w:val="both"/>
            <w:rPr>
              <w:rFonts w:asciiTheme="minorHAnsi" w:eastAsiaTheme="minorEastAsia" w:hAnsiTheme="minorHAnsi" w:cstheme="minorBidi"/>
              <w:noProof/>
              <w:sz w:val="24"/>
              <w:szCs w:val="24"/>
              <w:lang w:val="en-US"/>
            </w:rPr>
          </w:pPr>
          <w:r w:rsidRPr="00755556">
            <w:rPr>
              <w:sz w:val="24"/>
              <w:szCs w:val="24"/>
            </w:rPr>
            <w:fldChar w:fldCharType="begin"/>
          </w:r>
          <w:r w:rsidRPr="00755556">
            <w:rPr>
              <w:sz w:val="24"/>
              <w:szCs w:val="24"/>
            </w:rPr>
            <w:instrText xml:space="preserve"> TOC \o "1-3" \h \z \u </w:instrText>
          </w:r>
          <w:r w:rsidRPr="00755556">
            <w:rPr>
              <w:sz w:val="24"/>
              <w:szCs w:val="24"/>
            </w:rPr>
            <w:fldChar w:fldCharType="separate"/>
          </w:r>
          <w:hyperlink w:anchor="_Toc235033220" w:history="1">
            <w:r w:rsidR="00755556" w:rsidRPr="00755556">
              <w:rPr>
                <w:rStyle w:val="Hyperlink"/>
                <w:noProof/>
                <w:sz w:val="24"/>
                <w:szCs w:val="24"/>
                <w:lang w:val="en-GB"/>
              </w:rPr>
              <w:t>Introduction</w:t>
            </w:r>
            <w:r w:rsidR="00755556" w:rsidRPr="00755556">
              <w:rPr>
                <w:noProof/>
                <w:webHidden/>
                <w:sz w:val="24"/>
                <w:szCs w:val="24"/>
              </w:rPr>
              <w:tab/>
            </w:r>
            <w:r w:rsidR="00755556" w:rsidRPr="00755556">
              <w:rPr>
                <w:noProof/>
                <w:webHidden/>
                <w:sz w:val="24"/>
                <w:szCs w:val="24"/>
              </w:rPr>
              <w:fldChar w:fldCharType="begin"/>
            </w:r>
            <w:r w:rsidR="00755556" w:rsidRPr="00755556">
              <w:rPr>
                <w:noProof/>
                <w:webHidden/>
                <w:sz w:val="24"/>
                <w:szCs w:val="24"/>
              </w:rPr>
              <w:instrText xml:space="preserve"> PAGEREF _Toc235033220 \h </w:instrText>
            </w:r>
            <w:r w:rsidR="00755556" w:rsidRPr="00755556">
              <w:rPr>
                <w:noProof/>
                <w:webHidden/>
                <w:sz w:val="24"/>
                <w:szCs w:val="24"/>
              </w:rPr>
            </w:r>
            <w:r w:rsidR="00755556" w:rsidRPr="00755556">
              <w:rPr>
                <w:noProof/>
                <w:webHidden/>
                <w:sz w:val="24"/>
                <w:szCs w:val="24"/>
              </w:rPr>
              <w:fldChar w:fldCharType="separate"/>
            </w:r>
            <w:r w:rsidR="00755556">
              <w:rPr>
                <w:noProof/>
                <w:webHidden/>
                <w:sz w:val="24"/>
                <w:szCs w:val="24"/>
              </w:rPr>
              <w:t>3</w:t>
            </w:r>
            <w:r w:rsidR="00755556" w:rsidRPr="00755556">
              <w:rPr>
                <w:noProof/>
                <w:webHidden/>
                <w:sz w:val="24"/>
                <w:szCs w:val="24"/>
              </w:rPr>
              <w:fldChar w:fldCharType="end"/>
            </w:r>
          </w:hyperlink>
        </w:p>
        <w:p w14:paraId="735E8A94" w14:textId="734CF77F" w:rsidR="00755556" w:rsidRPr="00755556" w:rsidRDefault="00755556" w:rsidP="00755556">
          <w:pPr>
            <w:pStyle w:val="TOC1"/>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21" w:history="1">
            <w:r w:rsidRPr="00755556">
              <w:rPr>
                <w:rStyle w:val="Hyperlink"/>
                <w:noProof/>
                <w:sz w:val="24"/>
                <w:szCs w:val="24"/>
                <w:lang w:val="en-GB"/>
              </w:rPr>
              <w:t>1. Financial Health Check</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_Toc235033221 \h </w:instrText>
            </w:r>
            <w:r w:rsidRPr="00755556">
              <w:rPr>
                <w:noProof/>
                <w:webHidden/>
                <w:sz w:val="24"/>
                <w:szCs w:val="24"/>
              </w:rPr>
            </w:r>
            <w:r w:rsidRPr="00755556">
              <w:rPr>
                <w:noProof/>
                <w:webHidden/>
                <w:sz w:val="24"/>
                <w:szCs w:val="24"/>
              </w:rPr>
              <w:fldChar w:fldCharType="separate"/>
            </w:r>
            <w:r>
              <w:rPr>
                <w:noProof/>
                <w:webHidden/>
                <w:sz w:val="24"/>
                <w:szCs w:val="24"/>
              </w:rPr>
              <w:t>3</w:t>
            </w:r>
            <w:r w:rsidRPr="00755556">
              <w:rPr>
                <w:noProof/>
                <w:webHidden/>
                <w:sz w:val="24"/>
                <w:szCs w:val="24"/>
              </w:rPr>
              <w:fldChar w:fldCharType="end"/>
            </w:r>
          </w:hyperlink>
        </w:p>
        <w:p w14:paraId="0CF74734" w14:textId="57BBC91D"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22" w:history="1">
            <w:r w:rsidRPr="00755556">
              <w:rPr>
                <w:rStyle w:val="Hyperlink"/>
                <w:noProof/>
                <w:sz w:val="24"/>
                <w:szCs w:val="24"/>
                <w:lang w:val="en-GB"/>
              </w:rPr>
              <w:t>1.1 InterContinental Hotels Group (IHG)’ s financial statements over the past five years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_Toc235033222 \h </w:instrText>
            </w:r>
            <w:r w:rsidRPr="00755556">
              <w:rPr>
                <w:noProof/>
                <w:webHidden/>
                <w:sz w:val="24"/>
                <w:szCs w:val="24"/>
              </w:rPr>
            </w:r>
            <w:r w:rsidRPr="00755556">
              <w:rPr>
                <w:noProof/>
                <w:webHidden/>
                <w:sz w:val="24"/>
                <w:szCs w:val="24"/>
              </w:rPr>
              <w:fldChar w:fldCharType="separate"/>
            </w:r>
            <w:r>
              <w:rPr>
                <w:noProof/>
                <w:webHidden/>
                <w:sz w:val="24"/>
                <w:szCs w:val="24"/>
              </w:rPr>
              <w:t>3</w:t>
            </w:r>
            <w:r w:rsidRPr="00755556">
              <w:rPr>
                <w:noProof/>
                <w:webHidden/>
                <w:sz w:val="24"/>
                <w:szCs w:val="24"/>
              </w:rPr>
              <w:fldChar w:fldCharType="end"/>
            </w:r>
          </w:hyperlink>
        </w:p>
        <w:p w14:paraId="05735E0D" w14:textId="7B0C4A80"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23" w:history="1">
            <w:r w:rsidRPr="00755556">
              <w:rPr>
                <w:rStyle w:val="Hyperlink"/>
                <w:noProof/>
                <w:sz w:val="24"/>
                <w:szCs w:val="24"/>
                <w:lang w:val="en-GB"/>
              </w:rPr>
              <w:t>1.2 Ratio Analysis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_Toc235033223 \h </w:instrText>
            </w:r>
            <w:r w:rsidRPr="00755556">
              <w:rPr>
                <w:noProof/>
                <w:webHidden/>
                <w:sz w:val="24"/>
                <w:szCs w:val="24"/>
              </w:rPr>
            </w:r>
            <w:r w:rsidRPr="00755556">
              <w:rPr>
                <w:noProof/>
                <w:webHidden/>
                <w:sz w:val="24"/>
                <w:szCs w:val="24"/>
              </w:rPr>
              <w:fldChar w:fldCharType="separate"/>
            </w:r>
            <w:r>
              <w:rPr>
                <w:noProof/>
                <w:webHidden/>
                <w:sz w:val="24"/>
                <w:szCs w:val="24"/>
              </w:rPr>
              <w:t>4</w:t>
            </w:r>
            <w:r w:rsidRPr="00755556">
              <w:rPr>
                <w:noProof/>
                <w:webHidden/>
                <w:sz w:val="24"/>
                <w:szCs w:val="24"/>
              </w:rPr>
              <w:fldChar w:fldCharType="end"/>
            </w:r>
          </w:hyperlink>
        </w:p>
        <w:p w14:paraId="35EBC921" w14:textId="20CC8863"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24" w:history="1">
            <w:r w:rsidRPr="00755556">
              <w:rPr>
                <w:rStyle w:val="Hyperlink"/>
                <w:noProof/>
                <w:sz w:val="24"/>
                <w:szCs w:val="24"/>
                <w:lang w:val="en-GB"/>
              </w:rPr>
              <w:t>1.3 Identification of trends, strengths, and potential threats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_Toc235033224 \h </w:instrText>
            </w:r>
            <w:r w:rsidRPr="00755556">
              <w:rPr>
                <w:noProof/>
                <w:webHidden/>
                <w:sz w:val="24"/>
                <w:szCs w:val="24"/>
              </w:rPr>
            </w:r>
            <w:r w:rsidRPr="00755556">
              <w:rPr>
                <w:noProof/>
                <w:webHidden/>
                <w:sz w:val="24"/>
                <w:szCs w:val="24"/>
              </w:rPr>
              <w:fldChar w:fldCharType="separate"/>
            </w:r>
            <w:r>
              <w:rPr>
                <w:noProof/>
                <w:webHidden/>
                <w:sz w:val="24"/>
                <w:szCs w:val="24"/>
              </w:rPr>
              <w:t>5</w:t>
            </w:r>
            <w:r w:rsidRPr="00755556">
              <w:rPr>
                <w:noProof/>
                <w:webHidden/>
                <w:sz w:val="24"/>
                <w:szCs w:val="24"/>
              </w:rPr>
              <w:fldChar w:fldCharType="end"/>
            </w:r>
          </w:hyperlink>
        </w:p>
        <w:p w14:paraId="318FB781" w14:textId="43C0EA3B"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25" w:history="1">
            <w:r w:rsidRPr="00755556">
              <w:rPr>
                <w:rStyle w:val="Hyperlink"/>
                <w:noProof/>
                <w:sz w:val="24"/>
                <w:szCs w:val="24"/>
                <w:lang w:val="en-GB"/>
              </w:rPr>
              <w:t>1.4 Comparison of liquidity ratios with industry benchmarks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_Toc235033225 \h </w:instrText>
            </w:r>
            <w:r w:rsidRPr="00755556">
              <w:rPr>
                <w:noProof/>
                <w:webHidden/>
                <w:sz w:val="24"/>
                <w:szCs w:val="24"/>
              </w:rPr>
            </w:r>
            <w:r w:rsidRPr="00755556">
              <w:rPr>
                <w:noProof/>
                <w:webHidden/>
                <w:sz w:val="24"/>
                <w:szCs w:val="24"/>
              </w:rPr>
              <w:fldChar w:fldCharType="separate"/>
            </w:r>
            <w:r>
              <w:rPr>
                <w:noProof/>
                <w:webHidden/>
                <w:sz w:val="24"/>
                <w:szCs w:val="24"/>
              </w:rPr>
              <w:t>6</w:t>
            </w:r>
            <w:r w:rsidRPr="00755556">
              <w:rPr>
                <w:noProof/>
                <w:webHidden/>
                <w:sz w:val="24"/>
                <w:szCs w:val="24"/>
              </w:rPr>
              <w:fldChar w:fldCharType="end"/>
            </w:r>
          </w:hyperlink>
        </w:p>
        <w:p w14:paraId="717F9266" w14:textId="5FF9B048" w:rsidR="00755556" w:rsidRPr="00755556" w:rsidRDefault="00755556" w:rsidP="00755556">
          <w:pPr>
            <w:pStyle w:val="TOC1"/>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26" w:history="1">
            <w:r w:rsidRPr="00755556">
              <w:rPr>
                <w:rStyle w:val="Hyperlink"/>
                <w:noProof/>
                <w:sz w:val="24"/>
                <w:szCs w:val="24"/>
                <w:lang w:val="en-GB"/>
              </w:rPr>
              <w:t>2. Working Capital Management Analysis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_Toc235033226 \h </w:instrText>
            </w:r>
            <w:r w:rsidRPr="00755556">
              <w:rPr>
                <w:noProof/>
                <w:webHidden/>
                <w:sz w:val="24"/>
                <w:szCs w:val="24"/>
              </w:rPr>
            </w:r>
            <w:r w:rsidRPr="00755556">
              <w:rPr>
                <w:noProof/>
                <w:webHidden/>
                <w:sz w:val="24"/>
                <w:szCs w:val="24"/>
              </w:rPr>
              <w:fldChar w:fldCharType="separate"/>
            </w:r>
            <w:r>
              <w:rPr>
                <w:noProof/>
                <w:webHidden/>
                <w:sz w:val="24"/>
                <w:szCs w:val="24"/>
              </w:rPr>
              <w:t>6</w:t>
            </w:r>
            <w:r w:rsidRPr="00755556">
              <w:rPr>
                <w:noProof/>
                <w:webHidden/>
                <w:sz w:val="24"/>
                <w:szCs w:val="24"/>
              </w:rPr>
              <w:fldChar w:fldCharType="end"/>
            </w:r>
          </w:hyperlink>
        </w:p>
        <w:p w14:paraId="46203848" w14:textId="77D98517"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27" w:history="1">
            <w:r w:rsidRPr="00755556">
              <w:rPr>
                <w:rStyle w:val="Hyperlink"/>
                <w:noProof/>
                <w:sz w:val="24"/>
                <w:szCs w:val="24"/>
                <w:lang w:val="en-GB"/>
              </w:rPr>
              <w:t>2.1 Assessing the cash operating cycle</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_Toc235033227 \h </w:instrText>
            </w:r>
            <w:r w:rsidRPr="00755556">
              <w:rPr>
                <w:noProof/>
                <w:webHidden/>
                <w:sz w:val="24"/>
                <w:szCs w:val="24"/>
              </w:rPr>
            </w:r>
            <w:r w:rsidRPr="00755556">
              <w:rPr>
                <w:noProof/>
                <w:webHidden/>
                <w:sz w:val="24"/>
                <w:szCs w:val="24"/>
              </w:rPr>
              <w:fldChar w:fldCharType="separate"/>
            </w:r>
            <w:r>
              <w:rPr>
                <w:noProof/>
                <w:webHidden/>
                <w:sz w:val="24"/>
                <w:szCs w:val="24"/>
              </w:rPr>
              <w:t>6</w:t>
            </w:r>
            <w:r w:rsidRPr="00755556">
              <w:rPr>
                <w:noProof/>
                <w:webHidden/>
                <w:sz w:val="24"/>
                <w:szCs w:val="24"/>
              </w:rPr>
              <w:fldChar w:fldCharType="end"/>
            </w:r>
          </w:hyperlink>
        </w:p>
        <w:p w14:paraId="5D1C0B47" w14:textId="4A251799"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28" w:history="1">
            <w:r w:rsidRPr="00755556">
              <w:rPr>
                <w:rStyle w:val="Hyperlink"/>
                <w:noProof/>
                <w:sz w:val="24"/>
                <w:szCs w:val="24"/>
                <w:lang w:val="en-GB"/>
              </w:rPr>
              <w:t>2.2 Recommending strategies to improve liquidity</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_Toc235033228 \h </w:instrText>
            </w:r>
            <w:r w:rsidRPr="00755556">
              <w:rPr>
                <w:noProof/>
                <w:webHidden/>
                <w:sz w:val="24"/>
                <w:szCs w:val="24"/>
              </w:rPr>
            </w:r>
            <w:r w:rsidRPr="00755556">
              <w:rPr>
                <w:noProof/>
                <w:webHidden/>
                <w:sz w:val="24"/>
                <w:szCs w:val="24"/>
              </w:rPr>
              <w:fldChar w:fldCharType="separate"/>
            </w:r>
            <w:r>
              <w:rPr>
                <w:noProof/>
                <w:webHidden/>
                <w:sz w:val="24"/>
                <w:szCs w:val="24"/>
              </w:rPr>
              <w:t>8</w:t>
            </w:r>
            <w:r w:rsidRPr="00755556">
              <w:rPr>
                <w:noProof/>
                <w:webHidden/>
                <w:sz w:val="24"/>
                <w:szCs w:val="24"/>
              </w:rPr>
              <w:fldChar w:fldCharType="end"/>
            </w:r>
          </w:hyperlink>
        </w:p>
        <w:p w14:paraId="17E99CEE" w14:textId="0AF3C190"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29" w:history="1">
            <w:r w:rsidRPr="00755556">
              <w:rPr>
                <w:rStyle w:val="Hyperlink"/>
                <w:noProof/>
                <w:sz w:val="24"/>
                <w:szCs w:val="24"/>
                <w:lang w:val="en-GB"/>
              </w:rPr>
              <w:t>2.3 Comparing short-term vs long-term financing options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_Toc235033229 \h </w:instrText>
            </w:r>
            <w:r w:rsidRPr="00755556">
              <w:rPr>
                <w:noProof/>
                <w:webHidden/>
                <w:sz w:val="24"/>
                <w:szCs w:val="24"/>
              </w:rPr>
            </w:r>
            <w:r w:rsidRPr="00755556">
              <w:rPr>
                <w:noProof/>
                <w:webHidden/>
                <w:sz w:val="24"/>
                <w:szCs w:val="24"/>
              </w:rPr>
              <w:fldChar w:fldCharType="separate"/>
            </w:r>
            <w:r>
              <w:rPr>
                <w:noProof/>
                <w:webHidden/>
                <w:sz w:val="24"/>
                <w:szCs w:val="24"/>
              </w:rPr>
              <w:t>9</w:t>
            </w:r>
            <w:r w:rsidRPr="00755556">
              <w:rPr>
                <w:noProof/>
                <w:webHidden/>
                <w:sz w:val="24"/>
                <w:szCs w:val="24"/>
              </w:rPr>
              <w:fldChar w:fldCharType="end"/>
            </w:r>
          </w:hyperlink>
        </w:p>
        <w:p w14:paraId="78360CC8" w14:textId="1AA6AF74" w:rsidR="00755556" w:rsidRPr="00755556" w:rsidRDefault="00755556" w:rsidP="00755556">
          <w:pPr>
            <w:pStyle w:val="TOC1"/>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30" w:history="1">
            <w:r w:rsidRPr="00755556">
              <w:rPr>
                <w:rStyle w:val="Hyperlink"/>
                <w:noProof/>
                <w:sz w:val="24"/>
                <w:szCs w:val="24"/>
                <w:lang w:val="en-GB"/>
              </w:rPr>
              <w:t>3. Strategic Financial Restructuring Plan</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_Toc235033230 \h </w:instrText>
            </w:r>
            <w:r w:rsidRPr="00755556">
              <w:rPr>
                <w:noProof/>
                <w:webHidden/>
                <w:sz w:val="24"/>
                <w:szCs w:val="24"/>
              </w:rPr>
            </w:r>
            <w:r w:rsidRPr="00755556">
              <w:rPr>
                <w:noProof/>
                <w:webHidden/>
                <w:sz w:val="24"/>
                <w:szCs w:val="24"/>
              </w:rPr>
              <w:fldChar w:fldCharType="separate"/>
            </w:r>
            <w:r>
              <w:rPr>
                <w:noProof/>
                <w:webHidden/>
                <w:sz w:val="24"/>
                <w:szCs w:val="24"/>
              </w:rPr>
              <w:t>10</w:t>
            </w:r>
            <w:r w:rsidRPr="00755556">
              <w:rPr>
                <w:noProof/>
                <w:webHidden/>
                <w:sz w:val="24"/>
                <w:szCs w:val="24"/>
              </w:rPr>
              <w:fldChar w:fldCharType="end"/>
            </w:r>
          </w:hyperlink>
        </w:p>
        <w:p w14:paraId="4C9548F2" w14:textId="7CF15CA6"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31" w:history="1">
            <w:r w:rsidRPr="00755556">
              <w:rPr>
                <w:rStyle w:val="Hyperlink"/>
                <w:noProof/>
                <w:sz w:val="24"/>
                <w:szCs w:val="24"/>
                <w:lang w:val="en-GB"/>
              </w:rPr>
              <w:t>3.1 Overview</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_Toc235033231 \h </w:instrText>
            </w:r>
            <w:r w:rsidRPr="00755556">
              <w:rPr>
                <w:noProof/>
                <w:webHidden/>
                <w:sz w:val="24"/>
                <w:szCs w:val="24"/>
              </w:rPr>
            </w:r>
            <w:r w:rsidRPr="00755556">
              <w:rPr>
                <w:noProof/>
                <w:webHidden/>
                <w:sz w:val="24"/>
                <w:szCs w:val="24"/>
              </w:rPr>
              <w:fldChar w:fldCharType="separate"/>
            </w:r>
            <w:r>
              <w:rPr>
                <w:noProof/>
                <w:webHidden/>
                <w:sz w:val="24"/>
                <w:szCs w:val="24"/>
              </w:rPr>
              <w:t>10</w:t>
            </w:r>
            <w:r w:rsidRPr="00755556">
              <w:rPr>
                <w:noProof/>
                <w:webHidden/>
                <w:sz w:val="24"/>
                <w:szCs w:val="24"/>
              </w:rPr>
              <w:fldChar w:fldCharType="end"/>
            </w:r>
          </w:hyperlink>
        </w:p>
        <w:p w14:paraId="161C4229" w14:textId="0425B946"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32" w:history="1">
            <w:r w:rsidRPr="00755556">
              <w:rPr>
                <w:rStyle w:val="Hyperlink"/>
                <w:noProof/>
                <w:sz w:val="24"/>
                <w:szCs w:val="24"/>
                <w:lang w:val="en-GB"/>
              </w:rPr>
              <w:t>3.2 Recommended Financial Restructuring Options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_Toc235033232 \h </w:instrText>
            </w:r>
            <w:r w:rsidRPr="00755556">
              <w:rPr>
                <w:noProof/>
                <w:webHidden/>
                <w:sz w:val="24"/>
                <w:szCs w:val="24"/>
              </w:rPr>
            </w:r>
            <w:r w:rsidRPr="00755556">
              <w:rPr>
                <w:noProof/>
                <w:webHidden/>
                <w:sz w:val="24"/>
                <w:szCs w:val="24"/>
              </w:rPr>
              <w:fldChar w:fldCharType="separate"/>
            </w:r>
            <w:r>
              <w:rPr>
                <w:noProof/>
                <w:webHidden/>
                <w:sz w:val="24"/>
                <w:szCs w:val="24"/>
              </w:rPr>
              <w:t>10</w:t>
            </w:r>
            <w:r w:rsidRPr="00755556">
              <w:rPr>
                <w:noProof/>
                <w:webHidden/>
                <w:sz w:val="24"/>
                <w:szCs w:val="24"/>
              </w:rPr>
              <w:fldChar w:fldCharType="end"/>
            </w:r>
          </w:hyperlink>
        </w:p>
        <w:p w14:paraId="5522D4FE" w14:textId="043D3A7C"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33" w:history="1">
            <w:r w:rsidRPr="00755556">
              <w:rPr>
                <w:rStyle w:val="Hyperlink"/>
                <w:noProof/>
                <w:sz w:val="24"/>
                <w:szCs w:val="24"/>
                <w:lang w:val="en-GB"/>
              </w:rPr>
              <w:t>3.3 Impact on Shareholder Value, Debt Structure and Operational Flexibility</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_Toc235033233 \h </w:instrText>
            </w:r>
            <w:r w:rsidRPr="00755556">
              <w:rPr>
                <w:noProof/>
                <w:webHidden/>
                <w:sz w:val="24"/>
                <w:szCs w:val="24"/>
              </w:rPr>
            </w:r>
            <w:r w:rsidRPr="00755556">
              <w:rPr>
                <w:noProof/>
                <w:webHidden/>
                <w:sz w:val="24"/>
                <w:szCs w:val="24"/>
              </w:rPr>
              <w:fldChar w:fldCharType="separate"/>
            </w:r>
            <w:r>
              <w:rPr>
                <w:noProof/>
                <w:webHidden/>
                <w:sz w:val="24"/>
                <w:szCs w:val="24"/>
              </w:rPr>
              <w:t>11</w:t>
            </w:r>
            <w:r w:rsidRPr="00755556">
              <w:rPr>
                <w:noProof/>
                <w:webHidden/>
                <w:sz w:val="24"/>
                <w:szCs w:val="24"/>
              </w:rPr>
              <w:fldChar w:fldCharType="end"/>
            </w:r>
          </w:hyperlink>
        </w:p>
        <w:p w14:paraId="3451F3A8" w14:textId="69462A83"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34" w:history="1">
            <w:r w:rsidRPr="00755556">
              <w:rPr>
                <w:rStyle w:val="Hyperlink"/>
                <w:noProof/>
                <w:sz w:val="24"/>
                <w:szCs w:val="24"/>
                <w:lang w:val="en-GB"/>
              </w:rPr>
              <w:t>3.4 International and Ethical Considerations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_Toc235033234 \h </w:instrText>
            </w:r>
            <w:r w:rsidRPr="00755556">
              <w:rPr>
                <w:noProof/>
                <w:webHidden/>
                <w:sz w:val="24"/>
                <w:szCs w:val="24"/>
              </w:rPr>
            </w:r>
            <w:r w:rsidRPr="00755556">
              <w:rPr>
                <w:noProof/>
                <w:webHidden/>
                <w:sz w:val="24"/>
                <w:szCs w:val="24"/>
              </w:rPr>
              <w:fldChar w:fldCharType="separate"/>
            </w:r>
            <w:r>
              <w:rPr>
                <w:noProof/>
                <w:webHidden/>
                <w:sz w:val="24"/>
                <w:szCs w:val="24"/>
              </w:rPr>
              <w:t>12</w:t>
            </w:r>
            <w:r w:rsidRPr="00755556">
              <w:rPr>
                <w:noProof/>
                <w:webHidden/>
                <w:sz w:val="24"/>
                <w:szCs w:val="24"/>
              </w:rPr>
              <w:fldChar w:fldCharType="end"/>
            </w:r>
          </w:hyperlink>
        </w:p>
        <w:p w14:paraId="46FD56A3" w14:textId="161C35EB" w:rsidR="00755556" w:rsidRPr="00755556" w:rsidRDefault="00755556" w:rsidP="00755556">
          <w:pPr>
            <w:pStyle w:val="TOC1"/>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35" w:history="1">
            <w:r w:rsidRPr="00755556">
              <w:rPr>
                <w:rStyle w:val="Hyperlink"/>
                <w:noProof/>
                <w:sz w:val="24"/>
                <w:szCs w:val="24"/>
                <w:lang w:val="en-GB"/>
              </w:rPr>
              <w:t>4. Investment Appraisal and Capital Budgeting</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_Toc235033235 \h </w:instrText>
            </w:r>
            <w:r w:rsidRPr="00755556">
              <w:rPr>
                <w:noProof/>
                <w:webHidden/>
                <w:sz w:val="24"/>
                <w:szCs w:val="24"/>
              </w:rPr>
            </w:r>
            <w:r w:rsidRPr="00755556">
              <w:rPr>
                <w:noProof/>
                <w:webHidden/>
                <w:sz w:val="24"/>
                <w:szCs w:val="24"/>
              </w:rPr>
              <w:fldChar w:fldCharType="separate"/>
            </w:r>
            <w:r>
              <w:rPr>
                <w:noProof/>
                <w:webHidden/>
                <w:sz w:val="24"/>
                <w:szCs w:val="24"/>
              </w:rPr>
              <w:t>13</w:t>
            </w:r>
            <w:r w:rsidRPr="00755556">
              <w:rPr>
                <w:noProof/>
                <w:webHidden/>
                <w:sz w:val="24"/>
                <w:szCs w:val="24"/>
              </w:rPr>
              <w:fldChar w:fldCharType="end"/>
            </w:r>
          </w:hyperlink>
        </w:p>
        <w:p w14:paraId="7FF1868D" w14:textId="5181220C"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36" w:history="1">
            <w:r w:rsidRPr="00755556">
              <w:rPr>
                <w:rStyle w:val="Hyperlink"/>
                <w:noProof/>
                <w:sz w:val="24"/>
                <w:szCs w:val="24"/>
                <w:lang w:val="en-GB"/>
              </w:rPr>
              <w:t>4.1 Proposed Investment Projects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_Toc235033236 \h </w:instrText>
            </w:r>
            <w:r w:rsidRPr="00755556">
              <w:rPr>
                <w:noProof/>
                <w:webHidden/>
                <w:sz w:val="24"/>
                <w:szCs w:val="24"/>
              </w:rPr>
            </w:r>
            <w:r w:rsidRPr="00755556">
              <w:rPr>
                <w:noProof/>
                <w:webHidden/>
                <w:sz w:val="24"/>
                <w:szCs w:val="24"/>
              </w:rPr>
              <w:fldChar w:fldCharType="separate"/>
            </w:r>
            <w:r>
              <w:rPr>
                <w:noProof/>
                <w:webHidden/>
                <w:sz w:val="24"/>
                <w:szCs w:val="24"/>
              </w:rPr>
              <w:t>13</w:t>
            </w:r>
            <w:r w:rsidRPr="00755556">
              <w:rPr>
                <w:noProof/>
                <w:webHidden/>
                <w:sz w:val="24"/>
                <w:szCs w:val="24"/>
              </w:rPr>
              <w:fldChar w:fldCharType="end"/>
            </w:r>
          </w:hyperlink>
        </w:p>
        <w:p w14:paraId="6FC3B92B" w14:textId="50E13B2B"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37" w:history="1">
            <w:r w:rsidRPr="00755556">
              <w:rPr>
                <w:rStyle w:val="Hyperlink"/>
                <w:noProof/>
                <w:sz w:val="24"/>
                <w:szCs w:val="24"/>
                <w:lang w:val="en-GB"/>
              </w:rPr>
              <w:t>4.2 Recommendation for the project</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_Toc235033237 \h </w:instrText>
            </w:r>
            <w:r w:rsidRPr="00755556">
              <w:rPr>
                <w:noProof/>
                <w:webHidden/>
                <w:sz w:val="24"/>
                <w:szCs w:val="24"/>
              </w:rPr>
            </w:r>
            <w:r w:rsidRPr="00755556">
              <w:rPr>
                <w:noProof/>
                <w:webHidden/>
                <w:sz w:val="24"/>
                <w:szCs w:val="24"/>
              </w:rPr>
              <w:fldChar w:fldCharType="separate"/>
            </w:r>
            <w:r>
              <w:rPr>
                <w:noProof/>
                <w:webHidden/>
                <w:sz w:val="24"/>
                <w:szCs w:val="24"/>
              </w:rPr>
              <w:t>14</w:t>
            </w:r>
            <w:r w:rsidRPr="00755556">
              <w:rPr>
                <w:noProof/>
                <w:webHidden/>
                <w:sz w:val="24"/>
                <w:szCs w:val="24"/>
              </w:rPr>
              <w:fldChar w:fldCharType="end"/>
            </w:r>
          </w:hyperlink>
        </w:p>
        <w:p w14:paraId="42A3A0D4" w14:textId="1FBF8EFA"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38" w:history="1">
            <w:r w:rsidRPr="00755556">
              <w:rPr>
                <w:rStyle w:val="Hyperlink"/>
                <w:noProof/>
                <w:sz w:val="24"/>
                <w:szCs w:val="24"/>
                <w:lang w:val="en-GB"/>
              </w:rPr>
              <w:t>4.3 Capital Rationing Recommendation</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_Toc235033238 \h </w:instrText>
            </w:r>
            <w:r w:rsidRPr="00755556">
              <w:rPr>
                <w:noProof/>
                <w:webHidden/>
                <w:sz w:val="24"/>
                <w:szCs w:val="24"/>
              </w:rPr>
            </w:r>
            <w:r w:rsidRPr="00755556">
              <w:rPr>
                <w:noProof/>
                <w:webHidden/>
                <w:sz w:val="24"/>
                <w:szCs w:val="24"/>
              </w:rPr>
              <w:fldChar w:fldCharType="separate"/>
            </w:r>
            <w:r>
              <w:rPr>
                <w:noProof/>
                <w:webHidden/>
                <w:sz w:val="24"/>
                <w:szCs w:val="24"/>
              </w:rPr>
              <w:t>15</w:t>
            </w:r>
            <w:r w:rsidRPr="00755556">
              <w:rPr>
                <w:noProof/>
                <w:webHidden/>
                <w:sz w:val="24"/>
                <w:szCs w:val="24"/>
              </w:rPr>
              <w:fldChar w:fldCharType="end"/>
            </w:r>
          </w:hyperlink>
        </w:p>
        <w:p w14:paraId="1A5DC8BF" w14:textId="3C5F1789" w:rsidR="00755556" w:rsidRPr="00755556" w:rsidRDefault="00755556" w:rsidP="00755556">
          <w:pPr>
            <w:pStyle w:val="TOC1"/>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39" w:history="1">
            <w:r w:rsidRPr="00755556">
              <w:rPr>
                <w:rStyle w:val="Hyperlink"/>
                <w:noProof/>
                <w:sz w:val="24"/>
                <w:szCs w:val="24"/>
                <w:lang w:val="en-GB"/>
              </w:rPr>
              <w:t>5. Critical Reflection on AI Usage</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_Toc235033239 \h </w:instrText>
            </w:r>
            <w:r w:rsidRPr="00755556">
              <w:rPr>
                <w:noProof/>
                <w:webHidden/>
                <w:sz w:val="24"/>
                <w:szCs w:val="24"/>
              </w:rPr>
            </w:r>
            <w:r w:rsidRPr="00755556">
              <w:rPr>
                <w:noProof/>
                <w:webHidden/>
                <w:sz w:val="24"/>
                <w:szCs w:val="24"/>
              </w:rPr>
              <w:fldChar w:fldCharType="separate"/>
            </w:r>
            <w:r>
              <w:rPr>
                <w:noProof/>
                <w:webHidden/>
                <w:sz w:val="24"/>
                <w:szCs w:val="24"/>
              </w:rPr>
              <w:t>16</w:t>
            </w:r>
            <w:r w:rsidRPr="00755556">
              <w:rPr>
                <w:noProof/>
                <w:webHidden/>
                <w:sz w:val="24"/>
                <w:szCs w:val="24"/>
              </w:rPr>
              <w:fldChar w:fldCharType="end"/>
            </w:r>
          </w:hyperlink>
        </w:p>
        <w:p w14:paraId="1AEB1829" w14:textId="2FEC6BB9"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40" w:history="1">
            <w:r w:rsidRPr="00755556">
              <w:rPr>
                <w:rStyle w:val="Hyperlink"/>
                <w:noProof/>
                <w:sz w:val="24"/>
                <w:szCs w:val="24"/>
                <w:lang w:val="en-GB"/>
              </w:rPr>
              <w:t>5.1 Tool Disclosure</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_Toc235033240 \h </w:instrText>
            </w:r>
            <w:r w:rsidRPr="00755556">
              <w:rPr>
                <w:noProof/>
                <w:webHidden/>
                <w:sz w:val="24"/>
                <w:szCs w:val="24"/>
              </w:rPr>
            </w:r>
            <w:r w:rsidRPr="00755556">
              <w:rPr>
                <w:noProof/>
                <w:webHidden/>
                <w:sz w:val="24"/>
                <w:szCs w:val="24"/>
              </w:rPr>
              <w:fldChar w:fldCharType="separate"/>
            </w:r>
            <w:r>
              <w:rPr>
                <w:noProof/>
                <w:webHidden/>
                <w:sz w:val="24"/>
                <w:szCs w:val="24"/>
              </w:rPr>
              <w:t>16</w:t>
            </w:r>
            <w:r w:rsidRPr="00755556">
              <w:rPr>
                <w:noProof/>
                <w:webHidden/>
                <w:sz w:val="24"/>
                <w:szCs w:val="24"/>
              </w:rPr>
              <w:fldChar w:fldCharType="end"/>
            </w:r>
          </w:hyperlink>
        </w:p>
        <w:p w14:paraId="480AAF64" w14:textId="7C79E7D8"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41" w:history="1">
            <w:r w:rsidRPr="00755556">
              <w:rPr>
                <w:rStyle w:val="Hyperlink"/>
                <w:noProof/>
                <w:sz w:val="24"/>
                <w:szCs w:val="24"/>
                <w:lang w:val="en-GB"/>
              </w:rPr>
              <w:t>5.2 Critical Evaluation of AI Output</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_Toc235033241 \h </w:instrText>
            </w:r>
            <w:r w:rsidRPr="00755556">
              <w:rPr>
                <w:noProof/>
                <w:webHidden/>
                <w:sz w:val="24"/>
                <w:szCs w:val="24"/>
              </w:rPr>
            </w:r>
            <w:r w:rsidRPr="00755556">
              <w:rPr>
                <w:noProof/>
                <w:webHidden/>
                <w:sz w:val="24"/>
                <w:szCs w:val="24"/>
              </w:rPr>
              <w:fldChar w:fldCharType="separate"/>
            </w:r>
            <w:r>
              <w:rPr>
                <w:noProof/>
                <w:webHidden/>
                <w:sz w:val="24"/>
                <w:szCs w:val="24"/>
              </w:rPr>
              <w:t>16</w:t>
            </w:r>
            <w:r w:rsidRPr="00755556">
              <w:rPr>
                <w:noProof/>
                <w:webHidden/>
                <w:sz w:val="24"/>
                <w:szCs w:val="24"/>
              </w:rPr>
              <w:fldChar w:fldCharType="end"/>
            </w:r>
          </w:hyperlink>
        </w:p>
        <w:p w14:paraId="5CF768A4" w14:textId="4778C407"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42" w:history="1">
            <w:r w:rsidRPr="00755556">
              <w:rPr>
                <w:rStyle w:val="Hyperlink"/>
                <w:noProof/>
                <w:sz w:val="24"/>
                <w:szCs w:val="24"/>
                <w:lang w:val="en-GB"/>
              </w:rPr>
              <w:t>5.3 Contribution Analysis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_Toc235033242 \h </w:instrText>
            </w:r>
            <w:r w:rsidRPr="00755556">
              <w:rPr>
                <w:noProof/>
                <w:webHidden/>
                <w:sz w:val="24"/>
                <w:szCs w:val="24"/>
              </w:rPr>
            </w:r>
            <w:r w:rsidRPr="00755556">
              <w:rPr>
                <w:noProof/>
                <w:webHidden/>
                <w:sz w:val="24"/>
                <w:szCs w:val="24"/>
              </w:rPr>
              <w:fldChar w:fldCharType="separate"/>
            </w:r>
            <w:r>
              <w:rPr>
                <w:noProof/>
                <w:webHidden/>
                <w:sz w:val="24"/>
                <w:szCs w:val="24"/>
              </w:rPr>
              <w:t>17</w:t>
            </w:r>
            <w:r w:rsidRPr="00755556">
              <w:rPr>
                <w:noProof/>
                <w:webHidden/>
                <w:sz w:val="24"/>
                <w:szCs w:val="24"/>
              </w:rPr>
              <w:fldChar w:fldCharType="end"/>
            </w:r>
          </w:hyperlink>
        </w:p>
        <w:p w14:paraId="1A764933" w14:textId="041C58E5"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43" w:history="1">
            <w:r w:rsidRPr="00755556">
              <w:rPr>
                <w:rStyle w:val="Hyperlink"/>
                <w:noProof/>
                <w:sz w:val="24"/>
                <w:szCs w:val="24"/>
                <w:lang w:val="en-GB"/>
              </w:rPr>
              <w:t>5.4 Ethical &amp; Professional Reflection</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_Toc235033243 \h </w:instrText>
            </w:r>
            <w:r w:rsidRPr="00755556">
              <w:rPr>
                <w:noProof/>
                <w:webHidden/>
                <w:sz w:val="24"/>
                <w:szCs w:val="24"/>
              </w:rPr>
            </w:r>
            <w:r w:rsidRPr="00755556">
              <w:rPr>
                <w:noProof/>
                <w:webHidden/>
                <w:sz w:val="24"/>
                <w:szCs w:val="24"/>
              </w:rPr>
              <w:fldChar w:fldCharType="separate"/>
            </w:r>
            <w:r>
              <w:rPr>
                <w:noProof/>
                <w:webHidden/>
                <w:sz w:val="24"/>
                <w:szCs w:val="24"/>
              </w:rPr>
              <w:t>17</w:t>
            </w:r>
            <w:r w:rsidRPr="00755556">
              <w:rPr>
                <w:noProof/>
                <w:webHidden/>
                <w:sz w:val="24"/>
                <w:szCs w:val="24"/>
              </w:rPr>
              <w:fldChar w:fldCharType="end"/>
            </w:r>
          </w:hyperlink>
        </w:p>
        <w:p w14:paraId="46E2F967" w14:textId="457EF89F" w:rsidR="00755556" w:rsidRPr="00755556" w:rsidRDefault="00755556" w:rsidP="00755556">
          <w:pPr>
            <w:pStyle w:val="TOC1"/>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44" w:history="1">
            <w:r w:rsidRPr="00755556">
              <w:rPr>
                <w:rStyle w:val="Hyperlink"/>
                <w:noProof/>
                <w:sz w:val="24"/>
                <w:szCs w:val="24"/>
                <w:lang w:val="en-GB"/>
              </w:rPr>
              <w:t>Conclusion</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_Toc235033244 \h </w:instrText>
            </w:r>
            <w:r w:rsidRPr="00755556">
              <w:rPr>
                <w:noProof/>
                <w:webHidden/>
                <w:sz w:val="24"/>
                <w:szCs w:val="24"/>
              </w:rPr>
            </w:r>
            <w:r w:rsidRPr="00755556">
              <w:rPr>
                <w:noProof/>
                <w:webHidden/>
                <w:sz w:val="24"/>
                <w:szCs w:val="24"/>
              </w:rPr>
              <w:fldChar w:fldCharType="separate"/>
            </w:r>
            <w:r>
              <w:rPr>
                <w:noProof/>
                <w:webHidden/>
                <w:sz w:val="24"/>
                <w:szCs w:val="24"/>
              </w:rPr>
              <w:t>18</w:t>
            </w:r>
            <w:r w:rsidRPr="00755556">
              <w:rPr>
                <w:noProof/>
                <w:webHidden/>
                <w:sz w:val="24"/>
                <w:szCs w:val="24"/>
              </w:rPr>
              <w:fldChar w:fldCharType="end"/>
            </w:r>
          </w:hyperlink>
        </w:p>
        <w:p w14:paraId="0C86B006" w14:textId="3D274B0D" w:rsidR="00755556" w:rsidRPr="00755556" w:rsidRDefault="00755556" w:rsidP="00755556">
          <w:pPr>
            <w:pStyle w:val="TOC1"/>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45" w:history="1">
            <w:r w:rsidRPr="00755556">
              <w:rPr>
                <w:rStyle w:val="Hyperlink"/>
                <w:noProof/>
                <w:sz w:val="24"/>
                <w:szCs w:val="24"/>
                <w:lang w:val="en-GB"/>
              </w:rPr>
              <w:t>Appendices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_Toc235033245 \h </w:instrText>
            </w:r>
            <w:r w:rsidRPr="00755556">
              <w:rPr>
                <w:noProof/>
                <w:webHidden/>
                <w:sz w:val="24"/>
                <w:szCs w:val="24"/>
              </w:rPr>
            </w:r>
            <w:r w:rsidRPr="00755556">
              <w:rPr>
                <w:noProof/>
                <w:webHidden/>
                <w:sz w:val="24"/>
                <w:szCs w:val="24"/>
              </w:rPr>
              <w:fldChar w:fldCharType="separate"/>
            </w:r>
            <w:r>
              <w:rPr>
                <w:noProof/>
                <w:webHidden/>
                <w:sz w:val="24"/>
                <w:szCs w:val="24"/>
              </w:rPr>
              <w:t>25</w:t>
            </w:r>
            <w:r w:rsidRPr="00755556">
              <w:rPr>
                <w:noProof/>
                <w:webHidden/>
                <w:sz w:val="24"/>
                <w:szCs w:val="24"/>
              </w:rPr>
              <w:fldChar w:fldCharType="end"/>
            </w:r>
          </w:hyperlink>
        </w:p>
        <w:p w14:paraId="261B9439" w14:textId="1CC9E793"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46" w:history="1">
            <w:r w:rsidRPr="00755556">
              <w:rPr>
                <w:rStyle w:val="Hyperlink"/>
                <w:noProof/>
                <w:sz w:val="24"/>
                <w:szCs w:val="24"/>
                <w:lang w:val="en-GB"/>
              </w:rPr>
              <w:t>Appendix 1: Ratio analysis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_Toc235033246 \h </w:instrText>
            </w:r>
            <w:r w:rsidRPr="00755556">
              <w:rPr>
                <w:noProof/>
                <w:webHidden/>
                <w:sz w:val="24"/>
                <w:szCs w:val="24"/>
              </w:rPr>
            </w:r>
            <w:r w:rsidRPr="00755556">
              <w:rPr>
                <w:noProof/>
                <w:webHidden/>
                <w:sz w:val="24"/>
                <w:szCs w:val="24"/>
              </w:rPr>
              <w:fldChar w:fldCharType="separate"/>
            </w:r>
            <w:r>
              <w:rPr>
                <w:noProof/>
                <w:webHidden/>
                <w:sz w:val="24"/>
                <w:szCs w:val="24"/>
              </w:rPr>
              <w:t>25</w:t>
            </w:r>
            <w:r w:rsidRPr="00755556">
              <w:rPr>
                <w:noProof/>
                <w:webHidden/>
                <w:sz w:val="24"/>
                <w:szCs w:val="24"/>
              </w:rPr>
              <w:fldChar w:fldCharType="end"/>
            </w:r>
          </w:hyperlink>
        </w:p>
        <w:p w14:paraId="0B121179" w14:textId="2242B15C" w:rsidR="00755556" w:rsidRPr="00755556" w:rsidRDefault="00755556" w:rsidP="00755556">
          <w:pPr>
            <w:pStyle w:val="TOC2"/>
            <w:tabs>
              <w:tab w:val="right" w:leader="dot" w:pos="9016"/>
            </w:tabs>
            <w:spacing w:after="0" w:line="240" w:lineRule="auto"/>
            <w:jc w:val="both"/>
            <w:rPr>
              <w:rFonts w:asciiTheme="minorHAnsi" w:eastAsiaTheme="minorEastAsia" w:hAnsiTheme="minorHAnsi" w:cstheme="minorBidi"/>
              <w:noProof/>
              <w:sz w:val="24"/>
              <w:szCs w:val="24"/>
              <w:lang w:val="en-US"/>
            </w:rPr>
          </w:pPr>
          <w:hyperlink w:anchor="_Toc235033247" w:history="1">
            <w:r w:rsidRPr="00755556">
              <w:rPr>
                <w:rStyle w:val="Hyperlink"/>
                <w:noProof/>
                <w:sz w:val="24"/>
                <w:szCs w:val="24"/>
                <w:lang w:val="en-GB"/>
              </w:rPr>
              <w:t xml:space="preserve">Appendix 2: </w:t>
            </w:r>
            <w:r w:rsidRPr="00755556">
              <w:rPr>
                <w:rStyle w:val="Hyperlink"/>
                <w:noProof/>
                <w:sz w:val="24"/>
                <w:szCs w:val="24"/>
              </w:rPr>
              <w:t>Investment appraisal calculations</w:t>
            </w:r>
            <w:r w:rsidRPr="00755556">
              <w:rPr>
                <w:noProof/>
                <w:webHidden/>
                <w:sz w:val="24"/>
                <w:szCs w:val="24"/>
              </w:rPr>
              <w:tab/>
            </w:r>
            <w:r w:rsidRPr="00755556">
              <w:rPr>
                <w:noProof/>
                <w:webHidden/>
                <w:sz w:val="24"/>
                <w:szCs w:val="24"/>
              </w:rPr>
              <w:fldChar w:fldCharType="begin"/>
            </w:r>
            <w:r w:rsidRPr="00755556">
              <w:rPr>
                <w:noProof/>
                <w:webHidden/>
                <w:sz w:val="24"/>
                <w:szCs w:val="24"/>
              </w:rPr>
              <w:instrText xml:space="preserve"> PAGEREF _Toc235033247 \h </w:instrText>
            </w:r>
            <w:r w:rsidRPr="00755556">
              <w:rPr>
                <w:noProof/>
                <w:webHidden/>
                <w:sz w:val="24"/>
                <w:szCs w:val="24"/>
              </w:rPr>
            </w:r>
            <w:r w:rsidRPr="00755556">
              <w:rPr>
                <w:noProof/>
                <w:webHidden/>
                <w:sz w:val="24"/>
                <w:szCs w:val="24"/>
              </w:rPr>
              <w:fldChar w:fldCharType="separate"/>
            </w:r>
            <w:r>
              <w:rPr>
                <w:noProof/>
                <w:webHidden/>
                <w:sz w:val="24"/>
                <w:szCs w:val="24"/>
              </w:rPr>
              <w:t>28</w:t>
            </w:r>
            <w:r w:rsidRPr="00755556">
              <w:rPr>
                <w:noProof/>
                <w:webHidden/>
                <w:sz w:val="24"/>
                <w:szCs w:val="24"/>
              </w:rPr>
              <w:fldChar w:fldCharType="end"/>
            </w:r>
          </w:hyperlink>
        </w:p>
        <w:p w14:paraId="54605793" w14:textId="4244C61A" w:rsidR="00DB3818" w:rsidRPr="00D00B75" w:rsidRDefault="00DB3818" w:rsidP="00755556">
          <w:pPr>
            <w:spacing w:line="240" w:lineRule="auto"/>
            <w:jc w:val="both"/>
            <w:rPr>
              <w:sz w:val="24"/>
              <w:szCs w:val="24"/>
            </w:rPr>
          </w:pPr>
          <w:r w:rsidRPr="00755556">
            <w:rPr>
              <w:b/>
              <w:bCs/>
              <w:noProof/>
              <w:sz w:val="24"/>
              <w:szCs w:val="24"/>
            </w:rPr>
            <w:fldChar w:fldCharType="end"/>
          </w:r>
        </w:p>
      </w:sdtContent>
    </w:sdt>
    <w:p w14:paraId="417BDA9D" w14:textId="77777777" w:rsidR="00DB3818" w:rsidRPr="00D00B75" w:rsidRDefault="00DB3818" w:rsidP="00755556">
      <w:pPr>
        <w:spacing w:after="240" w:line="360" w:lineRule="auto"/>
        <w:jc w:val="both"/>
        <w:rPr>
          <w:rFonts w:eastAsia="Times New Roman"/>
          <w:b/>
          <w:bCs/>
          <w:sz w:val="24"/>
          <w:szCs w:val="24"/>
          <w:lang w:val="en-GB"/>
        </w:rPr>
      </w:pPr>
      <w:r w:rsidRPr="00D00B75">
        <w:rPr>
          <w:rFonts w:eastAsia="Times New Roman"/>
          <w:b/>
          <w:bCs/>
          <w:sz w:val="24"/>
          <w:szCs w:val="24"/>
          <w:lang w:val="en-GB"/>
        </w:rPr>
        <w:br w:type="page"/>
      </w:r>
    </w:p>
    <w:p w14:paraId="00000001" w14:textId="612AC95D" w:rsidR="004F2BE4" w:rsidRPr="006913C8" w:rsidRDefault="00AF4139" w:rsidP="00755556">
      <w:pPr>
        <w:pStyle w:val="Heading1"/>
        <w:spacing w:after="240"/>
        <w:rPr>
          <w:lang w:val="en-GB"/>
        </w:rPr>
      </w:pPr>
      <w:bookmarkStart w:id="0" w:name="_Toc235033220"/>
      <w:r w:rsidRPr="006913C8">
        <w:rPr>
          <w:lang w:val="en-GB"/>
        </w:rPr>
        <w:lastRenderedPageBreak/>
        <w:t>Introduction</w:t>
      </w:r>
      <w:bookmarkEnd w:id="0"/>
      <w:r w:rsidRPr="006913C8">
        <w:rPr>
          <w:lang w:val="en-GB"/>
        </w:rPr>
        <w:t xml:space="preserve"> </w:t>
      </w:r>
    </w:p>
    <w:p w14:paraId="00000002" w14:textId="43EC2BF1" w:rsidR="004F2BE4"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 xml:space="preserve">This report examines InterContinental Hotels Group (IHG)'s past five </w:t>
      </w:r>
      <w:r w:rsidR="00755556" w:rsidRPr="006913C8">
        <w:rPr>
          <w:rFonts w:eastAsia="Times New Roman"/>
          <w:sz w:val="24"/>
          <w:szCs w:val="24"/>
          <w:lang w:val="en-GB"/>
        </w:rPr>
        <w:t>years’</w:t>
      </w:r>
      <w:r w:rsidRPr="006913C8">
        <w:rPr>
          <w:rFonts w:eastAsia="Times New Roman"/>
          <w:sz w:val="24"/>
          <w:szCs w:val="24"/>
          <w:lang w:val="en-GB"/>
        </w:rPr>
        <w:t xml:space="preserve"> financial performance by the financial statement and ratio analysis. By using capital budgeting strategies, it evaluates the working capital management, provides a statement on strategic financial restructuring initiatives, appraises investment projects to highlight the responsible use of Artificial Intelligence (AI</w:t>
      </w:r>
      <w:r w:rsidR="006913C8" w:rsidRPr="006913C8">
        <w:rPr>
          <w:rFonts w:eastAsia="Times New Roman"/>
          <w:sz w:val="24"/>
          <w:szCs w:val="24"/>
          <w:lang w:val="en-GB"/>
        </w:rPr>
        <w:t>), which</w:t>
      </w:r>
      <w:r w:rsidRPr="006913C8">
        <w:rPr>
          <w:rFonts w:eastAsia="Times New Roman"/>
          <w:sz w:val="24"/>
          <w:szCs w:val="24"/>
          <w:lang w:val="en-GB"/>
        </w:rPr>
        <w:t xml:space="preserve"> supports in decision-making process and financial analysis. </w:t>
      </w:r>
    </w:p>
    <w:p w14:paraId="439127C3" w14:textId="77777777" w:rsidR="0086595D" w:rsidRPr="00CD41B4" w:rsidRDefault="0086595D" w:rsidP="00755556">
      <w:pPr>
        <w:pStyle w:val="Heading1"/>
        <w:rPr>
          <w:lang w:val="en-GB"/>
        </w:rPr>
      </w:pPr>
      <w:bookmarkStart w:id="1" w:name="_Toc235033221"/>
      <w:r w:rsidRPr="00CD41B4">
        <w:rPr>
          <w:lang w:val="en-GB"/>
        </w:rPr>
        <w:t>1. Financial Health Check</w:t>
      </w:r>
      <w:bookmarkEnd w:id="1"/>
      <w:r w:rsidRPr="00CD41B4">
        <w:rPr>
          <w:lang w:val="en-GB"/>
        </w:rPr>
        <w:t xml:space="preserve"> </w:t>
      </w:r>
    </w:p>
    <w:p w14:paraId="32AF4F4A" w14:textId="77777777" w:rsidR="0086595D" w:rsidRPr="00CD41B4" w:rsidRDefault="0086595D" w:rsidP="00755556">
      <w:pPr>
        <w:pStyle w:val="Heading2"/>
        <w:rPr>
          <w:lang w:val="en-GB"/>
        </w:rPr>
      </w:pPr>
      <w:bookmarkStart w:id="2" w:name="_Toc235033222"/>
      <w:r w:rsidRPr="00CD41B4">
        <w:rPr>
          <w:lang w:val="en-GB"/>
        </w:rPr>
        <w:t>1.1 InterContinental Hotels Group (IHG)’ s financial statements over the past five years</w:t>
      </w:r>
      <w:bookmarkEnd w:id="2"/>
    </w:p>
    <w:p w14:paraId="0A818F7F"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Over the past five-year period from 2021-2025, InterContinental Hotels Group (IHG)'s financial position showed significant improvement. The annual report shows that in 2021 IHG’s revenue was US$3.01 billion, which became US$5.19 billion in 2025, reflecting a growth of 72.4% (Finance.yahoo, 2026). Growth in revenue is supported by IHG’s expansion of its hotel portfolio and high demand in the market for leisure and business travel. A further asset-light business model supports the enhancement of operational efficiency and profitability without the requirement of higher-level capital investment (Ihgplc, 2026). There is an increase in gross profit from US$1.52 billion to US$2.65 billion. Effective cost management and cost-efficiency increase operating profit (EBIT). In 2021, the value was US$534 million, which became US$1.20 billion in 2025, meaning there is an increase of more than double. </w:t>
      </w:r>
    </w:p>
    <w:p w14:paraId="276AA4CC"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Core business activities include franchising, leasing, loyalty programs, and hotel management across luxury that support stronger earnings, which is reflected through the BBITA value that rose from US$610 million to US$1.27 billion over the five years. Statista’s report presented that IHG’s strong focus on a robust growth strategy and extensive portfolio enabled it to sustain revenue growth and maintain a strong competitive position (Statista, 2025). From 2021 to 2025, there is an increase in operating cash flow from US$820 million to US$1.36 billion. This value indicates that the company is capable of financing its day-to-day operations, including future investments. There is an increase in current liabilities from US$1.72 billion to US$2.10 billion. However, there is a negative shareholder’s equity with a value of –US$1.93 </w:t>
      </w:r>
      <w:r w:rsidRPr="00CD41B4">
        <w:rPr>
          <w:rFonts w:eastAsia="Times New Roman"/>
          <w:sz w:val="24"/>
          <w:szCs w:val="24"/>
          <w:lang w:val="en-GB"/>
        </w:rPr>
        <w:lastRenderedPageBreak/>
        <w:t xml:space="preserve">billion in 2021 to –US$2.74 billion in 2025. Thus, the financial statement indicates that IHG has strong profitability and cash generation. However, a key challenge remains in liquidity management and capital structure.                                </w:t>
      </w:r>
    </w:p>
    <w:p w14:paraId="4140FFA6" w14:textId="77777777" w:rsidR="0086595D" w:rsidRPr="00CD41B4" w:rsidRDefault="0086595D" w:rsidP="00755556">
      <w:pPr>
        <w:pStyle w:val="Heading2"/>
        <w:rPr>
          <w:lang w:val="en-GB"/>
        </w:rPr>
      </w:pPr>
      <w:bookmarkStart w:id="3" w:name="_Toc235033223"/>
      <w:r w:rsidRPr="00CD41B4">
        <w:rPr>
          <w:lang w:val="en-GB"/>
        </w:rPr>
        <w:t>1.2 Ratio Analysis</w:t>
      </w:r>
      <w:bookmarkEnd w:id="3"/>
    </w:p>
    <w:p w14:paraId="759C5F77"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Comprehensive insights into the financial performance of IHG are captured by making the ratio analysis. Throughout the years, this firm has strengthened its operational performance and the ability of cash generation by the measurement of the value of profitability, liquidity, efficiency, gearing, investment and cash flow. Despite a strong financial performance, it has been noted that liquidity remained relatively weak. </w:t>
      </w:r>
    </w:p>
    <w:p w14:paraId="0B07421C" w14:textId="77777777" w:rsidR="0086595D" w:rsidRPr="00CD41B4" w:rsidRDefault="0086595D" w:rsidP="00755556">
      <w:pPr>
        <w:spacing w:after="200" w:line="360" w:lineRule="auto"/>
        <w:jc w:val="both"/>
        <w:rPr>
          <w:rFonts w:eastAsia="Times New Roman"/>
          <w:b/>
          <w:bCs/>
          <w:i/>
          <w:iCs/>
          <w:sz w:val="24"/>
          <w:szCs w:val="24"/>
          <w:lang w:val="en-GB"/>
        </w:rPr>
      </w:pPr>
      <w:r w:rsidRPr="00CD41B4">
        <w:rPr>
          <w:rFonts w:eastAsia="Times New Roman"/>
          <w:b/>
          <w:bCs/>
          <w:i/>
          <w:iCs/>
          <w:sz w:val="24"/>
          <w:szCs w:val="24"/>
          <w:lang w:val="en-GB"/>
        </w:rPr>
        <w:t xml:space="preserve">Profitability ratios: </w:t>
      </w:r>
      <w:r w:rsidRPr="00CD41B4">
        <w:rPr>
          <w:rFonts w:eastAsia="Times New Roman"/>
          <w:sz w:val="24"/>
          <w:szCs w:val="24"/>
          <w:lang w:val="en-GB"/>
        </w:rPr>
        <w:t xml:space="preserve">Sustained improvement in financial performance is presented with the measurement of this value. Throughout the period, it has been seen that profit margin remained constant at 51%. This stable outcome shows IHG’s strong ability to effectively manage costs and maintain a stable pricing approach. Operating margin in 2021 was 18%, which then became 23% in 2025. An increased value presents a higher level of operational efficiency, and its primary functions constantly generate stronger earnings. While there is an increase in EBITA margin from 20% to 24%. EBITA margin measures the ability to constantly generate operating earnings from main functions. It excludes effects of depreciation policies, taxation and capital structure, which reflects key internal strengths (Mihaela, 2023). Pre-tax profit margin increased from 17% to 21%, and the increase in net profit margin from 14% to 15%. A greater percentage of revenue has been converted into profit, as reflected through the value.  The efficiency of this firm in using assets properly is reflected in the value of ROA, which shows an improvement from 16% to 23%. While the value of ROE increased from 24% to 36% throughout the period.           </w:t>
      </w:r>
      <w:r w:rsidRPr="00CD41B4">
        <w:rPr>
          <w:rFonts w:eastAsia="Times New Roman"/>
          <w:b/>
          <w:bCs/>
          <w:i/>
          <w:iCs/>
          <w:sz w:val="24"/>
          <w:szCs w:val="24"/>
          <w:lang w:val="en-GB"/>
        </w:rPr>
        <w:t xml:space="preserve"> </w:t>
      </w:r>
    </w:p>
    <w:p w14:paraId="307FD29D"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 xml:space="preserve">Liquidity ratios: </w:t>
      </w:r>
      <w:r w:rsidRPr="00CD41B4">
        <w:rPr>
          <w:rFonts w:eastAsia="Times New Roman"/>
          <w:sz w:val="24"/>
          <w:szCs w:val="24"/>
          <w:lang w:val="en-GB"/>
        </w:rPr>
        <w:t xml:space="preserve">Financial analysis presented that with limited short-term liquidity, IHG continued its operation. Over the five-year time period, the current ratio remained 0.08 to 0.09, which generally remained below the industry benchmark value of 1.0. Current assets of a firm are greater than its liabilities when its current ratios over 1.0.  As a result, the firm is able to meet its short-term obligations without the over-reliance on external funding (Chairunisa et al., 2023). Current assets remained lower than current liabilities of IHG, which is also supported by the value of the working capital ratio that remained close to -0.99. Stable cash flows from franchise and management </w:t>
      </w:r>
      <w:r w:rsidRPr="00CD41B4">
        <w:rPr>
          <w:rFonts w:eastAsia="Times New Roman"/>
          <w:sz w:val="24"/>
          <w:szCs w:val="24"/>
          <w:lang w:val="en-GB"/>
        </w:rPr>
        <w:lastRenderedPageBreak/>
        <w:t xml:space="preserve">fees in firms within the hospitality sector that operate under an asset-light business model (Aslam et al., 2025). It generally indicates there are higher current liabilities in comparison to current assets. Thus, in IHG’s business, there is no indication that there is a financial problem. Available cash used for meeting financial obligations is reflected through the cash ratio, as there is an increase from 0.195 to 0.255,       </w:t>
      </w:r>
    </w:p>
    <w:p w14:paraId="32BF8B7B"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 xml:space="preserve">Efficiency ratios: </w:t>
      </w:r>
      <w:r w:rsidRPr="00CD41B4">
        <w:rPr>
          <w:rFonts w:eastAsia="Times New Roman"/>
          <w:sz w:val="24"/>
          <w:szCs w:val="24"/>
          <w:lang w:val="en-GB"/>
        </w:rPr>
        <w:t xml:space="preserve">Higher revenue generation is indicated with an increase in total asset turnover from 1.16 to 1.57. Efficiency in long-term asset utilisation from the value of the fixed asset turnover ratio, with improvement from 1.87 to 2.53. While better credit management is reflected through an increase in receivable turnover from 3.26 to 4.60 and a decrease in receivable days from 111.87 days to 79.42 days.        </w:t>
      </w:r>
    </w:p>
    <w:p w14:paraId="7956BB3B"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 xml:space="preserve">Gearing ratios: </w:t>
      </w:r>
      <w:r w:rsidRPr="00CD41B4">
        <w:rPr>
          <w:rFonts w:eastAsia="Times New Roman"/>
          <w:sz w:val="24"/>
          <w:szCs w:val="24"/>
          <w:lang w:val="en-GB"/>
        </w:rPr>
        <w:t xml:space="preserve">Gearing ratio is one of the important financial metrics that measure the capital structure of a firm and its reliance level on external finance for running its operations (Amin and Cek, 2023). This value of IHG shows a stable capital structure. Fluctuations in financial leverage are seen between 1.49 and 1.57. Continuous investment in long-term assets is reflected in an increase in its long-term asset ratio from 51% to 54%.     </w:t>
      </w:r>
    </w:p>
    <w:p w14:paraId="0F59C690"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Investment and cash flow ratios</w:t>
      </w:r>
      <w:r w:rsidRPr="00CD41B4">
        <w:rPr>
          <w:rFonts w:eastAsia="Times New Roman"/>
          <w:sz w:val="24"/>
          <w:szCs w:val="24"/>
          <w:lang w:val="en-GB"/>
        </w:rPr>
        <w:t xml:space="preserve">: Mixed performance is measured with the evaluation of this value. Earnings per share (EPS) remained negative, with fluctuations between -0.22 and -0.28. Despite stronger profitability in operation, there is a negative impact on shareholder return. While stable cash flow generation of 26% is seen and an increase in cash flow to assets from 32% to 41%. Effective utilisation of assets supports strong cash generation.  </w:t>
      </w:r>
    </w:p>
    <w:p w14:paraId="02234D2C"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Overall, ratio analysis reflects that there is a requirement of regular based liquidity position and capital structure monitoring despite improvement in operational efficiency, cash flow generation and profitability for holding long-term financial resilience.      </w:t>
      </w:r>
    </w:p>
    <w:p w14:paraId="1F542FB5" w14:textId="77777777" w:rsidR="0086595D" w:rsidRPr="00CD41B4" w:rsidRDefault="0086595D" w:rsidP="00755556">
      <w:pPr>
        <w:pStyle w:val="Heading2"/>
        <w:rPr>
          <w:lang w:val="en-GB"/>
        </w:rPr>
      </w:pPr>
      <w:bookmarkStart w:id="4" w:name="_Toc235033224"/>
      <w:r w:rsidRPr="00CD41B4">
        <w:rPr>
          <w:lang w:val="en-GB"/>
        </w:rPr>
        <w:t>1.3 Identification of trends, strengths, and potential threats</w:t>
      </w:r>
      <w:bookmarkEnd w:id="4"/>
    </w:p>
    <w:p w14:paraId="7BB6F85C"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Financial trends</w:t>
      </w:r>
      <w:r w:rsidRPr="00CD41B4">
        <w:rPr>
          <w:rFonts w:eastAsia="Times New Roman"/>
          <w:b/>
          <w:bCs/>
          <w:sz w:val="24"/>
          <w:szCs w:val="24"/>
          <w:lang w:val="en-GB"/>
        </w:rPr>
        <w:t>:</w:t>
      </w:r>
      <w:r w:rsidRPr="00CD41B4">
        <w:rPr>
          <w:rFonts w:eastAsia="Times New Roman"/>
          <w:sz w:val="24"/>
          <w:szCs w:val="24"/>
          <w:lang w:val="en-GB"/>
        </w:rPr>
        <w:t xml:space="preserve"> Positive financial trends throughout the period of 2021 to 2025 of IHG are reflected in the financial analysis of the firm. Profitability, efficiency, and cash generation ability of the firm continuously increase. Stronger operational performance and improved financial resilience are indicated by an increase in operating margin, </w:t>
      </w:r>
      <w:r w:rsidRPr="00CD41B4">
        <w:rPr>
          <w:rFonts w:eastAsia="Times New Roman"/>
          <w:sz w:val="24"/>
          <w:szCs w:val="24"/>
          <w:lang w:val="en-GB"/>
        </w:rPr>
        <w:lastRenderedPageBreak/>
        <w:t xml:space="preserve">operating cash flow and EBITDA margin. Effective utilisation of resources is also supported at the firm level with a higher asset turnover rate.    </w:t>
      </w:r>
    </w:p>
    <w:p w14:paraId="3562EED0" w14:textId="77777777" w:rsidR="0086595D" w:rsidRPr="00CD41B4" w:rsidRDefault="0086595D" w:rsidP="00755556">
      <w:pPr>
        <w:spacing w:after="200" w:line="360" w:lineRule="auto"/>
        <w:jc w:val="both"/>
        <w:rPr>
          <w:rFonts w:eastAsia="Times New Roman"/>
          <w:b/>
          <w:bCs/>
          <w:sz w:val="24"/>
          <w:szCs w:val="24"/>
          <w:lang w:val="en-GB"/>
        </w:rPr>
      </w:pPr>
      <w:r w:rsidRPr="00CD41B4">
        <w:rPr>
          <w:rFonts w:eastAsia="Times New Roman"/>
          <w:b/>
          <w:bCs/>
          <w:i/>
          <w:iCs/>
          <w:sz w:val="24"/>
          <w:szCs w:val="24"/>
          <w:lang w:val="en-GB"/>
        </w:rPr>
        <w:t>Strengths</w:t>
      </w:r>
      <w:r w:rsidRPr="00CD41B4">
        <w:rPr>
          <w:rFonts w:eastAsia="Times New Roman"/>
          <w:b/>
          <w:bCs/>
          <w:sz w:val="24"/>
          <w:szCs w:val="24"/>
          <w:lang w:val="en-GB"/>
        </w:rPr>
        <w:t xml:space="preserve">: </w:t>
      </w:r>
      <w:r w:rsidRPr="00CD41B4">
        <w:rPr>
          <w:rFonts w:eastAsia="Times New Roman"/>
          <w:sz w:val="24"/>
          <w:szCs w:val="24"/>
          <w:lang w:val="en-GB"/>
        </w:rPr>
        <w:t xml:space="preserve">The firm, implementing an asset-light business model, is able to generate continuous stable revenue and also mainating higher scalability and agility in operation (Pantulu, 2025). IHG’s operation is based on this model that enable is constantly generate a higher level of revenue from management and franchise activities. Moreover, it also limits capital requirements for asset maintenance and investments.  </w:t>
      </w:r>
    </w:p>
    <w:p w14:paraId="2F70721D"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sz w:val="24"/>
          <w:szCs w:val="24"/>
          <w:lang w:val="en-GB"/>
        </w:rPr>
        <w:t>Potential threats:</w:t>
      </w:r>
      <w:r w:rsidRPr="00CD41B4">
        <w:rPr>
          <w:rFonts w:eastAsia="Times New Roman"/>
          <w:sz w:val="24"/>
          <w:szCs w:val="24"/>
          <w:lang w:val="en-GB"/>
        </w:rPr>
        <w:t xml:space="preserve"> Several potential risks are faced by IHG that undermine its operational growth despite its strength in the operational model. The current ratio of the firm is below 1.0 means the liquidity level is low. Lack of short-term financial flexibility presents a challenge in meeting short-term debts and other financial obligations (Hamzat, 2025). The firm also faces issues in delivering its shareholders’ return reflected through a negative EPS value. For further growth and profitability, there can also be a negative influence of varied external factors like inflation, changes in travel patterns and uncertainties in the economy.   </w:t>
      </w:r>
    </w:p>
    <w:p w14:paraId="07D68021" w14:textId="77777777" w:rsidR="0086595D" w:rsidRPr="00CD41B4" w:rsidRDefault="0086595D" w:rsidP="00755556">
      <w:pPr>
        <w:pStyle w:val="Heading2"/>
        <w:rPr>
          <w:lang w:val="en-GB"/>
        </w:rPr>
      </w:pPr>
      <w:bookmarkStart w:id="5" w:name="_Toc235033225"/>
      <w:r w:rsidRPr="00CD41B4">
        <w:rPr>
          <w:lang w:val="en-GB"/>
        </w:rPr>
        <w:t>1.4 Comparison of liquidity ratios with industry benchmarks</w:t>
      </w:r>
      <w:bookmarkEnd w:id="5"/>
    </w:p>
    <w:p w14:paraId="4AFE314D"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Financial assessment of IHG reflects that the current ratio level throughout the years is between 0.008 and 0.009. However, in the conventional industry market, the current ratio needs to be above 1.0, which shows a healthy balance between current assets and current liabilities (Chairunisa et al., 2023). As the value of IHG is below industry benchmarks, it may face difficulties in meeting its short-term obligations. The cash ratio is preferred to be 0.5 to 1 in the hospitality sector as it enable firm in continuing daily operations, manage seasonal fluctuations and also invest in operational growth (Corporatefinanceinstitute, 2026). IHG’s cash ratio reflected an improvement from 0.195 to 0.255, though below the industry benchmark. Overall, liquidity of the firm is weak that can create financial pressure.        </w:t>
      </w:r>
    </w:p>
    <w:p w14:paraId="14B64379" w14:textId="77777777" w:rsidR="0086595D" w:rsidRPr="00CD41B4" w:rsidRDefault="0086595D" w:rsidP="00755556">
      <w:pPr>
        <w:pStyle w:val="Heading1"/>
        <w:rPr>
          <w:lang w:val="en-GB"/>
        </w:rPr>
      </w:pPr>
      <w:bookmarkStart w:id="6" w:name="_Toc235033226"/>
      <w:r w:rsidRPr="00CD41B4">
        <w:rPr>
          <w:lang w:val="en-GB"/>
        </w:rPr>
        <w:t>2. Working Capital Management Analysis</w:t>
      </w:r>
      <w:bookmarkEnd w:id="6"/>
      <w:r w:rsidRPr="00CD41B4">
        <w:rPr>
          <w:lang w:val="en-GB"/>
        </w:rPr>
        <w:t xml:space="preserve"> </w:t>
      </w:r>
    </w:p>
    <w:p w14:paraId="2F472D09" w14:textId="77777777" w:rsidR="0086595D" w:rsidRPr="00CD41B4" w:rsidRDefault="0086595D" w:rsidP="00755556">
      <w:pPr>
        <w:pStyle w:val="Heading2"/>
        <w:rPr>
          <w:lang w:val="en-GB"/>
        </w:rPr>
      </w:pPr>
      <w:bookmarkStart w:id="7" w:name="_Toc235033227"/>
      <w:r w:rsidRPr="00CD41B4">
        <w:rPr>
          <w:lang w:val="en-GB"/>
        </w:rPr>
        <w:t>2.1 Assessing the cash operating cycle</w:t>
      </w:r>
      <w:bookmarkEnd w:id="7"/>
    </w:p>
    <w:tbl>
      <w:tblPr>
        <w:tblW w:w="5000" w:type="pct"/>
        <w:tblLook w:val="04A0" w:firstRow="1" w:lastRow="0" w:firstColumn="1" w:lastColumn="0" w:noHBand="0" w:noVBand="1"/>
      </w:tblPr>
      <w:tblGrid>
        <w:gridCol w:w="1932"/>
        <w:gridCol w:w="3179"/>
        <w:gridCol w:w="779"/>
        <w:gridCol w:w="779"/>
        <w:gridCol w:w="779"/>
        <w:gridCol w:w="779"/>
        <w:gridCol w:w="779"/>
      </w:tblGrid>
      <w:tr w:rsidR="0086595D" w:rsidRPr="0035719D" w14:paraId="5DC98C9E" w14:textId="77777777" w:rsidTr="00755556">
        <w:trPr>
          <w:trHeight w:val="300"/>
        </w:trPr>
        <w:tc>
          <w:tcPr>
            <w:tcW w:w="1073" w:type="pct"/>
            <w:tcBorders>
              <w:top w:val="single" w:sz="8" w:space="0" w:color="auto"/>
              <w:left w:val="single" w:sz="8" w:space="0" w:color="auto"/>
              <w:bottom w:val="single" w:sz="4" w:space="0" w:color="auto"/>
              <w:right w:val="single" w:sz="4" w:space="0" w:color="auto"/>
            </w:tcBorders>
            <w:noWrap/>
            <w:vAlign w:val="bottom"/>
            <w:hideMark/>
          </w:tcPr>
          <w:p w14:paraId="58976EF6"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Item</w:t>
            </w:r>
          </w:p>
        </w:tc>
        <w:tc>
          <w:tcPr>
            <w:tcW w:w="1765" w:type="pct"/>
            <w:tcBorders>
              <w:top w:val="single" w:sz="8" w:space="0" w:color="auto"/>
              <w:left w:val="nil"/>
              <w:bottom w:val="single" w:sz="4" w:space="0" w:color="auto"/>
              <w:right w:val="single" w:sz="4" w:space="0" w:color="auto"/>
            </w:tcBorders>
            <w:noWrap/>
            <w:vAlign w:val="bottom"/>
            <w:hideMark/>
          </w:tcPr>
          <w:p w14:paraId="4488B227"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Formula</w:t>
            </w:r>
          </w:p>
        </w:tc>
        <w:tc>
          <w:tcPr>
            <w:tcW w:w="432" w:type="pct"/>
            <w:tcBorders>
              <w:top w:val="single" w:sz="8" w:space="0" w:color="auto"/>
              <w:left w:val="nil"/>
              <w:bottom w:val="single" w:sz="4" w:space="0" w:color="auto"/>
              <w:right w:val="single" w:sz="4" w:space="0" w:color="auto"/>
            </w:tcBorders>
            <w:noWrap/>
            <w:vAlign w:val="bottom"/>
            <w:hideMark/>
          </w:tcPr>
          <w:p w14:paraId="4B275364" w14:textId="77777777" w:rsidR="0086595D" w:rsidRPr="0035719D" w:rsidRDefault="0086595D" w:rsidP="00755556">
            <w:pPr>
              <w:spacing w:line="360" w:lineRule="auto"/>
              <w:jc w:val="center"/>
              <w:rPr>
                <w:rFonts w:eastAsia="Times New Roman"/>
                <w:b/>
                <w:bCs/>
                <w:i/>
                <w:iCs/>
                <w:color w:val="000000"/>
                <w:sz w:val="24"/>
                <w:szCs w:val="24"/>
                <w:lang w:val="en-GB"/>
              </w:rPr>
            </w:pPr>
            <w:r w:rsidRPr="0035719D">
              <w:rPr>
                <w:rFonts w:eastAsia="Times New Roman"/>
                <w:b/>
                <w:bCs/>
                <w:i/>
                <w:iCs/>
                <w:color w:val="000000"/>
                <w:sz w:val="24"/>
                <w:szCs w:val="24"/>
                <w:lang w:val="en-GB"/>
              </w:rPr>
              <w:t>2021</w:t>
            </w:r>
          </w:p>
        </w:tc>
        <w:tc>
          <w:tcPr>
            <w:tcW w:w="432" w:type="pct"/>
            <w:tcBorders>
              <w:top w:val="single" w:sz="8" w:space="0" w:color="auto"/>
              <w:left w:val="nil"/>
              <w:bottom w:val="single" w:sz="4" w:space="0" w:color="auto"/>
              <w:right w:val="single" w:sz="4" w:space="0" w:color="auto"/>
            </w:tcBorders>
            <w:noWrap/>
            <w:vAlign w:val="bottom"/>
            <w:hideMark/>
          </w:tcPr>
          <w:p w14:paraId="3EB6F945" w14:textId="77777777" w:rsidR="0086595D" w:rsidRPr="0035719D" w:rsidRDefault="0086595D" w:rsidP="00755556">
            <w:pPr>
              <w:spacing w:line="360" w:lineRule="auto"/>
              <w:jc w:val="center"/>
              <w:rPr>
                <w:rFonts w:eastAsia="Times New Roman"/>
                <w:b/>
                <w:bCs/>
                <w:i/>
                <w:iCs/>
                <w:color w:val="000000"/>
                <w:sz w:val="24"/>
                <w:szCs w:val="24"/>
                <w:lang w:val="en-GB"/>
              </w:rPr>
            </w:pPr>
            <w:r w:rsidRPr="0035719D">
              <w:rPr>
                <w:rFonts w:eastAsia="Times New Roman"/>
                <w:b/>
                <w:bCs/>
                <w:i/>
                <w:iCs/>
                <w:color w:val="000000"/>
                <w:sz w:val="24"/>
                <w:szCs w:val="24"/>
                <w:lang w:val="en-GB"/>
              </w:rPr>
              <w:t>2022</w:t>
            </w:r>
          </w:p>
        </w:tc>
        <w:tc>
          <w:tcPr>
            <w:tcW w:w="432" w:type="pct"/>
            <w:tcBorders>
              <w:top w:val="single" w:sz="8" w:space="0" w:color="auto"/>
              <w:left w:val="nil"/>
              <w:bottom w:val="single" w:sz="4" w:space="0" w:color="auto"/>
              <w:right w:val="single" w:sz="4" w:space="0" w:color="auto"/>
            </w:tcBorders>
            <w:noWrap/>
            <w:vAlign w:val="bottom"/>
            <w:hideMark/>
          </w:tcPr>
          <w:p w14:paraId="0C85B305" w14:textId="77777777" w:rsidR="0086595D" w:rsidRPr="0035719D" w:rsidRDefault="0086595D" w:rsidP="00755556">
            <w:pPr>
              <w:spacing w:line="360" w:lineRule="auto"/>
              <w:jc w:val="center"/>
              <w:rPr>
                <w:rFonts w:eastAsia="Times New Roman"/>
                <w:b/>
                <w:bCs/>
                <w:i/>
                <w:iCs/>
                <w:color w:val="000000"/>
                <w:sz w:val="24"/>
                <w:szCs w:val="24"/>
                <w:lang w:val="en-GB"/>
              </w:rPr>
            </w:pPr>
            <w:r w:rsidRPr="0035719D">
              <w:rPr>
                <w:rFonts w:eastAsia="Times New Roman"/>
                <w:b/>
                <w:bCs/>
                <w:i/>
                <w:iCs/>
                <w:color w:val="000000"/>
                <w:sz w:val="24"/>
                <w:szCs w:val="24"/>
                <w:lang w:val="en-GB"/>
              </w:rPr>
              <w:t>2023</w:t>
            </w:r>
          </w:p>
        </w:tc>
        <w:tc>
          <w:tcPr>
            <w:tcW w:w="432" w:type="pct"/>
            <w:tcBorders>
              <w:top w:val="single" w:sz="8" w:space="0" w:color="auto"/>
              <w:left w:val="nil"/>
              <w:bottom w:val="single" w:sz="4" w:space="0" w:color="auto"/>
              <w:right w:val="single" w:sz="4" w:space="0" w:color="auto"/>
            </w:tcBorders>
            <w:noWrap/>
            <w:vAlign w:val="bottom"/>
            <w:hideMark/>
          </w:tcPr>
          <w:p w14:paraId="00319053" w14:textId="77777777" w:rsidR="0086595D" w:rsidRPr="0035719D" w:rsidRDefault="0086595D" w:rsidP="00755556">
            <w:pPr>
              <w:spacing w:line="360" w:lineRule="auto"/>
              <w:jc w:val="center"/>
              <w:rPr>
                <w:rFonts w:eastAsia="Times New Roman"/>
                <w:b/>
                <w:bCs/>
                <w:i/>
                <w:iCs/>
                <w:color w:val="000000"/>
                <w:sz w:val="24"/>
                <w:szCs w:val="24"/>
                <w:lang w:val="en-GB"/>
              </w:rPr>
            </w:pPr>
            <w:r w:rsidRPr="0035719D">
              <w:rPr>
                <w:rFonts w:eastAsia="Times New Roman"/>
                <w:b/>
                <w:bCs/>
                <w:i/>
                <w:iCs/>
                <w:color w:val="000000"/>
                <w:sz w:val="24"/>
                <w:szCs w:val="24"/>
                <w:lang w:val="en-GB"/>
              </w:rPr>
              <w:t>2024</w:t>
            </w:r>
          </w:p>
        </w:tc>
        <w:tc>
          <w:tcPr>
            <w:tcW w:w="432" w:type="pct"/>
            <w:tcBorders>
              <w:top w:val="single" w:sz="8" w:space="0" w:color="auto"/>
              <w:left w:val="nil"/>
              <w:bottom w:val="single" w:sz="4" w:space="0" w:color="auto"/>
              <w:right w:val="single" w:sz="8" w:space="0" w:color="auto"/>
            </w:tcBorders>
            <w:noWrap/>
            <w:vAlign w:val="bottom"/>
            <w:hideMark/>
          </w:tcPr>
          <w:p w14:paraId="087A7AE6" w14:textId="77777777" w:rsidR="0086595D" w:rsidRPr="0035719D" w:rsidRDefault="0086595D" w:rsidP="00755556">
            <w:pPr>
              <w:spacing w:line="360" w:lineRule="auto"/>
              <w:jc w:val="center"/>
              <w:rPr>
                <w:rFonts w:eastAsia="Times New Roman"/>
                <w:b/>
                <w:bCs/>
                <w:i/>
                <w:iCs/>
                <w:color w:val="000000"/>
                <w:sz w:val="24"/>
                <w:szCs w:val="24"/>
                <w:lang w:val="en-GB"/>
              </w:rPr>
            </w:pPr>
            <w:r w:rsidRPr="0035719D">
              <w:rPr>
                <w:rFonts w:eastAsia="Times New Roman"/>
                <w:b/>
                <w:bCs/>
                <w:i/>
                <w:iCs/>
                <w:color w:val="000000"/>
                <w:sz w:val="24"/>
                <w:szCs w:val="24"/>
                <w:lang w:val="en-GB"/>
              </w:rPr>
              <w:t>2025</w:t>
            </w:r>
          </w:p>
        </w:tc>
      </w:tr>
      <w:tr w:rsidR="0086595D" w:rsidRPr="0035719D" w14:paraId="0ABBCFF8" w14:textId="77777777" w:rsidTr="00755556">
        <w:trPr>
          <w:trHeight w:val="300"/>
        </w:trPr>
        <w:tc>
          <w:tcPr>
            <w:tcW w:w="1073" w:type="pct"/>
            <w:tcBorders>
              <w:top w:val="nil"/>
              <w:left w:val="single" w:sz="8" w:space="0" w:color="auto"/>
              <w:bottom w:val="single" w:sz="4" w:space="0" w:color="auto"/>
              <w:right w:val="single" w:sz="4" w:space="0" w:color="auto"/>
            </w:tcBorders>
            <w:noWrap/>
            <w:vAlign w:val="bottom"/>
            <w:hideMark/>
          </w:tcPr>
          <w:p w14:paraId="1824610F"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lastRenderedPageBreak/>
              <w:t>Revenue</w:t>
            </w:r>
          </w:p>
        </w:tc>
        <w:tc>
          <w:tcPr>
            <w:tcW w:w="1765" w:type="pct"/>
            <w:tcBorders>
              <w:top w:val="nil"/>
              <w:left w:val="nil"/>
              <w:bottom w:val="single" w:sz="4" w:space="0" w:color="auto"/>
              <w:right w:val="single" w:sz="4" w:space="0" w:color="auto"/>
            </w:tcBorders>
            <w:noWrap/>
            <w:vAlign w:val="bottom"/>
            <w:hideMark/>
          </w:tcPr>
          <w:p w14:paraId="46AC3492"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Input</w:t>
            </w:r>
          </w:p>
        </w:tc>
        <w:tc>
          <w:tcPr>
            <w:tcW w:w="432" w:type="pct"/>
            <w:tcBorders>
              <w:top w:val="nil"/>
              <w:left w:val="nil"/>
              <w:bottom w:val="single" w:sz="4" w:space="0" w:color="auto"/>
              <w:right w:val="single" w:sz="4" w:space="0" w:color="auto"/>
            </w:tcBorders>
            <w:noWrap/>
            <w:vAlign w:val="bottom"/>
            <w:hideMark/>
          </w:tcPr>
          <w:p w14:paraId="5769A0C0"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13,857</w:t>
            </w:r>
          </w:p>
        </w:tc>
        <w:tc>
          <w:tcPr>
            <w:tcW w:w="432" w:type="pct"/>
            <w:tcBorders>
              <w:top w:val="nil"/>
              <w:left w:val="nil"/>
              <w:bottom w:val="single" w:sz="4" w:space="0" w:color="auto"/>
              <w:right w:val="single" w:sz="4" w:space="0" w:color="auto"/>
            </w:tcBorders>
            <w:noWrap/>
            <w:vAlign w:val="bottom"/>
            <w:hideMark/>
          </w:tcPr>
          <w:p w14:paraId="0A48CC2E"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20,773</w:t>
            </w:r>
          </w:p>
        </w:tc>
        <w:tc>
          <w:tcPr>
            <w:tcW w:w="432" w:type="pct"/>
            <w:tcBorders>
              <w:top w:val="nil"/>
              <w:left w:val="nil"/>
              <w:bottom w:val="single" w:sz="4" w:space="0" w:color="auto"/>
              <w:right w:val="single" w:sz="4" w:space="0" w:color="auto"/>
            </w:tcBorders>
            <w:noWrap/>
            <w:vAlign w:val="bottom"/>
            <w:hideMark/>
          </w:tcPr>
          <w:p w14:paraId="25CDBFCD"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23,713</w:t>
            </w:r>
          </w:p>
        </w:tc>
        <w:tc>
          <w:tcPr>
            <w:tcW w:w="432" w:type="pct"/>
            <w:tcBorders>
              <w:top w:val="nil"/>
              <w:left w:val="nil"/>
              <w:bottom w:val="single" w:sz="4" w:space="0" w:color="auto"/>
              <w:right w:val="single" w:sz="4" w:space="0" w:color="auto"/>
            </w:tcBorders>
            <w:noWrap/>
            <w:vAlign w:val="bottom"/>
            <w:hideMark/>
          </w:tcPr>
          <w:p w14:paraId="6143F310"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25,100</w:t>
            </w:r>
          </w:p>
        </w:tc>
        <w:tc>
          <w:tcPr>
            <w:tcW w:w="432" w:type="pct"/>
            <w:tcBorders>
              <w:top w:val="nil"/>
              <w:left w:val="nil"/>
              <w:bottom w:val="single" w:sz="4" w:space="0" w:color="auto"/>
              <w:right w:val="single" w:sz="8" w:space="0" w:color="auto"/>
            </w:tcBorders>
            <w:noWrap/>
            <w:vAlign w:val="bottom"/>
            <w:hideMark/>
          </w:tcPr>
          <w:p w14:paraId="06D0939E"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26,186</w:t>
            </w:r>
          </w:p>
        </w:tc>
      </w:tr>
      <w:tr w:rsidR="0086595D" w:rsidRPr="0035719D" w14:paraId="02DC4A57" w14:textId="77777777" w:rsidTr="00755556">
        <w:trPr>
          <w:trHeight w:val="300"/>
        </w:trPr>
        <w:tc>
          <w:tcPr>
            <w:tcW w:w="1073" w:type="pct"/>
            <w:tcBorders>
              <w:top w:val="nil"/>
              <w:left w:val="single" w:sz="8" w:space="0" w:color="auto"/>
              <w:bottom w:val="single" w:sz="4" w:space="0" w:color="auto"/>
              <w:right w:val="single" w:sz="4" w:space="0" w:color="auto"/>
            </w:tcBorders>
            <w:noWrap/>
            <w:vAlign w:val="bottom"/>
            <w:hideMark/>
          </w:tcPr>
          <w:p w14:paraId="62262014"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Inventory</w:t>
            </w:r>
          </w:p>
        </w:tc>
        <w:tc>
          <w:tcPr>
            <w:tcW w:w="1765" w:type="pct"/>
            <w:tcBorders>
              <w:top w:val="nil"/>
              <w:left w:val="nil"/>
              <w:bottom w:val="single" w:sz="4" w:space="0" w:color="auto"/>
              <w:right w:val="single" w:sz="4" w:space="0" w:color="auto"/>
            </w:tcBorders>
            <w:noWrap/>
            <w:vAlign w:val="bottom"/>
            <w:hideMark/>
          </w:tcPr>
          <w:p w14:paraId="6BA987F0"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Input (Assumed)</w:t>
            </w:r>
          </w:p>
        </w:tc>
        <w:tc>
          <w:tcPr>
            <w:tcW w:w="432" w:type="pct"/>
            <w:tcBorders>
              <w:top w:val="nil"/>
              <w:left w:val="nil"/>
              <w:bottom w:val="single" w:sz="4" w:space="0" w:color="auto"/>
              <w:right w:val="single" w:sz="4" w:space="0" w:color="auto"/>
            </w:tcBorders>
            <w:noWrap/>
            <w:vAlign w:val="bottom"/>
            <w:hideMark/>
          </w:tcPr>
          <w:p w14:paraId="61D0F8DF"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52</w:t>
            </w:r>
          </w:p>
        </w:tc>
        <w:tc>
          <w:tcPr>
            <w:tcW w:w="432" w:type="pct"/>
            <w:tcBorders>
              <w:top w:val="nil"/>
              <w:left w:val="nil"/>
              <w:bottom w:val="single" w:sz="4" w:space="0" w:color="auto"/>
              <w:right w:val="single" w:sz="4" w:space="0" w:color="auto"/>
            </w:tcBorders>
            <w:noWrap/>
            <w:vAlign w:val="bottom"/>
            <w:hideMark/>
          </w:tcPr>
          <w:p w14:paraId="28E8786D"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58</w:t>
            </w:r>
          </w:p>
        </w:tc>
        <w:tc>
          <w:tcPr>
            <w:tcW w:w="432" w:type="pct"/>
            <w:tcBorders>
              <w:top w:val="nil"/>
              <w:left w:val="nil"/>
              <w:bottom w:val="single" w:sz="4" w:space="0" w:color="auto"/>
              <w:right w:val="single" w:sz="4" w:space="0" w:color="auto"/>
            </w:tcBorders>
            <w:noWrap/>
            <w:vAlign w:val="bottom"/>
            <w:hideMark/>
          </w:tcPr>
          <w:p w14:paraId="7960B946"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62</w:t>
            </w:r>
          </w:p>
        </w:tc>
        <w:tc>
          <w:tcPr>
            <w:tcW w:w="432" w:type="pct"/>
            <w:tcBorders>
              <w:top w:val="nil"/>
              <w:left w:val="nil"/>
              <w:bottom w:val="single" w:sz="4" w:space="0" w:color="auto"/>
              <w:right w:val="single" w:sz="4" w:space="0" w:color="auto"/>
            </w:tcBorders>
            <w:noWrap/>
            <w:vAlign w:val="bottom"/>
            <w:hideMark/>
          </w:tcPr>
          <w:p w14:paraId="0EB09DCE"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66</w:t>
            </w:r>
          </w:p>
        </w:tc>
        <w:tc>
          <w:tcPr>
            <w:tcW w:w="432" w:type="pct"/>
            <w:tcBorders>
              <w:top w:val="nil"/>
              <w:left w:val="nil"/>
              <w:bottom w:val="single" w:sz="4" w:space="0" w:color="auto"/>
              <w:right w:val="single" w:sz="8" w:space="0" w:color="auto"/>
            </w:tcBorders>
            <w:noWrap/>
            <w:vAlign w:val="bottom"/>
            <w:hideMark/>
          </w:tcPr>
          <w:p w14:paraId="28A2A68D"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70</w:t>
            </w:r>
          </w:p>
        </w:tc>
      </w:tr>
      <w:tr w:rsidR="0086595D" w:rsidRPr="0035719D" w14:paraId="5F97B653" w14:textId="77777777" w:rsidTr="00755556">
        <w:trPr>
          <w:trHeight w:val="300"/>
        </w:trPr>
        <w:tc>
          <w:tcPr>
            <w:tcW w:w="1073" w:type="pct"/>
            <w:tcBorders>
              <w:top w:val="nil"/>
              <w:left w:val="single" w:sz="8" w:space="0" w:color="auto"/>
              <w:bottom w:val="single" w:sz="4" w:space="0" w:color="auto"/>
              <w:right w:val="single" w:sz="4" w:space="0" w:color="auto"/>
            </w:tcBorders>
            <w:noWrap/>
            <w:vAlign w:val="bottom"/>
            <w:hideMark/>
          </w:tcPr>
          <w:p w14:paraId="581C9A49"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Accounts Receivable</w:t>
            </w:r>
          </w:p>
        </w:tc>
        <w:tc>
          <w:tcPr>
            <w:tcW w:w="1765" w:type="pct"/>
            <w:tcBorders>
              <w:top w:val="nil"/>
              <w:left w:val="nil"/>
              <w:bottom w:val="single" w:sz="4" w:space="0" w:color="auto"/>
              <w:right w:val="single" w:sz="4" w:space="0" w:color="auto"/>
            </w:tcBorders>
            <w:noWrap/>
            <w:vAlign w:val="bottom"/>
            <w:hideMark/>
          </w:tcPr>
          <w:p w14:paraId="5C57C294"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Input</w:t>
            </w:r>
          </w:p>
        </w:tc>
        <w:tc>
          <w:tcPr>
            <w:tcW w:w="432" w:type="pct"/>
            <w:tcBorders>
              <w:top w:val="nil"/>
              <w:left w:val="nil"/>
              <w:bottom w:val="single" w:sz="4" w:space="0" w:color="auto"/>
              <w:right w:val="single" w:sz="4" w:space="0" w:color="auto"/>
            </w:tcBorders>
            <w:noWrap/>
            <w:vAlign w:val="bottom"/>
            <w:hideMark/>
          </w:tcPr>
          <w:p w14:paraId="2DD0935D"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1,393</w:t>
            </w:r>
          </w:p>
        </w:tc>
        <w:tc>
          <w:tcPr>
            <w:tcW w:w="432" w:type="pct"/>
            <w:tcBorders>
              <w:top w:val="nil"/>
              <w:left w:val="nil"/>
              <w:bottom w:val="single" w:sz="4" w:space="0" w:color="auto"/>
              <w:right w:val="single" w:sz="4" w:space="0" w:color="auto"/>
            </w:tcBorders>
            <w:noWrap/>
            <w:vAlign w:val="bottom"/>
            <w:hideMark/>
          </w:tcPr>
          <w:p w14:paraId="35B22A55"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507</w:t>
            </w:r>
          </w:p>
        </w:tc>
        <w:tc>
          <w:tcPr>
            <w:tcW w:w="432" w:type="pct"/>
            <w:tcBorders>
              <w:top w:val="nil"/>
              <w:left w:val="nil"/>
              <w:bottom w:val="single" w:sz="4" w:space="0" w:color="auto"/>
              <w:right w:val="single" w:sz="4" w:space="0" w:color="auto"/>
            </w:tcBorders>
            <w:noWrap/>
            <w:vAlign w:val="bottom"/>
            <w:hideMark/>
          </w:tcPr>
          <w:p w14:paraId="0F0EC6AA"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338</w:t>
            </w:r>
          </w:p>
        </w:tc>
        <w:tc>
          <w:tcPr>
            <w:tcW w:w="432" w:type="pct"/>
            <w:tcBorders>
              <w:top w:val="nil"/>
              <w:left w:val="nil"/>
              <w:bottom w:val="single" w:sz="4" w:space="0" w:color="auto"/>
              <w:right w:val="single" w:sz="4" w:space="0" w:color="auto"/>
            </w:tcBorders>
            <w:noWrap/>
            <w:vAlign w:val="bottom"/>
            <w:hideMark/>
          </w:tcPr>
          <w:p w14:paraId="44E81BAF"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396</w:t>
            </w:r>
          </w:p>
        </w:tc>
        <w:tc>
          <w:tcPr>
            <w:tcW w:w="432" w:type="pct"/>
            <w:tcBorders>
              <w:top w:val="nil"/>
              <w:left w:val="nil"/>
              <w:bottom w:val="single" w:sz="4" w:space="0" w:color="auto"/>
              <w:right w:val="single" w:sz="8" w:space="0" w:color="auto"/>
            </w:tcBorders>
            <w:noWrap/>
            <w:vAlign w:val="bottom"/>
            <w:hideMark/>
          </w:tcPr>
          <w:p w14:paraId="177ADDB2"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358</w:t>
            </w:r>
          </w:p>
        </w:tc>
      </w:tr>
      <w:tr w:rsidR="0086595D" w:rsidRPr="0035719D" w14:paraId="6C84807B" w14:textId="77777777" w:rsidTr="00755556">
        <w:trPr>
          <w:trHeight w:val="300"/>
        </w:trPr>
        <w:tc>
          <w:tcPr>
            <w:tcW w:w="1073" w:type="pct"/>
            <w:tcBorders>
              <w:top w:val="nil"/>
              <w:left w:val="single" w:sz="8" w:space="0" w:color="auto"/>
              <w:bottom w:val="single" w:sz="4" w:space="0" w:color="auto"/>
              <w:right w:val="single" w:sz="4" w:space="0" w:color="auto"/>
            </w:tcBorders>
            <w:noWrap/>
            <w:vAlign w:val="bottom"/>
            <w:hideMark/>
          </w:tcPr>
          <w:p w14:paraId="5A3A84FD"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Accounts Payable</w:t>
            </w:r>
          </w:p>
        </w:tc>
        <w:tc>
          <w:tcPr>
            <w:tcW w:w="1765" w:type="pct"/>
            <w:tcBorders>
              <w:top w:val="nil"/>
              <w:left w:val="nil"/>
              <w:bottom w:val="single" w:sz="4" w:space="0" w:color="auto"/>
              <w:right w:val="single" w:sz="4" w:space="0" w:color="auto"/>
            </w:tcBorders>
            <w:noWrap/>
            <w:vAlign w:val="bottom"/>
            <w:hideMark/>
          </w:tcPr>
          <w:p w14:paraId="120CBAE6"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Input (Assumed)</w:t>
            </w:r>
          </w:p>
        </w:tc>
        <w:tc>
          <w:tcPr>
            <w:tcW w:w="432" w:type="pct"/>
            <w:tcBorders>
              <w:top w:val="nil"/>
              <w:left w:val="nil"/>
              <w:bottom w:val="single" w:sz="4" w:space="0" w:color="auto"/>
              <w:right w:val="single" w:sz="4" w:space="0" w:color="auto"/>
            </w:tcBorders>
            <w:noWrap/>
            <w:vAlign w:val="bottom"/>
            <w:hideMark/>
          </w:tcPr>
          <w:p w14:paraId="0D6ACCFE"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1,120</w:t>
            </w:r>
          </w:p>
        </w:tc>
        <w:tc>
          <w:tcPr>
            <w:tcW w:w="432" w:type="pct"/>
            <w:tcBorders>
              <w:top w:val="nil"/>
              <w:left w:val="nil"/>
              <w:bottom w:val="single" w:sz="4" w:space="0" w:color="auto"/>
              <w:right w:val="single" w:sz="4" w:space="0" w:color="auto"/>
            </w:tcBorders>
            <w:noWrap/>
            <w:vAlign w:val="bottom"/>
            <w:hideMark/>
          </w:tcPr>
          <w:p w14:paraId="5546F208"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1,290</w:t>
            </w:r>
          </w:p>
        </w:tc>
        <w:tc>
          <w:tcPr>
            <w:tcW w:w="432" w:type="pct"/>
            <w:tcBorders>
              <w:top w:val="nil"/>
              <w:left w:val="nil"/>
              <w:bottom w:val="single" w:sz="4" w:space="0" w:color="auto"/>
              <w:right w:val="single" w:sz="4" w:space="0" w:color="auto"/>
            </w:tcBorders>
            <w:noWrap/>
            <w:vAlign w:val="bottom"/>
            <w:hideMark/>
          </w:tcPr>
          <w:p w14:paraId="1DBFFADE"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1,410</w:t>
            </w:r>
          </w:p>
        </w:tc>
        <w:tc>
          <w:tcPr>
            <w:tcW w:w="432" w:type="pct"/>
            <w:tcBorders>
              <w:top w:val="nil"/>
              <w:left w:val="nil"/>
              <w:bottom w:val="single" w:sz="4" w:space="0" w:color="auto"/>
              <w:right w:val="single" w:sz="4" w:space="0" w:color="auto"/>
            </w:tcBorders>
            <w:noWrap/>
            <w:vAlign w:val="bottom"/>
            <w:hideMark/>
          </w:tcPr>
          <w:p w14:paraId="6907E7F2"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1,520</w:t>
            </w:r>
          </w:p>
        </w:tc>
        <w:tc>
          <w:tcPr>
            <w:tcW w:w="432" w:type="pct"/>
            <w:tcBorders>
              <w:top w:val="nil"/>
              <w:left w:val="nil"/>
              <w:bottom w:val="single" w:sz="4" w:space="0" w:color="auto"/>
              <w:right w:val="single" w:sz="8" w:space="0" w:color="auto"/>
            </w:tcBorders>
            <w:noWrap/>
            <w:vAlign w:val="bottom"/>
            <w:hideMark/>
          </w:tcPr>
          <w:p w14:paraId="6F5A0BD3"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1,635</w:t>
            </w:r>
          </w:p>
        </w:tc>
      </w:tr>
      <w:tr w:rsidR="0086595D" w:rsidRPr="0035719D" w14:paraId="70AA5F7B" w14:textId="77777777" w:rsidTr="00755556">
        <w:trPr>
          <w:trHeight w:val="300"/>
        </w:trPr>
        <w:tc>
          <w:tcPr>
            <w:tcW w:w="1073" w:type="pct"/>
            <w:tcBorders>
              <w:top w:val="nil"/>
              <w:left w:val="single" w:sz="8" w:space="0" w:color="auto"/>
              <w:bottom w:val="single" w:sz="4" w:space="0" w:color="auto"/>
              <w:right w:val="single" w:sz="4" w:space="0" w:color="auto"/>
            </w:tcBorders>
            <w:noWrap/>
            <w:vAlign w:val="bottom"/>
            <w:hideMark/>
          </w:tcPr>
          <w:p w14:paraId="3241DF01"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DIO</w:t>
            </w:r>
          </w:p>
        </w:tc>
        <w:tc>
          <w:tcPr>
            <w:tcW w:w="1765" w:type="pct"/>
            <w:tcBorders>
              <w:top w:val="nil"/>
              <w:left w:val="nil"/>
              <w:bottom w:val="single" w:sz="4" w:space="0" w:color="auto"/>
              <w:right w:val="single" w:sz="4" w:space="0" w:color="auto"/>
            </w:tcBorders>
            <w:noWrap/>
            <w:vAlign w:val="bottom"/>
            <w:hideMark/>
          </w:tcPr>
          <w:p w14:paraId="2414E7A1"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(Inventory / Revenue) * 365</w:t>
            </w:r>
          </w:p>
        </w:tc>
        <w:tc>
          <w:tcPr>
            <w:tcW w:w="432" w:type="pct"/>
            <w:tcBorders>
              <w:top w:val="nil"/>
              <w:left w:val="nil"/>
              <w:bottom w:val="single" w:sz="4" w:space="0" w:color="auto"/>
              <w:right w:val="single" w:sz="4" w:space="0" w:color="auto"/>
            </w:tcBorders>
            <w:noWrap/>
            <w:vAlign w:val="bottom"/>
            <w:hideMark/>
          </w:tcPr>
          <w:p w14:paraId="5106E327"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1.37</w:t>
            </w:r>
          </w:p>
        </w:tc>
        <w:tc>
          <w:tcPr>
            <w:tcW w:w="432" w:type="pct"/>
            <w:tcBorders>
              <w:top w:val="nil"/>
              <w:left w:val="nil"/>
              <w:bottom w:val="single" w:sz="4" w:space="0" w:color="auto"/>
              <w:right w:val="single" w:sz="4" w:space="0" w:color="auto"/>
            </w:tcBorders>
            <w:noWrap/>
            <w:vAlign w:val="bottom"/>
            <w:hideMark/>
          </w:tcPr>
          <w:p w14:paraId="10453CF1"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1.02</w:t>
            </w:r>
          </w:p>
        </w:tc>
        <w:tc>
          <w:tcPr>
            <w:tcW w:w="432" w:type="pct"/>
            <w:tcBorders>
              <w:top w:val="nil"/>
              <w:left w:val="nil"/>
              <w:bottom w:val="single" w:sz="4" w:space="0" w:color="auto"/>
              <w:right w:val="single" w:sz="4" w:space="0" w:color="auto"/>
            </w:tcBorders>
            <w:noWrap/>
            <w:vAlign w:val="bottom"/>
            <w:hideMark/>
          </w:tcPr>
          <w:p w14:paraId="4B3FA0FF"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0.95</w:t>
            </w:r>
          </w:p>
        </w:tc>
        <w:tc>
          <w:tcPr>
            <w:tcW w:w="432" w:type="pct"/>
            <w:tcBorders>
              <w:top w:val="nil"/>
              <w:left w:val="nil"/>
              <w:bottom w:val="single" w:sz="4" w:space="0" w:color="auto"/>
              <w:right w:val="single" w:sz="4" w:space="0" w:color="auto"/>
            </w:tcBorders>
            <w:noWrap/>
            <w:vAlign w:val="bottom"/>
            <w:hideMark/>
          </w:tcPr>
          <w:p w14:paraId="6310405C"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0.96</w:t>
            </w:r>
          </w:p>
        </w:tc>
        <w:tc>
          <w:tcPr>
            <w:tcW w:w="432" w:type="pct"/>
            <w:tcBorders>
              <w:top w:val="nil"/>
              <w:left w:val="nil"/>
              <w:bottom w:val="single" w:sz="4" w:space="0" w:color="auto"/>
              <w:right w:val="single" w:sz="8" w:space="0" w:color="auto"/>
            </w:tcBorders>
            <w:noWrap/>
            <w:vAlign w:val="bottom"/>
            <w:hideMark/>
          </w:tcPr>
          <w:p w14:paraId="0181EE94"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0.98</w:t>
            </w:r>
          </w:p>
        </w:tc>
      </w:tr>
      <w:tr w:rsidR="0086595D" w:rsidRPr="0035719D" w14:paraId="5BBC47F6" w14:textId="77777777" w:rsidTr="00755556">
        <w:trPr>
          <w:trHeight w:val="300"/>
        </w:trPr>
        <w:tc>
          <w:tcPr>
            <w:tcW w:w="1073" w:type="pct"/>
            <w:tcBorders>
              <w:top w:val="nil"/>
              <w:left w:val="single" w:sz="8" w:space="0" w:color="auto"/>
              <w:bottom w:val="single" w:sz="4" w:space="0" w:color="auto"/>
              <w:right w:val="single" w:sz="4" w:space="0" w:color="auto"/>
            </w:tcBorders>
            <w:noWrap/>
            <w:vAlign w:val="bottom"/>
            <w:hideMark/>
          </w:tcPr>
          <w:p w14:paraId="531DE8F8"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DSO</w:t>
            </w:r>
          </w:p>
        </w:tc>
        <w:tc>
          <w:tcPr>
            <w:tcW w:w="1765" w:type="pct"/>
            <w:tcBorders>
              <w:top w:val="nil"/>
              <w:left w:val="nil"/>
              <w:bottom w:val="single" w:sz="4" w:space="0" w:color="auto"/>
              <w:right w:val="single" w:sz="4" w:space="0" w:color="auto"/>
            </w:tcBorders>
            <w:noWrap/>
            <w:vAlign w:val="bottom"/>
            <w:hideMark/>
          </w:tcPr>
          <w:p w14:paraId="3D7F5E11"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(Receivables / Revenue) * 365</w:t>
            </w:r>
          </w:p>
        </w:tc>
        <w:tc>
          <w:tcPr>
            <w:tcW w:w="432" w:type="pct"/>
            <w:tcBorders>
              <w:top w:val="nil"/>
              <w:left w:val="nil"/>
              <w:bottom w:val="single" w:sz="4" w:space="0" w:color="auto"/>
              <w:right w:val="single" w:sz="4" w:space="0" w:color="auto"/>
            </w:tcBorders>
            <w:noWrap/>
            <w:vAlign w:val="bottom"/>
            <w:hideMark/>
          </w:tcPr>
          <w:p w14:paraId="5A488233"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36.69</w:t>
            </w:r>
          </w:p>
        </w:tc>
        <w:tc>
          <w:tcPr>
            <w:tcW w:w="432" w:type="pct"/>
            <w:tcBorders>
              <w:top w:val="nil"/>
              <w:left w:val="nil"/>
              <w:bottom w:val="single" w:sz="4" w:space="0" w:color="auto"/>
              <w:right w:val="single" w:sz="4" w:space="0" w:color="auto"/>
            </w:tcBorders>
            <w:noWrap/>
            <w:vAlign w:val="bottom"/>
            <w:hideMark/>
          </w:tcPr>
          <w:p w14:paraId="2AB7B811"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8.91</w:t>
            </w:r>
          </w:p>
        </w:tc>
        <w:tc>
          <w:tcPr>
            <w:tcW w:w="432" w:type="pct"/>
            <w:tcBorders>
              <w:top w:val="nil"/>
              <w:left w:val="nil"/>
              <w:bottom w:val="single" w:sz="4" w:space="0" w:color="auto"/>
              <w:right w:val="single" w:sz="4" w:space="0" w:color="auto"/>
            </w:tcBorders>
            <w:noWrap/>
            <w:vAlign w:val="bottom"/>
            <w:hideMark/>
          </w:tcPr>
          <w:p w14:paraId="651D4056"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5.20</w:t>
            </w:r>
          </w:p>
        </w:tc>
        <w:tc>
          <w:tcPr>
            <w:tcW w:w="432" w:type="pct"/>
            <w:tcBorders>
              <w:top w:val="nil"/>
              <w:left w:val="nil"/>
              <w:bottom w:val="single" w:sz="4" w:space="0" w:color="auto"/>
              <w:right w:val="single" w:sz="4" w:space="0" w:color="auto"/>
            </w:tcBorders>
            <w:noWrap/>
            <w:vAlign w:val="bottom"/>
            <w:hideMark/>
          </w:tcPr>
          <w:p w14:paraId="2E3A0D1E"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5.76</w:t>
            </w:r>
          </w:p>
        </w:tc>
        <w:tc>
          <w:tcPr>
            <w:tcW w:w="432" w:type="pct"/>
            <w:tcBorders>
              <w:top w:val="nil"/>
              <w:left w:val="nil"/>
              <w:bottom w:val="single" w:sz="4" w:space="0" w:color="auto"/>
              <w:right w:val="single" w:sz="8" w:space="0" w:color="auto"/>
            </w:tcBorders>
            <w:noWrap/>
            <w:vAlign w:val="bottom"/>
            <w:hideMark/>
          </w:tcPr>
          <w:p w14:paraId="041604A1"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4.99</w:t>
            </w:r>
          </w:p>
        </w:tc>
      </w:tr>
      <w:tr w:rsidR="0086595D" w:rsidRPr="0035719D" w14:paraId="6A0B6EC3" w14:textId="77777777" w:rsidTr="00755556">
        <w:trPr>
          <w:trHeight w:val="300"/>
        </w:trPr>
        <w:tc>
          <w:tcPr>
            <w:tcW w:w="1073" w:type="pct"/>
            <w:tcBorders>
              <w:top w:val="nil"/>
              <w:left w:val="single" w:sz="8" w:space="0" w:color="auto"/>
              <w:bottom w:val="single" w:sz="4" w:space="0" w:color="auto"/>
              <w:right w:val="single" w:sz="4" w:space="0" w:color="auto"/>
            </w:tcBorders>
            <w:noWrap/>
            <w:vAlign w:val="bottom"/>
            <w:hideMark/>
          </w:tcPr>
          <w:p w14:paraId="6121A067"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DPO</w:t>
            </w:r>
          </w:p>
        </w:tc>
        <w:tc>
          <w:tcPr>
            <w:tcW w:w="1765" w:type="pct"/>
            <w:tcBorders>
              <w:top w:val="nil"/>
              <w:left w:val="nil"/>
              <w:bottom w:val="single" w:sz="4" w:space="0" w:color="auto"/>
              <w:right w:val="single" w:sz="4" w:space="0" w:color="auto"/>
            </w:tcBorders>
            <w:noWrap/>
            <w:vAlign w:val="bottom"/>
            <w:hideMark/>
          </w:tcPr>
          <w:p w14:paraId="621368CE"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(Accounts Payable / Revenue) * 365</w:t>
            </w:r>
          </w:p>
        </w:tc>
        <w:tc>
          <w:tcPr>
            <w:tcW w:w="432" w:type="pct"/>
            <w:tcBorders>
              <w:top w:val="nil"/>
              <w:left w:val="nil"/>
              <w:bottom w:val="single" w:sz="4" w:space="0" w:color="auto"/>
              <w:right w:val="single" w:sz="4" w:space="0" w:color="auto"/>
            </w:tcBorders>
            <w:noWrap/>
            <w:vAlign w:val="bottom"/>
            <w:hideMark/>
          </w:tcPr>
          <w:p w14:paraId="1DA89B6D"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29.50</w:t>
            </w:r>
          </w:p>
        </w:tc>
        <w:tc>
          <w:tcPr>
            <w:tcW w:w="432" w:type="pct"/>
            <w:tcBorders>
              <w:top w:val="nil"/>
              <w:left w:val="nil"/>
              <w:bottom w:val="single" w:sz="4" w:space="0" w:color="auto"/>
              <w:right w:val="single" w:sz="4" w:space="0" w:color="auto"/>
            </w:tcBorders>
            <w:noWrap/>
            <w:vAlign w:val="bottom"/>
            <w:hideMark/>
          </w:tcPr>
          <w:p w14:paraId="685F7059"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22.67</w:t>
            </w:r>
          </w:p>
        </w:tc>
        <w:tc>
          <w:tcPr>
            <w:tcW w:w="432" w:type="pct"/>
            <w:tcBorders>
              <w:top w:val="nil"/>
              <w:left w:val="nil"/>
              <w:bottom w:val="single" w:sz="4" w:space="0" w:color="auto"/>
              <w:right w:val="single" w:sz="4" w:space="0" w:color="auto"/>
            </w:tcBorders>
            <w:noWrap/>
            <w:vAlign w:val="bottom"/>
            <w:hideMark/>
          </w:tcPr>
          <w:p w14:paraId="3065F8AD"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21.70</w:t>
            </w:r>
          </w:p>
        </w:tc>
        <w:tc>
          <w:tcPr>
            <w:tcW w:w="432" w:type="pct"/>
            <w:tcBorders>
              <w:top w:val="nil"/>
              <w:left w:val="nil"/>
              <w:bottom w:val="single" w:sz="4" w:space="0" w:color="auto"/>
              <w:right w:val="single" w:sz="4" w:space="0" w:color="auto"/>
            </w:tcBorders>
            <w:noWrap/>
            <w:vAlign w:val="bottom"/>
            <w:hideMark/>
          </w:tcPr>
          <w:p w14:paraId="5301BF5E"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22.10</w:t>
            </w:r>
          </w:p>
        </w:tc>
        <w:tc>
          <w:tcPr>
            <w:tcW w:w="432" w:type="pct"/>
            <w:tcBorders>
              <w:top w:val="nil"/>
              <w:left w:val="nil"/>
              <w:bottom w:val="single" w:sz="4" w:space="0" w:color="auto"/>
              <w:right w:val="single" w:sz="8" w:space="0" w:color="auto"/>
            </w:tcBorders>
            <w:noWrap/>
            <w:vAlign w:val="bottom"/>
            <w:hideMark/>
          </w:tcPr>
          <w:p w14:paraId="05174DAC"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22.79</w:t>
            </w:r>
          </w:p>
        </w:tc>
      </w:tr>
      <w:tr w:rsidR="0086595D" w:rsidRPr="0035719D" w14:paraId="2E0D4B7B" w14:textId="77777777" w:rsidTr="00755556">
        <w:trPr>
          <w:trHeight w:val="315"/>
        </w:trPr>
        <w:tc>
          <w:tcPr>
            <w:tcW w:w="1073" w:type="pct"/>
            <w:tcBorders>
              <w:top w:val="nil"/>
              <w:left w:val="single" w:sz="8" w:space="0" w:color="auto"/>
              <w:bottom w:val="single" w:sz="8" w:space="0" w:color="auto"/>
              <w:right w:val="single" w:sz="4" w:space="0" w:color="auto"/>
            </w:tcBorders>
            <w:noWrap/>
            <w:vAlign w:val="bottom"/>
            <w:hideMark/>
          </w:tcPr>
          <w:p w14:paraId="53A52048"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CCC</w:t>
            </w:r>
          </w:p>
        </w:tc>
        <w:tc>
          <w:tcPr>
            <w:tcW w:w="1765" w:type="pct"/>
            <w:tcBorders>
              <w:top w:val="nil"/>
              <w:left w:val="nil"/>
              <w:bottom w:val="single" w:sz="8" w:space="0" w:color="auto"/>
              <w:right w:val="single" w:sz="4" w:space="0" w:color="auto"/>
            </w:tcBorders>
            <w:noWrap/>
            <w:vAlign w:val="bottom"/>
            <w:hideMark/>
          </w:tcPr>
          <w:p w14:paraId="00D44426" w14:textId="77777777" w:rsidR="0086595D" w:rsidRPr="0035719D" w:rsidRDefault="0086595D" w:rsidP="00755556">
            <w:pPr>
              <w:spacing w:line="360" w:lineRule="auto"/>
              <w:rPr>
                <w:rFonts w:eastAsia="Times New Roman"/>
                <w:color w:val="000000"/>
                <w:sz w:val="24"/>
                <w:szCs w:val="24"/>
                <w:lang w:val="en-GB"/>
              </w:rPr>
            </w:pPr>
            <w:r w:rsidRPr="0035719D">
              <w:rPr>
                <w:rFonts w:eastAsia="Times New Roman"/>
                <w:color w:val="000000"/>
                <w:sz w:val="24"/>
                <w:szCs w:val="24"/>
                <w:lang w:val="en-GB"/>
              </w:rPr>
              <w:t>(DIO + DSO - DPO)</w:t>
            </w:r>
          </w:p>
        </w:tc>
        <w:tc>
          <w:tcPr>
            <w:tcW w:w="432" w:type="pct"/>
            <w:tcBorders>
              <w:top w:val="nil"/>
              <w:left w:val="nil"/>
              <w:bottom w:val="single" w:sz="8" w:space="0" w:color="auto"/>
              <w:right w:val="single" w:sz="4" w:space="0" w:color="auto"/>
            </w:tcBorders>
            <w:noWrap/>
            <w:vAlign w:val="bottom"/>
            <w:hideMark/>
          </w:tcPr>
          <w:p w14:paraId="6A471F0C"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8.56</w:t>
            </w:r>
          </w:p>
        </w:tc>
        <w:tc>
          <w:tcPr>
            <w:tcW w:w="432" w:type="pct"/>
            <w:tcBorders>
              <w:top w:val="nil"/>
              <w:left w:val="nil"/>
              <w:bottom w:val="single" w:sz="8" w:space="0" w:color="auto"/>
              <w:right w:val="single" w:sz="4" w:space="0" w:color="auto"/>
            </w:tcBorders>
            <w:noWrap/>
            <w:vAlign w:val="bottom"/>
            <w:hideMark/>
          </w:tcPr>
          <w:p w14:paraId="457F06DF"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-12.74</w:t>
            </w:r>
          </w:p>
        </w:tc>
        <w:tc>
          <w:tcPr>
            <w:tcW w:w="432" w:type="pct"/>
            <w:tcBorders>
              <w:top w:val="nil"/>
              <w:left w:val="nil"/>
              <w:bottom w:val="single" w:sz="8" w:space="0" w:color="auto"/>
              <w:right w:val="single" w:sz="4" w:space="0" w:color="auto"/>
            </w:tcBorders>
            <w:noWrap/>
            <w:vAlign w:val="bottom"/>
            <w:hideMark/>
          </w:tcPr>
          <w:p w14:paraId="35377373"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-15.55</w:t>
            </w:r>
          </w:p>
        </w:tc>
        <w:tc>
          <w:tcPr>
            <w:tcW w:w="432" w:type="pct"/>
            <w:tcBorders>
              <w:top w:val="nil"/>
              <w:left w:val="nil"/>
              <w:bottom w:val="single" w:sz="8" w:space="0" w:color="auto"/>
              <w:right w:val="single" w:sz="4" w:space="0" w:color="auto"/>
            </w:tcBorders>
            <w:noWrap/>
            <w:vAlign w:val="bottom"/>
            <w:hideMark/>
          </w:tcPr>
          <w:p w14:paraId="2B54E5D6"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-15.39</w:t>
            </w:r>
          </w:p>
        </w:tc>
        <w:tc>
          <w:tcPr>
            <w:tcW w:w="432" w:type="pct"/>
            <w:tcBorders>
              <w:top w:val="nil"/>
              <w:left w:val="nil"/>
              <w:bottom w:val="single" w:sz="8" w:space="0" w:color="auto"/>
              <w:right w:val="single" w:sz="8" w:space="0" w:color="auto"/>
            </w:tcBorders>
            <w:noWrap/>
            <w:vAlign w:val="bottom"/>
            <w:hideMark/>
          </w:tcPr>
          <w:p w14:paraId="7301FB29" w14:textId="77777777" w:rsidR="0086595D" w:rsidRPr="0035719D" w:rsidRDefault="0086595D" w:rsidP="00755556">
            <w:pPr>
              <w:spacing w:line="360" w:lineRule="auto"/>
              <w:jc w:val="right"/>
              <w:rPr>
                <w:rFonts w:eastAsia="Times New Roman"/>
                <w:color w:val="000000"/>
                <w:sz w:val="24"/>
                <w:szCs w:val="24"/>
                <w:lang w:val="en-GB"/>
              </w:rPr>
            </w:pPr>
            <w:r w:rsidRPr="0035719D">
              <w:rPr>
                <w:rFonts w:eastAsia="Times New Roman"/>
                <w:color w:val="000000"/>
                <w:sz w:val="24"/>
                <w:szCs w:val="24"/>
                <w:lang w:val="en-GB"/>
              </w:rPr>
              <w:t>-16.82</w:t>
            </w:r>
          </w:p>
        </w:tc>
      </w:tr>
    </w:tbl>
    <w:p w14:paraId="4F1583A0" w14:textId="77777777" w:rsidR="0086595D" w:rsidRPr="00CD41B4" w:rsidRDefault="0086595D" w:rsidP="00755556">
      <w:pPr>
        <w:spacing w:after="200" w:line="360" w:lineRule="auto"/>
        <w:jc w:val="center"/>
        <w:rPr>
          <w:rFonts w:eastAsia="Times New Roman"/>
          <w:b/>
          <w:bCs/>
          <w:color w:val="222222"/>
          <w:sz w:val="24"/>
          <w:szCs w:val="24"/>
          <w:highlight w:val="white"/>
        </w:rPr>
      </w:pPr>
      <w:r w:rsidRPr="00CD41B4">
        <w:rPr>
          <w:rFonts w:eastAsia="Times New Roman"/>
          <w:b/>
          <w:bCs/>
          <w:color w:val="222222"/>
          <w:sz w:val="24"/>
          <w:szCs w:val="24"/>
          <w:highlight w:val="white"/>
        </w:rPr>
        <w:t>Table 1: Cash operating cycle</w:t>
      </w:r>
    </w:p>
    <w:p w14:paraId="07677815" w14:textId="77777777" w:rsidR="0086595D" w:rsidRPr="00CD41B4" w:rsidRDefault="0086595D" w:rsidP="00755556">
      <w:pPr>
        <w:spacing w:after="200" w:line="360" w:lineRule="auto"/>
        <w:jc w:val="center"/>
        <w:rPr>
          <w:rFonts w:eastAsia="Times New Roman"/>
          <w:bCs/>
          <w:color w:val="222222"/>
          <w:sz w:val="24"/>
          <w:szCs w:val="24"/>
          <w:highlight w:val="white"/>
        </w:rPr>
      </w:pPr>
      <w:r w:rsidRPr="00CD41B4">
        <w:rPr>
          <w:rFonts w:eastAsia="Times New Roman"/>
          <w:bCs/>
          <w:color w:val="222222"/>
          <w:sz w:val="24"/>
          <w:szCs w:val="24"/>
          <w:highlight w:val="white"/>
        </w:rPr>
        <w:t>(Source: Self-developed)</w:t>
      </w:r>
    </w:p>
    <w:p w14:paraId="277660C6"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Strong working capital efficiency of IHG is presented from its financial performance assessment o over a time period of 2021-2025. </w:t>
      </w:r>
    </w:p>
    <w:p w14:paraId="036B46AD"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DIO</w:t>
      </w:r>
      <w:r w:rsidRPr="00CD41B4">
        <w:rPr>
          <w:rFonts w:eastAsia="Times New Roman"/>
          <w:sz w:val="24"/>
          <w:szCs w:val="24"/>
          <w:lang w:val="en-GB"/>
        </w:rPr>
        <w:t xml:space="preserve">: Days Inventory Outstanding (DIO) continued to remain low, with the value 1.37 days in 2021 to 0.98 days in 2025. This declining value indicates that the firm is able to manage inventory efficiently. In addition, for converting inventory into revenue, there is also a requirement of minimal time. Key benefits associated with it are lowering holding costs and improvement in liquidity flexibility. Effective allocation of resources supports strategic growth in operations and supports further investment (Jain, 2024). However, for maintaining extremely low inventory levels, there is a requirement for effective and ongoing monitoring. Otherwise, insufficient resources may often undermine quality in service and disrupt operations. In IHG’s asset-light hospitality business model, there is consistency with a low value of DIO. In comparison to traditional businesses, this firm has to invest limited capital for the fulfilment of inventory requirements.          </w:t>
      </w:r>
    </w:p>
    <w:p w14:paraId="45831DE9"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lastRenderedPageBreak/>
        <w:t>DSO</w:t>
      </w:r>
      <w:r w:rsidRPr="00CD41B4">
        <w:rPr>
          <w:rFonts w:eastAsia="Times New Roman"/>
          <w:sz w:val="24"/>
          <w:szCs w:val="24"/>
          <w:lang w:val="en-GB"/>
        </w:rPr>
        <w:t xml:space="preserve">: The most notable improvement is seen in the Days Sales Outstanding (DSO) value from IHG’s operation. In 2021, the value was 36.69 days, which became 4.99 days in 2025, reflecting a significant decrease in value. Receivable collection became faster over time period including the improved credit management approach, as reflected through this value (Chernov, 2023). Sales are converted quickly by the firm. However, the quick process may pose a negative effect on the relationship with consumers, franchise partners and business clients. Despite this, there is an improvement in operating cash flow and the risk related to delayed payments.        </w:t>
      </w:r>
    </w:p>
    <w:p w14:paraId="521F3CEC"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DPO</w:t>
      </w:r>
      <w:r w:rsidRPr="00CD41B4">
        <w:rPr>
          <w:rFonts w:eastAsia="Times New Roman"/>
          <w:sz w:val="24"/>
          <w:szCs w:val="24"/>
          <w:lang w:val="en-GB"/>
        </w:rPr>
        <w:t xml:space="preserve">: Days Payable Outstanding (DPO) presented a decreased value, where in 2021 the value was 29.50 days and became 22.79 days in 2025. It means that throughout the period, the payment to suppliers has decreased. Faster payment to suppliers is effective in strengthening positive relationships with suppliers and maintaining stability in operations.   </w:t>
      </w:r>
    </w:p>
    <w:p w14:paraId="13711C4E"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CCC</w:t>
      </w:r>
      <w:r w:rsidRPr="00CD41B4">
        <w:rPr>
          <w:rFonts w:eastAsia="Times New Roman"/>
          <w:sz w:val="24"/>
          <w:szCs w:val="24"/>
          <w:lang w:val="en-GB"/>
        </w:rPr>
        <w:t xml:space="preserve">: Cash Conversion Cycle (CCC) is an important financial metric that shows how much time a business takes for the conversion of its resources into cash (Zaher and Illescas, 2022). IHG’s financial evaluation presented that in 2021 its CCC value was 8.51 days, which became -16.82 days in 2025. From this negative value, it has been acknowledged that the company receives payments faster from consumers than it pays its suppliers. Seamless cash flow decreases the requirement of borrowing money from external sources like banks for running its day-to-day operations. This value also highlights that the firm's ability of working capital management become day-by-day better day by day. In addition, there is strong cash generation, and there is improvement in liquidity efficiency. However, for sustaining long-term better operational performance and growth requirement for balanced supplier relationships.       </w:t>
      </w:r>
    </w:p>
    <w:p w14:paraId="75578565" w14:textId="77777777" w:rsidR="0086595D" w:rsidRPr="00CD41B4" w:rsidRDefault="0086595D" w:rsidP="00755556">
      <w:pPr>
        <w:pStyle w:val="Heading2"/>
        <w:rPr>
          <w:lang w:val="en-GB"/>
        </w:rPr>
      </w:pPr>
      <w:bookmarkStart w:id="8" w:name="_Toc235033228"/>
      <w:r w:rsidRPr="00CD41B4">
        <w:rPr>
          <w:lang w:val="en-GB"/>
        </w:rPr>
        <w:t>2.2 Recommending strategies to improve liquidity</w:t>
      </w:r>
      <w:bookmarkEnd w:id="8"/>
    </w:p>
    <w:p w14:paraId="39A56236"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Operating cash flow generation in IHG’s business is stronger, though it has been seen to have a weak liquidity position. However, for meeting short-term financial obligations, there is a requirement for effective working capital reforms. </w:t>
      </w:r>
    </w:p>
    <w:p w14:paraId="18B58876"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Acceleration in receivable collection:</w:t>
      </w:r>
      <w:r w:rsidRPr="00CD41B4">
        <w:rPr>
          <w:rFonts w:eastAsia="Times New Roman"/>
          <w:sz w:val="24"/>
          <w:szCs w:val="24"/>
          <w:lang w:val="en-GB"/>
        </w:rPr>
        <w:t xml:space="preserve"> IHG’s first priority needs to be acceleration in its receivable collections. It can be effective in lowering DSO levels and increasing liquidity levels in operation. Fast cash flow is effective for funding operations </w:t>
      </w:r>
      <w:r w:rsidRPr="00CD41B4">
        <w:rPr>
          <w:rFonts w:eastAsia="Times New Roman"/>
          <w:sz w:val="24"/>
          <w:szCs w:val="24"/>
          <w:lang w:val="en-GB"/>
        </w:rPr>
        <w:lastRenderedPageBreak/>
        <w:t xml:space="preserve">effectively, especially in fulfilling short-term obligations and requirements (Barnabas and Oloyede, 2024). In such a context, there is a requirement of ongoing credit monitoring of its corporate consumers, franchise partners, automated invoicing, and digital payment methods.   </w:t>
      </w:r>
    </w:p>
    <w:p w14:paraId="0740DE5A"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Adequate cash reserve</w:t>
      </w:r>
      <w:r w:rsidRPr="00CD41B4">
        <w:rPr>
          <w:rFonts w:eastAsia="Times New Roman"/>
          <w:sz w:val="24"/>
          <w:szCs w:val="24"/>
          <w:lang w:val="en-GB"/>
        </w:rPr>
        <w:t>: In IHG’s operations, it has been ensured that an adequate amount of cash is reserved that enables the firm in dealing with unprecedented situations like fluctuations in demand, economic downturns and geopolitical tension (Puspa and Suyono, 2025). It also supports further investments.</w:t>
      </w:r>
    </w:p>
    <w:p w14:paraId="5E9EE11C"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Better negotiation with suppliers</w:t>
      </w:r>
      <w:r w:rsidRPr="00CD41B4">
        <w:rPr>
          <w:rFonts w:eastAsia="Times New Roman"/>
          <w:sz w:val="24"/>
          <w:szCs w:val="24"/>
          <w:lang w:val="en-GB"/>
        </w:rPr>
        <w:t xml:space="preserve">: Mutually beneficial payment terms must be a priority at IHG’s operations. Longer-term cash retention without damaging the relationship with suppliers is effective for the firms in funding their short-term obligations. Overall liquidity improvements decrease disruption in business.   </w:t>
      </w:r>
    </w:p>
    <w:p w14:paraId="102ED4C7"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b/>
          <w:bCs/>
          <w:i/>
          <w:iCs/>
          <w:sz w:val="24"/>
          <w:szCs w:val="24"/>
          <w:lang w:val="en-GB"/>
        </w:rPr>
        <w:t>Working capital indicators regular monitoring</w:t>
      </w:r>
      <w:r w:rsidRPr="00CD41B4">
        <w:rPr>
          <w:rFonts w:eastAsia="Times New Roman"/>
          <w:sz w:val="24"/>
          <w:szCs w:val="24"/>
          <w:lang w:val="en-GB"/>
        </w:rPr>
        <w:t>: In early times, potential liquidity risk can be measured by monitoring the value of the current ratio, cash conversion cycle and cash ratio (Sormin and Yolanda, 2023). Proactive action can be taken in a short time with real-time observation of issues.</w:t>
      </w:r>
    </w:p>
    <w:p w14:paraId="6FA59574"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Successful implementations of the proposed recommendations can strengthen the liquidity level of IHG and help it in strengthening its financial resilience and competitive position.        </w:t>
      </w:r>
    </w:p>
    <w:p w14:paraId="3E638810" w14:textId="77777777" w:rsidR="0086595D" w:rsidRPr="00CD41B4" w:rsidRDefault="0086595D" w:rsidP="00755556">
      <w:pPr>
        <w:pStyle w:val="Heading2"/>
        <w:rPr>
          <w:lang w:val="en-GB"/>
        </w:rPr>
      </w:pPr>
      <w:bookmarkStart w:id="9" w:name="_Toc235033229"/>
      <w:r w:rsidRPr="00CD41B4">
        <w:rPr>
          <w:lang w:val="en-GB"/>
        </w:rPr>
        <w:t>2.3 Comparing short-term vs long-term financing options</w:t>
      </w:r>
      <w:bookmarkEnd w:id="9"/>
    </w:p>
    <w:p w14:paraId="0B67B0A5"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Short-term bank loans and credit facilities can be effective for IHG for maintaining temporary cash flow and running its operations. Despite this, short-term financing enables in continuing day-to-day operations, but it brings challenges like higher interest rate risk and refinancing requirements, which must be effectively considered by the management (Gunawan et al., 2024). In contrast, financial stability can be mainating with long-term financing resources like corporate bonds and loans for extended periods. It matches with long-term investment and funding sources. However, the long-term debt commitment requirement increases. As the liquidity position of the firm is weak, it is recommended to give priority to long-term financing.      </w:t>
      </w:r>
    </w:p>
    <w:p w14:paraId="4EBE7F10" w14:textId="77777777" w:rsidR="0086595D" w:rsidRPr="006913C8" w:rsidRDefault="0086595D" w:rsidP="00755556">
      <w:pPr>
        <w:spacing w:after="240" w:line="360" w:lineRule="auto"/>
        <w:jc w:val="both"/>
        <w:rPr>
          <w:rFonts w:eastAsia="Times New Roman"/>
          <w:sz w:val="24"/>
          <w:szCs w:val="24"/>
          <w:lang w:val="en-GB"/>
        </w:rPr>
      </w:pPr>
    </w:p>
    <w:p w14:paraId="00000003" w14:textId="77777777" w:rsidR="004F2BE4" w:rsidRPr="006913C8" w:rsidRDefault="00AF4139" w:rsidP="00755556">
      <w:pPr>
        <w:pStyle w:val="Heading1"/>
        <w:spacing w:after="240"/>
        <w:rPr>
          <w:lang w:val="en-GB"/>
        </w:rPr>
      </w:pPr>
      <w:bookmarkStart w:id="10" w:name="_Toc235033230"/>
      <w:r w:rsidRPr="006913C8">
        <w:rPr>
          <w:lang w:val="en-GB"/>
        </w:rPr>
        <w:lastRenderedPageBreak/>
        <w:t>3. Strategic Financial Restructuring Plan</w:t>
      </w:r>
      <w:bookmarkEnd w:id="10"/>
    </w:p>
    <w:p w14:paraId="00000004" w14:textId="1EEC7B4A" w:rsidR="004F2BE4" w:rsidRPr="006913C8" w:rsidRDefault="00AF4139" w:rsidP="00755556">
      <w:pPr>
        <w:pStyle w:val="Heading2"/>
        <w:spacing w:after="240"/>
        <w:rPr>
          <w:lang w:val="en-GB"/>
        </w:rPr>
      </w:pPr>
      <w:bookmarkStart w:id="11" w:name="_Toc235033231"/>
      <w:r w:rsidRPr="006913C8">
        <w:rPr>
          <w:lang w:val="en-GB"/>
        </w:rPr>
        <w:t xml:space="preserve">3.1 </w:t>
      </w:r>
      <w:r w:rsidR="006913C8">
        <w:rPr>
          <w:lang w:val="en-GB"/>
        </w:rPr>
        <w:t>Overview</w:t>
      </w:r>
      <w:bookmarkEnd w:id="11"/>
    </w:p>
    <w:p w14:paraId="00000005" w14:textId="77777777"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Financial restructuring helps to maintain the competitiveness and long-term financial stability across InterContinental Hotels Group (IHG).  Between 2021 and 2025, revenue of IHG rose from US$3005 million to US$5189 million, while operating cash flow rose from US$820 million to US$1361 million. Financial restructuring remains pertinent, despite this growth. The company has confronted the challenges such as liquidity management, global economic uncertainties, debt obligations and profitability fluctuations and these are based on previous financial analysis. However, to enhance shareholder value, help sustainable international growth and strengthen financial resilience, an effective restructuring technique is needed.</w:t>
      </w:r>
    </w:p>
    <w:p w14:paraId="00000006" w14:textId="77777777" w:rsidR="004F2BE4" w:rsidRPr="006913C8" w:rsidRDefault="00AF4139" w:rsidP="00755556">
      <w:pPr>
        <w:pStyle w:val="Heading2"/>
        <w:spacing w:after="240"/>
        <w:rPr>
          <w:lang w:val="en-GB"/>
        </w:rPr>
      </w:pPr>
      <w:bookmarkStart w:id="12" w:name="_Toc235033232"/>
      <w:r w:rsidRPr="006913C8">
        <w:rPr>
          <w:lang w:val="en-GB"/>
        </w:rPr>
        <w:t>3.2 Recommended Financial Restructuring Options</w:t>
      </w:r>
      <w:bookmarkEnd w:id="12"/>
      <w:r w:rsidRPr="006913C8">
        <w:rPr>
          <w:lang w:val="en-GB"/>
        </w:rPr>
        <w:t xml:space="preserve"> </w:t>
      </w:r>
    </w:p>
    <w:p w14:paraId="00000007" w14:textId="77777777" w:rsidR="004F2BE4" w:rsidRPr="006913C8" w:rsidRDefault="00AF4139" w:rsidP="00755556">
      <w:pPr>
        <w:spacing w:after="240" w:line="360" w:lineRule="auto"/>
        <w:jc w:val="both"/>
        <w:rPr>
          <w:rFonts w:eastAsia="Times New Roman"/>
          <w:b/>
          <w:bCs/>
          <w:i/>
          <w:sz w:val="24"/>
          <w:szCs w:val="24"/>
          <w:lang w:val="en-GB"/>
        </w:rPr>
      </w:pPr>
      <w:r w:rsidRPr="006913C8">
        <w:rPr>
          <w:rFonts w:eastAsia="Times New Roman"/>
          <w:b/>
          <w:bCs/>
          <w:i/>
          <w:sz w:val="24"/>
          <w:szCs w:val="24"/>
          <w:lang w:val="en-GB"/>
        </w:rPr>
        <w:t>Debt Restructuring</w:t>
      </w:r>
    </w:p>
    <w:p w14:paraId="00000008" w14:textId="59A13BC2"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At lower interest rates</w:t>
      </w:r>
      <w:r w:rsidR="006913C8" w:rsidRPr="006913C8">
        <w:rPr>
          <w:rFonts w:eastAsia="Times New Roman"/>
          <w:sz w:val="24"/>
          <w:szCs w:val="24"/>
          <w:lang w:val="en-GB"/>
        </w:rPr>
        <w:t>, IHG</w:t>
      </w:r>
      <w:r w:rsidRPr="006913C8">
        <w:rPr>
          <w:rFonts w:eastAsia="Times New Roman"/>
          <w:sz w:val="24"/>
          <w:szCs w:val="24"/>
          <w:lang w:val="en-GB"/>
        </w:rPr>
        <w:t xml:space="preserve"> should refinance existing debt for extending debt maturities to decrease the cost of finance and develop stability of cash flow. These techniques would </w:t>
      </w:r>
      <w:r w:rsidR="006913C8" w:rsidRPr="006913C8">
        <w:rPr>
          <w:rFonts w:eastAsia="Times New Roman"/>
          <w:sz w:val="24"/>
          <w:szCs w:val="24"/>
          <w:lang w:val="en-GB"/>
        </w:rPr>
        <w:t>help to</w:t>
      </w:r>
      <w:r w:rsidRPr="006913C8">
        <w:rPr>
          <w:rFonts w:eastAsia="Times New Roman"/>
          <w:sz w:val="24"/>
          <w:szCs w:val="24"/>
          <w:lang w:val="en-GB"/>
        </w:rPr>
        <w:t xml:space="preserve"> enhance the interest coverage, strengthen liquidity and give a great financial flexibility. These support to gain the expansion of business and future business. Lower borrowing costs and developed debt management are included as the primary benefits (Okeke et al., 2022). So, for the exposure of the future interest rate fluctuations, transaction cost </w:t>
      </w:r>
      <w:r w:rsidR="00755556" w:rsidRPr="006913C8">
        <w:rPr>
          <w:rFonts w:eastAsia="Times New Roman"/>
          <w:sz w:val="24"/>
          <w:szCs w:val="24"/>
          <w:lang w:val="en-GB"/>
        </w:rPr>
        <w:t>can be</w:t>
      </w:r>
      <w:r w:rsidRPr="006913C8">
        <w:rPr>
          <w:rFonts w:eastAsia="Times New Roman"/>
          <w:sz w:val="24"/>
          <w:szCs w:val="24"/>
          <w:lang w:val="en-GB"/>
        </w:rPr>
        <w:t xml:space="preserve"> engaged in the refinancing. A sustainable and an appropriate strategy of finance is represented for the global operations and long-term growth objectives within IHG. </w:t>
      </w:r>
    </w:p>
    <w:p w14:paraId="00000009" w14:textId="77777777" w:rsidR="004F2BE4" w:rsidRPr="006913C8" w:rsidRDefault="00AF4139" w:rsidP="00755556">
      <w:pPr>
        <w:spacing w:after="240" w:line="360" w:lineRule="auto"/>
        <w:jc w:val="both"/>
        <w:rPr>
          <w:rFonts w:eastAsia="Times New Roman"/>
          <w:b/>
          <w:bCs/>
          <w:i/>
          <w:sz w:val="24"/>
          <w:szCs w:val="24"/>
          <w:lang w:val="en-GB"/>
        </w:rPr>
      </w:pPr>
      <w:r w:rsidRPr="006913C8">
        <w:rPr>
          <w:rFonts w:eastAsia="Times New Roman"/>
          <w:b/>
          <w:bCs/>
          <w:i/>
          <w:sz w:val="24"/>
          <w:szCs w:val="24"/>
          <w:lang w:val="en-GB"/>
        </w:rPr>
        <w:t>Asset Divestiture</w:t>
      </w:r>
    </w:p>
    <w:p w14:paraId="0000000A" w14:textId="77777777"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 xml:space="preserve">IHG has to consider the hotel's underperforming disposing and the non-core asset to develop its liquidity and to strengthen the financial position. Based on the high-performing market and brand, this strategy would help to operate the additional cash, and decrease the operating and maintaining cost (Waditwar et al., 2024). The main advantage of this strategy is it develops operational efficiency, provides a stronger balance sheet and embraces the cash flow. If the valuable assets are sold, asset </w:t>
      </w:r>
      <w:r w:rsidRPr="006913C8">
        <w:rPr>
          <w:rFonts w:eastAsia="Times New Roman"/>
          <w:sz w:val="24"/>
          <w:szCs w:val="24"/>
          <w:lang w:val="en-GB"/>
        </w:rPr>
        <w:lastRenderedPageBreak/>
        <w:t xml:space="preserve">divestiture can engage one-off disposal costs and decrease the potentiality of future revenue. </w:t>
      </w:r>
    </w:p>
    <w:p w14:paraId="0000000B" w14:textId="77777777" w:rsidR="004F2BE4" w:rsidRPr="006913C8" w:rsidRDefault="00AF4139" w:rsidP="00755556">
      <w:pPr>
        <w:spacing w:after="240" w:line="360" w:lineRule="auto"/>
        <w:jc w:val="both"/>
        <w:rPr>
          <w:rFonts w:eastAsia="Times New Roman"/>
          <w:b/>
          <w:bCs/>
          <w:i/>
          <w:sz w:val="24"/>
          <w:szCs w:val="24"/>
          <w:lang w:val="en-GB"/>
        </w:rPr>
      </w:pPr>
      <w:r w:rsidRPr="006913C8">
        <w:rPr>
          <w:rFonts w:eastAsia="Times New Roman"/>
          <w:b/>
          <w:bCs/>
          <w:i/>
          <w:sz w:val="24"/>
          <w:szCs w:val="24"/>
          <w:lang w:val="en-GB"/>
        </w:rPr>
        <w:t>Equity Injection</w:t>
      </w:r>
    </w:p>
    <w:p w14:paraId="0000000C" w14:textId="557EE592"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To strengthen the future expansion project of finance and its balance sheet</w:t>
      </w:r>
      <w:r w:rsidR="006913C8" w:rsidRPr="006913C8">
        <w:rPr>
          <w:rFonts w:eastAsia="Times New Roman"/>
          <w:sz w:val="24"/>
          <w:szCs w:val="24"/>
          <w:lang w:val="en-GB"/>
        </w:rPr>
        <w:t>, IHG</w:t>
      </w:r>
      <w:r w:rsidRPr="006913C8">
        <w:rPr>
          <w:rFonts w:eastAsia="Times New Roman"/>
          <w:sz w:val="24"/>
          <w:szCs w:val="24"/>
          <w:lang w:val="en-GB"/>
        </w:rPr>
        <w:t xml:space="preserve"> may consider an equity injection by showing new shares for raising additional capital. Equity which is increased would decrease the debt resilience and help to do strategic investments for the new market through digital innovation. The key benefits are included in greater flexibility in investment, developed borrowing capacity and enhanced stability in finance (Nwani et al., 2023). However, the issues of new sharing can affect the potential confidence of an investor through ownership and earnings per share among existing shareholders. </w:t>
      </w:r>
    </w:p>
    <w:p w14:paraId="0000000D" w14:textId="77777777" w:rsidR="004F2BE4" w:rsidRPr="006913C8" w:rsidRDefault="00AF4139" w:rsidP="00755556">
      <w:pPr>
        <w:spacing w:after="240" w:line="360" w:lineRule="auto"/>
        <w:jc w:val="both"/>
        <w:rPr>
          <w:rFonts w:eastAsia="Times New Roman"/>
          <w:b/>
          <w:bCs/>
          <w:i/>
          <w:sz w:val="24"/>
          <w:szCs w:val="24"/>
          <w:lang w:val="en-GB"/>
        </w:rPr>
      </w:pPr>
      <w:r w:rsidRPr="006913C8">
        <w:rPr>
          <w:rFonts w:eastAsia="Times New Roman"/>
          <w:b/>
          <w:bCs/>
          <w:i/>
          <w:sz w:val="24"/>
          <w:szCs w:val="24"/>
          <w:lang w:val="en-GB"/>
        </w:rPr>
        <w:t>Strategic Partnerships or Merger Opportunities</w:t>
      </w:r>
    </w:p>
    <w:p w14:paraId="0000000E" w14:textId="135E26D3"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 xml:space="preserve">IHG should form strategic partnerships, joint ventures or selective acquisitions to make investments in high-growth international markets and share costs and operational expertise. When regional partners collaborate, brands can enter a market more easily, enjoy greater visibility, and gain new revenue streams. The financial benefits have come from the economies of scale, market share, and profitability which are developed (Almestarihi et al., 2024). The operational risks, cultural clashes, and integration challenges can be </w:t>
      </w:r>
      <w:r w:rsidR="00755556" w:rsidRPr="006913C8">
        <w:rPr>
          <w:rFonts w:eastAsia="Times New Roman"/>
          <w:sz w:val="24"/>
          <w:szCs w:val="24"/>
          <w:lang w:val="en-GB"/>
        </w:rPr>
        <w:t>increased by</w:t>
      </w:r>
      <w:r w:rsidRPr="006913C8">
        <w:rPr>
          <w:rFonts w:eastAsia="Times New Roman"/>
          <w:sz w:val="24"/>
          <w:szCs w:val="24"/>
          <w:lang w:val="en-GB"/>
        </w:rPr>
        <w:t xml:space="preserve"> Mergers and partnerships. So, sound governance and strategic planning are needed to avoid this and to get effective long-term value creation.</w:t>
      </w:r>
    </w:p>
    <w:p w14:paraId="0000000F" w14:textId="77777777" w:rsidR="004F2BE4" w:rsidRPr="006913C8" w:rsidRDefault="00AF4139" w:rsidP="00755556">
      <w:pPr>
        <w:pStyle w:val="Heading2"/>
        <w:spacing w:after="240"/>
        <w:rPr>
          <w:lang w:val="en-GB"/>
        </w:rPr>
      </w:pPr>
      <w:bookmarkStart w:id="13" w:name="_Toc235033233"/>
      <w:r w:rsidRPr="006913C8">
        <w:rPr>
          <w:lang w:val="en-GB"/>
        </w:rPr>
        <w:t>3.3 Impact on Shareholder Value, Debt Structure and Operational Flexibility</w:t>
      </w:r>
      <w:bookmarkEnd w:id="13"/>
      <w:r w:rsidRPr="006913C8">
        <w:rPr>
          <w:lang w:val="en-GB"/>
        </w:rPr>
        <w:t xml:space="preserve"> </w:t>
      </w:r>
    </w:p>
    <w:p w14:paraId="00000010" w14:textId="233F3714" w:rsidR="004F2BE4" w:rsidRPr="006913C8" w:rsidRDefault="00AF4139" w:rsidP="00755556">
      <w:pPr>
        <w:spacing w:after="240" w:line="360" w:lineRule="auto"/>
        <w:jc w:val="both"/>
        <w:rPr>
          <w:rFonts w:eastAsia="Times New Roman"/>
          <w:b/>
          <w:bCs/>
          <w:i/>
          <w:sz w:val="24"/>
          <w:szCs w:val="24"/>
          <w:lang w:val="en-GB"/>
        </w:rPr>
      </w:pPr>
      <w:r w:rsidRPr="006913C8">
        <w:rPr>
          <w:rFonts w:eastAsia="Times New Roman"/>
          <w:b/>
          <w:bCs/>
          <w:i/>
          <w:sz w:val="24"/>
          <w:szCs w:val="24"/>
          <w:lang w:val="en-GB"/>
        </w:rPr>
        <w:t>Shareholder Value</w:t>
      </w:r>
    </w:p>
    <w:p w14:paraId="00000011" w14:textId="47DEB6A3" w:rsidR="004F2BE4" w:rsidRPr="006913C8" w:rsidRDefault="00AF4139" w:rsidP="00755556">
      <w:pPr>
        <w:spacing w:after="240" w:line="360" w:lineRule="auto"/>
        <w:jc w:val="both"/>
        <w:rPr>
          <w:rFonts w:eastAsia="Times New Roman"/>
          <w:b/>
          <w:bCs/>
          <w:sz w:val="24"/>
          <w:szCs w:val="24"/>
          <w:lang w:val="en-GB"/>
        </w:rPr>
      </w:pPr>
      <w:r w:rsidRPr="006913C8">
        <w:rPr>
          <w:rFonts w:eastAsia="Times New Roman"/>
          <w:sz w:val="24"/>
          <w:szCs w:val="24"/>
          <w:lang w:val="en-GB"/>
        </w:rPr>
        <w:t xml:space="preserve">The restructuring strategies will improve profitability and reduce financing costs, to enhance the shareholder value which can lead to a higher EPS and ROE. By the development of cash flows, sustainable dividend payments would be supported to achieve </w:t>
      </w:r>
      <w:r w:rsidR="006913C8" w:rsidRPr="006913C8">
        <w:rPr>
          <w:rFonts w:eastAsia="Times New Roman"/>
          <w:sz w:val="24"/>
          <w:szCs w:val="24"/>
          <w:lang w:val="en-GB"/>
        </w:rPr>
        <w:t>long-term</w:t>
      </w:r>
      <w:r w:rsidRPr="006913C8">
        <w:rPr>
          <w:rFonts w:eastAsia="Times New Roman"/>
          <w:sz w:val="24"/>
          <w:szCs w:val="24"/>
          <w:lang w:val="en-GB"/>
        </w:rPr>
        <w:t xml:space="preserve"> value (Arhinful et al., 2025). The confidence of an investor will be helped by a stronger financial position and a clear growth strategy.</w:t>
      </w:r>
    </w:p>
    <w:p w14:paraId="00000012" w14:textId="4B30C4F8" w:rsidR="004F2BE4" w:rsidRPr="006913C8" w:rsidRDefault="00AF4139" w:rsidP="00755556">
      <w:pPr>
        <w:spacing w:after="240" w:line="360" w:lineRule="auto"/>
        <w:jc w:val="both"/>
        <w:rPr>
          <w:rFonts w:eastAsia="Times New Roman"/>
          <w:b/>
          <w:bCs/>
          <w:i/>
          <w:sz w:val="24"/>
          <w:szCs w:val="24"/>
          <w:lang w:val="en-GB"/>
        </w:rPr>
      </w:pPr>
      <w:r w:rsidRPr="006913C8">
        <w:rPr>
          <w:rFonts w:eastAsia="Times New Roman"/>
          <w:b/>
          <w:bCs/>
          <w:i/>
          <w:sz w:val="24"/>
          <w:szCs w:val="24"/>
          <w:lang w:val="en-GB"/>
        </w:rPr>
        <w:lastRenderedPageBreak/>
        <w:t>Debt Structure</w:t>
      </w:r>
    </w:p>
    <w:p w14:paraId="00000013" w14:textId="77777777"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Debt restructuring and equity injection will strengthen the debt structure of IHG by lowering the debt to equity ratio and enhancing the interest coverage ratio. Less financial leverage will decrease financial risk, increase creditworthiness and enable the company to obtain financing on more favourable terms (Li, 2024). As a result, greater borrowing capacity would allow us flexibility to assist future investments and business expansion.</w:t>
      </w:r>
    </w:p>
    <w:p w14:paraId="00000014" w14:textId="77777777" w:rsidR="004F2BE4" w:rsidRPr="006913C8" w:rsidRDefault="00AF4139" w:rsidP="00755556">
      <w:pPr>
        <w:spacing w:after="240" w:line="360" w:lineRule="auto"/>
        <w:jc w:val="both"/>
        <w:rPr>
          <w:rFonts w:eastAsia="Times New Roman"/>
          <w:b/>
          <w:bCs/>
          <w:i/>
          <w:sz w:val="24"/>
          <w:szCs w:val="24"/>
          <w:lang w:val="en-GB"/>
        </w:rPr>
      </w:pPr>
      <w:r w:rsidRPr="006913C8">
        <w:rPr>
          <w:rFonts w:eastAsia="Times New Roman"/>
          <w:b/>
          <w:bCs/>
          <w:i/>
          <w:sz w:val="24"/>
          <w:szCs w:val="24"/>
          <w:lang w:val="en-GB"/>
        </w:rPr>
        <w:t>Operational Flexibility</w:t>
      </w:r>
    </w:p>
    <w:p w14:paraId="00000015" w14:textId="2F587729"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 xml:space="preserve">Financial restructuring could develop the operational flexibility for the expansion of sustainable initiatives, technology internationally through strengthening the investment capacity and enhancing the availability of cash (Moridu and Abidin, 2023). To respond to economic downturns and changing market </w:t>
      </w:r>
      <w:r w:rsidR="006913C8" w:rsidRPr="006913C8">
        <w:rPr>
          <w:rFonts w:eastAsia="Times New Roman"/>
          <w:sz w:val="24"/>
          <w:szCs w:val="24"/>
          <w:lang w:val="en-GB"/>
        </w:rPr>
        <w:t>conditions more</w:t>
      </w:r>
      <w:r w:rsidRPr="006913C8">
        <w:rPr>
          <w:rFonts w:eastAsia="Times New Roman"/>
          <w:sz w:val="24"/>
          <w:szCs w:val="24"/>
          <w:lang w:val="en-GB"/>
        </w:rPr>
        <w:t xml:space="preserve"> effectively, IHG would enhance liquidity. By enabling it to pursue strategic growth opportunities within the company, a strong position in finance could develop its business resilience and also support the balance of long-term competitiveness and operational efficiency. </w:t>
      </w:r>
    </w:p>
    <w:p w14:paraId="00000016" w14:textId="77777777" w:rsidR="004F2BE4" w:rsidRPr="006913C8" w:rsidRDefault="00AF4139" w:rsidP="00755556">
      <w:pPr>
        <w:pStyle w:val="Heading2"/>
        <w:spacing w:after="240"/>
        <w:rPr>
          <w:lang w:val="en-GB"/>
        </w:rPr>
      </w:pPr>
      <w:bookmarkStart w:id="14" w:name="_Toc235033234"/>
      <w:r w:rsidRPr="006913C8">
        <w:rPr>
          <w:lang w:val="en-GB"/>
        </w:rPr>
        <w:t>3.4 International and Ethical Considerations</w:t>
      </w:r>
      <w:bookmarkEnd w:id="14"/>
    </w:p>
    <w:p w14:paraId="00000017" w14:textId="7B0B0566" w:rsidR="004F2BE4"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Being a global hospitality company operating in various parts of the world, IHG must take into account international financial and ethical factors when planning their restructuring strategy. Across different markets, the policies such as international taxation and corporate taxes could drive profit generation and investment choices. Due to changes in foreign exchange rates, the company faces currency risk which is affecting revenue, operating costs, and debt repayments. When inflation is persistent it leads to higher costs of labour, energy, and procurement. Subsequently, it reduces operating margin as well as cash flows. Implementing effective tax planning, hedging currencies and inflation can help IHG manage these risks. For ethical purposes, financial restructuring must conform with corporate governance and achieve the objective of environmental, social and governance (ESG) (Agbakwuru et al., 2024). By doing business responsibly, reducing carbon emissions, increasing diversity and inclusion, and ensuring transparent financial reporting, a company can increase stakeholder confidence while enhancing corporate reputation and supporting the company’s global competitiveness and long-term sustainable growth.</w:t>
      </w:r>
    </w:p>
    <w:p w14:paraId="0F5E64D6" w14:textId="77777777" w:rsidR="0086595D" w:rsidRPr="00CD41B4" w:rsidRDefault="0086595D" w:rsidP="00755556">
      <w:pPr>
        <w:pStyle w:val="Heading1"/>
        <w:rPr>
          <w:lang w:val="en-GB"/>
        </w:rPr>
      </w:pPr>
      <w:bookmarkStart w:id="15" w:name="_Toc235033235"/>
      <w:r w:rsidRPr="00CD41B4">
        <w:rPr>
          <w:lang w:val="en-GB"/>
        </w:rPr>
        <w:lastRenderedPageBreak/>
        <w:t>4. Investment Appraisal and Capital Budgeting</w:t>
      </w:r>
      <w:bookmarkEnd w:id="15"/>
      <w:r w:rsidRPr="00CD41B4">
        <w:rPr>
          <w:lang w:val="en-GB"/>
        </w:rPr>
        <w:t xml:space="preserve"> </w:t>
      </w:r>
    </w:p>
    <w:p w14:paraId="334F1326" w14:textId="77777777" w:rsidR="0086595D" w:rsidRPr="00CD41B4" w:rsidRDefault="0086595D" w:rsidP="00755556">
      <w:pPr>
        <w:pStyle w:val="Heading2"/>
        <w:rPr>
          <w:lang w:val="en-GB"/>
        </w:rPr>
      </w:pPr>
      <w:bookmarkStart w:id="16" w:name="_Toc235033236"/>
      <w:r w:rsidRPr="00CD41B4">
        <w:rPr>
          <w:lang w:val="en-GB"/>
        </w:rPr>
        <w:t>4.1 Proposed Investment Projects</w:t>
      </w:r>
      <w:bookmarkEnd w:id="16"/>
    </w:p>
    <w:p w14:paraId="7B9E757D" w14:textId="77777777" w:rsidR="0086595D" w:rsidRPr="00CD41B4" w:rsidRDefault="0086595D" w:rsidP="00755556">
      <w:pPr>
        <w:spacing w:after="200" w:line="360" w:lineRule="auto"/>
        <w:jc w:val="both"/>
        <w:rPr>
          <w:rFonts w:eastAsia="Times New Roman"/>
          <w:b/>
          <w:bCs/>
          <w:sz w:val="24"/>
          <w:szCs w:val="24"/>
          <w:lang w:val="en-GB"/>
        </w:rPr>
      </w:pPr>
      <w:r w:rsidRPr="00CD41B4">
        <w:rPr>
          <w:rFonts w:eastAsia="Times New Roman"/>
          <w:b/>
          <w:bCs/>
          <w:sz w:val="24"/>
          <w:szCs w:val="24"/>
          <w:lang w:val="en-GB"/>
        </w:rPr>
        <w:t>Project A</w:t>
      </w:r>
    </w:p>
    <w:p w14:paraId="090E30B4"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At the initial time, in Project A, there is a requirement of £50 million investment, and over the five-year time period, it generates irregular cash inflows. This investment presents a payback period (PBP) of 4.8 years. It has been noted that throughout the project lifecycle there will be delays in the recovery of initial investment. From the management’s assessment, it has been seen that the Accounting Rate of Return (ARR) is 21.6%. A moderate level of accounting profitability is reflected through this value. Despite the steady source of earnings, there is a potential limitation in achieving significant business growth (Focacci, 2022). While Net Present Value (NPV) is –£6.54 million. It means the current value of expected future cash inflows fails to recover the initial investment and the needed 8% cost of capital. </w:t>
      </w:r>
    </w:p>
    <w:p w14:paraId="006F1946"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Profitability Index (PI) of 0.87, which is less than the industry benchmark of 1.0 or above. This lower value means it cannot generate stronger shareholder value. Internal Rate of Return (IRR) of 3%, which also remains low in comparison to the required rate of return. Overall, a comprehensive assessment of Project A indicates that despite the ability of the generation of positive accounting profits, it fails to create shareholder value due to inadequate discounted returns.              </w:t>
      </w:r>
    </w:p>
    <w:p w14:paraId="41294887" w14:textId="77777777" w:rsidR="0086595D" w:rsidRPr="00CD41B4" w:rsidRDefault="0086595D" w:rsidP="00755556">
      <w:pPr>
        <w:spacing w:after="200" w:line="360" w:lineRule="auto"/>
        <w:jc w:val="both"/>
        <w:rPr>
          <w:rFonts w:eastAsia="Times New Roman"/>
          <w:b/>
          <w:bCs/>
          <w:sz w:val="24"/>
          <w:szCs w:val="24"/>
          <w:lang w:val="en-GB"/>
        </w:rPr>
      </w:pPr>
      <w:r w:rsidRPr="00CD41B4">
        <w:rPr>
          <w:rFonts w:eastAsia="Times New Roman"/>
          <w:b/>
          <w:bCs/>
          <w:sz w:val="24"/>
          <w:szCs w:val="24"/>
          <w:lang w:val="en-GB"/>
        </w:rPr>
        <w:t>Project B</w:t>
      </w:r>
    </w:p>
    <w:p w14:paraId="67D0426D"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An initial investment of £50 million is also needed for Project B. However, from this project, equal annual cash inflows can be generated over a five-year time period with a value of £11 million. The payback period of Project B is 5 years, though it generates stable annual cash inflows. ARR for this project is 22%, which indicates there is a slight improvement compared to Project A. NPV of this project is also negative with a value of –£6.08 million. The project’s return is not enough for proposing enough justification for the investment (Sneps-Sneppe, 2023). Its PI value remains below the industry benchmark with a value of 0.88. The required IRR return of 8% cannot be also matches at its value is at 3%. The same amount of cash inflows throughout the year helps in the accurate prediction of future income. With accurate prediction, it is effective for making robust planning on how to finance fulfilling project requirements. Despite such </w:t>
      </w:r>
      <w:r w:rsidRPr="00CD41B4">
        <w:rPr>
          <w:rFonts w:eastAsia="Times New Roman"/>
          <w:sz w:val="24"/>
          <w:szCs w:val="24"/>
          <w:lang w:val="en-GB"/>
        </w:rPr>
        <w:lastRenderedPageBreak/>
        <w:t xml:space="preserve">strengths, it fails in the maximisation of shareholder value. Thus, its financial attractiveness is also low, which decreases its overall financial performance.                 </w:t>
      </w:r>
    </w:p>
    <w:p w14:paraId="3B913DAB" w14:textId="77777777" w:rsidR="0086595D" w:rsidRPr="00CD41B4" w:rsidRDefault="0086595D" w:rsidP="00755556">
      <w:pPr>
        <w:spacing w:after="200" w:line="360" w:lineRule="auto"/>
        <w:jc w:val="both"/>
        <w:rPr>
          <w:rFonts w:eastAsia="Times New Roman"/>
          <w:b/>
          <w:bCs/>
          <w:sz w:val="24"/>
          <w:szCs w:val="24"/>
          <w:lang w:val="en-GB"/>
        </w:rPr>
      </w:pPr>
      <w:r w:rsidRPr="00CD41B4">
        <w:rPr>
          <w:rFonts w:eastAsia="Times New Roman"/>
          <w:b/>
          <w:bCs/>
          <w:sz w:val="24"/>
          <w:szCs w:val="24"/>
          <w:lang w:val="en-GB"/>
        </w:rPr>
        <w:t>Project C</w:t>
      </w:r>
    </w:p>
    <w:p w14:paraId="4DF79C71"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Similar to Project A and Project B, the required initial investment for Project C is £50 million. Financial evaluation reflected that there is an increase in cash inflows from the middle years of the project. Compared to other projects, it has presented the shortest payback period of 3.6 years. The quickest capital recovery is beneficial for the improvement in liquidity level. Higher profitability from the project is indicated by a high ARR value of 26%. Other projects have showcased negative NPV values. In contrast, this project shows a positive NPV value of £0.86 million. This means, besides a higher level of profitability generation, Project C can also create stronger shareholder value. There is a PI value of 1.02 that is greater than the conventional industry benchmark. </w:t>
      </w:r>
    </w:p>
    <w:p w14:paraId="2F39744B"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The financial viability of this project is reflected through this value. Efficient use of the firm’s financial resources and better investment decisions are effective in strengthening financial resilience and maximising the value of shareholders (Wu et al., 2023). Moreover, the IRR is 9%, which is greater than the expected value of 8%. All these financial measures indicate that Project C is attractive for investment and strengthening overall financial performance.         </w:t>
      </w:r>
    </w:p>
    <w:p w14:paraId="4A2F2189" w14:textId="77777777" w:rsidR="0086595D" w:rsidRPr="00CD41B4" w:rsidRDefault="0086595D" w:rsidP="00755556">
      <w:pPr>
        <w:pStyle w:val="Heading2"/>
        <w:rPr>
          <w:lang w:val="en-GB"/>
        </w:rPr>
      </w:pPr>
      <w:bookmarkStart w:id="17" w:name="_Toc235033237"/>
      <w:r w:rsidRPr="00CD41B4">
        <w:rPr>
          <w:lang w:val="en-GB"/>
        </w:rPr>
        <w:t>4.2 Recommendation for the project</w:t>
      </w:r>
      <w:bookmarkEnd w:id="17"/>
    </w:p>
    <w:p w14:paraId="0D2658C4"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The strongest financial performance of Project C is seen in comparison to Project A and Project B from the investment appraisal outcomes. Due to strong financial performance, Project C is recommended to IHG. Initial investment recovery in this project is quick, and there is improved cash availability with the shortest payback period of 3.6 years. ARR value is high, which means the firm is capable in the consistent level of achievement of increased profitability. IHG’s earnings increase with a higher level of profitability, and there is a higher likelihood of strengthening shareholder value. Additional financial resources are significant in strengthening financial resilience as well as maintaining a competitive positioning. Viability for investment is also reflected with a PI value of 1.02 and an IRR value of 9%. It generally reflects a higher level of attractiveness with strong capital efficiency and profitability that supports future sustainable operational growth.    </w:t>
      </w:r>
    </w:p>
    <w:p w14:paraId="1328226F" w14:textId="77777777" w:rsidR="0086595D" w:rsidRPr="00CD41B4" w:rsidRDefault="0086595D" w:rsidP="00755556">
      <w:pPr>
        <w:spacing w:after="200" w:line="360" w:lineRule="auto"/>
        <w:jc w:val="both"/>
        <w:rPr>
          <w:rFonts w:eastAsia="Times New Roman"/>
          <w:b/>
          <w:bCs/>
          <w:sz w:val="24"/>
          <w:szCs w:val="24"/>
          <w:lang w:val="en-GB"/>
        </w:rPr>
      </w:pPr>
      <w:r w:rsidRPr="00CD41B4">
        <w:rPr>
          <w:rFonts w:eastAsia="Times New Roman"/>
          <w:b/>
          <w:bCs/>
          <w:sz w:val="24"/>
          <w:szCs w:val="24"/>
          <w:lang w:val="en-GB"/>
        </w:rPr>
        <w:lastRenderedPageBreak/>
        <w:t xml:space="preserve">Justification of recommendation </w:t>
      </w:r>
    </w:p>
    <w:p w14:paraId="05BDBDE4"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Financial performance and long-term strategy objectives of IHG are consistent with the financial outputs of Project C, which strengthens its relevance level. Over a time period of 2021-2025 there has been a reflection of a higher level of profitability, operational efficiency and cash generation ability of the IHG firm. These values present better financial operation at its operations. Stable cash generation in business is supported when a firm operates under an asset-light business model (Pantulu, 2025). IHG, with this business model, is constantly generating revenue through management and franchise fees. However, its current ratio level remains below 1.0 over the time period. Quick recovery investment is also reflected in the short payback ratio. Other financial indicators also present the viability of investment in Project C and strengthen financial resilience in IHG’s operation and maintain market relevance in a competitive and highly dynamic hospitality sector.     </w:t>
      </w:r>
    </w:p>
    <w:p w14:paraId="5B2A84D4" w14:textId="77777777" w:rsidR="0086595D" w:rsidRPr="00CD41B4" w:rsidRDefault="0086595D" w:rsidP="00755556">
      <w:pPr>
        <w:spacing w:after="200" w:line="360" w:lineRule="auto"/>
        <w:jc w:val="both"/>
        <w:rPr>
          <w:rFonts w:eastAsia="Times New Roman"/>
          <w:sz w:val="24"/>
          <w:szCs w:val="24"/>
          <w:lang w:val="en-GB"/>
        </w:rPr>
      </w:pPr>
      <w:r w:rsidRPr="00CD41B4">
        <w:rPr>
          <w:rFonts w:eastAsia="Times New Roman"/>
          <w:sz w:val="24"/>
          <w:szCs w:val="24"/>
          <w:lang w:val="en-GB"/>
        </w:rPr>
        <w:t xml:space="preserve">Within the global hospitality industry, there is the presence of IHG. Thus, considering the view of non-financial concepts, it has been noted that there is a requirement to consider external factors like currency fluctuations, geopolitical tension, economic uncertainty, and demand changes in travel due to unprecedented situations like the COVID-19 pandemic (Desalegn et al., 2022). The rationale behind such considerations are as those factors pose a negative impact on operations. IHG’s presence in more than 100 countries increases its exposure to varied external situations. Management at IHG, considering internal and external factors, needs to make robust plans for supporting better financial performance and financial growth in the long term. Despite challenges at operation extensive global hotel portfolio, strong loyalty programs enable it to address such issues. It helps in the consistent engagement and retention of consumers and ensures stable revenue growth. For further sustainable growth in business, Project C’s position is better. It is effective for dealing with future uncertainties and maintaining a resilient position.          </w:t>
      </w:r>
    </w:p>
    <w:p w14:paraId="0936B147" w14:textId="77777777" w:rsidR="0086595D" w:rsidRPr="00CD41B4" w:rsidRDefault="0086595D" w:rsidP="00755556">
      <w:pPr>
        <w:pStyle w:val="Heading2"/>
        <w:rPr>
          <w:lang w:val="en-GB"/>
        </w:rPr>
      </w:pPr>
      <w:bookmarkStart w:id="18" w:name="_Toc235033238"/>
      <w:r w:rsidRPr="00CD41B4">
        <w:rPr>
          <w:lang w:val="en-GB"/>
        </w:rPr>
        <w:t>4.3 Capital Rationing Recommendation</w:t>
      </w:r>
      <w:bookmarkEnd w:id="18"/>
    </w:p>
    <w:p w14:paraId="70DB1622" w14:textId="123BB8BA" w:rsidR="0086595D" w:rsidRPr="006913C8" w:rsidRDefault="0086595D" w:rsidP="00755556">
      <w:pPr>
        <w:spacing w:after="240" w:line="360" w:lineRule="auto"/>
        <w:jc w:val="both"/>
        <w:rPr>
          <w:rFonts w:eastAsia="Times New Roman"/>
          <w:sz w:val="24"/>
          <w:szCs w:val="24"/>
          <w:lang w:val="en-GB"/>
        </w:rPr>
      </w:pPr>
      <w:r w:rsidRPr="00CD41B4">
        <w:rPr>
          <w:rFonts w:eastAsia="Times New Roman"/>
          <w:sz w:val="24"/>
          <w:szCs w:val="24"/>
          <w:lang w:val="en-GB"/>
        </w:rPr>
        <w:t xml:space="preserve">Capital rationing is the process where there is a limitation on capital expenditure that forces the selection of the most financially viable project that supports further growth in the project. Invest budget at IHG is £100 million. This means only investment in two projects can be done, as each project requires investment of £50 million. From the </w:t>
      </w:r>
      <w:r w:rsidRPr="00CD41B4">
        <w:rPr>
          <w:rFonts w:eastAsia="Times New Roman"/>
          <w:sz w:val="24"/>
          <w:szCs w:val="24"/>
          <w:lang w:val="en-GB"/>
        </w:rPr>
        <w:lastRenderedPageBreak/>
        <w:t>investment appraisal results, the choice is only project B and project C. Despite the negative value of NPV, project B represents a better performance when compared with Project A. B’s ARR value is 22% and PI value of 0.88. On the other hand, the first priority needs to be given to Project C as its NPV value is positive at £0.86 million, ARR value of 26%, PI value of 1.02 and IRR value of 9%. When there is a combination of B and C project investment, there is better financial performance compared to considering the combination of A and C projects. Key benefits for the selection of this project are the effective utilisation of the £100 million investment. It helps in making a well-balanced balance of profitability and stability in the cash inflows. A profitable return with increased shareholder value is ensured from Project C, while there is stability in operation and annual cash flow is ensured from Project B.  Overall, IHG become able to sustain long-term financial performance.</w:t>
      </w:r>
    </w:p>
    <w:p w14:paraId="00000018" w14:textId="77777777" w:rsidR="004F2BE4" w:rsidRPr="006913C8" w:rsidRDefault="00AF4139" w:rsidP="00755556">
      <w:pPr>
        <w:pStyle w:val="Heading1"/>
        <w:spacing w:after="240"/>
        <w:rPr>
          <w:lang w:val="en-GB"/>
        </w:rPr>
      </w:pPr>
      <w:bookmarkStart w:id="19" w:name="_Toc235033239"/>
      <w:r w:rsidRPr="006913C8">
        <w:rPr>
          <w:lang w:val="en-GB"/>
        </w:rPr>
        <w:t>5. Critical Reflection on AI Usage</w:t>
      </w:r>
      <w:bookmarkEnd w:id="19"/>
    </w:p>
    <w:p w14:paraId="00000019" w14:textId="77777777" w:rsidR="004F2BE4" w:rsidRPr="006913C8" w:rsidRDefault="00AF4139" w:rsidP="00755556">
      <w:pPr>
        <w:pStyle w:val="Heading2"/>
        <w:spacing w:after="240"/>
        <w:rPr>
          <w:lang w:val="en-GB"/>
        </w:rPr>
      </w:pPr>
      <w:bookmarkStart w:id="20" w:name="_Toc235033240"/>
      <w:r w:rsidRPr="006913C8">
        <w:rPr>
          <w:lang w:val="en-GB"/>
        </w:rPr>
        <w:t>5.1 Tool Disclosure</w:t>
      </w:r>
      <w:bookmarkEnd w:id="20"/>
    </w:p>
    <w:p w14:paraId="0000001A" w14:textId="0545F1C6"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In this report, ChatGPT is used as an AI tool for getting the ideas and in the preparation process. It is not used for independent analysis as a substitute. This tool is mainly used to get the structure of the report initially</w:t>
      </w:r>
      <w:r w:rsidR="00DB3818" w:rsidRPr="006913C8">
        <w:rPr>
          <w:rFonts w:eastAsia="Times New Roman"/>
          <w:sz w:val="24"/>
          <w:szCs w:val="24"/>
          <w:lang w:val="en-GB"/>
        </w:rPr>
        <w:t>, explain</w:t>
      </w:r>
      <w:r w:rsidRPr="006913C8">
        <w:rPr>
          <w:rFonts w:eastAsia="Times New Roman"/>
          <w:sz w:val="24"/>
          <w:szCs w:val="24"/>
          <w:lang w:val="en-GB"/>
        </w:rPr>
        <w:t xml:space="preserve"> the concepts of financial management, develop the academic writing and enhance the clarity within the organisational content. This tool also helps to summarize the data from the financial discussion and information from the academic literature. The financial and company-specific information was taken directly from InterContinental Hotels Group (IHG) annual reports and other relevant academic sources. As per the University’s AI Use Acknowledgement requirements</w:t>
      </w:r>
      <w:r w:rsidR="00DB3818" w:rsidRPr="006913C8">
        <w:rPr>
          <w:rFonts w:eastAsia="Times New Roman"/>
          <w:sz w:val="24"/>
          <w:szCs w:val="24"/>
          <w:lang w:val="en-GB"/>
        </w:rPr>
        <w:t>, all</w:t>
      </w:r>
      <w:r w:rsidRPr="006913C8">
        <w:rPr>
          <w:rFonts w:eastAsia="Times New Roman"/>
          <w:sz w:val="24"/>
          <w:szCs w:val="24"/>
          <w:lang w:val="en-GB"/>
        </w:rPr>
        <w:t xml:space="preserve"> use of AI has been disclosed, and developing all key evaluations and recommendations are responsible for verifying information, interpreting financial results.</w:t>
      </w:r>
    </w:p>
    <w:p w14:paraId="0000001B" w14:textId="77777777" w:rsidR="004F2BE4" w:rsidRPr="006913C8" w:rsidRDefault="00AF4139" w:rsidP="00755556">
      <w:pPr>
        <w:pStyle w:val="Heading2"/>
        <w:spacing w:after="240"/>
        <w:rPr>
          <w:lang w:val="en-GB"/>
        </w:rPr>
      </w:pPr>
      <w:bookmarkStart w:id="21" w:name="_Toc235033241"/>
      <w:r w:rsidRPr="006913C8">
        <w:rPr>
          <w:lang w:val="en-GB"/>
        </w:rPr>
        <w:t>5.2 Critical Evaluation of AI Output</w:t>
      </w:r>
      <w:bookmarkEnd w:id="21"/>
    </w:p>
    <w:p w14:paraId="0000001C" w14:textId="067E6535"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 xml:space="preserve">An accurate AI generated financial interpretation has been verified by manual calculations and the systematic review of the reliable sources. In the annual reports, audited financial statements, and relevant academic literature of </w:t>
      </w:r>
      <w:r w:rsidR="006913C8" w:rsidRPr="006913C8">
        <w:rPr>
          <w:rFonts w:eastAsia="Times New Roman"/>
          <w:sz w:val="24"/>
          <w:szCs w:val="24"/>
          <w:lang w:val="en-GB"/>
        </w:rPr>
        <w:t>IHG,</w:t>
      </w:r>
      <w:r w:rsidRPr="006913C8">
        <w:rPr>
          <w:rFonts w:eastAsia="Times New Roman"/>
          <w:sz w:val="24"/>
          <w:szCs w:val="24"/>
          <w:lang w:val="en-GB"/>
        </w:rPr>
        <w:t xml:space="preserve"> the financial figures were crosschecked through AI for accuracy and consistency. The required ratio </w:t>
      </w:r>
      <w:r w:rsidRPr="006913C8">
        <w:rPr>
          <w:rFonts w:eastAsia="Times New Roman"/>
          <w:sz w:val="24"/>
          <w:szCs w:val="24"/>
          <w:lang w:val="en-GB"/>
        </w:rPr>
        <w:lastRenderedPageBreak/>
        <w:t>analysis and investment appraisal calculations (Payback Period, ARR, NPV, PI, IRR) had all been recalculated independently on Microsoft Excel to verify the output from the AI. Throughout this process, a number of logical mistakes and potential ‘hallucinations’ were spotted and rectified. These included incorrect financial assumptions, flawed interpretations of ratios, calculation errors and so on, which were corrected by referring to the original company disclosures and standard financial management formulas. The purpose of this verification was to confirm that the report was not merely generated by AI, but based on proper facts and figures for the right analysis.</w:t>
      </w:r>
    </w:p>
    <w:p w14:paraId="0000001D" w14:textId="77777777" w:rsidR="004F2BE4" w:rsidRPr="006913C8" w:rsidRDefault="00AF4139" w:rsidP="00755556">
      <w:pPr>
        <w:pStyle w:val="Heading2"/>
        <w:spacing w:after="240"/>
        <w:rPr>
          <w:lang w:val="en-GB"/>
        </w:rPr>
      </w:pPr>
      <w:bookmarkStart w:id="22" w:name="_Toc235033242"/>
      <w:r w:rsidRPr="006913C8">
        <w:rPr>
          <w:lang w:val="en-GB"/>
        </w:rPr>
        <w:t>5.3 Contribution Analysis</w:t>
      </w:r>
      <w:bookmarkEnd w:id="22"/>
    </w:p>
    <w:p w14:paraId="0000001E" w14:textId="77777777"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Artificial Intelligence made major contributions towards structuring and presentation of the report by helping in construction of the report's framework, improving academic writing, and explaining financial management analytical concepts and methods.</w:t>
      </w:r>
    </w:p>
    <w:p w14:paraId="0000001F" w14:textId="77777777"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The preliminary drafting of content and the polishing of the language also was supported to make it coherent and readable. Nonetheless, the author conducted the critical analysis, interpretation of the financial performance of InterContinental Hotels Group (IHG), the ratio analysis, the investment appraisal, and the strategic financial recommendations independent of each other. All financial computations were performed and verified into Microsoft Excel. The conclusion was drawn from the IHG annual and supporting publications. In analysing the financial performance, evaluating the alternatives. The final synthesis of the different papers expresses the judgement of the author in terms of assessing the financial performance of the selected hotel, choosing an appropriate restructuring strategy, analysing the investment alternatives, and relating theoretical concepts to practical business decision making in the hospitality industry.</w:t>
      </w:r>
    </w:p>
    <w:p w14:paraId="00000020" w14:textId="77777777" w:rsidR="004F2BE4" w:rsidRPr="006913C8" w:rsidRDefault="00AF4139" w:rsidP="00755556">
      <w:pPr>
        <w:pStyle w:val="Heading2"/>
        <w:spacing w:after="240"/>
        <w:rPr>
          <w:lang w:val="en-GB"/>
        </w:rPr>
      </w:pPr>
      <w:bookmarkStart w:id="23" w:name="_Toc235033243"/>
      <w:r w:rsidRPr="006913C8">
        <w:rPr>
          <w:lang w:val="en-GB"/>
        </w:rPr>
        <w:t>5.4 Ethical &amp; Professional Reflection</w:t>
      </w:r>
      <w:bookmarkEnd w:id="23"/>
    </w:p>
    <w:p w14:paraId="00000021" w14:textId="43492062"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 xml:space="preserve">AI adoption in financial professions has many advantages, but the ethical and professional issues shouldn’t be overlooked. An organization or financial professional must disclose the use of AI in the support of any analysis or decision (Owolabi et al., 2024). AI-assisted contributions are acknowledged in this report, and all interpretations </w:t>
      </w:r>
      <w:r w:rsidRPr="006913C8">
        <w:rPr>
          <w:rFonts w:eastAsia="Times New Roman"/>
          <w:sz w:val="24"/>
          <w:szCs w:val="24"/>
          <w:lang w:val="en-GB"/>
        </w:rPr>
        <w:lastRenderedPageBreak/>
        <w:t xml:space="preserve">and financial recommendations remain that of the author. When dealing with sensitive financial data, data privacy is an important </w:t>
      </w:r>
      <w:r w:rsidR="00755556" w:rsidRPr="006913C8">
        <w:rPr>
          <w:rFonts w:eastAsia="Times New Roman"/>
          <w:sz w:val="24"/>
          <w:szCs w:val="24"/>
          <w:lang w:val="en-GB"/>
        </w:rPr>
        <w:t>consideration to</w:t>
      </w:r>
      <w:r w:rsidRPr="006913C8">
        <w:rPr>
          <w:rFonts w:eastAsia="Times New Roman"/>
          <w:sz w:val="24"/>
          <w:szCs w:val="24"/>
          <w:lang w:val="en-GB"/>
        </w:rPr>
        <w:t xml:space="preserve"> use AI only in compliance with relevant data protection regulations and organisational policies for protecting the sensitive corporate data. </w:t>
      </w:r>
    </w:p>
    <w:p w14:paraId="00000022" w14:textId="77777777"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Sometimes, AI can provide incorrect, outdated and unfounded data (Hamdy et al., 2025). So, the excessive dependency on AI can reduce our ability of professional judgement. AI can be used as a supportive tool. Ethical, transparent and accountable financial decision-making will be ensured the independent judgement by employing professional scepticism</w:t>
      </w:r>
    </w:p>
    <w:p w14:paraId="00000023" w14:textId="77777777" w:rsidR="004F2BE4" w:rsidRPr="006913C8" w:rsidRDefault="00AF4139" w:rsidP="00755556">
      <w:pPr>
        <w:pStyle w:val="Heading1"/>
        <w:spacing w:after="240"/>
        <w:rPr>
          <w:lang w:val="en-GB"/>
        </w:rPr>
      </w:pPr>
      <w:bookmarkStart w:id="24" w:name="_Toc235033244"/>
      <w:r w:rsidRPr="006913C8">
        <w:rPr>
          <w:lang w:val="en-GB"/>
        </w:rPr>
        <w:t>Conclusion</w:t>
      </w:r>
      <w:bookmarkEnd w:id="24"/>
    </w:p>
    <w:p w14:paraId="00000024" w14:textId="77777777" w:rsidR="004F2BE4" w:rsidRPr="006913C8" w:rsidRDefault="00AF4139" w:rsidP="00755556">
      <w:pPr>
        <w:spacing w:after="240" w:line="360" w:lineRule="auto"/>
        <w:jc w:val="both"/>
        <w:rPr>
          <w:rFonts w:eastAsia="Times New Roman"/>
          <w:sz w:val="24"/>
          <w:szCs w:val="24"/>
          <w:lang w:val="en-GB"/>
        </w:rPr>
      </w:pPr>
      <w:r w:rsidRPr="006913C8">
        <w:rPr>
          <w:rFonts w:eastAsia="Times New Roman"/>
          <w:sz w:val="24"/>
          <w:szCs w:val="24"/>
          <w:lang w:val="en-GB"/>
        </w:rPr>
        <w:t>In conclusion, IHG achieved strong revenue growth, cash flow, profitability, and operational efficiency between 2021 and 2025. The asset-light business model supports financial analysis. The key concerns are remaining in Weak liquidity and a negative equity position. To gain sustainable shareholder value and strengthen long-term financial resilience, debt restructuring, asset optimisation, and prudent investment selection can be recommended.</w:t>
      </w:r>
    </w:p>
    <w:p w14:paraId="00000025" w14:textId="77777777" w:rsidR="004F2BE4" w:rsidRPr="006913C8" w:rsidRDefault="004F2BE4" w:rsidP="00755556">
      <w:pPr>
        <w:spacing w:after="240" w:line="360" w:lineRule="auto"/>
        <w:jc w:val="both"/>
        <w:rPr>
          <w:rFonts w:eastAsia="Times New Roman"/>
          <w:sz w:val="24"/>
          <w:szCs w:val="24"/>
          <w:lang w:val="en-GB"/>
        </w:rPr>
      </w:pPr>
    </w:p>
    <w:p w14:paraId="693FC307" w14:textId="36A2F89D" w:rsidR="004F2BE4" w:rsidRPr="006913C8" w:rsidRDefault="006913C8" w:rsidP="00755556">
      <w:pPr>
        <w:spacing w:after="240" w:line="360" w:lineRule="auto"/>
        <w:rPr>
          <w:rFonts w:eastAsia="Times New Roman"/>
          <w:sz w:val="24"/>
          <w:szCs w:val="24"/>
          <w:lang w:val="en-GB"/>
        </w:rPr>
      </w:pPr>
      <w:r>
        <w:rPr>
          <w:rFonts w:eastAsia="Times New Roman"/>
          <w:sz w:val="24"/>
          <w:szCs w:val="24"/>
          <w:lang w:val="en-GB"/>
        </w:rPr>
        <w:br w:type="page"/>
      </w:r>
    </w:p>
    <w:p w14:paraId="00000027" w14:textId="77777777" w:rsidR="004F2BE4" w:rsidRPr="006913C8" w:rsidRDefault="00AF4139" w:rsidP="00755556">
      <w:pPr>
        <w:spacing w:after="240" w:line="360" w:lineRule="auto"/>
        <w:jc w:val="both"/>
        <w:rPr>
          <w:rFonts w:eastAsia="Times New Roman"/>
          <w:b/>
          <w:bCs/>
          <w:sz w:val="24"/>
          <w:szCs w:val="24"/>
          <w:lang w:val="en-GB"/>
        </w:rPr>
      </w:pPr>
      <w:r w:rsidRPr="006913C8">
        <w:rPr>
          <w:rFonts w:eastAsia="Times New Roman"/>
          <w:b/>
          <w:bCs/>
          <w:sz w:val="24"/>
          <w:szCs w:val="24"/>
          <w:lang w:val="en-GB"/>
        </w:rPr>
        <w:lastRenderedPageBreak/>
        <w:t>References</w:t>
      </w:r>
    </w:p>
    <w:p w14:paraId="122F1FC6" w14:textId="65608BA2" w:rsidR="0086595D" w:rsidRPr="006913C8" w:rsidRDefault="0086595D" w:rsidP="00755556">
      <w:pPr>
        <w:spacing w:after="240" w:line="360" w:lineRule="auto"/>
        <w:jc w:val="both"/>
        <w:rPr>
          <w:sz w:val="24"/>
          <w:szCs w:val="24"/>
          <w:lang w:val="en-GB"/>
        </w:rPr>
      </w:pPr>
      <w:r w:rsidRPr="006913C8">
        <w:rPr>
          <w:color w:val="222222"/>
          <w:sz w:val="24"/>
          <w:szCs w:val="24"/>
          <w:highlight w:val="white"/>
          <w:lang w:val="en-GB"/>
        </w:rPr>
        <w:t xml:space="preserve">Agbakwuru, V., </w:t>
      </w:r>
      <w:r w:rsidR="00C277E1">
        <w:rPr>
          <w:color w:val="222222"/>
          <w:sz w:val="24"/>
          <w:szCs w:val="24"/>
          <w:highlight w:val="white"/>
          <w:lang w:val="en-GB"/>
        </w:rPr>
        <w:t>et al</w:t>
      </w:r>
      <w:r w:rsidRPr="006913C8">
        <w:rPr>
          <w:color w:val="222222"/>
          <w:sz w:val="24"/>
          <w:szCs w:val="24"/>
          <w:highlight w:val="white"/>
          <w:lang w:val="en-GB"/>
        </w:rPr>
        <w:t xml:space="preserve">., (2024). ‘The impact of environmental, social, and governance (ESG) reporting on corporate financial performance’. </w:t>
      </w:r>
      <w:r w:rsidRPr="006913C8">
        <w:rPr>
          <w:i/>
          <w:iCs/>
          <w:color w:val="222222"/>
          <w:sz w:val="24"/>
          <w:szCs w:val="24"/>
          <w:highlight w:val="white"/>
          <w:lang w:val="en-GB"/>
        </w:rPr>
        <w:t>International Journal of Research Publication and Reviews</w:t>
      </w:r>
      <w:r w:rsidRPr="006913C8">
        <w:rPr>
          <w:color w:val="222222"/>
          <w:sz w:val="24"/>
          <w:szCs w:val="24"/>
          <w:highlight w:val="white"/>
          <w:lang w:val="en-GB"/>
        </w:rPr>
        <w:t xml:space="preserve">, </w:t>
      </w:r>
      <w:r w:rsidRPr="006913C8">
        <w:rPr>
          <w:i/>
          <w:iCs/>
          <w:color w:val="222222"/>
          <w:sz w:val="24"/>
          <w:szCs w:val="24"/>
          <w:highlight w:val="white"/>
          <w:lang w:val="en-GB"/>
        </w:rPr>
        <w:t>5</w:t>
      </w:r>
      <w:r w:rsidRPr="006913C8">
        <w:rPr>
          <w:color w:val="222222"/>
          <w:sz w:val="24"/>
          <w:szCs w:val="24"/>
          <w:highlight w:val="white"/>
          <w:lang w:val="en-GB"/>
        </w:rPr>
        <w:t>(9), pp.3629-3644.</w:t>
      </w:r>
      <w:hyperlink r:id="rId8">
        <w:r w:rsidRPr="006913C8">
          <w:rPr>
            <w:color w:val="1155CC"/>
            <w:sz w:val="24"/>
            <w:szCs w:val="24"/>
            <w:highlight w:val="white"/>
            <w:u w:val="single"/>
            <w:lang w:val="en-GB"/>
          </w:rPr>
          <w:t>https://www.researchgate.net/profile/Victoria-Agbakwuru/publication/384533952_The_Impact_of_Environmental_Social_and_Governance_ESG_Reporting_on_Corporate_Financial_Performance/links/66fc4427b753fa724d561989/The-Impact-of-Environmental-Social-and-Governance-ESG-Reporting-on-Corporate-Financial-Performance.pdf</w:t>
        </w:r>
      </w:hyperlink>
      <w:r w:rsidRPr="006913C8">
        <w:rPr>
          <w:color w:val="222222"/>
          <w:sz w:val="24"/>
          <w:szCs w:val="24"/>
          <w:highlight w:val="white"/>
          <w:lang w:val="en-GB"/>
        </w:rPr>
        <w:t xml:space="preserve"> </w:t>
      </w:r>
      <w:r w:rsidRPr="006913C8">
        <w:rPr>
          <w:sz w:val="24"/>
          <w:szCs w:val="24"/>
          <w:lang w:val="en-GB"/>
        </w:rPr>
        <w:t xml:space="preserve"> </w:t>
      </w:r>
    </w:p>
    <w:p w14:paraId="34E2A6C1" w14:textId="55578A99" w:rsidR="0086595D" w:rsidRPr="006913C8" w:rsidRDefault="0086595D" w:rsidP="00755556">
      <w:pPr>
        <w:spacing w:after="240" w:line="360" w:lineRule="auto"/>
        <w:jc w:val="both"/>
        <w:rPr>
          <w:sz w:val="24"/>
          <w:szCs w:val="24"/>
          <w:lang w:val="en-GB"/>
        </w:rPr>
      </w:pPr>
      <w:r w:rsidRPr="006913C8">
        <w:rPr>
          <w:color w:val="222222"/>
          <w:sz w:val="24"/>
          <w:szCs w:val="24"/>
          <w:highlight w:val="white"/>
          <w:lang w:val="en-GB"/>
        </w:rPr>
        <w:t xml:space="preserve">Almestarihi, R., </w:t>
      </w:r>
      <w:r w:rsidR="003C2CC0">
        <w:rPr>
          <w:color w:val="222222"/>
          <w:sz w:val="24"/>
          <w:szCs w:val="24"/>
          <w:highlight w:val="white"/>
          <w:lang w:val="en-GB"/>
        </w:rPr>
        <w:t>et al.</w:t>
      </w:r>
      <w:r w:rsidRPr="006913C8">
        <w:rPr>
          <w:color w:val="222222"/>
          <w:sz w:val="24"/>
          <w:szCs w:val="24"/>
          <w:highlight w:val="white"/>
          <w:lang w:val="en-GB"/>
        </w:rPr>
        <w:t xml:space="preserve">, (2024). ‘Measuring the ROI of paid advertising campaigns in digital marketing and its effect on business profitability’. </w:t>
      </w:r>
      <w:hyperlink r:id="rId9">
        <w:r w:rsidRPr="006913C8">
          <w:rPr>
            <w:color w:val="1155CC"/>
            <w:sz w:val="24"/>
            <w:szCs w:val="24"/>
            <w:highlight w:val="white"/>
            <w:u w:val="single"/>
            <w:lang w:val="en-GB"/>
          </w:rPr>
          <w:t>https://www.researchgate.net/profile/Ibrahim-Abu-Alsondos/publication/377573548_Measuring_the_ROI_of_paid_advertising_campaigns_in_digital_marketing_and_its_effect_on_business_profitability/links/65b4ef8779007454973c077d/Measuring-the-ROI-of-paid-advertising-campaigns-in-digital-marketing-and-its-effect-on-business-profitability.pdf</w:t>
        </w:r>
      </w:hyperlink>
      <w:r w:rsidRPr="006913C8">
        <w:rPr>
          <w:color w:val="222222"/>
          <w:sz w:val="24"/>
          <w:szCs w:val="24"/>
          <w:highlight w:val="white"/>
          <w:lang w:val="en-GB"/>
        </w:rPr>
        <w:t xml:space="preserve"> </w:t>
      </w:r>
      <w:r w:rsidRPr="006913C8">
        <w:rPr>
          <w:sz w:val="24"/>
          <w:szCs w:val="24"/>
          <w:lang w:val="en-GB"/>
        </w:rPr>
        <w:t xml:space="preserve"> </w:t>
      </w:r>
    </w:p>
    <w:p w14:paraId="7623F9F3"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Amin, H.I.M. and Cek, K., (2023). ‘The effect of golden ratio-based capital structure on firm’s financial performance’. </w:t>
      </w:r>
      <w:r w:rsidRPr="0086595D">
        <w:rPr>
          <w:rFonts w:ascii="Arial" w:hAnsi="Arial" w:cs="Arial"/>
          <w:i/>
          <w:iCs/>
          <w:color w:val="222222"/>
          <w:shd w:val="clear" w:color="auto" w:fill="FFFFFF"/>
        </w:rPr>
        <w:t>Sustainability</w:t>
      </w:r>
      <w:r w:rsidRPr="0086595D">
        <w:rPr>
          <w:rFonts w:ascii="Arial" w:hAnsi="Arial" w:cs="Arial"/>
          <w:color w:val="222222"/>
          <w:shd w:val="clear" w:color="auto" w:fill="FFFFFF"/>
        </w:rPr>
        <w:t xml:space="preserve">, </w:t>
      </w:r>
      <w:r w:rsidRPr="0086595D">
        <w:rPr>
          <w:rFonts w:ascii="Arial" w:hAnsi="Arial" w:cs="Arial"/>
          <w:i/>
          <w:iCs/>
          <w:color w:val="222222"/>
          <w:shd w:val="clear" w:color="auto" w:fill="FFFFFF"/>
        </w:rPr>
        <w:t>15</w:t>
      </w:r>
      <w:r w:rsidRPr="0086595D">
        <w:rPr>
          <w:rFonts w:ascii="Arial" w:hAnsi="Arial" w:cs="Arial"/>
          <w:color w:val="222222"/>
          <w:shd w:val="clear" w:color="auto" w:fill="FFFFFF"/>
        </w:rPr>
        <w:t>(9), p.7424.</w:t>
      </w:r>
      <w:r w:rsidRPr="0086595D">
        <w:rPr>
          <w:rFonts w:ascii="Arial" w:hAnsi="Arial" w:cs="Arial"/>
          <w:color w:val="000000"/>
        </w:rPr>
        <w:t xml:space="preserve"> </w:t>
      </w:r>
      <w:hyperlink r:id="rId10" w:history="1">
        <w:r w:rsidRPr="0086595D">
          <w:rPr>
            <w:rStyle w:val="Hyperlink"/>
            <w:rFonts w:ascii="Arial" w:hAnsi="Arial" w:cs="Arial"/>
            <w:color w:val="1155CC"/>
          </w:rPr>
          <w:t>https://www.mdpi.com/2071-1050/15/9/7424</w:t>
        </w:r>
      </w:hyperlink>
    </w:p>
    <w:p w14:paraId="5D38D630" w14:textId="5DF91BEB" w:rsidR="0086595D" w:rsidRPr="006913C8" w:rsidRDefault="0086595D" w:rsidP="00755556">
      <w:pPr>
        <w:spacing w:after="240" w:line="360" w:lineRule="auto"/>
        <w:jc w:val="both"/>
        <w:rPr>
          <w:sz w:val="24"/>
          <w:szCs w:val="24"/>
          <w:lang w:val="en-GB"/>
        </w:rPr>
      </w:pPr>
      <w:r w:rsidRPr="006913C8">
        <w:rPr>
          <w:color w:val="222222"/>
          <w:sz w:val="24"/>
          <w:szCs w:val="24"/>
          <w:highlight w:val="white"/>
          <w:lang w:val="en-GB"/>
        </w:rPr>
        <w:t xml:space="preserve">Arhinful, R., </w:t>
      </w:r>
      <w:r w:rsidR="007D3923">
        <w:rPr>
          <w:color w:val="222222"/>
          <w:sz w:val="24"/>
          <w:szCs w:val="24"/>
          <w:highlight w:val="white"/>
          <w:lang w:val="en-GB"/>
        </w:rPr>
        <w:t>et al</w:t>
      </w:r>
      <w:r w:rsidRPr="006913C8">
        <w:rPr>
          <w:color w:val="222222"/>
          <w:sz w:val="24"/>
          <w:szCs w:val="24"/>
          <w:highlight w:val="white"/>
          <w:lang w:val="en-GB"/>
        </w:rPr>
        <w:t xml:space="preserve">., (2025). ‘Signaling sustainability: The impact of sustainable finance on dividend policy among firms listed on the London stock exchange’. </w:t>
      </w:r>
      <w:r w:rsidRPr="006913C8">
        <w:rPr>
          <w:i/>
          <w:iCs/>
          <w:color w:val="222222"/>
          <w:sz w:val="24"/>
          <w:szCs w:val="24"/>
          <w:highlight w:val="white"/>
          <w:lang w:val="en-GB"/>
        </w:rPr>
        <w:t>Business Strategy and the Environment</w:t>
      </w:r>
      <w:r w:rsidRPr="006913C8">
        <w:rPr>
          <w:color w:val="222222"/>
          <w:sz w:val="24"/>
          <w:szCs w:val="24"/>
          <w:highlight w:val="white"/>
          <w:lang w:val="en-GB"/>
        </w:rPr>
        <w:t xml:space="preserve">, </w:t>
      </w:r>
      <w:r w:rsidRPr="006913C8">
        <w:rPr>
          <w:i/>
          <w:iCs/>
          <w:color w:val="222222"/>
          <w:sz w:val="24"/>
          <w:szCs w:val="24"/>
          <w:highlight w:val="white"/>
          <w:lang w:val="en-GB"/>
        </w:rPr>
        <w:t>34</w:t>
      </w:r>
      <w:r w:rsidRPr="006913C8">
        <w:rPr>
          <w:color w:val="222222"/>
          <w:sz w:val="24"/>
          <w:szCs w:val="24"/>
          <w:highlight w:val="white"/>
          <w:lang w:val="en-GB"/>
        </w:rPr>
        <w:t xml:space="preserve">(7), pp.8001-8019. </w:t>
      </w:r>
      <w:hyperlink r:id="rId11">
        <w:r w:rsidRPr="006913C8">
          <w:rPr>
            <w:color w:val="1155CC"/>
            <w:sz w:val="24"/>
            <w:szCs w:val="24"/>
            <w:highlight w:val="white"/>
            <w:u w:val="single"/>
            <w:lang w:val="en-GB"/>
          </w:rPr>
          <w:t>https://onlinelibrary.wiley.com/doi/pdf/10.1002/bse.70020</w:t>
        </w:r>
      </w:hyperlink>
      <w:r w:rsidRPr="006913C8">
        <w:rPr>
          <w:color w:val="222222"/>
          <w:sz w:val="24"/>
          <w:szCs w:val="24"/>
          <w:highlight w:val="white"/>
          <w:lang w:val="en-GB"/>
        </w:rPr>
        <w:t xml:space="preserve"> </w:t>
      </w:r>
      <w:r w:rsidRPr="006913C8">
        <w:rPr>
          <w:sz w:val="24"/>
          <w:szCs w:val="24"/>
          <w:lang w:val="en-GB"/>
        </w:rPr>
        <w:t xml:space="preserve"> </w:t>
      </w:r>
    </w:p>
    <w:p w14:paraId="687DD377" w14:textId="065A7DED"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Aslam, R., </w:t>
      </w:r>
      <w:r w:rsidR="00B62375">
        <w:rPr>
          <w:rFonts w:ascii="Arial" w:hAnsi="Arial" w:cs="Arial"/>
          <w:color w:val="222222"/>
          <w:shd w:val="clear" w:color="auto" w:fill="FFFFFF"/>
        </w:rPr>
        <w:t>et al</w:t>
      </w:r>
      <w:r w:rsidRPr="0086595D">
        <w:rPr>
          <w:rFonts w:ascii="Arial" w:hAnsi="Arial" w:cs="Arial"/>
          <w:color w:val="222222"/>
          <w:shd w:val="clear" w:color="auto" w:fill="FFFFFF"/>
        </w:rPr>
        <w:t xml:space="preserve">., (2025). ‘How Macroeconomic Factors Affect the Leverage Behavior? A Model of Asset Light and Fee-Oriented Strategy in the Hospitality Industry’. </w:t>
      </w:r>
      <w:r w:rsidRPr="0086595D">
        <w:rPr>
          <w:rFonts w:ascii="Arial" w:hAnsi="Arial" w:cs="Arial"/>
          <w:i/>
          <w:iCs/>
          <w:color w:val="222222"/>
          <w:shd w:val="clear" w:color="auto" w:fill="FFFFFF"/>
        </w:rPr>
        <w:t>The Critical Review of Social Sciences Studies</w:t>
      </w:r>
      <w:r w:rsidRPr="0086595D">
        <w:rPr>
          <w:rFonts w:ascii="Arial" w:hAnsi="Arial" w:cs="Arial"/>
          <w:color w:val="222222"/>
          <w:shd w:val="clear" w:color="auto" w:fill="FFFFFF"/>
        </w:rPr>
        <w:t xml:space="preserve">, </w:t>
      </w:r>
      <w:r w:rsidRPr="0086595D">
        <w:rPr>
          <w:rFonts w:ascii="Arial" w:hAnsi="Arial" w:cs="Arial"/>
          <w:i/>
          <w:iCs/>
          <w:color w:val="222222"/>
          <w:shd w:val="clear" w:color="auto" w:fill="FFFFFF"/>
        </w:rPr>
        <w:t>3</w:t>
      </w:r>
      <w:r w:rsidRPr="0086595D">
        <w:rPr>
          <w:rFonts w:ascii="Arial" w:hAnsi="Arial" w:cs="Arial"/>
          <w:color w:val="222222"/>
          <w:shd w:val="clear" w:color="auto" w:fill="FFFFFF"/>
        </w:rPr>
        <w:t>(1), pp.985-1003.</w:t>
      </w:r>
      <w:r w:rsidRPr="0086595D">
        <w:rPr>
          <w:rFonts w:ascii="Arial" w:hAnsi="Arial" w:cs="Arial"/>
          <w:color w:val="000000"/>
        </w:rPr>
        <w:t xml:space="preserve"> </w:t>
      </w:r>
      <w:hyperlink r:id="rId12" w:history="1">
        <w:r w:rsidRPr="0086595D">
          <w:rPr>
            <w:rStyle w:val="Hyperlink"/>
            <w:rFonts w:ascii="Arial" w:hAnsi="Arial" w:cs="Arial"/>
            <w:color w:val="1155CC"/>
          </w:rPr>
          <w:t>https://thecrsss.com/index.php/Journal/article/download/204/225</w:t>
        </w:r>
      </w:hyperlink>
    </w:p>
    <w:p w14:paraId="3E2668E0"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Barnabas, B. and Oloyede, J., (2024). ‘Cash flow optimization: Strategies for enhancing short-term liquidity’. </w:t>
      </w:r>
      <w:r w:rsidRPr="0086595D">
        <w:rPr>
          <w:rFonts w:ascii="Arial" w:hAnsi="Arial" w:cs="Arial"/>
          <w:i/>
          <w:iCs/>
          <w:color w:val="222222"/>
          <w:shd w:val="clear" w:color="auto" w:fill="FFFFFF"/>
        </w:rPr>
        <w:t>Available at SSRN 5004465</w:t>
      </w:r>
      <w:r w:rsidRPr="0086595D">
        <w:rPr>
          <w:rFonts w:ascii="Arial" w:hAnsi="Arial" w:cs="Arial"/>
          <w:color w:val="222222"/>
          <w:shd w:val="clear" w:color="auto" w:fill="FFFFFF"/>
        </w:rPr>
        <w:t>.</w:t>
      </w:r>
      <w:r w:rsidRPr="0086595D">
        <w:rPr>
          <w:rFonts w:ascii="Arial" w:hAnsi="Arial" w:cs="Arial"/>
          <w:color w:val="000000"/>
        </w:rPr>
        <w:t xml:space="preserve"> </w:t>
      </w:r>
      <w:hyperlink r:id="rId13" w:history="1">
        <w:r w:rsidRPr="0086595D">
          <w:rPr>
            <w:rStyle w:val="Hyperlink"/>
            <w:rFonts w:ascii="Arial" w:hAnsi="Arial" w:cs="Arial"/>
            <w:color w:val="1155CC"/>
          </w:rPr>
          <w:t>https://papers.ssrn.com/sol3/Delivery.cfm?abstractid=5004465</w:t>
        </w:r>
      </w:hyperlink>
    </w:p>
    <w:p w14:paraId="629241C0" w14:textId="6557DD38"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lastRenderedPageBreak/>
        <w:t xml:space="preserve">Chairunisa, S.S., </w:t>
      </w:r>
      <w:r w:rsidR="0055532A">
        <w:rPr>
          <w:rFonts w:ascii="Arial" w:hAnsi="Arial" w:cs="Arial"/>
          <w:color w:val="222222"/>
          <w:shd w:val="clear" w:color="auto" w:fill="FFFFFF"/>
        </w:rPr>
        <w:t>et al</w:t>
      </w:r>
      <w:r w:rsidRPr="0086595D">
        <w:rPr>
          <w:rFonts w:ascii="Arial" w:hAnsi="Arial" w:cs="Arial"/>
          <w:color w:val="222222"/>
          <w:shd w:val="clear" w:color="auto" w:fill="FFFFFF"/>
        </w:rPr>
        <w:t xml:space="preserve">., (2023). ‘The Effect of Total Assets Turnover, Debt to Assets Ratio, Cash Ratio and Current Ratio on Financial Performance of Companies The Hotel, Restaurant and Tourism Subsector in IDX for The Period 2016-2020’. </w:t>
      </w:r>
      <w:r w:rsidRPr="0086595D">
        <w:rPr>
          <w:rFonts w:ascii="Arial" w:hAnsi="Arial" w:cs="Arial"/>
          <w:i/>
          <w:iCs/>
          <w:color w:val="222222"/>
          <w:shd w:val="clear" w:color="auto" w:fill="FFFFFF"/>
        </w:rPr>
        <w:t>Jurnal Syntax Admiration</w:t>
      </w:r>
      <w:r w:rsidRPr="0086595D">
        <w:rPr>
          <w:rFonts w:ascii="Arial" w:hAnsi="Arial" w:cs="Arial"/>
          <w:color w:val="222222"/>
          <w:shd w:val="clear" w:color="auto" w:fill="FFFFFF"/>
        </w:rPr>
        <w:t xml:space="preserve">, </w:t>
      </w:r>
      <w:r w:rsidRPr="0086595D">
        <w:rPr>
          <w:rFonts w:ascii="Arial" w:hAnsi="Arial" w:cs="Arial"/>
          <w:i/>
          <w:iCs/>
          <w:color w:val="222222"/>
          <w:shd w:val="clear" w:color="auto" w:fill="FFFFFF"/>
        </w:rPr>
        <w:t>4</w:t>
      </w:r>
      <w:r w:rsidRPr="0086595D">
        <w:rPr>
          <w:rFonts w:ascii="Arial" w:hAnsi="Arial" w:cs="Arial"/>
          <w:color w:val="222222"/>
          <w:shd w:val="clear" w:color="auto" w:fill="FFFFFF"/>
        </w:rPr>
        <w:t>(3), pp.548-558.</w:t>
      </w:r>
      <w:r w:rsidRPr="0086595D">
        <w:rPr>
          <w:rFonts w:ascii="Arial" w:hAnsi="Arial" w:cs="Arial"/>
          <w:color w:val="000000"/>
        </w:rPr>
        <w:t xml:space="preserve"> </w:t>
      </w:r>
      <w:hyperlink r:id="rId14" w:history="1">
        <w:r w:rsidRPr="0086595D">
          <w:rPr>
            <w:rStyle w:val="Hyperlink"/>
            <w:rFonts w:ascii="Arial" w:hAnsi="Arial" w:cs="Arial"/>
            <w:color w:val="1155CC"/>
          </w:rPr>
          <w:t>https://jurnalsyntaxadmiration.com/index.php/jurnal/article/download/907/1307</w:t>
        </w:r>
      </w:hyperlink>
    </w:p>
    <w:p w14:paraId="1FF13D91"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Chernov, V., (2023). ‘Accounts receivable management in transport organizations’. In </w:t>
      </w:r>
      <w:r w:rsidRPr="0086595D">
        <w:rPr>
          <w:rFonts w:ascii="Arial" w:hAnsi="Arial" w:cs="Arial"/>
          <w:i/>
          <w:iCs/>
          <w:color w:val="222222"/>
          <w:shd w:val="clear" w:color="auto" w:fill="FFFFFF"/>
        </w:rPr>
        <w:t>E3S Web of Conferences</w:t>
      </w:r>
      <w:r w:rsidRPr="0086595D">
        <w:rPr>
          <w:rFonts w:ascii="Arial" w:hAnsi="Arial" w:cs="Arial"/>
          <w:color w:val="222222"/>
          <w:shd w:val="clear" w:color="auto" w:fill="FFFFFF"/>
        </w:rPr>
        <w:t xml:space="preserve"> (Vol. 376, p. 04012). EDP Sciences.</w:t>
      </w:r>
      <w:r w:rsidRPr="0086595D">
        <w:rPr>
          <w:rFonts w:ascii="Arial" w:hAnsi="Arial" w:cs="Arial"/>
          <w:color w:val="000000"/>
        </w:rPr>
        <w:t xml:space="preserve"> </w:t>
      </w:r>
      <w:hyperlink r:id="rId15" w:history="1">
        <w:r w:rsidRPr="0086595D">
          <w:rPr>
            <w:rStyle w:val="Hyperlink"/>
            <w:rFonts w:ascii="Arial" w:hAnsi="Arial" w:cs="Arial"/>
            <w:color w:val="1155CC"/>
          </w:rPr>
          <w:t>https://www.e3s-conferences.org/articles/e3sconf/pdf/2023/13/e3sconf_ersme2023_04012.pdf</w:t>
        </w:r>
      </w:hyperlink>
    </w:p>
    <w:p w14:paraId="04D39CDA"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000000"/>
        </w:rPr>
        <w:t xml:space="preserve">Corporatefinanceinstitute, (2026) </w:t>
      </w:r>
      <w:r w:rsidRPr="0086595D">
        <w:rPr>
          <w:rFonts w:ascii="Arial" w:hAnsi="Arial" w:cs="Arial"/>
          <w:i/>
          <w:iCs/>
          <w:color w:val="000000"/>
        </w:rPr>
        <w:t xml:space="preserve">Cash Ratio </w:t>
      </w:r>
      <w:r w:rsidRPr="0086595D">
        <w:rPr>
          <w:rFonts w:ascii="Arial" w:hAnsi="Arial" w:cs="Arial"/>
          <w:color w:val="000000"/>
        </w:rPr>
        <w:t xml:space="preserve">Available from: </w:t>
      </w:r>
      <w:hyperlink r:id="rId16" w:history="1">
        <w:r w:rsidRPr="0086595D">
          <w:rPr>
            <w:rStyle w:val="Hyperlink"/>
            <w:rFonts w:ascii="Arial" w:hAnsi="Arial" w:cs="Arial"/>
            <w:color w:val="1155CC"/>
          </w:rPr>
          <w:t>https://corporatefinanceinstitute.com/resources/accounting/cash-ratio-formula/</w:t>
        </w:r>
      </w:hyperlink>
      <w:r w:rsidRPr="0086595D">
        <w:rPr>
          <w:rFonts w:ascii="Arial" w:hAnsi="Arial" w:cs="Arial"/>
          <w:color w:val="000000"/>
        </w:rPr>
        <w:t xml:space="preserve"> Accessed on 15.7.26.</w:t>
      </w:r>
    </w:p>
    <w:p w14:paraId="4534FB03" w14:textId="6C8BACE8"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Desalegn, G.,</w:t>
      </w:r>
      <w:r w:rsidR="0035183A">
        <w:rPr>
          <w:rFonts w:ascii="Arial" w:hAnsi="Arial" w:cs="Arial"/>
          <w:color w:val="222222"/>
          <w:shd w:val="clear" w:color="auto" w:fill="FFFFFF"/>
        </w:rPr>
        <w:t xml:space="preserve"> et al</w:t>
      </w:r>
      <w:r w:rsidRPr="0086595D">
        <w:rPr>
          <w:rFonts w:ascii="Arial" w:hAnsi="Arial" w:cs="Arial"/>
          <w:color w:val="222222"/>
          <w:shd w:val="clear" w:color="auto" w:fill="FFFFFF"/>
        </w:rPr>
        <w:t xml:space="preserve">., 2022. From short-term risk to long-term strategic challenges: Reviewing the consequences of geopolitics and COVID-19 on economic performance. </w:t>
      </w:r>
      <w:r w:rsidRPr="0086595D">
        <w:rPr>
          <w:rFonts w:ascii="Arial" w:hAnsi="Arial" w:cs="Arial"/>
          <w:i/>
          <w:iCs/>
          <w:color w:val="222222"/>
          <w:shd w:val="clear" w:color="auto" w:fill="FFFFFF"/>
        </w:rPr>
        <w:t>Sustainability</w:t>
      </w:r>
      <w:r w:rsidRPr="0086595D">
        <w:rPr>
          <w:rFonts w:ascii="Arial" w:hAnsi="Arial" w:cs="Arial"/>
          <w:color w:val="222222"/>
          <w:shd w:val="clear" w:color="auto" w:fill="FFFFFF"/>
        </w:rPr>
        <w:t xml:space="preserve">, </w:t>
      </w:r>
      <w:r w:rsidRPr="0086595D">
        <w:rPr>
          <w:rFonts w:ascii="Arial" w:hAnsi="Arial" w:cs="Arial"/>
          <w:i/>
          <w:iCs/>
          <w:color w:val="222222"/>
          <w:shd w:val="clear" w:color="auto" w:fill="FFFFFF"/>
        </w:rPr>
        <w:t>14</w:t>
      </w:r>
      <w:r w:rsidRPr="0086595D">
        <w:rPr>
          <w:rFonts w:ascii="Arial" w:hAnsi="Arial" w:cs="Arial"/>
          <w:color w:val="222222"/>
          <w:shd w:val="clear" w:color="auto" w:fill="FFFFFF"/>
        </w:rPr>
        <w:t>(21), p.14455.</w:t>
      </w:r>
      <w:r w:rsidRPr="0086595D">
        <w:rPr>
          <w:rFonts w:ascii="Arial" w:hAnsi="Arial" w:cs="Arial"/>
          <w:color w:val="000000"/>
        </w:rPr>
        <w:t xml:space="preserve"> </w:t>
      </w:r>
      <w:hyperlink r:id="rId17" w:history="1">
        <w:r w:rsidRPr="0086595D">
          <w:rPr>
            <w:rStyle w:val="Hyperlink"/>
            <w:rFonts w:ascii="Arial" w:hAnsi="Arial" w:cs="Arial"/>
            <w:color w:val="1155CC"/>
          </w:rPr>
          <w:t>https://www.mdpi.com/2071-1050/14/21/14455</w:t>
        </w:r>
      </w:hyperlink>
    </w:p>
    <w:p w14:paraId="1C8E7530"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000000"/>
        </w:rPr>
        <w:t xml:space="preserve">Finance.yahoo, (2026) </w:t>
      </w:r>
      <w:r w:rsidRPr="0086595D">
        <w:rPr>
          <w:rFonts w:ascii="Arial" w:hAnsi="Arial" w:cs="Arial"/>
          <w:i/>
          <w:iCs/>
          <w:color w:val="000000"/>
        </w:rPr>
        <w:t>InterContinental Hotels Group PLC (IHG)</w:t>
      </w:r>
      <w:r w:rsidRPr="0086595D">
        <w:rPr>
          <w:rFonts w:ascii="Arial" w:hAnsi="Arial" w:cs="Arial"/>
          <w:color w:val="000000"/>
        </w:rPr>
        <w:t xml:space="preserve"> Available from: </w:t>
      </w:r>
      <w:hyperlink r:id="rId18" w:history="1">
        <w:r w:rsidRPr="0086595D">
          <w:rPr>
            <w:rStyle w:val="Hyperlink"/>
            <w:rFonts w:ascii="Arial" w:hAnsi="Arial" w:cs="Arial"/>
            <w:color w:val="1155CC"/>
          </w:rPr>
          <w:t>https://finance.yahoo.com/quote/IHG/financials/</w:t>
        </w:r>
      </w:hyperlink>
      <w:r w:rsidRPr="0086595D">
        <w:rPr>
          <w:rFonts w:ascii="Arial" w:hAnsi="Arial" w:cs="Arial"/>
          <w:color w:val="000000"/>
        </w:rPr>
        <w:t xml:space="preserve"> Accessed on 15.7.26.</w:t>
      </w:r>
    </w:p>
    <w:p w14:paraId="203276C6"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Focacci, A., (2022). ‘The investment rate of return at the end of the period: A future worth approach to capital budgeting’. </w:t>
      </w:r>
      <w:r w:rsidRPr="0086595D">
        <w:rPr>
          <w:rFonts w:ascii="Arial" w:hAnsi="Arial" w:cs="Arial"/>
          <w:i/>
          <w:iCs/>
          <w:color w:val="222222"/>
          <w:shd w:val="clear" w:color="auto" w:fill="FFFFFF"/>
        </w:rPr>
        <w:t>International Journal of Revenue Management</w:t>
      </w:r>
      <w:r w:rsidRPr="0086595D">
        <w:rPr>
          <w:rFonts w:ascii="Arial" w:hAnsi="Arial" w:cs="Arial"/>
          <w:color w:val="222222"/>
          <w:shd w:val="clear" w:color="auto" w:fill="FFFFFF"/>
        </w:rPr>
        <w:t xml:space="preserve">, </w:t>
      </w:r>
      <w:r w:rsidRPr="0086595D">
        <w:rPr>
          <w:rFonts w:ascii="Arial" w:hAnsi="Arial" w:cs="Arial"/>
          <w:i/>
          <w:iCs/>
          <w:color w:val="222222"/>
          <w:shd w:val="clear" w:color="auto" w:fill="FFFFFF"/>
        </w:rPr>
        <w:t>13</w:t>
      </w:r>
      <w:r w:rsidRPr="0086595D">
        <w:rPr>
          <w:rFonts w:ascii="Arial" w:hAnsi="Arial" w:cs="Arial"/>
          <w:color w:val="222222"/>
          <w:shd w:val="clear" w:color="auto" w:fill="FFFFFF"/>
        </w:rPr>
        <w:t>(1-2), pp.79-98.</w:t>
      </w:r>
      <w:r w:rsidRPr="0086595D">
        <w:rPr>
          <w:rFonts w:ascii="Arial" w:hAnsi="Arial" w:cs="Arial"/>
          <w:color w:val="000000"/>
        </w:rPr>
        <w:t xml:space="preserve"> </w:t>
      </w:r>
      <w:hyperlink r:id="rId19" w:history="1">
        <w:r w:rsidRPr="0086595D">
          <w:rPr>
            <w:rStyle w:val="Hyperlink"/>
            <w:rFonts w:ascii="Arial" w:hAnsi="Arial" w:cs="Arial"/>
            <w:color w:val="1155CC"/>
          </w:rPr>
          <w:t>https://cris.unibo.it/bitstream/11585/903139/4/AuthorFinalVersion%2BIRIS_removed.pdf</w:t>
        </w:r>
      </w:hyperlink>
    </w:p>
    <w:p w14:paraId="4B035695" w14:textId="6777F99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Gunawan, Y., </w:t>
      </w:r>
      <w:r w:rsidR="00126E71">
        <w:rPr>
          <w:rFonts w:ascii="Arial" w:hAnsi="Arial" w:cs="Arial"/>
          <w:color w:val="222222"/>
          <w:shd w:val="clear" w:color="auto" w:fill="FFFFFF"/>
        </w:rPr>
        <w:t>et al</w:t>
      </w:r>
      <w:r w:rsidRPr="0086595D">
        <w:rPr>
          <w:rFonts w:ascii="Arial" w:hAnsi="Arial" w:cs="Arial"/>
          <w:color w:val="222222"/>
          <w:shd w:val="clear" w:color="auto" w:fill="FFFFFF"/>
        </w:rPr>
        <w:t xml:space="preserve">., (2024). ‘Analysis of The Impact of Short Term </w:t>
      </w:r>
      <w:proofErr w:type="gramStart"/>
      <w:r w:rsidRPr="0086595D">
        <w:rPr>
          <w:rFonts w:ascii="Arial" w:hAnsi="Arial" w:cs="Arial"/>
          <w:color w:val="222222"/>
          <w:shd w:val="clear" w:color="auto" w:fill="FFFFFF"/>
        </w:rPr>
        <w:t>And</w:t>
      </w:r>
      <w:proofErr w:type="gramEnd"/>
      <w:r w:rsidRPr="0086595D">
        <w:rPr>
          <w:rFonts w:ascii="Arial" w:hAnsi="Arial" w:cs="Arial"/>
          <w:color w:val="222222"/>
          <w:shd w:val="clear" w:color="auto" w:fill="FFFFFF"/>
        </w:rPr>
        <w:t xml:space="preserve"> Long Term Liabilities on Financial Performance Before and During </w:t>
      </w:r>
      <w:proofErr w:type="gramStart"/>
      <w:r w:rsidRPr="0086595D">
        <w:rPr>
          <w:rFonts w:ascii="Arial" w:hAnsi="Arial" w:cs="Arial"/>
          <w:color w:val="222222"/>
          <w:shd w:val="clear" w:color="auto" w:fill="FFFFFF"/>
        </w:rPr>
        <w:t>The</w:t>
      </w:r>
      <w:proofErr w:type="gramEnd"/>
      <w:r w:rsidRPr="0086595D">
        <w:rPr>
          <w:rFonts w:ascii="Arial" w:hAnsi="Arial" w:cs="Arial"/>
          <w:color w:val="222222"/>
          <w:shd w:val="clear" w:color="auto" w:fill="FFFFFF"/>
        </w:rPr>
        <w:t xml:space="preserve"> Pandemic’. </w:t>
      </w:r>
      <w:r w:rsidRPr="0086595D">
        <w:rPr>
          <w:rFonts w:ascii="Arial" w:hAnsi="Arial" w:cs="Arial"/>
          <w:i/>
          <w:iCs/>
          <w:color w:val="222222"/>
          <w:shd w:val="clear" w:color="auto" w:fill="FFFFFF"/>
        </w:rPr>
        <w:t>Aksara: Jurnal Ilmu Pendidikan Nonformal</w:t>
      </w:r>
      <w:r w:rsidRPr="0086595D">
        <w:rPr>
          <w:rFonts w:ascii="Arial" w:hAnsi="Arial" w:cs="Arial"/>
          <w:color w:val="222222"/>
          <w:shd w:val="clear" w:color="auto" w:fill="FFFFFF"/>
        </w:rPr>
        <w:t xml:space="preserve">, </w:t>
      </w:r>
      <w:r w:rsidRPr="0086595D">
        <w:rPr>
          <w:rFonts w:ascii="Arial" w:hAnsi="Arial" w:cs="Arial"/>
          <w:i/>
          <w:iCs/>
          <w:color w:val="222222"/>
          <w:shd w:val="clear" w:color="auto" w:fill="FFFFFF"/>
        </w:rPr>
        <w:t>10</w:t>
      </w:r>
      <w:r w:rsidRPr="0086595D">
        <w:rPr>
          <w:rFonts w:ascii="Arial" w:hAnsi="Arial" w:cs="Arial"/>
          <w:color w:val="222222"/>
          <w:shd w:val="clear" w:color="auto" w:fill="FFFFFF"/>
        </w:rPr>
        <w:t>(1), pp.53-66.</w:t>
      </w:r>
      <w:r w:rsidRPr="0086595D">
        <w:rPr>
          <w:rFonts w:ascii="Arial" w:hAnsi="Arial" w:cs="Arial"/>
          <w:color w:val="000000"/>
        </w:rPr>
        <w:t xml:space="preserve"> </w:t>
      </w:r>
      <w:hyperlink r:id="rId20" w:history="1">
        <w:r w:rsidRPr="0086595D">
          <w:rPr>
            <w:rStyle w:val="Hyperlink"/>
            <w:rFonts w:ascii="Arial" w:hAnsi="Arial" w:cs="Arial"/>
            <w:color w:val="1155CC"/>
          </w:rPr>
          <w:t>https://ejurnal.pps.ung.ac.id/index.php/Aksara/article/download/2334/1619</w:t>
        </w:r>
      </w:hyperlink>
    </w:p>
    <w:p w14:paraId="5A1D6500" w14:textId="77777777" w:rsidR="0086595D" w:rsidRPr="006913C8" w:rsidRDefault="0086595D" w:rsidP="00755556">
      <w:pPr>
        <w:spacing w:after="240" w:line="360" w:lineRule="auto"/>
        <w:jc w:val="both"/>
        <w:rPr>
          <w:sz w:val="24"/>
          <w:szCs w:val="24"/>
          <w:lang w:val="en-GB"/>
        </w:rPr>
      </w:pPr>
      <w:r w:rsidRPr="006913C8">
        <w:rPr>
          <w:color w:val="222222"/>
          <w:sz w:val="24"/>
          <w:szCs w:val="24"/>
          <w:highlight w:val="white"/>
          <w:lang w:val="en-GB"/>
        </w:rPr>
        <w:t>Hamdy, A., (2025). ‘The Hidden Legal and Ethical Questions Behind Artificial Intelligence’.</w:t>
      </w:r>
      <w:r w:rsidRPr="006913C8">
        <w:rPr>
          <w:sz w:val="24"/>
          <w:szCs w:val="24"/>
          <w:lang w:val="en-GB"/>
        </w:rPr>
        <w:t xml:space="preserve"> </w:t>
      </w:r>
      <w:hyperlink r:id="rId21">
        <w:r w:rsidRPr="006913C8">
          <w:rPr>
            <w:color w:val="1155CC"/>
            <w:sz w:val="24"/>
            <w:szCs w:val="24"/>
            <w:u w:val="single"/>
            <w:lang w:val="en-GB"/>
          </w:rPr>
          <w:t>https://www.preprints.org/frontend/manuscript/22a89da1bd63a89138b95ec495a9cde3/download_pub</w:t>
        </w:r>
      </w:hyperlink>
      <w:r w:rsidRPr="006913C8">
        <w:rPr>
          <w:sz w:val="24"/>
          <w:szCs w:val="24"/>
          <w:lang w:val="en-GB"/>
        </w:rPr>
        <w:t xml:space="preserve"> </w:t>
      </w:r>
    </w:p>
    <w:p w14:paraId="34B886CB"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lastRenderedPageBreak/>
        <w:t xml:space="preserve">Hamzat, L., (2025). ‘Real-time financial resilience and debt optimization for entrepreneurs: tackling debt management as a financial health pandemic and empowering small business growth through early detection of financial distress and effortless capital management’. </w:t>
      </w:r>
      <w:r w:rsidRPr="0086595D">
        <w:rPr>
          <w:rFonts w:ascii="Arial" w:hAnsi="Arial" w:cs="Arial"/>
          <w:i/>
          <w:iCs/>
          <w:color w:val="222222"/>
          <w:shd w:val="clear" w:color="auto" w:fill="FFFFFF"/>
        </w:rPr>
        <w:t>Int J Adv Res Publ Rev</w:t>
      </w:r>
      <w:r w:rsidRPr="0086595D">
        <w:rPr>
          <w:rFonts w:ascii="Arial" w:hAnsi="Arial" w:cs="Arial"/>
          <w:color w:val="222222"/>
          <w:shd w:val="clear" w:color="auto" w:fill="FFFFFF"/>
        </w:rPr>
        <w:t xml:space="preserve">, </w:t>
      </w:r>
      <w:r w:rsidRPr="0086595D">
        <w:rPr>
          <w:rFonts w:ascii="Arial" w:hAnsi="Arial" w:cs="Arial"/>
          <w:i/>
          <w:iCs/>
          <w:color w:val="222222"/>
          <w:shd w:val="clear" w:color="auto" w:fill="FFFFFF"/>
        </w:rPr>
        <w:t>2</w:t>
      </w:r>
      <w:r w:rsidRPr="0086595D">
        <w:rPr>
          <w:rFonts w:ascii="Arial" w:hAnsi="Arial" w:cs="Arial"/>
          <w:color w:val="222222"/>
          <w:shd w:val="clear" w:color="auto" w:fill="FFFFFF"/>
        </w:rPr>
        <w:t>(5), pp.202-23.</w:t>
      </w:r>
      <w:r w:rsidRPr="0086595D">
        <w:rPr>
          <w:rFonts w:ascii="Arial" w:hAnsi="Arial" w:cs="Arial"/>
          <w:color w:val="000000"/>
        </w:rPr>
        <w:t xml:space="preserve"> </w:t>
      </w:r>
      <w:hyperlink r:id="rId22" w:history="1">
        <w:r w:rsidRPr="0086595D">
          <w:rPr>
            <w:rStyle w:val="Hyperlink"/>
            <w:rFonts w:ascii="Arial" w:hAnsi="Arial" w:cs="Arial"/>
            <w:color w:val="1155CC"/>
          </w:rPr>
          <w:t>https://www.researchgate.net/profile/Lolade-Hamzat/publication/391776111_Real-Time_Financial_Resilience_and_Debt_Optimization_for_Entrepreneurs_Tackling_Debt_Management_as_a_Financial_Health_Pandemic_and_Empowering_Small_Business_Growth_Through_Early_Detection_of_Financial/links/6826b14cdf0e3f544f54c00e/Real-Time-Financial-Resilience-and-Debt-Optimization-for-Entrepreneurs-Tackling-Debt-Management-as-a-Financial-Health-Pandemic-and-Empowering-Small-Business-Growth-Through-Early-Detection-of-Financial.pdf</w:t>
        </w:r>
      </w:hyperlink>
    </w:p>
    <w:p w14:paraId="2617F2C3"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000000"/>
        </w:rPr>
        <w:t xml:space="preserve">Ihgplc, (2026) How our business works Available from: </w:t>
      </w:r>
      <w:hyperlink r:id="rId23" w:history="1">
        <w:r w:rsidRPr="0086595D">
          <w:rPr>
            <w:rStyle w:val="Hyperlink"/>
            <w:rFonts w:ascii="Arial" w:hAnsi="Arial" w:cs="Arial"/>
            <w:color w:val="1155CC"/>
          </w:rPr>
          <w:t>https://www.ihgplc.com/en/about-us/how-our-business-works</w:t>
        </w:r>
      </w:hyperlink>
      <w:r w:rsidRPr="0086595D">
        <w:rPr>
          <w:rFonts w:ascii="Arial" w:hAnsi="Arial" w:cs="Arial"/>
          <w:color w:val="000000"/>
        </w:rPr>
        <w:t xml:space="preserve"> Accessed on 15.7.26.</w:t>
      </w:r>
    </w:p>
    <w:p w14:paraId="7FC8F495"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Jain, Y.K., (2024). </w:t>
      </w:r>
      <w:r w:rsidRPr="0086595D">
        <w:rPr>
          <w:rFonts w:ascii="Arial" w:hAnsi="Arial" w:cs="Arial"/>
          <w:i/>
          <w:iCs/>
          <w:color w:val="222222"/>
          <w:shd w:val="clear" w:color="auto" w:fill="FFFFFF"/>
        </w:rPr>
        <w:t>Financial management and market dynamics</w:t>
      </w:r>
      <w:r w:rsidRPr="0086595D">
        <w:rPr>
          <w:rFonts w:ascii="Arial" w:hAnsi="Arial" w:cs="Arial"/>
          <w:color w:val="222222"/>
          <w:shd w:val="clear" w:color="auto" w:fill="FFFFFF"/>
        </w:rPr>
        <w:t>. Xoffencerpublication.</w:t>
      </w:r>
      <w:r w:rsidRPr="0086595D">
        <w:rPr>
          <w:rFonts w:ascii="Arial" w:hAnsi="Arial" w:cs="Arial"/>
          <w:color w:val="000000"/>
        </w:rPr>
        <w:t xml:space="preserve"> </w:t>
      </w:r>
      <w:hyperlink r:id="rId24" w:history="1">
        <w:r w:rsidRPr="0086595D">
          <w:rPr>
            <w:rStyle w:val="Hyperlink"/>
            <w:rFonts w:ascii="Arial" w:hAnsi="Arial" w:cs="Arial"/>
            <w:color w:val="1155CC"/>
          </w:rPr>
          <w:t>https://www.researchgate.net/profile/Yogesh-Jain-19/publication/383668031_Financial_Management_Market_Dynamics_httpsdlflipkartcomshuMQJuuuN/links/68074ebcd1054b0207dbfe42/Financial-Management-Market-Dynamics-https-dlflipkartcom-s-huMQJuuuN.pdf</w:t>
        </w:r>
      </w:hyperlink>
    </w:p>
    <w:p w14:paraId="5B5BFED9" w14:textId="77777777" w:rsidR="0086595D" w:rsidRPr="006913C8" w:rsidRDefault="0086595D" w:rsidP="00755556">
      <w:pPr>
        <w:spacing w:after="240" w:line="360" w:lineRule="auto"/>
        <w:jc w:val="both"/>
        <w:rPr>
          <w:sz w:val="24"/>
          <w:szCs w:val="24"/>
          <w:lang w:val="en-GB"/>
        </w:rPr>
      </w:pPr>
      <w:r w:rsidRPr="006913C8">
        <w:rPr>
          <w:color w:val="222222"/>
          <w:sz w:val="24"/>
          <w:szCs w:val="24"/>
          <w:highlight w:val="white"/>
          <w:lang w:val="en-GB"/>
        </w:rPr>
        <w:t xml:space="preserve">Li, X., (2024). ‘Research on the impact of financial leverage on corporate capital structure’. </w:t>
      </w:r>
      <w:r w:rsidRPr="006913C8">
        <w:rPr>
          <w:i/>
          <w:iCs/>
          <w:color w:val="222222"/>
          <w:sz w:val="24"/>
          <w:szCs w:val="24"/>
          <w:highlight w:val="white"/>
          <w:lang w:val="en-GB"/>
        </w:rPr>
        <w:t>Journal of modern business and economics</w:t>
      </w:r>
      <w:r w:rsidRPr="006913C8">
        <w:rPr>
          <w:color w:val="222222"/>
          <w:sz w:val="24"/>
          <w:szCs w:val="24"/>
          <w:highlight w:val="white"/>
          <w:lang w:val="en-GB"/>
        </w:rPr>
        <w:t xml:space="preserve">, </w:t>
      </w:r>
      <w:r w:rsidRPr="006913C8">
        <w:rPr>
          <w:i/>
          <w:iCs/>
          <w:color w:val="222222"/>
          <w:sz w:val="24"/>
          <w:szCs w:val="24"/>
          <w:highlight w:val="white"/>
          <w:lang w:val="en-GB"/>
        </w:rPr>
        <w:t>1</w:t>
      </w:r>
      <w:r w:rsidRPr="006913C8">
        <w:rPr>
          <w:color w:val="222222"/>
          <w:sz w:val="24"/>
          <w:szCs w:val="24"/>
          <w:highlight w:val="white"/>
          <w:lang w:val="en-GB"/>
        </w:rPr>
        <w:t xml:space="preserve">(3). </w:t>
      </w:r>
      <w:hyperlink r:id="rId25">
        <w:r w:rsidRPr="006913C8">
          <w:rPr>
            <w:color w:val="1155CC"/>
            <w:sz w:val="24"/>
            <w:szCs w:val="24"/>
            <w:highlight w:val="white"/>
            <w:u w:val="single"/>
            <w:lang w:val="en-GB"/>
          </w:rPr>
          <w:t>https://atlantic-press-journals.com/index.php/JMBE/article/download/422/987</w:t>
        </w:r>
      </w:hyperlink>
      <w:r w:rsidRPr="006913C8">
        <w:rPr>
          <w:color w:val="222222"/>
          <w:sz w:val="24"/>
          <w:szCs w:val="24"/>
          <w:highlight w:val="white"/>
          <w:lang w:val="en-GB"/>
        </w:rPr>
        <w:t xml:space="preserve"> </w:t>
      </w:r>
      <w:r w:rsidRPr="006913C8">
        <w:rPr>
          <w:sz w:val="24"/>
          <w:szCs w:val="24"/>
          <w:lang w:val="en-GB"/>
        </w:rPr>
        <w:t xml:space="preserve"> </w:t>
      </w:r>
    </w:p>
    <w:p w14:paraId="734CBB72"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Mihaela, G., (2023). ‘The role of the economic indicator-ebitda in measuring the financial performance of the company’. </w:t>
      </w:r>
      <w:r w:rsidRPr="0086595D">
        <w:rPr>
          <w:rFonts w:ascii="Arial" w:hAnsi="Arial" w:cs="Arial"/>
          <w:i/>
          <w:iCs/>
          <w:color w:val="222222"/>
          <w:shd w:val="clear" w:color="auto" w:fill="FFFFFF"/>
        </w:rPr>
        <w:t>Annals-Economy Series</w:t>
      </w:r>
      <w:r w:rsidRPr="0086595D">
        <w:rPr>
          <w:rFonts w:ascii="Arial" w:hAnsi="Arial" w:cs="Arial"/>
          <w:color w:val="222222"/>
          <w:shd w:val="clear" w:color="auto" w:fill="FFFFFF"/>
        </w:rPr>
        <w:t xml:space="preserve">, </w:t>
      </w:r>
      <w:r w:rsidRPr="0086595D">
        <w:rPr>
          <w:rFonts w:ascii="Arial" w:hAnsi="Arial" w:cs="Arial"/>
          <w:i/>
          <w:iCs/>
          <w:color w:val="222222"/>
          <w:shd w:val="clear" w:color="auto" w:fill="FFFFFF"/>
        </w:rPr>
        <w:t>6</w:t>
      </w:r>
      <w:r w:rsidRPr="0086595D">
        <w:rPr>
          <w:rFonts w:ascii="Arial" w:hAnsi="Arial" w:cs="Arial"/>
          <w:color w:val="222222"/>
          <w:shd w:val="clear" w:color="auto" w:fill="FFFFFF"/>
        </w:rPr>
        <w:t>, pp.163-168.</w:t>
      </w:r>
      <w:r w:rsidRPr="0086595D">
        <w:rPr>
          <w:rFonts w:ascii="Arial" w:hAnsi="Arial" w:cs="Arial"/>
          <w:color w:val="000000"/>
        </w:rPr>
        <w:t xml:space="preserve"> </w:t>
      </w:r>
      <w:hyperlink r:id="rId26" w:history="1">
        <w:r w:rsidRPr="0086595D">
          <w:rPr>
            <w:rStyle w:val="Hyperlink"/>
            <w:rFonts w:ascii="Arial" w:hAnsi="Arial" w:cs="Arial"/>
            <w:color w:val="1155CC"/>
          </w:rPr>
          <w:t>https://www.utgjiu.ro/revista/ec/pdf/2023-06%20Volumul%20II/18_gadoiu.pdf</w:t>
        </w:r>
      </w:hyperlink>
    </w:p>
    <w:p w14:paraId="61C004D7" w14:textId="77777777" w:rsidR="0086595D" w:rsidRPr="006913C8" w:rsidRDefault="0086595D" w:rsidP="00755556">
      <w:pPr>
        <w:spacing w:after="240" w:line="360" w:lineRule="auto"/>
        <w:jc w:val="both"/>
        <w:rPr>
          <w:sz w:val="24"/>
          <w:szCs w:val="24"/>
          <w:lang w:val="en-GB"/>
        </w:rPr>
      </w:pPr>
      <w:r w:rsidRPr="006913C8">
        <w:rPr>
          <w:color w:val="222222"/>
          <w:sz w:val="24"/>
          <w:szCs w:val="24"/>
          <w:highlight w:val="white"/>
          <w:lang w:val="en-GB"/>
        </w:rPr>
        <w:t xml:space="preserve">Moridu, I. and Abidin, Z., (2023). ‘Adapting financial management strategies amidst economic turmoil: a case study of gama corporate's liquidity and restructuring initiative’. </w:t>
      </w:r>
      <w:r w:rsidRPr="006913C8">
        <w:rPr>
          <w:i/>
          <w:iCs/>
          <w:color w:val="222222"/>
          <w:sz w:val="24"/>
          <w:szCs w:val="24"/>
          <w:highlight w:val="white"/>
          <w:lang w:val="en-GB"/>
        </w:rPr>
        <w:t>The Eastasouth Management and Business</w:t>
      </w:r>
      <w:r w:rsidRPr="006913C8">
        <w:rPr>
          <w:color w:val="222222"/>
          <w:sz w:val="24"/>
          <w:szCs w:val="24"/>
          <w:highlight w:val="white"/>
          <w:lang w:val="en-GB"/>
        </w:rPr>
        <w:t xml:space="preserve">, </w:t>
      </w:r>
      <w:r w:rsidRPr="006913C8">
        <w:rPr>
          <w:i/>
          <w:iCs/>
          <w:color w:val="222222"/>
          <w:sz w:val="24"/>
          <w:szCs w:val="24"/>
          <w:highlight w:val="white"/>
          <w:lang w:val="en-GB"/>
        </w:rPr>
        <w:t>2</w:t>
      </w:r>
      <w:r w:rsidRPr="006913C8">
        <w:rPr>
          <w:color w:val="222222"/>
          <w:sz w:val="24"/>
          <w:szCs w:val="24"/>
          <w:highlight w:val="white"/>
          <w:lang w:val="en-GB"/>
        </w:rPr>
        <w:t>(01), pp.34-42.</w:t>
      </w:r>
      <w:r w:rsidRPr="006913C8">
        <w:rPr>
          <w:sz w:val="24"/>
          <w:szCs w:val="24"/>
          <w:lang w:val="en-GB"/>
        </w:rPr>
        <w:t xml:space="preserve"> </w:t>
      </w:r>
      <w:hyperlink r:id="rId27">
        <w:r w:rsidRPr="006913C8">
          <w:rPr>
            <w:color w:val="1155CC"/>
            <w:sz w:val="24"/>
            <w:szCs w:val="24"/>
            <w:u w:val="single"/>
            <w:lang w:val="en-GB"/>
          </w:rPr>
          <w:t>https://esj.eastasouth-institute.com/index.php/esmb/article/download/137/109</w:t>
        </w:r>
      </w:hyperlink>
      <w:r w:rsidRPr="006913C8">
        <w:rPr>
          <w:sz w:val="24"/>
          <w:szCs w:val="24"/>
          <w:lang w:val="en-GB"/>
        </w:rPr>
        <w:t xml:space="preserve"> </w:t>
      </w:r>
    </w:p>
    <w:p w14:paraId="1E8692D6" w14:textId="647733FE" w:rsidR="0086595D" w:rsidRPr="006913C8" w:rsidRDefault="0086595D" w:rsidP="00755556">
      <w:pPr>
        <w:spacing w:after="240" w:line="360" w:lineRule="auto"/>
        <w:jc w:val="both"/>
        <w:rPr>
          <w:sz w:val="24"/>
          <w:szCs w:val="24"/>
          <w:lang w:val="en-GB"/>
        </w:rPr>
      </w:pPr>
      <w:r w:rsidRPr="006913C8">
        <w:rPr>
          <w:color w:val="222222"/>
          <w:sz w:val="24"/>
          <w:szCs w:val="24"/>
          <w:highlight w:val="white"/>
          <w:lang w:val="en-GB"/>
        </w:rPr>
        <w:t xml:space="preserve">Nwani, S., </w:t>
      </w:r>
      <w:r w:rsidR="00406438">
        <w:rPr>
          <w:color w:val="222222"/>
          <w:sz w:val="24"/>
          <w:szCs w:val="24"/>
          <w:highlight w:val="white"/>
          <w:lang w:val="en-GB"/>
        </w:rPr>
        <w:t>et al</w:t>
      </w:r>
      <w:r w:rsidRPr="006913C8">
        <w:rPr>
          <w:color w:val="222222"/>
          <w:sz w:val="24"/>
          <w:szCs w:val="24"/>
          <w:highlight w:val="white"/>
          <w:lang w:val="en-GB"/>
        </w:rPr>
        <w:t xml:space="preserve">., (2023). ‘Developing capital expansion and fundraising models for strengthening national development banks in African markets’. </w:t>
      </w:r>
      <w:r w:rsidRPr="006913C8">
        <w:rPr>
          <w:i/>
          <w:iCs/>
          <w:color w:val="222222"/>
          <w:sz w:val="24"/>
          <w:szCs w:val="24"/>
          <w:highlight w:val="white"/>
          <w:lang w:val="en-GB"/>
        </w:rPr>
        <w:t xml:space="preserve">International Journal </w:t>
      </w:r>
      <w:r w:rsidRPr="006913C8">
        <w:rPr>
          <w:i/>
          <w:iCs/>
          <w:color w:val="222222"/>
          <w:sz w:val="24"/>
          <w:szCs w:val="24"/>
          <w:highlight w:val="white"/>
          <w:lang w:val="en-GB"/>
        </w:rPr>
        <w:lastRenderedPageBreak/>
        <w:t>of Scientific Research in Science and Technology</w:t>
      </w:r>
      <w:r w:rsidRPr="006913C8">
        <w:rPr>
          <w:color w:val="222222"/>
          <w:sz w:val="24"/>
          <w:szCs w:val="24"/>
          <w:highlight w:val="white"/>
          <w:lang w:val="en-GB"/>
        </w:rPr>
        <w:t xml:space="preserve">, </w:t>
      </w:r>
      <w:r w:rsidRPr="006913C8">
        <w:rPr>
          <w:i/>
          <w:iCs/>
          <w:color w:val="222222"/>
          <w:sz w:val="24"/>
          <w:szCs w:val="24"/>
          <w:highlight w:val="white"/>
          <w:lang w:val="en-GB"/>
        </w:rPr>
        <w:t>10</w:t>
      </w:r>
      <w:r w:rsidRPr="006913C8">
        <w:rPr>
          <w:color w:val="222222"/>
          <w:sz w:val="24"/>
          <w:szCs w:val="24"/>
          <w:highlight w:val="white"/>
          <w:lang w:val="en-GB"/>
        </w:rPr>
        <w:t>(4), pp.741-751.</w:t>
      </w:r>
      <w:r w:rsidRPr="006913C8">
        <w:rPr>
          <w:sz w:val="24"/>
          <w:szCs w:val="24"/>
          <w:lang w:val="en-GB"/>
        </w:rPr>
        <w:t xml:space="preserve"> </w:t>
      </w:r>
      <w:hyperlink r:id="rId28">
        <w:r w:rsidRPr="006913C8">
          <w:rPr>
            <w:color w:val="1155CC"/>
            <w:sz w:val="24"/>
            <w:szCs w:val="24"/>
            <w:u w:val="single"/>
            <w:lang w:val="en-GB"/>
          </w:rPr>
          <w:t>https://www.researchgate.net/profile/Jeffrey-Ogeawuchi/publication/392696824_Developing_Capital_Expansion_and_Fundraising_Models_for_Strengthening_National_Development_Banks_in_African_Markets/links/684de82411be4823fbde58b8/Developing-Capital-Expansion-and-Fundraising-Models-for-Strengthening-National-Development-Banks-in-African-Markets.pdf</w:t>
        </w:r>
      </w:hyperlink>
      <w:r w:rsidRPr="006913C8">
        <w:rPr>
          <w:sz w:val="24"/>
          <w:szCs w:val="24"/>
          <w:lang w:val="en-GB"/>
        </w:rPr>
        <w:t xml:space="preserve"> </w:t>
      </w:r>
    </w:p>
    <w:p w14:paraId="2BBBD058" w14:textId="1C2DBE88" w:rsidR="0086595D" w:rsidRDefault="0086595D" w:rsidP="00755556">
      <w:pPr>
        <w:spacing w:after="240" w:line="360" w:lineRule="auto"/>
        <w:jc w:val="both"/>
        <w:rPr>
          <w:sz w:val="24"/>
          <w:szCs w:val="24"/>
          <w:lang w:val="en-GB"/>
        </w:rPr>
      </w:pPr>
      <w:r w:rsidRPr="006913C8">
        <w:rPr>
          <w:color w:val="222222"/>
          <w:sz w:val="24"/>
          <w:szCs w:val="24"/>
          <w:highlight w:val="white"/>
          <w:lang w:val="en-GB"/>
        </w:rPr>
        <w:t xml:space="preserve">Okeke, V.E., </w:t>
      </w:r>
      <w:r w:rsidR="009C3EE9">
        <w:rPr>
          <w:color w:val="222222"/>
          <w:sz w:val="24"/>
          <w:szCs w:val="24"/>
          <w:highlight w:val="white"/>
          <w:lang w:val="en-GB"/>
        </w:rPr>
        <w:t>et al</w:t>
      </w:r>
      <w:r w:rsidRPr="006913C8">
        <w:rPr>
          <w:color w:val="222222"/>
          <w:sz w:val="24"/>
          <w:szCs w:val="24"/>
          <w:highlight w:val="white"/>
          <w:lang w:val="en-GB"/>
        </w:rPr>
        <w:t xml:space="preserve">., (2022). ‘Excessive internal borrowings and debt management: Implications on the Nigerian economy’. </w:t>
      </w:r>
      <w:r w:rsidRPr="006913C8">
        <w:rPr>
          <w:i/>
          <w:iCs/>
          <w:color w:val="222222"/>
          <w:sz w:val="24"/>
          <w:szCs w:val="24"/>
          <w:highlight w:val="white"/>
          <w:lang w:val="en-GB"/>
        </w:rPr>
        <w:t>Journal of Financial Risk Management</w:t>
      </w:r>
      <w:r w:rsidRPr="006913C8">
        <w:rPr>
          <w:color w:val="222222"/>
          <w:sz w:val="24"/>
          <w:szCs w:val="24"/>
          <w:highlight w:val="white"/>
          <w:lang w:val="en-GB"/>
        </w:rPr>
        <w:t xml:space="preserve">, </w:t>
      </w:r>
      <w:r w:rsidRPr="006913C8">
        <w:rPr>
          <w:i/>
          <w:iCs/>
          <w:color w:val="222222"/>
          <w:sz w:val="24"/>
          <w:szCs w:val="24"/>
          <w:highlight w:val="white"/>
          <w:lang w:val="en-GB"/>
        </w:rPr>
        <w:t>11</w:t>
      </w:r>
      <w:r w:rsidRPr="006913C8">
        <w:rPr>
          <w:color w:val="222222"/>
          <w:sz w:val="24"/>
          <w:szCs w:val="24"/>
          <w:highlight w:val="white"/>
          <w:lang w:val="en-GB"/>
        </w:rPr>
        <w:t>(1), pp.116-141.</w:t>
      </w:r>
      <w:r w:rsidRPr="006913C8">
        <w:rPr>
          <w:sz w:val="24"/>
          <w:szCs w:val="24"/>
          <w:lang w:val="en-GB"/>
        </w:rPr>
        <w:t xml:space="preserve"> </w:t>
      </w:r>
      <w:hyperlink r:id="rId29">
        <w:r w:rsidRPr="006913C8">
          <w:rPr>
            <w:color w:val="1155CC"/>
            <w:sz w:val="24"/>
            <w:szCs w:val="24"/>
            <w:u w:val="single"/>
            <w:lang w:val="en-GB"/>
          </w:rPr>
          <w:t>https://www.academia.edu/download/105075378/PaperDownload.pdf</w:t>
        </w:r>
      </w:hyperlink>
      <w:r w:rsidRPr="006913C8">
        <w:rPr>
          <w:sz w:val="24"/>
          <w:szCs w:val="24"/>
          <w:lang w:val="en-GB"/>
        </w:rPr>
        <w:t xml:space="preserve"> </w:t>
      </w:r>
    </w:p>
    <w:p w14:paraId="5F348713" w14:textId="139C1A68" w:rsidR="0086595D" w:rsidRPr="006913C8" w:rsidRDefault="0086595D" w:rsidP="00755556">
      <w:pPr>
        <w:spacing w:after="240" w:line="360" w:lineRule="auto"/>
        <w:jc w:val="both"/>
        <w:rPr>
          <w:sz w:val="24"/>
          <w:szCs w:val="24"/>
          <w:lang w:val="en-GB"/>
        </w:rPr>
      </w:pPr>
      <w:r w:rsidRPr="006913C8">
        <w:rPr>
          <w:color w:val="222222"/>
          <w:sz w:val="24"/>
          <w:szCs w:val="24"/>
          <w:highlight w:val="white"/>
          <w:lang w:val="en-GB"/>
        </w:rPr>
        <w:t xml:space="preserve">Owolabi, O.S., </w:t>
      </w:r>
      <w:r w:rsidR="001518FA">
        <w:rPr>
          <w:color w:val="222222"/>
          <w:sz w:val="24"/>
          <w:szCs w:val="24"/>
          <w:highlight w:val="white"/>
          <w:lang w:val="en-GB"/>
        </w:rPr>
        <w:t>et al</w:t>
      </w:r>
      <w:r w:rsidRPr="006913C8">
        <w:rPr>
          <w:color w:val="222222"/>
          <w:sz w:val="24"/>
          <w:szCs w:val="24"/>
          <w:highlight w:val="white"/>
          <w:lang w:val="en-GB"/>
        </w:rPr>
        <w:t xml:space="preserve">., (2024). ‘Ethical implication of artificial intelligence (AI) adoption in financial decision making’. </w:t>
      </w:r>
      <w:r w:rsidRPr="006913C8">
        <w:rPr>
          <w:i/>
          <w:iCs/>
          <w:color w:val="222222"/>
          <w:sz w:val="24"/>
          <w:szCs w:val="24"/>
          <w:highlight w:val="white"/>
          <w:lang w:val="en-GB"/>
        </w:rPr>
        <w:t>Computer and Information Science</w:t>
      </w:r>
      <w:r w:rsidRPr="006913C8">
        <w:rPr>
          <w:color w:val="222222"/>
          <w:sz w:val="24"/>
          <w:szCs w:val="24"/>
          <w:highlight w:val="white"/>
          <w:lang w:val="en-GB"/>
        </w:rPr>
        <w:t xml:space="preserve">, </w:t>
      </w:r>
      <w:r w:rsidRPr="006913C8">
        <w:rPr>
          <w:i/>
          <w:iCs/>
          <w:color w:val="222222"/>
          <w:sz w:val="24"/>
          <w:szCs w:val="24"/>
          <w:highlight w:val="white"/>
          <w:lang w:val="en-GB"/>
        </w:rPr>
        <w:t>17</w:t>
      </w:r>
      <w:r w:rsidRPr="006913C8">
        <w:rPr>
          <w:color w:val="222222"/>
          <w:sz w:val="24"/>
          <w:szCs w:val="24"/>
          <w:highlight w:val="white"/>
          <w:lang w:val="en-GB"/>
        </w:rPr>
        <w:t xml:space="preserve">(1), pp.1-49. </w:t>
      </w:r>
      <w:hyperlink r:id="rId30">
        <w:r w:rsidRPr="006913C8">
          <w:rPr>
            <w:color w:val="1155CC"/>
            <w:sz w:val="24"/>
            <w:szCs w:val="24"/>
            <w:highlight w:val="white"/>
            <w:u w:val="single"/>
            <w:lang w:val="en-GB"/>
          </w:rPr>
          <w:t>https://openreview.net/pdf?id=GEYpnS2Gbl</w:t>
        </w:r>
      </w:hyperlink>
      <w:r w:rsidRPr="006913C8">
        <w:rPr>
          <w:color w:val="222222"/>
          <w:sz w:val="24"/>
          <w:szCs w:val="24"/>
          <w:highlight w:val="white"/>
          <w:lang w:val="en-GB"/>
        </w:rPr>
        <w:t xml:space="preserve">. </w:t>
      </w:r>
      <w:r w:rsidRPr="006913C8">
        <w:rPr>
          <w:sz w:val="24"/>
          <w:szCs w:val="24"/>
          <w:lang w:val="en-GB"/>
        </w:rPr>
        <w:t xml:space="preserve"> </w:t>
      </w:r>
    </w:p>
    <w:p w14:paraId="7D2ECC33"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Pantulu, A., (2025). ‘The Impact of Asset-light Strategies and Ownership Structures on Intangibles’. </w:t>
      </w:r>
      <w:r w:rsidRPr="0086595D">
        <w:rPr>
          <w:rFonts w:ascii="Arial" w:hAnsi="Arial" w:cs="Arial"/>
          <w:i/>
          <w:iCs/>
          <w:color w:val="222222"/>
          <w:shd w:val="clear" w:color="auto" w:fill="FFFFFF"/>
        </w:rPr>
        <w:t>Available at SSRN 6047914</w:t>
      </w:r>
      <w:r w:rsidRPr="0086595D">
        <w:rPr>
          <w:rFonts w:ascii="Arial" w:hAnsi="Arial" w:cs="Arial"/>
          <w:color w:val="222222"/>
          <w:shd w:val="clear" w:color="auto" w:fill="FFFFFF"/>
        </w:rPr>
        <w:t>.</w:t>
      </w:r>
      <w:r w:rsidRPr="0086595D">
        <w:rPr>
          <w:rFonts w:ascii="Arial" w:hAnsi="Arial" w:cs="Arial"/>
          <w:color w:val="000000"/>
        </w:rPr>
        <w:t xml:space="preserve"> </w:t>
      </w:r>
      <w:hyperlink r:id="rId31" w:history="1">
        <w:r w:rsidRPr="0086595D">
          <w:rPr>
            <w:rStyle w:val="Hyperlink"/>
            <w:rFonts w:ascii="Arial" w:hAnsi="Arial" w:cs="Arial"/>
            <w:color w:val="1155CC"/>
          </w:rPr>
          <w:t>https://papers.ssrn.com/sol3/Delivery.cfm?abstractid=6047914</w:t>
        </w:r>
      </w:hyperlink>
    </w:p>
    <w:p w14:paraId="075CBABD"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Pantulu, A., (2025). ‘The Impact of Asset-light Strategies and Ownership Structures on Intangibles’. </w:t>
      </w:r>
      <w:r w:rsidRPr="0086595D">
        <w:rPr>
          <w:rFonts w:ascii="Arial" w:hAnsi="Arial" w:cs="Arial"/>
          <w:i/>
          <w:iCs/>
          <w:color w:val="222222"/>
          <w:shd w:val="clear" w:color="auto" w:fill="FFFFFF"/>
        </w:rPr>
        <w:t>Available at SSRN 6047914</w:t>
      </w:r>
      <w:r w:rsidRPr="0086595D">
        <w:rPr>
          <w:rFonts w:ascii="Arial" w:hAnsi="Arial" w:cs="Arial"/>
          <w:color w:val="222222"/>
          <w:shd w:val="clear" w:color="auto" w:fill="FFFFFF"/>
        </w:rPr>
        <w:t>.</w:t>
      </w:r>
      <w:r w:rsidRPr="0086595D">
        <w:rPr>
          <w:rFonts w:ascii="Arial" w:hAnsi="Arial" w:cs="Arial"/>
          <w:color w:val="000000"/>
        </w:rPr>
        <w:t xml:space="preserve"> </w:t>
      </w:r>
      <w:hyperlink r:id="rId32" w:history="1">
        <w:r w:rsidRPr="0086595D">
          <w:rPr>
            <w:rStyle w:val="Hyperlink"/>
            <w:rFonts w:ascii="Arial" w:hAnsi="Arial" w:cs="Arial"/>
            <w:color w:val="1155CC"/>
          </w:rPr>
          <w:t>https://papers.ssrn.com/sol3/Delivery.cfm?abstractid=6047914</w:t>
        </w:r>
      </w:hyperlink>
    </w:p>
    <w:p w14:paraId="0B74A208"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Puspa, E.S. and Suyono, W.P., (2025). ‘CASH MANAGEMENT STRATEGY IN INCREASING COMPANY LIQUIDITY IN TIMES OF ECONOMIC CRISIS’. </w:t>
      </w:r>
      <w:r w:rsidRPr="0086595D">
        <w:rPr>
          <w:rFonts w:ascii="Arial" w:hAnsi="Arial" w:cs="Arial"/>
          <w:i/>
          <w:iCs/>
          <w:color w:val="222222"/>
          <w:shd w:val="clear" w:color="auto" w:fill="FFFFFF"/>
        </w:rPr>
        <w:t>INTERNATIONAL JOURNAL OF ECONOMIC LITERATURE</w:t>
      </w:r>
      <w:r w:rsidRPr="0086595D">
        <w:rPr>
          <w:rFonts w:ascii="Arial" w:hAnsi="Arial" w:cs="Arial"/>
          <w:color w:val="222222"/>
          <w:shd w:val="clear" w:color="auto" w:fill="FFFFFF"/>
        </w:rPr>
        <w:t xml:space="preserve">, </w:t>
      </w:r>
      <w:r w:rsidRPr="0086595D">
        <w:rPr>
          <w:rFonts w:ascii="Arial" w:hAnsi="Arial" w:cs="Arial"/>
          <w:i/>
          <w:iCs/>
          <w:color w:val="222222"/>
          <w:shd w:val="clear" w:color="auto" w:fill="FFFFFF"/>
        </w:rPr>
        <w:t>3</w:t>
      </w:r>
      <w:r w:rsidRPr="0086595D">
        <w:rPr>
          <w:rFonts w:ascii="Arial" w:hAnsi="Arial" w:cs="Arial"/>
          <w:color w:val="222222"/>
          <w:shd w:val="clear" w:color="auto" w:fill="FFFFFF"/>
        </w:rPr>
        <w:t>(5), pp.355-367.</w:t>
      </w:r>
      <w:r w:rsidRPr="0086595D">
        <w:rPr>
          <w:rFonts w:ascii="Arial" w:hAnsi="Arial" w:cs="Arial"/>
          <w:color w:val="000000"/>
        </w:rPr>
        <w:t xml:space="preserve"> </w:t>
      </w:r>
      <w:hyperlink r:id="rId33" w:history="1">
        <w:r w:rsidRPr="0086595D">
          <w:rPr>
            <w:rStyle w:val="Hyperlink"/>
            <w:rFonts w:ascii="Arial" w:hAnsi="Arial" w:cs="Arial"/>
            <w:color w:val="1155CC"/>
          </w:rPr>
          <w:t>https://sociohum.net/index.php/INJOLE/article/download/39/40</w:t>
        </w:r>
      </w:hyperlink>
    </w:p>
    <w:p w14:paraId="1478B752"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Sneps-Sneppe, M., (2023), May. ‘Use of criteria NPV and IRR for choosing among investment projects’. In </w:t>
      </w:r>
      <w:r w:rsidRPr="0086595D">
        <w:rPr>
          <w:rFonts w:ascii="Arial" w:hAnsi="Arial" w:cs="Arial"/>
          <w:i/>
          <w:iCs/>
          <w:color w:val="222222"/>
          <w:shd w:val="clear" w:color="auto" w:fill="FFFFFF"/>
        </w:rPr>
        <w:t>22nd International Scientific Conference Engineering for Rural Development Proceedings</w:t>
      </w:r>
      <w:r w:rsidRPr="0086595D">
        <w:rPr>
          <w:rFonts w:ascii="Arial" w:hAnsi="Arial" w:cs="Arial"/>
          <w:color w:val="222222"/>
          <w:shd w:val="clear" w:color="auto" w:fill="FFFFFF"/>
        </w:rPr>
        <w:t xml:space="preserve"> (pp. 745-750).</w:t>
      </w:r>
      <w:r w:rsidRPr="0086595D">
        <w:rPr>
          <w:rFonts w:ascii="Arial" w:hAnsi="Arial" w:cs="Arial"/>
          <w:color w:val="000000"/>
        </w:rPr>
        <w:t xml:space="preserve"> </w:t>
      </w:r>
      <w:hyperlink r:id="rId34" w:history="1">
        <w:r w:rsidRPr="0086595D">
          <w:rPr>
            <w:rStyle w:val="Hyperlink"/>
            <w:rFonts w:ascii="Arial" w:hAnsi="Arial" w:cs="Arial"/>
            <w:color w:val="1155CC"/>
          </w:rPr>
          <w:t>https://www.iitf.lbtu.lv/conference/proceedings2023/Papers/TF146.pdf</w:t>
        </w:r>
      </w:hyperlink>
    </w:p>
    <w:p w14:paraId="761D70EB"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Sormin, P. and Yolanda, S., (2023), July. ‘The Effect of Business Risk, Liquidity, Solvency and Cash Conversion Cycle on Profitability’. In </w:t>
      </w:r>
      <w:r w:rsidRPr="0086595D">
        <w:rPr>
          <w:rFonts w:ascii="Arial" w:hAnsi="Arial" w:cs="Arial"/>
          <w:i/>
          <w:iCs/>
          <w:color w:val="222222"/>
          <w:shd w:val="clear" w:color="auto" w:fill="FFFFFF"/>
        </w:rPr>
        <w:t xml:space="preserve">Proceeding National </w:t>
      </w:r>
      <w:r w:rsidRPr="0086595D">
        <w:rPr>
          <w:rFonts w:ascii="Arial" w:hAnsi="Arial" w:cs="Arial"/>
          <w:i/>
          <w:iCs/>
          <w:color w:val="222222"/>
          <w:shd w:val="clear" w:color="auto" w:fill="FFFFFF"/>
        </w:rPr>
        <w:lastRenderedPageBreak/>
        <w:t>Conference Business, Management, and Accounting (NCBMA)</w:t>
      </w:r>
      <w:r w:rsidRPr="0086595D">
        <w:rPr>
          <w:rFonts w:ascii="Arial" w:hAnsi="Arial" w:cs="Arial"/>
          <w:color w:val="222222"/>
          <w:shd w:val="clear" w:color="auto" w:fill="FFFFFF"/>
        </w:rPr>
        <w:t xml:space="preserve"> (pp. 733-744).</w:t>
      </w:r>
      <w:r w:rsidRPr="0086595D">
        <w:rPr>
          <w:rFonts w:ascii="Arial" w:hAnsi="Arial" w:cs="Arial"/>
          <w:color w:val="000000"/>
        </w:rPr>
        <w:t xml:space="preserve"> </w:t>
      </w:r>
      <w:hyperlink r:id="rId35" w:history="1">
        <w:r w:rsidRPr="0086595D">
          <w:rPr>
            <w:rStyle w:val="Hyperlink"/>
            <w:rFonts w:ascii="Arial" w:hAnsi="Arial" w:cs="Arial"/>
            <w:color w:val="1155CC"/>
          </w:rPr>
          <w:t>https://ojs.uph.edu/index.php/NCBMA/article/view/7182/3304</w:t>
        </w:r>
      </w:hyperlink>
    </w:p>
    <w:p w14:paraId="6281E70C"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000000"/>
        </w:rPr>
        <w:t xml:space="preserve">Statista, (2025) </w:t>
      </w:r>
      <w:r w:rsidRPr="0086595D">
        <w:rPr>
          <w:rFonts w:ascii="Arial" w:hAnsi="Arial" w:cs="Arial"/>
          <w:i/>
          <w:iCs/>
          <w:color w:val="000000"/>
        </w:rPr>
        <w:t>InterContinental Hotels Group - statistics &amp; facts</w:t>
      </w:r>
      <w:r w:rsidRPr="0086595D">
        <w:rPr>
          <w:rFonts w:ascii="Arial" w:hAnsi="Arial" w:cs="Arial"/>
          <w:color w:val="000000"/>
        </w:rPr>
        <w:t xml:space="preserve"> Available from: </w:t>
      </w:r>
      <w:hyperlink r:id="rId36" w:anchor="topicOverview" w:history="1">
        <w:r w:rsidRPr="0086595D">
          <w:rPr>
            <w:rStyle w:val="Hyperlink"/>
            <w:rFonts w:ascii="Arial" w:hAnsi="Arial" w:cs="Arial"/>
            <w:color w:val="1155CC"/>
          </w:rPr>
          <w:t>https://www.statista.com/topics/1905/intercontinental-hotels-group/?srsltid=AfmBOooLHiFxDRTdNHW_X3uyGXpF6GxE24j8S5Bh-c5ZXHK0wnqjgLyC#topicOverview</w:t>
        </w:r>
      </w:hyperlink>
      <w:r w:rsidRPr="0086595D">
        <w:rPr>
          <w:rFonts w:ascii="Arial" w:hAnsi="Arial" w:cs="Arial"/>
          <w:color w:val="000000"/>
        </w:rPr>
        <w:t>  Accessed on 15.7.26.</w:t>
      </w:r>
    </w:p>
    <w:p w14:paraId="2C89A4FB" w14:textId="77777777" w:rsidR="0086595D" w:rsidRPr="006913C8" w:rsidRDefault="0086595D" w:rsidP="00755556">
      <w:pPr>
        <w:spacing w:after="240" w:line="360" w:lineRule="auto"/>
        <w:jc w:val="both"/>
        <w:rPr>
          <w:sz w:val="24"/>
          <w:szCs w:val="24"/>
          <w:lang w:val="en-GB"/>
        </w:rPr>
      </w:pPr>
      <w:r w:rsidRPr="006913C8">
        <w:rPr>
          <w:color w:val="222222"/>
          <w:sz w:val="24"/>
          <w:szCs w:val="24"/>
          <w:highlight w:val="white"/>
          <w:lang w:val="en-GB"/>
        </w:rPr>
        <w:t xml:space="preserve">Waditwar, P., (2024). ‘The Intersection of Strategic Sourcing and Artificial Intelligence: A Paradigm Shift for Modern Organizations’. </w:t>
      </w:r>
      <w:r w:rsidRPr="006913C8">
        <w:rPr>
          <w:i/>
          <w:iCs/>
          <w:color w:val="222222"/>
          <w:sz w:val="24"/>
          <w:szCs w:val="24"/>
          <w:highlight w:val="white"/>
          <w:lang w:val="en-GB"/>
        </w:rPr>
        <w:t>Open Journal of Business and Management</w:t>
      </w:r>
      <w:r w:rsidRPr="006913C8">
        <w:rPr>
          <w:color w:val="222222"/>
          <w:sz w:val="24"/>
          <w:szCs w:val="24"/>
          <w:highlight w:val="white"/>
          <w:lang w:val="en-GB"/>
        </w:rPr>
        <w:t xml:space="preserve">, </w:t>
      </w:r>
      <w:r w:rsidRPr="006913C8">
        <w:rPr>
          <w:i/>
          <w:iCs/>
          <w:color w:val="222222"/>
          <w:sz w:val="24"/>
          <w:szCs w:val="24"/>
          <w:highlight w:val="white"/>
          <w:lang w:val="en-GB"/>
        </w:rPr>
        <w:t>12</w:t>
      </w:r>
      <w:r w:rsidRPr="006913C8">
        <w:rPr>
          <w:color w:val="222222"/>
          <w:sz w:val="24"/>
          <w:szCs w:val="24"/>
          <w:highlight w:val="white"/>
          <w:lang w:val="en-GB"/>
        </w:rPr>
        <w:t>(06), pp.4073-4085.</w:t>
      </w:r>
      <w:r w:rsidRPr="006913C8">
        <w:rPr>
          <w:sz w:val="24"/>
          <w:szCs w:val="24"/>
          <w:lang w:val="en-GB"/>
        </w:rPr>
        <w:t xml:space="preserve"> </w:t>
      </w:r>
      <w:hyperlink r:id="rId37">
        <w:r w:rsidRPr="006913C8">
          <w:rPr>
            <w:color w:val="1155CC"/>
            <w:sz w:val="24"/>
            <w:szCs w:val="24"/>
            <w:u w:val="single"/>
            <w:lang w:val="en-GB"/>
          </w:rPr>
          <w:t>https://www.researchgate.net/profile/Prajkta-Waditwar/publication/385632360_The_Intersection_of_Strategic_Sourcing_and_Artificial_Intelligence_A_Paradigm_Shift_for_Modern_Organizations/links/675978e405bf5b3e924dc155/The-Intersection-of-Strategic-Sourcing-and-Artificial-Intelligence-A-Paradigm-Shift-for-Modern-Organizations.pdf</w:t>
        </w:r>
      </w:hyperlink>
      <w:r w:rsidRPr="006913C8">
        <w:rPr>
          <w:sz w:val="24"/>
          <w:szCs w:val="24"/>
          <w:lang w:val="en-GB"/>
        </w:rPr>
        <w:t xml:space="preserve"> </w:t>
      </w:r>
    </w:p>
    <w:p w14:paraId="378B010F" w14:textId="6A786854"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Wu, W., </w:t>
      </w:r>
      <w:r w:rsidR="00EB64B3">
        <w:rPr>
          <w:rFonts w:ascii="Arial" w:hAnsi="Arial" w:cs="Arial"/>
          <w:color w:val="222222"/>
          <w:shd w:val="clear" w:color="auto" w:fill="FFFFFF"/>
        </w:rPr>
        <w:t>et al.</w:t>
      </w:r>
      <w:r w:rsidRPr="0086595D">
        <w:rPr>
          <w:rFonts w:ascii="Arial" w:hAnsi="Arial" w:cs="Arial"/>
          <w:color w:val="222222"/>
          <w:shd w:val="clear" w:color="auto" w:fill="FFFFFF"/>
        </w:rPr>
        <w:t xml:space="preserve">, (2023). ‘The moderating effects of corporate governance and investment efficiency on the nexus between financial flexibility and firm performance’. </w:t>
      </w:r>
      <w:r w:rsidRPr="0086595D">
        <w:rPr>
          <w:rFonts w:ascii="Arial" w:hAnsi="Arial" w:cs="Arial"/>
          <w:i/>
          <w:iCs/>
          <w:color w:val="222222"/>
          <w:shd w:val="clear" w:color="auto" w:fill="FFFFFF"/>
        </w:rPr>
        <w:t>Journal of Financial Reporting and Accounting</w:t>
      </w:r>
      <w:r w:rsidRPr="0086595D">
        <w:rPr>
          <w:rFonts w:ascii="Arial" w:hAnsi="Arial" w:cs="Arial"/>
          <w:color w:val="222222"/>
          <w:shd w:val="clear" w:color="auto" w:fill="FFFFFF"/>
        </w:rPr>
        <w:t>.</w:t>
      </w:r>
      <w:r w:rsidRPr="0086595D">
        <w:rPr>
          <w:rFonts w:ascii="Arial" w:hAnsi="Arial" w:cs="Arial"/>
          <w:color w:val="000000"/>
        </w:rPr>
        <w:t xml:space="preserve"> </w:t>
      </w:r>
      <w:hyperlink r:id="rId38" w:history="1">
        <w:r w:rsidRPr="0086595D">
          <w:rPr>
            <w:rStyle w:val="Hyperlink"/>
            <w:rFonts w:ascii="Arial" w:hAnsi="Arial" w:cs="Arial"/>
            <w:color w:val="1155CC"/>
          </w:rPr>
          <w:t>https://www.researchgate.net/profile/Fadi-Alkaraan/publication/373294431_The_moderating_effects_of_corporate_governance_and_investment_efficiency_on_the_nexus_between_financial_flexibility_and_firm_performance/links/6513531acce2460b6c36bde0/The-moderating-effects-of-corporate-governance-and-investment-efficiency-on-the-nexus-between-financial-flexibility-and-firm-performance.pdf</w:t>
        </w:r>
      </w:hyperlink>
    </w:p>
    <w:p w14:paraId="6AB4680D" w14:textId="77777777" w:rsidR="0086595D" w:rsidRPr="0086595D" w:rsidRDefault="0086595D" w:rsidP="00755556">
      <w:pPr>
        <w:pStyle w:val="NormalWeb"/>
        <w:spacing w:before="0" w:beforeAutospacing="0" w:after="240" w:afterAutospacing="0" w:line="360" w:lineRule="auto"/>
        <w:jc w:val="both"/>
        <w:rPr>
          <w:rFonts w:ascii="Arial" w:hAnsi="Arial" w:cs="Arial"/>
        </w:rPr>
      </w:pPr>
      <w:r w:rsidRPr="0086595D">
        <w:rPr>
          <w:rFonts w:ascii="Arial" w:hAnsi="Arial" w:cs="Arial"/>
          <w:color w:val="222222"/>
          <w:shd w:val="clear" w:color="auto" w:fill="FFFFFF"/>
        </w:rPr>
        <w:t xml:space="preserve">Zaher, H. and Illescas, G.M., (2022). ‘The Cash Conversion Cycle: A Systematic Literature Review’. In </w:t>
      </w:r>
      <w:r w:rsidRPr="0086595D">
        <w:rPr>
          <w:rFonts w:ascii="Arial" w:hAnsi="Arial" w:cs="Arial"/>
          <w:i/>
          <w:iCs/>
          <w:color w:val="222222"/>
          <w:shd w:val="clear" w:color="auto" w:fill="FFFFFF"/>
        </w:rPr>
        <w:t>Economic and Social Development, International Scientific Conference on Economic and Social Development</w:t>
      </w:r>
      <w:r w:rsidRPr="0086595D">
        <w:rPr>
          <w:rFonts w:ascii="Arial" w:hAnsi="Arial" w:cs="Arial"/>
          <w:color w:val="222222"/>
          <w:shd w:val="clear" w:color="auto" w:fill="FFFFFF"/>
        </w:rPr>
        <w:t xml:space="preserve"> (Vol. 81, p. 18).</w:t>
      </w:r>
      <w:r w:rsidRPr="0086595D">
        <w:rPr>
          <w:rFonts w:ascii="Arial" w:hAnsi="Arial" w:cs="Arial"/>
          <w:color w:val="000000"/>
        </w:rPr>
        <w:t xml:space="preserve"> </w:t>
      </w:r>
      <w:hyperlink r:id="rId39" w:anchor="page=23" w:history="1">
        <w:r w:rsidRPr="0086595D">
          <w:rPr>
            <w:rStyle w:val="Hyperlink"/>
            <w:rFonts w:ascii="Arial" w:hAnsi="Arial" w:cs="Arial"/>
            <w:color w:val="1155CC"/>
          </w:rPr>
          <w:t>https://www.researchgate.net/profile/Ana-Markuz/publication/367203897_PROJECT_MANAGER'S_SOCIAL_RESPONSIBILITY_ENSURING_WORK-LIFE_BALANCE_AND_EQUAL_OPPORTUNITY_IN_PROJECT/links/63c7f2a0e922c50e99a376bb/PROJECT-MANAGERS-SOCIAL-RESPONSIBILITY-ENSURING-WORK-LIFE-BALANCE-AND-EQUAL-OPPORTUNITY-IN-PROJECT.pdf#page=23</w:t>
        </w:r>
      </w:hyperlink>
    </w:p>
    <w:p w14:paraId="4F3F81B0" w14:textId="6CEE4C2A" w:rsidR="0086595D" w:rsidRDefault="0086595D" w:rsidP="00755556">
      <w:pPr>
        <w:spacing w:line="360" w:lineRule="auto"/>
        <w:rPr>
          <w:rFonts w:eastAsia="Times New Roman"/>
          <w:sz w:val="24"/>
          <w:szCs w:val="24"/>
          <w:lang w:val="en-GB"/>
        </w:rPr>
      </w:pPr>
      <w:r>
        <w:rPr>
          <w:rFonts w:eastAsia="Times New Roman"/>
          <w:sz w:val="24"/>
          <w:szCs w:val="24"/>
          <w:lang w:val="en-GB"/>
        </w:rPr>
        <w:lastRenderedPageBreak/>
        <w:br w:type="page"/>
      </w:r>
    </w:p>
    <w:p w14:paraId="0CECD050" w14:textId="3B514EE3" w:rsidR="0086595D" w:rsidRDefault="0086595D" w:rsidP="00755556">
      <w:pPr>
        <w:pStyle w:val="Heading1"/>
        <w:rPr>
          <w:lang w:val="en-GB"/>
        </w:rPr>
      </w:pPr>
      <w:bookmarkStart w:id="25" w:name="_Toc235033245"/>
      <w:r>
        <w:rPr>
          <w:lang w:val="en-GB"/>
        </w:rPr>
        <w:lastRenderedPageBreak/>
        <w:t>Appendices</w:t>
      </w:r>
      <w:bookmarkEnd w:id="25"/>
    </w:p>
    <w:p w14:paraId="394C397A" w14:textId="7345C065" w:rsidR="0086595D" w:rsidRDefault="0086595D" w:rsidP="00755556">
      <w:pPr>
        <w:pStyle w:val="Heading2"/>
        <w:rPr>
          <w:lang w:val="en-GB"/>
        </w:rPr>
      </w:pPr>
      <w:bookmarkStart w:id="26" w:name="_Toc235033246"/>
      <w:r>
        <w:rPr>
          <w:lang w:val="en-GB"/>
        </w:rPr>
        <w:t>Appendix 1: Ratio analysis</w:t>
      </w:r>
      <w:bookmarkEnd w:id="26"/>
    </w:p>
    <w:tbl>
      <w:tblPr>
        <w:tblW w:w="5000" w:type="pct"/>
        <w:tblLook w:val="04A0" w:firstRow="1" w:lastRow="0" w:firstColumn="1" w:lastColumn="0" w:noHBand="0" w:noVBand="1"/>
      </w:tblPr>
      <w:tblGrid>
        <w:gridCol w:w="1803"/>
        <w:gridCol w:w="1802"/>
        <w:gridCol w:w="1802"/>
        <w:gridCol w:w="1802"/>
        <w:gridCol w:w="1802"/>
      </w:tblGrid>
      <w:tr w:rsidR="0086595D" w:rsidRPr="0086595D" w14:paraId="3C28FF01" w14:textId="77777777" w:rsidTr="0086595D">
        <w:trPr>
          <w:trHeight w:val="300"/>
        </w:trPr>
        <w:tc>
          <w:tcPr>
            <w:tcW w:w="1000" w:type="pct"/>
            <w:tcBorders>
              <w:top w:val="single" w:sz="8" w:space="0" w:color="auto"/>
              <w:left w:val="single" w:sz="4" w:space="0" w:color="auto"/>
              <w:bottom w:val="single" w:sz="4" w:space="0" w:color="auto"/>
              <w:right w:val="single" w:sz="4" w:space="0" w:color="auto"/>
            </w:tcBorders>
            <w:noWrap/>
            <w:vAlign w:val="bottom"/>
            <w:hideMark/>
          </w:tcPr>
          <w:p w14:paraId="1B508941"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2021</w:t>
            </w:r>
          </w:p>
        </w:tc>
        <w:tc>
          <w:tcPr>
            <w:tcW w:w="1000" w:type="pct"/>
            <w:tcBorders>
              <w:top w:val="single" w:sz="8" w:space="0" w:color="auto"/>
              <w:left w:val="nil"/>
              <w:bottom w:val="single" w:sz="4" w:space="0" w:color="auto"/>
              <w:right w:val="single" w:sz="4" w:space="0" w:color="auto"/>
            </w:tcBorders>
            <w:noWrap/>
            <w:vAlign w:val="bottom"/>
            <w:hideMark/>
          </w:tcPr>
          <w:p w14:paraId="7BAE51CF"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2022</w:t>
            </w:r>
          </w:p>
        </w:tc>
        <w:tc>
          <w:tcPr>
            <w:tcW w:w="1000" w:type="pct"/>
            <w:tcBorders>
              <w:top w:val="single" w:sz="8" w:space="0" w:color="auto"/>
              <w:left w:val="nil"/>
              <w:bottom w:val="single" w:sz="4" w:space="0" w:color="auto"/>
              <w:right w:val="single" w:sz="4" w:space="0" w:color="auto"/>
            </w:tcBorders>
            <w:noWrap/>
            <w:vAlign w:val="bottom"/>
            <w:hideMark/>
          </w:tcPr>
          <w:p w14:paraId="6985722D"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2023</w:t>
            </w:r>
          </w:p>
        </w:tc>
        <w:tc>
          <w:tcPr>
            <w:tcW w:w="1000" w:type="pct"/>
            <w:tcBorders>
              <w:top w:val="single" w:sz="8" w:space="0" w:color="auto"/>
              <w:left w:val="nil"/>
              <w:bottom w:val="single" w:sz="4" w:space="0" w:color="auto"/>
              <w:right w:val="single" w:sz="4" w:space="0" w:color="auto"/>
            </w:tcBorders>
            <w:noWrap/>
            <w:vAlign w:val="bottom"/>
            <w:hideMark/>
          </w:tcPr>
          <w:p w14:paraId="3F7A0B7A"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2024</w:t>
            </w:r>
          </w:p>
        </w:tc>
        <w:tc>
          <w:tcPr>
            <w:tcW w:w="1000" w:type="pct"/>
            <w:tcBorders>
              <w:top w:val="single" w:sz="8" w:space="0" w:color="auto"/>
              <w:left w:val="nil"/>
              <w:bottom w:val="single" w:sz="4" w:space="0" w:color="auto"/>
              <w:right w:val="single" w:sz="8" w:space="0" w:color="auto"/>
            </w:tcBorders>
            <w:noWrap/>
            <w:vAlign w:val="bottom"/>
            <w:hideMark/>
          </w:tcPr>
          <w:p w14:paraId="48172D13"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2025</w:t>
            </w:r>
          </w:p>
        </w:tc>
      </w:tr>
      <w:tr w:rsidR="0086595D" w:rsidRPr="0086595D" w14:paraId="2B50D36A"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0BCB9FA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3,005</w:t>
            </w:r>
          </w:p>
        </w:tc>
        <w:tc>
          <w:tcPr>
            <w:tcW w:w="1000" w:type="pct"/>
            <w:tcBorders>
              <w:top w:val="nil"/>
              <w:left w:val="nil"/>
              <w:bottom w:val="single" w:sz="4" w:space="0" w:color="auto"/>
              <w:right w:val="single" w:sz="4" w:space="0" w:color="auto"/>
            </w:tcBorders>
            <w:noWrap/>
            <w:vAlign w:val="bottom"/>
            <w:hideMark/>
          </w:tcPr>
          <w:p w14:paraId="1DB9B9A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3,892</w:t>
            </w:r>
          </w:p>
        </w:tc>
        <w:tc>
          <w:tcPr>
            <w:tcW w:w="1000" w:type="pct"/>
            <w:tcBorders>
              <w:top w:val="nil"/>
              <w:left w:val="nil"/>
              <w:bottom w:val="single" w:sz="4" w:space="0" w:color="auto"/>
              <w:right w:val="single" w:sz="4" w:space="0" w:color="auto"/>
            </w:tcBorders>
            <w:noWrap/>
            <w:vAlign w:val="bottom"/>
            <w:hideMark/>
          </w:tcPr>
          <w:p w14:paraId="7913A3D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4,624</w:t>
            </w:r>
          </w:p>
        </w:tc>
        <w:tc>
          <w:tcPr>
            <w:tcW w:w="1000" w:type="pct"/>
            <w:tcBorders>
              <w:top w:val="nil"/>
              <w:left w:val="nil"/>
              <w:bottom w:val="single" w:sz="4" w:space="0" w:color="auto"/>
              <w:right w:val="single" w:sz="4" w:space="0" w:color="auto"/>
            </w:tcBorders>
            <w:noWrap/>
            <w:vAlign w:val="bottom"/>
            <w:hideMark/>
          </w:tcPr>
          <w:p w14:paraId="0181521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4,923</w:t>
            </w:r>
          </w:p>
        </w:tc>
        <w:tc>
          <w:tcPr>
            <w:tcW w:w="1000" w:type="pct"/>
            <w:tcBorders>
              <w:top w:val="nil"/>
              <w:left w:val="nil"/>
              <w:bottom w:val="single" w:sz="4" w:space="0" w:color="auto"/>
              <w:right w:val="single" w:sz="8" w:space="0" w:color="auto"/>
            </w:tcBorders>
            <w:noWrap/>
            <w:vAlign w:val="bottom"/>
            <w:hideMark/>
          </w:tcPr>
          <w:p w14:paraId="5936EDE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5,189</w:t>
            </w:r>
          </w:p>
        </w:tc>
      </w:tr>
      <w:tr w:rsidR="0086595D" w:rsidRPr="0086595D" w14:paraId="4C7B0190"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56CB666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1,520</w:t>
            </w:r>
          </w:p>
        </w:tc>
        <w:tc>
          <w:tcPr>
            <w:tcW w:w="1000" w:type="pct"/>
            <w:tcBorders>
              <w:top w:val="nil"/>
              <w:left w:val="nil"/>
              <w:bottom w:val="single" w:sz="4" w:space="0" w:color="auto"/>
              <w:right w:val="single" w:sz="4" w:space="0" w:color="auto"/>
            </w:tcBorders>
            <w:noWrap/>
            <w:vAlign w:val="bottom"/>
            <w:hideMark/>
          </w:tcPr>
          <w:p w14:paraId="5424F9B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1,975</w:t>
            </w:r>
          </w:p>
        </w:tc>
        <w:tc>
          <w:tcPr>
            <w:tcW w:w="1000" w:type="pct"/>
            <w:tcBorders>
              <w:top w:val="nil"/>
              <w:left w:val="nil"/>
              <w:bottom w:val="single" w:sz="4" w:space="0" w:color="auto"/>
              <w:right w:val="single" w:sz="4" w:space="0" w:color="auto"/>
            </w:tcBorders>
            <w:noWrap/>
            <w:vAlign w:val="bottom"/>
            <w:hideMark/>
          </w:tcPr>
          <w:p w14:paraId="298C384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2,350</w:t>
            </w:r>
          </w:p>
        </w:tc>
        <w:tc>
          <w:tcPr>
            <w:tcW w:w="1000" w:type="pct"/>
            <w:tcBorders>
              <w:top w:val="nil"/>
              <w:left w:val="nil"/>
              <w:bottom w:val="single" w:sz="4" w:space="0" w:color="auto"/>
              <w:right w:val="single" w:sz="4" w:space="0" w:color="auto"/>
            </w:tcBorders>
            <w:noWrap/>
            <w:vAlign w:val="bottom"/>
            <w:hideMark/>
          </w:tcPr>
          <w:p w14:paraId="03578CA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2,515</w:t>
            </w:r>
          </w:p>
        </w:tc>
        <w:tc>
          <w:tcPr>
            <w:tcW w:w="1000" w:type="pct"/>
            <w:tcBorders>
              <w:top w:val="nil"/>
              <w:left w:val="nil"/>
              <w:bottom w:val="single" w:sz="4" w:space="0" w:color="auto"/>
              <w:right w:val="single" w:sz="8" w:space="0" w:color="auto"/>
            </w:tcBorders>
            <w:noWrap/>
            <w:vAlign w:val="bottom"/>
            <w:hideMark/>
          </w:tcPr>
          <w:p w14:paraId="50BBB77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2,650</w:t>
            </w:r>
          </w:p>
        </w:tc>
      </w:tr>
      <w:tr w:rsidR="0086595D" w:rsidRPr="0086595D" w14:paraId="56688039"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25F7D24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534</w:t>
            </w:r>
          </w:p>
        </w:tc>
        <w:tc>
          <w:tcPr>
            <w:tcW w:w="1000" w:type="pct"/>
            <w:tcBorders>
              <w:top w:val="nil"/>
              <w:left w:val="nil"/>
              <w:bottom w:val="single" w:sz="4" w:space="0" w:color="auto"/>
              <w:right w:val="single" w:sz="4" w:space="0" w:color="auto"/>
            </w:tcBorders>
            <w:noWrap/>
            <w:vAlign w:val="bottom"/>
            <w:hideMark/>
          </w:tcPr>
          <w:p w14:paraId="2F4A7C8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828</w:t>
            </w:r>
          </w:p>
        </w:tc>
        <w:tc>
          <w:tcPr>
            <w:tcW w:w="1000" w:type="pct"/>
            <w:tcBorders>
              <w:top w:val="nil"/>
              <w:left w:val="nil"/>
              <w:bottom w:val="single" w:sz="4" w:space="0" w:color="auto"/>
              <w:right w:val="single" w:sz="4" w:space="0" w:color="auto"/>
            </w:tcBorders>
            <w:noWrap/>
            <w:vAlign w:val="bottom"/>
            <w:hideMark/>
          </w:tcPr>
          <w:p w14:paraId="5799251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1,066</w:t>
            </w:r>
          </w:p>
        </w:tc>
        <w:tc>
          <w:tcPr>
            <w:tcW w:w="1000" w:type="pct"/>
            <w:tcBorders>
              <w:top w:val="nil"/>
              <w:left w:val="nil"/>
              <w:bottom w:val="single" w:sz="4" w:space="0" w:color="auto"/>
              <w:right w:val="single" w:sz="4" w:space="0" w:color="auto"/>
            </w:tcBorders>
            <w:noWrap/>
            <w:vAlign w:val="bottom"/>
            <w:hideMark/>
          </w:tcPr>
          <w:p w14:paraId="29316EA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1,041</w:t>
            </w:r>
          </w:p>
        </w:tc>
        <w:tc>
          <w:tcPr>
            <w:tcW w:w="1000" w:type="pct"/>
            <w:tcBorders>
              <w:top w:val="nil"/>
              <w:left w:val="nil"/>
              <w:bottom w:val="single" w:sz="4" w:space="0" w:color="auto"/>
              <w:right w:val="single" w:sz="8" w:space="0" w:color="auto"/>
            </w:tcBorders>
            <w:noWrap/>
            <w:vAlign w:val="bottom"/>
            <w:hideMark/>
          </w:tcPr>
          <w:p w14:paraId="686DC69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1,198</w:t>
            </w:r>
          </w:p>
        </w:tc>
      </w:tr>
      <w:tr w:rsidR="0086595D" w:rsidRPr="0086595D" w14:paraId="63748EA2"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020BDDB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610</w:t>
            </w:r>
          </w:p>
        </w:tc>
        <w:tc>
          <w:tcPr>
            <w:tcW w:w="1000" w:type="pct"/>
            <w:tcBorders>
              <w:top w:val="nil"/>
              <w:left w:val="nil"/>
              <w:bottom w:val="single" w:sz="4" w:space="0" w:color="auto"/>
              <w:right w:val="single" w:sz="4" w:space="0" w:color="auto"/>
            </w:tcBorders>
            <w:noWrap/>
            <w:vAlign w:val="bottom"/>
            <w:hideMark/>
          </w:tcPr>
          <w:p w14:paraId="1C460C4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905</w:t>
            </w:r>
          </w:p>
        </w:tc>
        <w:tc>
          <w:tcPr>
            <w:tcW w:w="1000" w:type="pct"/>
            <w:tcBorders>
              <w:top w:val="nil"/>
              <w:left w:val="nil"/>
              <w:bottom w:val="single" w:sz="4" w:space="0" w:color="auto"/>
              <w:right w:val="single" w:sz="4" w:space="0" w:color="auto"/>
            </w:tcBorders>
            <w:noWrap/>
            <w:vAlign w:val="bottom"/>
            <w:hideMark/>
          </w:tcPr>
          <w:p w14:paraId="4652B6B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1,133</w:t>
            </w:r>
          </w:p>
        </w:tc>
        <w:tc>
          <w:tcPr>
            <w:tcW w:w="1000" w:type="pct"/>
            <w:tcBorders>
              <w:top w:val="nil"/>
              <w:left w:val="nil"/>
              <w:bottom w:val="single" w:sz="4" w:space="0" w:color="auto"/>
              <w:right w:val="single" w:sz="4" w:space="0" w:color="auto"/>
            </w:tcBorders>
            <w:noWrap/>
            <w:vAlign w:val="bottom"/>
            <w:hideMark/>
          </w:tcPr>
          <w:p w14:paraId="6E39A6E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1,106</w:t>
            </w:r>
          </w:p>
        </w:tc>
        <w:tc>
          <w:tcPr>
            <w:tcW w:w="1000" w:type="pct"/>
            <w:tcBorders>
              <w:top w:val="nil"/>
              <w:left w:val="nil"/>
              <w:bottom w:val="single" w:sz="4" w:space="0" w:color="auto"/>
              <w:right w:val="single" w:sz="8" w:space="0" w:color="auto"/>
            </w:tcBorders>
            <w:noWrap/>
            <w:vAlign w:val="bottom"/>
            <w:hideMark/>
          </w:tcPr>
          <w:p w14:paraId="34C422B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1,265</w:t>
            </w:r>
          </w:p>
        </w:tc>
      </w:tr>
      <w:tr w:rsidR="0086595D" w:rsidRPr="0086595D" w14:paraId="4FF22BCD"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0990D9F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505</w:t>
            </w:r>
          </w:p>
        </w:tc>
        <w:tc>
          <w:tcPr>
            <w:tcW w:w="1000" w:type="pct"/>
            <w:tcBorders>
              <w:top w:val="nil"/>
              <w:left w:val="nil"/>
              <w:bottom w:val="single" w:sz="4" w:space="0" w:color="auto"/>
              <w:right w:val="single" w:sz="4" w:space="0" w:color="auto"/>
            </w:tcBorders>
            <w:noWrap/>
            <w:vAlign w:val="bottom"/>
            <w:hideMark/>
          </w:tcPr>
          <w:p w14:paraId="1507591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730</w:t>
            </w:r>
          </w:p>
        </w:tc>
        <w:tc>
          <w:tcPr>
            <w:tcW w:w="1000" w:type="pct"/>
            <w:tcBorders>
              <w:top w:val="nil"/>
              <w:left w:val="nil"/>
              <w:bottom w:val="single" w:sz="4" w:space="0" w:color="auto"/>
              <w:right w:val="single" w:sz="4" w:space="0" w:color="auto"/>
            </w:tcBorders>
            <w:noWrap/>
            <w:vAlign w:val="bottom"/>
            <w:hideMark/>
          </w:tcPr>
          <w:p w14:paraId="55F07D5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1,010</w:t>
            </w:r>
          </w:p>
        </w:tc>
        <w:tc>
          <w:tcPr>
            <w:tcW w:w="1000" w:type="pct"/>
            <w:tcBorders>
              <w:top w:val="nil"/>
              <w:left w:val="nil"/>
              <w:bottom w:val="single" w:sz="4" w:space="0" w:color="auto"/>
              <w:right w:val="single" w:sz="4" w:space="0" w:color="auto"/>
            </w:tcBorders>
            <w:noWrap/>
            <w:vAlign w:val="bottom"/>
            <w:hideMark/>
          </w:tcPr>
          <w:p w14:paraId="0605A49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897</w:t>
            </w:r>
          </w:p>
        </w:tc>
        <w:tc>
          <w:tcPr>
            <w:tcW w:w="1000" w:type="pct"/>
            <w:tcBorders>
              <w:top w:val="nil"/>
              <w:left w:val="nil"/>
              <w:bottom w:val="single" w:sz="4" w:space="0" w:color="auto"/>
              <w:right w:val="single" w:sz="8" w:space="0" w:color="auto"/>
            </w:tcBorders>
            <w:noWrap/>
            <w:vAlign w:val="bottom"/>
            <w:hideMark/>
          </w:tcPr>
          <w:p w14:paraId="2186EB0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1,074</w:t>
            </w:r>
          </w:p>
        </w:tc>
      </w:tr>
      <w:tr w:rsidR="0086595D" w:rsidRPr="0086595D" w14:paraId="7C41AA5D"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1887384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417</w:t>
            </w:r>
          </w:p>
        </w:tc>
        <w:tc>
          <w:tcPr>
            <w:tcW w:w="1000" w:type="pct"/>
            <w:tcBorders>
              <w:top w:val="nil"/>
              <w:left w:val="nil"/>
              <w:bottom w:val="single" w:sz="4" w:space="0" w:color="auto"/>
              <w:right w:val="single" w:sz="4" w:space="0" w:color="auto"/>
            </w:tcBorders>
            <w:noWrap/>
            <w:vAlign w:val="bottom"/>
            <w:hideMark/>
          </w:tcPr>
          <w:p w14:paraId="1686EFB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540</w:t>
            </w:r>
          </w:p>
        </w:tc>
        <w:tc>
          <w:tcPr>
            <w:tcW w:w="1000" w:type="pct"/>
            <w:tcBorders>
              <w:top w:val="nil"/>
              <w:left w:val="nil"/>
              <w:bottom w:val="single" w:sz="4" w:space="0" w:color="auto"/>
              <w:right w:val="single" w:sz="4" w:space="0" w:color="auto"/>
            </w:tcBorders>
            <w:noWrap/>
            <w:vAlign w:val="bottom"/>
            <w:hideMark/>
          </w:tcPr>
          <w:p w14:paraId="51A6CC8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750</w:t>
            </w:r>
          </w:p>
        </w:tc>
        <w:tc>
          <w:tcPr>
            <w:tcW w:w="1000" w:type="pct"/>
            <w:tcBorders>
              <w:top w:val="nil"/>
              <w:left w:val="nil"/>
              <w:bottom w:val="single" w:sz="4" w:space="0" w:color="auto"/>
              <w:right w:val="single" w:sz="4" w:space="0" w:color="auto"/>
            </w:tcBorders>
            <w:noWrap/>
            <w:vAlign w:val="bottom"/>
            <w:hideMark/>
          </w:tcPr>
          <w:p w14:paraId="0700D50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628</w:t>
            </w:r>
          </w:p>
        </w:tc>
        <w:tc>
          <w:tcPr>
            <w:tcW w:w="1000" w:type="pct"/>
            <w:tcBorders>
              <w:top w:val="nil"/>
              <w:left w:val="nil"/>
              <w:bottom w:val="single" w:sz="4" w:space="0" w:color="auto"/>
              <w:right w:val="single" w:sz="8" w:space="0" w:color="auto"/>
            </w:tcBorders>
            <w:noWrap/>
            <w:vAlign w:val="bottom"/>
            <w:hideMark/>
          </w:tcPr>
          <w:p w14:paraId="45F8FE5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759</w:t>
            </w:r>
          </w:p>
        </w:tc>
      </w:tr>
      <w:tr w:rsidR="0086595D" w:rsidRPr="0086595D" w14:paraId="1744AD5D"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7E31A76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820</w:t>
            </w:r>
          </w:p>
        </w:tc>
        <w:tc>
          <w:tcPr>
            <w:tcW w:w="1000" w:type="pct"/>
            <w:tcBorders>
              <w:top w:val="nil"/>
              <w:left w:val="nil"/>
              <w:bottom w:val="single" w:sz="4" w:space="0" w:color="auto"/>
              <w:right w:val="single" w:sz="4" w:space="0" w:color="auto"/>
            </w:tcBorders>
            <w:noWrap/>
            <w:vAlign w:val="bottom"/>
            <w:hideMark/>
          </w:tcPr>
          <w:p w14:paraId="51F0BAF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1,010</w:t>
            </w:r>
          </w:p>
        </w:tc>
        <w:tc>
          <w:tcPr>
            <w:tcW w:w="1000" w:type="pct"/>
            <w:tcBorders>
              <w:top w:val="nil"/>
              <w:left w:val="nil"/>
              <w:bottom w:val="single" w:sz="4" w:space="0" w:color="auto"/>
              <w:right w:val="single" w:sz="4" w:space="0" w:color="auto"/>
            </w:tcBorders>
            <w:noWrap/>
            <w:vAlign w:val="bottom"/>
            <w:hideMark/>
          </w:tcPr>
          <w:p w14:paraId="1B4182C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1,219</w:t>
            </w:r>
          </w:p>
        </w:tc>
        <w:tc>
          <w:tcPr>
            <w:tcW w:w="1000" w:type="pct"/>
            <w:tcBorders>
              <w:top w:val="nil"/>
              <w:left w:val="nil"/>
              <w:bottom w:val="single" w:sz="4" w:space="0" w:color="auto"/>
              <w:right w:val="single" w:sz="4" w:space="0" w:color="auto"/>
            </w:tcBorders>
            <w:noWrap/>
            <w:vAlign w:val="bottom"/>
            <w:hideMark/>
          </w:tcPr>
          <w:p w14:paraId="3B41E49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1,149</w:t>
            </w:r>
          </w:p>
        </w:tc>
        <w:tc>
          <w:tcPr>
            <w:tcW w:w="1000" w:type="pct"/>
            <w:tcBorders>
              <w:top w:val="nil"/>
              <w:left w:val="nil"/>
              <w:bottom w:val="single" w:sz="4" w:space="0" w:color="auto"/>
              <w:right w:val="single" w:sz="8" w:space="0" w:color="auto"/>
            </w:tcBorders>
            <w:noWrap/>
            <w:vAlign w:val="bottom"/>
            <w:hideMark/>
          </w:tcPr>
          <w:p w14:paraId="69EBD48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1,361</w:t>
            </w:r>
          </w:p>
        </w:tc>
      </w:tr>
      <w:tr w:rsidR="0086595D" w:rsidRPr="0086595D" w14:paraId="1C296291"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40BB815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921</w:t>
            </w:r>
          </w:p>
        </w:tc>
        <w:tc>
          <w:tcPr>
            <w:tcW w:w="1000" w:type="pct"/>
            <w:tcBorders>
              <w:top w:val="nil"/>
              <w:left w:val="nil"/>
              <w:bottom w:val="single" w:sz="4" w:space="0" w:color="auto"/>
              <w:right w:val="single" w:sz="4" w:space="0" w:color="auto"/>
            </w:tcBorders>
            <w:noWrap/>
            <w:vAlign w:val="bottom"/>
            <w:hideMark/>
          </w:tcPr>
          <w:p w14:paraId="745E5F3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1050</w:t>
            </w:r>
          </w:p>
        </w:tc>
        <w:tc>
          <w:tcPr>
            <w:tcW w:w="1000" w:type="pct"/>
            <w:tcBorders>
              <w:top w:val="nil"/>
              <w:left w:val="nil"/>
              <w:bottom w:val="single" w:sz="4" w:space="0" w:color="auto"/>
              <w:right w:val="single" w:sz="4" w:space="0" w:color="auto"/>
            </w:tcBorders>
            <w:noWrap/>
            <w:vAlign w:val="bottom"/>
            <w:hideMark/>
          </w:tcPr>
          <w:p w14:paraId="6377B50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1278</w:t>
            </w:r>
          </w:p>
        </w:tc>
        <w:tc>
          <w:tcPr>
            <w:tcW w:w="1000" w:type="pct"/>
            <w:tcBorders>
              <w:top w:val="nil"/>
              <w:left w:val="nil"/>
              <w:bottom w:val="single" w:sz="4" w:space="0" w:color="auto"/>
              <w:right w:val="single" w:sz="4" w:space="0" w:color="auto"/>
            </w:tcBorders>
            <w:noWrap/>
            <w:vAlign w:val="bottom"/>
            <w:hideMark/>
          </w:tcPr>
          <w:p w14:paraId="02694EC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991</w:t>
            </w:r>
          </w:p>
        </w:tc>
        <w:tc>
          <w:tcPr>
            <w:tcW w:w="1000" w:type="pct"/>
            <w:tcBorders>
              <w:top w:val="nil"/>
              <w:left w:val="nil"/>
              <w:bottom w:val="single" w:sz="4" w:space="0" w:color="auto"/>
              <w:right w:val="single" w:sz="8" w:space="0" w:color="auto"/>
            </w:tcBorders>
            <w:noWrap/>
            <w:vAlign w:val="bottom"/>
            <w:hideMark/>
          </w:tcPr>
          <w:p w14:paraId="1CFFCB5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1129</w:t>
            </w:r>
          </w:p>
        </w:tc>
      </w:tr>
      <w:tr w:rsidR="0086595D" w:rsidRPr="0086595D" w14:paraId="3B784DAF"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7AB70C7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610</w:t>
            </w:r>
          </w:p>
        </w:tc>
        <w:tc>
          <w:tcPr>
            <w:tcW w:w="1000" w:type="pct"/>
            <w:tcBorders>
              <w:top w:val="nil"/>
              <w:left w:val="nil"/>
              <w:bottom w:val="single" w:sz="4" w:space="0" w:color="auto"/>
              <w:right w:val="single" w:sz="4" w:space="0" w:color="auto"/>
            </w:tcBorders>
            <w:noWrap/>
            <w:vAlign w:val="bottom"/>
            <w:hideMark/>
          </w:tcPr>
          <w:p w14:paraId="5B674A5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690</w:t>
            </w:r>
          </w:p>
        </w:tc>
        <w:tc>
          <w:tcPr>
            <w:tcW w:w="1000" w:type="pct"/>
            <w:tcBorders>
              <w:top w:val="nil"/>
              <w:left w:val="nil"/>
              <w:bottom w:val="single" w:sz="4" w:space="0" w:color="auto"/>
              <w:right w:val="single" w:sz="4" w:space="0" w:color="auto"/>
            </w:tcBorders>
            <w:noWrap/>
            <w:vAlign w:val="bottom"/>
            <w:hideMark/>
          </w:tcPr>
          <w:p w14:paraId="249BBC2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735</w:t>
            </w:r>
          </w:p>
        </w:tc>
        <w:tc>
          <w:tcPr>
            <w:tcW w:w="1000" w:type="pct"/>
            <w:tcBorders>
              <w:top w:val="nil"/>
              <w:left w:val="nil"/>
              <w:bottom w:val="single" w:sz="4" w:space="0" w:color="auto"/>
              <w:right w:val="single" w:sz="4" w:space="0" w:color="auto"/>
            </w:tcBorders>
            <w:noWrap/>
            <w:vAlign w:val="bottom"/>
            <w:hideMark/>
          </w:tcPr>
          <w:p w14:paraId="058E082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785</w:t>
            </w:r>
          </w:p>
        </w:tc>
        <w:tc>
          <w:tcPr>
            <w:tcW w:w="1000" w:type="pct"/>
            <w:tcBorders>
              <w:top w:val="nil"/>
              <w:left w:val="nil"/>
              <w:bottom w:val="single" w:sz="4" w:space="0" w:color="auto"/>
              <w:right w:val="single" w:sz="8" w:space="0" w:color="auto"/>
            </w:tcBorders>
            <w:noWrap/>
            <w:vAlign w:val="bottom"/>
            <w:hideMark/>
          </w:tcPr>
          <w:p w14:paraId="34DA72F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833</w:t>
            </w:r>
          </w:p>
        </w:tc>
      </w:tr>
      <w:tr w:rsidR="0086595D" w:rsidRPr="0086595D" w14:paraId="20586264"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11490D0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32</w:t>
            </w:r>
          </w:p>
        </w:tc>
        <w:tc>
          <w:tcPr>
            <w:tcW w:w="1000" w:type="pct"/>
            <w:tcBorders>
              <w:top w:val="nil"/>
              <w:left w:val="nil"/>
              <w:bottom w:val="single" w:sz="4" w:space="0" w:color="auto"/>
              <w:right w:val="single" w:sz="4" w:space="0" w:color="auto"/>
            </w:tcBorders>
            <w:noWrap/>
            <w:vAlign w:val="bottom"/>
            <w:hideMark/>
          </w:tcPr>
          <w:p w14:paraId="3A850F2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36</w:t>
            </w:r>
          </w:p>
        </w:tc>
        <w:tc>
          <w:tcPr>
            <w:tcW w:w="1000" w:type="pct"/>
            <w:tcBorders>
              <w:top w:val="nil"/>
              <w:left w:val="nil"/>
              <w:bottom w:val="single" w:sz="4" w:space="0" w:color="auto"/>
              <w:right w:val="single" w:sz="4" w:space="0" w:color="auto"/>
            </w:tcBorders>
            <w:noWrap/>
            <w:vAlign w:val="bottom"/>
            <w:hideMark/>
          </w:tcPr>
          <w:p w14:paraId="1DA2DD3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40</w:t>
            </w:r>
          </w:p>
        </w:tc>
        <w:tc>
          <w:tcPr>
            <w:tcW w:w="1000" w:type="pct"/>
            <w:tcBorders>
              <w:top w:val="nil"/>
              <w:left w:val="nil"/>
              <w:bottom w:val="single" w:sz="4" w:space="0" w:color="auto"/>
              <w:right w:val="single" w:sz="4" w:space="0" w:color="auto"/>
            </w:tcBorders>
            <w:noWrap/>
            <w:vAlign w:val="bottom"/>
            <w:hideMark/>
          </w:tcPr>
          <w:p w14:paraId="0C0DCB4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43</w:t>
            </w:r>
          </w:p>
        </w:tc>
        <w:tc>
          <w:tcPr>
            <w:tcW w:w="1000" w:type="pct"/>
            <w:tcBorders>
              <w:top w:val="nil"/>
              <w:left w:val="nil"/>
              <w:bottom w:val="single" w:sz="4" w:space="0" w:color="auto"/>
              <w:right w:val="single" w:sz="8" w:space="0" w:color="auto"/>
            </w:tcBorders>
            <w:noWrap/>
            <w:vAlign w:val="bottom"/>
            <w:hideMark/>
          </w:tcPr>
          <w:p w14:paraId="083CD23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46</w:t>
            </w:r>
          </w:p>
        </w:tc>
      </w:tr>
      <w:tr w:rsidR="0086595D" w:rsidRPr="0086595D" w14:paraId="1ECF6736"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79C35FD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1,610</w:t>
            </w:r>
          </w:p>
        </w:tc>
        <w:tc>
          <w:tcPr>
            <w:tcW w:w="1000" w:type="pct"/>
            <w:tcBorders>
              <w:top w:val="nil"/>
              <w:left w:val="nil"/>
              <w:bottom w:val="single" w:sz="4" w:space="0" w:color="auto"/>
              <w:right w:val="single" w:sz="4" w:space="0" w:color="auto"/>
            </w:tcBorders>
            <w:noWrap/>
            <w:vAlign w:val="bottom"/>
            <w:hideMark/>
          </w:tcPr>
          <w:p w14:paraId="57404F7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1,760</w:t>
            </w:r>
          </w:p>
        </w:tc>
        <w:tc>
          <w:tcPr>
            <w:tcW w:w="1000" w:type="pct"/>
            <w:tcBorders>
              <w:top w:val="nil"/>
              <w:left w:val="nil"/>
              <w:bottom w:val="single" w:sz="4" w:space="0" w:color="auto"/>
              <w:right w:val="single" w:sz="4" w:space="0" w:color="auto"/>
            </w:tcBorders>
            <w:noWrap/>
            <w:vAlign w:val="bottom"/>
            <w:hideMark/>
          </w:tcPr>
          <w:p w14:paraId="5936317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1,825</w:t>
            </w:r>
          </w:p>
        </w:tc>
        <w:tc>
          <w:tcPr>
            <w:tcW w:w="1000" w:type="pct"/>
            <w:tcBorders>
              <w:top w:val="nil"/>
              <w:left w:val="nil"/>
              <w:bottom w:val="single" w:sz="4" w:space="0" w:color="auto"/>
              <w:right w:val="single" w:sz="4" w:space="0" w:color="auto"/>
            </w:tcBorders>
            <w:noWrap/>
            <w:vAlign w:val="bottom"/>
            <w:hideMark/>
          </w:tcPr>
          <w:p w14:paraId="0F14B83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1,869</w:t>
            </w:r>
          </w:p>
        </w:tc>
        <w:tc>
          <w:tcPr>
            <w:tcW w:w="1000" w:type="pct"/>
            <w:tcBorders>
              <w:top w:val="nil"/>
              <w:left w:val="nil"/>
              <w:bottom w:val="single" w:sz="4" w:space="0" w:color="auto"/>
              <w:right w:val="single" w:sz="8" w:space="0" w:color="auto"/>
            </w:tcBorders>
            <w:noWrap/>
            <w:vAlign w:val="bottom"/>
            <w:hideMark/>
          </w:tcPr>
          <w:p w14:paraId="28ECC85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2,049</w:t>
            </w:r>
          </w:p>
        </w:tc>
      </w:tr>
      <w:tr w:rsidR="0086595D" w:rsidRPr="0086595D" w14:paraId="6E42CB66"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15B74AC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170</w:t>
            </w:r>
          </w:p>
        </w:tc>
        <w:tc>
          <w:tcPr>
            <w:tcW w:w="1000" w:type="pct"/>
            <w:tcBorders>
              <w:top w:val="nil"/>
              <w:left w:val="nil"/>
              <w:bottom w:val="single" w:sz="4" w:space="0" w:color="auto"/>
              <w:right w:val="single" w:sz="4" w:space="0" w:color="auto"/>
            </w:tcBorders>
            <w:noWrap/>
            <w:vAlign w:val="bottom"/>
            <w:hideMark/>
          </w:tcPr>
          <w:p w14:paraId="33BC64B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160</w:t>
            </w:r>
          </w:p>
        </w:tc>
        <w:tc>
          <w:tcPr>
            <w:tcW w:w="1000" w:type="pct"/>
            <w:tcBorders>
              <w:top w:val="nil"/>
              <w:left w:val="nil"/>
              <w:bottom w:val="single" w:sz="4" w:space="0" w:color="auto"/>
              <w:right w:val="single" w:sz="4" w:space="0" w:color="auto"/>
            </w:tcBorders>
            <w:noWrap/>
            <w:vAlign w:val="bottom"/>
            <w:hideMark/>
          </w:tcPr>
          <w:p w14:paraId="5D6FE78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150</w:t>
            </w:r>
          </w:p>
        </w:tc>
        <w:tc>
          <w:tcPr>
            <w:tcW w:w="1000" w:type="pct"/>
            <w:tcBorders>
              <w:top w:val="nil"/>
              <w:left w:val="nil"/>
              <w:bottom w:val="single" w:sz="4" w:space="0" w:color="auto"/>
              <w:right w:val="single" w:sz="4" w:space="0" w:color="auto"/>
            </w:tcBorders>
            <w:noWrap/>
            <w:vAlign w:val="bottom"/>
            <w:hideMark/>
          </w:tcPr>
          <w:p w14:paraId="2912820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146</w:t>
            </w:r>
          </w:p>
        </w:tc>
        <w:tc>
          <w:tcPr>
            <w:tcW w:w="1000" w:type="pct"/>
            <w:tcBorders>
              <w:top w:val="nil"/>
              <w:left w:val="nil"/>
              <w:bottom w:val="single" w:sz="4" w:space="0" w:color="auto"/>
              <w:right w:val="single" w:sz="8" w:space="0" w:color="auto"/>
            </w:tcBorders>
            <w:noWrap/>
            <w:vAlign w:val="bottom"/>
            <w:hideMark/>
          </w:tcPr>
          <w:p w14:paraId="4613522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148</w:t>
            </w:r>
          </w:p>
        </w:tc>
      </w:tr>
      <w:tr w:rsidR="0086595D" w:rsidRPr="0086595D" w14:paraId="1AC96FC2"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1381FB3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180</w:t>
            </w:r>
          </w:p>
        </w:tc>
        <w:tc>
          <w:tcPr>
            <w:tcW w:w="1000" w:type="pct"/>
            <w:tcBorders>
              <w:top w:val="nil"/>
              <w:left w:val="nil"/>
              <w:bottom w:val="single" w:sz="4" w:space="0" w:color="auto"/>
              <w:right w:val="single" w:sz="4" w:space="0" w:color="auto"/>
            </w:tcBorders>
            <w:noWrap/>
            <w:vAlign w:val="bottom"/>
            <w:hideMark/>
          </w:tcPr>
          <w:p w14:paraId="7C8F743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190</w:t>
            </w:r>
          </w:p>
        </w:tc>
        <w:tc>
          <w:tcPr>
            <w:tcW w:w="1000" w:type="pct"/>
            <w:tcBorders>
              <w:top w:val="nil"/>
              <w:left w:val="nil"/>
              <w:bottom w:val="single" w:sz="4" w:space="0" w:color="auto"/>
              <w:right w:val="single" w:sz="4" w:space="0" w:color="auto"/>
            </w:tcBorders>
            <w:noWrap/>
            <w:vAlign w:val="bottom"/>
            <w:hideMark/>
          </w:tcPr>
          <w:p w14:paraId="266AA99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200</w:t>
            </w:r>
          </w:p>
        </w:tc>
        <w:tc>
          <w:tcPr>
            <w:tcW w:w="1000" w:type="pct"/>
            <w:tcBorders>
              <w:top w:val="nil"/>
              <w:left w:val="nil"/>
              <w:bottom w:val="single" w:sz="4" w:space="0" w:color="auto"/>
              <w:right w:val="single" w:sz="4" w:space="0" w:color="auto"/>
            </w:tcBorders>
            <w:noWrap/>
            <w:vAlign w:val="bottom"/>
            <w:hideMark/>
          </w:tcPr>
          <w:p w14:paraId="64F8DB7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205</w:t>
            </w:r>
          </w:p>
        </w:tc>
        <w:tc>
          <w:tcPr>
            <w:tcW w:w="1000" w:type="pct"/>
            <w:tcBorders>
              <w:top w:val="nil"/>
              <w:left w:val="nil"/>
              <w:bottom w:val="single" w:sz="4" w:space="0" w:color="auto"/>
              <w:right w:val="single" w:sz="8" w:space="0" w:color="auto"/>
            </w:tcBorders>
            <w:noWrap/>
            <w:vAlign w:val="bottom"/>
            <w:hideMark/>
          </w:tcPr>
          <w:p w14:paraId="3A09889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211</w:t>
            </w:r>
          </w:p>
        </w:tc>
      </w:tr>
      <w:tr w:rsidR="0086595D" w:rsidRPr="0086595D" w14:paraId="69DD75B1"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3CD11EB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925</w:t>
            </w:r>
          </w:p>
        </w:tc>
        <w:tc>
          <w:tcPr>
            <w:tcW w:w="1000" w:type="pct"/>
            <w:tcBorders>
              <w:top w:val="nil"/>
              <w:left w:val="nil"/>
              <w:bottom w:val="single" w:sz="4" w:space="0" w:color="auto"/>
              <w:right w:val="single" w:sz="4" w:space="0" w:color="auto"/>
            </w:tcBorders>
            <w:noWrap/>
            <w:vAlign w:val="bottom"/>
            <w:hideMark/>
          </w:tcPr>
          <w:p w14:paraId="3D94705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965</w:t>
            </w:r>
          </w:p>
        </w:tc>
        <w:tc>
          <w:tcPr>
            <w:tcW w:w="1000" w:type="pct"/>
            <w:tcBorders>
              <w:top w:val="nil"/>
              <w:left w:val="nil"/>
              <w:bottom w:val="single" w:sz="4" w:space="0" w:color="auto"/>
              <w:right w:val="single" w:sz="4" w:space="0" w:color="auto"/>
            </w:tcBorders>
            <w:noWrap/>
            <w:vAlign w:val="bottom"/>
            <w:hideMark/>
          </w:tcPr>
          <w:p w14:paraId="02A7220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1,000</w:t>
            </w:r>
          </w:p>
        </w:tc>
        <w:tc>
          <w:tcPr>
            <w:tcW w:w="1000" w:type="pct"/>
            <w:tcBorders>
              <w:top w:val="nil"/>
              <w:left w:val="nil"/>
              <w:bottom w:val="single" w:sz="4" w:space="0" w:color="auto"/>
              <w:right w:val="single" w:sz="4" w:space="0" w:color="auto"/>
            </w:tcBorders>
            <w:noWrap/>
            <w:vAlign w:val="bottom"/>
            <w:hideMark/>
          </w:tcPr>
          <w:p w14:paraId="60D177F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1,042</w:t>
            </w:r>
          </w:p>
        </w:tc>
        <w:tc>
          <w:tcPr>
            <w:tcW w:w="1000" w:type="pct"/>
            <w:tcBorders>
              <w:top w:val="nil"/>
              <w:left w:val="nil"/>
              <w:bottom w:val="single" w:sz="4" w:space="0" w:color="auto"/>
              <w:right w:val="single" w:sz="8" w:space="0" w:color="auto"/>
            </w:tcBorders>
            <w:noWrap/>
            <w:vAlign w:val="bottom"/>
            <w:hideMark/>
          </w:tcPr>
          <w:p w14:paraId="5EF4A15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1,155</w:t>
            </w:r>
          </w:p>
        </w:tc>
      </w:tr>
      <w:tr w:rsidR="0086595D" w:rsidRPr="0086595D" w14:paraId="572D6F77"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6FF8FC4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1320</w:t>
            </w:r>
          </w:p>
        </w:tc>
        <w:tc>
          <w:tcPr>
            <w:tcW w:w="1000" w:type="pct"/>
            <w:tcBorders>
              <w:top w:val="nil"/>
              <w:left w:val="nil"/>
              <w:bottom w:val="single" w:sz="4" w:space="0" w:color="auto"/>
              <w:right w:val="single" w:sz="4" w:space="0" w:color="auto"/>
            </w:tcBorders>
            <w:noWrap/>
            <w:vAlign w:val="bottom"/>
            <w:hideMark/>
          </w:tcPr>
          <w:p w14:paraId="3DF284E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1460</w:t>
            </w:r>
          </w:p>
        </w:tc>
        <w:tc>
          <w:tcPr>
            <w:tcW w:w="1000" w:type="pct"/>
            <w:tcBorders>
              <w:top w:val="nil"/>
              <w:left w:val="nil"/>
              <w:bottom w:val="single" w:sz="4" w:space="0" w:color="auto"/>
              <w:right w:val="single" w:sz="4" w:space="0" w:color="auto"/>
            </w:tcBorders>
            <w:noWrap/>
            <w:vAlign w:val="bottom"/>
            <w:hideMark/>
          </w:tcPr>
          <w:p w14:paraId="1BE2A29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1560</w:t>
            </w:r>
          </w:p>
        </w:tc>
        <w:tc>
          <w:tcPr>
            <w:tcW w:w="1000" w:type="pct"/>
            <w:tcBorders>
              <w:top w:val="nil"/>
              <w:left w:val="nil"/>
              <w:bottom w:val="single" w:sz="4" w:space="0" w:color="auto"/>
              <w:right w:val="single" w:sz="4" w:space="0" w:color="auto"/>
            </w:tcBorders>
            <w:noWrap/>
            <w:vAlign w:val="bottom"/>
            <w:hideMark/>
          </w:tcPr>
          <w:p w14:paraId="60832AB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1691</w:t>
            </w:r>
          </w:p>
        </w:tc>
        <w:tc>
          <w:tcPr>
            <w:tcW w:w="1000" w:type="pct"/>
            <w:tcBorders>
              <w:top w:val="nil"/>
              <w:left w:val="nil"/>
              <w:bottom w:val="single" w:sz="4" w:space="0" w:color="auto"/>
              <w:right w:val="single" w:sz="8" w:space="0" w:color="auto"/>
            </w:tcBorders>
            <w:noWrap/>
            <w:vAlign w:val="bottom"/>
            <w:hideMark/>
          </w:tcPr>
          <w:p w14:paraId="230A24A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1782</w:t>
            </w:r>
          </w:p>
        </w:tc>
      </w:tr>
      <w:tr w:rsidR="0086595D" w:rsidRPr="0086595D" w14:paraId="4D6E4668"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0519FCA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2,595</w:t>
            </w:r>
          </w:p>
        </w:tc>
        <w:tc>
          <w:tcPr>
            <w:tcW w:w="1000" w:type="pct"/>
            <w:tcBorders>
              <w:top w:val="nil"/>
              <w:left w:val="nil"/>
              <w:bottom w:val="single" w:sz="4" w:space="0" w:color="auto"/>
              <w:right w:val="single" w:sz="4" w:space="0" w:color="auto"/>
            </w:tcBorders>
            <w:noWrap/>
            <w:vAlign w:val="bottom"/>
            <w:hideMark/>
          </w:tcPr>
          <w:p w14:paraId="50FF478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2,775</w:t>
            </w:r>
          </w:p>
        </w:tc>
        <w:tc>
          <w:tcPr>
            <w:tcW w:w="1000" w:type="pct"/>
            <w:tcBorders>
              <w:top w:val="nil"/>
              <w:left w:val="nil"/>
              <w:bottom w:val="single" w:sz="4" w:space="0" w:color="auto"/>
              <w:right w:val="single" w:sz="4" w:space="0" w:color="auto"/>
            </w:tcBorders>
            <w:noWrap/>
            <w:vAlign w:val="bottom"/>
            <w:hideMark/>
          </w:tcPr>
          <w:p w14:paraId="6C67AEE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2,910</w:t>
            </w:r>
          </w:p>
        </w:tc>
        <w:tc>
          <w:tcPr>
            <w:tcW w:w="1000" w:type="pct"/>
            <w:tcBorders>
              <w:top w:val="nil"/>
              <w:left w:val="nil"/>
              <w:bottom w:val="single" w:sz="4" w:space="0" w:color="auto"/>
              <w:right w:val="single" w:sz="4" w:space="0" w:color="auto"/>
            </w:tcBorders>
            <w:noWrap/>
            <w:vAlign w:val="bottom"/>
            <w:hideMark/>
          </w:tcPr>
          <w:p w14:paraId="60ACC75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2,879</w:t>
            </w:r>
          </w:p>
        </w:tc>
        <w:tc>
          <w:tcPr>
            <w:tcW w:w="1000" w:type="pct"/>
            <w:tcBorders>
              <w:top w:val="nil"/>
              <w:left w:val="nil"/>
              <w:bottom w:val="single" w:sz="4" w:space="0" w:color="auto"/>
              <w:right w:val="single" w:sz="8" w:space="0" w:color="auto"/>
            </w:tcBorders>
            <w:noWrap/>
            <w:vAlign w:val="bottom"/>
            <w:hideMark/>
          </w:tcPr>
          <w:p w14:paraId="5F68AAD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3,296</w:t>
            </w:r>
          </w:p>
        </w:tc>
      </w:tr>
      <w:tr w:rsidR="0086595D" w:rsidRPr="0086595D" w14:paraId="0876771D"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1A8FD0E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4,205</w:t>
            </w:r>
          </w:p>
        </w:tc>
        <w:tc>
          <w:tcPr>
            <w:tcW w:w="1000" w:type="pct"/>
            <w:tcBorders>
              <w:top w:val="nil"/>
              <w:left w:val="nil"/>
              <w:bottom w:val="single" w:sz="4" w:space="0" w:color="auto"/>
              <w:right w:val="single" w:sz="4" w:space="0" w:color="auto"/>
            </w:tcBorders>
            <w:noWrap/>
            <w:vAlign w:val="bottom"/>
            <w:hideMark/>
          </w:tcPr>
          <w:p w14:paraId="1A4D446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4,535</w:t>
            </w:r>
          </w:p>
        </w:tc>
        <w:tc>
          <w:tcPr>
            <w:tcW w:w="1000" w:type="pct"/>
            <w:tcBorders>
              <w:top w:val="nil"/>
              <w:left w:val="nil"/>
              <w:bottom w:val="single" w:sz="4" w:space="0" w:color="auto"/>
              <w:right w:val="single" w:sz="4" w:space="0" w:color="auto"/>
            </w:tcBorders>
            <w:noWrap/>
            <w:vAlign w:val="bottom"/>
            <w:hideMark/>
          </w:tcPr>
          <w:p w14:paraId="2146A04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4,735</w:t>
            </w:r>
          </w:p>
        </w:tc>
        <w:tc>
          <w:tcPr>
            <w:tcW w:w="1000" w:type="pct"/>
            <w:tcBorders>
              <w:top w:val="nil"/>
              <w:left w:val="nil"/>
              <w:bottom w:val="single" w:sz="4" w:space="0" w:color="auto"/>
              <w:right w:val="single" w:sz="4" w:space="0" w:color="auto"/>
            </w:tcBorders>
            <w:noWrap/>
            <w:vAlign w:val="bottom"/>
            <w:hideMark/>
          </w:tcPr>
          <w:p w14:paraId="2D80853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4,748</w:t>
            </w:r>
          </w:p>
        </w:tc>
        <w:tc>
          <w:tcPr>
            <w:tcW w:w="1000" w:type="pct"/>
            <w:tcBorders>
              <w:top w:val="nil"/>
              <w:left w:val="nil"/>
              <w:bottom w:val="single" w:sz="4" w:space="0" w:color="auto"/>
              <w:right w:val="single" w:sz="8" w:space="0" w:color="auto"/>
            </w:tcBorders>
            <w:noWrap/>
            <w:vAlign w:val="bottom"/>
            <w:hideMark/>
          </w:tcPr>
          <w:p w14:paraId="368431C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5,345</w:t>
            </w:r>
          </w:p>
        </w:tc>
      </w:tr>
      <w:tr w:rsidR="0086595D" w:rsidRPr="0086595D" w14:paraId="4D4A3865"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43C4428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1,720</w:t>
            </w:r>
          </w:p>
        </w:tc>
        <w:tc>
          <w:tcPr>
            <w:tcW w:w="1000" w:type="pct"/>
            <w:tcBorders>
              <w:top w:val="nil"/>
              <w:left w:val="nil"/>
              <w:bottom w:val="single" w:sz="4" w:space="0" w:color="auto"/>
              <w:right w:val="single" w:sz="4" w:space="0" w:color="auto"/>
            </w:tcBorders>
            <w:noWrap/>
            <w:vAlign w:val="bottom"/>
            <w:hideMark/>
          </w:tcPr>
          <w:p w14:paraId="5B38978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1,840</w:t>
            </w:r>
          </w:p>
        </w:tc>
        <w:tc>
          <w:tcPr>
            <w:tcW w:w="1000" w:type="pct"/>
            <w:tcBorders>
              <w:top w:val="nil"/>
              <w:left w:val="nil"/>
              <w:bottom w:val="single" w:sz="4" w:space="0" w:color="auto"/>
              <w:right w:val="single" w:sz="4" w:space="0" w:color="auto"/>
            </w:tcBorders>
            <w:noWrap/>
            <w:vAlign w:val="bottom"/>
            <w:hideMark/>
          </w:tcPr>
          <w:p w14:paraId="2519B3C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1,895</w:t>
            </w:r>
          </w:p>
        </w:tc>
        <w:tc>
          <w:tcPr>
            <w:tcW w:w="1000" w:type="pct"/>
            <w:tcBorders>
              <w:top w:val="nil"/>
              <w:left w:val="nil"/>
              <w:bottom w:val="single" w:sz="4" w:space="0" w:color="auto"/>
              <w:right w:val="single" w:sz="4" w:space="0" w:color="auto"/>
            </w:tcBorders>
            <w:noWrap/>
            <w:vAlign w:val="bottom"/>
            <w:hideMark/>
          </w:tcPr>
          <w:p w14:paraId="66132A7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1,928</w:t>
            </w:r>
          </w:p>
        </w:tc>
        <w:tc>
          <w:tcPr>
            <w:tcW w:w="1000" w:type="pct"/>
            <w:tcBorders>
              <w:top w:val="nil"/>
              <w:left w:val="nil"/>
              <w:bottom w:val="single" w:sz="4" w:space="0" w:color="auto"/>
              <w:right w:val="single" w:sz="8" w:space="0" w:color="auto"/>
            </w:tcBorders>
            <w:noWrap/>
            <w:vAlign w:val="bottom"/>
            <w:hideMark/>
          </w:tcPr>
          <w:p w14:paraId="0852030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2,100</w:t>
            </w:r>
          </w:p>
        </w:tc>
      </w:tr>
      <w:tr w:rsidR="0086595D" w:rsidRPr="0086595D" w14:paraId="65DBD07D"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33625E4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-1,930</w:t>
            </w:r>
          </w:p>
        </w:tc>
        <w:tc>
          <w:tcPr>
            <w:tcW w:w="1000" w:type="pct"/>
            <w:tcBorders>
              <w:top w:val="nil"/>
              <w:left w:val="nil"/>
              <w:bottom w:val="single" w:sz="4" w:space="0" w:color="auto"/>
              <w:right w:val="single" w:sz="4" w:space="0" w:color="auto"/>
            </w:tcBorders>
            <w:noWrap/>
            <w:vAlign w:val="bottom"/>
            <w:hideMark/>
          </w:tcPr>
          <w:p w14:paraId="5FC7664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-2080</w:t>
            </w:r>
          </w:p>
        </w:tc>
        <w:tc>
          <w:tcPr>
            <w:tcW w:w="1000" w:type="pct"/>
            <w:tcBorders>
              <w:top w:val="nil"/>
              <w:left w:val="nil"/>
              <w:bottom w:val="single" w:sz="4" w:space="0" w:color="auto"/>
              <w:right w:val="single" w:sz="4" w:space="0" w:color="auto"/>
            </w:tcBorders>
            <w:noWrap/>
            <w:vAlign w:val="bottom"/>
            <w:hideMark/>
          </w:tcPr>
          <w:p w14:paraId="7FAB197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-2220</w:t>
            </w:r>
          </w:p>
        </w:tc>
        <w:tc>
          <w:tcPr>
            <w:tcW w:w="1000" w:type="pct"/>
            <w:tcBorders>
              <w:top w:val="nil"/>
              <w:left w:val="nil"/>
              <w:bottom w:val="single" w:sz="4" w:space="0" w:color="auto"/>
              <w:right w:val="single" w:sz="4" w:space="0" w:color="auto"/>
            </w:tcBorders>
            <w:noWrap/>
            <w:vAlign w:val="bottom"/>
            <w:hideMark/>
          </w:tcPr>
          <w:p w14:paraId="61FBDC9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-2,312</w:t>
            </w:r>
          </w:p>
        </w:tc>
        <w:tc>
          <w:tcPr>
            <w:tcW w:w="1000" w:type="pct"/>
            <w:tcBorders>
              <w:top w:val="nil"/>
              <w:left w:val="nil"/>
              <w:bottom w:val="single" w:sz="4" w:space="0" w:color="auto"/>
              <w:right w:val="single" w:sz="8" w:space="0" w:color="auto"/>
            </w:tcBorders>
            <w:noWrap/>
            <w:vAlign w:val="bottom"/>
            <w:hideMark/>
          </w:tcPr>
          <w:p w14:paraId="164B67D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-2,741</w:t>
            </w:r>
          </w:p>
        </w:tc>
      </w:tr>
      <w:tr w:rsidR="0086595D" w:rsidRPr="0086595D" w14:paraId="48E787D7"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3CDA316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175</w:t>
            </w:r>
          </w:p>
        </w:tc>
        <w:tc>
          <w:tcPr>
            <w:tcW w:w="1000" w:type="pct"/>
            <w:tcBorders>
              <w:top w:val="nil"/>
              <w:left w:val="nil"/>
              <w:bottom w:val="single" w:sz="4" w:space="0" w:color="auto"/>
              <w:right w:val="single" w:sz="4" w:space="0" w:color="auto"/>
            </w:tcBorders>
            <w:noWrap/>
            <w:vAlign w:val="bottom"/>
            <w:hideMark/>
          </w:tcPr>
          <w:p w14:paraId="19A584F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170</w:t>
            </w:r>
          </w:p>
        </w:tc>
        <w:tc>
          <w:tcPr>
            <w:tcW w:w="1000" w:type="pct"/>
            <w:tcBorders>
              <w:top w:val="nil"/>
              <w:left w:val="nil"/>
              <w:bottom w:val="single" w:sz="4" w:space="0" w:color="auto"/>
              <w:right w:val="single" w:sz="4" w:space="0" w:color="auto"/>
            </w:tcBorders>
            <w:noWrap/>
            <w:vAlign w:val="bottom"/>
            <w:hideMark/>
          </w:tcPr>
          <w:p w14:paraId="7DEB0E6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168</w:t>
            </w:r>
          </w:p>
        </w:tc>
        <w:tc>
          <w:tcPr>
            <w:tcW w:w="1000" w:type="pct"/>
            <w:tcBorders>
              <w:top w:val="nil"/>
              <w:left w:val="nil"/>
              <w:bottom w:val="single" w:sz="4" w:space="0" w:color="auto"/>
              <w:right w:val="single" w:sz="4" w:space="0" w:color="auto"/>
            </w:tcBorders>
            <w:noWrap/>
            <w:vAlign w:val="bottom"/>
            <w:hideMark/>
          </w:tcPr>
          <w:p w14:paraId="3D94B6B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161</w:t>
            </w:r>
          </w:p>
        </w:tc>
        <w:tc>
          <w:tcPr>
            <w:tcW w:w="1000" w:type="pct"/>
            <w:tcBorders>
              <w:top w:val="nil"/>
              <w:left w:val="nil"/>
              <w:bottom w:val="single" w:sz="4" w:space="0" w:color="auto"/>
              <w:right w:val="single" w:sz="8" w:space="0" w:color="auto"/>
            </w:tcBorders>
            <w:noWrap/>
            <w:vAlign w:val="bottom"/>
            <w:hideMark/>
          </w:tcPr>
          <w:p w14:paraId="0D31C1E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154</w:t>
            </w:r>
          </w:p>
        </w:tc>
      </w:tr>
      <w:tr w:rsidR="0086595D" w:rsidRPr="0086595D" w14:paraId="1A4D04AA" w14:textId="77777777" w:rsidTr="0086595D">
        <w:trPr>
          <w:trHeight w:val="300"/>
        </w:trPr>
        <w:tc>
          <w:tcPr>
            <w:tcW w:w="1000" w:type="pct"/>
            <w:tcBorders>
              <w:top w:val="nil"/>
              <w:left w:val="single" w:sz="4" w:space="0" w:color="auto"/>
              <w:bottom w:val="single" w:sz="4" w:space="0" w:color="auto"/>
              <w:right w:val="single" w:sz="4" w:space="0" w:color="auto"/>
            </w:tcBorders>
            <w:noWrap/>
            <w:vAlign w:val="bottom"/>
            <w:hideMark/>
          </w:tcPr>
          <w:p w14:paraId="7553184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2.38</w:t>
            </w:r>
          </w:p>
        </w:tc>
        <w:tc>
          <w:tcPr>
            <w:tcW w:w="1000" w:type="pct"/>
            <w:tcBorders>
              <w:top w:val="nil"/>
              <w:left w:val="nil"/>
              <w:bottom w:val="single" w:sz="4" w:space="0" w:color="auto"/>
              <w:right w:val="single" w:sz="4" w:space="0" w:color="auto"/>
            </w:tcBorders>
            <w:noWrap/>
            <w:vAlign w:val="bottom"/>
            <w:hideMark/>
          </w:tcPr>
          <w:p w14:paraId="0FD8099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3.18</w:t>
            </w:r>
          </w:p>
        </w:tc>
        <w:tc>
          <w:tcPr>
            <w:tcW w:w="1000" w:type="pct"/>
            <w:tcBorders>
              <w:top w:val="nil"/>
              <w:left w:val="nil"/>
              <w:bottom w:val="single" w:sz="4" w:space="0" w:color="auto"/>
              <w:right w:val="single" w:sz="4" w:space="0" w:color="auto"/>
            </w:tcBorders>
            <w:noWrap/>
            <w:vAlign w:val="bottom"/>
            <w:hideMark/>
          </w:tcPr>
          <w:p w14:paraId="6DF54BA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4.438</w:t>
            </w:r>
          </w:p>
        </w:tc>
        <w:tc>
          <w:tcPr>
            <w:tcW w:w="1000" w:type="pct"/>
            <w:tcBorders>
              <w:top w:val="nil"/>
              <w:left w:val="nil"/>
              <w:bottom w:val="single" w:sz="4" w:space="0" w:color="auto"/>
              <w:right w:val="single" w:sz="4" w:space="0" w:color="auto"/>
            </w:tcBorders>
            <w:noWrap/>
            <w:vAlign w:val="bottom"/>
            <w:hideMark/>
          </w:tcPr>
          <w:p w14:paraId="76646FC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3.896</w:t>
            </w:r>
          </w:p>
        </w:tc>
        <w:tc>
          <w:tcPr>
            <w:tcW w:w="1000" w:type="pct"/>
            <w:tcBorders>
              <w:top w:val="nil"/>
              <w:left w:val="nil"/>
              <w:bottom w:val="single" w:sz="4" w:space="0" w:color="auto"/>
              <w:right w:val="single" w:sz="8" w:space="0" w:color="auto"/>
            </w:tcBorders>
            <w:noWrap/>
            <w:vAlign w:val="bottom"/>
            <w:hideMark/>
          </w:tcPr>
          <w:p w14:paraId="0620258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4.909</w:t>
            </w:r>
          </w:p>
        </w:tc>
      </w:tr>
      <w:tr w:rsidR="0086595D" w:rsidRPr="0086595D" w14:paraId="0DA3C0A9" w14:textId="77777777" w:rsidTr="0086595D">
        <w:trPr>
          <w:trHeight w:val="315"/>
        </w:trPr>
        <w:tc>
          <w:tcPr>
            <w:tcW w:w="1000" w:type="pct"/>
            <w:tcBorders>
              <w:top w:val="nil"/>
              <w:left w:val="single" w:sz="4" w:space="0" w:color="auto"/>
              <w:bottom w:val="single" w:sz="8" w:space="0" w:color="auto"/>
              <w:right w:val="single" w:sz="4" w:space="0" w:color="auto"/>
            </w:tcBorders>
            <w:noWrap/>
            <w:vAlign w:val="bottom"/>
            <w:hideMark/>
          </w:tcPr>
          <w:p w14:paraId="17B8A5F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275</w:t>
            </w:r>
          </w:p>
        </w:tc>
        <w:tc>
          <w:tcPr>
            <w:tcW w:w="1000" w:type="pct"/>
            <w:tcBorders>
              <w:top w:val="nil"/>
              <w:left w:val="nil"/>
              <w:bottom w:val="single" w:sz="8" w:space="0" w:color="auto"/>
              <w:right w:val="single" w:sz="4" w:space="0" w:color="auto"/>
            </w:tcBorders>
            <w:noWrap/>
            <w:vAlign w:val="bottom"/>
            <w:hideMark/>
          </w:tcPr>
          <w:p w14:paraId="21C3645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129</w:t>
            </w:r>
          </w:p>
        </w:tc>
        <w:tc>
          <w:tcPr>
            <w:tcW w:w="1000" w:type="pct"/>
            <w:tcBorders>
              <w:top w:val="nil"/>
              <w:left w:val="nil"/>
              <w:bottom w:val="single" w:sz="8" w:space="0" w:color="auto"/>
              <w:right w:val="single" w:sz="4" w:space="0" w:color="auto"/>
            </w:tcBorders>
            <w:noWrap/>
            <w:vAlign w:val="bottom"/>
            <w:hideMark/>
          </w:tcPr>
          <w:p w14:paraId="5FEC801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339</w:t>
            </w:r>
          </w:p>
        </w:tc>
        <w:tc>
          <w:tcPr>
            <w:tcW w:w="1000" w:type="pct"/>
            <w:tcBorders>
              <w:top w:val="nil"/>
              <w:left w:val="nil"/>
              <w:bottom w:val="single" w:sz="8" w:space="0" w:color="auto"/>
              <w:right w:val="single" w:sz="4" w:space="0" w:color="auto"/>
            </w:tcBorders>
            <w:noWrap/>
            <w:vAlign w:val="bottom"/>
            <w:hideMark/>
          </w:tcPr>
          <w:p w14:paraId="0EFAFE8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-269</w:t>
            </w:r>
          </w:p>
        </w:tc>
        <w:tc>
          <w:tcPr>
            <w:tcW w:w="1000" w:type="pct"/>
            <w:tcBorders>
              <w:top w:val="nil"/>
              <w:left w:val="nil"/>
              <w:bottom w:val="single" w:sz="8" w:space="0" w:color="auto"/>
              <w:right w:val="single" w:sz="8" w:space="0" w:color="auto"/>
            </w:tcBorders>
            <w:noWrap/>
            <w:vAlign w:val="bottom"/>
            <w:hideMark/>
          </w:tcPr>
          <w:p w14:paraId="4E0414E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94</w:t>
            </w:r>
          </w:p>
        </w:tc>
      </w:tr>
    </w:tbl>
    <w:p w14:paraId="55F2D029" w14:textId="77777777" w:rsidR="0086595D" w:rsidRPr="0086595D" w:rsidRDefault="0086595D" w:rsidP="00755556">
      <w:pPr>
        <w:spacing w:line="360" w:lineRule="auto"/>
        <w:rPr>
          <w:lang w:val="en-GB"/>
        </w:rPr>
      </w:pPr>
    </w:p>
    <w:tbl>
      <w:tblPr>
        <w:tblW w:w="5000" w:type="pct"/>
        <w:tblLook w:val="04A0" w:firstRow="1" w:lastRow="0" w:firstColumn="1" w:lastColumn="0" w:noHBand="0" w:noVBand="1"/>
      </w:tblPr>
      <w:tblGrid>
        <w:gridCol w:w="2399"/>
        <w:gridCol w:w="3282"/>
        <w:gridCol w:w="667"/>
        <w:gridCol w:w="667"/>
        <w:gridCol w:w="667"/>
        <w:gridCol w:w="667"/>
        <w:gridCol w:w="667"/>
      </w:tblGrid>
      <w:tr w:rsidR="0086595D" w:rsidRPr="0086595D" w14:paraId="635584A8" w14:textId="77777777" w:rsidTr="0086595D">
        <w:trPr>
          <w:trHeight w:val="300"/>
        </w:trPr>
        <w:tc>
          <w:tcPr>
            <w:tcW w:w="1066" w:type="pct"/>
            <w:tcBorders>
              <w:top w:val="single" w:sz="4" w:space="0" w:color="auto"/>
              <w:left w:val="single" w:sz="4" w:space="0" w:color="auto"/>
              <w:bottom w:val="single" w:sz="4" w:space="0" w:color="auto"/>
              <w:right w:val="single" w:sz="4" w:space="0" w:color="auto"/>
            </w:tcBorders>
            <w:noWrap/>
            <w:vAlign w:val="bottom"/>
            <w:hideMark/>
          </w:tcPr>
          <w:p w14:paraId="72DEFD34"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A. Profitability Ratios</w:t>
            </w:r>
          </w:p>
        </w:tc>
        <w:tc>
          <w:tcPr>
            <w:tcW w:w="1544" w:type="pct"/>
            <w:tcBorders>
              <w:top w:val="single" w:sz="4" w:space="0" w:color="auto"/>
              <w:left w:val="nil"/>
              <w:bottom w:val="single" w:sz="4" w:space="0" w:color="auto"/>
              <w:right w:val="single" w:sz="4" w:space="0" w:color="auto"/>
            </w:tcBorders>
            <w:noWrap/>
            <w:vAlign w:val="bottom"/>
            <w:hideMark/>
          </w:tcPr>
          <w:p w14:paraId="6FA49AC4"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Formula</w:t>
            </w:r>
          </w:p>
        </w:tc>
        <w:tc>
          <w:tcPr>
            <w:tcW w:w="478" w:type="pct"/>
            <w:tcBorders>
              <w:top w:val="single" w:sz="4" w:space="0" w:color="auto"/>
              <w:left w:val="nil"/>
              <w:bottom w:val="single" w:sz="4" w:space="0" w:color="auto"/>
              <w:right w:val="single" w:sz="4" w:space="0" w:color="auto"/>
            </w:tcBorders>
            <w:noWrap/>
            <w:vAlign w:val="bottom"/>
            <w:hideMark/>
          </w:tcPr>
          <w:p w14:paraId="18D23A2E"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2021</w:t>
            </w:r>
          </w:p>
        </w:tc>
        <w:tc>
          <w:tcPr>
            <w:tcW w:w="478" w:type="pct"/>
            <w:tcBorders>
              <w:top w:val="single" w:sz="4" w:space="0" w:color="auto"/>
              <w:left w:val="nil"/>
              <w:bottom w:val="single" w:sz="4" w:space="0" w:color="auto"/>
              <w:right w:val="single" w:sz="4" w:space="0" w:color="auto"/>
            </w:tcBorders>
            <w:noWrap/>
            <w:vAlign w:val="bottom"/>
            <w:hideMark/>
          </w:tcPr>
          <w:p w14:paraId="540EBC9E"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2022</w:t>
            </w:r>
          </w:p>
        </w:tc>
        <w:tc>
          <w:tcPr>
            <w:tcW w:w="478" w:type="pct"/>
            <w:tcBorders>
              <w:top w:val="single" w:sz="4" w:space="0" w:color="auto"/>
              <w:left w:val="nil"/>
              <w:bottom w:val="single" w:sz="4" w:space="0" w:color="auto"/>
              <w:right w:val="single" w:sz="4" w:space="0" w:color="auto"/>
            </w:tcBorders>
            <w:noWrap/>
            <w:vAlign w:val="bottom"/>
            <w:hideMark/>
          </w:tcPr>
          <w:p w14:paraId="5466E54B"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2023</w:t>
            </w:r>
          </w:p>
        </w:tc>
        <w:tc>
          <w:tcPr>
            <w:tcW w:w="478" w:type="pct"/>
            <w:tcBorders>
              <w:top w:val="single" w:sz="4" w:space="0" w:color="auto"/>
              <w:left w:val="nil"/>
              <w:bottom w:val="single" w:sz="4" w:space="0" w:color="auto"/>
              <w:right w:val="single" w:sz="4" w:space="0" w:color="auto"/>
            </w:tcBorders>
            <w:noWrap/>
            <w:vAlign w:val="bottom"/>
            <w:hideMark/>
          </w:tcPr>
          <w:p w14:paraId="0A775DAB"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2024</w:t>
            </w:r>
          </w:p>
        </w:tc>
        <w:tc>
          <w:tcPr>
            <w:tcW w:w="478" w:type="pct"/>
            <w:tcBorders>
              <w:top w:val="single" w:sz="4" w:space="0" w:color="auto"/>
              <w:left w:val="nil"/>
              <w:bottom w:val="single" w:sz="4" w:space="0" w:color="auto"/>
              <w:right w:val="single" w:sz="4" w:space="0" w:color="auto"/>
            </w:tcBorders>
            <w:noWrap/>
            <w:vAlign w:val="bottom"/>
            <w:hideMark/>
          </w:tcPr>
          <w:p w14:paraId="2051206C"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2025</w:t>
            </w:r>
          </w:p>
        </w:tc>
      </w:tr>
      <w:tr w:rsidR="0086595D" w:rsidRPr="0086595D" w14:paraId="01D0DFA2"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62CF0E6D"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Gross Profit Margin</w:t>
            </w:r>
          </w:p>
        </w:tc>
        <w:tc>
          <w:tcPr>
            <w:tcW w:w="1544" w:type="pct"/>
            <w:tcBorders>
              <w:top w:val="nil"/>
              <w:left w:val="nil"/>
              <w:bottom w:val="single" w:sz="4" w:space="0" w:color="auto"/>
              <w:right w:val="single" w:sz="4" w:space="0" w:color="auto"/>
            </w:tcBorders>
            <w:noWrap/>
            <w:vAlign w:val="bottom"/>
            <w:hideMark/>
          </w:tcPr>
          <w:p w14:paraId="3C694CEE"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Gross Profit / Revenue</w:t>
            </w:r>
          </w:p>
        </w:tc>
        <w:tc>
          <w:tcPr>
            <w:tcW w:w="478" w:type="pct"/>
            <w:tcBorders>
              <w:top w:val="nil"/>
              <w:left w:val="nil"/>
              <w:bottom w:val="single" w:sz="4" w:space="0" w:color="auto"/>
              <w:right w:val="single" w:sz="4" w:space="0" w:color="auto"/>
            </w:tcBorders>
            <w:noWrap/>
            <w:vAlign w:val="bottom"/>
            <w:hideMark/>
          </w:tcPr>
          <w:p w14:paraId="2EB91E6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0.51</w:t>
            </w:r>
          </w:p>
        </w:tc>
        <w:tc>
          <w:tcPr>
            <w:tcW w:w="478" w:type="pct"/>
            <w:tcBorders>
              <w:top w:val="nil"/>
              <w:left w:val="nil"/>
              <w:bottom w:val="single" w:sz="4" w:space="0" w:color="auto"/>
              <w:right w:val="single" w:sz="4" w:space="0" w:color="auto"/>
            </w:tcBorders>
            <w:noWrap/>
            <w:vAlign w:val="bottom"/>
            <w:hideMark/>
          </w:tcPr>
          <w:p w14:paraId="0ED11EE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0.51</w:t>
            </w:r>
          </w:p>
        </w:tc>
        <w:tc>
          <w:tcPr>
            <w:tcW w:w="478" w:type="pct"/>
            <w:tcBorders>
              <w:top w:val="nil"/>
              <w:left w:val="nil"/>
              <w:bottom w:val="single" w:sz="4" w:space="0" w:color="auto"/>
              <w:right w:val="single" w:sz="4" w:space="0" w:color="auto"/>
            </w:tcBorders>
            <w:noWrap/>
            <w:vAlign w:val="bottom"/>
            <w:hideMark/>
          </w:tcPr>
          <w:p w14:paraId="079A6B1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0.51</w:t>
            </w:r>
          </w:p>
        </w:tc>
        <w:tc>
          <w:tcPr>
            <w:tcW w:w="478" w:type="pct"/>
            <w:tcBorders>
              <w:top w:val="nil"/>
              <w:left w:val="nil"/>
              <w:bottom w:val="single" w:sz="4" w:space="0" w:color="auto"/>
              <w:right w:val="single" w:sz="4" w:space="0" w:color="auto"/>
            </w:tcBorders>
            <w:noWrap/>
            <w:vAlign w:val="bottom"/>
            <w:hideMark/>
          </w:tcPr>
          <w:p w14:paraId="4A0A300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0.51</w:t>
            </w:r>
          </w:p>
        </w:tc>
        <w:tc>
          <w:tcPr>
            <w:tcW w:w="478" w:type="pct"/>
            <w:tcBorders>
              <w:top w:val="nil"/>
              <w:left w:val="nil"/>
              <w:bottom w:val="single" w:sz="4" w:space="0" w:color="auto"/>
              <w:right w:val="single" w:sz="4" w:space="0" w:color="auto"/>
            </w:tcBorders>
            <w:noWrap/>
            <w:vAlign w:val="bottom"/>
            <w:hideMark/>
          </w:tcPr>
          <w:p w14:paraId="03E1A05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0.51</w:t>
            </w:r>
          </w:p>
        </w:tc>
      </w:tr>
      <w:tr w:rsidR="0086595D" w:rsidRPr="0086595D" w14:paraId="49D61F67"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451FFBE7"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Operating Margin</w:t>
            </w:r>
          </w:p>
        </w:tc>
        <w:tc>
          <w:tcPr>
            <w:tcW w:w="1544" w:type="pct"/>
            <w:tcBorders>
              <w:top w:val="nil"/>
              <w:left w:val="nil"/>
              <w:bottom w:val="single" w:sz="4" w:space="0" w:color="auto"/>
              <w:right w:val="single" w:sz="4" w:space="0" w:color="auto"/>
            </w:tcBorders>
            <w:noWrap/>
            <w:vAlign w:val="bottom"/>
            <w:hideMark/>
          </w:tcPr>
          <w:p w14:paraId="770FB3A5"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EBIT / Revenue</w:t>
            </w:r>
          </w:p>
        </w:tc>
        <w:tc>
          <w:tcPr>
            <w:tcW w:w="478" w:type="pct"/>
            <w:tcBorders>
              <w:top w:val="nil"/>
              <w:left w:val="nil"/>
              <w:bottom w:val="single" w:sz="4" w:space="0" w:color="auto"/>
              <w:right w:val="single" w:sz="4" w:space="0" w:color="auto"/>
            </w:tcBorders>
            <w:noWrap/>
            <w:vAlign w:val="bottom"/>
            <w:hideMark/>
          </w:tcPr>
          <w:p w14:paraId="306BB2E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0.18</w:t>
            </w:r>
          </w:p>
        </w:tc>
        <w:tc>
          <w:tcPr>
            <w:tcW w:w="478" w:type="pct"/>
            <w:tcBorders>
              <w:top w:val="nil"/>
              <w:left w:val="nil"/>
              <w:bottom w:val="single" w:sz="4" w:space="0" w:color="auto"/>
              <w:right w:val="single" w:sz="4" w:space="0" w:color="auto"/>
            </w:tcBorders>
            <w:noWrap/>
            <w:vAlign w:val="bottom"/>
            <w:hideMark/>
          </w:tcPr>
          <w:p w14:paraId="2EBB52C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0.21</w:t>
            </w:r>
          </w:p>
        </w:tc>
        <w:tc>
          <w:tcPr>
            <w:tcW w:w="478" w:type="pct"/>
            <w:tcBorders>
              <w:top w:val="nil"/>
              <w:left w:val="nil"/>
              <w:bottom w:val="single" w:sz="4" w:space="0" w:color="auto"/>
              <w:right w:val="single" w:sz="4" w:space="0" w:color="auto"/>
            </w:tcBorders>
            <w:noWrap/>
            <w:vAlign w:val="bottom"/>
            <w:hideMark/>
          </w:tcPr>
          <w:p w14:paraId="6362CC9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0.23</w:t>
            </w:r>
          </w:p>
        </w:tc>
        <w:tc>
          <w:tcPr>
            <w:tcW w:w="478" w:type="pct"/>
            <w:tcBorders>
              <w:top w:val="nil"/>
              <w:left w:val="nil"/>
              <w:bottom w:val="single" w:sz="4" w:space="0" w:color="auto"/>
              <w:right w:val="single" w:sz="4" w:space="0" w:color="auto"/>
            </w:tcBorders>
            <w:noWrap/>
            <w:vAlign w:val="bottom"/>
            <w:hideMark/>
          </w:tcPr>
          <w:p w14:paraId="604ECCB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0.21</w:t>
            </w:r>
          </w:p>
        </w:tc>
        <w:tc>
          <w:tcPr>
            <w:tcW w:w="478" w:type="pct"/>
            <w:tcBorders>
              <w:top w:val="nil"/>
              <w:left w:val="nil"/>
              <w:bottom w:val="single" w:sz="4" w:space="0" w:color="auto"/>
              <w:right w:val="single" w:sz="4" w:space="0" w:color="auto"/>
            </w:tcBorders>
            <w:noWrap/>
            <w:vAlign w:val="bottom"/>
            <w:hideMark/>
          </w:tcPr>
          <w:p w14:paraId="4A0F590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0.23</w:t>
            </w:r>
          </w:p>
        </w:tc>
      </w:tr>
      <w:tr w:rsidR="0086595D" w:rsidRPr="0086595D" w14:paraId="4C41B749"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367F9A6B"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EBITDA Margin</w:t>
            </w:r>
          </w:p>
        </w:tc>
        <w:tc>
          <w:tcPr>
            <w:tcW w:w="1544" w:type="pct"/>
            <w:tcBorders>
              <w:top w:val="nil"/>
              <w:left w:val="nil"/>
              <w:bottom w:val="single" w:sz="4" w:space="0" w:color="auto"/>
              <w:right w:val="single" w:sz="4" w:space="0" w:color="auto"/>
            </w:tcBorders>
            <w:noWrap/>
            <w:vAlign w:val="bottom"/>
            <w:hideMark/>
          </w:tcPr>
          <w:p w14:paraId="5853D934"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EBITDA / Revenue</w:t>
            </w:r>
          </w:p>
        </w:tc>
        <w:tc>
          <w:tcPr>
            <w:tcW w:w="478" w:type="pct"/>
            <w:tcBorders>
              <w:top w:val="nil"/>
              <w:left w:val="nil"/>
              <w:bottom w:val="single" w:sz="4" w:space="0" w:color="auto"/>
              <w:right w:val="single" w:sz="4" w:space="0" w:color="auto"/>
            </w:tcBorders>
            <w:noWrap/>
            <w:vAlign w:val="bottom"/>
            <w:hideMark/>
          </w:tcPr>
          <w:p w14:paraId="23C0940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0.20</w:t>
            </w:r>
          </w:p>
        </w:tc>
        <w:tc>
          <w:tcPr>
            <w:tcW w:w="478" w:type="pct"/>
            <w:tcBorders>
              <w:top w:val="nil"/>
              <w:left w:val="nil"/>
              <w:bottom w:val="single" w:sz="4" w:space="0" w:color="auto"/>
              <w:right w:val="single" w:sz="4" w:space="0" w:color="auto"/>
            </w:tcBorders>
            <w:noWrap/>
            <w:vAlign w:val="bottom"/>
            <w:hideMark/>
          </w:tcPr>
          <w:p w14:paraId="2DFBBF3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0.23</w:t>
            </w:r>
          </w:p>
        </w:tc>
        <w:tc>
          <w:tcPr>
            <w:tcW w:w="478" w:type="pct"/>
            <w:tcBorders>
              <w:top w:val="nil"/>
              <w:left w:val="nil"/>
              <w:bottom w:val="single" w:sz="4" w:space="0" w:color="auto"/>
              <w:right w:val="single" w:sz="4" w:space="0" w:color="auto"/>
            </w:tcBorders>
            <w:noWrap/>
            <w:vAlign w:val="bottom"/>
            <w:hideMark/>
          </w:tcPr>
          <w:p w14:paraId="2DE35F5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0.25</w:t>
            </w:r>
          </w:p>
        </w:tc>
        <w:tc>
          <w:tcPr>
            <w:tcW w:w="478" w:type="pct"/>
            <w:tcBorders>
              <w:top w:val="nil"/>
              <w:left w:val="nil"/>
              <w:bottom w:val="single" w:sz="4" w:space="0" w:color="auto"/>
              <w:right w:val="single" w:sz="4" w:space="0" w:color="auto"/>
            </w:tcBorders>
            <w:noWrap/>
            <w:vAlign w:val="bottom"/>
            <w:hideMark/>
          </w:tcPr>
          <w:p w14:paraId="06CCAB6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0.22</w:t>
            </w:r>
          </w:p>
        </w:tc>
        <w:tc>
          <w:tcPr>
            <w:tcW w:w="478" w:type="pct"/>
            <w:tcBorders>
              <w:top w:val="nil"/>
              <w:left w:val="nil"/>
              <w:bottom w:val="single" w:sz="4" w:space="0" w:color="auto"/>
              <w:right w:val="single" w:sz="4" w:space="0" w:color="auto"/>
            </w:tcBorders>
            <w:noWrap/>
            <w:vAlign w:val="bottom"/>
            <w:hideMark/>
          </w:tcPr>
          <w:p w14:paraId="74D937E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0.24</w:t>
            </w:r>
          </w:p>
        </w:tc>
      </w:tr>
      <w:tr w:rsidR="0086595D" w:rsidRPr="0086595D" w14:paraId="073C6331"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102151CD"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Pre-Tax Profit Margin</w:t>
            </w:r>
          </w:p>
        </w:tc>
        <w:tc>
          <w:tcPr>
            <w:tcW w:w="1544" w:type="pct"/>
            <w:tcBorders>
              <w:top w:val="nil"/>
              <w:left w:val="nil"/>
              <w:bottom w:val="single" w:sz="4" w:space="0" w:color="auto"/>
              <w:right w:val="single" w:sz="4" w:space="0" w:color="auto"/>
            </w:tcBorders>
            <w:noWrap/>
            <w:vAlign w:val="bottom"/>
            <w:hideMark/>
          </w:tcPr>
          <w:p w14:paraId="694BD6A0"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Pre-Tax Income / Revenue</w:t>
            </w:r>
          </w:p>
        </w:tc>
        <w:tc>
          <w:tcPr>
            <w:tcW w:w="478" w:type="pct"/>
            <w:tcBorders>
              <w:top w:val="nil"/>
              <w:left w:val="nil"/>
              <w:bottom w:val="single" w:sz="4" w:space="0" w:color="auto"/>
              <w:right w:val="single" w:sz="4" w:space="0" w:color="auto"/>
            </w:tcBorders>
            <w:noWrap/>
            <w:vAlign w:val="bottom"/>
            <w:hideMark/>
          </w:tcPr>
          <w:p w14:paraId="1D7597F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0.17</w:t>
            </w:r>
          </w:p>
        </w:tc>
        <w:tc>
          <w:tcPr>
            <w:tcW w:w="478" w:type="pct"/>
            <w:tcBorders>
              <w:top w:val="nil"/>
              <w:left w:val="nil"/>
              <w:bottom w:val="single" w:sz="4" w:space="0" w:color="auto"/>
              <w:right w:val="single" w:sz="4" w:space="0" w:color="auto"/>
            </w:tcBorders>
            <w:noWrap/>
            <w:vAlign w:val="bottom"/>
            <w:hideMark/>
          </w:tcPr>
          <w:p w14:paraId="4353780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0.19</w:t>
            </w:r>
          </w:p>
        </w:tc>
        <w:tc>
          <w:tcPr>
            <w:tcW w:w="478" w:type="pct"/>
            <w:tcBorders>
              <w:top w:val="nil"/>
              <w:left w:val="nil"/>
              <w:bottom w:val="single" w:sz="4" w:space="0" w:color="auto"/>
              <w:right w:val="single" w:sz="4" w:space="0" w:color="auto"/>
            </w:tcBorders>
            <w:noWrap/>
            <w:vAlign w:val="bottom"/>
            <w:hideMark/>
          </w:tcPr>
          <w:p w14:paraId="74319A0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0.22</w:t>
            </w:r>
          </w:p>
        </w:tc>
        <w:tc>
          <w:tcPr>
            <w:tcW w:w="478" w:type="pct"/>
            <w:tcBorders>
              <w:top w:val="nil"/>
              <w:left w:val="nil"/>
              <w:bottom w:val="single" w:sz="4" w:space="0" w:color="auto"/>
              <w:right w:val="single" w:sz="4" w:space="0" w:color="auto"/>
            </w:tcBorders>
            <w:noWrap/>
            <w:vAlign w:val="bottom"/>
            <w:hideMark/>
          </w:tcPr>
          <w:p w14:paraId="2DF01DA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0.18</w:t>
            </w:r>
          </w:p>
        </w:tc>
        <w:tc>
          <w:tcPr>
            <w:tcW w:w="478" w:type="pct"/>
            <w:tcBorders>
              <w:top w:val="nil"/>
              <w:left w:val="nil"/>
              <w:bottom w:val="single" w:sz="4" w:space="0" w:color="auto"/>
              <w:right w:val="single" w:sz="4" w:space="0" w:color="auto"/>
            </w:tcBorders>
            <w:noWrap/>
            <w:vAlign w:val="bottom"/>
            <w:hideMark/>
          </w:tcPr>
          <w:p w14:paraId="6FAE27D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0.21</w:t>
            </w:r>
          </w:p>
        </w:tc>
      </w:tr>
      <w:tr w:rsidR="0086595D" w:rsidRPr="0086595D" w14:paraId="4302B28A"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32B605E0"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Net Profit Margin</w:t>
            </w:r>
          </w:p>
        </w:tc>
        <w:tc>
          <w:tcPr>
            <w:tcW w:w="1544" w:type="pct"/>
            <w:tcBorders>
              <w:top w:val="nil"/>
              <w:left w:val="nil"/>
              <w:bottom w:val="single" w:sz="4" w:space="0" w:color="auto"/>
              <w:right w:val="single" w:sz="4" w:space="0" w:color="auto"/>
            </w:tcBorders>
            <w:noWrap/>
            <w:vAlign w:val="bottom"/>
            <w:hideMark/>
          </w:tcPr>
          <w:p w14:paraId="0C0C2943"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Net Income / Revenue</w:t>
            </w:r>
          </w:p>
        </w:tc>
        <w:tc>
          <w:tcPr>
            <w:tcW w:w="478" w:type="pct"/>
            <w:tcBorders>
              <w:top w:val="nil"/>
              <w:left w:val="nil"/>
              <w:bottom w:val="single" w:sz="4" w:space="0" w:color="auto"/>
              <w:right w:val="single" w:sz="4" w:space="0" w:color="auto"/>
            </w:tcBorders>
            <w:noWrap/>
            <w:vAlign w:val="bottom"/>
            <w:hideMark/>
          </w:tcPr>
          <w:p w14:paraId="49979C5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0.14</w:t>
            </w:r>
          </w:p>
        </w:tc>
        <w:tc>
          <w:tcPr>
            <w:tcW w:w="478" w:type="pct"/>
            <w:tcBorders>
              <w:top w:val="nil"/>
              <w:left w:val="nil"/>
              <w:bottom w:val="single" w:sz="4" w:space="0" w:color="auto"/>
              <w:right w:val="single" w:sz="4" w:space="0" w:color="auto"/>
            </w:tcBorders>
            <w:noWrap/>
            <w:vAlign w:val="bottom"/>
            <w:hideMark/>
          </w:tcPr>
          <w:p w14:paraId="5856C8B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0.14</w:t>
            </w:r>
          </w:p>
        </w:tc>
        <w:tc>
          <w:tcPr>
            <w:tcW w:w="478" w:type="pct"/>
            <w:tcBorders>
              <w:top w:val="nil"/>
              <w:left w:val="nil"/>
              <w:bottom w:val="single" w:sz="4" w:space="0" w:color="auto"/>
              <w:right w:val="single" w:sz="4" w:space="0" w:color="auto"/>
            </w:tcBorders>
            <w:noWrap/>
            <w:vAlign w:val="bottom"/>
            <w:hideMark/>
          </w:tcPr>
          <w:p w14:paraId="145F1D6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0.16</w:t>
            </w:r>
          </w:p>
        </w:tc>
        <w:tc>
          <w:tcPr>
            <w:tcW w:w="478" w:type="pct"/>
            <w:tcBorders>
              <w:top w:val="nil"/>
              <w:left w:val="nil"/>
              <w:bottom w:val="single" w:sz="4" w:space="0" w:color="auto"/>
              <w:right w:val="single" w:sz="4" w:space="0" w:color="auto"/>
            </w:tcBorders>
            <w:noWrap/>
            <w:vAlign w:val="bottom"/>
            <w:hideMark/>
          </w:tcPr>
          <w:p w14:paraId="1FF6C03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0.13</w:t>
            </w:r>
          </w:p>
        </w:tc>
        <w:tc>
          <w:tcPr>
            <w:tcW w:w="478" w:type="pct"/>
            <w:tcBorders>
              <w:top w:val="nil"/>
              <w:left w:val="nil"/>
              <w:bottom w:val="single" w:sz="4" w:space="0" w:color="auto"/>
              <w:right w:val="single" w:sz="4" w:space="0" w:color="auto"/>
            </w:tcBorders>
            <w:noWrap/>
            <w:vAlign w:val="bottom"/>
            <w:hideMark/>
          </w:tcPr>
          <w:p w14:paraId="5839F89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0.15</w:t>
            </w:r>
          </w:p>
        </w:tc>
      </w:tr>
      <w:tr w:rsidR="0086595D" w:rsidRPr="0086595D" w14:paraId="3E8AB672"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5988315F"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lastRenderedPageBreak/>
              <w:t>Return on Assets (ROA)</w:t>
            </w:r>
          </w:p>
        </w:tc>
        <w:tc>
          <w:tcPr>
            <w:tcW w:w="1544" w:type="pct"/>
            <w:tcBorders>
              <w:top w:val="nil"/>
              <w:left w:val="nil"/>
              <w:bottom w:val="single" w:sz="4" w:space="0" w:color="auto"/>
              <w:right w:val="single" w:sz="4" w:space="0" w:color="auto"/>
            </w:tcBorders>
            <w:noWrap/>
            <w:vAlign w:val="bottom"/>
            <w:hideMark/>
          </w:tcPr>
          <w:p w14:paraId="58DAF02A"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Net Income / Total Assets</w:t>
            </w:r>
          </w:p>
        </w:tc>
        <w:tc>
          <w:tcPr>
            <w:tcW w:w="478" w:type="pct"/>
            <w:tcBorders>
              <w:top w:val="nil"/>
              <w:left w:val="nil"/>
              <w:bottom w:val="single" w:sz="4" w:space="0" w:color="auto"/>
              <w:right w:val="single" w:sz="4" w:space="0" w:color="auto"/>
            </w:tcBorders>
            <w:noWrap/>
            <w:vAlign w:val="bottom"/>
            <w:hideMark/>
          </w:tcPr>
          <w:p w14:paraId="623C4F4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0.16</w:t>
            </w:r>
          </w:p>
        </w:tc>
        <w:tc>
          <w:tcPr>
            <w:tcW w:w="478" w:type="pct"/>
            <w:tcBorders>
              <w:top w:val="nil"/>
              <w:left w:val="nil"/>
              <w:bottom w:val="single" w:sz="4" w:space="0" w:color="auto"/>
              <w:right w:val="single" w:sz="4" w:space="0" w:color="auto"/>
            </w:tcBorders>
            <w:noWrap/>
            <w:vAlign w:val="bottom"/>
            <w:hideMark/>
          </w:tcPr>
          <w:p w14:paraId="3EB93BD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0.19</w:t>
            </w:r>
          </w:p>
        </w:tc>
        <w:tc>
          <w:tcPr>
            <w:tcW w:w="478" w:type="pct"/>
            <w:tcBorders>
              <w:top w:val="nil"/>
              <w:left w:val="nil"/>
              <w:bottom w:val="single" w:sz="4" w:space="0" w:color="auto"/>
              <w:right w:val="single" w:sz="4" w:space="0" w:color="auto"/>
            </w:tcBorders>
            <w:noWrap/>
            <w:vAlign w:val="bottom"/>
            <w:hideMark/>
          </w:tcPr>
          <w:p w14:paraId="63398F0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0.26</w:t>
            </w:r>
          </w:p>
        </w:tc>
        <w:tc>
          <w:tcPr>
            <w:tcW w:w="478" w:type="pct"/>
            <w:tcBorders>
              <w:top w:val="nil"/>
              <w:left w:val="nil"/>
              <w:bottom w:val="single" w:sz="4" w:space="0" w:color="auto"/>
              <w:right w:val="single" w:sz="4" w:space="0" w:color="auto"/>
            </w:tcBorders>
            <w:noWrap/>
            <w:vAlign w:val="bottom"/>
            <w:hideMark/>
          </w:tcPr>
          <w:p w14:paraId="3230FD4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0.22</w:t>
            </w:r>
          </w:p>
        </w:tc>
        <w:tc>
          <w:tcPr>
            <w:tcW w:w="478" w:type="pct"/>
            <w:tcBorders>
              <w:top w:val="nil"/>
              <w:left w:val="nil"/>
              <w:bottom w:val="single" w:sz="4" w:space="0" w:color="auto"/>
              <w:right w:val="single" w:sz="4" w:space="0" w:color="auto"/>
            </w:tcBorders>
            <w:noWrap/>
            <w:vAlign w:val="bottom"/>
            <w:hideMark/>
          </w:tcPr>
          <w:p w14:paraId="1C71385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0.23</w:t>
            </w:r>
          </w:p>
        </w:tc>
      </w:tr>
      <w:tr w:rsidR="0086595D" w:rsidRPr="0086595D" w14:paraId="4A4803F9"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6A861BA3"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Return on Equity (ROE)</w:t>
            </w:r>
          </w:p>
        </w:tc>
        <w:tc>
          <w:tcPr>
            <w:tcW w:w="1544" w:type="pct"/>
            <w:tcBorders>
              <w:top w:val="nil"/>
              <w:left w:val="nil"/>
              <w:bottom w:val="single" w:sz="4" w:space="0" w:color="auto"/>
              <w:right w:val="single" w:sz="4" w:space="0" w:color="auto"/>
            </w:tcBorders>
            <w:noWrap/>
            <w:vAlign w:val="bottom"/>
            <w:hideMark/>
          </w:tcPr>
          <w:p w14:paraId="35DF2F75"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Net Income / Shareholders' Equity</w:t>
            </w:r>
          </w:p>
        </w:tc>
        <w:tc>
          <w:tcPr>
            <w:tcW w:w="478" w:type="pct"/>
            <w:tcBorders>
              <w:top w:val="nil"/>
              <w:left w:val="nil"/>
              <w:bottom w:val="single" w:sz="4" w:space="0" w:color="auto"/>
              <w:right w:val="single" w:sz="4" w:space="0" w:color="auto"/>
            </w:tcBorders>
            <w:noWrap/>
            <w:vAlign w:val="bottom"/>
            <w:hideMark/>
          </w:tcPr>
          <w:p w14:paraId="4E2C5CE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0.24</w:t>
            </w:r>
          </w:p>
        </w:tc>
        <w:tc>
          <w:tcPr>
            <w:tcW w:w="478" w:type="pct"/>
            <w:tcBorders>
              <w:top w:val="nil"/>
              <w:left w:val="nil"/>
              <w:bottom w:val="single" w:sz="4" w:space="0" w:color="auto"/>
              <w:right w:val="single" w:sz="4" w:space="0" w:color="auto"/>
            </w:tcBorders>
            <w:noWrap/>
            <w:vAlign w:val="bottom"/>
            <w:hideMark/>
          </w:tcPr>
          <w:p w14:paraId="16F56CC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0.29</w:t>
            </w:r>
          </w:p>
        </w:tc>
        <w:tc>
          <w:tcPr>
            <w:tcW w:w="478" w:type="pct"/>
            <w:tcBorders>
              <w:top w:val="nil"/>
              <w:left w:val="nil"/>
              <w:bottom w:val="single" w:sz="4" w:space="0" w:color="auto"/>
              <w:right w:val="single" w:sz="4" w:space="0" w:color="auto"/>
            </w:tcBorders>
            <w:noWrap/>
            <w:vAlign w:val="bottom"/>
            <w:hideMark/>
          </w:tcPr>
          <w:p w14:paraId="605BCE9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0.40</w:t>
            </w:r>
          </w:p>
        </w:tc>
        <w:tc>
          <w:tcPr>
            <w:tcW w:w="478" w:type="pct"/>
            <w:tcBorders>
              <w:top w:val="nil"/>
              <w:left w:val="nil"/>
              <w:bottom w:val="single" w:sz="4" w:space="0" w:color="auto"/>
              <w:right w:val="single" w:sz="4" w:space="0" w:color="auto"/>
            </w:tcBorders>
            <w:noWrap/>
            <w:vAlign w:val="bottom"/>
            <w:hideMark/>
          </w:tcPr>
          <w:p w14:paraId="3D12243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0.33</w:t>
            </w:r>
          </w:p>
        </w:tc>
        <w:tc>
          <w:tcPr>
            <w:tcW w:w="478" w:type="pct"/>
            <w:tcBorders>
              <w:top w:val="nil"/>
              <w:left w:val="nil"/>
              <w:bottom w:val="single" w:sz="4" w:space="0" w:color="auto"/>
              <w:right w:val="single" w:sz="4" w:space="0" w:color="auto"/>
            </w:tcBorders>
            <w:noWrap/>
            <w:vAlign w:val="bottom"/>
            <w:hideMark/>
          </w:tcPr>
          <w:p w14:paraId="7C04413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0.36</w:t>
            </w:r>
          </w:p>
        </w:tc>
      </w:tr>
    </w:tbl>
    <w:p w14:paraId="482FC6C8" w14:textId="6D5A9A7F" w:rsidR="0086595D" w:rsidRDefault="0086595D" w:rsidP="00755556">
      <w:pPr>
        <w:spacing w:line="360" w:lineRule="auto"/>
        <w:rPr>
          <w:lang w:val="en-GB"/>
        </w:rPr>
      </w:pPr>
    </w:p>
    <w:tbl>
      <w:tblPr>
        <w:tblW w:w="5000" w:type="pct"/>
        <w:tblLook w:val="04A0" w:firstRow="1" w:lastRow="0" w:firstColumn="1" w:lastColumn="0" w:noHBand="0" w:noVBand="1"/>
      </w:tblPr>
      <w:tblGrid>
        <w:gridCol w:w="2304"/>
        <w:gridCol w:w="3605"/>
        <w:gridCol w:w="640"/>
        <w:gridCol w:w="609"/>
        <w:gridCol w:w="640"/>
        <w:gridCol w:w="609"/>
        <w:gridCol w:w="609"/>
      </w:tblGrid>
      <w:tr w:rsidR="0086595D" w:rsidRPr="0086595D" w14:paraId="4474586F" w14:textId="77777777" w:rsidTr="0086595D">
        <w:trPr>
          <w:trHeight w:val="300"/>
        </w:trPr>
        <w:tc>
          <w:tcPr>
            <w:tcW w:w="1066" w:type="pct"/>
            <w:tcBorders>
              <w:top w:val="single" w:sz="4" w:space="0" w:color="auto"/>
              <w:left w:val="single" w:sz="4" w:space="0" w:color="auto"/>
              <w:bottom w:val="single" w:sz="4" w:space="0" w:color="auto"/>
              <w:right w:val="single" w:sz="4" w:space="0" w:color="auto"/>
            </w:tcBorders>
            <w:noWrap/>
            <w:vAlign w:val="bottom"/>
            <w:hideMark/>
          </w:tcPr>
          <w:p w14:paraId="65A0BCB0"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B. Liquidity Ratios</w:t>
            </w:r>
          </w:p>
        </w:tc>
        <w:tc>
          <w:tcPr>
            <w:tcW w:w="1544" w:type="pct"/>
            <w:tcBorders>
              <w:top w:val="single" w:sz="4" w:space="0" w:color="auto"/>
              <w:left w:val="nil"/>
              <w:bottom w:val="single" w:sz="4" w:space="0" w:color="auto"/>
              <w:right w:val="single" w:sz="4" w:space="0" w:color="auto"/>
            </w:tcBorders>
            <w:noWrap/>
            <w:vAlign w:val="bottom"/>
            <w:hideMark/>
          </w:tcPr>
          <w:p w14:paraId="62738D6B"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Formula</w:t>
            </w:r>
          </w:p>
        </w:tc>
        <w:tc>
          <w:tcPr>
            <w:tcW w:w="478" w:type="pct"/>
            <w:tcBorders>
              <w:top w:val="single" w:sz="4" w:space="0" w:color="auto"/>
              <w:left w:val="nil"/>
              <w:bottom w:val="single" w:sz="4" w:space="0" w:color="auto"/>
              <w:right w:val="single" w:sz="4" w:space="0" w:color="auto"/>
            </w:tcBorders>
            <w:noWrap/>
            <w:vAlign w:val="bottom"/>
            <w:hideMark/>
          </w:tcPr>
          <w:p w14:paraId="060527C7"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2021</w:t>
            </w:r>
          </w:p>
        </w:tc>
        <w:tc>
          <w:tcPr>
            <w:tcW w:w="478" w:type="pct"/>
            <w:tcBorders>
              <w:top w:val="single" w:sz="4" w:space="0" w:color="auto"/>
              <w:left w:val="nil"/>
              <w:bottom w:val="single" w:sz="4" w:space="0" w:color="auto"/>
              <w:right w:val="single" w:sz="4" w:space="0" w:color="auto"/>
            </w:tcBorders>
            <w:noWrap/>
            <w:vAlign w:val="bottom"/>
            <w:hideMark/>
          </w:tcPr>
          <w:p w14:paraId="0ED3B1F9"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2022</w:t>
            </w:r>
          </w:p>
        </w:tc>
        <w:tc>
          <w:tcPr>
            <w:tcW w:w="478" w:type="pct"/>
            <w:tcBorders>
              <w:top w:val="single" w:sz="4" w:space="0" w:color="auto"/>
              <w:left w:val="nil"/>
              <w:bottom w:val="single" w:sz="4" w:space="0" w:color="auto"/>
              <w:right w:val="single" w:sz="4" w:space="0" w:color="auto"/>
            </w:tcBorders>
            <w:noWrap/>
            <w:vAlign w:val="bottom"/>
            <w:hideMark/>
          </w:tcPr>
          <w:p w14:paraId="6A5F452B"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2023</w:t>
            </w:r>
          </w:p>
        </w:tc>
        <w:tc>
          <w:tcPr>
            <w:tcW w:w="478" w:type="pct"/>
            <w:tcBorders>
              <w:top w:val="single" w:sz="4" w:space="0" w:color="auto"/>
              <w:left w:val="nil"/>
              <w:bottom w:val="single" w:sz="4" w:space="0" w:color="auto"/>
              <w:right w:val="single" w:sz="4" w:space="0" w:color="auto"/>
            </w:tcBorders>
            <w:noWrap/>
            <w:vAlign w:val="bottom"/>
            <w:hideMark/>
          </w:tcPr>
          <w:p w14:paraId="63ED66CC"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2024</w:t>
            </w:r>
          </w:p>
        </w:tc>
        <w:tc>
          <w:tcPr>
            <w:tcW w:w="478" w:type="pct"/>
            <w:tcBorders>
              <w:top w:val="single" w:sz="4" w:space="0" w:color="auto"/>
              <w:left w:val="nil"/>
              <w:bottom w:val="single" w:sz="4" w:space="0" w:color="auto"/>
              <w:right w:val="single" w:sz="4" w:space="0" w:color="auto"/>
            </w:tcBorders>
            <w:noWrap/>
            <w:vAlign w:val="bottom"/>
            <w:hideMark/>
          </w:tcPr>
          <w:p w14:paraId="258D9AB2"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2025</w:t>
            </w:r>
          </w:p>
        </w:tc>
      </w:tr>
      <w:tr w:rsidR="0086595D" w:rsidRPr="0086595D" w14:paraId="09803416"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3E7175E3"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Current Ratio</w:t>
            </w:r>
          </w:p>
        </w:tc>
        <w:tc>
          <w:tcPr>
            <w:tcW w:w="1544" w:type="pct"/>
            <w:tcBorders>
              <w:top w:val="nil"/>
              <w:left w:val="nil"/>
              <w:bottom w:val="single" w:sz="4" w:space="0" w:color="auto"/>
              <w:right w:val="single" w:sz="4" w:space="0" w:color="auto"/>
            </w:tcBorders>
            <w:noWrap/>
            <w:vAlign w:val="bottom"/>
            <w:hideMark/>
          </w:tcPr>
          <w:p w14:paraId="21C45DF5"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Current Assets / Current Liabilities</w:t>
            </w:r>
          </w:p>
        </w:tc>
        <w:tc>
          <w:tcPr>
            <w:tcW w:w="478" w:type="pct"/>
            <w:tcBorders>
              <w:top w:val="nil"/>
              <w:left w:val="nil"/>
              <w:bottom w:val="single" w:sz="4" w:space="0" w:color="auto"/>
              <w:right w:val="single" w:sz="4" w:space="0" w:color="auto"/>
            </w:tcBorders>
            <w:noWrap/>
            <w:vAlign w:val="bottom"/>
            <w:hideMark/>
          </w:tcPr>
          <w:p w14:paraId="0555475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0.008</w:t>
            </w:r>
          </w:p>
        </w:tc>
        <w:tc>
          <w:tcPr>
            <w:tcW w:w="478" w:type="pct"/>
            <w:tcBorders>
              <w:top w:val="nil"/>
              <w:left w:val="nil"/>
              <w:bottom w:val="single" w:sz="4" w:space="0" w:color="auto"/>
              <w:right w:val="single" w:sz="4" w:space="0" w:color="auto"/>
            </w:tcBorders>
            <w:noWrap/>
            <w:vAlign w:val="bottom"/>
            <w:hideMark/>
          </w:tcPr>
          <w:p w14:paraId="339E851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0.008</w:t>
            </w:r>
          </w:p>
        </w:tc>
        <w:tc>
          <w:tcPr>
            <w:tcW w:w="478" w:type="pct"/>
            <w:tcBorders>
              <w:top w:val="nil"/>
              <w:left w:val="nil"/>
              <w:bottom w:val="single" w:sz="4" w:space="0" w:color="auto"/>
              <w:right w:val="single" w:sz="4" w:space="0" w:color="auto"/>
            </w:tcBorders>
            <w:noWrap/>
            <w:vAlign w:val="bottom"/>
            <w:hideMark/>
          </w:tcPr>
          <w:p w14:paraId="6364647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0.008</w:t>
            </w:r>
          </w:p>
        </w:tc>
        <w:tc>
          <w:tcPr>
            <w:tcW w:w="478" w:type="pct"/>
            <w:tcBorders>
              <w:top w:val="nil"/>
              <w:left w:val="nil"/>
              <w:bottom w:val="single" w:sz="4" w:space="0" w:color="auto"/>
              <w:right w:val="single" w:sz="4" w:space="0" w:color="auto"/>
            </w:tcBorders>
            <w:noWrap/>
            <w:vAlign w:val="bottom"/>
            <w:hideMark/>
          </w:tcPr>
          <w:p w14:paraId="1D6F5AB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0.009</w:t>
            </w:r>
          </w:p>
        </w:tc>
        <w:tc>
          <w:tcPr>
            <w:tcW w:w="478" w:type="pct"/>
            <w:tcBorders>
              <w:top w:val="nil"/>
              <w:left w:val="nil"/>
              <w:bottom w:val="single" w:sz="4" w:space="0" w:color="auto"/>
              <w:right w:val="single" w:sz="4" w:space="0" w:color="auto"/>
            </w:tcBorders>
            <w:noWrap/>
            <w:vAlign w:val="bottom"/>
            <w:hideMark/>
          </w:tcPr>
          <w:p w14:paraId="53F8C3E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0.009</w:t>
            </w:r>
          </w:p>
        </w:tc>
      </w:tr>
      <w:tr w:rsidR="0086595D" w:rsidRPr="0086595D" w14:paraId="28754C47"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165AE831"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Cash Ratio</w:t>
            </w:r>
          </w:p>
        </w:tc>
        <w:tc>
          <w:tcPr>
            <w:tcW w:w="1544" w:type="pct"/>
            <w:tcBorders>
              <w:top w:val="nil"/>
              <w:left w:val="nil"/>
              <w:bottom w:val="single" w:sz="4" w:space="0" w:color="auto"/>
              <w:right w:val="single" w:sz="4" w:space="0" w:color="auto"/>
            </w:tcBorders>
            <w:noWrap/>
            <w:vAlign w:val="bottom"/>
            <w:hideMark/>
          </w:tcPr>
          <w:p w14:paraId="388A5C1E"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Cash / Current Liabilities</w:t>
            </w:r>
          </w:p>
        </w:tc>
        <w:tc>
          <w:tcPr>
            <w:tcW w:w="478" w:type="pct"/>
            <w:tcBorders>
              <w:top w:val="nil"/>
              <w:left w:val="nil"/>
              <w:bottom w:val="single" w:sz="4" w:space="0" w:color="auto"/>
              <w:right w:val="single" w:sz="4" w:space="0" w:color="auto"/>
            </w:tcBorders>
            <w:noWrap/>
            <w:vAlign w:val="bottom"/>
            <w:hideMark/>
          </w:tcPr>
          <w:p w14:paraId="2EFCCD3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0.195</w:t>
            </w:r>
          </w:p>
        </w:tc>
        <w:tc>
          <w:tcPr>
            <w:tcW w:w="478" w:type="pct"/>
            <w:tcBorders>
              <w:top w:val="nil"/>
              <w:left w:val="nil"/>
              <w:bottom w:val="single" w:sz="4" w:space="0" w:color="auto"/>
              <w:right w:val="single" w:sz="4" w:space="0" w:color="auto"/>
            </w:tcBorders>
            <w:noWrap/>
            <w:vAlign w:val="bottom"/>
            <w:hideMark/>
          </w:tcPr>
          <w:p w14:paraId="335929B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0.223</w:t>
            </w:r>
          </w:p>
        </w:tc>
        <w:tc>
          <w:tcPr>
            <w:tcW w:w="478" w:type="pct"/>
            <w:tcBorders>
              <w:top w:val="nil"/>
              <w:left w:val="nil"/>
              <w:bottom w:val="single" w:sz="4" w:space="0" w:color="auto"/>
              <w:right w:val="single" w:sz="4" w:space="0" w:color="auto"/>
            </w:tcBorders>
            <w:noWrap/>
            <w:vAlign w:val="bottom"/>
            <w:hideMark/>
          </w:tcPr>
          <w:p w14:paraId="7EA24BE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0.257</w:t>
            </w:r>
          </w:p>
        </w:tc>
        <w:tc>
          <w:tcPr>
            <w:tcW w:w="478" w:type="pct"/>
            <w:tcBorders>
              <w:top w:val="nil"/>
              <w:left w:val="nil"/>
              <w:bottom w:val="single" w:sz="4" w:space="0" w:color="auto"/>
              <w:right w:val="single" w:sz="4" w:space="0" w:color="auto"/>
            </w:tcBorders>
            <w:noWrap/>
            <w:vAlign w:val="bottom"/>
            <w:hideMark/>
          </w:tcPr>
          <w:p w14:paraId="3347223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0.242</w:t>
            </w:r>
          </w:p>
        </w:tc>
        <w:tc>
          <w:tcPr>
            <w:tcW w:w="478" w:type="pct"/>
            <w:tcBorders>
              <w:top w:val="nil"/>
              <w:left w:val="nil"/>
              <w:bottom w:val="single" w:sz="4" w:space="0" w:color="auto"/>
              <w:right w:val="single" w:sz="4" w:space="0" w:color="auto"/>
            </w:tcBorders>
            <w:noWrap/>
            <w:vAlign w:val="bottom"/>
            <w:hideMark/>
          </w:tcPr>
          <w:p w14:paraId="4AF808C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0.255</w:t>
            </w:r>
          </w:p>
        </w:tc>
      </w:tr>
      <w:tr w:rsidR="0086595D" w:rsidRPr="0086595D" w14:paraId="756B9D0E"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36FC0A0C"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Working Capital Ratio</w:t>
            </w:r>
          </w:p>
        </w:tc>
        <w:tc>
          <w:tcPr>
            <w:tcW w:w="1544" w:type="pct"/>
            <w:tcBorders>
              <w:top w:val="nil"/>
              <w:left w:val="nil"/>
              <w:bottom w:val="single" w:sz="4" w:space="0" w:color="auto"/>
              <w:right w:val="single" w:sz="4" w:space="0" w:color="auto"/>
            </w:tcBorders>
            <w:noWrap/>
            <w:vAlign w:val="bottom"/>
            <w:hideMark/>
          </w:tcPr>
          <w:p w14:paraId="7E1A486B"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(Current Assets - Current Liabilities) / Current Liabilities</w:t>
            </w:r>
          </w:p>
        </w:tc>
        <w:tc>
          <w:tcPr>
            <w:tcW w:w="478" w:type="pct"/>
            <w:tcBorders>
              <w:top w:val="nil"/>
              <w:left w:val="nil"/>
              <w:bottom w:val="single" w:sz="4" w:space="0" w:color="auto"/>
              <w:right w:val="single" w:sz="4" w:space="0" w:color="auto"/>
            </w:tcBorders>
            <w:noWrap/>
            <w:vAlign w:val="bottom"/>
            <w:hideMark/>
          </w:tcPr>
          <w:p w14:paraId="51593DC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-0.992</w:t>
            </w:r>
          </w:p>
        </w:tc>
        <w:tc>
          <w:tcPr>
            <w:tcW w:w="478" w:type="pct"/>
            <w:tcBorders>
              <w:top w:val="nil"/>
              <w:left w:val="nil"/>
              <w:bottom w:val="single" w:sz="4" w:space="0" w:color="auto"/>
              <w:right w:val="single" w:sz="4" w:space="0" w:color="auto"/>
            </w:tcBorders>
            <w:noWrap/>
            <w:vAlign w:val="bottom"/>
            <w:hideMark/>
          </w:tcPr>
          <w:p w14:paraId="67A521A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-0.992</w:t>
            </w:r>
          </w:p>
        </w:tc>
        <w:tc>
          <w:tcPr>
            <w:tcW w:w="478" w:type="pct"/>
            <w:tcBorders>
              <w:top w:val="nil"/>
              <w:left w:val="nil"/>
              <w:bottom w:val="single" w:sz="4" w:space="0" w:color="auto"/>
              <w:right w:val="single" w:sz="4" w:space="0" w:color="auto"/>
            </w:tcBorders>
            <w:noWrap/>
            <w:vAlign w:val="bottom"/>
            <w:hideMark/>
          </w:tcPr>
          <w:p w14:paraId="45094D1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-0.992</w:t>
            </w:r>
          </w:p>
        </w:tc>
        <w:tc>
          <w:tcPr>
            <w:tcW w:w="478" w:type="pct"/>
            <w:tcBorders>
              <w:top w:val="nil"/>
              <w:left w:val="nil"/>
              <w:bottom w:val="single" w:sz="4" w:space="0" w:color="auto"/>
              <w:right w:val="single" w:sz="4" w:space="0" w:color="auto"/>
            </w:tcBorders>
            <w:noWrap/>
            <w:vAlign w:val="bottom"/>
            <w:hideMark/>
          </w:tcPr>
          <w:p w14:paraId="10DEB55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-0.991</w:t>
            </w:r>
          </w:p>
        </w:tc>
        <w:tc>
          <w:tcPr>
            <w:tcW w:w="478" w:type="pct"/>
            <w:tcBorders>
              <w:top w:val="nil"/>
              <w:left w:val="nil"/>
              <w:bottom w:val="single" w:sz="4" w:space="0" w:color="auto"/>
              <w:right w:val="single" w:sz="4" w:space="0" w:color="auto"/>
            </w:tcBorders>
            <w:noWrap/>
            <w:vAlign w:val="bottom"/>
            <w:hideMark/>
          </w:tcPr>
          <w:p w14:paraId="4ADF592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-0.991</w:t>
            </w:r>
          </w:p>
        </w:tc>
      </w:tr>
      <w:tr w:rsidR="0086595D" w:rsidRPr="0086595D" w14:paraId="16BB454B" w14:textId="77777777" w:rsidTr="0086595D">
        <w:trPr>
          <w:trHeight w:val="300"/>
        </w:trPr>
        <w:tc>
          <w:tcPr>
            <w:tcW w:w="1066" w:type="pct"/>
            <w:tcBorders>
              <w:top w:val="nil"/>
              <w:left w:val="nil"/>
              <w:bottom w:val="nil"/>
              <w:right w:val="nil"/>
            </w:tcBorders>
            <w:noWrap/>
            <w:vAlign w:val="bottom"/>
            <w:hideMark/>
          </w:tcPr>
          <w:p w14:paraId="3C752044" w14:textId="77777777" w:rsidR="0086595D" w:rsidRPr="0086595D" w:rsidRDefault="0086595D" w:rsidP="00755556">
            <w:pPr>
              <w:spacing w:line="360" w:lineRule="auto"/>
              <w:jc w:val="right"/>
              <w:rPr>
                <w:rFonts w:eastAsia="Times New Roman"/>
                <w:color w:val="000000"/>
                <w:lang w:val="en-GB" w:eastAsia="en-GB"/>
              </w:rPr>
            </w:pPr>
          </w:p>
        </w:tc>
        <w:tc>
          <w:tcPr>
            <w:tcW w:w="1544" w:type="pct"/>
            <w:tcBorders>
              <w:top w:val="nil"/>
              <w:left w:val="nil"/>
              <w:bottom w:val="nil"/>
              <w:right w:val="nil"/>
            </w:tcBorders>
            <w:noWrap/>
            <w:vAlign w:val="bottom"/>
            <w:hideMark/>
          </w:tcPr>
          <w:p w14:paraId="7463A60B"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2DE5EFEE"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693241B8"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48101BE4"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2D0AD0D2"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12F9DDB6" w14:textId="77777777" w:rsidR="0086595D" w:rsidRPr="0086595D" w:rsidRDefault="0086595D" w:rsidP="00755556">
            <w:pPr>
              <w:spacing w:line="360" w:lineRule="auto"/>
              <w:rPr>
                <w:rFonts w:eastAsia="Times New Roman"/>
                <w:sz w:val="20"/>
                <w:szCs w:val="20"/>
                <w:lang w:val="en-GB" w:eastAsia="en-GB"/>
              </w:rPr>
            </w:pPr>
          </w:p>
        </w:tc>
      </w:tr>
      <w:tr w:rsidR="0086595D" w:rsidRPr="0086595D" w14:paraId="35EB169D" w14:textId="77777777" w:rsidTr="0086595D">
        <w:trPr>
          <w:trHeight w:val="300"/>
        </w:trPr>
        <w:tc>
          <w:tcPr>
            <w:tcW w:w="1066" w:type="pct"/>
            <w:tcBorders>
              <w:top w:val="single" w:sz="4" w:space="0" w:color="auto"/>
              <w:left w:val="single" w:sz="4" w:space="0" w:color="auto"/>
              <w:bottom w:val="single" w:sz="4" w:space="0" w:color="auto"/>
              <w:right w:val="single" w:sz="4" w:space="0" w:color="auto"/>
            </w:tcBorders>
            <w:noWrap/>
            <w:vAlign w:val="bottom"/>
            <w:hideMark/>
          </w:tcPr>
          <w:p w14:paraId="295E0E3D"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C. Efficiency Ratios</w:t>
            </w:r>
          </w:p>
        </w:tc>
        <w:tc>
          <w:tcPr>
            <w:tcW w:w="1544" w:type="pct"/>
            <w:tcBorders>
              <w:top w:val="single" w:sz="4" w:space="0" w:color="auto"/>
              <w:left w:val="nil"/>
              <w:bottom w:val="single" w:sz="4" w:space="0" w:color="auto"/>
              <w:right w:val="single" w:sz="4" w:space="0" w:color="auto"/>
            </w:tcBorders>
            <w:noWrap/>
            <w:vAlign w:val="bottom"/>
            <w:hideMark/>
          </w:tcPr>
          <w:p w14:paraId="1854F249"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Formula</w:t>
            </w:r>
          </w:p>
        </w:tc>
        <w:tc>
          <w:tcPr>
            <w:tcW w:w="478" w:type="pct"/>
            <w:tcBorders>
              <w:top w:val="single" w:sz="4" w:space="0" w:color="auto"/>
              <w:left w:val="nil"/>
              <w:bottom w:val="single" w:sz="4" w:space="0" w:color="auto"/>
              <w:right w:val="single" w:sz="4" w:space="0" w:color="auto"/>
            </w:tcBorders>
            <w:noWrap/>
            <w:vAlign w:val="bottom"/>
            <w:hideMark/>
          </w:tcPr>
          <w:p w14:paraId="0DDF8FDF"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2021</w:t>
            </w:r>
          </w:p>
        </w:tc>
        <w:tc>
          <w:tcPr>
            <w:tcW w:w="478" w:type="pct"/>
            <w:tcBorders>
              <w:top w:val="single" w:sz="4" w:space="0" w:color="auto"/>
              <w:left w:val="nil"/>
              <w:bottom w:val="single" w:sz="4" w:space="0" w:color="auto"/>
              <w:right w:val="single" w:sz="4" w:space="0" w:color="auto"/>
            </w:tcBorders>
            <w:noWrap/>
            <w:vAlign w:val="bottom"/>
            <w:hideMark/>
          </w:tcPr>
          <w:p w14:paraId="549F1E13"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2022</w:t>
            </w:r>
          </w:p>
        </w:tc>
        <w:tc>
          <w:tcPr>
            <w:tcW w:w="478" w:type="pct"/>
            <w:tcBorders>
              <w:top w:val="single" w:sz="4" w:space="0" w:color="auto"/>
              <w:left w:val="nil"/>
              <w:bottom w:val="single" w:sz="4" w:space="0" w:color="auto"/>
              <w:right w:val="single" w:sz="4" w:space="0" w:color="auto"/>
            </w:tcBorders>
            <w:noWrap/>
            <w:vAlign w:val="bottom"/>
            <w:hideMark/>
          </w:tcPr>
          <w:p w14:paraId="7751A45A"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2023</w:t>
            </w:r>
          </w:p>
        </w:tc>
        <w:tc>
          <w:tcPr>
            <w:tcW w:w="478" w:type="pct"/>
            <w:tcBorders>
              <w:top w:val="single" w:sz="4" w:space="0" w:color="auto"/>
              <w:left w:val="nil"/>
              <w:bottom w:val="single" w:sz="4" w:space="0" w:color="auto"/>
              <w:right w:val="single" w:sz="4" w:space="0" w:color="auto"/>
            </w:tcBorders>
            <w:noWrap/>
            <w:vAlign w:val="bottom"/>
            <w:hideMark/>
          </w:tcPr>
          <w:p w14:paraId="121B0EA7"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2024</w:t>
            </w:r>
          </w:p>
        </w:tc>
        <w:tc>
          <w:tcPr>
            <w:tcW w:w="478" w:type="pct"/>
            <w:tcBorders>
              <w:top w:val="single" w:sz="4" w:space="0" w:color="auto"/>
              <w:left w:val="nil"/>
              <w:bottom w:val="single" w:sz="4" w:space="0" w:color="auto"/>
              <w:right w:val="single" w:sz="4" w:space="0" w:color="auto"/>
            </w:tcBorders>
            <w:noWrap/>
            <w:vAlign w:val="bottom"/>
            <w:hideMark/>
          </w:tcPr>
          <w:p w14:paraId="330DDD2F"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2025</w:t>
            </w:r>
          </w:p>
        </w:tc>
      </w:tr>
      <w:tr w:rsidR="0086595D" w:rsidRPr="0086595D" w14:paraId="792EE976"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16CF43E7"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Total Asset Turnover</w:t>
            </w:r>
          </w:p>
        </w:tc>
        <w:tc>
          <w:tcPr>
            <w:tcW w:w="1544" w:type="pct"/>
            <w:tcBorders>
              <w:top w:val="nil"/>
              <w:left w:val="nil"/>
              <w:bottom w:val="single" w:sz="4" w:space="0" w:color="auto"/>
              <w:right w:val="single" w:sz="4" w:space="0" w:color="auto"/>
            </w:tcBorders>
            <w:noWrap/>
            <w:vAlign w:val="bottom"/>
            <w:hideMark/>
          </w:tcPr>
          <w:p w14:paraId="286CB79B"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Revenue / Total Assets</w:t>
            </w:r>
          </w:p>
        </w:tc>
        <w:tc>
          <w:tcPr>
            <w:tcW w:w="478" w:type="pct"/>
            <w:tcBorders>
              <w:top w:val="nil"/>
              <w:left w:val="nil"/>
              <w:bottom w:val="single" w:sz="4" w:space="0" w:color="auto"/>
              <w:right w:val="single" w:sz="4" w:space="0" w:color="auto"/>
            </w:tcBorders>
            <w:noWrap/>
            <w:vAlign w:val="bottom"/>
            <w:hideMark/>
          </w:tcPr>
          <w:p w14:paraId="6DCC821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1.16</w:t>
            </w:r>
          </w:p>
        </w:tc>
        <w:tc>
          <w:tcPr>
            <w:tcW w:w="478" w:type="pct"/>
            <w:tcBorders>
              <w:top w:val="nil"/>
              <w:left w:val="nil"/>
              <w:bottom w:val="single" w:sz="4" w:space="0" w:color="auto"/>
              <w:right w:val="single" w:sz="4" w:space="0" w:color="auto"/>
            </w:tcBorders>
            <w:noWrap/>
            <w:vAlign w:val="bottom"/>
            <w:hideMark/>
          </w:tcPr>
          <w:p w14:paraId="59A84CF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1.40</w:t>
            </w:r>
          </w:p>
        </w:tc>
        <w:tc>
          <w:tcPr>
            <w:tcW w:w="478" w:type="pct"/>
            <w:tcBorders>
              <w:top w:val="nil"/>
              <w:left w:val="nil"/>
              <w:bottom w:val="single" w:sz="4" w:space="0" w:color="auto"/>
              <w:right w:val="single" w:sz="4" w:space="0" w:color="auto"/>
            </w:tcBorders>
            <w:noWrap/>
            <w:vAlign w:val="bottom"/>
            <w:hideMark/>
          </w:tcPr>
          <w:p w14:paraId="289E06B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1.59</w:t>
            </w:r>
          </w:p>
        </w:tc>
        <w:tc>
          <w:tcPr>
            <w:tcW w:w="478" w:type="pct"/>
            <w:tcBorders>
              <w:top w:val="nil"/>
              <w:left w:val="nil"/>
              <w:bottom w:val="single" w:sz="4" w:space="0" w:color="auto"/>
              <w:right w:val="single" w:sz="4" w:space="0" w:color="auto"/>
            </w:tcBorders>
            <w:noWrap/>
            <w:vAlign w:val="bottom"/>
            <w:hideMark/>
          </w:tcPr>
          <w:p w14:paraId="5175340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1.71</w:t>
            </w:r>
          </w:p>
        </w:tc>
        <w:tc>
          <w:tcPr>
            <w:tcW w:w="478" w:type="pct"/>
            <w:tcBorders>
              <w:top w:val="nil"/>
              <w:left w:val="nil"/>
              <w:bottom w:val="single" w:sz="4" w:space="0" w:color="auto"/>
              <w:right w:val="single" w:sz="4" w:space="0" w:color="auto"/>
            </w:tcBorders>
            <w:noWrap/>
            <w:vAlign w:val="bottom"/>
            <w:hideMark/>
          </w:tcPr>
          <w:p w14:paraId="185B148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1.57</w:t>
            </w:r>
          </w:p>
        </w:tc>
      </w:tr>
      <w:tr w:rsidR="0086595D" w:rsidRPr="0086595D" w14:paraId="53DC4D57"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17BF4815"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Receivable Turnover</w:t>
            </w:r>
          </w:p>
        </w:tc>
        <w:tc>
          <w:tcPr>
            <w:tcW w:w="1544" w:type="pct"/>
            <w:tcBorders>
              <w:top w:val="nil"/>
              <w:left w:val="nil"/>
              <w:bottom w:val="single" w:sz="4" w:space="0" w:color="auto"/>
              <w:right w:val="single" w:sz="4" w:space="0" w:color="auto"/>
            </w:tcBorders>
            <w:noWrap/>
            <w:vAlign w:val="bottom"/>
            <w:hideMark/>
          </w:tcPr>
          <w:p w14:paraId="203D1CFB"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Revenue / Receivables</w:t>
            </w:r>
          </w:p>
        </w:tc>
        <w:tc>
          <w:tcPr>
            <w:tcW w:w="478" w:type="pct"/>
            <w:tcBorders>
              <w:top w:val="nil"/>
              <w:left w:val="nil"/>
              <w:bottom w:val="single" w:sz="4" w:space="0" w:color="auto"/>
              <w:right w:val="single" w:sz="4" w:space="0" w:color="auto"/>
            </w:tcBorders>
            <w:noWrap/>
            <w:vAlign w:val="bottom"/>
            <w:hideMark/>
          </w:tcPr>
          <w:p w14:paraId="638D8A5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3.26</w:t>
            </w:r>
          </w:p>
        </w:tc>
        <w:tc>
          <w:tcPr>
            <w:tcW w:w="478" w:type="pct"/>
            <w:tcBorders>
              <w:top w:val="nil"/>
              <w:left w:val="nil"/>
              <w:bottom w:val="single" w:sz="4" w:space="0" w:color="auto"/>
              <w:right w:val="single" w:sz="4" w:space="0" w:color="auto"/>
            </w:tcBorders>
            <w:noWrap/>
            <w:vAlign w:val="bottom"/>
            <w:hideMark/>
          </w:tcPr>
          <w:p w14:paraId="4802396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3.71</w:t>
            </w:r>
          </w:p>
        </w:tc>
        <w:tc>
          <w:tcPr>
            <w:tcW w:w="478" w:type="pct"/>
            <w:tcBorders>
              <w:top w:val="nil"/>
              <w:left w:val="nil"/>
              <w:bottom w:val="single" w:sz="4" w:space="0" w:color="auto"/>
              <w:right w:val="single" w:sz="4" w:space="0" w:color="auto"/>
            </w:tcBorders>
            <w:noWrap/>
            <w:vAlign w:val="bottom"/>
            <w:hideMark/>
          </w:tcPr>
          <w:p w14:paraId="1860E48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3.62</w:t>
            </w:r>
          </w:p>
        </w:tc>
        <w:tc>
          <w:tcPr>
            <w:tcW w:w="478" w:type="pct"/>
            <w:tcBorders>
              <w:top w:val="nil"/>
              <w:left w:val="nil"/>
              <w:bottom w:val="single" w:sz="4" w:space="0" w:color="auto"/>
              <w:right w:val="single" w:sz="4" w:space="0" w:color="auto"/>
            </w:tcBorders>
            <w:noWrap/>
            <w:vAlign w:val="bottom"/>
            <w:hideMark/>
          </w:tcPr>
          <w:p w14:paraId="582D080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4.97</w:t>
            </w:r>
          </w:p>
        </w:tc>
        <w:tc>
          <w:tcPr>
            <w:tcW w:w="478" w:type="pct"/>
            <w:tcBorders>
              <w:top w:val="nil"/>
              <w:left w:val="nil"/>
              <w:bottom w:val="single" w:sz="4" w:space="0" w:color="auto"/>
              <w:right w:val="single" w:sz="4" w:space="0" w:color="auto"/>
            </w:tcBorders>
            <w:noWrap/>
            <w:vAlign w:val="bottom"/>
            <w:hideMark/>
          </w:tcPr>
          <w:p w14:paraId="5299083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4.60</w:t>
            </w:r>
          </w:p>
        </w:tc>
      </w:tr>
      <w:tr w:rsidR="0086595D" w:rsidRPr="0086595D" w14:paraId="5180A537"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458FE104"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Receivable Days</w:t>
            </w:r>
          </w:p>
        </w:tc>
        <w:tc>
          <w:tcPr>
            <w:tcW w:w="1544" w:type="pct"/>
            <w:tcBorders>
              <w:top w:val="nil"/>
              <w:left w:val="nil"/>
              <w:bottom w:val="single" w:sz="4" w:space="0" w:color="auto"/>
              <w:right w:val="single" w:sz="4" w:space="0" w:color="auto"/>
            </w:tcBorders>
            <w:noWrap/>
            <w:vAlign w:val="bottom"/>
            <w:hideMark/>
          </w:tcPr>
          <w:p w14:paraId="3BB82B33"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(Receivables / Revenue) *365</w:t>
            </w:r>
          </w:p>
        </w:tc>
        <w:tc>
          <w:tcPr>
            <w:tcW w:w="478" w:type="pct"/>
            <w:tcBorders>
              <w:top w:val="nil"/>
              <w:left w:val="nil"/>
              <w:bottom w:val="single" w:sz="4" w:space="0" w:color="auto"/>
              <w:right w:val="single" w:sz="4" w:space="0" w:color="auto"/>
            </w:tcBorders>
            <w:noWrap/>
            <w:vAlign w:val="bottom"/>
            <w:hideMark/>
          </w:tcPr>
          <w:p w14:paraId="235E07B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111.87</w:t>
            </w:r>
          </w:p>
        </w:tc>
        <w:tc>
          <w:tcPr>
            <w:tcW w:w="478" w:type="pct"/>
            <w:tcBorders>
              <w:top w:val="nil"/>
              <w:left w:val="nil"/>
              <w:bottom w:val="single" w:sz="4" w:space="0" w:color="auto"/>
              <w:right w:val="single" w:sz="4" w:space="0" w:color="auto"/>
            </w:tcBorders>
            <w:noWrap/>
            <w:vAlign w:val="bottom"/>
            <w:hideMark/>
          </w:tcPr>
          <w:p w14:paraId="695AB63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98.47</w:t>
            </w:r>
          </w:p>
        </w:tc>
        <w:tc>
          <w:tcPr>
            <w:tcW w:w="478" w:type="pct"/>
            <w:tcBorders>
              <w:top w:val="nil"/>
              <w:left w:val="nil"/>
              <w:bottom w:val="single" w:sz="4" w:space="0" w:color="auto"/>
              <w:right w:val="single" w:sz="4" w:space="0" w:color="auto"/>
            </w:tcBorders>
            <w:noWrap/>
            <w:vAlign w:val="bottom"/>
            <w:hideMark/>
          </w:tcPr>
          <w:p w14:paraId="580C774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100.88</w:t>
            </w:r>
          </w:p>
        </w:tc>
        <w:tc>
          <w:tcPr>
            <w:tcW w:w="478" w:type="pct"/>
            <w:tcBorders>
              <w:top w:val="nil"/>
              <w:left w:val="nil"/>
              <w:bottom w:val="single" w:sz="4" w:space="0" w:color="auto"/>
              <w:right w:val="single" w:sz="4" w:space="0" w:color="auto"/>
            </w:tcBorders>
            <w:noWrap/>
            <w:vAlign w:val="bottom"/>
            <w:hideMark/>
          </w:tcPr>
          <w:p w14:paraId="7148B3D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73.47</w:t>
            </w:r>
          </w:p>
        </w:tc>
        <w:tc>
          <w:tcPr>
            <w:tcW w:w="478" w:type="pct"/>
            <w:tcBorders>
              <w:top w:val="nil"/>
              <w:left w:val="nil"/>
              <w:bottom w:val="single" w:sz="4" w:space="0" w:color="auto"/>
              <w:right w:val="single" w:sz="4" w:space="0" w:color="auto"/>
            </w:tcBorders>
            <w:noWrap/>
            <w:vAlign w:val="bottom"/>
            <w:hideMark/>
          </w:tcPr>
          <w:p w14:paraId="0D27F8C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79.42</w:t>
            </w:r>
          </w:p>
        </w:tc>
      </w:tr>
      <w:tr w:rsidR="0086595D" w:rsidRPr="0086595D" w14:paraId="2CCC567C"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4F4F1987"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Fixed Asset Turnover</w:t>
            </w:r>
          </w:p>
        </w:tc>
        <w:tc>
          <w:tcPr>
            <w:tcW w:w="1544" w:type="pct"/>
            <w:tcBorders>
              <w:top w:val="nil"/>
              <w:left w:val="nil"/>
              <w:bottom w:val="single" w:sz="4" w:space="0" w:color="auto"/>
              <w:right w:val="single" w:sz="4" w:space="0" w:color="auto"/>
            </w:tcBorders>
            <w:noWrap/>
            <w:vAlign w:val="bottom"/>
            <w:hideMark/>
          </w:tcPr>
          <w:p w14:paraId="2893351F"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Revenue / PP&amp;E</w:t>
            </w:r>
          </w:p>
        </w:tc>
        <w:tc>
          <w:tcPr>
            <w:tcW w:w="478" w:type="pct"/>
            <w:tcBorders>
              <w:top w:val="nil"/>
              <w:left w:val="nil"/>
              <w:bottom w:val="single" w:sz="4" w:space="0" w:color="auto"/>
              <w:right w:val="single" w:sz="4" w:space="0" w:color="auto"/>
            </w:tcBorders>
            <w:noWrap/>
            <w:vAlign w:val="bottom"/>
            <w:hideMark/>
          </w:tcPr>
          <w:p w14:paraId="3269C16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1.87</w:t>
            </w:r>
          </w:p>
        </w:tc>
        <w:tc>
          <w:tcPr>
            <w:tcW w:w="478" w:type="pct"/>
            <w:tcBorders>
              <w:top w:val="nil"/>
              <w:left w:val="nil"/>
              <w:bottom w:val="single" w:sz="4" w:space="0" w:color="auto"/>
              <w:right w:val="single" w:sz="4" w:space="0" w:color="auto"/>
            </w:tcBorders>
            <w:noWrap/>
            <w:vAlign w:val="bottom"/>
            <w:hideMark/>
          </w:tcPr>
          <w:p w14:paraId="1E2C54E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2.21</w:t>
            </w:r>
          </w:p>
        </w:tc>
        <w:tc>
          <w:tcPr>
            <w:tcW w:w="478" w:type="pct"/>
            <w:tcBorders>
              <w:top w:val="nil"/>
              <w:left w:val="nil"/>
              <w:bottom w:val="single" w:sz="4" w:space="0" w:color="auto"/>
              <w:right w:val="single" w:sz="4" w:space="0" w:color="auto"/>
            </w:tcBorders>
            <w:noWrap/>
            <w:vAlign w:val="bottom"/>
            <w:hideMark/>
          </w:tcPr>
          <w:p w14:paraId="25C29B6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2.53</w:t>
            </w:r>
          </w:p>
        </w:tc>
        <w:tc>
          <w:tcPr>
            <w:tcW w:w="478" w:type="pct"/>
            <w:tcBorders>
              <w:top w:val="nil"/>
              <w:left w:val="nil"/>
              <w:bottom w:val="single" w:sz="4" w:space="0" w:color="auto"/>
              <w:right w:val="single" w:sz="4" w:space="0" w:color="auto"/>
            </w:tcBorders>
            <w:noWrap/>
            <w:vAlign w:val="bottom"/>
            <w:hideMark/>
          </w:tcPr>
          <w:p w14:paraId="35D19F8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2.63</w:t>
            </w:r>
          </w:p>
        </w:tc>
        <w:tc>
          <w:tcPr>
            <w:tcW w:w="478" w:type="pct"/>
            <w:tcBorders>
              <w:top w:val="nil"/>
              <w:left w:val="nil"/>
              <w:bottom w:val="single" w:sz="4" w:space="0" w:color="auto"/>
              <w:right w:val="single" w:sz="4" w:space="0" w:color="auto"/>
            </w:tcBorders>
            <w:noWrap/>
            <w:vAlign w:val="bottom"/>
            <w:hideMark/>
          </w:tcPr>
          <w:p w14:paraId="45E2E73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2.53</w:t>
            </w:r>
          </w:p>
        </w:tc>
      </w:tr>
      <w:tr w:rsidR="0086595D" w:rsidRPr="0086595D" w14:paraId="1BBC237E" w14:textId="77777777" w:rsidTr="0086595D">
        <w:trPr>
          <w:trHeight w:val="300"/>
        </w:trPr>
        <w:tc>
          <w:tcPr>
            <w:tcW w:w="1066" w:type="pct"/>
            <w:tcBorders>
              <w:top w:val="nil"/>
              <w:left w:val="nil"/>
              <w:bottom w:val="nil"/>
              <w:right w:val="nil"/>
            </w:tcBorders>
            <w:noWrap/>
            <w:vAlign w:val="bottom"/>
            <w:hideMark/>
          </w:tcPr>
          <w:p w14:paraId="361EAD69" w14:textId="77777777" w:rsidR="0086595D" w:rsidRPr="0086595D" w:rsidRDefault="0086595D" w:rsidP="00755556">
            <w:pPr>
              <w:spacing w:line="360" w:lineRule="auto"/>
              <w:jc w:val="right"/>
              <w:rPr>
                <w:rFonts w:eastAsia="Times New Roman"/>
                <w:color w:val="000000"/>
                <w:lang w:val="en-GB" w:eastAsia="en-GB"/>
              </w:rPr>
            </w:pPr>
          </w:p>
        </w:tc>
        <w:tc>
          <w:tcPr>
            <w:tcW w:w="1544" w:type="pct"/>
            <w:tcBorders>
              <w:top w:val="nil"/>
              <w:left w:val="nil"/>
              <w:bottom w:val="nil"/>
              <w:right w:val="nil"/>
            </w:tcBorders>
            <w:noWrap/>
            <w:vAlign w:val="bottom"/>
            <w:hideMark/>
          </w:tcPr>
          <w:p w14:paraId="51EF713B"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69D7C756"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16072575"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2B34AC9B"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1ECE8B81"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74CA9B7E" w14:textId="77777777" w:rsidR="0086595D" w:rsidRPr="0086595D" w:rsidRDefault="0086595D" w:rsidP="00755556">
            <w:pPr>
              <w:spacing w:line="360" w:lineRule="auto"/>
              <w:rPr>
                <w:rFonts w:eastAsia="Times New Roman"/>
                <w:sz w:val="20"/>
                <w:szCs w:val="20"/>
                <w:lang w:val="en-GB" w:eastAsia="en-GB"/>
              </w:rPr>
            </w:pPr>
          </w:p>
        </w:tc>
      </w:tr>
      <w:tr w:rsidR="0086595D" w:rsidRPr="0086595D" w14:paraId="26017256" w14:textId="77777777" w:rsidTr="0086595D">
        <w:trPr>
          <w:trHeight w:val="300"/>
        </w:trPr>
        <w:tc>
          <w:tcPr>
            <w:tcW w:w="1066" w:type="pct"/>
            <w:tcBorders>
              <w:top w:val="single" w:sz="4" w:space="0" w:color="auto"/>
              <w:left w:val="single" w:sz="4" w:space="0" w:color="auto"/>
              <w:bottom w:val="single" w:sz="4" w:space="0" w:color="auto"/>
              <w:right w:val="single" w:sz="4" w:space="0" w:color="auto"/>
            </w:tcBorders>
            <w:noWrap/>
            <w:vAlign w:val="bottom"/>
            <w:hideMark/>
          </w:tcPr>
          <w:p w14:paraId="1BAA4FD9"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D. Gearing Ratios</w:t>
            </w:r>
          </w:p>
        </w:tc>
        <w:tc>
          <w:tcPr>
            <w:tcW w:w="1544" w:type="pct"/>
            <w:tcBorders>
              <w:top w:val="single" w:sz="4" w:space="0" w:color="auto"/>
              <w:left w:val="nil"/>
              <w:bottom w:val="single" w:sz="4" w:space="0" w:color="auto"/>
              <w:right w:val="single" w:sz="4" w:space="0" w:color="auto"/>
            </w:tcBorders>
            <w:noWrap/>
            <w:vAlign w:val="bottom"/>
            <w:hideMark/>
          </w:tcPr>
          <w:p w14:paraId="6FC5FEB6"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Formula</w:t>
            </w:r>
          </w:p>
        </w:tc>
        <w:tc>
          <w:tcPr>
            <w:tcW w:w="478" w:type="pct"/>
            <w:tcBorders>
              <w:top w:val="single" w:sz="4" w:space="0" w:color="auto"/>
              <w:left w:val="nil"/>
              <w:bottom w:val="single" w:sz="4" w:space="0" w:color="auto"/>
              <w:right w:val="single" w:sz="4" w:space="0" w:color="auto"/>
            </w:tcBorders>
            <w:noWrap/>
            <w:vAlign w:val="bottom"/>
            <w:hideMark/>
          </w:tcPr>
          <w:p w14:paraId="19C985E1"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2021</w:t>
            </w:r>
          </w:p>
        </w:tc>
        <w:tc>
          <w:tcPr>
            <w:tcW w:w="478" w:type="pct"/>
            <w:tcBorders>
              <w:top w:val="single" w:sz="4" w:space="0" w:color="auto"/>
              <w:left w:val="nil"/>
              <w:bottom w:val="single" w:sz="4" w:space="0" w:color="auto"/>
              <w:right w:val="single" w:sz="4" w:space="0" w:color="auto"/>
            </w:tcBorders>
            <w:noWrap/>
            <w:vAlign w:val="bottom"/>
            <w:hideMark/>
          </w:tcPr>
          <w:p w14:paraId="6321C2A8"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2022</w:t>
            </w:r>
          </w:p>
        </w:tc>
        <w:tc>
          <w:tcPr>
            <w:tcW w:w="478" w:type="pct"/>
            <w:tcBorders>
              <w:top w:val="single" w:sz="4" w:space="0" w:color="auto"/>
              <w:left w:val="nil"/>
              <w:bottom w:val="single" w:sz="4" w:space="0" w:color="auto"/>
              <w:right w:val="single" w:sz="4" w:space="0" w:color="auto"/>
            </w:tcBorders>
            <w:noWrap/>
            <w:vAlign w:val="bottom"/>
            <w:hideMark/>
          </w:tcPr>
          <w:p w14:paraId="21359088"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2023</w:t>
            </w:r>
          </w:p>
        </w:tc>
        <w:tc>
          <w:tcPr>
            <w:tcW w:w="478" w:type="pct"/>
            <w:tcBorders>
              <w:top w:val="single" w:sz="4" w:space="0" w:color="auto"/>
              <w:left w:val="nil"/>
              <w:bottom w:val="single" w:sz="4" w:space="0" w:color="auto"/>
              <w:right w:val="single" w:sz="4" w:space="0" w:color="auto"/>
            </w:tcBorders>
            <w:noWrap/>
            <w:vAlign w:val="bottom"/>
            <w:hideMark/>
          </w:tcPr>
          <w:p w14:paraId="1EF681A8"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2024</w:t>
            </w:r>
          </w:p>
        </w:tc>
        <w:tc>
          <w:tcPr>
            <w:tcW w:w="478" w:type="pct"/>
            <w:tcBorders>
              <w:top w:val="single" w:sz="4" w:space="0" w:color="auto"/>
              <w:left w:val="nil"/>
              <w:bottom w:val="single" w:sz="4" w:space="0" w:color="auto"/>
              <w:right w:val="single" w:sz="4" w:space="0" w:color="auto"/>
            </w:tcBorders>
            <w:noWrap/>
            <w:vAlign w:val="bottom"/>
            <w:hideMark/>
          </w:tcPr>
          <w:p w14:paraId="71D8D21C"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2025</w:t>
            </w:r>
          </w:p>
        </w:tc>
      </w:tr>
      <w:tr w:rsidR="0086595D" w:rsidRPr="0086595D" w14:paraId="04530139"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208C11F4"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Equity Ratio</w:t>
            </w:r>
          </w:p>
        </w:tc>
        <w:tc>
          <w:tcPr>
            <w:tcW w:w="1544" w:type="pct"/>
            <w:tcBorders>
              <w:top w:val="nil"/>
              <w:left w:val="nil"/>
              <w:bottom w:val="single" w:sz="4" w:space="0" w:color="auto"/>
              <w:right w:val="single" w:sz="4" w:space="0" w:color="auto"/>
            </w:tcBorders>
            <w:noWrap/>
            <w:vAlign w:val="bottom"/>
            <w:hideMark/>
          </w:tcPr>
          <w:p w14:paraId="389986C5"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Equity / Total Assets</w:t>
            </w:r>
          </w:p>
        </w:tc>
        <w:tc>
          <w:tcPr>
            <w:tcW w:w="478" w:type="pct"/>
            <w:tcBorders>
              <w:top w:val="nil"/>
              <w:left w:val="nil"/>
              <w:bottom w:val="single" w:sz="4" w:space="0" w:color="auto"/>
              <w:right w:val="single" w:sz="4" w:space="0" w:color="auto"/>
            </w:tcBorders>
            <w:noWrap/>
            <w:vAlign w:val="bottom"/>
            <w:hideMark/>
          </w:tcPr>
          <w:p w14:paraId="74D4183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0.66</w:t>
            </w:r>
          </w:p>
        </w:tc>
        <w:tc>
          <w:tcPr>
            <w:tcW w:w="478" w:type="pct"/>
            <w:tcBorders>
              <w:top w:val="nil"/>
              <w:left w:val="nil"/>
              <w:bottom w:val="single" w:sz="4" w:space="0" w:color="auto"/>
              <w:right w:val="single" w:sz="4" w:space="0" w:color="auto"/>
            </w:tcBorders>
            <w:noWrap/>
            <w:vAlign w:val="bottom"/>
            <w:hideMark/>
          </w:tcPr>
          <w:p w14:paraId="07B10DD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0.66</w:t>
            </w:r>
          </w:p>
        </w:tc>
        <w:tc>
          <w:tcPr>
            <w:tcW w:w="478" w:type="pct"/>
            <w:tcBorders>
              <w:top w:val="nil"/>
              <w:left w:val="nil"/>
              <w:bottom w:val="single" w:sz="4" w:space="0" w:color="auto"/>
              <w:right w:val="single" w:sz="4" w:space="0" w:color="auto"/>
            </w:tcBorders>
            <w:noWrap/>
            <w:vAlign w:val="bottom"/>
            <w:hideMark/>
          </w:tcPr>
          <w:p w14:paraId="2E6C6BF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0.65</w:t>
            </w:r>
          </w:p>
        </w:tc>
        <w:tc>
          <w:tcPr>
            <w:tcW w:w="478" w:type="pct"/>
            <w:tcBorders>
              <w:top w:val="nil"/>
              <w:left w:val="nil"/>
              <w:bottom w:val="single" w:sz="4" w:space="0" w:color="auto"/>
              <w:right w:val="single" w:sz="4" w:space="0" w:color="auto"/>
            </w:tcBorders>
            <w:noWrap/>
            <w:vAlign w:val="bottom"/>
            <w:hideMark/>
          </w:tcPr>
          <w:p w14:paraId="10759B9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0.67</w:t>
            </w:r>
          </w:p>
        </w:tc>
        <w:tc>
          <w:tcPr>
            <w:tcW w:w="478" w:type="pct"/>
            <w:tcBorders>
              <w:top w:val="nil"/>
              <w:left w:val="nil"/>
              <w:bottom w:val="single" w:sz="4" w:space="0" w:color="auto"/>
              <w:right w:val="single" w:sz="4" w:space="0" w:color="auto"/>
            </w:tcBorders>
            <w:noWrap/>
            <w:vAlign w:val="bottom"/>
            <w:hideMark/>
          </w:tcPr>
          <w:p w14:paraId="0ADE118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0.64</w:t>
            </w:r>
          </w:p>
        </w:tc>
      </w:tr>
      <w:tr w:rsidR="0086595D" w:rsidRPr="0086595D" w14:paraId="1B31BDD9" w14:textId="77777777" w:rsidTr="0086595D">
        <w:trPr>
          <w:trHeight w:val="315"/>
        </w:trPr>
        <w:tc>
          <w:tcPr>
            <w:tcW w:w="1066" w:type="pct"/>
            <w:tcBorders>
              <w:top w:val="nil"/>
              <w:left w:val="single" w:sz="4" w:space="0" w:color="auto"/>
              <w:bottom w:val="single" w:sz="4" w:space="0" w:color="auto"/>
              <w:right w:val="single" w:sz="4" w:space="0" w:color="auto"/>
            </w:tcBorders>
            <w:noWrap/>
            <w:vAlign w:val="bottom"/>
            <w:hideMark/>
          </w:tcPr>
          <w:p w14:paraId="7F629C61"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Financial Leverage</w:t>
            </w:r>
          </w:p>
        </w:tc>
        <w:tc>
          <w:tcPr>
            <w:tcW w:w="1544" w:type="pct"/>
            <w:tcBorders>
              <w:top w:val="nil"/>
              <w:left w:val="nil"/>
              <w:bottom w:val="single" w:sz="4" w:space="0" w:color="auto"/>
              <w:right w:val="single" w:sz="4" w:space="0" w:color="auto"/>
            </w:tcBorders>
            <w:noWrap/>
            <w:vAlign w:val="bottom"/>
            <w:hideMark/>
          </w:tcPr>
          <w:p w14:paraId="051629AE"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Total Assets / Equity</w:t>
            </w:r>
          </w:p>
        </w:tc>
        <w:tc>
          <w:tcPr>
            <w:tcW w:w="478" w:type="pct"/>
            <w:tcBorders>
              <w:top w:val="nil"/>
              <w:left w:val="nil"/>
              <w:bottom w:val="single" w:sz="4" w:space="0" w:color="auto"/>
              <w:right w:val="single" w:sz="4" w:space="0" w:color="auto"/>
            </w:tcBorders>
            <w:noWrap/>
            <w:vAlign w:val="bottom"/>
            <w:hideMark/>
          </w:tcPr>
          <w:p w14:paraId="3E49B62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1.51</w:t>
            </w:r>
          </w:p>
        </w:tc>
        <w:tc>
          <w:tcPr>
            <w:tcW w:w="478" w:type="pct"/>
            <w:tcBorders>
              <w:top w:val="nil"/>
              <w:left w:val="nil"/>
              <w:bottom w:val="single" w:sz="4" w:space="0" w:color="auto"/>
              <w:right w:val="single" w:sz="4" w:space="0" w:color="auto"/>
            </w:tcBorders>
            <w:noWrap/>
            <w:vAlign w:val="bottom"/>
            <w:hideMark/>
          </w:tcPr>
          <w:p w14:paraId="2CDEBE8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1.51</w:t>
            </w:r>
          </w:p>
        </w:tc>
        <w:tc>
          <w:tcPr>
            <w:tcW w:w="478" w:type="pct"/>
            <w:tcBorders>
              <w:top w:val="nil"/>
              <w:left w:val="nil"/>
              <w:bottom w:val="single" w:sz="4" w:space="0" w:color="auto"/>
              <w:right w:val="single" w:sz="4" w:space="0" w:color="auto"/>
            </w:tcBorders>
            <w:noWrap/>
            <w:vAlign w:val="bottom"/>
            <w:hideMark/>
          </w:tcPr>
          <w:p w14:paraId="783F32C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1.54</w:t>
            </w:r>
          </w:p>
        </w:tc>
        <w:tc>
          <w:tcPr>
            <w:tcW w:w="478" w:type="pct"/>
            <w:tcBorders>
              <w:top w:val="nil"/>
              <w:left w:val="nil"/>
              <w:bottom w:val="single" w:sz="4" w:space="0" w:color="auto"/>
              <w:right w:val="single" w:sz="4" w:space="0" w:color="auto"/>
            </w:tcBorders>
            <w:noWrap/>
            <w:vAlign w:val="bottom"/>
            <w:hideMark/>
          </w:tcPr>
          <w:p w14:paraId="2B8AF26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1.49</w:t>
            </w:r>
          </w:p>
        </w:tc>
        <w:tc>
          <w:tcPr>
            <w:tcW w:w="478" w:type="pct"/>
            <w:tcBorders>
              <w:top w:val="nil"/>
              <w:left w:val="nil"/>
              <w:bottom w:val="single" w:sz="4" w:space="0" w:color="auto"/>
              <w:right w:val="single" w:sz="4" w:space="0" w:color="auto"/>
            </w:tcBorders>
            <w:noWrap/>
            <w:vAlign w:val="bottom"/>
            <w:hideMark/>
          </w:tcPr>
          <w:p w14:paraId="0C83110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1.57</w:t>
            </w:r>
          </w:p>
        </w:tc>
      </w:tr>
      <w:tr w:rsidR="0086595D" w:rsidRPr="0086595D" w14:paraId="0CE2CB1F"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5E4CE20E"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Long-Term Assets to Total Assets</w:t>
            </w:r>
          </w:p>
        </w:tc>
        <w:tc>
          <w:tcPr>
            <w:tcW w:w="1544" w:type="pct"/>
            <w:tcBorders>
              <w:top w:val="nil"/>
              <w:left w:val="nil"/>
              <w:bottom w:val="single" w:sz="4" w:space="0" w:color="auto"/>
              <w:right w:val="single" w:sz="4" w:space="0" w:color="auto"/>
            </w:tcBorders>
            <w:noWrap/>
            <w:vAlign w:val="bottom"/>
            <w:hideMark/>
          </w:tcPr>
          <w:p w14:paraId="46892414"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Long-Term Assets / Total Assets</w:t>
            </w:r>
          </w:p>
        </w:tc>
        <w:tc>
          <w:tcPr>
            <w:tcW w:w="478" w:type="pct"/>
            <w:tcBorders>
              <w:top w:val="nil"/>
              <w:left w:val="nil"/>
              <w:bottom w:val="single" w:sz="4" w:space="0" w:color="auto"/>
              <w:right w:val="single" w:sz="4" w:space="0" w:color="auto"/>
            </w:tcBorders>
            <w:noWrap/>
            <w:vAlign w:val="bottom"/>
            <w:hideMark/>
          </w:tcPr>
          <w:p w14:paraId="1639E9D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0.51</w:t>
            </w:r>
          </w:p>
        </w:tc>
        <w:tc>
          <w:tcPr>
            <w:tcW w:w="478" w:type="pct"/>
            <w:tcBorders>
              <w:top w:val="nil"/>
              <w:left w:val="nil"/>
              <w:bottom w:val="single" w:sz="4" w:space="0" w:color="auto"/>
              <w:right w:val="single" w:sz="4" w:space="0" w:color="auto"/>
            </w:tcBorders>
            <w:noWrap/>
            <w:vAlign w:val="bottom"/>
            <w:hideMark/>
          </w:tcPr>
          <w:p w14:paraId="46CB7C2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0.53</w:t>
            </w:r>
          </w:p>
        </w:tc>
        <w:tc>
          <w:tcPr>
            <w:tcW w:w="478" w:type="pct"/>
            <w:tcBorders>
              <w:top w:val="nil"/>
              <w:left w:val="nil"/>
              <w:bottom w:val="single" w:sz="4" w:space="0" w:color="auto"/>
              <w:right w:val="single" w:sz="4" w:space="0" w:color="auto"/>
            </w:tcBorders>
            <w:noWrap/>
            <w:vAlign w:val="bottom"/>
            <w:hideMark/>
          </w:tcPr>
          <w:p w14:paraId="076772E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0.54</w:t>
            </w:r>
          </w:p>
        </w:tc>
        <w:tc>
          <w:tcPr>
            <w:tcW w:w="478" w:type="pct"/>
            <w:tcBorders>
              <w:top w:val="nil"/>
              <w:left w:val="nil"/>
              <w:bottom w:val="single" w:sz="4" w:space="0" w:color="auto"/>
              <w:right w:val="single" w:sz="4" w:space="0" w:color="auto"/>
            </w:tcBorders>
            <w:noWrap/>
            <w:vAlign w:val="bottom"/>
            <w:hideMark/>
          </w:tcPr>
          <w:p w14:paraId="26AF2C3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0.59</w:t>
            </w:r>
          </w:p>
        </w:tc>
        <w:tc>
          <w:tcPr>
            <w:tcW w:w="478" w:type="pct"/>
            <w:tcBorders>
              <w:top w:val="nil"/>
              <w:left w:val="nil"/>
              <w:bottom w:val="single" w:sz="4" w:space="0" w:color="auto"/>
              <w:right w:val="single" w:sz="4" w:space="0" w:color="auto"/>
            </w:tcBorders>
            <w:noWrap/>
            <w:vAlign w:val="bottom"/>
            <w:hideMark/>
          </w:tcPr>
          <w:p w14:paraId="293FBA8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0.54</w:t>
            </w:r>
          </w:p>
        </w:tc>
      </w:tr>
    </w:tbl>
    <w:p w14:paraId="47E5E6EF" w14:textId="5B9CF956" w:rsidR="0086595D" w:rsidRDefault="0086595D" w:rsidP="00755556">
      <w:pPr>
        <w:spacing w:line="360" w:lineRule="auto"/>
        <w:rPr>
          <w:lang w:val="en-GB"/>
        </w:rPr>
      </w:pPr>
    </w:p>
    <w:tbl>
      <w:tblPr>
        <w:tblW w:w="5000" w:type="pct"/>
        <w:tblLook w:val="04A0" w:firstRow="1" w:lastRow="0" w:firstColumn="1" w:lastColumn="0" w:noHBand="0" w:noVBand="1"/>
      </w:tblPr>
      <w:tblGrid>
        <w:gridCol w:w="2809"/>
        <w:gridCol w:w="2987"/>
        <w:gridCol w:w="644"/>
        <w:gridCol w:w="644"/>
        <w:gridCol w:w="644"/>
        <w:gridCol w:w="644"/>
        <w:gridCol w:w="644"/>
      </w:tblGrid>
      <w:tr w:rsidR="0086595D" w:rsidRPr="0086595D" w14:paraId="6B7246D8" w14:textId="77777777" w:rsidTr="0086595D">
        <w:trPr>
          <w:trHeight w:val="300"/>
        </w:trPr>
        <w:tc>
          <w:tcPr>
            <w:tcW w:w="1066" w:type="pct"/>
            <w:tcBorders>
              <w:top w:val="single" w:sz="4" w:space="0" w:color="auto"/>
              <w:left w:val="single" w:sz="4" w:space="0" w:color="auto"/>
              <w:bottom w:val="single" w:sz="4" w:space="0" w:color="auto"/>
              <w:right w:val="single" w:sz="4" w:space="0" w:color="auto"/>
            </w:tcBorders>
            <w:noWrap/>
            <w:vAlign w:val="bottom"/>
            <w:hideMark/>
          </w:tcPr>
          <w:p w14:paraId="1F6F8A20"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lastRenderedPageBreak/>
              <w:t>E. Investment Ratios</w:t>
            </w:r>
          </w:p>
        </w:tc>
        <w:tc>
          <w:tcPr>
            <w:tcW w:w="1544" w:type="pct"/>
            <w:tcBorders>
              <w:top w:val="single" w:sz="4" w:space="0" w:color="auto"/>
              <w:left w:val="nil"/>
              <w:bottom w:val="single" w:sz="4" w:space="0" w:color="auto"/>
              <w:right w:val="single" w:sz="4" w:space="0" w:color="auto"/>
            </w:tcBorders>
            <w:noWrap/>
            <w:vAlign w:val="bottom"/>
            <w:hideMark/>
          </w:tcPr>
          <w:p w14:paraId="1512B21D"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Formula</w:t>
            </w:r>
          </w:p>
        </w:tc>
        <w:tc>
          <w:tcPr>
            <w:tcW w:w="478" w:type="pct"/>
            <w:tcBorders>
              <w:top w:val="single" w:sz="4" w:space="0" w:color="auto"/>
              <w:left w:val="nil"/>
              <w:bottom w:val="single" w:sz="4" w:space="0" w:color="auto"/>
              <w:right w:val="single" w:sz="4" w:space="0" w:color="auto"/>
            </w:tcBorders>
            <w:noWrap/>
            <w:vAlign w:val="bottom"/>
            <w:hideMark/>
          </w:tcPr>
          <w:p w14:paraId="0947B6C4"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2021</w:t>
            </w:r>
          </w:p>
        </w:tc>
        <w:tc>
          <w:tcPr>
            <w:tcW w:w="478" w:type="pct"/>
            <w:tcBorders>
              <w:top w:val="single" w:sz="4" w:space="0" w:color="auto"/>
              <w:left w:val="nil"/>
              <w:bottom w:val="single" w:sz="4" w:space="0" w:color="auto"/>
              <w:right w:val="single" w:sz="4" w:space="0" w:color="auto"/>
            </w:tcBorders>
            <w:noWrap/>
            <w:vAlign w:val="bottom"/>
            <w:hideMark/>
          </w:tcPr>
          <w:p w14:paraId="1F3B2179"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2022</w:t>
            </w:r>
          </w:p>
        </w:tc>
        <w:tc>
          <w:tcPr>
            <w:tcW w:w="478" w:type="pct"/>
            <w:tcBorders>
              <w:top w:val="single" w:sz="4" w:space="0" w:color="auto"/>
              <w:left w:val="nil"/>
              <w:bottom w:val="single" w:sz="4" w:space="0" w:color="auto"/>
              <w:right w:val="single" w:sz="4" w:space="0" w:color="auto"/>
            </w:tcBorders>
            <w:noWrap/>
            <w:vAlign w:val="bottom"/>
            <w:hideMark/>
          </w:tcPr>
          <w:p w14:paraId="3A7FCF23"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2023</w:t>
            </w:r>
          </w:p>
        </w:tc>
        <w:tc>
          <w:tcPr>
            <w:tcW w:w="478" w:type="pct"/>
            <w:tcBorders>
              <w:top w:val="single" w:sz="4" w:space="0" w:color="auto"/>
              <w:left w:val="nil"/>
              <w:bottom w:val="single" w:sz="4" w:space="0" w:color="auto"/>
              <w:right w:val="single" w:sz="4" w:space="0" w:color="auto"/>
            </w:tcBorders>
            <w:noWrap/>
            <w:vAlign w:val="bottom"/>
            <w:hideMark/>
          </w:tcPr>
          <w:p w14:paraId="543A43AF"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2024</w:t>
            </w:r>
          </w:p>
        </w:tc>
        <w:tc>
          <w:tcPr>
            <w:tcW w:w="478" w:type="pct"/>
            <w:tcBorders>
              <w:top w:val="single" w:sz="4" w:space="0" w:color="auto"/>
              <w:left w:val="nil"/>
              <w:bottom w:val="single" w:sz="4" w:space="0" w:color="auto"/>
              <w:right w:val="single" w:sz="4" w:space="0" w:color="auto"/>
            </w:tcBorders>
            <w:noWrap/>
            <w:vAlign w:val="bottom"/>
            <w:hideMark/>
          </w:tcPr>
          <w:p w14:paraId="5A4385D6"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2025</w:t>
            </w:r>
          </w:p>
        </w:tc>
      </w:tr>
      <w:tr w:rsidR="0086595D" w:rsidRPr="0086595D" w14:paraId="039C3077"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1A14C016"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Earnings per Share (EPS)</w:t>
            </w:r>
          </w:p>
        </w:tc>
        <w:tc>
          <w:tcPr>
            <w:tcW w:w="1544" w:type="pct"/>
            <w:tcBorders>
              <w:top w:val="nil"/>
              <w:left w:val="nil"/>
              <w:bottom w:val="single" w:sz="4" w:space="0" w:color="auto"/>
              <w:right w:val="single" w:sz="4" w:space="0" w:color="auto"/>
            </w:tcBorders>
            <w:noWrap/>
            <w:vAlign w:val="bottom"/>
            <w:hideMark/>
          </w:tcPr>
          <w:p w14:paraId="2919C9F6"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Net Income / Shares Outstanding</w:t>
            </w:r>
          </w:p>
        </w:tc>
        <w:tc>
          <w:tcPr>
            <w:tcW w:w="478" w:type="pct"/>
            <w:tcBorders>
              <w:top w:val="nil"/>
              <w:left w:val="nil"/>
              <w:bottom w:val="single" w:sz="4" w:space="0" w:color="auto"/>
              <w:right w:val="single" w:sz="4" w:space="0" w:color="auto"/>
            </w:tcBorders>
            <w:noWrap/>
            <w:vAlign w:val="bottom"/>
            <w:hideMark/>
          </w:tcPr>
          <w:p w14:paraId="5D659E2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-0.22</w:t>
            </w:r>
          </w:p>
        </w:tc>
        <w:tc>
          <w:tcPr>
            <w:tcW w:w="478" w:type="pct"/>
            <w:tcBorders>
              <w:top w:val="nil"/>
              <w:left w:val="nil"/>
              <w:bottom w:val="single" w:sz="4" w:space="0" w:color="auto"/>
              <w:right w:val="single" w:sz="4" w:space="0" w:color="auto"/>
            </w:tcBorders>
            <w:noWrap/>
            <w:vAlign w:val="bottom"/>
            <w:hideMark/>
          </w:tcPr>
          <w:p w14:paraId="1E7162C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-0.26</w:t>
            </w:r>
          </w:p>
        </w:tc>
        <w:tc>
          <w:tcPr>
            <w:tcW w:w="478" w:type="pct"/>
            <w:tcBorders>
              <w:top w:val="nil"/>
              <w:left w:val="nil"/>
              <w:bottom w:val="single" w:sz="4" w:space="0" w:color="auto"/>
              <w:right w:val="single" w:sz="4" w:space="0" w:color="auto"/>
            </w:tcBorders>
            <w:noWrap/>
            <w:vAlign w:val="bottom"/>
            <w:hideMark/>
          </w:tcPr>
          <w:p w14:paraId="7EE7955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-0.34</w:t>
            </w:r>
          </w:p>
        </w:tc>
        <w:tc>
          <w:tcPr>
            <w:tcW w:w="478" w:type="pct"/>
            <w:tcBorders>
              <w:top w:val="nil"/>
              <w:left w:val="nil"/>
              <w:bottom w:val="single" w:sz="4" w:space="0" w:color="auto"/>
              <w:right w:val="single" w:sz="4" w:space="0" w:color="auto"/>
            </w:tcBorders>
            <w:noWrap/>
            <w:vAlign w:val="bottom"/>
            <w:hideMark/>
          </w:tcPr>
          <w:p w14:paraId="1558AF5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-0.27</w:t>
            </w:r>
          </w:p>
        </w:tc>
        <w:tc>
          <w:tcPr>
            <w:tcW w:w="478" w:type="pct"/>
            <w:tcBorders>
              <w:top w:val="nil"/>
              <w:left w:val="nil"/>
              <w:bottom w:val="single" w:sz="4" w:space="0" w:color="auto"/>
              <w:right w:val="single" w:sz="4" w:space="0" w:color="auto"/>
            </w:tcBorders>
            <w:noWrap/>
            <w:vAlign w:val="bottom"/>
            <w:hideMark/>
          </w:tcPr>
          <w:p w14:paraId="064AEE1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-0.28</w:t>
            </w:r>
          </w:p>
        </w:tc>
      </w:tr>
      <w:tr w:rsidR="0086595D" w:rsidRPr="0086595D" w14:paraId="75B2E068" w14:textId="77777777" w:rsidTr="0086595D">
        <w:trPr>
          <w:trHeight w:val="300"/>
        </w:trPr>
        <w:tc>
          <w:tcPr>
            <w:tcW w:w="1066" w:type="pct"/>
            <w:tcBorders>
              <w:top w:val="nil"/>
              <w:left w:val="nil"/>
              <w:bottom w:val="nil"/>
              <w:right w:val="nil"/>
            </w:tcBorders>
            <w:noWrap/>
            <w:vAlign w:val="bottom"/>
            <w:hideMark/>
          </w:tcPr>
          <w:p w14:paraId="19FBE561" w14:textId="77777777" w:rsidR="0086595D" w:rsidRPr="0086595D" w:rsidRDefault="0086595D" w:rsidP="00755556">
            <w:pPr>
              <w:spacing w:line="360" w:lineRule="auto"/>
              <w:jc w:val="right"/>
              <w:rPr>
                <w:rFonts w:eastAsia="Times New Roman"/>
                <w:color w:val="000000"/>
                <w:lang w:val="en-GB" w:eastAsia="en-GB"/>
              </w:rPr>
            </w:pPr>
          </w:p>
        </w:tc>
        <w:tc>
          <w:tcPr>
            <w:tcW w:w="1544" w:type="pct"/>
            <w:tcBorders>
              <w:top w:val="nil"/>
              <w:left w:val="nil"/>
              <w:bottom w:val="nil"/>
              <w:right w:val="nil"/>
            </w:tcBorders>
            <w:noWrap/>
            <w:vAlign w:val="bottom"/>
            <w:hideMark/>
          </w:tcPr>
          <w:p w14:paraId="6F9B6ACA"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385CBC32"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58ACAAE5"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73250022"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6D831C99" w14:textId="77777777" w:rsidR="0086595D" w:rsidRPr="0086595D" w:rsidRDefault="0086595D" w:rsidP="00755556">
            <w:pPr>
              <w:spacing w:line="360" w:lineRule="auto"/>
              <w:rPr>
                <w:rFonts w:eastAsia="Times New Roman"/>
                <w:sz w:val="20"/>
                <w:szCs w:val="20"/>
                <w:lang w:val="en-GB" w:eastAsia="en-GB"/>
              </w:rPr>
            </w:pPr>
          </w:p>
        </w:tc>
        <w:tc>
          <w:tcPr>
            <w:tcW w:w="478" w:type="pct"/>
            <w:tcBorders>
              <w:top w:val="nil"/>
              <w:left w:val="nil"/>
              <w:bottom w:val="nil"/>
              <w:right w:val="nil"/>
            </w:tcBorders>
            <w:noWrap/>
            <w:vAlign w:val="bottom"/>
            <w:hideMark/>
          </w:tcPr>
          <w:p w14:paraId="59ED0A59" w14:textId="77777777" w:rsidR="0086595D" w:rsidRPr="0086595D" w:rsidRDefault="0086595D" w:rsidP="00755556">
            <w:pPr>
              <w:spacing w:line="360" w:lineRule="auto"/>
              <w:rPr>
                <w:rFonts w:eastAsia="Times New Roman"/>
                <w:sz w:val="20"/>
                <w:szCs w:val="20"/>
                <w:lang w:val="en-GB" w:eastAsia="en-GB"/>
              </w:rPr>
            </w:pPr>
          </w:p>
        </w:tc>
      </w:tr>
      <w:tr w:rsidR="0086595D" w:rsidRPr="0086595D" w14:paraId="4F149FAF" w14:textId="77777777" w:rsidTr="0086595D">
        <w:trPr>
          <w:trHeight w:val="300"/>
        </w:trPr>
        <w:tc>
          <w:tcPr>
            <w:tcW w:w="1066" w:type="pct"/>
            <w:tcBorders>
              <w:top w:val="single" w:sz="4" w:space="0" w:color="auto"/>
              <w:left w:val="single" w:sz="4" w:space="0" w:color="auto"/>
              <w:bottom w:val="single" w:sz="4" w:space="0" w:color="auto"/>
              <w:right w:val="single" w:sz="4" w:space="0" w:color="auto"/>
            </w:tcBorders>
            <w:noWrap/>
            <w:vAlign w:val="bottom"/>
            <w:hideMark/>
          </w:tcPr>
          <w:p w14:paraId="6A57DB15"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F. Cash Flow Ratios</w:t>
            </w:r>
          </w:p>
        </w:tc>
        <w:tc>
          <w:tcPr>
            <w:tcW w:w="1544" w:type="pct"/>
            <w:tcBorders>
              <w:top w:val="single" w:sz="4" w:space="0" w:color="auto"/>
              <w:left w:val="nil"/>
              <w:bottom w:val="single" w:sz="4" w:space="0" w:color="auto"/>
              <w:right w:val="single" w:sz="4" w:space="0" w:color="auto"/>
            </w:tcBorders>
            <w:noWrap/>
            <w:vAlign w:val="bottom"/>
            <w:hideMark/>
          </w:tcPr>
          <w:p w14:paraId="477CA4A6" w14:textId="77777777" w:rsidR="0086595D" w:rsidRPr="0086595D" w:rsidRDefault="0086595D" w:rsidP="00755556">
            <w:pPr>
              <w:spacing w:line="360" w:lineRule="auto"/>
              <w:rPr>
                <w:rFonts w:eastAsia="Times New Roman"/>
                <w:b/>
                <w:bCs/>
                <w:color w:val="000000"/>
                <w:lang w:val="en-GB" w:eastAsia="en-GB"/>
              </w:rPr>
            </w:pPr>
            <w:r w:rsidRPr="0086595D">
              <w:rPr>
                <w:rFonts w:eastAsia="Times New Roman"/>
                <w:b/>
                <w:bCs/>
                <w:color w:val="000000"/>
                <w:lang w:val="en-GB" w:eastAsia="en-GB"/>
              </w:rPr>
              <w:t>Formula</w:t>
            </w:r>
          </w:p>
        </w:tc>
        <w:tc>
          <w:tcPr>
            <w:tcW w:w="478" w:type="pct"/>
            <w:tcBorders>
              <w:top w:val="single" w:sz="4" w:space="0" w:color="auto"/>
              <w:left w:val="nil"/>
              <w:bottom w:val="single" w:sz="4" w:space="0" w:color="auto"/>
              <w:right w:val="single" w:sz="4" w:space="0" w:color="auto"/>
            </w:tcBorders>
            <w:noWrap/>
            <w:vAlign w:val="bottom"/>
            <w:hideMark/>
          </w:tcPr>
          <w:p w14:paraId="13C53CFD"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2021</w:t>
            </w:r>
          </w:p>
        </w:tc>
        <w:tc>
          <w:tcPr>
            <w:tcW w:w="478" w:type="pct"/>
            <w:tcBorders>
              <w:top w:val="single" w:sz="4" w:space="0" w:color="auto"/>
              <w:left w:val="nil"/>
              <w:bottom w:val="single" w:sz="4" w:space="0" w:color="auto"/>
              <w:right w:val="single" w:sz="4" w:space="0" w:color="auto"/>
            </w:tcBorders>
            <w:noWrap/>
            <w:vAlign w:val="bottom"/>
            <w:hideMark/>
          </w:tcPr>
          <w:p w14:paraId="10C170BB"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2022</w:t>
            </w:r>
          </w:p>
        </w:tc>
        <w:tc>
          <w:tcPr>
            <w:tcW w:w="478" w:type="pct"/>
            <w:tcBorders>
              <w:top w:val="single" w:sz="4" w:space="0" w:color="auto"/>
              <w:left w:val="nil"/>
              <w:bottom w:val="single" w:sz="4" w:space="0" w:color="auto"/>
              <w:right w:val="single" w:sz="4" w:space="0" w:color="auto"/>
            </w:tcBorders>
            <w:noWrap/>
            <w:vAlign w:val="bottom"/>
            <w:hideMark/>
          </w:tcPr>
          <w:p w14:paraId="680E7FF6"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2023</w:t>
            </w:r>
          </w:p>
        </w:tc>
        <w:tc>
          <w:tcPr>
            <w:tcW w:w="478" w:type="pct"/>
            <w:tcBorders>
              <w:top w:val="single" w:sz="4" w:space="0" w:color="auto"/>
              <w:left w:val="nil"/>
              <w:bottom w:val="single" w:sz="4" w:space="0" w:color="auto"/>
              <w:right w:val="single" w:sz="4" w:space="0" w:color="auto"/>
            </w:tcBorders>
            <w:noWrap/>
            <w:vAlign w:val="bottom"/>
            <w:hideMark/>
          </w:tcPr>
          <w:p w14:paraId="0F4FEBE5"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2024</w:t>
            </w:r>
          </w:p>
        </w:tc>
        <w:tc>
          <w:tcPr>
            <w:tcW w:w="478" w:type="pct"/>
            <w:tcBorders>
              <w:top w:val="single" w:sz="4" w:space="0" w:color="auto"/>
              <w:left w:val="nil"/>
              <w:bottom w:val="single" w:sz="4" w:space="0" w:color="auto"/>
              <w:right w:val="single" w:sz="4" w:space="0" w:color="auto"/>
            </w:tcBorders>
            <w:noWrap/>
            <w:vAlign w:val="bottom"/>
            <w:hideMark/>
          </w:tcPr>
          <w:p w14:paraId="08195669"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2025</w:t>
            </w:r>
          </w:p>
        </w:tc>
      </w:tr>
      <w:tr w:rsidR="0086595D" w:rsidRPr="0086595D" w14:paraId="06522707"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653ED67C"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Operating Cash Flow Margin</w:t>
            </w:r>
          </w:p>
        </w:tc>
        <w:tc>
          <w:tcPr>
            <w:tcW w:w="1544" w:type="pct"/>
            <w:tcBorders>
              <w:top w:val="nil"/>
              <w:left w:val="nil"/>
              <w:bottom w:val="single" w:sz="4" w:space="0" w:color="auto"/>
              <w:right w:val="single" w:sz="4" w:space="0" w:color="auto"/>
            </w:tcBorders>
            <w:noWrap/>
            <w:vAlign w:val="bottom"/>
            <w:hideMark/>
          </w:tcPr>
          <w:p w14:paraId="36B7520D"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CFO / Revenue</w:t>
            </w:r>
          </w:p>
        </w:tc>
        <w:tc>
          <w:tcPr>
            <w:tcW w:w="478" w:type="pct"/>
            <w:tcBorders>
              <w:top w:val="nil"/>
              <w:left w:val="nil"/>
              <w:bottom w:val="single" w:sz="4" w:space="0" w:color="auto"/>
              <w:right w:val="single" w:sz="4" w:space="0" w:color="auto"/>
            </w:tcBorders>
            <w:noWrap/>
            <w:vAlign w:val="bottom"/>
            <w:hideMark/>
          </w:tcPr>
          <w:p w14:paraId="31D391F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0.27</w:t>
            </w:r>
          </w:p>
        </w:tc>
        <w:tc>
          <w:tcPr>
            <w:tcW w:w="478" w:type="pct"/>
            <w:tcBorders>
              <w:top w:val="nil"/>
              <w:left w:val="nil"/>
              <w:bottom w:val="single" w:sz="4" w:space="0" w:color="auto"/>
              <w:right w:val="single" w:sz="4" w:space="0" w:color="auto"/>
            </w:tcBorders>
            <w:noWrap/>
            <w:vAlign w:val="bottom"/>
            <w:hideMark/>
          </w:tcPr>
          <w:p w14:paraId="1C948BE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0.26</w:t>
            </w:r>
          </w:p>
        </w:tc>
        <w:tc>
          <w:tcPr>
            <w:tcW w:w="478" w:type="pct"/>
            <w:tcBorders>
              <w:top w:val="nil"/>
              <w:left w:val="nil"/>
              <w:bottom w:val="single" w:sz="4" w:space="0" w:color="auto"/>
              <w:right w:val="single" w:sz="4" w:space="0" w:color="auto"/>
            </w:tcBorders>
            <w:noWrap/>
            <w:vAlign w:val="bottom"/>
            <w:hideMark/>
          </w:tcPr>
          <w:p w14:paraId="09C6D89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0.26</w:t>
            </w:r>
          </w:p>
        </w:tc>
        <w:tc>
          <w:tcPr>
            <w:tcW w:w="478" w:type="pct"/>
            <w:tcBorders>
              <w:top w:val="nil"/>
              <w:left w:val="nil"/>
              <w:bottom w:val="single" w:sz="4" w:space="0" w:color="auto"/>
              <w:right w:val="single" w:sz="4" w:space="0" w:color="auto"/>
            </w:tcBorders>
            <w:noWrap/>
            <w:vAlign w:val="bottom"/>
            <w:hideMark/>
          </w:tcPr>
          <w:p w14:paraId="2C70900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0.23</w:t>
            </w:r>
          </w:p>
        </w:tc>
        <w:tc>
          <w:tcPr>
            <w:tcW w:w="478" w:type="pct"/>
            <w:tcBorders>
              <w:top w:val="nil"/>
              <w:left w:val="nil"/>
              <w:bottom w:val="single" w:sz="4" w:space="0" w:color="auto"/>
              <w:right w:val="single" w:sz="4" w:space="0" w:color="auto"/>
            </w:tcBorders>
            <w:noWrap/>
            <w:vAlign w:val="bottom"/>
            <w:hideMark/>
          </w:tcPr>
          <w:p w14:paraId="7552D8C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0.26</w:t>
            </w:r>
          </w:p>
        </w:tc>
      </w:tr>
      <w:tr w:rsidR="0086595D" w:rsidRPr="0086595D" w14:paraId="0DE299AB"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18AFF2F7"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Operating Cash Flow to Assets</w:t>
            </w:r>
          </w:p>
        </w:tc>
        <w:tc>
          <w:tcPr>
            <w:tcW w:w="1544" w:type="pct"/>
            <w:tcBorders>
              <w:top w:val="nil"/>
              <w:left w:val="nil"/>
              <w:bottom w:val="single" w:sz="4" w:space="0" w:color="auto"/>
              <w:right w:val="single" w:sz="4" w:space="0" w:color="auto"/>
            </w:tcBorders>
            <w:noWrap/>
            <w:vAlign w:val="bottom"/>
            <w:hideMark/>
          </w:tcPr>
          <w:p w14:paraId="3108A2C8"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CFO / Total Assets</w:t>
            </w:r>
          </w:p>
        </w:tc>
        <w:tc>
          <w:tcPr>
            <w:tcW w:w="478" w:type="pct"/>
            <w:tcBorders>
              <w:top w:val="nil"/>
              <w:left w:val="nil"/>
              <w:bottom w:val="single" w:sz="4" w:space="0" w:color="auto"/>
              <w:right w:val="single" w:sz="4" w:space="0" w:color="auto"/>
            </w:tcBorders>
            <w:noWrap/>
            <w:vAlign w:val="bottom"/>
            <w:hideMark/>
          </w:tcPr>
          <w:p w14:paraId="33599D3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0.32</w:t>
            </w:r>
          </w:p>
        </w:tc>
        <w:tc>
          <w:tcPr>
            <w:tcW w:w="478" w:type="pct"/>
            <w:tcBorders>
              <w:top w:val="nil"/>
              <w:left w:val="nil"/>
              <w:bottom w:val="single" w:sz="4" w:space="0" w:color="auto"/>
              <w:right w:val="single" w:sz="4" w:space="0" w:color="auto"/>
            </w:tcBorders>
            <w:noWrap/>
            <w:vAlign w:val="bottom"/>
            <w:hideMark/>
          </w:tcPr>
          <w:p w14:paraId="0FF0F03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0.36</w:t>
            </w:r>
          </w:p>
        </w:tc>
        <w:tc>
          <w:tcPr>
            <w:tcW w:w="478" w:type="pct"/>
            <w:tcBorders>
              <w:top w:val="nil"/>
              <w:left w:val="nil"/>
              <w:bottom w:val="single" w:sz="4" w:space="0" w:color="auto"/>
              <w:right w:val="single" w:sz="4" w:space="0" w:color="auto"/>
            </w:tcBorders>
            <w:noWrap/>
            <w:vAlign w:val="bottom"/>
            <w:hideMark/>
          </w:tcPr>
          <w:p w14:paraId="293B5DE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0.42</w:t>
            </w:r>
          </w:p>
        </w:tc>
        <w:tc>
          <w:tcPr>
            <w:tcW w:w="478" w:type="pct"/>
            <w:tcBorders>
              <w:top w:val="nil"/>
              <w:left w:val="nil"/>
              <w:bottom w:val="single" w:sz="4" w:space="0" w:color="auto"/>
              <w:right w:val="single" w:sz="4" w:space="0" w:color="auto"/>
            </w:tcBorders>
            <w:noWrap/>
            <w:vAlign w:val="bottom"/>
            <w:hideMark/>
          </w:tcPr>
          <w:p w14:paraId="658DE8B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0.40</w:t>
            </w:r>
          </w:p>
        </w:tc>
        <w:tc>
          <w:tcPr>
            <w:tcW w:w="478" w:type="pct"/>
            <w:tcBorders>
              <w:top w:val="nil"/>
              <w:left w:val="nil"/>
              <w:bottom w:val="single" w:sz="4" w:space="0" w:color="auto"/>
              <w:right w:val="single" w:sz="4" w:space="0" w:color="auto"/>
            </w:tcBorders>
            <w:noWrap/>
            <w:vAlign w:val="bottom"/>
            <w:hideMark/>
          </w:tcPr>
          <w:p w14:paraId="10259C1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0.41</w:t>
            </w:r>
          </w:p>
        </w:tc>
      </w:tr>
      <w:tr w:rsidR="0086595D" w:rsidRPr="0086595D" w14:paraId="347ABF6F"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492DF123"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Cash Flow to Current Liabilities</w:t>
            </w:r>
          </w:p>
        </w:tc>
        <w:tc>
          <w:tcPr>
            <w:tcW w:w="1544" w:type="pct"/>
            <w:tcBorders>
              <w:top w:val="nil"/>
              <w:left w:val="nil"/>
              <w:bottom w:val="single" w:sz="4" w:space="0" w:color="auto"/>
              <w:right w:val="single" w:sz="4" w:space="0" w:color="auto"/>
            </w:tcBorders>
            <w:noWrap/>
            <w:vAlign w:val="bottom"/>
            <w:hideMark/>
          </w:tcPr>
          <w:p w14:paraId="0288B884"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CFO / Current Liabilities</w:t>
            </w:r>
          </w:p>
        </w:tc>
        <w:tc>
          <w:tcPr>
            <w:tcW w:w="478" w:type="pct"/>
            <w:tcBorders>
              <w:top w:val="nil"/>
              <w:left w:val="nil"/>
              <w:bottom w:val="single" w:sz="4" w:space="0" w:color="auto"/>
              <w:right w:val="single" w:sz="4" w:space="0" w:color="auto"/>
            </w:tcBorders>
            <w:noWrap/>
            <w:vAlign w:val="bottom"/>
            <w:hideMark/>
          </w:tcPr>
          <w:p w14:paraId="521B498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0.20</w:t>
            </w:r>
          </w:p>
        </w:tc>
        <w:tc>
          <w:tcPr>
            <w:tcW w:w="478" w:type="pct"/>
            <w:tcBorders>
              <w:top w:val="nil"/>
              <w:left w:val="nil"/>
              <w:bottom w:val="single" w:sz="4" w:space="0" w:color="auto"/>
              <w:right w:val="single" w:sz="4" w:space="0" w:color="auto"/>
            </w:tcBorders>
            <w:noWrap/>
            <w:vAlign w:val="bottom"/>
            <w:hideMark/>
          </w:tcPr>
          <w:p w14:paraId="7BE105B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0.22</w:t>
            </w:r>
          </w:p>
        </w:tc>
        <w:tc>
          <w:tcPr>
            <w:tcW w:w="478" w:type="pct"/>
            <w:tcBorders>
              <w:top w:val="nil"/>
              <w:left w:val="nil"/>
              <w:bottom w:val="single" w:sz="4" w:space="0" w:color="auto"/>
              <w:right w:val="single" w:sz="4" w:space="0" w:color="auto"/>
            </w:tcBorders>
            <w:noWrap/>
            <w:vAlign w:val="bottom"/>
            <w:hideMark/>
          </w:tcPr>
          <w:p w14:paraId="02A4C1A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0.26</w:t>
            </w:r>
          </w:p>
        </w:tc>
        <w:tc>
          <w:tcPr>
            <w:tcW w:w="478" w:type="pct"/>
            <w:tcBorders>
              <w:top w:val="nil"/>
              <w:left w:val="nil"/>
              <w:bottom w:val="single" w:sz="4" w:space="0" w:color="auto"/>
              <w:right w:val="single" w:sz="4" w:space="0" w:color="auto"/>
            </w:tcBorders>
            <w:noWrap/>
            <w:vAlign w:val="bottom"/>
            <w:hideMark/>
          </w:tcPr>
          <w:p w14:paraId="05A6EA4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0.24</w:t>
            </w:r>
          </w:p>
        </w:tc>
        <w:tc>
          <w:tcPr>
            <w:tcW w:w="478" w:type="pct"/>
            <w:tcBorders>
              <w:top w:val="nil"/>
              <w:left w:val="nil"/>
              <w:bottom w:val="single" w:sz="4" w:space="0" w:color="auto"/>
              <w:right w:val="single" w:sz="4" w:space="0" w:color="auto"/>
            </w:tcBorders>
            <w:noWrap/>
            <w:vAlign w:val="bottom"/>
            <w:hideMark/>
          </w:tcPr>
          <w:p w14:paraId="6F769D3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0.25</w:t>
            </w:r>
          </w:p>
        </w:tc>
      </w:tr>
      <w:tr w:rsidR="0086595D" w:rsidRPr="0086595D" w14:paraId="50B2C6C6" w14:textId="77777777" w:rsidTr="0086595D">
        <w:trPr>
          <w:trHeight w:val="300"/>
        </w:trPr>
        <w:tc>
          <w:tcPr>
            <w:tcW w:w="1066" w:type="pct"/>
            <w:tcBorders>
              <w:top w:val="nil"/>
              <w:left w:val="single" w:sz="4" w:space="0" w:color="auto"/>
              <w:bottom w:val="single" w:sz="4" w:space="0" w:color="auto"/>
              <w:right w:val="single" w:sz="4" w:space="0" w:color="auto"/>
            </w:tcBorders>
            <w:noWrap/>
            <w:vAlign w:val="bottom"/>
            <w:hideMark/>
          </w:tcPr>
          <w:p w14:paraId="640EDC50"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Net Cash Flow Ratio</w:t>
            </w:r>
          </w:p>
        </w:tc>
        <w:tc>
          <w:tcPr>
            <w:tcW w:w="1544" w:type="pct"/>
            <w:tcBorders>
              <w:top w:val="nil"/>
              <w:left w:val="nil"/>
              <w:bottom w:val="single" w:sz="4" w:space="0" w:color="auto"/>
              <w:right w:val="single" w:sz="4" w:space="0" w:color="auto"/>
            </w:tcBorders>
            <w:noWrap/>
            <w:vAlign w:val="bottom"/>
            <w:hideMark/>
          </w:tcPr>
          <w:p w14:paraId="2926E4D9"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Net Cash Flow / Revenue</w:t>
            </w:r>
          </w:p>
        </w:tc>
        <w:tc>
          <w:tcPr>
            <w:tcW w:w="478" w:type="pct"/>
            <w:tcBorders>
              <w:top w:val="nil"/>
              <w:left w:val="nil"/>
              <w:bottom w:val="single" w:sz="4" w:space="0" w:color="auto"/>
              <w:right w:val="single" w:sz="4" w:space="0" w:color="auto"/>
            </w:tcBorders>
            <w:noWrap/>
            <w:vAlign w:val="bottom"/>
            <w:hideMark/>
          </w:tcPr>
          <w:p w14:paraId="54260F0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w:t>
            </w:r>
          </w:p>
        </w:tc>
        <w:tc>
          <w:tcPr>
            <w:tcW w:w="478" w:type="pct"/>
            <w:tcBorders>
              <w:top w:val="nil"/>
              <w:left w:val="nil"/>
              <w:bottom w:val="single" w:sz="4" w:space="0" w:color="auto"/>
              <w:right w:val="single" w:sz="4" w:space="0" w:color="auto"/>
            </w:tcBorders>
            <w:noWrap/>
            <w:vAlign w:val="bottom"/>
            <w:hideMark/>
          </w:tcPr>
          <w:p w14:paraId="531A7FB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w:t>
            </w:r>
          </w:p>
        </w:tc>
        <w:tc>
          <w:tcPr>
            <w:tcW w:w="478" w:type="pct"/>
            <w:tcBorders>
              <w:top w:val="nil"/>
              <w:left w:val="nil"/>
              <w:bottom w:val="single" w:sz="4" w:space="0" w:color="auto"/>
              <w:right w:val="single" w:sz="4" w:space="0" w:color="auto"/>
            </w:tcBorders>
            <w:noWrap/>
            <w:vAlign w:val="bottom"/>
            <w:hideMark/>
          </w:tcPr>
          <w:p w14:paraId="3AA26DF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w:t>
            </w:r>
          </w:p>
        </w:tc>
        <w:tc>
          <w:tcPr>
            <w:tcW w:w="478" w:type="pct"/>
            <w:tcBorders>
              <w:top w:val="nil"/>
              <w:left w:val="nil"/>
              <w:bottom w:val="single" w:sz="4" w:space="0" w:color="auto"/>
              <w:right w:val="single" w:sz="4" w:space="0" w:color="auto"/>
            </w:tcBorders>
            <w:noWrap/>
            <w:vAlign w:val="bottom"/>
            <w:hideMark/>
          </w:tcPr>
          <w:p w14:paraId="0461787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w:t>
            </w:r>
          </w:p>
        </w:tc>
        <w:tc>
          <w:tcPr>
            <w:tcW w:w="478" w:type="pct"/>
            <w:tcBorders>
              <w:top w:val="nil"/>
              <w:left w:val="nil"/>
              <w:bottom w:val="single" w:sz="4" w:space="0" w:color="auto"/>
              <w:right w:val="single" w:sz="4" w:space="0" w:color="auto"/>
            </w:tcBorders>
            <w:noWrap/>
            <w:vAlign w:val="bottom"/>
            <w:hideMark/>
          </w:tcPr>
          <w:p w14:paraId="2A566D7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w:t>
            </w:r>
          </w:p>
        </w:tc>
      </w:tr>
    </w:tbl>
    <w:p w14:paraId="301630BC" w14:textId="3A0C07D0" w:rsidR="0086595D" w:rsidRDefault="0086595D" w:rsidP="00755556">
      <w:pPr>
        <w:spacing w:line="360" w:lineRule="auto"/>
        <w:rPr>
          <w:lang w:val="en-GB"/>
        </w:rPr>
      </w:pPr>
    </w:p>
    <w:p w14:paraId="7A9483CF" w14:textId="77777777" w:rsidR="0086595D" w:rsidRDefault="0086595D" w:rsidP="00755556">
      <w:pPr>
        <w:spacing w:line="360" w:lineRule="auto"/>
        <w:rPr>
          <w:lang w:val="en-GB"/>
        </w:rPr>
      </w:pPr>
      <w:r>
        <w:rPr>
          <w:lang w:val="en-GB"/>
        </w:rPr>
        <w:br w:type="page"/>
      </w:r>
    </w:p>
    <w:p w14:paraId="06F8B452" w14:textId="5BF263D9" w:rsidR="0086595D" w:rsidRDefault="0086595D" w:rsidP="00755556">
      <w:pPr>
        <w:pStyle w:val="Heading2"/>
      </w:pPr>
      <w:bookmarkStart w:id="27" w:name="_Toc235033247"/>
      <w:r>
        <w:rPr>
          <w:lang w:val="en-GB"/>
        </w:rPr>
        <w:lastRenderedPageBreak/>
        <w:t xml:space="preserve">Appendix 2: </w:t>
      </w:r>
      <w:r w:rsidRPr="00465980">
        <w:t>Investment appraisal calculations</w:t>
      </w:r>
      <w:bookmarkEnd w:id="27"/>
    </w:p>
    <w:p w14:paraId="7CED69F9" w14:textId="0F7A3BF9" w:rsidR="0086595D" w:rsidRPr="0086595D" w:rsidRDefault="0086595D" w:rsidP="00755556">
      <w:pPr>
        <w:spacing w:line="360" w:lineRule="auto"/>
        <w:rPr>
          <w:b/>
        </w:rPr>
      </w:pPr>
      <w:r w:rsidRPr="0086595D">
        <w:rPr>
          <w:b/>
        </w:rPr>
        <w:t>Project A</w:t>
      </w:r>
    </w:p>
    <w:tbl>
      <w:tblPr>
        <w:tblW w:w="5000" w:type="pct"/>
        <w:tblLook w:val="04A0" w:firstRow="1" w:lastRow="0" w:firstColumn="1" w:lastColumn="0" w:noHBand="0" w:noVBand="1"/>
      </w:tblPr>
      <w:tblGrid>
        <w:gridCol w:w="1802"/>
        <w:gridCol w:w="1801"/>
        <w:gridCol w:w="1801"/>
        <w:gridCol w:w="1801"/>
        <w:gridCol w:w="1801"/>
      </w:tblGrid>
      <w:tr w:rsidR="0086595D" w:rsidRPr="0086595D" w14:paraId="164E9C16" w14:textId="77777777" w:rsidTr="0086595D">
        <w:trPr>
          <w:trHeight w:val="600"/>
        </w:trPr>
        <w:tc>
          <w:tcPr>
            <w:tcW w:w="1000" w:type="pct"/>
            <w:tcBorders>
              <w:top w:val="single" w:sz="8" w:space="0" w:color="auto"/>
              <w:left w:val="single" w:sz="8" w:space="0" w:color="auto"/>
              <w:bottom w:val="single" w:sz="4" w:space="0" w:color="auto"/>
              <w:right w:val="single" w:sz="4" w:space="0" w:color="auto"/>
            </w:tcBorders>
            <w:vAlign w:val="center"/>
            <w:hideMark/>
          </w:tcPr>
          <w:p w14:paraId="1D58452A"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Year</w:t>
            </w:r>
          </w:p>
        </w:tc>
        <w:tc>
          <w:tcPr>
            <w:tcW w:w="1000" w:type="pct"/>
            <w:tcBorders>
              <w:top w:val="single" w:sz="8" w:space="0" w:color="auto"/>
              <w:left w:val="nil"/>
              <w:bottom w:val="single" w:sz="4" w:space="0" w:color="auto"/>
              <w:right w:val="single" w:sz="4" w:space="0" w:color="auto"/>
            </w:tcBorders>
            <w:vAlign w:val="center"/>
            <w:hideMark/>
          </w:tcPr>
          <w:p w14:paraId="5E62284F"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Net Cash Flow (£m)</w:t>
            </w:r>
          </w:p>
        </w:tc>
        <w:tc>
          <w:tcPr>
            <w:tcW w:w="1000" w:type="pct"/>
            <w:tcBorders>
              <w:top w:val="single" w:sz="8" w:space="0" w:color="auto"/>
              <w:left w:val="nil"/>
              <w:bottom w:val="single" w:sz="4" w:space="0" w:color="auto"/>
              <w:right w:val="single" w:sz="4" w:space="0" w:color="auto"/>
            </w:tcBorders>
            <w:vAlign w:val="center"/>
            <w:hideMark/>
          </w:tcPr>
          <w:p w14:paraId="76B1468C"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Discount Factor (8%)</w:t>
            </w:r>
          </w:p>
        </w:tc>
        <w:tc>
          <w:tcPr>
            <w:tcW w:w="1000" w:type="pct"/>
            <w:tcBorders>
              <w:top w:val="single" w:sz="8" w:space="0" w:color="auto"/>
              <w:left w:val="nil"/>
              <w:bottom w:val="single" w:sz="4" w:space="0" w:color="auto"/>
              <w:right w:val="single" w:sz="4" w:space="0" w:color="auto"/>
            </w:tcBorders>
            <w:vAlign w:val="center"/>
            <w:hideMark/>
          </w:tcPr>
          <w:p w14:paraId="09EC5FA0"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Present Value (£m)</w:t>
            </w:r>
          </w:p>
        </w:tc>
        <w:tc>
          <w:tcPr>
            <w:tcW w:w="1000" w:type="pct"/>
            <w:tcBorders>
              <w:top w:val="single" w:sz="8" w:space="0" w:color="auto"/>
              <w:left w:val="nil"/>
              <w:bottom w:val="single" w:sz="4" w:space="0" w:color="auto"/>
              <w:right w:val="single" w:sz="8" w:space="0" w:color="auto"/>
            </w:tcBorders>
            <w:vAlign w:val="center"/>
            <w:hideMark/>
          </w:tcPr>
          <w:p w14:paraId="4C1D2CDB"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Cumulative Cash Flow (£m)</w:t>
            </w:r>
          </w:p>
        </w:tc>
      </w:tr>
      <w:tr w:rsidR="0086595D" w:rsidRPr="0086595D" w14:paraId="6844E9E2"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60C6B941"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0</w:t>
            </w:r>
          </w:p>
        </w:tc>
        <w:tc>
          <w:tcPr>
            <w:tcW w:w="1000" w:type="pct"/>
            <w:tcBorders>
              <w:top w:val="nil"/>
              <w:left w:val="nil"/>
              <w:bottom w:val="single" w:sz="4" w:space="0" w:color="auto"/>
              <w:right w:val="single" w:sz="4" w:space="0" w:color="auto"/>
            </w:tcBorders>
            <w:noWrap/>
            <w:vAlign w:val="bottom"/>
            <w:hideMark/>
          </w:tcPr>
          <w:p w14:paraId="42BDD47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-50</w:t>
            </w:r>
          </w:p>
        </w:tc>
        <w:tc>
          <w:tcPr>
            <w:tcW w:w="1000" w:type="pct"/>
            <w:tcBorders>
              <w:top w:val="nil"/>
              <w:left w:val="nil"/>
              <w:bottom w:val="single" w:sz="4" w:space="0" w:color="auto"/>
              <w:right w:val="single" w:sz="4" w:space="0" w:color="auto"/>
            </w:tcBorders>
            <w:noWrap/>
            <w:vAlign w:val="bottom"/>
            <w:hideMark/>
          </w:tcPr>
          <w:p w14:paraId="078CE1F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w:t>
            </w:r>
          </w:p>
        </w:tc>
        <w:tc>
          <w:tcPr>
            <w:tcW w:w="1000" w:type="pct"/>
            <w:tcBorders>
              <w:top w:val="nil"/>
              <w:left w:val="nil"/>
              <w:bottom w:val="single" w:sz="4" w:space="0" w:color="auto"/>
              <w:right w:val="single" w:sz="4" w:space="0" w:color="auto"/>
            </w:tcBorders>
            <w:noWrap/>
            <w:vAlign w:val="bottom"/>
            <w:hideMark/>
          </w:tcPr>
          <w:p w14:paraId="42C5FA4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-50</w:t>
            </w:r>
          </w:p>
        </w:tc>
        <w:tc>
          <w:tcPr>
            <w:tcW w:w="1000" w:type="pct"/>
            <w:tcBorders>
              <w:top w:val="nil"/>
              <w:left w:val="nil"/>
              <w:bottom w:val="single" w:sz="4" w:space="0" w:color="auto"/>
              <w:right w:val="single" w:sz="8" w:space="0" w:color="auto"/>
            </w:tcBorders>
            <w:noWrap/>
            <w:vAlign w:val="bottom"/>
            <w:hideMark/>
          </w:tcPr>
          <w:p w14:paraId="401E5F9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-50</w:t>
            </w:r>
          </w:p>
        </w:tc>
      </w:tr>
      <w:tr w:rsidR="0086595D" w:rsidRPr="0086595D" w14:paraId="1A9DB243"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36CD6363"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1</w:t>
            </w:r>
          </w:p>
        </w:tc>
        <w:tc>
          <w:tcPr>
            <w:tcW w:w="1000" w:type="pct"/>
            <w:tcBorders>
              <w:top w:val="nil"/>
              <w:left w:val="nil"/>
              <w:bottom w:val="single" w:sz="4" w:space="0" w:color="auto"/>
              <w:right w:val="single" w:sz="4" w:space="0" w:color="auto"/>
            </w:tcBorders>
            <w:noWrap/>
            <w:vAlign w:val="bottom"/>
            <w:hideMark/>
          </w:tcPr>
          <w:p w14:paraId="006A901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w:t>
            </w:r>
          </w:p>
        </w:tc>
        <w:tc>
          <w:tcPr>
            <w:tcW w:w="1000" w:type="pct"/>
            <w:tcBorders>
              <w:top w:val="nil"/>
              <w:left w:val="nil"/>
              <w:bottom w:val="single" w:sz="4" w:space="0" w:color="auto"/>
              <w:right w:val="single" w:sz="4" w:space="0" w:color="auto"/>
            </w:tcBorders>
            <w:noWrap/>
            <w:vAlign w:val="bottom"/>
            <w:hideMark/>
          </w:tcPr>
          <w:p w14:paraId="132705B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0.090909091</w:t>
            </w:r>
          </w:p>
        </w:tc>
        <w:tc>
          <w:tcPr>
            <w:tcW w:w="1000" w:type="pct"/>
            <w:tcBorders>
              <w:top w:val="nil"/>
              <w:left w:val="nil"/>
              <w:bottom w:val="single" w:sz="4" w:space="0" w:color="auto"/>
              <w:right w:val="single" w:sz="4" w:space="0" w:color="auto"/>
            </w:tcBorders>
            <w:noWrap/>
            <w:vAlign w:val="bottom"/>
            <w:hideMark/>
          </w:tcPr>
          <w:p w14:paraId="5B1245B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0.909090909</w:t>
            </w:r>
          </w:p>
        </w:tc>
        <w:tc>
          <w:tcPr>
            <w:tcW w:w="1000" w:type="pct"/>
            <w:tcBorders>
              <w:top w:val="nil"/>
              <w:left w:val="nil"/>
              <w:bottom w:val="single" w:sz="4" w:space="0" w:color="auto"/>
              <w:right w:val="single" w:sz="8" w:space="0" w:color="auto"/>
            </w:tcBorders>
            <w:noWrap/>
            <w:vAlign w:val="bottom"/>
            <w:hideMark/>
          </w:tcPr>
          <w:p w14:paraId="670A8BA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-40</w:t>
            </w:r>
          </w:p>
        </w:tc>
      </w:tr>
      <w:tr w:rsidR="0086595D" w:rsidRPr="0086595D" w14:paraId="18F7E022"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2ECC6738"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2</w:t>
            </w:r>
          </w:p>
        </w:tc>
        <w:tc>
          <w:tcPr>
            <w:tcW w:w="1000" w:type="pct"/>
            <w:tcBorders>
              <w:top w:val="nil"/>
              <w:left w:val="nil"/>
              <w:bottom w:val="single" w:sz="4" w:space="0" w:color="auto"/>
              <w:right w:val="single" w:sz="4" w:space="0" w:color="auto"/>
            </w:tcBorders>
            <w:noWrap/>
            <w:vAlign w:val="bottom"/>
            <w:hideMark/>
          </w:tcPr>
          <w:p w14:paraId="72A08FA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12</w:t>
            </w:r>
          </w:p>
        </w:tc>
        <w:tc>
          <w:tcPr>
            <w:tcW w:w="1000" w:type="pct"/>
            <w:tcBorders>
              <w:top w:val="nil"/>
              <w:left w:val="nil"/>
              <w:bottom w:val="single" w:sz="4" w:space="0" w:color="auto"/>
              <w:right w:val="single" w:sz="4" w:space="0" w:color="auto"/>
            </w:tcBorders>
            <w:noWrap/>
            <w:vAlign w:val="bottom"/>
            <w:hideMark/>
          </w:tcPr>
          <w:p w14:paraId="14B30DD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0.00591716</w:t>
            </w:r>
          </w:p>
        </w:tc>
        <w:tc>
          <w:tcPr>
            <w:tcW w:w="1000" w:type="pct"/>
            <w:tcBorders>
              <w:top w:val="nil"/>
              <w:left w:val="nil"/>
              <w:bottom w:val="single" w:sz="4" w:space="0" w:color="auto"/>
              <w:right w:val="single" w:sz="4" w:space="0" w:color="auto"/>
            </w:tcBorders>
            <w:noWrap/>
            <w:vAlign w:val="bottom"/>
            <w:hideMark/>
          </w:tcPr>
          <w:p w14:paraId="3427092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0.071005917</w:t>
            </w:r>
          </w:p>
        </w:tc>
        <w:tc>
          <w:tcPr>
            <w:tcW w:w="1000" w:type="pct"/>
            <w:tcBorders>
              <w:top w:val="nil"/>
              <w:left w:val="nil"/>
              <w:bottom w:val="single" w:sz="4" w:space="0" w:color="auto"/>
              <w:right w:val="single" w:sz="8" w:space="0" w:color="auto"/>
            </w:tcBorders>
            <w:noWrap/>
            <w:vAlign w:val="bottom"/>
            <w:hideMark/>
          </w:tcPr>
          <w:p w14:paraId="58964C3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-28</w:t>
            </w:r>
          </w:p>
        </w:tc>
      </w:tr>
      <w:tr w:rsidR="0086595D" w:rsidRPr="0086595D" w14:paraId="524BF305"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785E4A9F"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3</w:t>
            </w:r>
          </w:p>
        </w:tc>
        <w:tc>
          <w:tcPr>
            <w:tcW w:w="1000" w:type="pct"/>
            <w:tcBorders>
              <w:top w:val="nil"/>
              <w:left w:val="nil"/>
              <w:bottom w:val="single" w:sz="4" w:space="0" w:color="auto"/>
              <w:right w:val="single" w:sz="4" w:space="0" w:color="auto"/>
            </w:tcBorders>
            <w:noWrap/>
            <w:vAlign w:val="bottom"/>
            <w:hideMark/>
          </w:tcPr>
          <w:p w14:paraId="5461A08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14</w:t>
            </w:r>
          </w:p>
        </w:tc>
        <w:tc>
          <w:tcPr>
            <w:tcW w:w="1000" w:type="pct"/>
            <w:tcBorders>
              <w:top w:val="nil"/>
              <w:left w:val="nil"/>
              <w:bottom w:val="single" w:sz="4" w:space="0" w:color="auto"/>
              <w:right w:val="single" w:sz="4" w:space="0" w:color="auto"/>
            </w:tcBorders>
            <w:noWrap/>
            <w:vAlign w:val="bottom"/>
            <w:hideMark/>
          </w:tcPr>
          <w:p w14:paraId="40587B7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0.000296296</w:t>
            </w:r>
          </w:p>
        </w:tc>
        <w:tc>
          <w:tcPr>
            <w:tcW w:w="1000" w:type="pct"/>
            <w:tcBorders>
              <w:top w:val="nil"/>
              <w:left w:val="nil"/>
              <w:bottom w:val="single" w:sz="4" w:space="0" w:color="auto"/>
              <w:right w:val="single" w:sz="4" w:space="0" w:color="auto"/>
            </w:tcBorders>
            <w:noWrap/>
            <w:vAlign w:val="bottom"/>
            <w:hideMark/>
          </w:tcPr>
          <w:p w14:paraId="1D8559F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0.004148148</w:t>
            </w:r>
          </w:p>
        </w:tc>
        <w:tc>
          <w:tcPr>
            <w:tcW w:w="1000" w:type="pct"/>
            <w:tcBorders>
              <w:top w:val="nil"/>
              <w:left w:val="nil"/>
              <w:bottom w:val="single" w:sz="4" w:space="0" w:color="auto"/>
              <w:right w:val="single" w:sz="8" w:space="0" w:color="auto"/>
            </w:tcBorders>
            <w:noWrap/>
            <w:vAlign w:val="bottom"/>
            <w:hideMark/>
          </w:tcPr>
          <w:p w14:paraId="1FD8915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-14</w:t>
            </w:r>
          </w:p>
        </w:tc>
      </w:tr>
      <w:tr w:rsidR="0086595D" w:rsidRPr="0086595D" w14:paraId="1ADD28C2"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46B6E6CD"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4</w:t>
            </w:r>
          </w:p>
        </w:tc>
        <w:tc>
          <w:tcPr>
            <w:tcW w:w="1000" w:type="pct"/>
            <w:tcBorders>
              <w:top w:val="nil"/>
              <w:left w:val="nil"/>
              <w:bottom w:val="single" w:sz="4" w:space="0" w:color="auto"/>
              <w:right w:val="single" w:sz="4" w:space="0" w:color="auto"/>
            </w:tcBorders>
            <w:noWrap/>
            <w:vAlign w:val="bottom"/>
            <w:hideMark/>
          </w:tcPr>
          <w:p w14:paraId="71C1141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w:t>
            </w:r>
          </w:p>
        </w:tc>
        <w:tc>
          <w:tcPr>
            <w:tcW w:w="1000" w:type="pct"/>
            <w:tcBorders>
              <w:top w:val="nil"/>
              <w:left w:val="nil"/>
              <w:bottom w:val="single" w:sz="4" w:space="0" w:color="auto"/>
              <w:right w:val="single" w:sz="4" w:space="0" w:color="auto"/>
            </w:tcBorders>
            <w:noWrap/>
            <w:vAlign w:val="bottom"/>
            <w:hideMark/>
          </w:tcPr>
          <w:p w14:paraId="172CE3D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6.83013E-05</w:t>
            </w:r>
          </w:p>
        </w:tc>
        <w:tc>
          <w:tcPr>
            <w:tcW w:w="1000" w:type="pct"/>
            <w:tcBorders>
              <w:top w:val="nil"/>
              <w:left w:val="nil"/>
              <w:bottom w:val="single" w:sz="4" w:space="0" w:color="auto"/>
              <w:right w:val="single" w:sz="4" w:space="0" w:color="auto"/>
            </w:tcBorders>
            <w:noWrap/>
            <w:vAlign w:val="bottom"/>
            <w:hideMark/>
          </w:tcPr>
          <w:p w14:paraId="302C8F9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0.000683013</w:t>
            </w:r>
          </w:p>
        </w:tc>
        <w:tc>
          <w:tcPr>
            <w:tcW w:w="1000" w:type="pct"/>
            <w:tcBorders>
              <w:top w:val="nil"/>
              <w:left w:val="nil"/>
              <w:bottom w:val="single" w:sz="4" w:space="0" w:color="auto"/>
              <w:right w:val="single" w:sz="8" w:space="0" w:color="auto"/>
            </w:tcBorders>
            <w:noWrap/>
            <w:vAlign w:val="bottom"/>
            <w:hideMark/>
          </w:tcPr>
          <w:p w14:paraId="388D2BF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w:t>
            </w:r>
          </w:p>
        </w:tc>
      </w:tr>
      <w:tr w:rsidR="0086595D" w:rsidRPr="0086595D" w14:paraId="58B0B572"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31715585"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5</w:t>
            </w:r>
          </w:p>
        </w:tc>
        <w:tc>
          <w:tcPr>
            <w:tcW w:w="1000" w:type="pct"/>
            <w:tcBorders>
              <w:top w:val="nil"/>
              <w:left w:val="nil"/>
              <w:bottom w:val="single" w:sz="4" w:space="0" w:color="auto"/>
              <w:right w:val="single" w:sz="4" w:space="0" w:color="auto"/>
            </w:tcBorders>
            <w:noWrap/>
            <w:vAlign w:val="bottom"/>
            <w:hideMark/>
          </w:tcPr>
          <w:p w14:paraId="63EAAE4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8</w:t>
            </w:r>
          </w:p>
        </w:tc>
        <w:tc>
          <w:tcPr>
            <w:tcW w:w="1000" w:type="pct"/>
            <w:tcBorders>
              <w:top w:val="nil"/>
              <w:left w:val="nil"/>
              <w:bottom w:val="single" w:sz="4" w:space="0" w:color="auto"/>
              <w:right w:val="single" w:sz="4" w:space="0" w:color="auto"/>
            </w:tcBorders>
            <w:noWrap/>
            <w:vAlign w:val="bottom"/>
            <w:hideMark/>
          </w:tcPr>
          <w:p w14:paraId="3D2BAC6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1.69351E-05</w:t>
            </w:r>
          </w:p>
        </w:tc>
        <w:tc>
          <w:tcPr>
            <w:tcW w:w="1000" w:type="pct"/>
            <w:tcBorders>
              <w:top w:val="nil"/>
              <w:left w:val="nil"/>
              <w:bottom w:val="single" w:sz="4" w:space="0" w:color="auto"/>
              <w:right w:val="single" w:sz="4" w:space="0" w:color="auto"/>
            </w:tcBorders>
            <w:noWrap/>
            <w:vAlign w:val="bottom"/>
            <w:hideMark/>
          </w:tcPr>
          <w:p w14:paraId="4F8205D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0.000135481</w:t>
            </w:r>
          </w:p>
        </w:tc>
        <w:tc>
          <w:tcPr>
            <w:tcW w:w="1000" w:type="pct"/>
            <w:tcBorders>
              <w:top w:val="nil"/>
              <w:left w:val="nil"/>
              <w:bottom w:val="single" w:sz="4" w:space="0" w:color="auto"/>
              <w:right w:val="single" w:sz="8" w:space="0" w:color="auto"/>
            </w:tcBorders>
            <w:noWrap/>
            <w:vAlign w:val="bottom"/>
            <w:hideMark/>
          </w:tcPr>
          <w:p w14:paraId="4A27172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w:t>
            </w:r>
          </w:p>
        </w:tc>
      </w:tr>
      <w:tr w:rsidR="0086595D" w:rsidRPr="0086595D" w14:paraId="628D5475" w14:textId="77777777" w:rsidTr="0086595D">
        <w:trPr>
          <w:trHeight w:val="300"/>
        </w:trPr>
        <w:tc>
          <w:tcPr>
            <w:tcW w:w="3000" w:type="pct"/>
            <w:gridSpan w:val="3"/>
            <w:tcBorders>
              <w:top w:val="single" w:sz="4" w:space="0" w:color="auto"/>
              <w:left w:val="single" w:sz="8" w:space="0" w:color="auto"/>
              <w:bottom w:val="single" w:sz="4" w:space="0" w:color="auto"/>
              <w:right w:val="single" w:sz="4" w:space="0" w:color="auto"/>
            </w:tcBorders>
            <w:noWrap/>
            <w:vAlign w:val="bottom"/>
            <w:hideMark/>
          </w:tcPr>
          <w:p w14:paraId="0E2DB4AD"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Total Present Value</w:t>
            </w:r>
          </w:p>
        </w:tc>
        <w:tc>
          <w:tcPr>
            <w:tcW w:w="2000" w:type="pct"/>
            <w:gridSpan w:val="2"/>
            <w:tcBorders>
              <w:top w:val="single" w:sz="4" w:space="0" w:color="auto"/>
              <w:left w:val="nil"/>
              <w:bottom w:val="single" w:sz="4" w:space="0" w:color="auto"/>
              <w:right w:val="single" w:sz="8" w:space="0" w:color="000000"/>
            </w:tcBorders>
            <w:noWrap/>
            <w:vAlign w:val="bottom"/>
            <w:hideMark/>
          </w:tcPr>
          <w:p w14:paraId="0A7917A9"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0.985063469</w:t>
            </w:r>
          </w:p>
        </w:tc>
      </w:tr>
      <w:tr w:rsidR="0086595D" w:rsidRPr="0086595D" w14:paraId="07D748AA" w14:textId="77777777" w:rsidTr="0086595D">
        <w:trPr>
          <w:trHeight w:val="300"/>
        </w:trPr>
        <w:tc>
          <w:tcPr>
            <w:tcW w:w="4000" w:type="pct"/>
            <w:gridSpan w:val="4"/>
            <w:tcBorders>
              <w:top w:val="single" w:sz="4" w:space="0" w:color="auto"/>
              <w:left w:val="single" w:sz="8" w:space="0" w:color="auto"/>
              <w:bottom w:val="single" w:sz="4" w:space="0" w:color="auto"/>
              <w:right w:val="single" w:sz="4" w:space="0" w:color="auto"/>
            </w:tcBorders>
            <w:noWrap/>
            <w:vAlign w:val="bottom"/>
            <w:hideMark/>
          </w:tcPr>
          <w:p w14:paraId="62EDF0D5"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Payback Period</w:t>
            </w:r>
          </w:p>
        </w:tc>
        <w:tc>
          <w:tcPr>
            <w:tcW w:w="1000" w:type="pct"/>
            <w:tcBorders>
              <w:top w:val="nil"/>
              <w:left w:val="nil"/>
              <w:bottom w:val="single" w:sz="4" w:space="0" w:color="auto"/>
              <w:right w:val="single" w:sz="8" w:space="0" w:color="auto"/>
            </w:tcBorders>
            <w:noWrap/>
            <w:vAlign w:val="bottom"/>
            <w:hideMark/>
          </w:tcPr>
          <w:p w14:paraId="5D3CFD8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4.8</w:t>
            </w:r>
          </w:p>
        </w:tc>
      </w:tr>
      <w:tr w:rsidR="0086595D" w:rsidRPr="0086595D" w14:paraId="287F6B60" w14:textId="77777777" w:rsidTr="0086595D">
        <w:trPr>
          <w:trHeight w:val="300"/>
        </w:trPr>
        <w:tc>
          <w:tcPr>
            <w:tcW w:w="4000" w:type="pct"/>
            <w:gridSpan w:val="4"/>
            <w:tcBorders>
              <w:top w:val="single" w:sz="4" w:space="0" w:color="auto"/>
              <w:left w:val="single" w:sz="8" w:space="0" w:color="auto"/>
              <w:bottom w:val="single" w:sz="4" w:space="0" w:color="auto"/>
              <w:right w:val="single" w:sz="4" w:space="0" w:color="auto"/>
            </w:tcBorders>
            <w:noWrap/>
            <w:vAlign w:val="bottom"/>
            <w:hideMark/>
          </w:tcPr>
          <w:p w14:paraId="690B57B4"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Average Annual Profit</w:t>
            </w:r>
          </w:p>
        </w:tc>
        <w:tc>
          <w:tcPr>
            <w:tcW w:w="1000" w:type="pct"/>
            <w:tcBorders>
              <w:top w:val="nil"/>
              <w:left w:val="nil"/>
              <w:bottom w:val="single" w:sz="4" w:space="0" w:color="auto"/>
              <w:right w:val="single" w:sz="8" w:space="0" w:color="auto"/>
            </w:tcBorders>
            <w:noWrap/>
            <w:vAlign w:val="bottom"/>
            <w:hideMark/>
          </w:tcPr>
          <w:p w14:paraId="73308C3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10.8</w:t>
            </w:r>
          </w:p>
        </w:tc>
      </w:tr>
      <w:tr w:rsidR="0086595D" w:rsidRPr="0086595D" w14:paraId="4BF5613F" w14:textId="77777777" w:rsidTr="0086595D">
        <w:trPr>
          <w:trHeight w:val="300"/>
        </w:trPr>
        <w:tc>
          <w:tcPr>
            <w:tcW w:w="4000" w:type="pct"/>
            <w:gridSpan w:val="4"/>
            <w:tcBorders>
              <w:top w:val="single" w:sz="4" w:space="0" w:color="auto"/>
              <w:left w:val="single" w:sz="8" w:space="0" w:color="auto"/>
              <w:bottom w:val="single" w:sz="4" w:space="0" w:color="auto"/>
              <w:right w:val="single" w:sz="4" w:space="0" w:color="auto"/>
            </w:tcBorders>
            <w:noWrap/>
            <w:vAlign w:val="bottom"/>
            <w:hideMark/>
          </w:tcPr>
          <w:p w14:paraId="3B471C9D"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ARR</w:t>
            </w:r>
          </w:p>
        </w:tc>
        <w:tc>
          <w:tcPr>
            <w:tcW w:w="1000" w:type="pct"/>
            <w:tcBorders>
              <w:top w:val="nil"/>
              <w:left w:val="nil"/>
              <w:bottom w:val="single" w:sz="4" w:space="0" w:color="auto"/>
              <w:right w:val="single" w:sz="8" w:space="0" w:color="auto"/>
            </w:tcBorders>
            <w:noWrap/>
            <w:vAlign w:val="bottom"/>
            <w:hideMark/>
          </w:tcPr>
          <w:p w14:paraId="32218B9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21.6</w:t>
            </w:r>
          </w:p>
        </w:tc>
      </w:tr>
      <w:tr w:rsidR="0086595D" w:rsidRPr="0086595D" w14:paraId="28B8244D" w14:textId="77777777" w:rsidTr="0086595D">
        <w:trPr>
          <w:trHeight w:val="300"/>
        </w:trPr>
        <w:tc>
          <w:tcPr>
            <w:tcW w:w="4000" w:type="pct"/>
            <w:gridSpan w:val="4"/>
            <w:tcBorders>
              <w:top w:val="single" w:sz="4" w:space="0" w:color="auto"/>
              <w:left w:val="single" w:sz="8" w:space="0" w:color="auto"/>
              <w:bottom w:val="single" w:sz="4" w:space="0" w:color="auto"/>
              <w:right w:val="single" w:sz="4" w:space="0" w:color="auto"/>
            </w:tcBorders>
            <w:noWrap/>
            <w:vAlign w:val="bottom"/>
            <w:hideMark/>
          </w:tcPr>
          <w:p w14:paraId="1FA0809C"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NPV</w:t>
            </w:r>
          </w:p>
        </w:tc>
        <w:tc>
          <w:tcPr>
            <w:tcW w:w="1000" w:type="pct"/>
            <w:tcBorders>
              <w:top w:val="nil"/>
              <w:left w:val="nil"/>
              <w:bottom w:val="single" w:sz="4" w:space="0" w:color="auto"/>
              <w:right w:val="single" w:sz="8" w:space="0" w:color="auto"/>
            </w:tcBorders>
            <w:noWrap/>
            <w:vAlign w:val="bottom"/>
            <w:hideMark/>
          </w:tcPr>
          <w:p w14:paraId="6B72A88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FF0000"/>
                <w:lang w:val="en-GB" w:eastAsia="en-GB"/>
              </w:rPr>
              <w:t>($6.54)</w:t>
            </w:r>
          </w:p>
        </w:tc>
      </w:tr>
      <w:tr w:rsidR="0086595D" w:rsidRPr="0086595D" w14:paraId="01AC33E0" w14:textId="77777777" w:rsidTr="0086595D">
        <w:trPr>
          <w:trHeight w:val="300"/>
        </w:trPr>
        <w:tc>
          <w:tcPr>
            <w:tcW w:w="4000" w:type="pct"/>
            <w:gridSpan w:val="4"/>
            <w:tcBorders>
              <w:top w:val="single" w:sz="4" w:space="0" w:color="auto"/>
              <w:left w:val="single" w:sz="8" w:space="0" w:color="auto"/>
              <w:bottom w:val="single" w:sz="4" w:space="0" w:color="auto"/>
              <w:right w:val="single" w:sz="4" w:space="0" w:color="auto"/>
            </w:tcBorders>
            <w:noWrap/>
            <w:vAlign w:val="bottom"/>
            <w:hideMark/>
          </w:tcPr>
          <w:p w14:paraId="3B556F1F"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Profitability Index</w:t>
            </w:r>
          </w:p>
        </w:tc>
        <w:tc>
          <w:tcPr>
            <w:tcW w:w="1000" w:type="pct"/>
            <w:tcBorders>
              <w:top w:val="nil"/>
              <w:left w:val="nil"/>
              <w:bottom w:val="single" w:sz="4" w:space="0" w:color="auto"/>
              <w:right w:val="single" w:sz="8" w:space="0" w:color="auto"/>
            </w:tcBorders>
            <w:noWrap/>
            <w:vAlign w:val="bottom"/>
            <w:hideMark/>
          </w:tcPr>
          <w:p w14:paraId="5794C73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0.869118812</w:t>
            </w:r>
          </w:p>
        </w:tc>
      </w:tr>
      <w:tr w:rsidR="0086595D" w:rsidRPr="0086595D" w14:paraId="0082666D" w14:textId="77777777" w:rsidTr="0086595D">
        <w:trPr>
          <w:trHeight w:val="315"/>
        </w:trPr>
        <w:tc>
          <w:tcPr>
            <w:tcW w:w="4000" w:type="pct"/>
            <w:gridSpan w:val="4"/>
            <w:tcBorders>
              <w:top w:val="single" w:sz="4" w:space="0" w:color="auto"/>
              <w:left w:val="single" w:sz="8" w:space="0" w:color="auto"/>
              <w:bottom w:val="single" w:sz="8" w:space="0" w:color="auto"/>
              <w:right w:val="single" w:sz="4" w:space="0" w:color="auto"/>
            </w:tcBorders>
            <w:noWrap/>
            <w:vAlign w:val="bottom"/>
            <w:hideMark/>
          </w:tcPr>
          <w:p w14:paraId="464EBB24"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IRR</w:t>
            </w:r>
          </w:p>
        </w:tc>
        <w:tc>
          <w:tcPr>
            <w:tcW w:w="1000" w:type="pct"/>
            <w:tcBorders>
              <w:top w:val="nil"/>
              <w:left w:val="nil"/>
              <w:bottom w:val="single" w:sz="8" w:space="0" w:color="auto"/>
              <w:right w:val="single" w:sz="8" w:space="0" w:color="auto"/>
            </w:tcBorders>
            <w:noWrap/>
            <w:vAlign w:val="bottom"/>
            <w:hideMark/>
          </w:tcPr>
          <w:p w14:paraId="556E38B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w:t>
            </w:r>
          </w:p>
        </w:tc>
      </w:tr>
    </w:tbl>
    <w:p w14:paraId="5F5B7ACC" w14:textId="77777777" w:rsidR="0086595D" w:rsidRPr="0086595D" w:rsidRDefault="0086595D" w:rsidP="00755556">
      <w:pPr>
        <w:spacing w:line="360" w:lineRule="auto"/>
      </w:pPr>
    </w:p>
    <w:p w14:paraId="1481308F" w14:textId="34F80F4E" w:rsidR="0086595D" w:rsidRDefault="0086595D" w:rsidP="00755556">
      <w:pPr>
        <w:spacing w:line="360" w:lineRule="auto"/>
        <w:rPr>
          <w:b/>
        </w:rPr>
      </w:pPr>
      <w:r w:rsidRPr="0086595D">
        <w:rPr>
          <w:b/>
        </w:rPr>
        <w:t xml:space="preserve">Project </w:t>
      </w:r>
      <w:r>
        <w:rPr>
          <w:b/>
        </w:rPr>
        <w:t>B</w:t>
      </w:r>
    </w:p>
    <w:tbl>
      <w:tblPr>
        <w:tblW w:w="5000" w:type="pct"/>
        <w:tblLook w:val="04A0" w:firstRow="1" w:lastRow="0" w:firstColumn="1" w:lastColumn="0" w:noHBand="0" w:noVBand="1"/>
      </w:tblPr>
      <w:tblGrid>
        <w:gridCol w:w="3668"/>
        <w:gridCol w:w="754"/>
        <w:gridCol w:w="1501"/>
        <w:gridCol w:w="1582"/>
        <w:gridCol w:w="1501"/>
      </w:tblGrid>
      <w:tr w:rsidR="0086595D" w:rsidRPr="0086595D" w14:paraId="64117591" w14:textId="77777777" w:rsidTr="0086595D">
        <w:trPr>
          <w:trHeight w:val="600"/>
        </w:trPr>
        <w:tc>
          <w:tcPr>
            <w:tcW w:w="2222" w:type="pct"/>
            <w:tcBorders>
              <w:top w:val="single" w:sz="8" w:space="0" w:color="auto"/>
              <w:left w:val="single" w:sz="8" w:space="0" w:color="auto"/>
              <w:bottom w:val="single" w:sz="4" w:space="0" w:color="auto"/>
              <w:right w:val="single" w:sz="4" w:space="0" w:color="auto"/>
            </w:tcBorders>
            <w:vAlign w:val="center"/>
            <w:hideMark/>
          </w:tcPr>
          <w:p w14:paraId="1A258636"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Year</w:t>
            </w:r>
          </w:p>
        </w:tc>
        <w:tc>
          <w:tcPr>
            <w:tcW w:w="556" w:type="pct"/>
            <w:tcBorders>
              <w:top w:val="single" w:sz="8" w:space="0" w:color="auto"/>
              <w:left w:val="nil"/>
              <w:bottom w:val="single" w:sz="4" w:space="0" w:color="auto"/>
              <w:right w:val="single" w:sz="4" w:space="0" w:color="auto"/>
            </w:tcBorders>
            <w:vAlign w:val="center"/>
            <w:hideMark/>
          </w:tcPr>
          <w:p w14:paraId="2C9A7413"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Net Cash Flow (£m)</w:t>
            </w:r>
          </w:p>
        </w:tc>
        <w:tc>
          <w:tcPr>
            <w:tcW w:w="556" w:type="pct"/>
            <w:tcBorders>
              <w:top w:val="single" w:sz="8" w:space="0" w:color="auto"/>
              <w:left w:val="nil"/>
              <w:bottom w:val="single" w:sz="4" w:space="0" w:color="auto"/>
              <w:right w:val="single" w:sz="4" w:space="0" w:color="auto"/>
            </w:tcBorders>
            <w:vAlign w:val="center"/>
            <w:hideMark/>
          </w:tcPr>
          <w:p w14:paraId="3C63C80E"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Discount Factor (8%)</w:t>
            </w:r>
          </w:p>
        </w:tc>
        <w:tc>
          <w:tcPr>
            <w:tcW w:w="1111" w:type="pct"/>
            <w:tcBorders>
              <w:top w:val="single" w:sz="8" w:space="0" w:color="auto"/>
              <w:left w:val="nil"/>
              <w:bottom w:val="single" w:sz="4" w:space="0" w:color="auto"/>
              <w:right w:val="single" w:sz="4" w:space="0" w:color="auto"/>
            </w:tcBorders>
            <w:vAlign w:val="center"/>
            <w:hideMark/>
          </w:tcPr>
          <w:p w14:paraId="5AFEA20B"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Present Value (£m)</w:t>
            </w:r>
          </w:p>
        </w:tc>
        <w:tc>
          <w:tcPr>
            <w:tcW w:w="556" w:type="pct"/>
            <w:tcBorders>
              <w:top w:val="single" w:sz="8" w:space="0" w:color="auto"/>
              <w:left w:val="nil"/>
              <w:bottom w:val="single" w:sz="4" w:space="0" w:color="auto"/>
              <w:right w:val="single" w:sz="8" w:space="0" w:color="auto"/>
            </w:tcBorders>
            <w:vAlign w:val="center"/>
            <w:hideMark/>
          </w:tcPr>
          <w:p w14:paraId="759B5B7B"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Cumulative Cash Flow (£m)</w:t>
            </w:r>
          </w:p>
        </w:tc>
      </w:tr>
      <w:tr w:rsidR="0086595D" w:rsidRPr="0086595D" w14:paraId="14C07259" w14:textId="77777777" w:rsidTr="0086595D">
        <w:trPr>
          <w:trHeight w:val="300"/>
        </w:trPr>
        <w:tc>
          <w:tcPr>
            <w:tcW w:w="2222" w:type="pct"/>
            <w:tcBorders>
              <w:top w:val="nil"/>
              <w:left w:val="single" w:sz="8" w:space="0" w:color="auto"/>
              <w:bottom w:val="single" w:sz="4" w:space="0" w:color="auto"/>
              <w:right w:val="single" w:sz="4" w:space="0" w:color="auto"/>
            </w:tcBorders>
            <w:vAlign w:val="bottom"/>
            <w:hideMark/>
          </w:tcPr>
          <w:p w14:paraId="0CD82D7F"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0</w:t>
            </w:r>
          </w:p>
        </w:tc>
        <w:tc>
          <w:tcPr>
            <w:tcW w:w="556" w:type="pct"/>
            <w:tcBorders>
              <w:top w:val="nil"/>
              <w:left w:val="nil"/>
              <w:bottom w:val="single" w:sz="4" w:space="0" w:color="auto"/>
              <w:right w:val="single" w:sz="4" w:space="0" w:color="auto"/>
            </w:tcBorders>
            <w:vAlign w:val="bottom"/>
            <w:hideMark/>
          </w:tcPr>
          <w:p w14:paraId="5C56113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-50</w:t>
            </w:r>
          </w:p>
        </w:tc>
        <w:tc>
          <w:tcPr>
            <w:tcW w:w="556" w:type="pct"/>
            <w:tcBorders>
              <w:top w:val="nil"/>
              <w:left w:val="nil"/>
              <w:bottom w:val="single" w:sz="4" w:space="0" w:color="auto"/>
              <w:right w:val="single" w:sz="4" w:space="0" w:color="auto"/>
            </w:tcBorders>
            <w:vAlign w:val="bottom"/>
            <w:hideMark/>
          </w:tcPr>
          <w:p w14:paraId="6CE0428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w:t>
            </w:r>
          </w:p>
        </w:tc>
        <w:tc>
          <w:tcPr>
            <w:tcW w:w="1111" w:type="pct"/>
            <w:tcBorders>
              <w:top w:val="nil"/>
              <w:left w:val="nil"/>
              <w:bottom w:val="single" w:sz="4" w:space="0" w:color="auto"/>
              <w:right w:val="single" w:sz="4" w:space="0" w:color="auto"/>
            </w:tcBorders>
            <w:vAlign w:val="bottom"/>
            <w:hideMark/>
          </w:tcPr>
          <w:p w14:paraId="7265081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-50</w:t>
            </w:r>
          </w:p>
        </w:tc>
        <w:tc>
          <w:tcPr>
            <w:tcW w:w="556" w:type="pct"/>
            <w:tcBorders>
              <w:top w:val="nil"/>
              <w:left w:val="nil"/>
              <w:bottom w:val="single" w:sz="4" w:space="0" w:color="auto"/>
              <w:right w:val="single" w:sz="8" w:space="0" w:color="auto"/>
            </w:tcBorders>
            <w:vAlign w:val="bottom"/>
            <w:hideMark/>
          </w:tcPr>
          <w:p w14:paraId="28F3318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-50</w:t>
            </w:r>
          </w:p>
        </w:tc>
      </w:tr>
      <w:tr w:rsidR="0086595D" w:rsidRPr="0086595D" w14:paraId="00C8E11D" w14:textId="77777777" w:rsidTr="0086595D">
        <w:trPr>
          <w:trHeight w:val="300"/>
        </w:trPr>
        <w:tc>
          <w:tcPr>
            <w:tcW w:w="2222" w:type="pct"/>
            <w:tcBorders>
              <w:top w:val="nil"/>
              <w:left w:val="single" w:sz="8" w:space="0" w:color="auto"/>
              <w:bottom w:val="single" w:sz="4" w:space="0" w:color="auto"/>
              <w:right w:val="single" w:sz="4" w:space="0" w:color="auto"/>
            </w:tcBorders>
            <w:vAlign w:val="bottom"/>
            <w:hideMark/>
          </w:tcPr>
          <w:p w14:paraId="35EF736F"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1</w:t>
            </w:r>
          </w:p>
        </w:tc>
        <w:tc>
          <w:tcPr>
            <w:tcW w:w="556" w:type="pct"/>
            <w:tcBorders>
              <w:top w:val="nil"/>
              <w:left w:val="nil"/>
              <w:bottom w:val="single" w:sz="4" w:space="0" w:color="auto"/>
              <w:right w:val="single" w:sz="4" w:space="0" w:color="auto"/>
            </w:tcBorders>
            <w:vAlign w:val="bottom"/>
            <w:hideMark/>
          </w:tcPr>
          <w:p w14:paraId="3E2C3E8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w:t>
            </w:r>
          </w:p>
        </w:tc>
        <w:tc>
          <w:tcPr>
            <w:tcW w:w="556" w:type="pct"/>
            <w:tcBorders>
              <w:top w:val="nil"/>
              <w:left w:val="nil"/>
              <w:bottom w:val="single" w:sz="4" w:space="0" w:color="auto"/>
              <w:right w:val="single" w:sz="4" w:space="0" w:color="auto"/>
            </w:tcBorders>
            <w:vAlign w:val="bottom"/>
            <w:hideMark/>
          </w:tcPr>
          <w:p w14:paraId="42673BF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0.083333333</w:t>
            </w:r>
          </w:p>
        </w:tc>
        <w:tc>
          <w:tcPr>
            <w:tcW w:w="1111" w:type="pct"/>
            <w:tcBorders>
              <w:top w:val="nil"/>
              <w:left w:val="nil"/>
              <w:bottom w:val="single" w:sz="4" w:space="0" w:color="auto"/>
              <w:right w:val="single" w:sz="4" w:space="0" w:color="auto"/>
            </w:tcBorders>
            <w:vAlign w:val="bottom"/>
            <w:hideMark/>
          </w:tcPr>
          <w:p w14:paraId="0D73A5A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0.916666667</w:t>
            </w:r>
          </w:p>
        </w:tc>
        <w:tc>
          <w:tcPr>
            <w:tcW w:w="556" w:type="pct"/>
            <w:tcBorders>
              <w:top w:val="nil"/>
              <w:left w:val="nil"/>
              <w:bottom w:val="single" w:sz="4" w:space="0" w:color="auto"/>
              <w:right w:val="single" w:sz="8" w:space="0" w:color="auto"/>
            </w:tcBorders>
            <w:vAlign w:val="bottom"/>
            <w:hideMark/>
          </w:tcPr>
          <w:p w14:paraId="28A5EED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-39</w:t>
            </w:r>
          </w:p>
        </w:tc>
      </w:tr>
      <w:tr w:rsidR="0086595D" w:rsidRPr="0086595D" w14:paraId="41A815C8" w14:textId="77777777" w:rsidTr="0086595D">
        <w:trPr>
          <w:trHeight w:val="300"/>
        </w:trPr>
        <w:tc>
          <w:tcPr>
            <w:tcW w:w="2222" w:type="pct"/>
            <w:tcBorders>
              <w:top w:val="nil"/>
              <w:left w:val="single" w:sz="8" w:space="0" w:color="auto"/>
              <w:bottom w:val="single" w:sz="4" w:space="0" w:color="auto"/>
              <w:right w:val="single" w:sz="4" w:space="0" w:color="auto"/>
            </w:tcBorders>
            <w:vAlign w:val="bottom"/>
            <w:hideMark/>
          </w:tcPr>
          <w:p w14:paraId="3570C6B0"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2</w:t>
            </w:r>
          </w:p>
        </w:tc>
        <w:tc>
          <w:tcPr>
            <w:tcW w:w="556" w:type="pct"/>
            <w:tcBorders>
              <w:top w:val="nil"/>
              <w:left w:val="nil"/>
              <w:bottom w:val="single" w:sz="4" w:space="0" w:color="auto"/>
              <w:right w:val="single" w:sz="4" w:space="0" w:color="auto"/>
            </w:tcBorders>
            <w:vAlign w:val="bottom"/>
            <w:hideMark/>
          </w:tcPr>
          <w:p w14:paraId="42832DC6"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w:t>
            </w:r>
          </w:p>
        </w:tc>
        <w:tc>
          <w:tcPr>
            <w:tcW w:w="556" w:type="pct"/>
            <w:tcBorders>
              <w:top w:val="nil"/>
              <w:left w:val="nil"/>
              <w:bottom w:val="single" w:sz="4" w:space="0" w:color="auto"/>
              <w:right w:val="single" w:sz="4" w:space="0" w:color="auto"/>
            </w:tcBorders>
            <w:vAlign w:val="bottom"/>
            <w:hideMark/>
          </w:tcPr>
          <w:p w14:paraId="3D7FD01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0.006944444</w:t>
            </w:r>
          </w:p>
        </w:tc>
        <w:tc>
          <w:tcPr>
            <w:tcW w:w="1111" w:type="pct"/>
            <w:tcBorders>
              <w:top w:val="nil"/>
              <w:left w:val="nil"/>
              <w:bottom w:val="single" w:sz="4" w:space="0" w:color="auto"/>
              <w:right w:val="single" w:sz="4" w:space="0" w:color="auto"/>
            </w:tcBorders>
            <w:vAlign w:val="bottom"/>
            <w:hideMark/>
          </w:tcPr>
          <w:p w14:paraId="6B5E969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0.076388889</w:t>
            </w:r>
          </w:p>
        </w:tc>
        <w:tc>
          <w:tcPr>
            <w:tcW w:w="556" w:type="pct"/>
            <w:tcBorders>
              <w:top w:val="nil"/>
              <w:left w:val="nil"/>
              <w:bottom w:val="single" w:sz="4" w:space="0" w:color="auto"/>
              <w:right w:val="single" w:sz="8" w:space="0" w:color="auto"/>
            </w:tcBorders>
            <w:vAlign w:val="bottom"/>
            <w:hideMark/>
          </w:tcPr>
          <w:p w14:paraId="26C3D3F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-28</w:t>
            </w:r>
          </w:p>
        </w:tc>
      </w:tr>
      <w:tr w:rsidR="0086595D" w:rsidRPr="0086595D" w14:paraId="2BD645D8" w14:textId="77777777" w:rsidTr="0086595D">
        <w:trPr>
          <w:trHeight w:val="300"/>
        </w:trPr>
        <w:tc>
          <w:tcPr>
            <w:tcW w:w="2222" w:type="pct"/>
            <w:tcBorders>
              <w:top w:val="nil"/>
              <w:left w:val="single" w:sz="8" w:space="0" w:color="auto"/>
              <w:bottom w:val="single" w:sz="4" w:space="0" w:color="auto"/>
              <w:right w:val="single" w:sz="4" w:space="0" w:color="auto"/>
            </w:tcBorders>
            <w:vAlign w:val="bottom"/>
            <w:hideMark/>
          </w:tcPr>
          <w:p w14:paraId="68586C13"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3</w:t>
            </w:r>
          </w:p>
        </w:tc>
        <w:tc>
          <w:tcPr>
            <w:tcW w:w="556" w:type="pct"/>
            <w:tcBorders>
              <w:top w:val="nil"/>
              <w:left w:val="nil"/>
              <w:bottom w:val="single" w:sz="4" w:space="0" w:color="auto"/>
              <w:right w:val="single" w:sz="4" w:space="0" w:color="auto"/>
            </w:tcBorders>
            <w:vAlign w:val="bottom"/>
            <w:hideMark/>
          </w:tcPr>
          <w:p w14:paraId="23370D9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w:t>
            </w:r>
          </w:p>
        </w:tc>
        <w:tc>
          <w:tcPr>
            <w:tcW w:w="556" w:type="pct"/>
            <w:tcBorders>
              <w:top w:val="nil"/>
              <w:left w:val="nil"/>
              <w:bottom w:val="single" w:sz="4" w:space="0" w:color="auto"/>
              <w:right w:val="single" w:sz="4" w:space="0" w:color="auto"/>
            </w:tcBorders>
            <w:vAlign w:val="bottom"/>
            <w:hideMark/>
          </w:tcPr>
          <w:p w14:paraId="12120B6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0.000578704</w:t>
            </w:r>
          </w:p>
        </w:tc>
        <w:tc>
          <w:tcPr>
            <w:tcW w:w="1111" w:type="pct"/>
            <w:tcBorders>
              <w:top w:val="nil"/>
              <w:left w:val="nil"/>
              <w:bottom w:val="single" w:sz="4" w:space="0" w:color="auto"/>
              <w:right w:val="single" w:sz="4" w:space="0" w:color="auto"/>
            </w:tcBorders>
            <w:vAlign w:val="bottom"/>
            <w:hideMark/>
          </w:tcPr>
          <w:p w14:paraId="594CB10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0.006365741</w:t>
            </w:r>
          </w:p>
        </w:tc>
        <w:tc>
          <w:tcPr>
            <w:tcW w:w="556" w:type="pct"/>
            <w:tcBorders>
              <w:top w:val="nil"/>
              <w:left w:val="nil"/>
              <w:bottom w:val="single" w:sz="4" w:space="0" w:color="auto"/>
              <w:right w:val="single" w:sz="8" w:space="0" w:color="auto"/>
            </w:tcBorders>
            <w:vAlign w:val="bottom"/>
            <w:hideMark/>
          </w:tcPr>
          <w:p w14:paraId="6E2F68D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-17</w:t>
            </w:r>
          </w:p>
        </w:tc>
      </w:tr>
      <w:tr w:rsidR="0086595D" w:rsidRPr="0086595D" w14:paraId="64A31233" w14:textId="77777777" w:rsidTr="0086595D">
        <w:trPr>
          <w:trHeight w:val="300"/>
        </w:trPr>
        <w:tc>
          <w:tcPr>
            <w:tcW w:w="2222" w:type="pct"/>
            <w:tcBorders>
              <w:top w:val="nil"/>
              <w:left w:val="single" w:sz="8" w:space="0" w:color="auto"/>
              <w:bottom w:val="single" w:sz="4" w:space="0" w:color="auto"/>
              <w:right w:val="single" w:sz="4" w:space="0" w:color="auto"/>
            </w:tcBorders>
            <w:vAlign w:val="bottom"/>
            <w:hideMark/>
          </w:tcPr>
          <w:p w14:paraId="5642306E"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4</w:t>
            </w:r>
          </w:p>
        </w:tc>
        <w:tc>
          <w:tcPr>
            <w:tcW w:w="556" w:type="pct"/>
            <w:tcBorders>
              <w:top w:val="nil"/>
              <w:left w:val="nil"/>
              <w:bottom w:val="single" w:sz="4" w:space="0" w:color="auto"/>
              <w:right w:val="single" w:sz="4" w:space="0" w:color="auto"/>
            </w:tcBorders>
            <w:vAlign w:val="bottom"/>
            <w:hideMark/>
          </w:tcPr>
          <w:p w14:paraId="4448D84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w:t>
            </w:r>
          </w:p>
        </w:tc>
        <w:tc>
          <w:tcPr>
            <w:tcW w:w="556" w:type="pct"/>
            <w:tcBorders>
              <w:top w:val="nil"/>
              <w:left w:val="nil"/>
              <w:bottom w:val="single" w:sz="4" w:space="0" w:color="auto"/>
              <w:right w:val="single" w:sz="4" w:space="0" w:color="auto"/>
            </w:tcBorders>
            <w:vAlign w:val="bottom"/>
            <w:hideMark/>
          </w:tcPr>
          <w:p w14:paraId="399F1B3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4.82253E-05</w:t>
            </w:r>
          </w:p>
        </w:tc>
        <w:tc>
          <w:tcPr>
            <w:tcW w:w="1111" w:type="pct"/>
            <w:tcBorders>
              <w:top w:val="nil"/>
              <w:left w:val="nil"/>
              <w:bottom w:val="single" w:sz="4" w:space="0" w:color="auto"/>
              <w:right w:val="single" w:sz="4" w:space="0" w:color="auto"/>
            </w:tcBorders>
            <w:vAlign w:val="bottom"/>
            <w:hideMark/>
          </w:tcPr>
          <w:p w14:paraId="27E35ED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0.000530478</w:t>
            </w:r>
          </w:p>
        </w:tc>
        <w:tc>
          <w:tcPr>
            <w:tcW w:w="556" w:type="pct"/>
            <w:tcBorders>
              <w:top w:val="nil"/>
              <w:left w:val="nil"/>
              <w:bottom w:val="single" w:sz="4" w:space="0" w:color="auto"/>
              <w:right w:val="single" w:sz="8" w:space="0" w:color="auto"/>
            </w:tcBorders>
            <w:vAlign w:val="bottom"/>
            <w:hideMark/>
          </w:tcPr>
          <w:p w14:paraId="58B9A2B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-6</w:t>
            </w:r>
          </w:p>
        </w:tc>
      </w:tr>
      <w:tr w:rsidR="0086595D" w:rsidRPr="0086595D" w14:paraId="4180E370" w14:textId="77777777" w:rsidTr="0086595D">
        <w:trPr>
          <w:trHeight w:val="300"/>
        </w:trPr>
        <w:tc>
          <w:tcPr>
            <w:tcW w:w="2222" w:type="pct"/>
            <w:tcBorders>
              <w:top w:val="nil"/>
              <w:left w:val="single" w:sz="8" w:space="0" w:color="auto"/>
              <w:bottom w:val="single" w:sz="4" w:space="0" w:color="auto"/>
              <w:right w:val="single" w:sz="4" w:space="0" w:color="auto"/>
            </w:tcBorders>
            <w:vAlign w:val="bottom"/>
            <w:hideMark/>
          </w:tcPr>
          <w:p w14:paraId="5EFE2DAE"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5</w:t>
            </w:r>
          </w:p>
        </w:tc>
        <w:tc>
          <w:tcPr>
            <w:tcW w:w="556" w:type="pct"/>
            <w:tcBorders>
              <w:top w:val="nil"/>
              <w:left w:val="nil"/>
              <w:bottom w:val="single" w:sz="4" w:space="0" w:color="auto"/>
              <w:right w:val="single" w:sz="4" w:space="0" w:color="auto"/>
            </w:tcBorders>
            <w:vAlign w:val="bottom"/>
            <w:hideMark/>
          </w:tcPr>
          <w:p w14:paraId="582B4F6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w:t>
            </w:r>
          </w:p>
        </w:tc>
        <w:tc>
          <w:tcPr>
            <w:tcW w:w="556" w:type="pct"/>
            <w:tcBorders>
              <w:top w:val="nil"/>
              <w:left w:val="nil"/>
              <w:bottom w:val="single" w:sz="4" w:space="0" w:color="auto"/>
              <w:right w:val="single" w:sz="4" w:space="0" w:color="auto"/>
            </w:tcBorders>
            <w:vAlign w:val="bottom"/>
            <w:hideMark/>
          </w:tcPr>
          <w:p w14:paraId="1092823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4.01878E-06</w:t>
            </w:r>
          </w:p>
        </w:tc>
        <w:tc>
          <w:tcPr>
            <w:tcW w:w="1111" w:type="pct"/>
            <w:tcBorders>
              <w:top w:val="nil"/>
              <w:left w:val="nil"/>
              <w:bottom w:val="single" w:sz="4" w:space="0" w:color="auto"/>
              <w:right w:val="single" w:sz="4" w:space="0" w:color="auto"/>
            </w:tcBorders>
            <w:vAlign w:val="bottom"/>
            <w:hideMark/>
          </w:tcPr>
          <w:p w14:paraId="5F9ADA6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4.42065E-05</w:t>
            </w:r>
          </w:p>
        </w:tc>
        <w:tc>
          <w:tcPr>
            <w:tcW w:w="556" w:type="pct"/>
            <w:tcBorders>
              <w:top w:val="nil"/>
              <w:left w:val="nil"/>
              <w:bottom w:val="single" w:sz="4" w:space="0" w:color="auto"/>
              <w:right w:val="single" w:sz="8" w:space="0" w:color="auto"/>
            </w:tcBorders>
            <w:vAlign w:val="bottom"/>
            <w:hideMark/>
          </w:tcPr>
          <w:p w14:paraId="52B9EB3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w:t>
            </w:r>
          </w:p>
        </w:tc>
      </w:tr>
      <w:tr w:rsidR="0086595D" w:rsidRPr="0086595D" w14:paraId="32425EDC" w14:textId="77777777" w:rsidTr="0086595D">
        <w:trPr>
          <w:trHeight w:val="300"/>
        </w:trPr>
        <w:tc>
          <w:tcPr>
            <w:tcW w:w="3333" w:type="pct"/>
            <w:gridSpan w:val="3"/>
            <w:tcBorders>
              <w:top w:val="single" w:sz="4" w:space="0" w:color="auto"/>
              <w:left w:val="single" w:sz="8" w:space="0" w:color="auto"/>
              <w:bottom w:val="single" w:sz="4" w:space="0" w:color="auto"/>
              <w:right w:val="single" w:sz="4" w:space="0" w:color="auto"/>
            </w:tcBorders>
            <w:vAlign w:val="bottom"/>
            <w:hideMark/>
          </w:tcPr>
          <w:p w14:paraId="08A20659"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Total Present Value</w:t>
            </w:r>
          </w:p>
        </w:tc>
        <w:tc>
          <w:tcPr>
            <w:tcW w:w="1667" w:type="pct"/>
            <w:gridSpan w:val="2"/>
            <w:tcBorders>
              <w:top w:val="single" w:sz="4" w:space="0" w:color="auto"/>
              <w:left w:val="nil"/>
              <w:bottom w:val="single" w:sz="4" w:space="0" w:color="auto"/>
              <w:right w:val="single" w:sz="8" w:space="0" w:color="000000"/>
            </w:tcBorders>
            <w:vAlign w:val="bottom"/>
            <w:hideMark/>
          </w:tcPr>
          <w:p w14:paraId="4ADA42D2"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0.999995981</w:t>
            </w:r>
          </w:p>
        </w:tc>
      </w:tr>
      <w:tr w:rsidR="0086595D" w:rsidRPr="0086595D" w14:paraId="20ABD2F0" w14:textId="77777777" w:rsidTr="0086595D">
        <w:trPr>
          <w:trHeight w:val="300"/>
        </w:trPr>
        <w:tc>
          <w:tcPr>
            <w:tcW w:w="4444" w:type="pct"/>
            <w:gridSpan w:val="4"/>
            <w:tcBorders>
              <w:top w:val="single" w:sz="4" w:space="0" w:color="auto"/>
              <w:left w:val="single" w:sz="8" w:space="0" w:color="auto"/>
              <w:bottom w:val="single" w:sz="4" w:space="0" w:color="auto"/>
              <w:right w:val="single" w:sz="4" w:space="0" w:color="auto"/>
            </w:tcBorders>
            <w:vAlign w:val="bottom"/>
            <w:hideMark/>
          </w:tcPr>
          <w:p w14:paraId="373DFF54"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Payback Period</w:t>
            </w:r>
          </w:p>
        </w:tc>
        <w:tc>
          <w:tcPr>
            <w:tcW w:w="556" w:type="pct"/>
            <w:tcBorders>
              <w:top w:val="nil"/>
              <w:left w:val="nil"/>
              <w:bottom w:val="single" w:sz="4" w:space="0" w:color="auto"/>
              <w:right w:val="single" w:sz="8" w:space="0" w:color="auto"/>
            </w:tcBorders>
            <w:vAlign w:val="bottom"/>
            <w:hideMark/>
          </w:tcPr>
          <w:p w14:paraId="6079187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w:t>
            </w:r>
          </w:p>
        </w:tc>
      </w:tr>
      <w:tr w:rsidR="0086595D" w:rsidRPr="0086595D" w14:paraId="7D8FEE14" w14:textId="77777777" w:rsidTr="0086595D">
        <w:trPr>
          <w:trHeight w:val="300"/>
        </w:trPr>
        <w:tc>
          <w:tcPr>
            <w:tcW w:w="4444" w:type="pct"/>
            <w:gridSpan w:val="4"/>
            <w:tcBorders>
              <w:top w:val="single" w:sz="4" w:space="0" w:color="auto"/>
              <w:left w:val="single" w:sz="8" w:space="0" w:color="auto"/>
              <w:bottom w:val="single" w:sz="4" w:space="0" w:color="auto"/>
              <w:right w:val="single" w:sz="4" w:space="0" w:color="auto"/>
            </w:tcBorders>
            <w:vAlign w:val="bottom"/>
            <w:hideMark/>
          </w:tcPr>
          <w:p w14:paraId="7AC80EE3"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Average Annual Profit</w:t>
            </w:r>
          </w:p>
        </w:tc>
        <w:tc>
          <w:tcPr>
            <w:tcW w:w="556" w:type="pct"/>
            <w:tcBorders>
              <w:top w:val="nil"/>
              <w:left w:val="nil"/>
              <w:bottom w:val="single" w:sz="4" w:space="0" w:color="auto"/>
              <w:right w:val="single" w:sz="8" w:space="0" w:color="auto"/>
            </w:tcBorders>
            <w:vAlign w:val="bottom"/>
            <w:hideMark/>
          </w:tcPr>
          <w:p w14:paraId="67F0022A"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11</w:t>
            </w:r>
          </w:p>
        </w:tc>
      </w:tr>
      <w:tr w:rsidR="0086595D" w:rsidRPr="0086595D" w14:paraId="51878762" w14:textId="77777777" w:rsidTr="0086595D">
        <w:trPr>
          <w:trHeight w:val="300"/>
        </w:trPr>
        <w:tc>
          <w:tcPr>
            <w:tcW w:w="4444" w:type="pct"/>
            <w:gridSpan w:val="4"/>
            <w:tcBorders>
              <w:top w:val="single" w:sz="4" w:space="0" w:color="auto"/>
              <w:left w:val="single" w:sz="8" w:space="0" w:color="auto"/>
              <w:bottom w:val="single" w:sz="4" w:space="0" w:color="auto"/>
              <w:right w:val="single" w:sz="4" w:space="0" w:color="auto"/>
            </w:tcBorders>
            <w:vAlign w:val="bottom"/>
            <w:hideMark/>
          </w:tcPr>
          <w:p w14:paraId="15AD79E4"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ARR</w:t>
            </w:r>
          </w:p>
        </w:tc>
        <w:tc>
          <w:tcPr>
            <w:tcW w:w="556" w:type="pct"/>
            <w:tcBorders>
              <w:top w:val="nil"/>
              <w:left w:val="nil"/>
              <w:bottom w:val="single" w:sz="4" w:space="0" w:color="auto"/>
              <w:right w:val="single" w:sz="8" w:space="0" w:color="auto"/>
            </w:tcBorders>
            <w:vAlign w:val="bottom"/>
            <w:hideMark/>
          </w:tcPr>
          <w:p w14:paraId="3B29E6C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22</w:t>
            </w:r>
          </w:p>
        </w:tc>
      </w:tr>
      <w:tr w:rsidR="0086595D" w:rsidRPr="0086595D" w14:paraId="5D98EF51" w14:textId="77777777" w:rsidTr="0086595D">
        <w:trPr>
          <w:trHeight w:val="300"/>
        </w:trPr>
        <w:tc>
          <w:tcPr>
            <w:tcW w:w="4444" w:type="pct"/>
            <w:gridSpan w:val="4"/>
            <w:tcBorders>
              <w:top w:val="single" w:sz="4" w:space="0" w:color="auto"/>
              <w:left w:val="single" w:sz="8" w:space="0" w:color="auto"/>
              <w:bottom w:val="single" w:sz="4" w:space="0" w:color="auto"/>
              <w:right w:val="single" w:sz="4" w:space="0" w:color="auto"/>
            </w:tcBorders>
            <w:vAlign w:val="bottom"/>
            <w:hideMark/>
          </w:tcPr>
          <w:p w14:paraId="576196B0"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NPV</w:t>
            </w:r>
          </w:p>
        </w:tc>
        <w:tc>
          <w:tcPr>
            <w:tcW w:w="556" w:type="pct"/>
            <w:tcBorders>
              <w:top w:val="nil"/>
              <w:left w:val="nil"/>
              <w:bottom w:val="single" w:sz="4" w:space="0" w:color="auto"/>
              <w:right w:val="single" w:sz="8" w:space="0" w:color="auto"/>
            </w:tcBorders>
            <w:vAlign w:val="bottom"/>
            <w:hideMark/>
          </w:tcPr>
          <w:p w14:paraId="55DEC0D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FF0000"/>
                <w:lang w:val="en-GB" w:eastAsia="en-GB"/>
              </w:rPr>
              <w:t>($6.08)</w:t>
            </w:r>
          </w:p>
        </w:tc>
      </w:tr>
      <w:tr w:rsidR="0086595D" w:rsidRPr="0086595D" w14:paraId="7D7F34CF" w14:textId="77777777" w:rsidTr="0086595D">
        <w:trPr>
          <w:trHeight w:val="300"/>
        </w:trPr>
        <w:tc>
          <w:tcPr>
            <w:tcW w:w="4444" w:type="pct"/>
            <w:gridSpan w:val="4"/>
            <w:tcBorders>
              <w:top w:val="single" w:sz="4" w:space="0" w:color="auto"/>
              <w:left w:val="single" w:sz="8" w:space="0" w:color="auto"/>
              <w:bottom w:val="single" w:sz="4" w:space="0" w:color="auto"/>
              <w:right w:val="single" w:sz="4" w:space="0" w:color="auto"/>
            </w:tcBorders>
            <w:vAlign w:val="bottom"/>
            <w:hideMark/>
          </w:tcPr>
          <w:p w14:paraId="4F21CFE4"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lastRenderedPageBreak/>
              <w:t>Profitability Index</w:t>
            </w:r>
          </w:p>
        </w:tc>
        <w:tc>
          <w:tcPr>
            <w:tcW w:w="556" w:type="pct"/>
            <w:tcBorders>
              <w:top w:val="nil"/>
              <w:left w:val="nil"/>
              <w:bottom w:val="single" w:sz="4" w:space="0" w:color="auto"/>
              <w:right w:val="single" w:sz="8" w:space="0" w:color="auto"/>
            </w:tcBorders>
            <w:vAlign w:val="bottom"/>
            <w:hideMark/>
          </w:tcPr>
          <w:p w14:paraId="5F31330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0.878396208</w:t>
            </w:r>
          </w:p>
        </w:tc>
      </w:tr>
      <w:tr w:rsidR="0086595D" w:rsidRPr="0086595D" w14:paraId="5CD7454B" w14:textId="77777777" w:rsidTr="0086595D">
        <w:trPr>
          <w:trHeight w:val="315"/>
        </w:trPr>
        <w:tc>
          <w:tcPr>
            <w:tcW w:w="4444" w:type="pct"/>
            <w:gridSpan w:val="4"/>
            <w:tcBorders>
              <w:top w:val="single" w:sz="4" w:space="0" w:color="auto"/>
              <w:left w:val="single" w:sz="8" w:space="0" w:color="auto"/>
              <w:bottom w:val="single" w:sz="8" w:space="0" w:color="auto"/>
              <w:right w:val="single" w:sz="4" w:space="0" w:color="auto"/>
            </w:tcBorders>
            <w:vAlign w:val="bottom"/>
            <w:hideMark/>
          </w:tcPr>
          <w:p w14:paraId="1419DBEB"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IRR</w:t>
            </w:r>
          </w:p>
        </w:tc>
        <w:tc>
          <w:tcPr>
            <w:tcW w:w="556" w:type="pct"/>
            <w:tcBorders>
              <w:top w:val="nil"/>
              <w:left w:val="nil"/>
              <w:bottom w:val="single" w:sz="8" w:space="0" w:color="auto"/>
              <w:right w:val="single" w:sz="8" w:space="0" w:color="auto"/>
            </w:tcBorders>
            <w:vAlign w:val="bottom"/>
            <w:hideMark/>
          </w:tcPr>
          <w:p w14:paraId="3F167D72"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w:t>
            </w:r>
          </w:p>
        </w:tc>
      </w:tr>
    </w:tbl>
    <w:p w14:paraId="2B700438" w14:textId="77777777" w:rsidR="0086595D" w:rsidRPr="0086595D" w:rsidRDefault="0086595D" w:rsidP="00755556">
      <w:pPr>
        <w:spacing w:line="360" w:lineRule="auto"/>
        <w:rPr>
          <w:b/>
        </w:rPr>
      </w:pPr>
    </w:p>
    <w:p w14:paraId="09F732AF" w14:textId="45FD9CCE" w:rsidR="0086595D" w:rsidRPr="0086595D" w:rsidRDefault="0086595D" w:rsidP="00755556">
      <w:pPr>
        <w:spacing w:line="360" w:lineRule="auto"/>
        <w:rPr>
          <w:b/>
        </w:rPr>
      </w:pPr>
      <w:r w:rsidRPr="0086595D">
        <w:rPr>
          <w:b/>
        </w:rPr>
        <w:t xml:space="preserve">Project </w:t>
      </w:r>
      <w:r>
        <w:rPr>
          <w:b/>
        </w:rPr>
        <w:t>C</w:t>
      </w:r>
    </w:p>
    <w:tbl>
      <w:tblPr>
        <w:tblW w:w="5000" w:type="pct"/>
        <w:tblLook w:val="04A0" w:firstRow="1" w:lastRow="0" w:firstColumn="1" w:lastColumn="0" w:noHBand="0" w:noVBand="1"/>
      </w:tblPr>
      <w:tblGrid>
        <w:gridCol w:w="1802"/>
        <w:gridCol w:w="1801"/>
        <w:gridCol w:w="1801"/>
        <w:gridCol w:w="1801"/>
        <w:gridCol w:w="1801"/>
      </w:tblGrid>
      <w:tr w:rsidR="0086595D" w:rsidRPr="0086595D" w14:paraId="520EE468" w14:textId="77777777" w:rsidTr="0086595D">
        <w:trPr>
          <w:trHeight w:val="600"/>
        </w:trPr>
        <w:tc>
          <w:tcPr>
            <w:tcW w:w="1000" w:type="pct"/>
            <w:tcBorders>
              <w:top w:val="single" w:sz="8" w:space="0" w:color="auto"/>
              <w:left w:val="single" w:sz="8" w:space="0" w:color="auto"/>
              <w:bottom w:val="single" w:sz="4" w:space="0" w:color="auto"/>
              <w:right w:val="single" w:sz="4" w:space="0" w:color="auto"/>
            </w:tcBorders>
            <w:vAlign w:val="center"/>
            <w:hideMark/>
          </w:tcPr>
          <w:p w14:paraId="46FD8970"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Year</w:t>
            </w:r>
          </w:p>
        </w:tc>
        <w:tc>
          <w:tcPr>
            <w:tcW w:w="1000" w:type="pct"/>
            <w:tcBorders>
              <w:top w:val="single" w:sz="8" w:space="0" w:color="auto"/>
              <w:left w:val="nil"/>
              <w:bottom w:val="single" w:sz="4" w:space="0" w:color="auto"/>
              <w:right w:val="single" w:sz="4" w:space="0" w:color="auto"/>
            </w:tcBorders>
            <w:vAlign w:val="center"/>
            <w:hideMark/>
          </w:tcPr>
          <w:p w14:paraId="078E62CF"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Net Cash Flow (£m)</w:t>
            </w:r>
          </w:p>
        </w:tc>
        <w:tc>
          <w:tcPr>
            <w:tcW w:w="1000" w:type="pct"/>
            <w:tcBorders>
              <w:top w:val="single" w:sz="8" w:space="0" w:color="auto"/>
              <w:left w:val="nil"/>
              <w:bottom w:val="single" w:sz="4" w:space="0" w:color="auto"/>
              <w:right w:val="single" w:sz="4" w:space="0" w:color="auto"/>
            </w:tcBorders>
            <w:vAlign w:val="center"/>
            <w:hideMark/>
          </w:tcPr>
          <w:p w14:paraId="7C715FDC"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Discount Factor (8%)</w:t>
            </w:r>
          </w:p>
        </w:tc>
        <w:tc>
          <w:tcPr>
            <w:tcW w:w="1000" w:type="pct"/>
            <w:tcBorders>
              <w:top w:val="single" w:sz="8" w:space="0" w:color="auto"/>
              <w:left w:val="nil"/>
              <w:bottom w:val="single" w:sz="4" w:space="0" w:color="auto"/>
              <w:right w:val="single" w:sz="4" w:space="0" w:color="auto"/>
            </w:tcBorders>
            <w:vAlign w:val="center"/>
            <w:hideMark/>
          </w:tcPr>
          <w:p w14:paraId="247771C3"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Present Value (£m)</w:t>
            </w:r>
          </w:p>
        </w:tc>
        <w:tc>
          <w:tcPr>
            <w:tcW w:w="1000" w:type="pct"/>
            <w:tcBorders>
              <w:top w:val="single" w:sz="8" w:space="0" w:color="auto"/>
              <w:left w:val="nil"/>
              <w:bottom w:val="single" w:sz="4" w:space="0" w:color="auto"/>
              <w:right w:val="single" w:sz="8" w:space="0" w:color="auto"/>
            </w:tcBorders>
            <w:vAlign w:val="center"/>
            <w:hideMark/>
          </w:tcPr>
          <w:p w14:paraId="1553FC9E" w14:textId="77777777" w:rsidR="0086595D" w:rsidRPr="0086595D" w:rsidRDefault="0086595D" w:rsidP="00755556">
            <w:pPr>
              <w:spacing w:line="360" w:lineRule="auto"/>
              <w:jc w:val="center"/>
              <w:rPr>
                <w:rFonts w:eastAsia="Times New Roman"/>
                <w:b/>
                <w:bCs/>
                <w:i/>
                <w:iCs/>
                <w:color w:val="000000"/>
                <w:lang w:val="en-GB" w:eastAsia="en-GB"/>
              </w:rPr>
            </w:pPr>
            <w:r w:rsidRPr="0086595D">
              <w:rPr>
                <w:rFonts w:eastAsia="Times New Roman"/>
                <w:b/>
                <w:bCs/>
                <w:i/>
                <w:iCs/>
                <w:color w:val="000000"/>
                <w:lang w:val="en-GB" w:eastAsia="en-GB"/>
              </w:rPr>
              <w:t>Cumulative Cash Flow (£m)</w:t>
            </w:r>
          </w:p>
        </w:tc>
      </w:tr>
      <w:tr w:rsidR="0086595D" w:rsidRPr="0086595D" w14:paraId="0BF558AC"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205D4DAA"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0</w:t>
            </w:r>
          </w:p>
        </w:tc>
        <w:tc>
          <w:tcPr>
            <w:tcW w:w="1000" w:type="pct"/>
            <w:tcBorders>
              <w:top w:val="nil"/>
              <w:left w:val="nil"/>
              <w:bottom w:val="single" w:sz="4" w:space="0" w:color="auto"/>
              <w:right w:val="single" w:sz="4" w:space="0" w:color="auto"/>
            </w:tcBorders>
            <w:noWrap/>
            <w:vAlign w:val="bottom"/>
            <w:hideMark/>
          </w:tcPr>
          <w:p w14:paraId="36792B1B"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-50</w:t>
            </w:r>
          </w:p>
        </w:tc>
        <w:tc>
          <w:tcPr>
            <w:tcW w:w="1000" w:type="pct"/>
            <w:tcBorders>
              <w:top w:val="nil"/>
              <w:left w:val="nil"/>
              <w:bottom w:val="single" w:sz="4" w:space="0" w:color="auto"/>
              <w:right w:val="single" w:sz="4" w:space="0" w:color="auto"/>
            </w:tcBorders>
            <w:noWrap/>
            <w:vAlign w:val="bottom"/>
            <w:hideMark/>
          </w:tcPr>
          <w:p w14:paraId="6177751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w:t>
            </w:r>
          </w:p>
        </w:tc>
        <w:tc>
          <w:tcPr>
            <w:tcW w:w="1000" w:type="pct"/>
            <w:tcBorders>
              <w:top w:val="nil"/>
              <w:left w:val="nil"/>
              <w:bottom w:val="single" w:sz="4" w:space="0" w:color="auto"/>
              <w:right w:val="single" w:sz="4" w:space="0" w:color="auto"/>
            </w:tcBorders>
            <w:noWrap/>
            <w:vAlign w:val="bottom"/>
            <w:hideMark/>
          </w:tcPr>
          <w:p w14:paraId="3ED2C0E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-50</w:t>
            </w:r>
          </w:p>
        </w:tc>
        <w:tc>
          <w:tcPr>
            <w:tcW w:w="1000" w:type="pct"/>
            <w:tcBorders>
              <w:top w:val="nil"/>
              <w:left w:val="nil"/>
              <w:bottom w:val="single" w:sz="4" w:space="0" w:color="auto"/>
              <w:right w:val="single" w:sz="8" w:space="0" w:color="auto"/>
            </w:tcBorders>
            <w:noWrap/>
            <w:vAlign w:val="bottom"/>
            <w:hideMark/>
          </w:tcPr>
          <w:p w14:paraId="363E37F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-50</w:t>
            </w:r>
          </w:p>
        </w:tc>
      </w:tr>
      <w:tr w:rsidR="0086595D" w:rsidRPr="0086595D" w14:paraId="3F4886D8"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5E576778"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1</w:t>
            </w:r>
          </w:p>
        </w:tc>
        <w:tc>
          <w:tcPr>
            <w:tcW w:w="1000" w:type="pct"/>
            <w:tcBorders>
              <w:top w:val="nil"/>
              <w:left w:val="nil"/>
              <w:bottom w:val="single" w:sz="4" w:space="0" w:color="auto"/>
              <w:right w:val="single" w:sz="4" w:space="0" w:color="auto"/>
            </w:tcBorders>
            <w:noWrap/>
            <w:vAlign w:val="bottom"/>
            <w:hideMark/>
          </w:tcPr>
          <w:p w14:paraId="5A294E2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w:t>
            </w:r>
          </w:p>
        </w:tc>
        <w:tc>
          <w:tcPr>
            <w:tcW w:w="1000" w:type="pct"/>
            <w:tcBorders>
              <w:top w:val="nil"/>
              <w:left w:val="nil"/>
              <w:bottom w:val="single" w:sz="4" w:space="0" w:color="auto"/>
              <w:right w:val="single" w:sz="4" w:space="0" w:color="auto"/>
            </w:tcBorders>
            <w:noWrap/>
            <w:vAlign w:val="bottom"/>
            <w:hideMark/>
          </w:tcPr>
          <w:p w14:paraId="7DA7BC5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0.166666667</w:t>
            </w:r>
          </w:p>
        </w:tc>
        <w:tc>
          <w:tcPr>
            <w:tcW w:w="1000" w:type="pct"/>
            <w:tcBorders>
              <w:top w:val="nil"/>
              <w:left w:val="nil"/>
              <w:bottom w:val="single" w:sz="4" w:space="0" w:color="auto"/>
              <w:right w:val="single" w:sz="4" w:space="0" w:color="auto"/>
            </w:tcBorders>
            <w:noWrap/>
            <w:vAlign w:val="bottom"/>
            <w:hideMark/>
          </w:tcPr>
          <w:p w14:paraId="26F0C90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0.833333333</w:t>
            </w:r>
          </w:p>
        </w:tc>
        <w:tc>
          <w:tcPr>
            <w:tcW w:w="1000" w:type="pct"/>
            <w:tcBorders>
              <w:top w:val="nil"/>
              <w:left w:val="nil"/>
              <w:bottom w:val="single" w:sz="4" w:space="0" w:color="auto"/>
              <w:right w:val="single" w:sz="8" w:space="0" w:color="auto"/>
            </w:tcBorders>
            <w:noWrap/>
            <w:vAlign w:val="bottom"/>
            <w:hideMark/>
          </w:tcPr>
          <w:p w14:paraId="7E5C8ADF"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-45</w:t>
            </w:r>
          </w:p>
        </w:tc>
      </w:tr>
      <w:tr w:rsidR="0086595D" w:rsidRPr="0086595D" w14:paraId="31213B4D"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5C69F3CB"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2</w:t>
            </w:r>
          </w:p>
        </w:tc>
        <w:tc>
          <w:tcPr>
            <w:tcW w:w="1000" w:type="pct"/>
            <w:tcBorders>
              <w:top w:val="nil"/>
              <w:left w:val="nil"/>
              <w:bottom w:val="single" w:sz="4" w:space="0" w:color="auto"/>
              <w:right w:val="single" w:sz="4" w:space="0" w:color="auto"/>
            </w:tcBorders>
            <w:noWrap/>
            <w:vAlign w:val="bottom"/>
            <w:hideMark/>
          </w:tcPr>
          <w:p w14:paraId="67BA9F1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w:t>
            </w:r>
          </w:p>
        </w:tc>
        <w:tc>
          <w:tcPr>
            <w:tcW w:w="1000" w:type="pct"/>
            <w:tcBorders>
              <w:top w:val="nil"/>
              <w:left w:val="nil"/>
              <w:bottom w:val="single" w:sz="4" w:space="0" w:color="auto"/>
              <w:right w:val="single" w:sz="4" w:space="0" w:color="auto"/>
            </w:tcBorders>
            <w:noWrap/>
            <w:vAlign w:val="bottom"/>
            <w:hideMark/>
          </w:tcPr>
          <w:p w14:paraId="7D76283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0.008264463</w:t>
            </w:r>
          </w:p>
        </w:tc>
        <w:tc>
          <w:tcPr>
            <w:tcW w:w="1000" w:type="pct"/>
            <w:tcBorders>
              <w:top w:val="nil"/>
              <w:left w:val="nil"/>
              <w:bottom w:val="single" w:sz="4" w:space="0" w:color="auto"/>
              <w:right w:val="single" w:sz="4" w:space="0" w:color="auto"/>
            </w:tcBorders>
            <w:noWrap/>
            <w:vAlign w:val="bottom"/>
            <w:hideMark/>
          </w:tcPr>
          <w:p w14:paraId="38F1D7A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0.082644628</w:t>
            </w:r>
          </w:p>
        </w:tc>
        <w:tc>
          <w:tcPr>
            <w:tcW w:w="1000" w:type="pct"/>
            <w:tcBorders>
              <w:top w:val="nil"/>
              <w:left w:val="nil"/>
              <w:bottom w:val="single" w:sz="4" w:space="0" w:color="auto"/>
              <w:right w:val="single" w:sz="8" w:space="0" w:color="auto"/>
            </w:tcBorders>
            <w:noWrap/>
            <w:vAlign w:val="bottom"/>
            <w:hideMark/>
          </w:tcPr>
          <w:p w14:paraId="30EA8C9D"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-35</w:t>
            </w:r>
          </w:p>
        </w:tc>
      </w:tr>
      <w:tr w:rsidR="0086595D" w:rsidRPr="0086595D" w14:paraId="013436E2"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62ECD1C3"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3</w:t>
            </w:r>
          </w:p>
        </w:tc>
        <w:tc>
          <w:tcPr>
            <w:tcW w:w="1000" w:type="pct"/>
            <w:tcBorders>
              <w:top w:val="nil"/>
              <w:left w:val="nil"/>
              <w:bottom w:val="single" w:sz="4" w:space="0" w:color="auto"/>
              <w:right w:val="single" w:sz="4" w:space="0" w:color="auto"/>
            </w:tcBorders>
            <w:noWrap/>
            <w:vAlign w:val="bottom"/>
            <w:hideMark/>
          </w:tcPr>
          <w:p w14:paraId="3238090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20</w:t>
            </w:r>
          </w:p>
        </w:tc>
        <w:tc>
          <w:tcPr>
            <w:tcW w:w="1000" w:type="pct"/>
            <w:tcBorders>
              <w:top w:val="nil"/>
              <w:left w:val="nil"/>
              <w:bottom w:val="single" w:sz="4" w:space="0" w:color="auto"/>
              <w:right w:val="single" w:sz="4" w:space="0" w:color="auto"/>
            </w:tcBorders>
            <w:noWrap/>
            <w:vAlign w:val="bottom"/>
            <w:hideMark/>
          </w:tcPr>
          <w:p w14:paraId="2ABFD7B8"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0.00010798</w:t>
            </w:r>
          </w:p>
        </w:tc>
        <w:tc>
          <w:tcPr>
            <w:tcW w:w="1000" w:type="pct"/>
            <w:tcBorders>
              <w:top w:val="nil"/>
              <w:left w:val="nil"/>
              <w:bottom w:val="single" w:sz="4" w:space="0" w:color="auto"/>
              <w:right w:val="single" w:sz="4" w:space="0" w:color="auto"/>
            </w:tcBorders>
            <w:noWrap/>
            <w:vAlign w:val="bottom"/>
            <w:hideMark/>
          </w:tcPr>
          <w:p w14:paraId="1CC376D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0.002159594</w:t>
            </w:r>
          </w:p>
        </w:tc>
        <w:tc>
          <w:tcPr>
            <w:tcW w:w="1000" w:type="pct"/>
            <w:tcBorders>
              <w:top w:val="nil"/>
              <w:left w:val="nil"/>
              <w:bottom w:val="single" w:sz="4" w:space="0" w:color="auto"/>
              <w:right w:val="single" w:sz="8" w:space="0" w:color="auto"/>
            </w:tcBorders>
            <w:noWrap/>
            <w:vAlign w:val="bottom"/>
            <w:hideMark/>
          </w:tcPr>
          <w:p w14:paraId="11B2535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w:t>
            </w:r>
          </w:p>
        </w:tc>
      </w:tr>
      <w:tr w:rsidR="0086595D" w:rsidRPr="0086595D" w14:paraId="6B4BB7FE"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4B2A1C65"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4</w:t>
            </w:r>
          </w:p>
        </w:tc>
        <w:tc>
          <w:tcPr>
            <w:tcW w:w="1000" w:type="pct"/>
            <w:tcBorders>
              <w:top w:val="nil"/>
              <w:left w:val="nil"/>
              <w:bottom w:val="single" w:sz="4" w:space="0" w:color="auto"/>
              <w:right w:val="single" w:sz="4" w:space="0" w:color="auto"/>
            </w:tcBorders>
            <w:noWrap/>
            <w:vAlign w:val="bottom"/>
            <w:hideMark/>
          </w:tcPr>
          <w:p w14:paraId="2990338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25</w:t>
            </w:r>
          </w:p>
        </w:tc>
        <w:tc>
          <w:tcPr>
            <w:tcW w:w="1000" w:type="pct"/>
            <w:tcBorders>
              <w:top w:val="nil"/>
              <w:left w:val="nil"/>
              <w:bottom w:val="single" w:sz="4" w:space="0" w:color="auto"/>
              <w:right w:val="single" w:sz="4" w:space="0" w:color="auto"/>
            </w:tcBorders>
            <w:noWrap/>
            <w:vAlign w:val="bottom"/>
            <w:hideMark/>
          </w:tcPr>
          <w:p w14:paraId="1C165389"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2.1883E-06</w:t>
            </w:r>
          </w:p>
        </w:tc>
        <w:tc>
          <w:tcPr>
            <w:tcW w:w="1000" w:type="pct"/>
            <w:tcBorders>
              <w:top w:val="nil"/>
              <w:left w:val="nil"/>
              <w:bottom w:val="single" w:sz="4" w:space="0" w:color="auto"/>
              <w:right w:val="single" w:sz="4" w:space="0" w:color="auto"/>
            </w:tcBorders>
            <w:noWrap/>
            <w:vAlign w:val="bottom"/>
            <w:hideMark/>
          </w:tcPr>
          <w:p w14:paraId="1F8F61CC"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5.47075E-05</w:t>
            </w:r>
          </w:p>
        </w:tc>
        <w:tc>
          <w:tcPr>
            <w:tcW w:w="1000" w:type="pct"/>
            <w:tcBorders>
              <w:top w:val="nil"/>
              <w:left w:val="nil"/>
              <w:bottom w:val="single" w:sz="4" w:space="0" w:color="auto"/>
              <w:right w:val="single" w:sz="8" w:space="0" w:color="auto"/>
            </w:tcBorders>
            <w:noWrap/>
            <w:vAlign w:val="bottom"/>
            <w:hideMark/>
          </w:tcPr>
          <w:p w14:paraId="5AA79D55"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w:t>
            </w:r>
          </w:p>
        </w:tc>
      </w:tr>
      <w:tr w:rsidR="0086595D" w:rsidRPr="0086595D" w14:paraId="061AE1F2" w14:textId="77777777" w:rsidTr="0086595D">
        <w:trPr>
          <w:trHeight w:val="300"/>
        </w:trPr>
        <w:tc>
          <w:tcPr>
            <w:tcW w:w="1000" w:type="pct"/>
            <w:tcBorders>
              <w:top w:val="nil"/>
              <w:left w:val="single" w:sz="8" w:space="0" w:color="auto"/>
              <w:bottom w:val="single" w:sz="4" w:space="0" w:color="auto"/>
              <w:right w:val="single" w:sz="4" w:space="0" w:color="auto"/>
            </w:tcBorders>
            <w:noWrap/>
            <w:vAlign w:val="bottom"/>
            <w:hideMark/>
          </w:tcPr>
          <w:p w14:paraId="52DE7D9D"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5</w:t>
            </w:r>
          </w:p>
        </w:tc>
        <w:tc>
          <w:tcPr>
            <w:tcW w:w="1000" w:type="pct"/>
            <w:tcBorders>
              <w:top w:val="nil"/>
              <w:left w:val="nil"/>
              <w:bottom w:val="single" w:sz="4" w:space="0" w:color="auto"/>
              <w:right w:val="single" w:sz="4" w:space="0" w:color="auto"/>
            </w:tcBorders>
            <w:noWrap/>
            <w:vAlign w:val="bottom"/>
            <w:hideMark/>
          </w:tcPr>
          <w:p w14:paraId="3C85D11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5</w:t>
            </w:r>
          </w:p>
        </w:tc>
        <w:tc>
          <w:tcPr>
            <w:tcW w:w="1000" w:type="pct"/>
            <w:tcBorders>
              <w:top w:val="nil"/>
              <w:left w:val="nil"/>
              <w:bottom w:val="single" w:sz="4" w:space="0" w:color="auto"/>
              <w:right w:val="single" w:sz="4" w:space="0" w:color="auto"/>
            </w:tcBorders>
            <w:noWrap/>
            <w:vAlign w:val="bottom"/>
            <w:hideMark/>
          </w:tcPr>
          <w:p w14:paraId="74B25BA1"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0.000128601</w:t>
            </w:r>
          </w:p>
        </w:tc>
        <w:tc>
          <w:tcPr>
            <w:tcW w:w="1000" w:type="pct"/>
            <w:tcBorders>
              <w:top w:val="nil"/>
              <w:left w:val="nil"/>
              <w:bottom w:val="single" w:sz="4" w:space="0" w:color="auto"/>
              <w:right w:val="single" w:sz="4" w:space="0" w:color="auto"/>
            </w:tcBorders>
            <w:noWrap/>
            <w:vAlign w:val="bottom"/>
            <w:hideMark/>
          </w:tcPr>
          <w:p w14:paraId="7972234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0.000643004</w:t>
            </w:r>
          </w:p>
        </w:tc>
        <w:tc>
          <w:tcPr>
            <w:tcW w:w="1000" w:type="pct"/>
            <w:tcBorders>
              <w:top w:val="nil"/>
              <w:left w:val="nil"/>
              <w:bottom w:val="single" w:sz="4" w:space="0" w:color="auto"/>
              <w:right w:val="single" w:sz="8" w:space="0" w:color="auto"/>
            </w:tcBorders>
            <w:noWrap/>
            <w:vAlign w:val="bottom"/>
            <w:hideMark/>
          </w:tcPr>
          <w:p w14:paraId="2ABF4084"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15</w:t>
            </w:r>
          </w:p>
        </w:tc>
      </w:tr>
      <w:tr w:rsidR="0086595D" w:rsidRPr="0086595D" w14:paraId="1A03DCF9" w14:textId="77777777" w:rsidTr="0086595D">
        <w:trPr>
          <w:trHeight w:val="300"/>
        </w:trPr>
        <w:tc>
          <w:tcPr>
            <w:tcW w:w="3000" w:type="pct"/>
            <w:gridSpan w:val="3"/>
            <w:tcBorders>
              <w:top w:val="single" w:sz="4" w:space="0" w:color="auto"/>
              <w:left w:val="single" w:sz="8" w:space="0" w:color="auto"/>
              <w:bottom w:val="single" w:sz="4" w:space="0" w:color="auto"/>
              <w:right w:val="single" w:sz="4" w:space="0" w:color="auto"/>
            </w:tcBorders>
            <w:noWrap/>
            <w:vAlign w:val="bottom"/>
            <w:hideMark/>
          </w:tcPr>
          <w:p w14:paraId="505ABA29"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Total Present Value</w:t>
            </w:r>
          </w:p>
        </w:tc>
        <w:tc>
          <w:tcPr>
            <w:tcW w:w="2000" w:type="pct"/>
            <w:gridSpan w:val="2"/>
            <w:tcBorders>
              <w:top w:val="single" w:sz="4" w:space="0" w:color="auto"/>
              <w:left w:val="nil"/>
              <w:bottom w:val="single" w:sz="4" w:space="0" w:color="auto"/>
              <w:right w:val="single" w:sz="8" w:space="0" w:color="000000"/>
            </w:tcBorders>
            <w:noWrap/>
            <w:vAlign w:val="bottom"/>
            <w:hideMark/>
          </w:tcPr>
          <w:p w14:paraId="43A4880B"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0.918835267</w:t>
            </w:r>
          </w:p>
        </w:tc>
      </w:tr>
      <w:tr w:rsidR="0086595D" w:rsidRPr="0086595D" w14:paraId="24888561" w14:textId="77777777" w:rsidTr="0086595D">
        <w:trPr>
          <w:trHeight w:val="300"/>
        </w:trPr>
        <w:tc>
          <w:tcPr>
            <w:tcW w:w="4000" w:type="pct"/>
            <w:gridSpan w:val="4"/>
            <w:tcBorders>
              <w:top w:val="single" w:sz="4" w:space="0" w:color="auto"/>
              <w:left w:val="single" w:sz="8" w:space="0" w:color="auto"/>
              <w:bottom w:val="single" w:sz="4" w:space="0" w:color="auto"/>
              <w:right w:val="single" w:sz="4" w:space="0" w:color="auto"/>
            </w:tcBorders>
            <w:noWrap/>
            <w:vAlign w:val="bottom"/>
            <w:hideMark/>
          </w:tcPr>
          <w:p w14:paraId="2141012B"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Payback Period</w:t>
            </w:r>
          </w:p>
        </w:tc>
        <w:tc>
          <w:tcPr>
            <w:tcW w:w="1000" w:type="pct"/>
            <w:tcBorders>
              <w:top w:val="nil"/>
              <w:left w:val="nil"/>
              <w:bottom w:val="single" w:sz="4" w:space="0" w:color="auto"/>
              <w:right w:val="single" w:sz="8" w:space="0" w:color="auto"/>
            </w:tcBorders>
            <w:noWrap/>
            <w:vAlign w:val="bottom"/>
            <w:hideMark/>
          </w:tcPr>
          <w:p w14:paraId="55D697C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4.2</w:t>
            </w:r>
          </w:p>
        </w:tc>
      </w:tr>
      <w:tr w:rsidR="0086595D" w:rsidRPr="0086595D" w14:paraId="25FFB5C0" w14:textId="77777777" w:rsidTr="0086595D">
        <w:trPr>
          <w:trHeight w:val="300"/>
        </w:trPr>
        <w:tc>
          <w:tcPr>
            <w:tcW w:w="4000" w:type="pct"/>
            <w:gridSpan w:val="4"/>
            <w:tcBorders>
              <w:top w:val="single" w:sz="4" w:space="0" w:color="auto"/>
              <w:left w:val="single" w:sz="8" w:space="0" w:color="auto"/>
              <w:bottom w:val="single" w:sz="4" w:space="0" w:color="auto"/>
              <w:right w:val="single" w:sz="4" w:space="0" w:color="auto"/>
            </w:tcBorders>
            <w:noWrap/>
            <w:vAlign w:val="bottom"/>
            <w:hideMark/>
          </w:tcPr>
          <w:p w14:paraId="2471B1E8"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Average Annual Profit</w:t>
            </w:r>
          </w:p>
        </w:tc>
        <w:tc>
          <w:tcPr>
            <w:tcW w:w="1000" w:type="pct"/>
            <w:tcBorders>
              <w:top w:val="nil"/>
              <w:left w:val="nil"/>
              <w:bottom w:val="single" w:sz="4" w:space="0" w:color="auto"/>
              <w:right w:val="single" w:sz="8" w:space="0" w:color="auto"/>
            </w:tcBorders>
            <w:noWrap/>
            <w:vAlign w:val="bottom"/>
            <w:hideMark/>
          </w:tcPr>
          <w:p w14:paraId="38C2D8B0"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13</w:t>
            </w:r>
          </w:p>
        </w:tc>
      </w:tr>
      <w:tr w:rsidR="0086595D" w:rsidRPr="0086595D" w14:paraId="60E0C73B" w14:textId="77777777" w:rsidTr="0086595D">
        <w:trPr>
          <w:trHeight w:val="300"/>
        </w:trPr>
        <w:tc>
          <w:tcPr>
            <w:tcW w:w="4000" w:type="pct"/>
            <w:gridSpan w:val="4"/>
            <w:tcBorders>
              <w:top w:val="single" w:sz="4" w:space="0" w:color="auto"/>
              <w:left w:val="single" w:sz="8" w:space="0" w:color="auto"/>
              <w:bottom w:val="single" w:sz="4" w:space="0" w:color="auto"/>
              <w:right w:val="single" w:sz="4" w:space="0" w:color="auto"/>
            </w:tcBorders>
            <w:noWrap/>
            <w:vAlign w:val="bottom"/>
            <w:hideMark/>
          </w:tcPr>
          <w:p w14:paraId="5DEC4A1C"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ARR</w:t>
            </w:r>
          </w:p>
        </w:tc>
        <w:tc>
          <w:tcPr>
            <w:tcW w:w="1000" w:type="pct"/>
            <w:tcBorders>
              <w:top w:val="nil"/>
              <w:left w:val="nil"/>
              <w:bottom w:val="single" w:sz="4" w:space="0" w:color="auto"/>
              <w:right w:val="single" w:sz="8" w:space="0" w:color="auto"/>
            </w:tcBorders>
            <w:noWrap/>
            <w:vAlign w:val="bottom"/>
            <w:hideMark/>
          </w:tcPr>
          <w:p w14:paraId="4CE3F953"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26</w:t>
            </w:r>
          </w:p>
        </w:tc>
      </w:tr>
      <w:tr w:rsidR="0086595D" w:rsidRPr="0086595D" w14:paraId="0DEBDCDE" w14:textId="77777777" w:rsidTr="0086595D">
        <w:trPr>
          <w:trHeight w:val="300"/>
        </w:trPr>
        <w:tc>
          <w:tcPr>
            <w:tcW w:w="4000" w:type="pct"/>
            <w:gridSpan w:val="4"/>
            <w:tcBorders>
              <w:top w:val="single" w:sz="4" w:space="0" w:color="auto"/>
              <w:left w:val="single" w:sz="8" w:space="0" w:color="auto"/>
              <w:bottom w:val="single" w:sz="4" w:space="0" w:color="auto"/>
              <w:right w:val="single" w:sz="4" w:space="0" w:color="auto"/>
            </w:tcBorders>
            <w:noWrap/>
            <w:vAlign w:val="bottom"/>
            <w:hideMark/>
          </w:tcPr>
          <w:p w14:paraId="2A4819B9"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NPV</w:t>
            </w:r>
          </w:p>
        </w:tc>
        <w:tc>
          <w:tcPr>
            <w:tcW w:w="1000" w:type="pct"/>
            <w:tcBorders>
              <w:top w:val="nil"/>
              <w:left w:val="nil"/>
              <w:bottom w:val="single" w:sz="4" w:space="0" w:color="auto"/>
              <w:right w:val="single" w:sz="8" w:space="0" w:color="auto"/>
            </w:tcBorders>
            <w:noWrap/>
            <w:vAlign w:val="bottom"/>
            <w:hideMark/>
          </w:tcPr>
          <w:p w14:paraId="2B0F8847"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 xml:space="preserve">$0.86 </w:t>
            </w:r>
          </w:p>
        </w:tc>
      </w:tr>
      <w:tr w:rsidR="0086595D" w:rsidRPr="0086595D" w14:paraId="41D4A00A" w14:textId="77777777" w:rsidTr="0086595D">
        <w:trPr>
          <w:trHeight w:val="300"/>
        </w:trPr>
        <w:tc>
          <w:tcPr>
            <w:tcW w:w="4000" w:type="pct"/>
            <w:gridSpan w:val="4"/>
            <w:tcBorders>
              <w:top w:val="single" w:sz="4" w:space="0" w:color="auto"/>
              <w:left w:val="single" w:sz="8" w:space="0" w:color="auto"/>
              <w:bottom w:val="single" w:sz="4" w:space="0" w:color="auto"/>
              <w:right w:val="single" w:sz="4" w:space="0" w:color="auto"/>
            </w:tcBorders>
            <w:noWrap/>
            <w:vAlign w:val="bottom"/>
            <w:hideMark/>
          </w:tcPr>
          <w:p w14:paraId="2C84F8A8"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Profitability Index</w:t>
            </w:r>
          </w:p>
        </w:tc>
        <w:tc>
          <w:tcPr>
            <w:tcW w:w="1000" w:type="pct"/>
            <w:tcBorders>
              <w:top w:val="nil"/>
              <w:left w:val="nil"/>
              <w:bottom w:val="single" w:sz="4" w:space="0" w:color="auto"/>
              <w:right w:val="single" w:sz="8" w:space="0" w:color="auto"/>
            </w:tcBorders>
            <w:noWrap/>
            <w:vAlign w:val="bottom"/>
            <w:hideMark/>
          </w:tcPr>
          <w:p w14:paraId="04440DD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1.017166499</w:t>
            </w:r>
          </w:p>
        </w:tc>
      </w:tr>
      <w:tr w:rsidR="0086595D" w:rsidRPr="0086595D" w14:paraId="571E42FE" w14:textId="77777777" w:rsidTr="0086595D">
        <w:trPr>
          <w:trHeight w:val="315"/>
        </w:trPr>
        <w:tc>
          <w:tcPr>
            <w:tcW w:w="4000" w:type="pct"/>
            <w:gridSpan w:val="4"/>
            <w:tcBorders>
              <w:top w:val="single" w:sz="4" w:space="0" w:color="auto"/>
              <w:left w:val="single" w:sz="8" w:space="0" w:color="auto"/>
              <w:bottom w:val="single" w:sz="8" w:space="0" w:color="auto"/>
              <w:right w:val="single" w:sz="4" w:space="0" w:color="auto"/>
            </w:tcBorders>
            <w:noWrap/>
            <w:vAlign w:val="bottom"/>
            <w:hideMark/>
          </w:tcPr>
          <w:p w14:paraId="150C87C9" w14:textId="77777777" w:rsidR="0086595D" w:rsidRPr="0086595D" w:rsidRDefault="0086595D" w:rsidP="00755556">
            <w:pPr>
              <w:spacing w:line="360" w:lineRule="auto"/>
              <w:rPr>
                <w:rFonts w:eastAsia="Times New Roman"/>
                <w:color w:val="000000"/>
                <w:lang w:val="en-GB" w:eastAsia="en-GB"/>
              </w:rPr>
            </w:pPr>
            <w:r w:rsidRPr="0086595D">
              <w:rPr>
                <w:rFonts w:eastAsia="Times New Roman"/>
                <w:color w:val="000000"/>
                <w:lang w:val="en-GB" w:eastAsia="en-GB"/>
              </w:rPr>
              <w:t>IRR</w:t>
            </w:r>
          </w:p>
        </w:tc>
        <w:tc>
          <w:tcPr>
            <w:tcW w:w="1000" w:type="pct"/>
            <w:tcBorders>
              <w:top w:val="nil"/>
              <w:left w:val="nil"/>
              <w:bottom w:val="single" w:sz="8" w:space="0" w:color="auto"/>
              <w:right w:val="single" w:sz="8" w:space="0" w:color="auto"/>
            </w:tcBorders>
            <w:noWrap/>
            <w:vAlign w:val="bottom"/>
            <w:hideMark/>
          </w:tcPr>
          <w:p w14:paraId="1CC1EFEE" w14:textId="77777777" w:rsidR="0086595D" w:rsidRPr="0086595D" w:rsidRDefault="0086595D" w:rsidP="00755556">
            <w:pPr>
              <w:spacing w:line="360" w:lineRule="auto"/>
              <w:jc w:val="right"/>
              <w:rPr>
                <w:rFonts w:eastAsia="Times New Roman"/>
                <w:color w:val="000000"/>
                <w:lang w:val="en-GB" w:eastAsia="en-GB"/>
              </w:rPr>
            </w:pPr>
            <w:r w:rsidRPr="0086595D">
              <w:rPr>
                <w:rFonts w:eastAsia="Times New Roman"/>
                <w:color w:val="000000"/>
                <w:lang w:val="en-GB" w:eastAsia="en-GB"/>
              </w:rPr>
              <w:t>9%</w:t>
            </w:r>
          </w:p>
        </w:tc>
      </w:tr>
    </w:tbl>
    <w:p w14:paraId="7D156D38" w14:textId="404C6C11" w:rsidR="0086595D" w:rsidRPr="0086595D" w:rsidRDefault="0086595D" w:rsidP="00755556">
      <w:pPr>
        <w:spacing w:line="360" w:lineRule="auto"/>
        <w:rPr>
          <w:lang w:val="en-GB"/>
        </w:rPr>
      </w:pPr>
    </w:p>
    <w:sectPr w:rsidR="0086595D" w:rsidRPr="0086595D" w:rsidSect="00755556">
      <w:footerReference w:type="default" r:id="rId40"/>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75135" w14:textId="77777777" w:rsidR="00432A0F" w:rsidRDefault="00432A0F" w:rsidP="006913C8">
      <w:pPr>
        <w:spacing w:line="240" w:lineRule="auto"/>
      </w:pPr>
      <w:r>
        <w:separator/>
      </w:r>
    </w:p>
  </w:endnote>
  <w:endnote w:type="continuationSeparator" w:id="0">
    <w:p w14:paraId="6ECB24FA" w14:textId="77777777" w:rsidR="00432A0F" w:rsidRDefault="00432A0F" w:rsidP="006913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A5A4318-22F0-4163-8710-818A4CC95156}"/>
  </w:font>
  <w:font w:name="Cambria">
    <w:panose1 w:val="02040503050406030204"/>
    <w:charset w:val="00"/>
    <w:family w:val="roman"/>
    <w:pitch w:val="variable"/>
    <w:sig w:usb0="E00006FF" w:usb1="420024FF" w:usb2="02000000" w:usb3="00000000" w:csb0="0000019F" w:csb1="00000000"/>
    <w:embedRegular r:id="rId2" w:fontKey="{81236FAC-38E4-4E05-AAB4-29274F3A1D8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0726208"/>
      <w:docPartObj>
        <w:docPartGallery w:val="Page Numbers (Bottom of Page)"/>
        <w:docPartUnique/>
      </w:docPartObj>
    </w:sdtPr>
    <w:sdtEndPr>
      <w:rPr>
        <w:noProof/>
        <w:sz w:val="20"/>
        <w:szCs w:val="20"/>
      </w:rPr>
    </w:sdtEndPr>
    <w:sdtContent>
      <w:p w14:paraId="139795C4" w14:textId="0C2485EE" w:rsidR="006913C8" w:rsidRPr="006913C8" w:rsidRDefault="006913C8">
        <w:pPr>
          <w:pStyle w:val="Footer"/>
          <w:jc w:val="right"/>
          <w:rPr>
            <w:sz w:val="20"/>
            <w:szCs w:val="20"/>
          </w:rPr>
        </w:pPr>
        <w:r w:rsidRPr="006913C8">
          <w:rPr>
            <w:sz w:val="20"/>
            <w:szCs w:val="20"/>
          </w:rPr>
          <w:fldChar w:fldCharType="begin"/>
        </w:r>
        <w:r w:rsidRPr="006913C8">
          <w:rPr>
            <w:sz w:val="20"/>
            <w:szCs w:val="20"/>
          </w:rPr>
          <w:instrText xml:space="preserve"> PAGE   \* MERGEFORMAT </w:instrText>
        </w:r>
        <w:r w:rsidRPr="006913C8">
          <w:rPr>
            <w:sz w:val="20"/>
            <w:szCs w:val="20"/>
          </w:rPr>
          <w:fldChar w:fldCharType="separate"/>
        </w:r>
        <w:r w:rsidR="00755556">
          <w:rPr>
            <w:noProof/>
            <w:sz w:val="20"/>
            <w:szCs w:val="20"/>
          </w:rPr>
          <w:t>4</w:t>
        </w:r>
        <w:r w:rsidRPr="006913C8">
          <w:rPr>
            <w:noProof/>
            <w:sz w:val="20"/>
            <w:szCs w:val="20"/>
          </w:rPr>
          <w:fldChar w:fldCharType="end"/>
        </w:r>
      </w:p>
    </w:sdtContent>
  </w:sdt>
  <w:p w14:paraId="5B3410E6" w14:textId="77777777" w:rsidR="006913C8" w:rsidRDefault="00691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5C9E0" w14:textId="77777777" w:rsidR="00432A0F" w:rsidRDefault="00432A0F" w:rsidP="006913C8">
      <w:pPr>
        <w:spacing w:line="240" w:lineRule="auto"/>
      </w:pPr>
      <w:r>
        <w:separator/>
      </w:r>
    </w:p>
  </w:footnote>
  <w:footnote w:type="continuationSeparator" w:id="0">
    <w:p w14:paraId="657FCC11" w14:textId="77777777" w:rsidR="00432A0F" w:rsidRDefault="00432A0F" w:rsidP="006913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2BE4"/>
    <w:rsid w:val="00126E71"/>
    <w:rsid w:val="001518FA"/>
    <w:rsid w:val="0035183A"/>
    <w:rsid w:val="003A4FD0"/>
    <w:rsid w:val="003C2CC0"/>
    <w:rsid w:val="00406438"/>
    <w:rsid w:val="00432A0F"/>
    <w:rsid w:val="004A1B52"/>
    <w:rsid w:val="004F2BE4"/>
    <w:rsid w:val="0055532A"/>
    <w:rsid w:val="006913C8"/>
    <w:rsid w:val="00755556"/>
    <w:rsid w:val="007D3923"/>
    <w:rsid w:val="00831DE7"/>
    <w:rsid w:val="0086595D"/>
    <w:rsid w:val="0091189F"/>
    <w:rsid w:val="009C3EE9"/>
    <w:rsid w:val="00AF4139"/>
    <w:rsid w:val="00B62375"/>
    <w:rsid w:val="00C277E1"/>
    <w:rsid w:val="00D00B75"/>
    <w:rsid w:val="00DB3818"/>
    <w:rsid w:val="00E3541C"/>
    <w:rsid w:val="00EB64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15D90"/>
  <w15:docId w15:val="{DF0E52C0-DD15-4439-BD42-CA7A9642A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913C8"/>
    <w:pPr>
      <w:keepNext/>
      <w:keepLines/>
      <w:spacing w:before="120" w:after="120" w:line="360" w:lineRule="auto"/>
      <w:jc w:val="both"/>
      <w:outlineLvl w:val="0"/>
    </w:pPr>
    <w:rPr>
      <w:b/>
      <w:bCs/>
      <w:sz w:val="28"/>
      <w:szCs w:val="28"/>
    </w:rPr>
  </w:style>
  <w:style w:type="paragraph" w:styleId="Heading2">
    <w:name w:val="heading 2"/>
    <w:basedOn w:val="Normal"/>
    <w:next w:val="Normal"/>
    <w:rsid w:val="006913C8"/>
    <w:pPr>
      <w:keepNext/>
      <w:keepLines/>
      <w:spacing w:before="120" w:after="120" w:line="360" w:lineRule="auto"/>
      <w:jc w:val="both"/>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913C8"/>
    <w:pPr>
      <w:tabs>
        <w:tab w:val="center" w:pos="4680"/>
        <w:tab w:val="right" w:pos="9360"/>
      </w:tabs>
      <w:spacing w:line="240" w:lineRule="auto"/>
    </w:pPr>
  </w:style>
  <w:style w:type="character" w:customStyle="1" w:styleId="HeaderChar">
    <w:name w:val="Header Char"/>
    <w:basedOn w:val="DefaultParagraphFont"/>
    <w:link w:val="Header"/>
    <w:uiPriority w:val="99"/>
    <w:rsid w:val="006913C8"/>
  </w:style>
  <w:style w:type="paragraph" w:styleId="Footer">
    <w:name w:val="footer"/>
    <w:basedOn w:val="Normal"/>
    <w:link w:val="FooterChar"/>
    <w:uiPriority w:val="99"/>
    <w:unhideWhenUsed/>
    <w:rsid w:val="006913C8"/>
    <w:pPr>
      <w:tabs>
        <w:tab w:val="center" w:pos="4680"/>
        <w:tab w:val="right" w:pos="9360"/>
      </w:tabs>
      <w:spacing w:line="240" w:lineRule="auto"/>
    </w:pPr>
  </w:style>
  <w:style w:type="character" w:customStyle="1" w:styleId="FooterChar">
    <w:name w:val="Footer Char"/>
    <w:basedOn w:val="DefaultParagraphFont"/>
    <w:link w:val="Footer"/>
    <w:uiPriority w:val="99"/>
    <w:rsid w:val="006913C8"/>
  </w:style>
  <w:style w:type="paragraph" w:styleId="NormalWeb">
    <w:name w:val="Normal (Web)"/>
    <w:basedOn w:val="Normal"/>
    <w:uiPriority w:val="99"/>
    <w:semiHidden/>
    <w:unhideWhenUsed/>
    <w:rsid w:val="006913C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DB381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B3818"/>
    <w:pPr>
      <w:spacing w:after="100"/>
    </w:pPr>
  </w:style>
  <w:style w:type="paragraph" w:styleId="TOC2">
    <w:name w:val="toc 2"/>
    <w:basedOn w:val="Normal"/>
    <w:next w:val="Normal"/>
    <w:autoRedefine/>
    <w:uiPriority w:val="39"/>
    <w:unhideWhenUsed/>
    <w:rsid w:val="00DB3818"/>
    <w:pPr>
      <w:spacing w:after="100"/>
      <w:ind w:left="220"/>
    </w:pPr>
  </w:style>
  <w:style w:type="character" w:styleId="Hyperlink">
    <w:name w:val="Hyperlink"/>
    <w:basedOn w:val="DefaultParagraphFont"/>
    <w:uiPriority w:val="99"/>
    <w:unhideWhenUsed/>
    <w:rsid w:val="00DB38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2514">
      <w:bodyDiv w:val="1"/>
      <w:marLeft w:val="0"/>
      <w:marRight w:val="0"/>
      <w:marTop w:val="0"/>
      <w:marBottom w:val="0"/>
      <w:divBdr>
        <w:top w:val="none" w:sz="0" w:space="0" w:color="auto"/>
        <w:left w:val="none" w:sz="0" w:space="0" w:color="auto"/>
        <w:bottom w:val="none" w:sz="0" w:space="0" w:color="auto"/>
        <w:right w:val="none" w:sz="0" w:space="0" w:color="auto"/>
      </w:divBdr>
    </w:div>
    <w:div w:id="217396618">
      <w:bodyDiv w:val="1"/>
      <w:marLeft w:val="0"/>
      <w:marRight w:val="0"/>
      <w:marTop w:val="0"/>
      <w:marBottom w:val="0"/>
      <w:divBdr>
        <w:top w:val="none" w:sz="0" w:space="0" w:color="auto"/>
        <w:left w:val="none" w:sz="0" w:space="0" w:color="auto"/>
        <w:bottom w:val="none" w:sz="0" w:space="0" w:color="auto"/>
        <w:right w:val="none" w:sz="0" w:space="0" w:color="auto"/>
      </w:divBdr>
    </w:div>
    <w:div w:id="616258739">
      <w:bodyDiv w:val="1"/>
      <w:marLeft w:val="0"/>
      <w:marRight w:val="0"/>
      <w:marTop w:val="0"/>
      <w:marBottom w:val="0"/>
      <w:divBdr>
        <w:top w:val="none" w:sz="0" w:space="0" w:color="auto"/>
        <w:left w:val="none" w:sz="0" w:space="0" w:color="auto"/>
        <w:bottom w:val="none" w:sz="0" w:space="0" w:color="auto"/>
        <w:right w:val="none" w:sz="0" w:space="0" w:color="auto"/>
      </w:divBdr>
    </w:div>
    <w:div w:id="880047474">
      <w:bodyDiv w:val="1"/>
      <w:marLeft w:val="0"/>
      <w:marRight w:val="0"/>
      <w:marTop w:val="0"/>
      <w:marBottom w:val="0"/>
      <w:divBdr>
        <w:top w:val="none" w:sz="0" w:space="0" w:color="auto"/>
        <w:left w:val="none" w:sz="0" w:space="0" w:color="auto"/>
        <w:bottom w:val="none" w:sz="0" w:space="0" w:color="auto"/>
        <w:right w:val="none" w:sz="0" w:space="0" w:color="auto"/>
      </w:divBdr>
    </w:div>
    <w:div w:id="886603048">
      <w:bodyDiv w:val="1"/>
      <w:marLeft w:val="0"/>
      <w:marRight w:val="0"/>
      <w:marTop w:val="0"/>
      <w:marBottom w:val="0"/>
      <w:divBdr>
        <w:top w:val="none" w:sz="0" w:space="0" w:color="auto"/>
        <w:left w:val="none" w:sz="0" w:space="0" w:color="auto"/>
        <w:bottom w:val="none" w:sz="0" w:space="0" w:color="auto"/>
        <w:right w:val="none" w:sz="0" w:space="0" w:color="auto"/>
      </w:divBdr>
    </w:div>
    <w:div w:id="1153642172">
      <w:bodyDiv w:val="1"/>
      <w:marLeft w:val="0"/>
      <w:marRight w:val="0"/>
      <w:marTop w:val="0"/>
      <w:marBottom w:val="0"/>
      <w:divBdr>
        <w:top w:val="none" w:sz="0" w:space="0" w:color="auto"/>
        <w:left w:val="none" w:sz="0" w:space="0" w:color="auto"/>
        <w:bottom w:val="none" w:sz="0" w:space="0" w:color="auto"/>
        <w:right w:val="none" w:sz="0" w:space="0" w:color="auto"/>
      </w:divBdr>
    </w:div>
    <w:div w:id="1249735101">
      <w:bodyDiv w:val="1"/>
      <w:marLeft w:val="0"/>
      <w:marRight w:val="0"/>
      <w:marTop w:val="0"/>
      <w:marBottom w:val="0"/>
      <w:divBdr>
        <w:top w:val="none" w:sz="0" w:space="0" w:color="auto"/>
        <w:left w:val="none" w:sz="0" w:space="0" w:color="auto"/>
        <w:bottom w:val="none" w:sz="0" w:space="0" w:color="auto"/>
        <w:right w:val="none" w:sz="0" w:space="0" w:color="auto"/>
      </w:divBdr>
    </w:div>
    <w:div w:id="1582445786">
      <w:bodyDiv w:val="1"/>
      <w:marLeft w:val="0"/>
      <w:marRight w:val="0"/>
      <w:marTop w:val="0"/>
      <w:marBottom w:val="0"/>
      <w:divBdr>
        <w:top w:val="none" w:sz="0" w:space="0" w:color="auto"/>
        <w:left w:val="none" w:sz="0" w:space="0" w:color="auto"/>
        <w:bottom w:val="none" w:sz="0" w:space="0" w:color="auto"/>
        <w:right w:val="none" w:sz="0" w:space="0" w:color="auto"/>
      </w:divBdr>
    </w:div>
    <w:div w:id="1831292098">
      <w:bodyDiv w:val="1"/>
      <w:marLeft w:val="0"/>
      <w:marRight w:val="0"/>
      <w:marTop w:val="0"/>
      <w:marBottom w:val="0"/>
      <w:divBdr>
        <w:top w:val="none" w:sz="0" w:space="0" w:color="auto"/>
        <w:left w:val="none" w:sz="0" w:space="0" w:color="auto"/>
        <w:bottom w:val="none" w:sz="0" w:space="0" w:color="auto"/>
        <w:right w:val="none" w:sz="0" w:space="0" w:color="auto"/>
      </w:divBdr>
    </w:div>
    <w:div w:id="19835394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Delivery.cfm?abstractid=5004465" TargetMode="External"/><Relationship Id="rId18" Type="http://schemas.openxmlformats.org/officeDocument/2006/relationships/hyperlink" Target="https://finance.yahoo.com/quote/IHG/financials/" TargetMode="External"/><Relationship Id="rId26" Type="http://schemas.openxmlformats.org/officeDocument/2006/relationships/hyperlink" Target="https://www.utgjiu.ro/revista/ec/pdf/2023-06%20Volumul%20II/18_gadoiu.pdf" TargetMode="External"/><Relationship Id="rId39" Type="http://schemas.openxmlformats.org/officeDocument/2006/relationships/hyperlink" Target="https://www.researchgate.net/profile/Ana-Markuz/publication/367203897_PROJECT_MANAGER'S_SOCIAL_RESPONSIBILITY_ENSURING_WORK-LIFE_BALANCE_AND_EQUAL_OPPORTUNITY_IN_PROJECT/links/63c7f2a0e922c50e99a376bb/PROJECT-MANAGERS-SOCIAL-RESPONSIBILITY-ENSURING-WORK-LIFE-BALANCE-AND-EQUAL-OPPORTUNITY-IN-PROJECT.pdf" TargetMode="External"/><Relationship Id="rId21" Type="http://schemas.openxmlformats.org/officeDocument/2006/relationships/hyperlink" Target="https://www.preprints.org/frontend/manuscript/22a89da1bd63a89138b95ec495a9cde3/download_pub" TargetMode="External"/><Relationship Id="rId34" Type="http://schemas.openxmlformats.org/officeDocument/2006/relationships/hyperlink" Target="https://www.iitf.lbtu.lv/conference/proceedings2023/Papers/TF146.pdf"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orporatefinanceinstitute.com/resources/accounting/cash-ratio-formula/" TargetMode="External"/><Relationship Id="rId20" Type="http://schemas.openxmlformats.org/officeDocument/2006/relationships/hyperlink" Target="https://ejurnal.pps.ung.ac.id/index.php/Aksara/article/download/2334/1619" TargetMode="External"/><Relationship Id="rId29" Type="http://schemas.openxmlformats.org/officeDocument/2006/relationships/hyperlink" Target="https://www.academia.edu/download/105075378/PaperDownload.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pdf/10.1002/bse.70020" TargetMode="External"/><Relationship Id="rId24" Type="http://schemas.openxmlformats.org/officeDocument/2006/relationships/hyperlink" Target="https://www.researchgate.net/profile/Yogesh-Jain-19/publication/383668031_Financial_Management_Market_Dynamics_httpsdlflipkartcomshuMQJuuuN/links/68074ebcd1054b0207dbfe42/Financial-Management-Market-Dynamics-https-dlflipkartcom-s-huMQJuuuN.pdf" TargetMode="External"/><Relationship Id="rId32" Type="http://schemas.openxmlformats.org/officeDocument/2006/relationships/hyperlink" Target="https://papers.ssrn.com/sol3/Delivery.cfm?abstractid=6047914" TargetMode="External"/><Relationship Id="rId37" Type="http://schemas.openxmlformats.org/officeDocument/2006/relationships/hyperlink" Target="https://www.researchgate.net/profile/Prajkta-Waditwar/publication/385632360_The_Intersection_of_Strategic_Sourcing_and_Artificial_Intelligence_A_Paradigm_Shift_for_Modern_Organizations/links/675978e405bf5b3e924dc155/The-Intersection-of-Strategic-Sourcing-and-Artificial-Intelligence-A-Paradigm-Shift-for-Modern-Organizations.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3s-conferences.org/articles/e3sconf/pdf/2023/13/e3sconf_ersme2023_04012.pdf" TargetMode="External"/><Relationship Id="rId23" Type="http://schemas.openxmlformats.org/officeDocument/2006/relationships/hyperlink" Target="https://www.ihgplc.com/en/about-us/how-our-business-works" TargetMode="External"/><Relationship Id="rId28" Type="http://schemas.openxmlformats.org/officeDocument/2006/relationships/hyperlink" Target="https://www.researchgate.net/profile/Jeffrey-Ogeawuchi/publication/392696824_Developing_Capital_Expansion_and_Fundraising_Models_for_Strengthening_National_Development_Banks_in_African_Markets/links/684de82411be4823fbde58b8/Developing-Capital-Expansion-and-Fundraising-Models-for-Strengthening-National-Development-Banks-in-African-Markets.pdf" TargetMode="External"/><Relationship Id="rId36" Type="http://schemas.openxmlformats.org/officeDocument/2006/relationships/hyperlink" Target="https://www.statista.com/topics/1905/intercontinental-hotels-group/?srsltid=AfmBOooLHiFxDRTdNHW_X3uyGXpF6GxE24j8S5Bh-c5ZXHK0wnqjgLyC" TargetMode="External"/><Relationship Id="rId10" Type="http://schemas.openxmlformats.org/officeDocument/2006/relationships/hyperlink" Target="https://www.mdpi.com/2071-1050/15/9/7424" TargetMode="External"/><Relationship Id="rId19" Type="http://schemas.openxmlformats.org/officeDocument/2006/relationships/hyperlink" Target="https://cris.unibo.it/bitstream/11585/903139/4/AuthorFinalVersion%2BIRIS_removed.pdf" TargetMode="External"/><Relationship Id="rId31" Type="http://schemas.openxmlformats.org/officeDocument/2006/relationships/hyperlink" Target="https://papers.ssrn.com/sol3/Delivery.cfm?abstractid=6047914" TargetMode="External"/><Relationship Id="rId4" Type="http://schemas.openxmlformats.org/officeDocument/2006/relationships/webSettings" Target="webSettings.xml"/><Relationship Id="rId9" Type="http://schemas.openxmlformats.org/officeDocument/2006/relationships/hyperlink" Target="https://www.researchgate.net/profile/Ibrahim-Abu-Alsondos/publication/377573548_Measuring_the_ROI_of_paid_advertising_campaigns_in_digital_marketing_and_its_effect_on_business_profitability/links/65b4ef8779007454973c077d/Measuring-the-ROI-of-paid-advertising-campaigns-in-digital-marketing-and-its-effect-on-business-profitability.pdf" TargetMode="External"/><Relationship Id="rId14" Type="http://schemas.openxmlformats.org/officeDocument/2006/relationships/hyperlink" Target="https://jurnalsyntaxadmiration.com/index.php/jurnal/article/download/907/1307" TargetMode="External"/><Relationship Id="rId22" Type="http://schemas.openxmlformats.org/officeDocument/2006/relationships/hyperlink" Target="https://www.researchgate.net/profile/Lolade-Hamzat/publication/391776111_Real-Time_Financial_Resilience_and_Debt_Optimization_for_Entrepreneurs_Tackling_Debt_Management_as_a_Financial_Health_Pandemic_and_Empowering_Small_Business_Growth_Through_Early_Detection_of_Financial/links/6826b14cdf0e3f544f54c00e/Real-Time-Financial-Resilience-and-Debt-Optimization-for-Entrepreneurs-Tackling-Debt-Management-as-a-Financial-Health-Pandemic-and-Empowering-Small-Business-Growth-Through-Early-Detection-of-Financial.pdf" TargetMode="External"/><Relationship Id="rId27" Type="http://schemas.openxmlformats.org/officeDocument/2006/relationships/hyperlink" Target="https://esj.eastasouth-institute.com/index.php/esmb/article/download/137/109" TargetMode="External"/><Relationship Id="rId30" Type="http://schemas.openxmlformats.org/officeDocument/2006/relationships/hyperlink" Target="https://openreview.net/pdf?id=GEYpnS2Gbl" TargetMode="External"/><Relationship Id="rId35" Type="http://schemas.openxmlformats.org/officeDocument/2006/relationships/hyperlink" Target="https://ojs.uph.edu/index.php/NCBMA/article/view/7182/3304" TargetMode="External"/><Relationship Id="rId8" Type="http://schemas.openxmlformats.org/officeDocument/2006/relationships/hyperlink" Target="https://www.researchgate.net/profile/Victoria-Agbakwuru/publication/384533952_The_Impact_of_Environmental_Social_and_Governance_ESG_Reporting_on_Corporate_Financial_Performance/links/66fc4427b753fa724d561989/The-Impact-of-Environmental-Social-and-Governance-ESG-Reporting-on-Corporate-Financial-Performance.pdf" TargetMode="External"/><Relationship Id="rId3" Type="http://schemas.openxmlformats.org/officeDocument/2006/relationships/settings" Target="settings.xml"/><Relationship Id="rId12" Type="http://schemas.openxmlformats.org/officeDocument/2006/relationships/hyperlink" Target="https://thecrsss.com/index.php/Journal/article/download/204/225" TargetMode="External"/><Relationship Id="rId17" Type="http://schemas.openxmlformats.org/officeDocument/2006/relationships/hyperlink" Target="https://www.mdpi.com/2071-1050/14/21/14455" TargetMode="External"/><Relationship Id="rId25" Type="http://schemas.openxmlformats.org/officeDocument/2006/relationships/hyperlink" Target="https://atlantic-press-journals.com/index.php/JMBE/article/download/422/987" TargetMode="External"/><Relationship Id="rId33" Type="http://schemas.openxmlformats.org/officeDocument/2006/relationships/hyperlink" Target="https://sociohum.net/index.php/INJOLE/article/download/39/40" TargetMode="External"/><Relationship Id="rId38" Type="http://schemas.openxmlformats.org/officeDocument/2006/relationships/hyperlink" Target="https://www.researchgate.net/profile/Fadi-Alkaraan/publication/373294431_The_moderating_effects_of_corporate_governance_and_investment_efficiency_on_the_nexus_between_financial_flexibility_and_firm_performance/links/6513531acce2460b6c36bde0/The-moderating-effects-of-corporate-governance-and-investment-efficiency-on-the-nexus-between-financial-flexibility-and-firm-performance.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3B2DA-492E-4B89-AA43-21613577C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8568</Words>
  <Characters>48842</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Savitri Gorkha</cp:lastModifiedBy>
  <cp:revision>15</cp:revision>
  <dcterms:created xsi:type="dcterms:W3CDTF">2026-07-15T13:03:00Z</dcterms:created>
  <dcterms:modified xsi:type="dcterms:W3CDTF">2026-08-11T22:02:00Z</dcterms:modified>
</cp:coreProperties>
</file>