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0"/>
        <w:jc w:val="both"/>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Entrepreneur and innovation (BMBM4011)</w:t>
      </w:r>
    </w:p>
    <w:p w:rsidR="00000000" w:rsidDel="00000000" w:rsidP="00000000" w:rsidRDefault="00000000" w:rsidRPr="00000000" w14:paraId="00000002">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Name: </w:t>
      </w:r>
      <w:r w:rsidDel="00000000" w:rsidR="00000000" w:rsidRPr="00000000">
        <w:rPr>
          <w:rFonts w:ascii="Times New Roman" w:cs="Times New Roman" w:eastAsia="Times New Roman" w:hAnsi="Times New Roman"/>
          <w:sz w:val="28"/>
          <w:szCs w:val="28"/>
          <w:rtl w:val="0"/>
        </w:rPr>
        <w:t xml:space="preserve">Kelechi Ibebauchi </w:t>
      </w:r>
    </w:p>
    <w:p w:rsidR="00000000" w:rsidDel="00000000" w:rsidP="00000000" w:rsidRDefault="00000000" w:rsidRPr="00000000" w14:paraId="00000003">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Number : </w:t>
      </w:r>
      <w:r w:rsidDel="00000000" w:rsidR="00000000" w:rsidRPr="00000000">
        <w:rPr>
          <w:rFonts w:ascii="Times New Roman" w:cs="Times New Roman" w:eastAsia="Times New Roman" w:hAnsi="Times New Roman"/>
          <w:sz w:val="28"/>
          <w:szCs w:val="28"/>
          <w:rtl w:val="0"/>
        </w:rPr>
        <w:t xml:space="preserve">1404189</w:t>
      </w:r>
    </w:p>
    <w:p w:rsidR="00000000" w:rsidDel="00000000" w:rsidP="00000000" w:rsidRDefault="00000000" w:rsidRPr="00000000" w14:paraId="00000004">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Lecturer : </w:t>
      </w:r>
      <w:r w:rsidDel="00000000" w:rsidR="00000000" w:rsidRPr="00000000">
        <w:rPr>
          <w:rFonts w:ascii="Times New Roman" w:cs="Times New Roman" w:eastAsia="Times New Roman" w:hAnsi="Times New Roman"/>
          <w:sz w:val="28"/>
          <w:szCs w:val="28"/>
          <w:rtl w:val="0"/>
        </w:rPr>
        <w:t xml:space="preserve">Robyn Griffiths </w:t>
      </w:r>
    </w:p>
    <w:p w:rsidR="00000000" w:rsidDel="00000000" w:rsidP="00000000" w:rsidRDefault="00000000" w:rsidRPr="00000000" w14:paraId="00000005">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Submission Date:</w:t>
      </w:r>
      <w:r w:rsidDel="00000000" w:rsidR="00000000" w:rsidRPr="00000000">
        <w:rPr>
          <w:rFonts w:ascii="Times New Roman" w:cs="Times New Roman" w:eastAsia="Times New Roman" w:hAnsi="Times New Roman"/>
          <w:sz w:val="28"/>
          <w:szCs w:val="28"/>
          <w:rtl w:val="0"/>
        </w:rPr>
        <w:t xml:space="preserve"> 3rd May 2024 </w:t>
      </w:r>
    </w:p>
    <w:p w:rsidR="00000000" w:rsidDel="00000000" w:rsidP="00000000" w:rsidRDefault="00000000" w:rsidRPr="00000000" w14:paraId="00000006">
      <w:pPr>
        <w:ind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Link to video presentation (PowerPoint presentation).</w:t>
      </w:r>
    </w:p>
    <w:p w:rsidR="00000000" w:rsidDel="00000000" w:rsidP="00000000" w:rsidRDefault="00000000" w:rsidRPr="00000000" w14:paraId="00000008">
      <w:pPr>
        <w:ind w:firstLine="0"/>
        <w:jc w:val="both"/>
        <w:rPr>
          <w:rFonts w:ascii="Times New Roman" w:cs="Times New Roman" w:eastAsia="Times New Roman" w:hAnsi="Times New Roman"/>
          <w:b w:val="1"/>
          <w:sz w:val="24"/>
          <w:szCs w:val="24"/>
        </w:rPr>
      </w:pPr>
      <w:hyperlink r:id="rId7">
        <w:r w:rsidDel="00000000" w:rsidR="00000000" w:rsidRPr="00000000">
          <w:rPr>
            <w:rFonts w:ascii="Times New Roman" w:cs="Times New Roman" w:eastAsia="Times New Roman" w:hAnsi="Times New Roman"/>
            <w:b w:val="1"/>
            <w:color w:val="1155cc"/>
            <w:sz w:val="24"/>
            <w:szCs w:val="24"/>
            <w:u w:val="single"/>
            <w:rtl w:val="0"/>
          </w:rPr>
          <w:t xml:space="preserve">https://1drv.ms/p/c/365fbec2349f77e3/ESYtc0Lrli1PkR-S2j6tv3sBnC47iTAHEIZaFY0Yj7woyw</w:t>
        </w:r>
      </w:hyperlink>
      <w:r w:rsidDel="00000000" w:rsidR="00000000" w:rsidRPr="00000000">
        <w:rPr>
          <w:rtl w:val="0"/>
        </w:rPr>
      </w:r>
    </w:p>
    <w:p w:rsidR="00000000" w:rsidDel="00000000" w:rsidP="00000000" w:rsidRDefault="00000000" w:rsidRPr="00000000" w14:paraId="00000009">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7">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Sustainable Development Goals (SDGs) were laid out by the Unified Countries to address worldwide difficulties, for example, neediness, imbalance, environmental change, ecological debasement, and that's only the tip of the iceberg. Involving 17 objectives, the SDGs give a system to aggregate activity to make a more feasible and fairer world by 2030. Supportability is significant for organizations as it guarantees long haul reasonability as well as adds to cultural prosperity and ecological stewardship (Žižek et al. 2021). Embracing supportability can prompt expense reserve funds, improved brand notoriety, admittance to new business sectors, and diminished gambles. The motivation behind this report is to propose creative business procedures that advance supportability and address a particular SDG. Thus, we mean to give noteworthy experiences to organizations to contribute successfully to worldwide supportability endeavors.</w:t>
      </w:r>
    </w:p>
    <w:p w:rsidR="00000000" w:rsidDel="00000000" w:rsidP="00000000" w:rsidRDefault="00000000" w:rsidRPr="00000000" w14:paraId="00000018">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SELECTION OF SDG AND BUSINESS ORGANIZATION</w:t>
      </w:r>
    </w:p>
    <w:p w:rsidR="00000000" w:rsidDel="00000000" w:rsidP="00000000" w:rsidRDefault="00000000" w:rsidRPr="00000000" w14:paraId="0000001A">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picked Sustainable Development Goal (SDG) will be SDG 7: Reasonable and Clean Energy. SDG 7 intends to guarantee admittance to reasonable, solid, manageable, and present-day energy for all by 2030, advancing environmentally friendly power reception, energy productivity, and general admittance to power. I chose SDG 7 because of its basic job in tending to environmental change, lessening air contamination, and cultivating financial turn of events. Admittance to reasonable and clean energy is principal for accomplishing other SDGs, like destitution mitigation, wellbeing improvement, and economical industrialization (Fonseca et al. 2020). </w:t>
      </w:r>
    </w:p>
    <w:p w:rsidR="00000000" w:rsidDel="00000000" w:rsidP="00000000" w:rsidRDefault="00000000" w:rsidRPr="00000000" w14:paraId="0000001B">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picked business association is SolarTech Arrangements, a main supplier of sun powered energy arrangements. SolarTech Arrangements has practical experience in planning, assembling, and introducing sunlight powered chargers for private, business, and modern clients. SolarTech Arrangements is profoundly pertinent to SDG 7 as it straightforwardly adds to the advancement of spotless and reasonable energy through its sun powered energy items and administrations. By tackling sun-based power, the association diminishes reliance on petroleum products, relieving ozone depleting substance outflows and progressing maintainable energy access.</w:t>
      </w:r>
    </w:p>
    <w:p w:rsidR="00000000" w:rsidDel="00000000" w:rsidP="00000000" w:rsidRDefault="00000000" w:rsidRPr="00000000" w14:paraId="0000001D">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CURRENT STATE ANALYSIS</w:t>
      </w:r>
    </w:p>
    <w:p w:rsidR="00000000" w:rsidDel="00000000" w:rsidP="00000000" w:rsidRDefault="00000000" w:rsidRPr="00000000" w14:paraId="0000001F">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has attempted a few drives to add to manageability and address SDG 7: Reasonable and Clean Energy. The organization's essential spotlight has been on creating and elevating sun powered energy answers for both private and business clients. SolarTech Arrangements has carried out different projects to increment mindfulness about the advantages of sun-based energy, offering instructive studios and courses on sustainable power reception (Perez and Hansen 2020). Furthermore, the organization has put resources into innovative work to upgrade the effectiveness and moderateness of sun powered chargers, making them more open to a more extensive scope of purchasers. While SolarTech Arrangements' endeavors in advancing clean energy are estimable, there is opportunity to get better in the viability of its ongoing procedures. Regardless of expanding mindfulness, the take-up of sunlight-based energy arrangements among specific socio economics remains moderately low. </w:t>
      </w:r>
    </w:p>
    <w:p w:rsidR="00000000" w:rsidDel="00000000" w:rsidP="00000000" w:rsidRDefault="00000000" w:rsidRPr="00000000" w14:paraId="00000020">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recommends that there might be obstructions, like expense or absence of admittance to supporting, preventing more extensive reception. Besides, the organization could reinforce its associations with nearby legislatures and utilities to smooth out allowing processes and boost sun-oriented establishments. ID of these holes features open doors for SolarTech Answers to improve its effect on SDG 7. By addressing obstructions to reception and growing admittance to sun powered energy arrangements, the organization can more readily add to the objective of guaranteeing reasonable and clean energy for all, accordingly speeding up progress towards practical turn of events.</w:t>
      </w:r>
    </w:p>
    <w:p w:rsidR="00000000" w:rsidDel="00000000" w:rsidP="00000000" w:rsidRDefault="00000000" w:rsidRPr="00000000" w14:paraId="00000022">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INNOVATIVE BUSINESS STRATEGIES</w:t>
      </w:r>
    </w:p>
    <w:p w:rsidR="00000000" w:rsidDel="00000000" w:rsidP="00000000" w:rsidRDefault="00000000" w:rsidRPr="00000000" w14:paraId="00000024">
      <w:pPr>
        <w:spacing w:line="360" w:lineRule="auto"/>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Strategy 1: Community Solar Partnership Initiative</w:t>
      </w:r>
      <w:r w:rsidDel="00000000" w:rsidR="00000000" w:rsidRPr="00000000">
        <w:rPr>
          <w:rtl w:val="0"/>
        </w:rPr>
      </w:r>
    </w:p>
    <w:p w:rsidR="00000000" w:rsidDel="00000000" w:rsidP="00000000" w:rsidRDefault="00000000" w:rsidRPr="00000000" w14:paraId="00000026">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will team up with nearby networks to foster local area sun powered projects. These tasks will include introducing sun powered chargers on local area claimed land or housetops, permitting occupants who can't introduce sunlight powered chargers on their own properties to buy into the common sun-based energy framework. This methodology straightforwardly upholds SDG 7 by growing admittance to perfect and reasonable energy. By empowering local area individuals to partake in shared sun-based projects, SolarTech Arrangements can give environmentally friendly power admittance to families that might confront obstructions like investment properties or restricted monetary assets (Bhuiyan et al. 2021).</w:t>
      </w:r>
    </w:p>
    <w:p w:rsidR="00000000" w:rsidDel="00000000" w:rsidP="00000000" w:rsidRDefault="00000000" w:rsidRPr="00000000" w14:paraId="00000027">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Strategy 2: Solar Energy Microgrid Development</w:t>
      </w:r>
      <w:r w:rsidDel="00000000" w:rsidR="00000000" w:rsidRPr="00000000">
        <w:rPr>
          <w:rtl w:val="0"/>
        </w:rPr>
      </w:r>
    </w:p>
    <w:p w:rsidR="00000000" w:rsidDel="00000000" w:rsidP="00000000" w:rsidRDefault="00000000" w:rsidRPr="00000000" w14:paraId="00000029">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will lay out sun-based energy microgrids in off-matrix or underserved regions, giving dependable power to networks without admittance to concentrated power foundation. This system adds to SDG 7 by advancing off-network sustainable power arrangements. By conveying sun oriented microgrids, SolarTech Arrangements can further develop energy access in distant locales, supporting financial turn of events, training, and medical care administrations (Chung et al. 2023). Possible advantages and effects are upgraded energy access and dependability for off-matrix networks, decrease in dependence on diesel generators and other energy sources, assistance of neighborhood financial advancement through expanded efficiency and occupation creation in energy-related enterprises and improvement in expectations for everyday comforts and personal satisfaction for occupants, especially in rustic regions.</w:t>
      </w:r>
    </w:p>
    <w:p w:rsidR="00000000" w:rsidDel="00000000" w:rsidP="00000000" w:rsidRDefault="00000000" w:rsidRPr="00000000" w14:paraId="0000002A">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Strategy 3: Solar Energy Education and Training Program</w:t>
      </w:r>
      <w:r w:rsidDel="00000000" w:rsidR="00000000" w:rsidRPr="00000000">
        <w:rPr>
          <w:rtl w:val="0"/>
        </w:rPr>
      </w:r>
    </w:p>
    <w:p w:rsidR="00000000" w:rsidDel="00000000" w:rsidP="00000000" w:rsidRDefault="00000000" w:rsidRPr="00000000" w14:paraId="0000002C">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will send off a schooling and preparing program zeroed in on sun-based energy innovation and establishment methods. This program will target neighborhood networks, professional schools, and industry experts, meaning to assemble limits and ability in sunlight-based energy organization. This procedure upholds SDG 7 by encouraging information move and expertise advancement in the environmentally friendly power area. By outfitting people with the important abilities to work in the sun-based industry, SolarTech Arrangements can work with the far-reaching reception of sun-oriented energy arrangements.</w:t>
      </w:r>
    </w:p>
    <w:p w:rsidR="00000000" w:rsidDel="00000000" w:rsidP="00000000" w:rsidRDefault="00000000" w:rsidRPr="00000000" w14:paraId="0000002D">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STAKEHOLDER ENGAGEMENT AND PARTNERSHIPS</w:t>
      </w:r>
    </w:p>
    <w:p w:rsidR="00000000" w:rsidDel="00000000" w:rsidP="00000000" w:rsidRDefault="00000000" w:rsidRPr="00000000" w14:paraId="00000030">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Partner commitment is foremost in accomplishing maintainability objectives as it works with joint effort, fabricates trust, and guarantees that different viewpoints and interests are viewed as in dynamic cycles (MacDonald et al. 2022). Connecting with partners empowers organizations to figure out the requirements and assumptions for different partners, distinguish expected obstructions or open doors, and collect help for supportability drives. Additionally, including partners encourages responsibility and straightforwardness, upgrading the validity and authenticity of maintainability endeavors. </w:t>
      </w:r>
    </w:p>
    <w:p w:rsidR="00000000" w:rsidDel="00000000" w:rsidP="00000000" w:rsidRDefault="00000000" w:rsidRPr="00000000" w14:paraId="00000031">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Partner commitment is principal in accomplishing maintainability objectives as it works with joint effort, fabricates trust, and guarantees that different points of view and interests are viewed as in dynamic cycles. Connecting with partners empowers organizations to grasp the necessities and assumptions for different partners, distinguish likely hindrances or open doors, and gather support for maintainability drives (Aksoy et al. 2022). In addition, including partners encourages responsibility and straightforwardness, improving the believability and authenticity of supportability endeavors </w:t>
      </w:r>
      <w:r w:rsidDel="00000000" w:rsidR="00000000" w:rsidRPr="00000000">
        <w:rPr>
          <w:rFonts w:ascii="Times New Roman" w:cs="Times New Roman" w:eastAsia="Times New Roman" w:hAnsi="Times New Roman"/>
          <w:sz w:val="24"/>
          <w:szCs w:val="24"/>
          <w:highlight w:val="white"/>
          <w:rtl w:val="0"/>
        </w:rPr>
        <w:t xml:space="preserve">(Strasser, at al., 2021)</w:t>
      </w:r>
      <w:r w:rsidDel="00000000" w:rsidR="00000000" w:rsidRPr="00000000">
        <w:rPr>
          <w:rtl w:val="0"/>
        </w:rPr>
      </w:r>
    </w:p>
    <w:p w:rsidR="00000000" w:rsidDel="00000000" w:rsidP="00000000" w:rsidRDefault="00000000" w:rsidRPr="00000000" w14:paraId="00000033">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Possible associations with different associations, NGOs, or government offices can upgrade the viability and versatility of the proposed techniques. Teaming up with neighborhood state run administrations can smooth out allowing processes, work with admittance to land or roofs for sunlight-based establishments, and give monetary motivations or appropriations to advance sun powered energy reception (Heeter et al. 2021). Joining forces with service organizations can empower net metering game plans, framework interconnection, and energy stockpiling answers for upgrading the dependability and flexibility of sun powered energy frameworks (</w:t>
      </w:r>
      <w:r w:rsidDel="00000000" w:rsidR="00000000" w:rsidRPr="00000000">
        <w:rPr>
          <w:rFonts w:ascii="Times New Roman" w:cs="Times New Roman" w:eastAsia="Times New Roman" w:hAnsi="Times New Roman"/>
          <w:sz w:val="24"/>
          <w:szCs w:val="24"/>
          <w:highlight w:val="white"/>
          <w:rtl w:val="0"/>
        </w:rPr>
        <w:t xml:space="preserve">Soltau, F.,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NGOs and backing gatherings can uphold local area commitment, effort, and mindfulness missions to advance the advantages of sustainable power and work with local area cooperation in sun-oriented projects. Instructive foundations can contribute aptitude in educational plan advancement, preparing conveyance, and limit building drives to enable people with the abilities and information required for vocations in the sun powered industry. Industry affiliations can work with systems administration, open doors, information sharing, and strategy support to advance the development and maintainability of the environmentally friendly power area (Fischer et al. 2021).</w:t>
      </w:r>
    </w:p>
    <w:p w:rsidR="00000000" w:rsidDel="00000000" w:rsidP="00000000" w:rsidRDefault="00000000" w:rsidRPr="00000000" w14:paraId="00000037">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MEASUREMENT AND EVALUATION</w:t>
      </w:r>
    </w:p>
    <w:p w:rsidR="00000000" w:rsidDel="00000000" w:rsidP="00000000" w:rsidRDefault="00000000" w:rsidRPr="00000000" w14:paraId="00000039">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Measurements and markers for estimating the outcome of the proposed procedures will incorporate number of families or networks getting to clean energy through the carried-out projects, decrease in ozone depleting substance discharges and petroleum product reliance contrasted with pattern levels, cost reserve funds accomplished by members or recipients of the drives, and level of local area commitment and fulfillment with the executed activities. (Fischer et al. 2021).</w:t>
      </w:r>
    </w:p>
    <w:p w:rsidR="00000000" w:rsidDel="00000000" w:rsidP="00000000" w:rsidRDefault="00000000" w:rsidRPr="00000000" w14:paraId="0000003A">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and revealing will happen consistently, with quarterly surveys of key execution pointers and progress towards maintainability objectives. Moreover, yearly reports will give exhaustive appraisals of the viability and effect of the executed systems. This recurrence considers opportune distinguishing proof of triumphs, difficulties, and regions for development, guaranteeing that restorative activities can be taken expeditiously.</w:t>
      </w:r>
    </w:p>
    <w:p w:rsidR="00000000" w:rsidDel="00000000" w:rsidP="00000000" w:rsidRDefault="00000000" w:rsidRPr="00000000" w14:paraId="0000003C">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cycle for changing systems in light of assessment results will include leading careful examinations of execution information, partner criticism, and outer variables affecting the results. Recognized shortcomings or holes will be tended to through designated intercessions, for example, refining project plans, improving partner commitment endeavors, or redistributing assets to areas of more prominent need. Ceaseless observing and assessment will empower versatile administration, guaranteeing that methodologies stay receptive to advancing conditions and amplify their commitment to maintainability objectives.</w:t>
      </w:r>
    </w:p>
    <w:p w:rsidR="00000000" w:rsidDel="00000000" w:rsidP="00000000" w:rsidRDefault="00000000" w:rsidRPr="00000000" w14:paraId="0000003E">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40">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in all, the execution of imaginative business methodologies by SolarTech Arrangements presents a huge chance to progress Manageable Improvement Objective 7: Reasonable and Clean Energy. By utilizing local area associations, embracing mechanical headways, and cultivating partner commitment, SolarTech Arrangements can defeat difficulties and really advance the reception of sun powered energy arrangements. Through these endeavors, the association not just adds to decreasing fossil fuel byproducts and relieving environmental change yet in addition encourages monetary turn of events, further develops energy access, and upgrades the personal satisfaction for networks. Pushing ahead, proceeded with obligation to supportability, continuous assessment of progress, and versatile administration will be fundamental to boost the positive effect of SolarTech Arrangements' drives and speed up progress towards a more manageable future.</w:t>
      </w:r>
    </w:p>
    <w:p w:rsidR="00000000" w:rsidDel="00000000" w:rsidP="00000000" w:rsidRDefault="00000000" w:rsidRPr="00000000" w14:paraId="00000041">
      <w:pPr>
        <w:spacing w:after="160" w:line="259" w:lineRule="auto"/>
        <w:ind w:firstLine="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2">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43">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Aksoy, L., Banda, S., Harmeling, C., Keiningham, T.L. and Pansari, A., 2022. Marketing’s role in multi-stakeholder engagement. International Journal of Research in Marketing, 39(2), pp.445-461.</w:t>
      </w:r>
    </w:p>
    <w:p w:rsidR="00000000" w:rsidDel="00000000" w:rsidP="00000000" w:rsidRDefault="00000000" w:rsidRPr="00000000" w14:paraId="00000044">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Bhuiyan, M.R.A., Mamur, H. and Begum, J., 2021. A brief review on renewable and sustainable energy resources in Bangladesh. Cleaner Engineering and Technology, 4, p.100208.</w:t>
      </w:r>
    </w:p>
    <w:p w:rsidR="00000000" w:rsidDel="00000000" w:rsidP="00000000" w:rsidRDefault="00000000" w:rsidRPr="00000000" w14:paraId="00000045">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Chung, J., Sukumaran, S., Hlebnikov, A. and Volkova, A., 2023, September. Design and Development of a Conceptual Solar Energy Laboratory for District Heating Applications. In Solar (Vol. 3, No. 3, pp. 504-521). MDPI.</w:t>
      </w:r>
    </w:p>
    <w:p w:rsidR="00000000" w:rsidDel="00000000" w:rsidP="00000000" w:rsidRDefault="00000000" w:rsidRPr="00000000" w14:paraId="00000046">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Fischer, B., Guerrero, M., Guimón, J. and Schaeffer, P.R., 2021. Knowledge transfer for frugal innovation: where do entrepreneurial universities stand?. Journal of Knowledge Management, 25(2), pp.360-379.</w:t>
      </w:r>
    </w:p>
    <w:p w:rsidR="00000000" w:rsidDel="00000000" w:rsidP="00000000" w:rsidRDefault="00000000" w:rsidRPr="00000000" w14:paraId="00000047">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Fonseca, L.M., Domingues, J.P. and Dima, A.M., 2020. Mapping the sustainable development goals relationships. Sustainability, 12(8), p.3359.</w:t>
      </w:r>
    </w:p>
    <w:p w:rsidR="00000000" w:rsidDel="00000000" w:rsidP="00000000" w:rsidRDefault="00000000" w:rsidRPr="00000000" w14:paraId="00000048">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MacDonald, A., Clarke, A. and Huang, L., 2022. Multi-stakeholder partnerships for sustainability: Designing decision-making processes for partnership capacity. In Business and the ethical implications of technology (pp. 103-120). Cham: Springer Nature Switzerland.</w:t>
      </w:r>
    </w:p>
    <w:p w:rsidR="00000000" w:rsidDel="00000000" w:rsidP="00000000" w:rsidRDefault="00000000" w:rsidRPr="00000000" w14:paraId="00000049">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Perez, A.J.G. and Hansen, T., 2020. Technology characteristics and catching-up policies: Solar energy technologies in Mexico. Energy for Sustainable Development, 56, pp.51-66.</w:t>
      </w:r>
    </w:p>
    <w:p w:rsidR="00000000" w:rsidDel="00000000" w:rsidP="00000000" w:rsidRDefault="00000000" w:rsidRPr="00000000" w14:paraId="0000004A">
      <w:pPr>
        <w:spacing w:line="360" w:lineRule="auto"/>
        <w:ind w:left="720" w:hanging="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Soltau, F., 2021. The Sustainable Development Goals (SDGs). In </w:t>
      </w:r>
      <w:r w:rsidDel="00000000" w:rsidR="00000000" w:rsidRPr="00000000">
        <w:rPr>
          <w:rFonts w:ascii="Times New Roman" w:cs="Times New Roman" w:eastAsia="Times New Roman" w:hAnsi="Times New Roman"/>
          <w:i w:val="1"/>
          <w:sz w:val="24"/>
          <w:szCs w:val="24"/>
          <w:highlight w:val="white"/>
          <w:rtl w:val="0"/>
        </w:rPr>
        <w:t xml:space="preserve">World Scientific Encyclopedia of Climate Change: Case Studies of Climate Risk, Action, and Opportunity Volume 2</w:t>
      </w:r>
      <w:r w:rsidDel="00000000" w:rsidR="00000000" w:rsidRPr="00000000">
        <w:rPr>
          <w:rFonts w:ascii="Times New Roman" w:cs="Times New Roman" w:eastAsia="Times New Roman" w:hAnsi="Times New Roman"/>
          <w:sz w:val="24"/>
          <w:szCs w:val="24"/>
          <w:highlight w:val="white"/>
          <w:rtl w:val="0"/>
        </w:rPr>
        <w:t xml:space="preserve"> (pp. 29-42).</w:t>
      </w:r>
    </w:p>
    <w:p w:rsidR="00000000" w:rsidDel="00000000" w:rsidP="00000000" w:rsidRDefault="00000000" w:rsidRPr="00000000" w14:paraId="0000004B">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Strasser, S., Stauber, C., Shrivastava, R., Riley, P. and O’Quin, K., 2021. Collective insights of public-private partnership impacts and sustainability: A qualitative analysis. </w:t>
      </w:r>
      <w:r w:rsidDel="00000000" w:rsidR="00000000" w:rsidRPr="00000000">
        <w:rPr>
          <w:rFonts w:ascii="Times New Roman" w:cs="Times New Roman" w:eastAsia="Times New Roman" w:hAnsi="Times New Roman"/>
          <w:i w:val="1"/>
          <w:sz w:val="24"/>
          <w:szCs w:val="24"/>
          <w:highlight w:val="white"/>
          <w:rtl w:val="0"/>
        </w:rPr>
        <w:t xml:space="preserve">Plosone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16</w:t>
      </w:r>
      <w:r w:rsidDel="00000000" w:rsidR="00000000" w:rsidRPr="00000000">
        <w:rPr>
          <w:rFonts w:ascii="Times New Roman" w:cs="Times New Roman" w:eastAsia="Times New Roman" w:hAnsi="Times New Roman"/>
          <w:sz w:val="24"/>
          <w:szCs w:val="24"/>
          <w:highlight w:val="white"/>
          <w:rtl w:val="0"/>
        </w:rPr>
        <w:t xml:space="preserve">(7), p.e0254495.</w:t>
      </w:r>
      <w:r w:rsidDel="00000000" w:rsidR="00000000" w:rsidRPr="00000000">
        <w:rPr>
          <w:rtl w:val="0"/>
        </w:rPr>
      </w:r>
    </w:p>
    <w:p w:rsidR="00000000" w:rsidDel="00000000" w:rsidP="00000000" w:rsidRDefault="00000000" w:rsidRPr="00000000" w14:paraId="0000004C">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Žižek, S.Š., Mulej, M. and Potočnik, A., 2021. The sustainable socially responsible society: Well-being society 6.0. Sustainability, 13(16), p.9186.</w:t>
      </w:r>
    </w:p>
    <w:p w:rsidR="00000000" w:rsidDel="00000000" w:rsidP="00000000" w:rsidRDefault="00000000" w:rsidRPr="00000000" w14:paraId="0000004D">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ind w:firstLine="0"/>
        <w:rPr>
          <w:rFonts w:ascii="Times New Roman" w:cs="Times New Roman" w:eastAsia="Times New Roman" w:hAnsi="Times New Roman"/>
          <w:sz w:val="24"/>
          <w:szCs w:val="24"/>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59" w:lineRule="auto"/>
      <w:ind w:firstLine="0"/>
    </w:pPr>
    <w:rPr>
      <w:rFonts w:ascii="Times New Roman" w:cs="Times New Roman" w:eastAsia="Times New Roman" w:hAnsi="Times New Roman"/>
      <w:b w:val="1"/>
      <w:i w:val="1"/>
      <w:sz w:val="24"/>
      <w:szCs w:val="24"/>
    </w:rPr>
  </w:style>
  <w:style w:type="paragraph" w:styleId="Heading2">
    <w:name w:val="heading 2"/>
    <w:basedOn w:val="Normal"/>
    <w:next w:val="Normal"/>
    <w:pPr>
      <w:spacing w:line="240" w:lineRule="auto"/>
      <w:ind w:firstLine="0"/>
    </w:pPr>
    <w:rPr>
      <w:rFonts w:ascii="Times New Roman" w:cs="Times New Roman" w:eastAsia="Times New Roman" w:hAnsi="Times New Roman"/>
      <w:i w:val="1"/>
      <w:sz w:val="24"/>
      <w:szCs w:val="24"/>
    </w:rPr>
  </w:style>
  <w:style w:type="paragraph" w:styleId="Heading3">
    <w:name w:val="heading 3"/>
    <w:basedOn w:val="Normal"/>
    <w:next w:val="Normal"/>
    <w:pPr>
      <w:keepNext w:val="1"/>
      <w:keepLines w:val="1"/>
      <w:spacing w:before="40" w:lineRule="auto"/>
      <w:ind w:firstLine="0"/>
    </w:pPr>
    <w:rPr>
      <w:rFonts w:ascii="Times New Roman" w:cs="Times New Roman" w:eastAsia="Times New Roman" w:hAnsi="Times New Roman"/>
      <w:color w:val="000000"/>
      <w:sz w:val="24"/>
      <w:szCs w:val="24"/>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i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30FE8"/>
    <w:pPr>
      <w:spacing w:after="0" w:line="480" w:lineRule="auto"/>
      <w:ind w:firstLine="720"/>
    </w:pPr>
  </w:style>
  <w:style w:type="paragraph" w:styleId="Heading1">
    <w:name w:val="heading 1"/>
    <w:basedOn w:val="Normal"/>
    <w:next w:val="Normal"/>
    <w:link w:val="Heading1Char"/>
    <w:autoRedefine w:val="1"/>
    <w:uiPriority w:val="9"/>
    <w:qFormat w:val="1"/>
    <w:rsid w:val="00D06E83"/>
    <w:pPr>
      <w:keepNext w:val="1"/>
      <w:keepLines w:val="1"/>
      <w:spacing w:before="240" w:line="259" w:lineRule="auto"/>
      <w:ind w:firstLine="0"/>
      <w:outlineLvl w:val="0"/>
    </w:pPr>
    <w:rPr>
      <w:rFonts w:ascii="Times New Roman" w:hAnsi="Times New Roman" w:cstheme="majorBidi" w:eastAsiaTheme="majorEastAsia"/>
      <w:b w:val="1"/>
      <w:i w:val="1"/>
      <w:sz w:val="24"/>
      <w:szCs w:val="32"/>
    </w:rPr>
  </w:style>
  <w:style w:type="paragraph" w:styleId="Heading2">
    <w:name w:val="heading 2"/>
    <w:basedOn w:val="Normal"/>
    <w:link w:val="Heading2Char"/>
    <w:autoRedefine w:val="1"/>
    <w:uiPriority w:val="9"/>
    <w:qFormat w:val="1"/>
    <w:rsid w:val="00D06E83"/>
    <w:pPr>
      <w:spacing w:after="100" w:afterAutospacing="1" w:before="100" w:beforeAutospacing="1" w:line="240" w:lineRule="auto"/>
      <w:ind w:firstLine="0"/>
      <w:outlineLvl w:val="1"/>
    </w:pPr>
    <w:rPr>
      <w:rFonts w:ascii="Times New Roman" w:cs="Times New Roman" w:eastAsia="Times New Roman" w:hAnsi="Times New Roman"/>
      <w:bCs w:val="1"/>
      <w:i w:val="1"/>
      <w:sz w:val="24"/>
      <w:szCs w:val="36"/>
      <w:lang w:eastAsia="en-GB"/>
    </w:rPr>
  </w:style>
  <w:style w:type="paragraph" w:styleId="Heading3">
    <w:name w:val="heading 3"/>
    <w:basedOn w:val="Normal"/>
    <w:next w:val="Normal"/>
    <w:link w:val="Heading3Char"/>
    <w:autoRedefine w:val="1"/>
    <w:uiPriority w:val="9"/>
    <w:unhideWhenUsed w:val="1"/>
    <w:qFormat w:val="1"/>
    <w:rsid w:val="00987BCA"/>
    <w:pPr>
      <w:keepNext w:val="1"/>
      <w:keepLines w:val="1"/>
      <w:spacing w:before="40"/>
      <w:ind w:firstLine="0"/>
      <w:outlineLvl w:val="2"/>
    </w:pPr>
    <w:rPr>
      <w:rFonts w:ascii="Times New Roman" w:hAnsi="Times New Roman" w:cstheme="majorBidi" w:eastAsiaTheme="majorEastAsia"/>
      <w:color w:val="000000" w:themeColor="text1"/>
      <w:sz w:val="24"/>
      <w:szCs w:val="24"/>
    </w:rPr>
  </w:style>
  <w:style w:type="paragraph" w:styleId="Heading4">
    <w:name w:val="heading 4"/>
    <w:basedOn w:val="Normal"/>
    <w:next w:val="Normal"/>
    <w:link w:val="Heading4Char"/>
    <w:autoRedefine w:val="1"/>
    <w:uiPriority w:val="9"/>
    <w:semiHidden w:val="1"/>
    <w:unhideWhenUsed w:val="1"/>
    <w:qFormat w:val="1"/>
    <w:rsid w:val="009968C2"/>
    <w:pPr>
      <w:keepNext w:val="1"/>
      <w:keepLines w:val="1"/>
      <w:spacing w:before="40"/>
      <w:outlineLvl w:val="3"/>
    </w:pPr>
    <w:rPr>
      <w:rFonts w:ascii="Times New Roman" w:hAnsi="Times New Roman" w:cstheme="majorBidi" w:eastAsiaTheme="majorEastAsia"/>
      <w:i w:val="1"/>
      <w:iCs w:val="1"/>
      <w:sz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06E83"/>
    <w:rPr>
      <w:rFonts w:ascii="Times New Roman" w:hAnsi="Times New Roman" w:cstheme="majorBidi" w:eastAsiaTheme="majorEastAsia"/>
      <w:b w:val="1"/>
      <w:i w:val="1"/>
      <w:sz w:val="24"/>
      <w:szCs w:val="32"/>
    </w:rPr>
  </w:style>
  <w:style w:type="character" w:styleId="Heading2Char" w:customStyle="1">
    <w:name w:val="Heading 2 Char"/>
    <w:basedOn w:val="DefaultParagraphFont"/>
    <w:link w:val="Heading2"/>
    <w:uiPriority w:val="9"/>
    <w:rsid w:val="00D06E83"/>
    <w:rPr>
      <w:rFonts w:ascii="Times New Roman" w:cs="Times New Roman" w:eastAsia="Times New Roman" w:hAnsi="Times New Roman"/>
      <w:bCs w:val="1"/>
      <w:i w:val="1"/>
      <w:sz w:val="24"/>
      <w:szCs w:val="36"/>
      <w:lang w:eastAsia="en-GB"/>
    </w:rPr>
  </w:style>
  <w:style w:type="character" w:styleId="Heading3Char" w:customStyle="1">
    <w:name w:val="Heading 3 Char"/>
    <w:basedOn w:val="DefaultParagraphFont"/>
    <w:link w:val="Heading3"/>
    <w:uiPriority w:val="9"/>
    <w:rsid w:val="00987BCA"/>
    <w:rPr>
      <w:rFonts w:ascii="Times New Roman" w:hAnsi="Times New Roman" w:cstheme="majorBidi" w:eastAsiaTheme="majorEastAsia"/>
      <w:color w:val="000000" w:themeColor="text1"/>
      <w:sz w:val="24"/>
      <w:szCs w:val="24"/>
    </w:rPr>
  </w:style>
  <w:style w:type="character" w:styleId="Heading4Char" w:customStyle="1">
    <w:name w:val="Heading 4 Char"/>
    <w:basedOn w:val="DefaultParagraphFont"/>
    <w:link w:val="Heading4"/>
    <w:uiPriority w:val="9"/>
    <w:semiHidden w:val="1"/>
    <w:rsid w:val="009968C2"/>
    <w:rPr>
      <w:rFonts w:ascii="Times New Roman" w:hAnsi="Times New Roman" w:cstheme="majorBidi" w:eastAsiaTheme="majorEastAsia"/>
      <w:i w:val="1"/>
      <w:iCs w:val="1"/>
      <w:sz w:val="24"/>
    </w:rPr>
  </w:style>
  <w:style w:type="paragraph" w:styleId="BodyText">
    <w:name w:val="Body Text"/>
    <w:basedOn w:val="Normal"/>
    <w:link w:val="BodyTextChar"/>
    <w:autoRedefine w:val="1"/>
    <w:uiPriority w:val="1"/>
    <w:qFormat w:val="1"/>
    <w:rsid w:val="00B632F7"/>
    <w:pPr>
      <w:widowControl w:val="0"/>
      <w:autoSpaceDE w:val="0"/>
      <w:autoSpaceDN w:val="0"/>
      <w:spacing w:after="120" w:before="120"/>
    </w:pPr>
    <w:rPr>
      <w:rFonts w:ascii="Arial MT" w:cs="Arial MT" w:eastAsia="Arial MT" w:hAnsi="Arial MT"/>
      <w:kern w:val="0"/>
      <w:sz w:val="24"/>
      <w:szCs w:val="24"/>
    </w:rPr>
  </w:style>
  <w:style w:type="character" w:styleId="BodyTextChar" w:customStyle="1">
    <w:name w:val="Body Text Char"/>
    <w:basedOn w:val="DefaultParagraphFont"/>
    <w:link w:val="BodyText"/>
    <w:uiPriority w:val="1"/>
    <w:rsid w:val="00B632F7"/>
    <w:rPr>
      <w:rFonts w:ascii="Arial MT" w:cs="Arial MT" w:eastAsia="Arial MT" w:hAnsi="Arial MT"/>
      <w:kern w:val="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1drv.ms/p/c/365fbec2349f77e3/ESYtc0Lrli1PkR-S2j6tv3sBnC47iTAHEIZaFY0Yj7woy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Yc97H6+LUV1JDPFdZ5B4PYwagA==">CgMxLjA4AHIhMWtqbmhITmJpVk03dDVPNGxlajNUVlh1YWhLZGlxalB0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2024-02-05T15:56:00Z</dcterms:created>
  <dc:creator>DC</dc:creator>
</cp:coreProperties>
</file>