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74718F" w14:textId="77777777" w:rsidR="00030055" w:rsidRDefault="00030055">
      <w:pPr>
        <w:pBdr>
          <w:top w:val="nil"/>
          <w:left w:val="nil"/>
          <w:bottom w:val="nil"/>
          <w:right w:val="nil"/>
          <w:between w:val="nil"/>
        </w:pBdr>
        <w:spacing w:after="240" w:line="360" w:lineRule="auto"/>
        <w:jc w:val="both"/>
        <w:rPr>
          <w:b/>
          <w:color w:val="000000"/>
        </w:rPr>
      </w:pPr>
    </w:p>
    <w:p w14:paraId="45355098" w14:textId="77777777" w:rsidR="00030055" w:rsidRDefault="00030055">
      <w:pPr>
        <w:pBdr>
          <w:top w:val="nil"/>
          <w:left w:val="nil"/>
          <w:bottom w:val="nil"/>
          <w:right w:val="nil"/>
          <w:between w:val="nil"/>
        </w:pBdr>
        <w:spacing w:after="240" w:line="360" w:lineRule="auto"/>
        <w:jc w:val="both"/>
        <w:rPr>
          <w:b/>
          <w:color w:val="000000"/>
        </w:rPr>
      </w:pPr>
    </w:p>
    <w:p w14:paraId="2961A24C" w14:textId="77777777" w:rsidR="00030055" w:rsidRDefault="00FE3FA4">
      <w:pPr>
        <w:pBdr>
          <w:top w:val="nil"/>
          <w:left w:val="nil"/>
          <w:bottom w:val="nil"/>
          <w:right w:val="nil"/>
          <w:between w:val="nil"/>
        </w:pBdr>
        <w:spacing w:after="240" w:line="360" w:lineRule="auto"/>
        <w:jc w:val="center"/>
        <w:rPr>
          <w:b/>
          <w:color w:val="000000"/>
          <w:sz w:val="36"/>
          <w:szCs w:val="36"/>
        </w:rPr>
      </w:pPr>
      <w:r>
        <w:rPr>
          <w:b/>
          <w:color w:val="000000"/>
          <w:sz w:val="36"/>
          <w:szCs w:val="36"/>
        </w:rPr>
        <w:t>The module code: Strategic Management for SMEs</w:t>
      </w:r>
    </w:p>
    <w:p w14:paraId="219C179A" w14:textId="77777777" w:rsidR="00030055" w:rsidRDefault="00FE3FA4">
      <w:pPr>
        <w:pBdr>
          <w:top w:val="nil"/>
          <w:left w:val="nil"/>
          <w:bottom w:val="nil"/>
          <w:right w:val="nil"/>
          <w:between w:val="nil"/>
        </w:pBdr>
        <w:spacing w:after="240" w:line="360" w:lineRule="auto"/>
        <w:jc w:val="center"/>
        <w:rPr>
          <w:b/>
          <w:color w:val="000000"/>
          <w:sz w:val="36"/>
          <w:szCs w:val="36"/>
        </w:rPr>
      </w:pPr>
      <w:r>
        <w:rPr>
          <w:b/>
          <w:color w:val="000000"/>
          <w:sz w:val="36"/>
          <w:szCs w:val="36"/>
        </w:rPr>
        <w:t>Lecturer’s name:</w:t>
      </w:r>
    </w:p>
    <w:p w14:paraId="7C422830" w14:textId="77777777" w:rsidR="00030055" w:rsidRDefault="00FE3FA4">
      <w:pPr>
        <w:pBdr>
          <w:top w:val="nil"/>
          <w:left w:val="nil"/>
          <w:bottom w:val="nil"/>
          <w:right w:val="nil"/>
          <w:between w:val="nil"/>
        </w:pBdr>
        <w:spacing w:before="120" w:after="240" w:line="360" w:lineRule="auto"/>
        <w:jc w:val="center"/>
        <w:rPr>
          <w:b/>
          <w:sz w:val="36"/>
          <w:szCs w:val="36"/>
        </w:rPr>
      </w:pPr>
      <w:r>
        <w:rPr>
          <w:b/>
          <w:color w:val="000000"/>
          <w:sz w:val="36"/>
          <w:szCs w:val="36"/>
        </w:rPr>
        <w:t xml:space="preserve">Assignment Title: Task 01 – Strategic Plan </w:t>
      </w:r>
    </w:p>
    <w:p w14:paraId="110CB0F4" w14:textId="77777777" w:rsidR="00030055" w:rsidRDefault="00FE3FA4">
      <w:pPr>
        <w:pBdr>
          <w:top w:val="nil"/>
          <w:left w:val="nil"/>
          <w:bottom w:val="nil"/>
          <w:right w:val="nil"/>
          <w:between w:val="nil"/>
        </w:pBdr>
        <w:spacing w:before="120" w:after="240" w:line="360" w:lineRule="auto"/>
        <w:jc w:val="center"/>
        <w:rPr>
          <w:b/>
          <w:color w:val="000000"/>
          <w:sz w:val="36"/>
          <w:szCs w:val="36"/>
        </w:rPr>
      </w:pPr>
      <w:r>
        <w:rPr>
          <w:b/>
          <w:color w:val="000000"/>
          <w:sz w:val="36"/>
          <w:szCs w:val="36"/>
        </w:rPr>
        <w:t xml:space="preserve">Task 02 – Individual Academic Poster </w:t>
      </w:r>
    </w:p>
    <w:p w14:paraId="2EED2954" w14:textId="77777777" w:rsidR="00030055" w:rsidRDefault="00030055">
      <w:pPr>
        <w:pBdr>
          <w:top w:val="nil"/>
          <w:left w:val="nil"/>
          <w:bottom w:val="nil"/>
          <w:right w:val="nil"/>
          <w:between w:val="nil"/>
        </w:pBdr>
        <w:spacing w:before="120" w:after="240" w:line="360" w:lineRule="auto"/>
        <w:jc w:val="center"/>
        <w:rPr>
          <w:b/>
          <w:sz w:val="36"/>
          <w:szCs w:val="36"/>
        </w:rPr>
      </w:pPr>
    </w:p>
    <w:p w14:paraId="5B574731" w14:textId="77777777" w:rsidR="00030055" w:rsidRDefault="00030055">
      <w:pPr>
        <w:pBdr>
          <w:top w:val="nil"/>
          <w:left w:val="nil"/>
          <w:bottom w:val="nil"/>
          <w:right w:val="nil"/>
          <w:between w:val="nil"/>
        </w:pBdr>
        <w:spacing w:before="120" w:after="240" w:line="360" w:lineRule="auto"/>
        <w:jc w:val="center"/>
        <w:rPr>
          <w:b/>
          <w:sz w:val="36"/>
          <w:szCs w:val="36"/>
        </w:rPr>
      </w:pPr>
    </w:p>
    <w:p w14:paraId="3E530E2C" w14:textId="51D8E40C" w:rsidR="00030055" w:rsidRDefault="00FE3FA4">
      <w:pPr>
        <w:spacing w:after="240" w:line="360" w:lineRule="auto"/>
        <w:jc w:val="center"/>
        <w:rPr>
          <w:b/>
          <w:sz w:val="36"/>
          <w:szCs w:val="36"/>
        </w:rPr>
      </w:pPr>
      <w:r>
        <w:rPr>
          <w:b/>
          <w:sz w:val="36"/>
          <w:szCs w:val="36"/>
        </w:rPr>
        <w:t>Student Name:</w:t>
      </w:r>
      <w:r w:rsidR="00403240">
        <w:rPr>
          <w:b/>
          <w:sz w:val="36"/>
          <w:szCs w:val="36"/>
        </w:rPr>
        <w:t xml:space="preserve"> </w:t>
      </w:r>
      <w:r>
        <w:rPr>
          <w:b/>
          <w:sz w:val="36"/>
          <w:szCs w:val="36"/>
        </w:rPr>
        <w:t>Nicusor Ionut Aliu</w:t>
      </w:r>
    </w:p>
    <w:p w14:paraId="135392FE" w14:textId="169FEB25" w:rsidR="00030055" w:rsidRDefault="00FE3FA4">
      <w:pPr>
        <w:spacing w:after="240" w:line="360" w:lineRule="auto"/>
        <w:jc w:val="center"/>
        <w:rPr>
          <w:b/>
          <w:sz w:val="36"/>
          <w:szCs w:val="36"/>
        </w:rPr>
      </w:pPr>
      <w:r>
        <w:rPr>
          <w:b/>
          <w:sz w:val="36"/>
          <w:szCs w:val="36"/>
        </w:rPr>
        <w:t>Student ID: 2131114</w:t>
      </w:r>
    </w:p>
    <w:p w14:paraId="083AC80F" w14:textId="77777777" w:rsidR="00030055" w:rsidRDefault="00030055">
      <w:pPr>
        <w:pBdr>
          <w:top w:val="nil"/>
          <w:left w:val="nil"/>
          <w:bottom w:val="nil"/>
          <w:right w:val="nil"/>
          <w:between w:val="nil"/>
        </w:pBdr>
        <w:spacing w:before="120" w:after="240" w:line="360" w:lineRule="auto"/>
        <w:jc w:val="center"/>
        <w:rPr>
          <w:b/>
          <w:sz w:val="36"/>
          <w:szCs w:val="36"/>
        </w:rPr>
      </w:pPr>
    </w:p>
    <w:p w14:paraId="52199A40" w14:textId="77777777" w:rsidR="00030055" w:rsidRDefault="00FE3FA4">
      <w:pPr>
        <w:pBdr>
          <w:top w:val="nil"/>
          <w:left w:val="nil"/>
          <w:bottom w:val="nil"/>
          <w:right w:val="nil"/>
          <w:between w:val="nil"/>
        </w:pBdr>
        <w:spacing w:after="240" w:line="360" w:lineRule="auto"/>
        <w:jc w:val="both"/>
        <w:rPr>
          <w:b/>
          <w:color w:val="000000"/>
        </w:rPr>
      </w:pPr>
      <w:r>
        <w:br w:type="page"/>
      </w:r>
    </w:p>
    <w:p w14:paraId="3B3F68EF" w14:textId="77777777" w:rsidR="00030055" w:rsidRDefault="00FE3FA4">
      <w:pPr>
        <w:keepNext/>
        <w:keepLines/>
        <w:pBdr>
          <w:top w:val="nil"/>
          <w:left w:val="nil"/>
          <w:bottom w:val="nil"/>
          <w:right w:val="nil"/>
          <w:between w:val="nil"/>
        </w:pBdr>
        <w:spacing w:before="480" w:after="240" w:line="360" w:lineRule="auto"/>
        <w:jc w:val="center"/>
        <w:rPr>
          <w:b/>
          <w:color w:val="366091"/>
        </w:rPr>
      </w:pPr>
      <w:r>
        <w:rPr>
          <w:b/>
          <w:color w:val="366091"/>
        </w:rPr>
        <w:lastRenderedPageBreak/>
        <w:t>Table of Contents</w:t>
      </w:r>
    </w:p>
    <w:sdt>
      <w:sdtPr>
        <w:id w:val="617421707"/>
        <w:docPartObj>
          <w:docPartGallery w:val="Table of Contents"/>
          <w:docPartUnique/>
        </w:docPartObj>
      </w:sdtPr>
      <w:sdtEndPr/>
      <w:sdtContent>
        <w:p w14:paraId="0AA970F2" w14:textId="77777777" w:rsidR="00030055" w:rsidRDefault="00FE3FA4">
          <w:pPr>
            <w:pBdr>
              <w:top w:val="nil"/>
              <w:left w:val="nil"/>
              <w:bottom w:val="nil"/>
              <w:right w:val="nil"/>
              <w:between w:val="nil"/>
            </w:pBdr>
            <w:tabs>
              <w:tab w:val="right" w:leader="dot" w:pos="9019"/>
            </w:tabs>
            <w:spacing w:after="240" w:line="360" w:lineRule="auto"/>
            <w:jc w:val="both"/>
            <w:rPr>
              <w:color w:val="000000"/>
            </w:rPr>
          </w:pPr>
          <w:r>
            <w:fldChar w:fldCharType="begin"/>
          </w:r>
          <w:r>
            <w:instrText xml:space="preserve"> TOC \h \u \z \t "Heading 1,1,Heading 2,2,Heading 3,3,"</w:instrText>
          </w:r>
          <w:r>
            <w:fldChar w:fldCharType="separate"/>
          </w:r>
          <w:hyperlink w:anchor="_heading=h.gjdgxs">
            <w:r w:rsidR="00030055">
              <w:rPr>
                <w:color w:val="000000"/>
              </w:rPr>
              <w:t>Task 1: Individual Report</w:t>
            </w:r>
            <w:r w:rsidR="00030055">
              <w:rPr>
                <w:color w:val="000000"/>
              </w:rPr>
              <w:tab/>
              <w:t>3</w:t>
            </w:r>
          </w:hyperlink>
        </w:p>
        <w:p w14:paraId="215E9868" w14:textId="77777777" w:rsidR="00030055" w:rsidRDefault="00030055">
          <w:pPr>
            <w:pBdr>
              <w:top w:val="nil"/>
              <w:left w:val="nil"/>
              <w:bottom w:val="nil"/>
              <w:right w:val="nil"/>
              <w:between w:val="nil"/>
            </w:pBdr>
            <w:tabs>
              <w:tab w:val="right" w:leader="dot" w:pos="9019"/>
            </w:tabs>
            <w:spacing w:after="240" w:line="360" w:lineRule="auto"/>
            <w:ind w:left="220"/>
            <w:jc w:val="both"/>
            <w:rPr>
              <w:color w:val="000000"/>
            </w:rPr>
          </w:pPr>
          <w:hyperlink w:anchor="_heading=h.30j0zll">
            <w:r>
              <w:rPr>
                <w:color w:val="000000"/>
              </w:rPr>
              <w:t>Introduction</w:t>
            </w:r>
            <w:r>
              <w:rPr>
                <w:color w:val="000000"/>
              </w:rPr>
              <w:tab/>
              <w:t>3</w:t>
            </w:r>
          </w:hyperlink>
        </w:p>
        <w:p w14:paraId="450992DD" w14:textId="77777777" w:rsidR="00030055" w:rsidRDefault="00030055">
          <w:pPr>
            <w:pBdr>
              <w:top w:val="nil"/>
              <w:left w:val="nil"/>
              <w:bottom w:val="nil"/>
              <w:right w:val="nil"/>
              <w:between w:val="nil"/>
            </w:pBdr>
            <w:tabs>
              <w:tab w:val="right" w:leader="dot" w:pos="9019"/>
            </w:tabs>
            <w:spacing w:after="240" w:line="360" w:lineRule="auto"/>
            <w:ind w:left="220"/>
            <w:jc w:val="both"/>
            <w:rPr>
              <w:color w:val="000000"/>
            </w:rPr>
          </w:pPr>
          <w:hyperlink w:anchor="_heading=h.1fob9te">
            <w:r>
              <w:rPr>
                <w:color w:val="000000"/>
              </w:rPr>
              <w:t>Current organisational strategy</w:t>
            </w:r>
            <w:r>
              <w:rPr>
                <w:color w:val="000000"/>
              </w:rPr>
              <w:tab/>
              <w:t>3</w:t>
            </w:r>
          </w:hyperlink>
        </w:p>
        <w:p w14:paraId="1B541442" w14:textId="77777777" w:rsidR="00030055" w:rsidRDefault="00030055">
          <w:pPr>
            <w:pBdr>
              <w:top w:val="nil"/>
              <w:left w:val="nil"/>
              <w:bottom w:val="nil"/>
              <w:right w:val="nil"/>
              <w:between w:val="nil"/>
            </w:pBdr>
            <w:tabs>
              <w:tab w:val="right" w:leader="dot" w:pos="9019"/>
            </w:tabs>
            <w:spacing w:after="240" w:line="360" w:lineRule="auto"/>
            <w:ind w:left="220"/>
            <w:jc w:val="both"/>
            <w:rPr>
              <w:color w:val="000000"/>
            </w:rPr>
          </w:pPr>
          <w:hyperlink w:anchor="_heading=h.3znysh7">
            <w:r>
              <w:rPr>
                <w:color w:val="000000"/>
              </w:rPr>
              <w:t>External and internal environment</w:t>
            </w:r>
            <w:r>
              <w:rPr>
                <w:color w:val="000000"/>
              </w:rPr>
              <w:tab/>
              <w:t>5</w:t>
            </w:r>
          </w:hyperlink>
        </w:p>
        <w:p w14:paraId="0399F801" w14:textId="77777777" w:rsidR="00030055" w:rsidRDefault="00030055">
          <w:pPr>
            <w:pBdr>
              <w:top w:val="nil"/>
              <w:left w:val="nil"/>
              <w:bottom w:val="nil"/>
              <w:right w:val="nil"/>
              <w:between w:val="nil"/>
            </w:pBdr>
            <w:tabs>
              <w:tab w:val="right" w:leader="dot" w:pos="9019"/>
            </w:tabs>
            <w:spacing w:after="240" w:line="360" w:lineRule="auto"/>
            <w:ind w:left="220"/>
            <w:jc w:val="both"/>
            <w:rPr>
              <w:color w:val="000000"/>
            </w:rPr>
          </w:pPr>
          <w:hyperlink w:anchor="_heading=h.2et92p0">
            <w:r>
              <w:rPr>
                <w:color w:val="000000"/>
              </w:rPr>
              <w:t>Stakeholders</w:t>
            </w:r>
            <w:r>
              <w:rPr>
                <w:color w:val="000000"/>
              </w:rPr>
              <w:tab/>
              <w:t>8</w:t>
            </w:r>
          </w:hyperlink>
        </w:p>
        <w:p w14:paraId="44CBF18A" w14:textId="77777777" w:rsidR="00030055" w:rsidRDefault="00030055">
          <w:pPr>
            <w:pBdr>
              <w:top w:val="nil"/>
              <w:left w:val="nil"/>
              <w:bottom w:val="nil"/>
              <w:right w:val="nil"/>
              <w:between w:val="nil"/>
            </w:pBdr>
            <w:tabs>
              <w:tab w:val="right" w:leader="dot" w:pos="9019"/>
            </w:tabs>
            <w:spacing w:after="240" w:line="360" w:lineRule="auto"/>
            <w:ind w:left="220"/>
            <w:jc w:val="both"/>
            <w:rPr>
              <w:color w:val="000000"/>
            </w:rPr>
          </w:pPr>
          <w:hyperlink w:anchor="_heading=h.tyjcwt">
            <w:r>
              <w:rPr>
                <w:color w:val="000000"/>
              </w:rPr>
              <w:t>Possible strategic growth options</w:t>
            </w:r>
            <w:r>
              <w:rPr>
                <w:color w:val="000000"/>
              </w:rPr>
              <w:tab/>
              <w:t>11</w:t>
            </w:r>
          </w:hyperlink>
        </w:p>
        <w:p w14:paraId="5EFE174B" w14:textId="77777777" w:rsidR="00030055" w:rsidRDefault="00030055">
          <w:pPr>
            <w:pBdr>
              <w:top w:val="nil"/>
              <w:left w:val="nil"/>
              <w:bottom w:val="nil"/>
              <w:right w:val="nil"/>
              <w:between w:val="nil"/>
            </w:pBdr>
            <w:tabs>
              <w:tab w:val="right" w:leader="dot" w:pos="9019"/>
            </w:tabs>
            <w:spacing w:after="240" w:line="360" w:lineRule="auto"/>
            <w:ind w:left="220"/>
            <w:jc w:val="both"/>
            <w:rPr>
              <w:color w:val="000000"/>
            </w:rPr>
          </w:pPr>
          <w:hyperlink w:anchor="_heading=h.3dy6vkm">
            <w:r>
              <w:rPr>
                <w:color w:val="000000"/>
              </w:rPr>
              <w:t>Strategic recommendations</w:t>
            </w:r>
            <w:r>
              <w:rPr>
                <w:color w:val="000000"/>
              </w:rPr>
              <w:tab/>
              <w:t>12</w:t>
            </w:r>
          </w:hyperlink>
        </w:p>
        <w:p w14:paraId="54D0821E" w14:textId="77777777" w:rsidR="00030055" w:rsidRDefault="00030055">
          <w:pPr>
            <w:pBdr>
              <w:top w:val="nil"/>
              <w:left w:val="nil"/>
              <w:bottom w:val="nil"/>
              <w:right w:val="nil"/>
              <w:between w:val="nil"/>
            </w:pBdr>
            <w:tabs>
              <w:tab w:val="right" w:leader="dot" w:pos="9019"/>
            </w:tabs>
            <w:spacing w:after="240" w:line="360" w:lineRule="auto"/>
            <w:ind w:left="220"/>
            <w:jc w:val="both"/>
            <w:rPr>
              <w:color w:val="000000"/>
            </w:rPr>
          </w:pPr>
          <w:hyperlink w:anchor="_heading=h.1t3h5sf">
            <w:r>
              <w:rPr>
                <w:color w:val="000000"/>
              </w:rPr>
              <w:t>Competitor’s movement and the way the situation can be handled</w:t>
            </w:r>
            <w:r>
              <w:rPr>
                <w:color w:val="000000"/>
              </w:rPr>
              <w:tab/>
              <w:t>13</w:t>
            </w:r>
          </w:hyperlink>
        </w:p>
        <w:p w14:paraId="5E1CABFD" w14:textId="77777777" w:rsidR="00030055" w:rsidRDefault="00030055">
          <w:pPr>
            <w:pBdr>
              <w:top w:val="nil"/>
              <w:left w:val="nil"/>
              <w:bottom w:val="nil"/>
              <w:right w:val="nil"/>
              <w:between w:val="nil"/>
            </w:pBdr>
            <w:tabs>
              <w:tab w:val="right" w:leader="dot" w:pos="9019"/>
            </w:tabs>
            <w:spacing w:after="240" w:line="360" w:lineRule="auto"/>
            <w:ind w:left="220"/>
            <w:jc w:val="both"/>
            <w:rPr>
              <w:color w:val="000000"/>
            </w:rPr>
          </w:pPr>
          <w:hyperlink w:anchor="_heading=h.4d34og8">
            <w:r>
              <w:rPr>
                <w:color w:val="000000"/>
              </w:rPr>
              <w:t>Conclusion</w:t>
            </w:r>
            <w:r>
              <w:rPr>
                <w:color w:val="000000"/>
              </w:rPr>
              <w:tab/>
              <w:t>13</w:t>
            </w:r>
          </w:hyperlink>
        </w:p>
        <w:p w14:paraId="0CFEE2C1" w14:textId="77777777" w:rsidR="00030055" w:rsidRDefault="00030055">
          <w:pPr>
            <w:pBdr>
              <w:top w:val="nil"/>
              <w:left w:val="nil"/>
              <w:bottom w:val="nil"/>
              <w:right w:val="nil"/>
              <w:between w:val="nil"/>
            </w:pBdr>
            <w:tabs>
              <w:tab w:val="right" w:leader="dot" w:pos="9019"/>
            </w:tabs>
            <w:spacing w:after="240" w:line="360" w:lineRule="auto"/>
            <w:jc w:val="both"/>
            <w:rPr>
              <w:color w:val="000000"/>
            </w:rPr>
          </w:pPr>
          <w:hyperlink w:anchor="_heading=h.2s8eyo1">
            <w:r>
              <w:rPr>
                <w:color w:val="000000"/>
              </w:rPr>
              <w:t>Reference List</w:t>
            </w:r>
            <w:r>
              <w:rPr>
                <w:color w:val="000000"/>
              </w:rPr>
              <w:tab/>
              <w:t>15</w:t>
            </w:r>
          </w:hyperlink>
        </w:p>
        <w:p w14:paraId="294DB16C" w14:textId="77777777" w:rsidR="00030055" w:rsidRDefault="00030055">
          <w:pPr>
            <w:pBdr>
              <w:top w:val="nil"/>
              <w:left w:val="nil"/>
              <w:bottom w:val="nil"/>
              <w:right w:val="nil"/>
              <w:between w:val="nil"/>
            </w:pBdr>
            <w:tabs>
              <w:tab w:val="right" w:leader="dot" w:pos="9019"/>
            </w:tabs>
            <w:spacing w:after="240" w:line="360" w:lineRule="auto"/>
            <w:ind w:left="220"/>
            <w:jc w:val="both"/>
            <w:rPr>
              <w:color w:val="000000"/>
            </w:rPr>
          </w:pPr>
          <w:hyperlink w:anchor="_heading=h.17dp8vu">
            <w:r>
              <w:rPr>
                <w:color w:val="000000"/>
              </w:rPr>
              <w:t xml:space="preserve">Task </w:t>
            </w:r>
          </w:hyperlink>
          <w:hyperlink w:anchor="_heading=h.17dp8vu">
            <w:r>
              <w:t>2</w:t>
            </w:r>
          </w:hyperlink>
          <w:hyperlink w:anchor="_heading=h.17dp8vu">
            <w:r>
              <w:rPr>
                <w:color w:val="000000"/>
              </w:rPr>
              <w:tab/>
              <w:t>20</w:t>
            </w:r>
          </w:hyperlink>
        </w:p>
        <w:p w14:paraId="249C55A0" w14:textId="77777777" w:rsidR="00030055" w:rsidRDefault="00FE3FA4">
          <w:pPr>
            <w:spacing w:after="240" w:line="360" w:lineRule="auto"/>
            <w:jc w:val="both"/>
          </w:pPr>
          <w:r>
            <w:fldChar w:fldCharType="end"/>
          </w:r>
        </w:p>
      </w:sdtContent>
    </w:sdt>
    <w:p w14:paraId="1C8DA95A" w14:textId="77777777" w:rsidR="00030055" w:rsidRDefault="00030055">
      <w:pPr>
        <w:pStyle w:val="Heading1"/>
        <w:spacing w:after="240"/>
      </w:pPr>
    </w:p>
    <w:p w14:paraId="01A6AD74" w14:textId="77777777" w:rsidR="00030055" w:rsidRDefault="00FE3FA4">
      <w:pPr>
        <w:rPr>
          <w:b/>
          <w:sz w:val="28"/>
          <w:szCs w:val="28"/>
        </w:rPr>
      </w:pPr>
      <w:r>
        <w:br w:type="page"/>
      </w:r>
    </w:p>
    <w:p w14:paraId="7258E0C0" w14:textId="77777777" w:rsidR="00030055" w:rsidRDefault="00FE3FA4">
      <w:pPr>
        <w:pStyle w:val="Heading1"/>
        <w:spacing w:after="240"/>
      </w:pPr>
      <w:bookmarkStart w:id="0" w:name="_heading=h.gjdgxs" w:colFirst="0" w:colLast="0"/>
      <w:bookmarkEnd w:id="0"/>
      <w:r>
        <w:lastRenderedPageBreak/>
        <w:t>Task 1: Individual Report</w:t>
      </w:r>
    </w:p>
    <w:p w14:paraId="56B32CFF" w14:textId="77777777" w:rsidR="00030055" w:rsidRDefault="00FE3FA4">
      <w:pPr>
        <w:pStyle w:val="Heading2"/>
        <w:spacing w:after="240"/>
      </w:pPr>
      <w:bookmarkStart w:id="1" w:name="_heading=h.30j0zll" w:colFirst="0" w:colLast="0"/>
      <w:bookmarkEnd w:id="1"/>
      <w:r>
        <w:t xml:space="preserve">Introduction </w:t>
      </w:r>
    </w:p>
    <w:p w14:paraId="32D212C5" w14:textId="77777777" w:rsidR="00030055" w:rsidRDefault="00FE3FA4">
      <w:pPr>
        <w:pBdr>
          <w:top w:val="nil"/>
          <w:left w:val="nil"/>
          <w:bottom w:val="nil"/>
          <w:right w:val="nil"/>
          <w:between w:val="nil"/>
        </w:pBdr>
        <w:spacing w:after="240" w:line="360" w:lineRule="auto"/>
        <w:jc w:val="both"/>
        <w:rPr>
          <w:color w:val="000000"/>
        </w:rPr>
      </w:pPr>
      <w:r>
        <w:rPr>
          <w:color w:val="000000"/>
        </w:rPr>
        <w:t>Strategic management can be defined as the act of developing and applying strategic plans that can be implemented by a business organisation to achieve the desired goals and objectives. Such a process can include activities including strategy formulation, planning of organisational structure to be established, resource allocation, initiating required organisational changes, and keeping control over organisational procedures and processes (coursera.org, 2024). The aim of the report is to develop a sustainabl</w:t>
      </w:r>
      <w:r>
        <w:rPr>
          <w:color w:val="000000"/>
        </w:rPr>
        <w:t xml:space="preserve">e business strategy for small and medium sized enterprises named Apex Computing Services Ltd by employing suitable strategic management models, theories and methods. A SME or small and medium sized enterprise is an entrepreneurial venture that operates with the engagement of less than 250 employees (oecd.org, 2020). </w:t>
      </w:r>
    </w:p>
    <w:p w14:paraId="4026EB21"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Apex Computing Services Ltd is an IT or Information Technology Company that is involved in providing IT support to businesses and educational institutions. The business is situated in Manchester. The business operates 24/7 in a year. The company mainly serves businesses operating mainly in Manchester and across the North West (apexcomputing.co.uk, 2024). The report will mainly be based on an analysis of the current strategy of the chosen SME, its external and internal environment and stakeholders and their </w:t>
      </w:r>
      <w:r>
        <w:rPr>
          <w:color w:val="000000"/>
        </w:rPr>
        <w:t xml:space="preserve">association. Possible strategic growth options for the business to be chosen and strategic recommendations to acquire a particular growth option will also be given in this report. </w:t>
      </w:r>
    </w:p>
    <w:p w14:paraId="3017297B" w14:textId="77777777" w:rsidR="00030055" w:rsidRDefault="00FE3FA4">
      <w:pPr>
        <w:pStyle w:val="Heading2"/>
        <w:spacing w:after="240"/>
      </w:pPr>
      <w:bookmarkStart w:id="2" w:name="_heading=h.1fob9te" w:colFirst="0" w:colLast="0"/>
      <w:bookmarkEnd w:id="2"/>
      <w:r>
        <w:t>Current organisational strategy</w:t>
      </w:r>
    </w:p>
    <w:p w14:paraId="039F1B05"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As opined by </w:t>
      </w:r>
      <w:r>
        <w:rPr>
          <w:color w:val="000000"/>
          <w:highlight w:val="white"/>
        </w:rPr>
        <w:t xml:space="preserve">Berisha Qehaja and Kutllovci </w:t>
      </w:r>
      <w:r>
        <w:rPr>
          <w:color w:val="000000"/>
        </w:rPr>
        <w:t xml:space="preserve">(2020), Porter’s Five Forces can be used as a viable strategic tool to appraise the current strategy of Apex Computing Services Ltd. In doing so, the focus has to be kept on the competitive structure of the IT industry of the UK to critically analyse the strategy that is applied by the chosen SME. The same has been done below: </w:t>
      </w:r>
    </w:p>
    <w:p w14:paraId="09DC3F4C" w14:textId="77777777" w:rsidR="00030055" w:rsidRDefault="00FE3FA4">
      <w:pPr>
        <w:pBdr>
          <w:top w:val="nil"/>
          <w:left w:val="nil"/>
          <w:bottom w:val="nil"/>
          <w:right w:val="nil"/>
          <w:between w:val="nil"/>
        </w:pBdr>
        <w:spacing w:after="240" w:line="360" w:lineRule="auto"/>
        <w:jc w:val="both"/>
        <w:rPr>
          <w:color w:val="000000"/>
        </w:rPr>
      </w:pPr>
      <w:r>
        <w:rPr>
          <w:noProof/>
          <w:color w:val="000000"/>
        </w:rPr>
        <w:lastRenderedPageBreak/>
        <w:drawing>
          <wp:inline distT="114300" distB="114300" distL="114300" distR="114300" wp14:anchorId="667490CF" wp14:editId="20E45062">
            <wp:extent cx="5731200" cy="429260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731200" cy="4292600"/>
                    </a:xfrm>
                    <a:prstGeom prst="rect">
                      <a:avLst/>
                    </a:prstGeom>
                    <a:ln/>
                  </pic:spPr>
                </pic:pic>
              </a:graphicData>
            </a:graphic>
          </wp:inline>
        </w:drawing>
      </w:r>
    </w:p>
    <w:p w14:paraId="61750E17" w14:textId="77777777" w:rsidR="00030055" w:rsidRDefault="00FE3FA4">
      <w:pPr>
        <w:pBdr>
          <w:top w:val="nil"/>
          <w:left w:val="nil"/>
          <w:bottom w:val="nil"/>
          <w:right w:val="nil"/>
          <w:between w:val="nil"/>
        </w:pBdr>
        <w:spacing w:after="240" w:line="360" w:lineRule="auto"/>
        <w:jc w:val="center"/>
        <w:rPr>
          <w:b/>
          <w:color w:val="000000"/>
        </w:rPr>
      </w:pPr>
      <w:r>
        <w:rPr>
          <w:b/>
          <w:color w:val="000000"/>
        </w:rPr>
        <w:t>Figure 1: Porter’s Five Forces framework</w:t>
      </w:r>
    </w:p>
    <w:p w14:paraId="62AA6D22" w14:textId="77777777" w:rsidR="00030055" w:rsidRDefault="00FE3FA4">
      <w:pPr>
        <w:pBdr>
          <w:top w:val="nil"/>
          <w:left w:val="nil"/>
          <w:bottom w:val="nil"/>
          <w:right w:val="nil"/>
          <w:between w:val="nil"/>
        </w:pBdr>
        <w:spacing w:after="240" w:line="360" w:lineRule="auto"/>
        <w:jc w:val="center"/>
        <w:rPr>
          <w:color w:val="000000"/>
        </w:rPr>
      </w:pPr>
      <w:r>
        <w:rPr>
          <w:color w:val="000000"/>
        </w:rPr>
        <w:t>(Source: Ideson, 2024)</w:t>
      </w:r>
    </w:p>
    <w:p w14:paraId="3F2996F4" w14:textId="77777777" w:rsidR="00030055" w:rsidRDefault="00FE3FA4">
      <w:pPr>
        <w:pBdr>
          <w:top w:val="nil"/>
          <w:left w:val="nil"/>
          <w:bottom w:val="nil"/>
          <w:right w:val="nil"/>
          <w:between w:val="nil"/>
        </w:pBdr>
        <w:spacing w:after="240" w:line="360" w:lineRule="auto"/>
        <w:jc w:val="both"/>
        <w:rPr>
          <w:b/>
          <w:color w:val="000000"/>
        </w:rPr>
      </w:pPr>
      <w:r>
        <w:rPr>
          <w:b/>
          <w:color w:val="000000"/>
        </w:rPr>
        <w:t>Competitive rivalry</w:t>
      </w:r>
    </w:p>
    <w:p w14:paraId="3990F42B" w14:textId="77777777" w:rsidR="00030055" w:rsidRDefault="00FE3FA4">
      <w:pPr>
        <w:pBdr>
          <w:top w:val="nil"/>
          <w:left w:val="nil"/>
          <w:bottom w:val="nil"/>
          <w:right w:val="nil"/>
          <w:between w:val="nil"/>
        </w:pBdr>
        <w:spacing w:after="240" w:line="360" w:lineRule="auto"/>
        <w:jc w:val="both"/>
        <w:rPr>
          <w:color w:val="000000"/>
        </w:rPr>
      </w:pPr>
      <w:r>
        <w:rPr>
          <w:color w:val="000000"/>
        </w:rPr>
        <w:t>It is a high competitive rivalry for the business, which is likely to influence the current organisational strategy. Currently, around 51,017 technology companies operate in the UK (rsmuk.com, 2024). Such intense competition is likely to influence the achievement of the vision and mission of the business. The vision of  Apex Computing Services Ltd is to provide a personal service and offer a complete range of IT services to businesses including and internationally. The mission of the business is to enable l</w:t>
      </w:r>
      <w:r>
        <w:rPr>
          <w:color w:val="000000"/>
        </w:rPr>
        <w:t xml:space="preserve">arge corporations across all sectors with a full suite of IT (find-and-update.company-information.service.gov.uk, 2024). In the absence of such a large number of competitors in the market, accomplishing the discussed vision and mission is likely to be challenging for the SME. </w:t>
      </w:r>
    </w:p>
    <w:p w14:paraId="08F3F42F" w14:textId="77777777" w:rsidR="00030055" w:rsidRDefault="00FE3FA4">
      <w:pPr>
        <w:pBdr>
          <w:top w:val="nil"/>
          <w:left w:val="nil"/>
          <w:bottom w:val="nil"/>
          <w:right w:val="nil"/>
          <w:between w:val="nil"/>
        </w:pBdr>
        <w:spacing w:after="240" w:line="360" w:lineRule="auto"/>
        <w:jc w:val="both"/>
        <w:rPr>
          <w:b/>
          <w:color w:val="000000"/>
        </w:rPr>
      </w:pPr>
      <w:r>
        <w:rPr>
          <w:b/>
          <w:color w:val="000000"/>
        </w:rPr>
        <w:t>Bargaining power of customers</w:t>
      </w:r>
    </w:p>
    <w:p w14:paraId="11EB6B65"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Bargaining power of customers is also likely to be high for the SME. The presence of a large number of similar businesses in the market influences such a scenario for the SME </w:t>
      </w:r>
      <w:r>
        <w:rPr>
          <w:color w:val="000000"/>
        </w:rPr>
        <w:lastRenderedPageBreak/>
        <w:t xml:space="preserve">(rsmuk.com, 2024). To manage such scenarios, replacement offers are given by the business. Such a term is applied when there is a failure or delay in delivery (apexcomputing.co.uk, n.d). </w:t>
      </w:r>
    </w:p>
    <w:p w14:paraId="0F83BDA3" w14:textId="77777777" w:rsidR="00030055" w:rsidRDefault="00FE3FA4">
      <w:pPr>
        <w:pBdr>
          <w:top w:val="nil"/>
          <w:left w:val="nil"/>
          <w:bottom w:val="nil"/>
          <w:right w:val="nil"/>
          <w:between w:val="nil"/>
        </w:pBdr>
        <w:spacing w:after="240" w:line="360" w:lineRule="auto"/>
        <w:jc w:val="both"/>
        <w:rPr>
          <w:b/>
          <w:color w:val="000000"/>
        </w:rPr>
      </w:pPr>
      <w:r>
        <w:rPr>
          <w:b/>
          <w:color w:val="000000"/>
        </w:rPr>
        <w:t>Bargaining power of suppliers</w:t>
      </w:r>
    </w:p>
    <w:p w14:paraId="4C0ED5AE" w14:textId="77777777" w:rsidR="00030055" w:rsidRDefault="00FE3FA4">
      <w:pPr>
        <w:pBdr>
          <w:top w:val="nil"/>
          <w:left w:val="nil"/>
          <w:bottom w:val="nil"/>
          <w:right w:val="nil"/>
          <w:between w:val="nil"/>
        </w:pBdr>
        <w:spacing w:after="240" w:line="360" w:lineRule="auto"/>
        <w:jc w:val="both"/>
        <w:rPr>
          <w:color w:val="000000"/>
        </w:rPr>
      </w:pPr>
      <w:r>
        <w:rPr>
          <w:color w:val="000000"/>
        </w:rPr>
        <w:t>This is a moderate competitive factor to the business of Apex Computing Services Ltd. The factor is that excellence is kept at the core of the business. As a result, the business has won the Mid Enterprise MSP of the Year in 2024 at the Technology Reseller Awards 2024 (Shone, 2024). This factor combined with the presence of a large number of similar enterprises in the market makes the bargaining power of suppliers moderate. The fact is that suppliers can seek working with such a well-recognised business but</w:t>
      </w:r>
      <w:r>
        <w:rPr>
          <w:color w:val="000000"/>
        </w:rPr>
        <w:t xml:space="preserve"> at the same time having the option to collaborate with any other technology organisation. </w:t>
      </w:r>
    </w:p>
    <w:p w14:paraId="70284847" w14:textId="77777777" w:rsidR="00030055" w:rsidRDefault="00FE3FA4">
      <w:pPr>
        <w:pBdr>
          <w:top w:val="nil"/>
          <w:left w:val="nil"/>
          <w:bottom w:val="nil"/>
          <w:right w:val="nil"/>
          <w:between w:val="nil"/>
        </w:pBdr>
        <w:spacing w:after="240" w:line="360" w:lineRule="auto"/>
        <w:jc w:val="both"/>
        <w:rPr>
          <w:b/>
          <w:color w:val="000000"/>
        </w:rPr>
      </w:pPr>
      <w:r>
        <w:rPr>
          <w:b/>
          <w:color w:val="000000"/>
        </w:rPr>
        <w:t>Threats from new entrants</w:t>
      </w:r>
    </w:p>
    <w:p w14:paraId="5469C45A"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This is a low competitive force for Apex Computing Services Ltd in the UK. The business operates with 25 engineers underneath as the employees its revenue is $5 Million (zoominfo.com, 2024). Hence, a new technology enterprise cannot easily compete with the SME in terms of human resource and investment capability. </w:t>
      </w:r>
    </w:p>
    <w:p w14:paraId="789E9492" w14:textId="77777777" w:rsidR="00030055" w:rsidRDefault="00FE3FA4">
      <w:pPr>
        <w:pBdr>
          <w:top w:val="nil"/>
          <w:left w:val="nil"/>
          <w:bottom w:val="nil"/>
          <w:right w:val="nil"/>
          <w:between w:val="nil"/>
        </w:pBdr>
        <w:spacing w:after="240" w:line="360" w:lineRule="auto"/>
        <w:jc w:val="both"/>
        <w:rPr>
          <w:b/>
          <w:color w:val="000000"/>
        </w:rPr>
      </w:pPr>
      <w:r>
        <w:rPr>
          <w:b/>
          <w:color w:val="000000"/>
        </w:rPr>
        <w:t>Threats from competitive rivalry</w:t>
      </w:r>
    </w:p>
    <w:p w14:paraId="76B6AA1C"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Threats from competitive rivalry are also low for the SME. The business is extremely focused on customer service. The company never had a bad experience with the client and remains in touch with them regularly (apexcomputing.co.uk, n.d). This provides the business with significant competitive advantages. </w:t>
      </w:r>
    </w:p>
    <w:p w14:paraId="58A8E4CA" w14:textId="77777777" w:rsidR="00030055" w:rsidRDefault="00FE3FA4">
      <w:pPr>
        <w:pStyle w:val="Heading2"/>
        <w:spacing w:after="240"/>
      </w:pPr>
      <w:bookmarkStart w:id="3" w:name="_heading=h.3znysh7" w:colFirst="0" w:colLast="0"/>
      <w:bookmarkEnd w:id="3"/>
      <w:r>
        <w:t xml:space="preserve">External and internal environment </w:t>
      </w:r>
    </w:p>
    <w:p w14:paraId="625DF385"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As opined by </w:t>
      </w:r>
      <w:r>
        <w:rPr>
          <w:color w:val="000000"/>
          <w:highlight w:val="white"/>
        </w:rPr>
        <w:t xml:space="preserve">Çitilci and Akbalık </w:t>
      </w:r>
      <w:r>
        <w:rPr>
          <w:color w:val="000000"/>
        </w:rPr>
        <w:t xml:space="preserve">(2020), PESTLE can be used as an environmental scanning tool to analyse the external environment of the business. In doing so the focus is expected to be kept on analysing macro environmental factors including political, economic, social, technological, legal and environmental factors and their influences. The same has been done below: </w:t>
      </w:r>
    </w:p>
    <w:tbl>
      <w:tblPr>
        <w:tblStyle w:val="a1"/>
        <w:tblW w:w="92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29"/>
        <w:gridCol w:w="7500"/>
      </w:tblGrid>
      <w:tr w:rsidR="00030055" w14:paraId="5933C486" w14:textId="77777777">
        <w:trPr>
          <w:cantSplit/>
          <w:tblHeader/>
        </w:trPr>
        <w:tc>
          <w:tcPr>
            <w:tcW w:w="1729" w:type="dxa"/>
            <w:shd w:val="clear" w:color="auto" w:fill="auto"/>
            <w:tcMar>
              <w:top w:w="100" w:type="dxa"/>
              <w:left w:w="100" w:type="dxa"/>
              <w:bottom w:w="100" w:type="dxa"/>
              <w:right w:w="100" w:type="dxa"/>
            </w:tcMar>
          </w:tcPr>
          <w:p w14:paraId="495422DC" w14:textId="77777777" w:rsidR="00030055" w:rsidRDefault="00FE3FA4">
            <w:pPr>
              <w:widowControl w:val="0"/>
              <w:pBdr>
                <w:top w:val="nil"/>
                <w:left w:val="nil"/>
                <w:bottom w:val="nil"/>
                <w:right w:val="nil"/>
                <w:between w:val="nil"/>
              </w:pBdr>
              <w:spacing w:after="240" w:line="360" w:lineRule="auto"/>
              <w:jc w:val="both"/>
              <w:rPr>
                <w:b/>
                <w:color w:val="000000"/>
              </w:rPr>
            </w:pPr>
            <w:r>
              <w:rPr>
                <w:b/>
                <w:color w:val="000000"/>
              </w:rPr>
              <w:lastRenderedPageBreak/>
              <w:t>Elements</w:t>
            </w:r>
          </w:p>
        </w:tc>
        <w:tc>
          <w:tcPr>
            <w:tcW w:w="7500" w:type="dxa"/>
            <w:shd w:val="clear" w:color="auto" w:fill="auto"/>
            <w:tcMar>
              <w:top w:w="100" w:type="dxa"/>
              <w:left w:w="100" w:type="dxa"/>
              <w:bottom w:w="100" w:type="dxa"/>
              <w:right w:w="100" w:type="dxa"/>
            </w:tcMar>
          </w:tcPr>
          <w:p w14:paraId="3BCA4131" w14:textId="77777777" w:rsidR="00030055" w:rsidRDefault="00FE3FA4">
            <w:pPr>
              <w:widowControl w:val="0"/>
              <w:pBdr>
                <w:top w:val="nil"/>
                <w:left w:val="nil"/>
                <w:bottom w:val="nil"/>
                <w:right w:val="nil"/>
                <w:between w:val="nil"/>
              </w:pBdr>
              <w:spacing w:after="240" w:line="360" w:lineRule="auto"/>
              <w:jc w:val="both"/>
              <w:rPr>
                <w:b/>
                <w:color w:val="000000"/>
              </w:rPr>
            </w:pPr>
            <w:r>
              <w:rPr>
                <w:b/>
                <w:color w:val="000000"/>
              </w:rPr>
              <w:t>Factors and their influences</w:t>
            </w:r>
          </w:p>
        </w:tc>
      </w:tr>
      <w:tr w:rsidR="00030055" w14:paraId="518E196E" w14:textId="77777777">
        <w:trPr>
          <w:cantSplit/>
          <w:tblHeader/>
        </w:trPr>
        <w:tc>
          <w:tcPr>
            <w:tcW w:w="1729" w:type="dxa"/>
            <w:shd w:val="clear" w:color="auto" w:fill="auto"/>
            <w:tcMar>
              <w:top w:w="100" w:type="dxa"/>
              <w:left w:w="100" w:type="dxa"/>
              <w:bottom w:w="100" w:type="dxa"/>
              <w:right w:w="100" w:type="dxa"/>
            </w:tcMar>
          </w:tcPr>
          <w:p w14:paraId="32072CB6" w14:textId="77777777" w:rsidR="00030055" w:rsidRDefault="00FE3FA4">
            <w:pPr>
              <w:widowControl w:val="0"/>
              <w:pBdr>
                <w:top w:val="nil"/>
                <w:left w:val="nil"/>
                <w:bottom w:val="nil"/>
                <w:right w:val="nil"/>
                <w:between w:val="nil"/>
              </w:pBdr>
              <w:spacing w:after="240" w:line="360" w:lineRule="auto"/>
              <w:jc w:val="both"/>
              <w:rPr>
                <w:b/>
                <w:color w:val="000000"/>
              </w:rPr>
            </w:pPr>
            <w:r>
              <w:rPr>
                <w:b/>
                <w:color w:val="000000"/>
              </w:rPr>
              <w:t>Political</w:t>
            </w:r>
          </w:p>
        </w:tc>
        <w:tc>
          <w:tcPr>
            <w:tcW w:w="7500" w:type="dxa"/>
            <w:shd w:val="clear" w:color="auto" w:fill="auto"/>
            <w:tcMar>
              <w:top w:w="100" w:type="dxa"/>
              <w:left w:w="100" w:type="dxa"/>
              <w:bottom w:w="100" w:type="dxa"/>
              <w:right w:w="100" w:type="dxa"/>
            </w:tcMar>
          </w:tcPr>
          <w:p w14:paraId="584B0866" w14:textId="77777777" w:rsidR="00030055" w:rsidRDefault="00FE3FA4">
            <w:pPr>
              <w:widowControl w:val="0"/>
              <w:pBdr>
                <w:top w:val="nil"/>
                <w:left w:val="nil"/>
                <w:bottom w:val="nil"/>
                <w:right w:val="nil"/>
                <w:between w:val="nil"/>
              </w:pBdr>
              <w:spacing w:after="240" w:line="360" w:lineRule="auto"/>
              <w:jc w:val="both"/>
              <w:rPr>
                <w:color w:val="000000"/>
              </w:rPr>
            </w:pPr>
            <w:r>
              <w:rPr>
                <w:color w:val="000000"/>
              </w:rPr>
              <w:t>The United Kingdom's political stability and absence of violence or terrorism were estimated at 0.50394 in 2022, according to the World Bank's development indicators, whereas it was lower in 2021 (tradingeconomics.com, 2024). Such a fact indicates that the political situation in the UK is improving over time. Political stability in the UK influenced the opportunity for Apex Computing Services Ltd as an IT company. The factor is that due to political stability, the government can invest increasingly in techn</w:t>
            </w:r>
            <w:r>
              <w:rPr>
                <w:color w:val="000000"/>
              </w:rPr>
              <w:t>ology since the economic pace (Hussain, 2014).</w:t>
            </w:r>
          </w:p>
        </w:tc>
      </w:tr>
      <w:tr w:rsidR="00030055" w14:paraId="1D0A2169" w14:textId="77777777">
        <w:trPr>
          <w:cantSplit/>
          <w:tblHeader/>
        </w:trPr>
        <w:tc>
          <w:tcPr>
            <w:tcW w:w="1729" w:type="dxa"/>
            <w:shd w:val="clear" w:color="auto" w:fill="auto"/>
            <w:tcMar>
              <w:top w:w="100" w:type="dxa"/>
              <w:left w:w="100" w:type="dxa"/>
              <w:bottom w:w="100" w:type="dxa"/>
              <w:right w:w="100" w:type="dxa"/>
            </w:tcMar>
          </w:tcPr>
          <w:p w14:paraId="53726BC6" w14:textId="77777777" w:rsidR="00030055" w:rsidRDefault="00FE3FA4">
            <w:pPr>
              <w:widowControl w:val="0"/>
              <w:pBdr>
                <w:top w:val="nil"/>
                <w:left w:val="nil"/>
                <w:bottom w:val="nil"/>
                <w:right w:val="nil"/>
                <w:between w:val="nil"/>
              </w:pBdr>
              <w:spacing w:after="240" w:line="360" w:lineRule="auto"/>
              <w:jc w:val="both"/>
              <w:rPr>
                <w:b/>
                <w:color w:val="000000"/>
              </w:rPr>
            </w:pPr>
            <w:r>
              <w:rPr>
                <w:b/>
                <w:color w:val="000000"/>
              </w:rPr>
              <w:t>Economic</w:t>
            </w:r>
          </w:p>
        </w:tc>
        <w:tc>
          <w:tcPr>
            <w:tcW w:w="7500" w:type="dxa"/>
            <w:shd w:val="clear" w:color="auto" w:fill="auto"/>
            <w:tcMar>
              <w:top w:w="100" w:type="dxa"/>
              <w:left w:w="100" w:type="dxa"/>
              <w:bottom w:w="100" w:type="dxa"/>
              <w:right w:w="100" w:type="dxa"/>
            </w:tcMar>
          </w:tcPr>
          <w:p w14:paraId="679D6A76" w14:textId="77777777" w:rsidR="00030055" w:rsidRDefault="00FE3FA4">
            <w:pPr>
              <w:widowControl w:val="0"/>
              <w:pBdr>
                <w:top w:val="nil"/>
                <w:left w:val="nil"/>
                <w:bottom w:val="nil"/>
                <w:right w:val="nil"/>
                <w:between w:val="nil"/>
              </w:pBdr>
              <w:spacing w:after="240" w:line="360" w:lineRule="auto"/>
              <w:jc w:val="both"/>
              <w:rPr>
                <w:color w:val="000000"/>
              </w:rPr>
            </w:pPr>
            <w:r>
              <w:rPr>
                <w:color w:val="000000"/>
              </w:rPr>
              <w:t>Rise in inflation in the UK is still at its steady mode. The 12-month period ending in August 2024 had a 2.2% increase in the Consumer Prices Index (CPI), which remained constant from July. Similar to August 2023, the CPI increased by 0.3% on a monthly basis in August 2024 (ons.gov.uk, 2024). This economic factor influences a threat for Apex Computing Services Ltd. The cost of living also increases with rising inflation. As a result, the IT industry in the UK has been bound to bring a hike in the salary and</w:t>
            </w:r>
            <w:r>
              <w:rPr>
                <w:color w:val="000000"/>
              </w:rPr>
              <w:t xml:space="preserve"> wages of employees to operate sustainably (</w:t>
            </w:r>
            <w:r>
              <w:rPr>
                <w:color w:val="000000"/>
                <w:highlight w:val="white"/>
              </w:rPr>
              <w:t xml:space="preserve">Girdzijauskas </w:t>
            </w:r>
            <w:r>
              <w:rPr>
                <w:i/>
                <w:color w:val="000000"/>
                <w:highlight w:val="white"/>
              </w:rPr>
              <w:t xml:space="preserve">et al., </w:t>
            </w:r>
            <w:r>
              <w:rPr>
                <w:color w:val="000000"/>
                <w:highlight w:val="white"/>
              </w:rPr>
              <w:t>2022</w:t>
            </w:r>
            <w:r>
              <w:rPr>
                <w:color w:val="000000"/>
              </w:rPr>
              <w:t xml:space="preserve">). </w:t>
            </w:r>
          </w:p>
        </w:tc>
      </w:tr>
      <w:tr w:rsidR="00030055" w14:paraId="763EC692" w14:textId="77777777">
        <w:trPr>
          <w:cantSplit/>
          <w:tblHeader/>
        </w:trPr>
        <w:tc>
          <w:tcPr>
            <w:tcW w:w="1729" w:type="dxa"/>
            <w:shd w:val="clear" w:color="auto" w:fill="auto"/>
            <w:tcMar>
              <w:top w:w="100" w:type="dxa"/>
              <w:left w:w="100" w:type="dxa"/>
              <w:bottom w:w="100" w:type="dxa"/>
              <w:right w:w="100" w:type="dxa"/>
            </w:tcMar>
          </w:tcPr>
          <w:p w14:paraId="28B08C3E" w14:textId="77777777" w:rsidR="00030055" w:rsidRDefault="00FE3FA4">
            <w:pPr>
              <w:widowControl w:val="0"/>
              <w:pBdr>
                <w:top w:val="nil"/>
                <w:left w:val="nil"/>
                <w:bottom w:val="nil"/>
                <w:right w:val="nil"/>
                <w:between w:val="nil"/>
              </w:pBdr>
              <w:spacing w:after="240" w:line="360" w:lineRule="auto"/>
              <w:jc w:val="both"/>
              <w:rPr>
                <w:b/>
                <w:color w:val="000000"/>
              </w:rPr>
            </w:pPr>
            <w:r>
              <w:rPr>
                <w:b/>
                <w:color w:val="000000"/>
              </w:rPr>
              <w:t>Social</w:t>
            </w:r>
          </w:p>
        </w:tc>
        <w:tc>
          <w:tcPr>
            <w:tcW w:w="7500" w:type="dxa"/>
            <w:shd w:val="clear" w:color="auto" w:fill="auto"/>
            <w:tcMar>
              <w:top w:w="100" w:type="dxa"/>
              <w:left w:w="100" w:type="dxa"/>
              <w:bottom w:w="100" w:type="dxa"/>
              <w:right w:w="100" w:type="dxa"/>
            </w:tcMar>
          </w:tcPr>
          <w:p w14:paraId="1800EADC" w14:textId="77777777" w:rsidR="00030055" w:rsidRDefault="00FE3FA4">
            <w:pPr>
              <w:widowControl w:val="0"/>
              <w:pBdr>
                <w:top w:val="nil"/>
                <w:left w:val="nil"/>
                <w:bottom w:val="nil"/>
                <w:right w:val="nil"/>
                <w:between w:val="nil"/>
              </w:pBdr>
              <w:spacing w:after="240" w:line="360" w:lineRule="auto"/>
              <w:jc w:val="both"/>
              <w:rPr>
                <w:color w:val="000000"/>
              </w:rPr>
            </w:pPr>
            <w:r>
              <w:rPr>
                <w:color w:val="000000"/>
              </w:rPr>
              <w:t>In the United Kingdom (UK), more than 80% of people shop online, meaning that more than four out of five UK customers make purchases online. The penetration rate of the same is expected to be 86% by 2027 (statista.com, 2023). This social factor is likely to influence opportunities for Apex Computing Services Ltd. The IT industry can remain continuous in evolving to provide people with online shopping habits curated experiences (</w:t>
            </w:r>
            <w:r>
              <w:rPr>
                <w:color w:val="000000"/>
                <w:highlight w:val="white"/>
              </w:rPr>
              <w:t xml:space="preserve">Ahmad </w:t>
            </w:r>
            <w:r>
              <w:rPr>
                <w:i/>
                <w:color w:val="000000"/>
                <w:highlight w:val="white"/>
              </w:rPr>
              <w:t xml:space="preserve">et al., </w:t>
            </w:r>
            <w:r>
              <w:rPr>
                <w:color w:val="000000"/>
                <w:highlight w:val="white"/>
              </w:rPr>
              <w:t>2020</w:t>
            </w:r>
            <w:r>
              <w:rPr>
                <w:color w:val="000000"/>
              </w:rPr>
              <w:t xml:space="preserve">). </w:t>
            </w:r>
          </w:p>
        </w:tc>
      </w:tr>
      <w:tr w:rsidR="00030055" w14:paraId="241F5277" w14:textId="77777777">
        <w:trPr>
          <w:cantSplit/>
          <w:tblHeader/>
        </w:trPr>
        <w:tc>
          <w:tcPr>
            <w:tcW w:w="1729" w:type="dxa"/>
            <w:shd w:val="clear" w:color="auto" w:fill="auto"/>
            <w:tcMar>
              <w:top w:w="100" w:type="dxa"/>
              <w:left w:w="100" w:type="dxa"/>
              <w:bottom w:w="100" w:type="dxa"/>
              <w:right w:w="100" w:type="dxa"/>
            </w:tcMar>
          </w:tcPr>
          <w:p w14:paraId="6154C845" w14:textId="77777777" w:rsidR="00030055" w:rsidRDefault="00FE3FA4">
            <w:pPr>
              <w:widowControl w:val="0"/>
              <w:pBdr>
                <w:top w:val="nil"/>
                <w:left w:val="nil"/>
                <w:bottom w:val="nil"/>
                <w:right w:val="nil"/>
                <w:between w:val="nil"/>
              </w:pBdr>
              <w:spacing w:after="240" w:line="360" w:lineRule="auto"/>
              <w:jc w:val="both"/>
              <w:rPr>
                <w:b/>
                <w:color w:val="000000"/>
              </w:rPr>
            </w:pPr>
            <w:r>
              <w:rPr>
                <w:b/>
                <w:color w:val="000000"/>
              </w:rPr>
              <w:t>Technological</w:t>
            </w:r>
          </w:p>
        </w:tc>
        <w:tc>
          <w:tcPr>
            <w:tcW w:w="7500" w:type="dxa"/>
            <w:shd w:val="clear" w:color="auto" w:fill="auto"/>
            <w:tcMar>
              <w:top w:w="100" w:type="dxa"/>
              <w:left w:w="100" w:type="dxa"/>
              <w:bottom w:w="100" w:type="dxa"/>
              <w:right w:w="100" w:type="dxa"/>
            </w:tcMar>
          </w:tcPr>
          <w:p w14:paraId="0C93FB60" w14:textId="77777777" w:rsidR="00030055" w:rsidRDefault="00FE3FA4">
            <w:pPr>
              <w:widowControl w:val="0"/>
              <w:pBdr>
                <w:top w:val="nil"/>
                <w:left w:val="nil"/>
                <w:bottom w:val="nil"/>
                <w:right w:val="nil"/>
                <w:between w:val="nil"/>
              </w:pBdr>
              <w:spacing w:after="240" w:line="360" w:lineRule="auto"/>
              <w:jc w:val="both"/>
              <w:rPr>
                <w:color w:val="000000"/>
              </w:rPr>
            </w:pPr>
            <w:r>
              <w:rPr>
                <w:color w:val="000000"/>
              </w:rPr>
              <w:t>Technology in the UK is already expanding faster compared to the economy of the nation by 2.6% (Flinders, 2018). This technological factor influences opportunities for the IT sector. A technology organisation like Apex Computing Service ltd can get access to improved production capabilities and be enabled with complex information technological product lines at reduced costs (</w:t>
            </w:r>
            <w:r>
              <w:rPr>
                <w:color w:val="000000"/>
                <w:highlight w:val="white"/>
              </w:rPr>
              <w:t xml:space="preserve">Miao </w:t>
            </w:r>
            <w:r>
              <w:rPr>
                <w:i/>
                <w:color w:val="000000"/>
                <w:highlight w:val="white"/>
              </w:rPr>
              <w:t xml:space="preserve">et al., </w:t>
            </w:r>
            <w:r>
              <w:rPr>
                <w:color w:val="000000"/>
                <w:highlight w:val="white"/>
              </w:rPr>
              <w:t>2022</w:t>
            </w:r>
            <w:r>
              <w:rPr>
                <w:color w:val="000000"/>
              </w:rPr>
              <w:t xml:space="preserve">). </w:t>
            </w:r>
          </w:p>
        </w:tc>
      </w:tr>
      <w:tr w:rsidR="00030055" w14:paraId="1B50B9D8" w14:textId="77777777">
        <w:trPr>
          <w:cantSplit/>
          <w:tblHeader/>
        </w:trPr>
        <w:tc>
          <w:tcPr>
            <w:tcW w:w="1729" w:type="dxa"/>
            <w:shd w:val="clear" w:color="auto" w:fill="auto"/>
            <w:tcMar>
              <w:top w:w="100" w:type="dxa"/>
              <w:left w:w="100" w:type="dxa"/>
              <w:bottom w:w="100" w:type="dxa"/>
              <w:right w:w="100" w:type="dxa"/>
            </w:tcMar>
          </w:tcPr>
          <w:p w14:paraId="60AB68BC" w14:textId="77777777" w:rsidR="00030055" w:rsidRDefault="00FE3FA4">
            <w:pPr>
              <w:widowControl w:val="0"/>
              <w:pBdr>
                <w:top w:val="nil"/>
                <w:left w:val="nil"/>
                <w:bottom w:val="nil"/>
                <w:right w:val="nil"/>
                <w:between w:val="nil"/>
              </w:pBdr>
              <w:spacing w:after="240" w:line="360" w:lineRule="auto"/>
              <w:jc w:val="both"/>
              <w:rPr>
                <w:b/>
                <w:color w:val="000000"/>
              </w:rPr>
            </w:pPr>
            <w:r>
              <w:rPr>
                <w:b/>
                <w:color w:val="000000"/>
              </w:rPr>
              <w:lastRenderedPageBreak/>
              <w:t>Legal</w:t>
            </w:r>
          </w:p>
        </w:tc>
        <w:tc>
          <w:tcPr>
            <w:tcW w:w="7500" w:type="dxa"/>
            <w:shd w:val="clear" w:color="auto" w:fill="auto"/>
            <w:tcMar>
              <w:top w:w="100" w:type="dxa"/>
              <w:left w:w="100" w:type="dxa"/>
              <w:bottom w:w="100" w:type="dxa"/>
              <w:right w:w="100" w:type="dxa"/>
            </w:tcMar>
          </w:tcPr>
          <w:p w14:paraId="2ADDD568" w14:textId="77777777" w:rsidR="00030055" w:rsidRDefault="00FE3FA4">
            <w:pPr>
              <w:widowControl w:val="0"/>
              <w:pBdr>
                <w:top w:val="nil"/>
                <w:left w:val="nil"/>
                <w:bottom w:val="nil"/>
                <w:right w:val="nil"/>
                <w:between w:val="nil"/>
              </w:pBdr>
              <w:spacing w:after="240" w:line="360" w:lineRule="auto"/>
              <w:jc w:val="both"/>
              <w:rPr>
                <w:color w:val="000000"/>
              </w:rPr>
            </w:pPr>
            <w:r>
              <w:rPr>
                <w:color w:val="000000"/>
              </w:rPr>
              <w:t xml:space="preserve">The application of the Data Protection Act 2018 as a legal factor is likely to influence the business of Apex Computing Services Ltd. The General Data Protection Regulation (GDPR) is being implemented in the UK via the Data Protection Act 2018. </w:t>
            </w:r>
            <w:r>
              <w:rPr>
                <w:color w:val="000000"/>
              </w:rPr>
              <w:t>Everyone in charge of handling personal data must adhere to strict guidelines known as “data protection principles”. They have to ensure that the data is utilised in a transparent, legal, and equitable manner (gov.uk, n.d). The legal factor influences threats for an IT industry businesslike the mentioned one. Due to the legal factor initiating measures to prevent fraud and cybercrimes in the IT product management has been necessary for the IT industry (</w:t>
            </w:r>
            <w:r>
              <w:rPr>
                <w:color w:val="000000"/>
                <w:highlight w:val="white"/>
              </w:rPr>
              <w:t>Phillips, 2021</w:t>
            </w:r>
            <w:r>
              <w:rPr>
                <w:color w:val="000000"/>
              </w:rPr>
              <w:t xml:space="preserve">). </w:t>
            </w:r>
          </w:p>
        </w:tc>
      </w:tr>
      <w:tr w:rsidR="00030055" w14:paraId="7E2B4910" w14:textId="77777777">
        <w:trPr>
          <w:cantSplit/>
          <w:tblHeader/>
        </w:trPr>
        <w:tc>
          <w:tcPr>
            <w:tcW w:w="1729" w:type="dxa"/>
            <w:shd w:val="clear" w:color="auto" w:fill="auto"/>
            <w:tcMar>
              <w:top w:w="100" w:type="dxa"/>
              <w:left w:w="100" w:type="dxa"/>
              <w:bottom w:w="100" w:type="dxa"/>
              <w:right w:w="100" w:type="dxa"/>
            </w:tcMar>
          </w:tcPr>
          <w:p w14:paraId="02F65CC1" w14:textId="77777777" w:rsidR="00030055" w:rsidRDefault="00FE3FA4">
            <w:pPr>
              <w:widowControl w:val="0"/>
              <w:pBdr>
                <w:top w:val="nil"/>
                <w:left w:val="nil"/>
                <w:bottom w:val="nil"/>
                <w:right w:val="nil"/>
                <w:between w:val="nil"/>
              </w:pBdr>
              <w:spacing w:after="240" w:line="360" w:lineRule="auto"/>
              <w:jc w:val="both"/>
              <w:rPr>
                <w:b/>
                <w:color w:val="000000"/>
              </w:rPr>
            </w:pPr>
            <w:r>
              <w:rPr>
                <w:b/>
                <w:color w:val="000000"/>
              </w:rPr>
              <w:t>Environmental</w:t>
            </w:r>
          </w:p>
        </w:tc>
        <w:tc>
          <w:tcPr>
            <w:tcW w:w="7500" w:type="dxa"/>
            <w:shd w:val="clear" w:color="auto" w:fill="auto"/>
            <w:tcMar>
              <w:top w:w="100" w:type="dxa"/>
              <w:left w:w="100" w:type="dxa"/>
              <w:bottom w:w="100" w:type="dxa"/>
              <w:right w:w="100" w:type="dxa"/>
            </w:tcMar>
          </w:tcPr>
          <w:p w14:paraId="4050FDF4" w14:textId="77777777" w:rsidR="00030055" w:rsidRDefault="00FE3FA4">
            <w:pPr>
              <w:widowControl w:val="0"/>
              <w:pBdr>
                <w:top w:val="nil"/>
                <w:left w:val="nil"/>
                <w:bottom w:val="nil"/>
                <w:right w:val="nil"/>
                <w:between w:val="nil"/>
              </w:pBdr>
              <w:spacing w:after="240" w:line="360" w:lineRule="auto"/>
              <w:jc w:val="both"/>
              <w:rPr>
                <w:color w:val="000000"/>
              </w:rPr>
            </w:pPr>
            <w:r>
              <w:rPr>
                <w:color w:val="000000"/>
              </w:rPr>
              <w:t>Around 1.6 million tonnes of electronic waste is generated in the UK each year (wastemanaged.co.uk, n.d). This factor is likely to influence the opportunity for Apex Computing Services Ltd. By focusing on reduction, reutilisation and recycling of electronic goods, the IT industry including the mentioned business can operate more sustainably (</w:t>
            </w:r>
            <w:r>
              <w:rPr>
                <w:color w:val="000000"/>
                <w:highlight w:val="white"/>
              </w:rPr>
              <w:t xml:space="preserve">Marke </w:t>
            </w:r>
            <w:r>
              <w:rPr>
                <w:i/>
                <w:color w:val="000000"/>
                <w:highlight w:val="white"/>
              </w:rPr>
              <w:t xml:space="preserve">et al., </w:t>
            </w:r>
            <w:r>
              <w:rPr>
                <w:color w:val="000000"/>
                <w:highlight w:val="white"/>
              </w:rPr>
              <w:t>2020</w:t>
            </w:r>
            <w:r>
              <w:rPr>
                <w:color w:val="000000"/>
              </w:rPr>
              <w:t xml:space="preserve">). </w:t>
            </w:r>
          </w:p>
        </w:tc>
      </w:tr>
    </w:tbl>
    <w:p w14:paraId="5D9EF055" w14:textId="77777777" w:rsidR="00030055" w:rsidRDefault="00030055">
      <w:pPr>
        <w:pBdr>
          <w:top w:val="nil"/>
          <w:left w:val="nil"/>
          <w:bottom w:val="nil"/>
          <w:right w:val="nil"/>
          <w:between w:val="nil"/>
        </w:pBdr>
        <w:spacing w:after="240" w:line="360" w:lineRule="auto"/>
        <w:jc w:val="both"/>
        <w:rPr>
          <w:color w:val="000000"/>
        </w:rPr>
      </w:pPr>
    </w:p>
    <w:p w14:paraId="3576E118"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As per the indication by </w:t>
      </w:r>
      <w:r>
        <w:rPr>
          <w:color w:val="000000"/>
          <w:highlight w:val="white"/>
        </w:rPr>
        <w:t xml:space="preserve">Marke </w:t>
      </w:r>
      <w:r>
        <w:rPr>
          <w:i/>
          <w:color w:val="000000"/>
          <w:highlight w:val="white"/>
        </w:rPr>
        <w:t xml:space="preserve">et al. </w:t>
      </w:r>
      <w:r>
        <w:rPr>
          <w:color w:val="000000"/>
        </w:rPr>
        <w:t xml:space="preserve">(2020), SWOT is a suitable framework to be used to analyse the internal environment of Apex Computing Services Ltd. In doing so, the focus is expected to on finding strengths and weaknesses of the business and potential threats and opportunities for the same. The same has been done below: </w:t>
      </w:r>
    </w:p>
    <w:tbl>
      <w:tblPr>
        <w:tblStyle w:val="a2"/>
        <w:tblW w:w="92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824"/>
        <w:gridCol w:w="4405"/>
      </w:tblGrid>
      <w:tr w:rsidR="00030055" w14:paraId="1F552492" w14:textId="77777777">
        <w:trPr>
          <w:cantSplit/>
          <w:tblHeader/>
        </w:trPr>
        <w:tc>
          <w:tcPr>
            <w:tcW w:w="4824" w:type="dxa"/>
            <w:shd w:val="clear" w:color="auto" w:fill="auto"/>
            <w:tcMar>
              <w:top w:w="100" w:type="dxa"/>
              <w:left w:w="100" w:type="dxa"/>
              <w:bottom w:w="100" w:type="dxa"/>
              <w:right w:w="100" w:type="dxa"/>
            </w:tcMar>
          </w:tcPr>
          <w:p w14:paraId="2CA624FF" w14:textId="77777777" w:rsidR="00030055" w:rsidRDefault="00FE3FA4">
            <w:pPr>
              <w:widowControl w:val="0"/>
              <w:pBdr>
                <w:top w:val="nil"/>
                <w:left w:val="nil"/>
                <w:bottom w:val="nil"/>
                <w:right w:val="nil"/>
                <w:between w:val="nil"/>
              </w:pBdr>
              <w:spacing w:after="240" w:line="360" w:lineRule="auto"/>
              <w:jc w:val="both"/>
              <w:rPr>
                <w:b/>
                <w:color w:val="000000"/>
              </w:rPr>
            </w:pPr>
            <w:r>
              <w:rPr>
                <w:b/>
                <w:color w:val="000000"/>
              </w:rPr>
              <w:lastRenderedPageBreak/>
              <w:t>Strengths</w:t>
            </w:r>
          </w:p>
        </w:tc>
        <w:tc>
          <w:tcPr>
            <w:tcW w:w="4405" w:type="dxa"/>
            <w:shd w:val="clear" w:color="auto" w:fill="auto"/>
            <w:tcMar>
              <w:top w:w="100" w:type="dxa"/>
              <w:left w:w="100" w:type="dxa"/>
              <w:bottom w:w="100" w:type="dxa"/>
              <w:right w:w="100" w:type="dxa"/>
            </w:tcMar>
          </w:tcPr>
          <w:p w14:paraId="7CE604DA" w14:textId="77777777" w:rsidR="00030055" w:rsidRDefault="00FE3FA4">
            <w:pPr>
              <w:widowControl w:val="0"/>
              <w:pBdr>
                <w:top w:val="nil"/>
                <w:left w:val="nil"/>
                <w:bottom w:val="nil"/>
                <w:right w:val="nil"/>
                <w:between w:val="nil"/>
              </w:pBdr>
              <w:spacing w:after="240" w:line="360" w:lineRule="auto"/>
              <w:jc w:val="both"/>
              <w:rPr>
                <w:b/>
                <w:color w:val="000000"/>
              </w:rPr>
            </w:pPr>
            <w:r>
              <w:rPr>
                <w:b/>
                <w:color w:val="000000"/>
              </w:rPr>
              <w:t>Weaknesses</w:t>
            </w:r>
          </w:p>
        </w:tc>
      </w:tr>
      <w:tr w:rsidR="00030055" w14:paraId="705B4AA7" w14:textId="77777777">
        <w:trPr>
          <w:cantSplit/>
          <w:tblHeader/>
        </w:trPr>
        <w:tc>
          <w:tcPr>
            <w:tcW w:w="4824" w:type="dxa"/>
            <w:shd w:val="clear" w:color="auto" w:fill="auto"/>
            <w:tcMar>
              <w:top w:w="100" w:type="dxa"/>
              <w:left w:w="100" w:type="dxa"/>
              <w:bottom w:w="100" w:type="dxa"/>
              <w:right w:w="100" w:type="dxa"/>
            </w:tcMar>
          </w:tcPr>
          <w:p w14:paraId="2068B4CE" w14:textId="77777777" w:rsidR="00030055" w:rsidRDefault="00FE3FA4">
            <w:pPr>
              <w:widowControl w:val="0"/>
              <w:numPr>
                <w:ilvl w:val="0"/>
                <w:numId w:val="4"/>
              </w:numPr>
              <w:pBdr>
                <w:top w:val="nil"/>
                <w:left w:val="nil"/>
                <w:bottom w:val="nil"/>
                <w:right w:val="nil"/>
                <w:between w:val="nil"/>
              </w:pBdr>
              <w:spacing w:after="240" w:line="360" w:lineRule="auto"/>
              <w:jc w:val="both"/>
              <w:rPr>
                <w:color w:val="000000"/>
              </w:rPr>
            </w:pPr>
            <w:r>
              <w:rPr>
                <w:color w:val="000000"/>
              </w:rPr>
              <w:t>Capability to provide personalised services to clients.</w:t>
            </w:r>
          </w:p>
          <w:p w14:paraId="6BED0C6A" w14:textId="77777777" w:rsidR="00030055" w:rsidRDefault="00FE3FA4">
            <w:pPr>
              <w:widowControl w:val="0"/>
              <w:numPr>
                <w:ilvl w:val="0"/>
                <w:numId w:val="4"/>
              </w:numPr>
              <w:pBdr>
                <w:top w:val="nil"/>
                <w:left w:val="nil"/>
                <w:bottom w:val="nil"/>
                <w:right w:val="nil"/>
                <w:between w:val="nil"/>
              </w:pBdr>
              <w:spacing w:after="240" w:line="360" w:lineRule="auto"/>
              <w:jc w:val="both"/>
              <w:rPr>
                <w:color w:val="000000"/>
              </w:rPr>
            </w:pPr>
            <w:r>
              <w:rPr>
                <w:color w:val="000000"/>
              </w:rPr>
              <w:t>Services are available for clients 24/7.</w:t>
            </w:r>
          </w:p>
          <w:p w14:paraId="00022696" w14:textId="77777777" w:rsidR="00030055" w:rsidRDefault="00FE3FA4">
            <w:pPr>
              <w:widowControl w:val="0"/>
              <w:numPr>
                <w:ilvl w:val="0"/>
                <w:numId w:val="4"/>
              </w:numPr>
              <w:pBdr>
                <w:top w:val="nil"/>
                <w:left w:val="nil"/>
                <w:bottom w:val="nil"/>
                <w:right w:val="nil"/>
                <w:between w:val="nil"/>
              </w:pBdr>
              <w:spacing w:after="240" w:line="360" w:lineRule="auto"/>
              <w:jc w:val="both"/>
              <w:rPr>
                <w:color w:val="000000"/>
              </w:rPr>
            </w:pPr>
            <w:r>
              <w:rPr>
                <w:color w:val="000000"/>
              </w:rPr>
              <w:t>Well-recognised as an IT service provider in the market.</w:t>
            </w:r>
          </w:p>
          <w:p w14:paraId="6D8F0781" w14:textId="77777777" w:rsidR="00030055" w:rsidRDefault="00FE3FA4">
            <w:pPr>
              <w:widowControl w:val="0"/>
              <w:numPr>
                <w:ilvl w:val="0"/>
                <w:numId w:val="4"/>
              </w:numPr>
              <w:pBdr>
                <w:top w:val="nil"/>
                <w:left w:val="nil"/>
                <w:bottom w:val="nil"/>
                <w:right w:val="nil"/>
                <w:between w:val="nil"/>
              </w:pBdr>
              <w:spacing w:after="240" w:line="360" w:lineRule="auto"/>
              <w:jc w:val="both"/>
              <w:rPr>
                <w:color w:val="000000"/>
              </w:rPr>
            </w:pPr>
            <w:r>
              <w:rPr>
                <w:color w:val="000000"/>
              </w:rPr>
              <w:t xml:space="preserve">Experience of working with hundreds of customers across hundreds of industries. </w:t>
            </w:r>
          </w:p>
        </w:tc>
        <w:tc>
          <w:tcPr>
            <w:tcW w:w="4405" w:type="dxa"/>
            <w:shd w:val="clear" w:color="auto" w:fill="auto"/>
            <w:tcMar>
              <w:top w:w="100" w:type="dxa"/>
              <w:left w:w="100" w:type="dxa"/>
              <w:bottom w:w="100" w:type="dxa"/>
              <w:right w:w="100" w:type="dxa"/>
            </w:tcMar>
          </w:tcPr>
          <w:p w14:paraId="231FD6DA" w14:textId="77777777" w:rsidR="00030055" w:rsidRDefault="00FE3FA4">
            <w:pPr>
              <w:widowControl w:val="0"/>
              <w:numPr>
                <w:ilvl w:val="0"/>
                <w:numId w:val="2"/>
              </w:numPr>
              <w:pBdr>
                <w:top w:val="nil"/>
                <w:left w:val="nil"/>
                <w:bottom w:val="nil"/>
                <w:right w:val="nil"/>
                <w:between w:val="nil"/>
              </w:pBdr>
              <w:spacing w:after="240" w:line="360" w:lineRule="auto"/>
              <w:jc w:val="both"/>
              <w:rPr>
                <w:color w:val="000000"/>
              </w:rPr>
            </w:pPr>
            <w:r>
              <w:rPr>
                <w:color w:val="000000"/>
              </w:rPr>
              <w:t xml:space="preserve">The number of engagement of staff is lower compared to the staff. </w:t>
            </w:r>
          </w:p>
          <w:p w14:paraId="17823BB2" w14:textId="77777777" w:rsidR="00030055" w:rsidRDefault="00FE3FA4">
            <w:pPr>
              <w:widowControl w:val="0"/>
              <w:numPr>
                <w:ilvl w:val="0"/>
                <w:numId w:val="2"/>
              </w:numPr>
              <w:pBdr>
                <w:top w:val="nil"/>
                <w:left w:val="nil"/>
                <w:bottom w:val="nil"/>
                <w:right w:val="nil"/>
                <w:between w:val="nil"/>
              </w:pBdr>
              <w:spacing w:after="240" w:line="360" w:lineRule="auto"/>
              <w:jc w:val="both"/>
              <w:rPr>
                <w:color w:val="000000"/>
              </w:rPr>
            </w:pPr>
            <w:r>
              <w:rPr>
                <w:color w:val="000000"/>
              </w:rPr>
              <w:t xml:space="preserve">Certain number of clients are not happy with the IT services delivered by the business. </w:t>
            </w:r>
          </w:p>
          <w:p w14:paraId="7A38CE9D" w14:textId="77777777" w:rsidR="00030055" w:rsidRDefault="00FE3FA4">
            <w:pPr>
              <w:widowControl w:val="0"/>
              <w:numPr>
                <w:ilvl w:val="0"/>
                <w:numId w:val="2"/>
              </w:numPr>
              <w:pBdr>
                <w:top w:val="nil"/>
                <w:left w:val="nil"/>
                <w:bottom w:val="nil"/>
                <w:right w:val="nil"/>
                <w:between w:val="nil"/>
              </w:pBdr>
              <w:spacing w:after="240" w:line="360" w:lineRule="auto"/>
              <w:jc w:val="both"/>
              <w:rPr>
                <w:color w:val="000000"/>
              </w:rPr>
            </w:pPr>
            <w:r>
              <w:rPr>
                <w:color w:val="000000"/>
              </w:rPr>
              <w:t xml:space="preserve">Fluctuated revenue from £5 million to £25 million is noticed in the business. </w:t>
            </w:r>
          </w:p>
        </w:tc>
      </w:tr>
      <w:tr w:rsidR="00030055" w14:paraId="5A704D57" w14:textId="77777777">
        <w:trPr>
          <w:cantSplit/>
          <w:tblHeader/>
        </w:trPr>
        <w:tc>
          <w:tcPr>
            <w:tcW w:w="4824" w:type="dxa"/>
            <w:shd w:val="clear" w:color="auto" w:fill="auto"/>
            <w:tcMar>
              <w:top w:w="100" w:type="dxa"/>
              <w:left w:w="100" w:type="dxa"/>
              <w:bottom w:w="100" w:type="dxa"/>
              <w:right w:w="100" w:type="dxa"/>
            </w:tcMar>
          </w:tcPr>
          <w:p w14:paraId="794BDEFA" w14:textId="77777777" w:rsidR="00030055" w:rsidRDefault="00FE3FA4">
            <w:pPr>
              <w:widowControl w:val="0"/>
              <w:pBdr>
                <w:top w:val="nil"/>
                <w:left w:val="nil"/>
                <w:bottom w:val="nil"/>
                <w:right w:val="nil"/>
                <w:between w:val="nil"/>
              </w:pBdr>
              <w:spacing w:after="240" w:line="360" w:lineRule="auto"/>
              <w:jc w:val="both"/>
              <w:rPr>
                <w:color w:val="000000"/>
              </w:rPr>
            </w:pPr>
            <w:r>
              <w:rPr>
                <w:color w:val="000000"/>
              </w:rPr>
              <w:t>Opportunities</w:t>
            </w:r>
          </w:p>
        </w:tc>
        <w:tc>
          <w:tcPr>
            <w:tcW w:w="4405" w:type="dxa"/>
            <w:shd w:val="clear" w:color="auto" w:fill="auto"/>
            <w:tcMar>
              <w:top w:w="100" w:type="dxa"/>
              <w:left w:w="100" w:type="dxa"/>
              <w:bottom w:w="100" w:type="dxa"/>
              <w:right w:w="100" w:type="dxa"/>
            </w:tcMar>
          </w:tcPr>
          <w:p w14:paraId="6EB615D4" w14:textId="77777777" w:rsidR="00030055" w:rsidRDefault="00FE3FA4">
            <w:pPr>
              <w:widowControl w:val="0"/>
              <w:pBdr>
                <w:top w:val="nil"/>
                <w:left w:val="nil"/>
                <w:bottom w:val="nil"/>
                <w:right w:val="nil"/>
                <w:between w:val="nil"/>
              </w:pBdr>
              <w:spacing w:after="240" w:line="360" w:lineRule="auto"/>
              <w:jc w:val="both"/>
              <w:rPr>
                <w:color w:val="000000"/>
              </w:rPr>
            </w:pPr>
            <w:r>
              <w:rPr>
                <w:color w:val="000000"/>
              </w:rPr>
              <w:t>Threats</w:t>
            </w:r>
          </w:p>
        </w:tc>
      </w:tr>
      <w:tr w:rsidR="00030055" w14:paraId="386F9358" w14:textId="77777777">
        <w:trPr>
          <w:cantSplit/>
          <w:tblHeader/>
        </w:trPr>
        <w:tc>
          <w:tcPr>
            <w:tcW w:w="4824" w:type="dxa"/>
            <w:shd w:val="clear" w:color="auto" w:fill="auto"/>
            <w:tcMar>
              <w:top w:w="100" w:type="dxa"/>
              <w:left w:w="100" w:type="dxa"/>
              <w:bottom w:w="100" w:type="dxa"/>
              <w:right w:w="100" w:type="dxa"/>
            </w:tcMar>
          </w:tcPr>
          <w:p w14:paraId="2153EF07" w14:textId="77777777" w:rsidR="00030055" w:rsidRDefault="00FE3FA4">
            <w:pPr>
              <w:widowControl w:val="0"/>
              <w:numPr>
                <w:ilvl w:val="0"/>
                <w:numId w:val="3"/>
              </w:numPr>
              <w:pBdr>
                <w:top w:val="nil"/>
                <w:left w:val="nil"/>
                <w:bottom w:val="nil"/>
                <w:right w:val="nil"/>
                <w:between w:val="nil"/>
              </w:pBdr>
              <w:spacing w:after="240" w:line="360" w:lineRule="auto"/>
              <w:jc w:val="both"/>
              <w:rPr>
                <w:color w:val="000000"/>
              </w:rPr>
            </w:pPr>
            <w:r>
              <w:rPr>
                <w:color w:val="000000"/>
              </w:rPr>
              <w:t xml:space="preserve">The organisation has the opportunity to satisfy clients to the utmost because of the capability to provide them with personalised IT services and by offering 24/7 support. </w:t>
            </w:r>
          </w:p>
          <w:p w14:paraId="2C05B304" w14:textId="77777777" w:rsidR="00030055" w:rsidRDefault="00FE3FA4">
            <w:pPr>
              <w:widowControl w:val="0"/>
              <w:numPr>
                <w:ilvl w:val="0"/>
                <w:numId w:val="3"/>
              </w:numPr>
              <w:pBdr>
                <w:top w:val="nil"/>
                <w:left w:val="nil"/>
                <w:bottom w:val="nil"/>
                <w:right w:val="nil"/>
                <w:between w:val="nil"/>
              </w:pBdr>
              <w:spacing w:after="240" w:line="360" w:lineRule="auto"/>
              <w:jc w:val="both"/>
              <w:rPr>
                <w:color w:val="000000"/>
              </w:rPr>
            </w:pPr>
            <w:r>
              <w:rPr>
                <w:color w:val="000000"/>
              </w:rPr>
              <w:t xml:space="preserve">Due to well-recognition in the market, the business has the opportunity in further markets or client segments as well. </w:t>
            </w:r>
          </w:p>
          <w:p w14:paraId="71B16143" w14:textId="77777777" w:rsidR="00030055" w:rsidRDefault="00FE3FA4">
            <w:pPr>
              <w:widowControl w:val="0"/>
              <w:numPr>
                <w:ilvl w:val="0"/>
                <w:numId w:val="3"/>
              </w:numPr>
              <w:pBdr>
                <w:top w:val="nil"/>
                <w:left w:val="nil"/>
                <w:bottom w:val="nil"/>
                <w:right w:val="nil"/>
                <w:between w:val="nil"/>
              </w:pBdr>
              <w:spacing w:after="240" w:line="360" w:lineRule="auto"/>
              <w:jc w:val="both"/>
              <w:rPr>
                <w:color w:val="000000"/>
              </w:rPr>
            </w:pPr>
            <w:r>
              <w:rPr>
                <w:color w:val="000000"/>
              </w:rPr>
              <w:t xml:space="preserve">Opportunity to promote supply </w:t>
            </w:r>
            <w:r>
              <w:t>across a variety</w:t>
            </w:r>
            <w:r>
              <w:rPr>
                <w:color w:val="000000"/>
              </w:rPr>
              <w:t xml:space="preserve"> of industries. </w:t>
            </w:r>
          </w:p>
        </w:tc>
        <w:tc>
          <w:tcPr>
            <w:tcW w:w="4405" w:type="dxa"/>
            <w:shd w:val="clear" w:color="auto" w:fill="auto"/>
            <w:tcMar>
              <w:top w:w="100" w:type="dxa"/>
              <w:left w:w="100" w:type="dxa"/>
              <w:bottom w:w="100" w:type="dxa"/>
              <w:right w:w="100" w:type="dxa"/>
            </w:tcMar>
          </w:tcPr>
          <w:p w14:paraId="3CED4C1D" w14:textId="77777777" w:rsidR="00030055" w:rsidRDefault="00FE3FA4">
            <w:pPr>
              <w:widowControl w:val="0"/>
              <w:numPr>
                <w:ilvl w:val="0"/>
                <w:numId w:val="1"/>
              </w:numPr>
              <w:pBdr>
                <w:top w:val="nil"/>
                <w:left w:val="nil"/>
                <w:bottom w:val="nil"/>
                <w:right w:val="nil"/>
                <w:between w:val="nil"/>
              </w:pBdr>
              <w:spacing w:after="240" w:line="360" w:lineRule="auto"/>
              <w:jc w:val="both"/>
              <w:rPr>
                <w:color w:val="000000"/>
              </w:rPr>
            </w:pPr>
            <w:r>
              <w:rPr>
                <w:color w:val="000000"/>
              </w:rPr>
              <w:t xml:space="preserve">The business can fail to satisfy clients and even fail to meet deadlines of projects due to lower employee count if the demand for the services rises. </w:t>
            </w:r>
          </w:p>
          <w:p w14:paraId="768DC947" w14:textId="77777777" w:rsidR="00030055" w:rsidRDefault="00FE3FA4">
            <w:pPr>
              <w:widowControl w:val="0"/>
              <w:numPr>
                <w:ilvl w:val="0"/>
                <w:numId w:val="1"/>
              </w:numPr>
              <w:pBdr>
                <w:top w:val="nil"/>
                <w:left w:val="nil"/>
                <w:bottom w:val="nil"/>
                <w:right w:val="nil"/>
                <w:between w:val="nil"/>
              </w:pBdr>
              <w:spacing w:after="240" w:line="360" w:lineRule="auto"/>
              <w:jc w:val="both"/>
              <w:rPr>
                <w:color w:val="000000"/>
              </w:rPr>
            </w:pPr>
            <w:r>
              <w:rPr>
                <w:color w:val="000000"/>
              </w:rPr>
              <w:t xml:space="preserve">Due to the presence of a certain number of unsatisfied clients in the market, the business is threatened of losing potential clients to the rivals. </w:t>
            </w:r>
          </w:p>
        </w:tc>
      </w:tr>
    </w:tbl>
    <w:p w14:paraId="2B7455D6" w14:textId="77777777" w:rsidR="00030055" w:rsidRDefault="00FE3FA4">
      <w:pPr>
        <w:pBdr>
          <w:top w:val="nil"/>
          <w:left w:val="nil"/>
          <w:bottom w:val="nil"/>
          <w:right w:val="nil"/>
          <w:between w:val="nil"/>
        </w:pBdr>
        <w:spacing w:after="240" w:line="360" w:lineRule="auto"/>
        <w:jc w:val="center"/>
        <w:rPr>
          <w:color w:val="000000"/>
        </w:rPr>
      </w:pPr>
      <w:r>
        <w:rPr>
          <w:color w:val="000000"/>
        </w:rPr>
        <w:t xml:space="preserve">(apexcomputing.co.uk, n.d; apexcomputing.co.uk, 2024; Shone, 2024; zoominfo.com, 2024; uk.trustpilot.com, 2024; signalhire.com, 2024; </w:t>
      </w:r>
      <w:r>
        <w:rPr>
          <w:color w:val="000000"/>
          <w:highlight w:val="white"/>
        </w:rPr>
        <w:t xml:space="preserve">Tatikonda, Venigandla and Vemuri, 2022; Parolisi Ricardo, 2024; Elkhatib </w:t>
      </w:r>
      <w:r>
        <w:rPr>
          <w:i/>
          <w:color w:val="000000"/>
          <w:highlight w:val="white"/>
        </w:rPr>
        <w:t xml:space="preserve">et al., </w:t>
      </w:r>
      <w:r>
        <w:rPr>
          <w:color w:val="000000"/>
          <w:highlight w:val="white"/>
        </w:rPr>
        <w:t>2022; Kilpinen, 2022</w:t>
      </w:r>
      <w:r>
        <w:rPr>
          <w:color w:val="000000"/>
        </w:rPr>
        <w:t>)</w:t>
      </w:r>
    </w:p>
    <w:p w14:paraId="290DB56E" w14:textId="77777777" w:rsidR="00030055" w:rsidRDefault="00FE3FA4">
      <w:pPr>
        <w:pStyle w:val="Heading2"/>
        <w:spacing w:after="240"/>
      </w:pPr>
      <w:bookmarkStart w:id="4" w:name="_heading=h.2et92p0" w:colFirst="0" w:colLast="0"/>
      <w:bookmarkEnd w:id="4"/>
      <w:r>
        <w:t xml:space="preserve">Stakeholders </w:t>
      </w:r>
    </w:p>
    <w:p w14:paraId="0DF609C4"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As stated by Hoory (2024), stakeholder analysis refers to the process of identifying relevant stakeholders, assessing their requirements and expectations as well as influence. To perform </w:t>
      </w:r>
      <w:r>
        <w:rPr>
          <w:color w:val="000000"/>
        </w:rPr>
        <w:lastRenderedPageBreak/>
        <w:t xml:space="preserve">a stakeholder analysis for the business of Apex Computing Services Ltd, power-interest grid is a suitable tool to be used. A method for classifying stakeholders according to their impact and level of interest in an organisation is the "power-interest grid" (improvementservice.org.uk, n.d). However, to analyse the </w:t>
      </w:r>
      <w:r>
        <w:t>discussion</w:t>
      </w:r>
      <w:r>
        <w:rPr>
          <w:color w:val="000000"/>
        </w:rPr>
        <w:t xml:space="preserve">, the common stakeholders of the business are required to be identified first. As opined by </w:t>
      </w:r>
      <w:r>
        <w:rPr>
          <w:color w:val="000000"/>
          <w:highlight w:val="white"/>
        </w:rPr>
        <w:t xml:space="preserve">He, Zhang and Li </w:t>
      </w:r>
      <w:r>
        <w:rPr>
          <w:color w:val="000000"/>
        </w:rPr>
        <w:t>(2021), as an IT business, the common stakeholders of the business are employe</w:t>
      </w:r>
      <w:r>
        <w:rPr>
          <w:color w:val="000000"/>
        </w:rPr>
        <w:t>es, owners and shareholders, clients and customers, suppliers, investors, regulatory bodies, competitors and the environment. Below is a discussion of the needs and relative power of each of the stakeholder along with discussion about the way each of the stakeholders is supposed to be managed:</w:t>
      </w:r>
    </w:p>
    <w:p w14:paraId="32E15EA6" w14:textId="77777777" w:rsidR="00030055" w:rsidRDefault="00FE3FA4">
      <w:pPr>
        <w:pBdr>
          <w:top w:val="nil"/>
          <w:left w:val="nil"/>
          <w:bottom w:val="nil"/>
          <w:right w:val="nil"/>
          <w:between w:val="nil"/>
        </w:pBdr>
        <w:spacing w:after="240" w:line="360" w:lineRule="auto"/>
        <w:jc w:val="center"/>
        <w:rPr>
          <w:b/>
          <w:color w:val="000000"/>
        </w:rPr>
      </w:pPr>
      <w:r>
        <w:rPr>
          <w:b/>
          <w:noProof/>
          <w:color w:val="000000"/>
        </w:rPr>
        <w:drawing>
          <wp:inline distT="114300" distB="114300" distL="114300" distR="114300" wp14:anchorId="71EC8AC0" wp14:editId="1A93EF13">
            <wp:extent cx="4572000" cy="3429000"/>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572000" cy="3429000"/>
                    </a:xfrm>
                    <a:prstGeom prst="rect">
                      <a:avLst/>
                    </a:prstGeom>
                    <a:ln/>
                  </pic:spPr>
                </pic:pic>
              </a:graphicData>
            </a:graphic>
          </wp:inline>
        </w:drawing>
      </w:r>
    </w:p>
    <w:p w14:paraId="0AF8D3DC" w14:textId="77777777" w:rsidR="00030055" w:rsidRDefault="00FE3FA4">
      <w:pPr>
        <w:pBdr>
          <w:top w:val="nil"/>
          <w:left w:val="nil"/>
          <w:bottom w:val="nil"/>
          <w:right w:val="nil"/>
          <w:between w:val="nil"/>
        </w:pBdr>
        <w:spacing w:after="240" w:line="360" w:lineRule="auto"/>
        <w:jc w:val="center"/>
        <w:rPr>
          <w:b/>
          <w:color w:val="000000"/>
        </w:rPr>
      </w:pPr>
      <w:r>
        <w:rPr>
          <w:b/>
          <w:color w:val="000000"/>
        </w:rPr>
        <w:t>Figure 2: Categorization of the stakeholders of Apex Computing Services Limited using the power-interest grid</w:t>
      </w:r>
    </w:p>
    <w:p w14:paraId="06E45254" w14:textId="77777777" w:rsidR="00030055" w:rsidRDefault="00FE3FA4">
      <w:pPr>
        <w:pBdr>
          <w:top w:val="nil"/>
          <w:left w:val="nil"/>
          <w:bottom w:val="nil"/>
          <w:right w:val="nil"/>
          <w:between w:val="nil"/>
        </w:pBdr>
        <w:spacing w:after="240" w:line="360" w:lineRule="auto"/>
        <w:jc w:val="center"/>
        <w:rPr>
          <w:color w:val="000000"/>
        </w:rPr>
      </w:pPr>
      <w:r>
        <w:rPr>
          <w:color w:val="000000"/>
        </w:rPr>
        <w:t>(Source: Author)</w:t>
      </w:r>
    </w:p>
    <w:p w14:paraId="003704DC" w14:textId="77777777" w:rsidR="00030055" w:rsidRDefault="00FE3FA4">
      <w:pPr>
        <w:pBdr>
          <w:top w:val="nil"/>
          <w:left w:val="nil"/>
          <w:bottom w:val="nil"/>
          <w:right w:val="nil"/>
          <w:between w:val="nil"/>
        </w:pBdr>
        <w:spacing w:after="240" w:line="360" w:lineRule="auto"/>
        <w:jc w:val="both"/>
        <w:rPr>
          <w:b/>
          <w:color w:val="000000"/>
        </w:rPr>
      </w:pPr>
      <w:r>
        <w:rPr>
          <w:b/>
          <w:color w:val="000000"/>
        </w:rPr>
        <w:t>Stakeholders with high power, high interest (Manage Closely)</w:t>
      </w:r>
    </w:p>
    <w:p w14:paraId="59C22311"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Owners and shareholders, clients and customers and regulatory bodies are this category of stakeholders for the business of Apex Computing Services Ltd. As opined by </w:t>
      </w:r>
      <w:r>
        <w:rPr>
          <w:color w:val="000000"/>
          <w:highlight w:val="white"/>
        </w:rPr>
        <w:t>Abdi, Li and Càmara‐Turull (2022),</w:t>
      </w:r>
      <w:r>
        <w:rPr>
          <w:color w:val="000000"/>
        </w:rPr>
        <w:t xml:space="preserve"> owners and shareholders of the business expect high returns on investments. To satisfy such needs of the owners and shareholders, the business has to operate in profit. Excellence in the IT products and services delivered by the business is the basic need of the clients and customers. To satisfy such needs of the clients and customers, </w:t>
      </w:r>
      <w:r>
        <w:rPr>
          <w:color w:val="000000"/>
        </w:rPr>
        <w:lastRenderedPageBreak/>
        <w:t>the business has to design IT offerings by beginning with keen user insight (</w:t>
      </w:r>
      <w:r>
        <w:rPr>
          <w:color w:val="000000"/>
          <w:highlight w:val="white"/>
        </w:rPr>
        <w:t>Palavesh, 2021</w:t>
      </w:r>
      <w:r>
        <w:rPr>
          <w:color w:val="000000"/>
        </w:rPr>
        <w:t>). Through multiple regulatory bodies but expect</w:t>
      </w:r>
      <w:r>
        <w:rPr>
          <w:color w:val="000000"/>
        </w:rPr>
        <w:t>ations of the same from an IT company like Apex Computing Services Ltd are common. The Information Commissioner's Office (ICO), the Financial Conduct Authority (FCA), and the Competition and Markets Authority (CMA) are important regulators in the UK IT sector; however, these regulatory organisations can differ based on the sector and geographic area (ico.org.uk, n.d). Their common need is that the IT company is operating by meeting with all the compliances. To meet such needs, the business has to operate in</w:t>
      </w:r>
      <w:r>
        <w:rPr>
          <w:color w:val="000000"/>
        </w:rPr>
        <w:t xml:space="preserve"> an ethical way (</w:t>
      </w:r>
      <w:r>
        <w:rPr>
          <w:color w:val="000000"/>
          <w:highlight w:val="white"/>
        </w:rPr>
        <w:t>Trevino, L.K. and Nelson, 2024</w:t>
      </w:r>
      <w:r>
        <w:rPr>
          <w:color w:val="000000"/>
        </w:rPr>
        <w:t xml:space="preserve">). </w:t>
      </w:r>
    </w:p>
    <w:p w14:paraId="07C83765" w14:textId="77777777" w:rsidR="00030055" w:rsidRDefault="00FE3FA4">
      <w:pPr>
        <w:pBdr>
          <w:top w:val="nil"/>
          <w:left w:val="nil"/>
          <w:bottom w:val="nil"/>
          <w:right w:val="nil"/>
          <w:between w:val="nil"/>
        </w:pBdr>
        <w:spacing w:after="240" w:line="360" w:lineRule="auto"/>
        <w:jc w:val="both"/>
        <w:rPr>
          <w:b/>
          <w:color w:val="000000"/>
        </w:rPr>
      </w:pPr>
      <w:r>
        <w:rPr>
          <w:b/>
          <w:color w:val="000000"/>
        </w:rPr>
        <w:t>Stakeholders with high power, low interest (Keep Satisfied)</w:t>
      </w:r>
    </w:p>
    <w:p w14:paraId="2701D4FE" w14:textId="77777777" w:rsidR="00030055" w:rsidRDefault="00FE3FA4">
      <w:pPr>
        <w:pBdr>
          <w:top w:val="nil"/>
          <w:left w:val="nil"/>
          <w:bottom w:val="nil"/>
          <w:right w:val="nil"/>
          <w:between w:val="nil"/>
        </w:pBdr>
        <w:spacing w:after="240" w:line="360" w:lineRule="auto"/>
        <w:jc w:val="both"/>
        <w:rPr>
          <w:color w:val="000000"/>
        </w:rPr>
      </w:pPr>
      <w:r>
        <w:rPr>
          <w:color w:val="000000"/>
        </w:rPr>
        <w:t>Investors and suppliers are this category of stakeholders for the business of Apex Computing Services Ltd. Just like owners and shareholders, the investors need from the business is also a high return on their investment (british-business-bank.co.uk, n.d). To meet such an expectation, continuous growth and success should be fostered in the business. Suppliers of the IT company have needs of repeat orders and security of future business transactions (bbc.co.uk, 2024). To meet such needs of the suppliers, the</w:t>
      </w:r>
      <w:r>
        <w:rPr>
          <w:color w:val="000000"/>
        </w:rPr>
        <w:t xml:space="preserve"> business has to make repeated purchases of resources required to build IT products and services. The business must remain in touch with the suppliers to provide them with a sense of security (</w:t>
      </w:r>
      <w:r>
        <w:rPr>
          <w:color w:val="000000"/>
          <w:highlight w:val="white"/>
        </w:rPr>
        <w:t>Faccia and Petratos, 2021</w:t>
      </w:r>
      <w:r>
        <w:rPr>
          <w:color w:val="000000"/>
        </w:rPr>
        <w:t xml:space="preserve">). </w:t>
      </w:r>
    </w:p>
    <w:p w14:paraId="0C54C9B3" w14:textId="77777777" w:rsidR="00030055" w:rsidRDefault="00FE3FA4">
      <w:pPr>
        <w:pBdr>
          <w:top w:val="nil"/>
          <w:left w:val="nil"/>
          <w:bottom w:val="nil"/>
          <w:right w:val="nil"/>
          <w:between w:val="nil"/>
        </w:pBdr>
        <w:spacing w:after="240" w:line="360" w:lineRule="auto"/>
        <w:jc w:val="both"/>
        <w:rPr>
          <w:b/>
          <w:color w:val="000000"/>
        </w:rPr>
      </w:pPr>
      <w:r>
        <w:rPr>
          <w:b/>
          <w:color w:val="000000"/>
        </w:rPr>
        <w:t>Stakeholders with low power, high interest (Keep Informed)</w:t>
      </w:r>
    </w:p>
    <w:p w14:paraId="2BCA9F10"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This category of stakeholders for the business of Apex Computing Services Ltd includes employees </w:t>
      </w:r>
      <w:r>
        <w:t>and the environment</w:t>
      </w:r>
      <w:r>
        <w:rPr>
          <w:color w:val="000000"/>
        </w:rPr>
        <w:t>. The needs of the employees in the mentioned business can include but not limited to fair compensation and working conditions, job security, work-life balance, access to learning resources and platforms, feeling of being valued and recognised, sense of belonging and trust (</w:t>
      </w:r>
      <w:r>
        <w:rPr>
          <w:color w:val="000000"/>
          <w:highlight w:val="white"/>
        </w:rPr>
        <w:t>Sitopu, Sitinjak and Marpaung, 2021</w:t>
      </w:r>
      <w:r>
        <w:rPr>
          <w:color w:val="000000"/>
        </w:rPr>
        <w:t>). Possible measures are required to be taken by the IT Company to meet such needs of the employees. To do so, ethics and sustainability should be at the core of the business (</w:t>
      </w:r>
      <w:r>
        <w:rPr>
          <w:color w:val="000000"/>
          <w:highlight w:val="white"/>
        </w:rPr>
        <w:t xml:space="preserve">Sheehy </w:t>
      </w:r>
      <w:r>
        <w:rPr>
          <w:color w:val="000000"/>
          <w:highlight w:val="white"/>
        </w:rPr>
        <w:t>and Farneti, 2021</w:t>
      </w:r>
      <w:r>
        <w:rPr>
          <w:color w:val="000000"/>
        </w:rPr>
        <w:t xml:space="preserve">). </w:t>
      </w:r>
    </w:p>
    <w:p w14:paraId="1744E3C9" w14:textId="77777777" w:rsidR="00030055" w:rsidRDefault="00FE3FA4">
      <w:pPr>
        <w:pBdr>
          <w:top w:val="nil"/>
          <w:left w:val="nil"/>
          <w:bottom w:val="nil"/>
          <w:right w:val="nil"/>
          <w:between w:val="nil"/>
        </w:pBdr>
        <w:spacing w:after="240" w:line="360" w:lineRule="auto"/>
        <w:jc w:val="both"/>
        <w:rPr>
          <w:b/>
          <w:color w:val="000000"/>
        </w:rPr>
      </w:pPr>
      <w:r>
        <w:rPr>
          <w:b/>
          <w:color w:val="000000"/>
        </w:rPr>
        <w:t>Stakeholders with low power, low interest (Monitor)</w:t>
      </w:r>
    </w:p>
    <w:p w14:paraId="48E3479F" w14:textId="77777777" w:rsidR="00030055" w:rsidRDefault="00FE3FA4">
      <w:pPr>
        <w:pBdr>
          <w:top w:val="nil"/>
          <w:left w:val="nil"/>
          <w:bottom w:val="nil"/>
          <w:right w:val="nil"/>
          <w:between w:val="nil"/>
        </w:pBdr>
        <w:spacing w:after="240" w:line="360" w:lineRule="auto"/>
        <w:jc w:val="both"/>
        <w:rPr>
          <w:color w:val="000000"/>
        </w:rPr>
      </w:pPr>
      <w:r>
        <w:rPr>
          <w:color w:val="000000"/>
        </w:rPr>
        <w:t>Competitors are this category of stakeholders for Apex Computing Services Ltd. Disclosure of  business-related information can be the needs of the competitors of the business (</w:t>
      </w:r>
      <w:r>
        <w:rPr>
          <w:color w:val="000000"/>
          <w:highlight w:val="white"/>
        </w:rPr>
        <w:t>Deva, 2020</w:t>
      </w:r>
      <w:r>
        <w:rPr>
          <w:color w:val="000000"/>
        </w:rPr>
        <w:t xml:space="preserve">). The factor is that such a disclosure can provide with the opportunity to rectify areas within wherever needed. To meet such needs of competitors, the business has to adhere to the guidelines given by Economic Crime and Corporate Transparency Act 2023 (legislation.gov.uk, 2023). </w:t>
      </w:r>
    </w:p>
    <w:p w14:paraId="523F820A" w14:textId="77777777" w:rsidR="00030055" w:rsidRDefault="00FE3FA4">
      <w:pPr>
        <w:pStyle w:val="Heading2"/>
        <w:spacing w:after="240"/>
      </w:pPr>
      <w:bookmarkStart w:id="5" w:name="_heading=h.tyjcwt" w:colFirst="0" w:colLast="0"/>
      <w:bookmarkEnd w:id="5"/>
      <w:r>
        <w:lastRenderedPageBreak/>
        <w:t xml:space="preserve">Possible strategic growth options </w:t>
      </w:r>
    </w:p>
    <w:p w14:paraId="696CAD52"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To discuss possible strategic growth options for the business of Apex Computing Services Ltd, Ansoff matrix is suitable to be used as a strategic tool. Management teams and the analyst community utilise the Ansoff Matrix, also known as the Product/Market Expansion Grid, as a two-by-two structure to assist plan and assess expansion projects. The tool specifically aids stakeholders in understanding the degree of risk connected to various development plans (corporatefinanceinstitute.com, 2024). </w:t>
      </w:r>
    </w:p>
    <w:p w14:paraId="09420E04" w14:textId="77777777" w:rsidR="00030055" w:rsidRDefault="00FE3FA4">
      <w:pPr>
        <w:pBdr>
          <w:top w:val="nil"/>
          <w:left w:val="nil"/>
          <w:bottom w:val="nil"/>
          <w:right w:val="nil"/>
          <w:between w:val="nil"/>
        </w:pBdr>
        <w:spacing w:after="240" w:line="360" w:lineRule="auto"/>
        <w:jc w:val="center"/>
        <w:rPr>
          <w:color w:val="000000"/>
        </w:rPr>
      </w:pPr>
      <w:r>
        <w:rPr>
          <w:noProof/>
          <w:color w:val="000000"/>
        </w:rPr>
        <w:drawing>
          <wp:inline distT="114300" distB="114300" distL="114300" distR="114300" wp14:anchorId="3847612D" wp14:editId="2567DACF">
            <wp:extent cx="5731200" cy="3314700"/>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3314700"/>
                    </a:xfrm>
                    <a:prstGeom prst="rect">
                      <a:avLst/>
                    </a:prstGeom>
                    <a:ln/>
                  </pic:spPr>
                </pic:pic>
              </a:graphicData>
            </a:graphic>
          </wp:inline>
        </w:drawing>
      </w:r>
    </w:p>
    <w:p w14:paraId="46206028" w14:textId="77777777" w:rsidR="00030055" w:rsidRDefault="00FE3FA4">
      <w:pPr>
        <w:pBdr>
          <w:top w:val="nil"/>
          <w:left w:val="nil"/>
          <w:bottom w:val="nil"/>
          <w:right w:val="nil"/>
          <w:between w:val="nil"/>
        </w:pBdr>
        <w:spacing w:after="240" w:line="360" w:lineRule="auto"/>
        <w:jc w:val="center"/>
        <w:rPr>
          <w:b/>
          <w:color w:val="000000"/>
        </w:rPr>
      </w:pPr>
      <w:r>
        <w:rPr>
          <w:b/>
          <w:color w:val="000000"/>
        </w:rPr>
        <w:t>Figure 3: Ansoff Matrix</w:t>
      </w:r>
    </w:p>
    <w:p w14:paraId="6315BAEB" w14:textId="77777777" w:rsidR="00030055" w:rsidRDefault="00FE3FA4">
      <w:pPr>
        <w:pBdr>
          <w:top w:val="nil"/>
          <w:left w:val="nil"/>
          <w:bottom w:val="nil"/>
          <w:right w:val="nil"/>
          <w:between w:val="nil"/>
        </w:pBdr>
        <w:spacing w:after="240" w:line="360" w:lineRule="auto"/>
        <w:jc w:val="center"/>
        <w:rPr>
          <w:color w:val="000000"/>
        </w:rPr>
      </w:pPr>
      <w:r>
        <w:rPr>
          <w:color w:val="000000"/>
        </w:rPr>
        <w:t>(Source: corporatefinanceinstitute.com, 2024)</w:t>
      </w:r>
    </w:p>
    <w:p w14:paraId="53B0A1C9" w14:textId="77777777" w:rsidR="00030055" w:rsidRDefault="00FE3FA4">
      <w:pPr>
        <w:pBdr>
          <w:top w:val="nil"/>
          <w:left w:val="nil"/>
          <w:bottom w:val="nil"/>
          <w:right w:val="nil"/>
          <w:between w:val="nil"/>
        </w:pBdr>
        <w:spacing w:after="240" w:line="360" w:lineRule="auto"/>
        <w:jc w:val="both"/>
        <w:rPr>
          <w:color w:val="000000"/>
        </w:rPr>
      </w:pPr>
      <w:r>
        <w:rPr>
          <w:color w:val="000000"/>
        </w:rPr>
        <w:t>The mentioned tool introduces four growth options for a business like Apex Computing Services Ltd, which can be termed as four different growth strategies that are market penetration, market development, product development and diversification. For growth of the technology business, market penetration seeks to boost sales of current IT products and services in an existing market, whereas market development focuses on selling current IT products and services in new markets. While diversification involves int</w:t>
      </w:r>
      <w:r>
        <w:rPr>
          <w:color w:val="000000"/>
        </w:rPr>
        <w:t>roducing new IT products and services to untapped markets, product development introduces IT new products and services to existing markets (</w:t>
      </w:r>
      <w:r>
        <w:rPr>
          <w:color w:val="000000"/>
          <w:highlight w:val="white"/>
        </w:rPr>
        <w:t>Ferreira and de Sá, 2021</w:t>
      </w:r>
      <w:r>
        <w:rPr>
          <w:color w:val="000000"/>
        </w:rPr>
        <w:t xml:space="preserve">). Among the discussed growth options, the implementation of market development, product development and diversification strategies are three most suitable options to be adopted. </w:t>
      </w:r>
    </w:p>
    <w:p w14:paraId="3A3B82BF" w14:textId="77777777" w:rsidR="00030055" w:rsidRDefault="00FE3FA4">
      <w:pPr>
        <w:pBdr>
          <w:top w:val="nil"/>
          <w:left w:val="nil"/>
          <w:bottom w:val="nil"/>
          <w:right w:val="nil"/>
          <w:between w:val="nil"/>
        </w:pBdr>
        <w:spacing w:after="240" w:line="360" w:lineRule="auto"/>
        <w:jc w:val="both"/>
        <w:rPr>
          <w:color w:val="000000"/>
        </w:rPr>
      </w:pPr>
      <w:r>
        <w:rPr>
          <w:color w:val="000000"/>
        </w:rPr>
        <w:lastRenderedPageBreak/>
        <w:t xml:space="preserve">As opined by </w:t>
      </w:r>
      <w:r>
        <w:rPr>
          <w:color w:val="000000"/>
          <w:highlight w:val="white"/>
        </w:rPr>
        <w:t xml:space="preserve">Lan (2023), </w:t>
      </w:r>
      <w:r>
        <w:rPr>
          <w:color w:val="000000"/>
        </w:rPr>
        <w:t xml:space="preserve">in the implementation of the market development strategy, Apex Computing Services Ltd is expected to be focused on identifying IT products and services that can be proven valuable for customers to generate revenue. This can ultimately result in the engagement of a complete new customer base the business can hold for a long term. On the other hand, as suggested by </w:t>
      </w:r>
      <w:r>
        <w:rPr>
          <w:color w:val="000000"/>
          <w:highlight w:val="white"/>
        </w:rPr>
        <w:t>Zugay, B. and Zakaria (2023),</w:t>
      </w:r>
      <w:r>
        <w:rPr>
          <w:color w:val="000000"/>
        </w:rPr>
        <w:t xml:space="preserve"> in the implementation of product development strategy as well, the IT company has to focus on innovating</w:t>
      </w:r>
      <w:r>
        <w:rPr>
          <w:color w:val="000000"/>
        </w:rPr>
        <w:t xml:space="preserve"> and bringing new It products and services. New product development can be beneficial for the business in terms of improvement in market share, loyalty among customers and competitiveness in the existing market. It has also been observed that the same benefits can be obtained by the business by applying diversification strategy as well.  The factor is that the development of new complementary products for existing products to be supplied in the new run can provide the existing products a long run potential.</w:t>
      </w:r>
      <w:r>
        <w:rPr>
          <w:color w:val="000000"/>
        </w:rPr>
        <w:t xml:space="preserve"> </w:t>
      </w:r>
    </w:p>
    <w:p w14:paraId="1813B45A" w14:textId="77777777" w:rsidR="00030055" w:rsidRDefault="00FE3FA4">
      <w:pPr>
        <w:pStyle w:val="Heading2"/>
        <w:spacing w:after="240"/>
      </w:pPr>
      <w:bookmarkStart w:id="6" w:name="_heading=h.3dy6vkm" w:colFirst="0" w:colLast="0"/>
      <w:bookmarkEnd w:id="6"/>
      <w:r>
        <w:t xml:space="preserve">Strategic recommendations </w:t>
      </w:r>
    </w:p>
    <w:p w14:paraId="46FAA7CD"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Significant measures are required to be taken by Apex Computing Services Ltd to make the implementation of market development, product development and diversification strategies of Ansoff Matrix successful. As suggested by only in the Ansoff Matrix, to make the implementation of the market development strategy successful, the IT Company has to focus on catering to different segments of customers or target demographics with existing IT products and services already offered. Measures should be taken to enter </w:t>
      </w:r>
      <w:r>
        <w:rPr>
          <w:color w:val="000000"/>
        </w:rPr>
        <w:t xml:space="preserve">a new domestic market in the UK in the first attempt. As soon as possible, the business should plan for international expansion (corporatefinanceinstitute.com, 2024). </w:t>
      </w:r>
    </w:p>
    <w:p w14:paraId="19044BC7"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Since in the implementation of the product development strategy, the business has to focus on new product development, investment in Research and Development is integral. As opined by </w:t>
      </w:r>
      <w:r>
        <w:rPr>
          <w:color w:val="000000"/>
          <w:highlight w:val="white"/>
        </w:rPr>
        <w:t xml:space="preserve">Wouters, McKee and Luyten (2020), </w:t>
      </w:r>
      <w:r>
        <w:rPr>
          <w:color w:val="000000"/>
        </w:rPr>
        <w:t>the portion of a business's activities that looks for information to create, design, and improve its goods, services, technology, or procedures is known as research and development, or R&amp;D. The organisation can also borrow the rights to selling IT products and services of other companies as well. The business must also be focused on developing a new IT product or service by branding a white-label product or service that is actually produced by a third party (</w:t>
      </w:r>
      <w:r>
        <w:rPr>
          <w:color w:val="000000"/>
          <w:highlight w:val="white"/>
        </w:rPr>
        <w:t>Denysiuk, 2021</w:t>
      </w:r>
      <w:r>
        <w:rPr>
          <w:color w:val="000000"/>
        </w:rPr>
        <w:t>)</w:t>
      </w:r>
      <w:r>
        <w:rPr>
          <w:color w:val="000000"/>
        </w:rPr>
        <w:t xml:space="preserve">. </w:t>
      </w:r>
    </w:p>
    <w:p w14:paraId="54DBBEC6"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Since there is a serious matter of new product development, innovation should be kept a core of the business as a change initiative. In fostering innovation, the 5Cs of innovation can be used as a strategic tool in Apex Computing Services Ltd. In other words, the IT business must track the movements of the competitors on the market and make strategic decisions regarding new iT product and service development accordingly. The entire organisation should work </w:t>
      </w:r>
      <w:r>
        <w:rPr>
          <w:color w:val="000000"/>
        </w:rPr>
        <w:lastRenderedPageBreak/>
        <w:t xml:space="preserve">collaboratively to make new products and services increasingly innovative. By taking suitable measures, a culture of innovation should be established at the workplace. Catalysts such as new pricing models or government grants must be acquired by the organisation. Strategic decisions related to product development should be taken by conspiring all the possible constraints (vizologi.com, 2023). </w:t>
      </w:r>
    </w:p>
    <w:p w14:paraId="0D329596" w14:textId="77777777" w:rsidR="00030055" w:rsidRDefault="00FE3FA4">
      <w:pPr>
        <w:pStyle w:val="Heading2"/>
        <w:spacing w:after="240"/>
      </w:pPr>
      <w:bookmarkStart w:id="7" w:name="_heading=h.1t3h5sf" w:colFirst="0" w:colLast="0"/>
      <w:bookmarkEnd w:id="7"/>
      <w:r>
        <w:t>Competitor’s movement and the way the situation can be handled</w:t>
      </w:r>
    </w:p>
    <w:p w14:paraId="68A1654B" w14:textId="77777777" w:rsidR="00030055" w:rsidRDefault="00FE3FA4">
      <w:pPr>
        <w:pBdr>
          <w:top w:val="nil"/>
          <w:left w:val="nil"/>
          <w:bottom w:val="nil"/>
          <w:right w:val="nil"/>
          <w:between w:val="nil"/>
        </w:pBdr>
        <w:spacing w:after="240" w:line="360" w:lineRule="auto"/>
        <w:jc w:val="both"/>
        <w:rPr>
          <w:color w:val="000000"/>
        </w:rPr>
      </w:pPr>
      <w:r>
        <w:rPr>
          <w:color w:val="000000"/>
        </w:rPr>
        <w:t>As soon as the business tries to expand the market base with existing IT offerings, significant movements can be noticed among the potential competitors in the market. The same can be noticed when applying the product development and diversification strategy as well. The competitors can try to introduce the similar and even same IT products and services in the market. However, by taking suitable measures, such a situation can efficiently be managed by Apex Computing Services Ltd. In such a situation, the bu</w:t>
      </w:r>
      <w:r>
        <w:rPr>
          <w:color w:val="000000"/>
        </w:rPr>
        <w:t>siness should focus on applying the competitive pricing strategy when setting the prices of the IT offerings. Setting prices based on those of the competitors is known as a competitive pricing strategy. In doing so, the prices of the IT offerings should be kept lower compared to the competitors. In the implementation of this pricing strategy, the business should ignore production costs and consumer value, instead concentrating only on the publicly available prices of the competitors in the market. By offeri</w:t>
      </w:r>
      <w:r>
        <w:rPr>
          <w:color w:val="000000"/>
        </w:rPr>
        <w:t xml:space="preserve">ng IT products and services at lower prices compared to the competitors, Apex Computing Services Ltd can enhance increased sales. Customer loyalty can even be boosted. The clients can even start becoming increasingly stratified (Peppler, 2022). </w:t>
      </w:r>
    </w:p>
    <w:p w14:paraId="12B7EB3B" w14:textId="77777777" w:rsidR="00030055" w:rsidRDefault="00FE3FA4">
      <w:pPr>
        <w:pStyle w:val="Heading2"/>
        <w:spacing w:after="240"/>
      </w:pPr>
      <w:bookmarkStart w:id="8" w:name="_heading=h.4d34og8" w:colFirst="0" w:colLast="0"/>
      <w:bookmarkEnd w:id="8"/>
      <w:r>
        <w:t xml:space="preserve">Conclusion </w:t>
      </w:r>
    </w:p>
    <w:p w14:paraId="34C7E903" w14:textId="77777777" w:rsidR="00030055" w:rsidRDefault="00FE3FA4">
      <w:pPr>
        <w:pBdr>
          <w:top w:val="nil"/>
          <w:left w:val="nil"/>
          <w:bottom w:val="nil"/>
          <w:right w:val="nil"/>
          <w:between w:val="nil"/>
        </w:pBdr>
        <w:spacing w:after="240" w:line="360" w:lineRule="auto"/>
        <w:jc w:val="both"/>
        <w:rPr>
          <w:color w:val="000000"/>
        </w:rPr>
      </w:pPr>
      <w:r>
        <w:rPr>
          <w:color w:val="000000"/>
        </w:rPr>
        <w:t>In summary, a UK-based SME, Apex Computing Services Ltd., uses Porter's Five Forces paradigm to manage fierce competition with over 51,017 IT firms. The organisation wants to help businesses both domestically and abroad by offering a variety of IT services and personal service. The business has a solid reputation for quality and has significant bargaining power. With a 2024 Mid Enterprise MSP of the Year title, suppliers have a considerable amount of negotiation leverage. There are not many threats from new</w:t>
      </w:r>
      <w:r>
        <w:rPr>
          <w:color w:val="000000"/>
        </w:rPr>
        <w:t xml:space="preserve"> competitors, and the company's emphasis on customer service gives it a big competitive edge. The company's strategy is also influenced by the external environment, which includes the Data Protection Act of 2018, economic development, online purchasing trends, political stability, and technical improvements. The internal environment of Apex Computing Services Ltd. is evaluated using the SWOT framework, which focuses on opportunities, threats, weaknesses, and strengths. The organisation is well-known, provid</w:t>
      </w:r>
      <w:r>
        <w:rPr>
          <w:color w:val="000000"/>
        </w:rPr>
        <w:t>es individualised IT services, and is available around-</w:t>
      </w:r>
      <w:r>
        <w:rPr>
          <w:color w:val="000000"/>
        </w:rPr>
        <w:lastRenderedPageBreak/>
        <w:t>the-clock. However, some clients are not happy, and staff engagement is poor. Opportunities include boosting supply across sectors and entering new markets. Finding stakeholders requires stakeholder analysis utilising the power-interest grid. Employees, shareholders, customers, suppliers, investors, regulatory agencies, rival businesses, and the environment are examples of common stakeholders. Apex Computing Services Ltd should give ethics, sustainabili</w:t>
      </w:r>
      <w:r>
        <w:rPr>
          <w:color w:val="000000"/>
        </w:rPr>
        <w:t>ty, and regulatory compliance a priority in order to satisfy stakeholder needs.</w:t>
      </w:r>
    </w:p>
    <w:p w14:paraId="7442E2DE" w14:textId="77777777" w:rsidR="00030055" w:rsidRDefault="00FE3FA4">
      <w:pPr>
        <w:pBdr>
          <w:top w:val="nil"/>
          <w:left w:val="nil"/>
          <w:bottom w:val="nil"/>
          <w:right w:val="nil"/>
          <w:between w:val="nil"/>
        </w:pBdr>
        <w:spacing w:after="240" w:line="360" w:lineRule="auto"/>
        <w:jc w:val="both"/>
        <w:rPr>
          <w:color w:val="000000"/>
        </w:rPr>
      </w:pPr>
      <w:r>
        <w:rPr>
          <w:color w:val="000000"/>
        </w:rPr>
        <w:t>Moreover, Management teams and analysts utilise the Ansoff Matrix, sometimes called the Product/Market growth Grid, as a strategic tool to plan and evaluate growth initiatives. Market penetration, market development, product development, and diversification are its four growth strategies. Apex Computing Services Ltd. should concentrate on finding worthwhile IT services and products, developing, and launching new complementary goods in order to put these plans into practice. The business should spend in R&amp;D,</w:t>
      </w:r>
      <w:r>
        <w:rPr>
          <w:color w:val="000000"/>
        </w:rPr>
        <w:t xml:space="preserve"> target various consumer categories, encourage innovation, and get catalysts like government subsidies or innovative pricing structures in order to prosper. Sales, customer loyalty, and customer stratification may all be raised by controlling competition and putting competitive pricing tactics into practice.</w:t>
      </w:r>
    </w:p>
    <w:p w14:paraId="45064321" w14:textId="77777777" w:rsidR="00030055" w:rsidRDefault="00FE3FA4">
      <w:pPr>
        <w:pBdr>
          <w:top w:val="nil"/>
          <w:left w:val="nil"/>
          <w:bottom w:val="nil"/>
          <w:right w:val="nil"/>
          <w:between w:val="nil"/>
        </w:pBdr>
        <w:spacing w:after="240" w:line="360" w:lineRule="auto"/>
        <w:jc w:val="both"/>
        <w:rPr>
          <w:b/>
          <w:color w:val="000000"/>
        </w:rPr>
      </w:pPr>
      <w:r>
        <w:br w:type="page"/>
      </w:r>
    </w:p>
    <w:p w14:paraId="1C4A12CC" w14:textId="77777777" w:rsidR="00030055" w:rsidRDefault="00FE3FA4">
      <w:pPr>
        <w:pStyle w:val="Heading1"/>
        <w:spacing w:after="240"/>
      </w:pPr>
      <w:bookmarkStart w:id="9" w:name="_heading=h.2s8eyo1" w:colFirst="0" w:colLast="0"/>
      <w:bookmarkEnd w:id="9"/>
      <w:r>
        <w:lastRenderedPageBreak/>
        <w:t>Reference List</w:t>
      </w:r>
    </w:p>
    <w:p w14:paraId="60BFCC5D" w14:textId="77777777" w:rsidR="00030055" w:rsidRDefault="00FE3FA4">
      <w:pPr>
        <w:pStyle w:val="Heading2"/>
        <w:spacing w:after="240"/>
      </w:pPr>
      <w:bookmarkStart w:id="10" w:name="_heading=h.17dp8vu" w:colFirst="0" w:colLast="0"/>
      <w:bookmarkEnd w:id="10"/>
      <w:r>
        <w:t>Task 1</w:t>
      </w:r>
    </w:p>
    <w:p w14:paraId="390FE4BA" w14:textId="77777777" w:rsidR="00030055" w:rsidRDefault="00FE3FA4">
      <w:pPr>
        <w:pBdr>
          <w:top w:val="nil"/>
          <w:left w:val="nil"/>
          <w:bottom w:val="nil"/>
          <w:right w:val="nil"/>
          <w:between w:val="nil"/>
        </w:pBdr>
        <w:spacing w:after="240" w:line="360" w:lineRule="auto"/>
        <w:jc w:val="both"/>
        <w:rPr>
          <w:color w:val="000000"/>
        </w:rPr>
      </w:pPr>
      <w:r>
        <w:rPr>
          <w:color w:val="000000"/>
          <w:highlight w:val="white"/>
        </w:rPr>
        <w:t xml:space="preserve">Abdi, Y., Li, X. and Càmara‐Turull, X., (2022). How financial performance influences investment in sustainable development initiatives in the airline industry: The moderation role of state‐ownership. </w:t>
      </w:r>
      <w:r>
        <w:rPr>
          <w:i/>
          <w:color w:val="000000"/>
          <w:highlight w:val="white"/>
        </w:rPr>
        <w:t>Sustainable Development</w:t>
      </w:r>
      <w:r>
        <w:rPr>
          <w:color w:val="000000"/>
          <w:highlight w:val="white"/>
        </w:rPr>
        <w:t xml:space="preserve">, </w:t>
      </w:r>
      <w:r>
        <w:rPr>
          <w:i/>
          <w:color w:val="000000"/>
          <w:highlight w:val="white"/>
        </w:rPr>
        <w:t>30</w:t>
      </w:r>
      <w:r>
        <w:rPr>
          <w:color w:val="000000"/>
          <w:highlight w:val="white"/>
        </w:rPr>
        <w:t>(5), pp.1252-1267.</w:t>
      </w:r>
    </w:p>
    <w:p w14:paraId="31C67E5A" w14:textId="77777777" w:rsidR="00030055" w:rsidRDefault="00FE3FA4">
      <w:pPr>
        <w:pBdr>
          <w:top w:val="nil"/>
          <w:left w:val="nil"/>
          <w:bottom w:val="nil"/>
          <w:right w:val="nil"/>
          <w:between w:val="nil"/>
        </w:pBdr>
        <w:spacing w:after="240" w:line="360" w:lineRule="auto"/>
        <w:jc w:val="both"/>
        <w:rPr>
          <w:color w:val="000000"/>
          <w:highlight w:val="white"/>
        </w:rPr>
      </w:pPr>
      <w:r>
        <w:rPr>
          <w:color w:val="000000"/>
          <w:highlight w:val="white"/>
        </w:rPr>
        <w:t xml:space="preserve">Ahmad, A.H., Masri, R., Chong, C.V., Fauzi, R.U.A. and Idris, I., (2020). Evolution of technology and consumer behavior: The unavoidable impacts. </w:t>
      </w:r>
      <w:r>
        <w:rPr>
          <w:i/>
          <w:color w:val="000000"/>
          <w:highlight w:val="white"/>
        </w:rPr>
        <w:t>Evolution</w:t>
      </w:r>
      <w:r>
        <w:rPr>
          <w:color w:val="000000"/>
          <w:highlight w:val="white"/>
        </w:rPr>
        <w:t xml:space="preserve">, </w:t>
      </w:r>
      <w:r>
        <w:rPr>
          <w:i/>
          <w:color w:val="000000"/>
          <w:highlight w:val="white"/>
        </w:rPr>
        <w:t>7</w:t>
      </w:r>
      <w:r>
        <w:rPr>
          <w:color w:val="000000"/>
          <w:highlight w:val="white"/>
        </w:rPr>
        <w:t>(11), p.2020.</w:t>
      </w:r>
    </w:p>
    <w:p w14:paraId="26EA00D0"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apexcomputing.co.uk, (2024). </w:t>
      </w:r>
      <w:r>
        <w:rPr>
          <w:i/>
          <w:color w:val="000000"/>
        </w:rPr>
        <w:t xml:space="preserve">Expert IT Support in Manchester. </w:t>
      </w:r>
      <w:r>
        <w:rPr>
          <w:color w:val="000000"/>
        </w:rPr>
        <w:t>[Online] Available at: https://www.apexcomputing.co.uk/ [Accessed on: 01.11.2024]</w:t>
      </w:r>
    </w:p>
    <w:p w14:paraId="7A2DF54A"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apexcomputing.co.uk, (n.d). </w:t>
      </w:r>
      <w:r>
        <w:rPr>
          <w:i/>
          <w:color w:val="000000"/>
        </w:rPr>
        <w:t>Terms &amp; Conditions</w:t>
      </w:r>
      <w:r>
        <w:rPr>
          <w:color w:val="000000"/>
        </w:rPr>
        <w:t>. [Online] Available at: https://www.apexcomputing.co.uk/terms-and-conditions/ [Accessed on: 01.11.2024]</w:t>
      </w:r>
    </w:p>
    <w:p w14:paraId="50280DE5"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apexcomputing.co.uk, (n.d). </w:t>
      </w:r>
      <w:r>
        <w:rPr>
          <w:i/>
          <w:color w:val="000000"/>
        </w:rPr>
        <w:t xml:space="preserve">Why choose us? </w:t>
      </w:r>
      <w:r>
        <w:rPr>
          <w:color w:val="000000"/>
        </w:rPr>
        <w:t>[Online] Available at: https://www.apexcomputing.co.uk/about/ [Accessed on: 01.11.2024]</w:t>
      </w:r>
    </w:p>
    <w:p w14:paraId="2BA9E754"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bbc.co.uk, (2024). </w:t>
      </w:r>
      <w:r>
        <w:rPr>
          <w:i/>
          <w:color w:val="000000"/>
        </w:rPr>
        <w:t>Stakeholders</w:t>
      </w:r>
      <w:r>
        <w:rPr>
          <w:color w:val="000000"/>
        </w:rPr>
        <w:t>. [Online] Available at: https://www.bbc.co.uk/bitesize/guides/znf7nrd/revision/8 [Accessed on: 01.11.2024]</w:t>
      </w:r>
    </w:p>
    <w:p w14:paraId="301C52E4" w14:textId="77777777" w:rsidR="00030055" w:rsidRDefault="00FE3FA4">
      <w:pPr>
        <w:pBdr>
          <w:top w:val="nil"/>
          <w:left w:val="nil"/>
          <w:bottom w:val="nil"/>
          <w:right w:val="nil"/>
          <w:between w:val="nil"/>
        </w:pBdr>
        <w:spacing w:after="240" w:line="360" w:lineRule="auto"/>
        <w:jc w:val="both"/>
        <w:rPr>
          <w:color w:val="000000"/>
          <w:highlight w:val="white"/>
        </w:rPr>
      </w:pPr>
      <w:r>
        <w:rPr>
          <w:color w:val="000000"/>
          <w:highlight w:val="white"/>
        </w:rPr>
        <w:t xml:space="preserve">Berisha Qehaja, A. and Kutllovci, E., (2020). Strategy tools in use: New empirical insights from the strategy-as-practice perspective. </w:t>
      </w:r>
      <w:r>
        <w:rPr>
          <w:i/>
          <w:color w:val="000000"/>
          <w:highlight w:val="white"/>
        </w:rPr>
        <w:t>Management: Journal of Contemporary Management Issues</w:t>
      </w:r>
      <w:r>
        <w:rPr>
          <w:color w:val="000000"/>
          <w:highlight w:val="white"/>
        </w:rPr>
        <w:t xml:space="preserve">, </w:t>
      </w:r>
      <w:r>
        <w:rPr>
          <w:i/>
          <w:color w:val="000000"/>
          <w:highlight w:val="white"/>
        </w:rPr>
        <w:t>25</w:t>
      </w:r>
      <w:r>
        <w:rPr>
          <w:color w:val="000000"/>
          <w:highlight w:val="white"/>
        </w:rPr>
        <w:t>(1), pp.145-169.</w:t>
      </w:r>
    </w:p>
    <w:p w14:paraId="49A4B258"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british-business-bank.co.uk, (n.d). </w:t>
      </w:r>
      <w:r>
        <w:rPr>
          <w:i/>
          <w:color w:val="000000"/>
        </w:rPr>
        <w:t>How to make the first approach to an investor</w:t>
      </w:r>
      <w:r>
        <w:rPr>
          <w:color w:val="000000"/>
        </w:rPr>
        <w:t>. [Online] Available at: https://www.british-business-bank.co.uk/business-guidance/guidance-articles/business-essentials/how-to-approach-investor. [Accessed on: 01.11.2024]</w:t>
      </w:r>
    </w:p>
    <w:p w14:paraId="4E5AB8AD" w14:textId="77777777" w:rsidR="00030055" w:rsidRDefault="00FE3FA4">
      <w:pPr>
        <w:pBdr>
          <w:top w:val="nil"/>
          <w:left w:val="nil"/>
          <w:bottom w:val="nil"/>
          <w:right w:val="nil"/>
          <w:between w:val="nil"/>
        </w:pBdr>
        <w:spacing w:after="240" w:line="360" w:lineRule="auto"/>
        <w:jc w:val="both"/>
        <w:rPr>
          <w:color w:val="000000"/>
          <w:highlight w:val="white"/>
        </w:rPr>
      </w:pPr>
      <w:r>
        <w:rPr>
          <w:color w:val="000000"/>
          <w:highlight w:val="white"/>
        </w:rPr>
        <w:t xml:space="preserve">Çitilci, T. and Akbalık, M., (2020). The importance of PESTEL analysis for environmental scanning process. In </w:t>
      </w:r>
      <w:r>
        <w:rPr>
          <w:i/>
          <w:color w:val="000000"/>
          <w:highlight w:val="white"/>
        </w:rPr>
        <w:t>Handbook of research on decision-making techniques in financial marketing</w:t>
      </w:r>
      <w:r>
        <w:rPr>
          <w:color w:val="000000"/>
          <w:highlight w:val="white"/>
        </w:rPr>
        <w:t xml:space="preserve"> (pp. 336-357). IGI Global.</w:t>
      </w:r>
    </w:p>
    <w:p w14:paraId="096BB578"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corporatefinanceinstitute.com, (2024). </w:t>
      </w:r>
      <w:r>
        <w:rPr>
          <w:i/>
          <w:color w:val="000000"/>
        </w:rPr>
        <w:t>Ansoff Matrix</w:t>
      </w:r>
      <w:r>
        <w:rPr>
          <w:color w:val="000000"/>
        </w:rPr>
        <w:t>. [Online] Available at: https://corporatefinanceinstitute.com/resources/management/ansoff-matrix/ [Accessed on: 01.11.2024]</w:t>
      </w:r>
    </w:p>
    <w:p w14:paraId="041D704C" w14:textId="77777777" w:rsidR="00030055" w:rsidRDefault="00FE3FA4">
      <w:pPr>
        <w:pBdr>
          <w:top w:val="nil"/>
          <w:left w:val="nil"/>
          <w:bottom w:val="nil"/>
          <w:right w:val="nil"/>
          <w:between w:val="nil"/>
        </w:pBdr>
        <w:spacing w:after="240" w:line="360" w:lineRule="auto"/>
        <w:jc w:val="both"/>
        <w:rPr>
          <w:color w:val="000000"/>
        </w:rPr>
      </w:pPr>
      <w:r>
        <w:rPr>
          <w:color w:val="000000"/>
        </w:rPr>
        <w:lastRenderedPageBreak/>
        <w:t xml:space="preserve">coursera.org, (2024). </w:t>
      </w:r>
      <w:r>
        <w:rPr>
          <w:i/>
          <w:color w:val="000000"/>
        </w:rPr>
        <w:t>What Is Strategic Management? Benefits, Process, and Careers</w:t>
      </w:r>
      <w:r>
        <w:rPr>
          <w:color w:val="000000"/>
        </w:rPr>
        <w:t>. [Online] Available at: https://www.coursera.org/articles/strategic-management [Accessed on: 01.11.2024]</w:t>
      </w:r>
    </w:p>
    <w:p w14:paraId="7869D3D2" w14:textId="77777777" w:rsidR="00030055" w:rsidRDefault="00FE3FA4">
      <w:pPr>
        <w:pBdr>
          <w:top w:val="nil"/>
          <w:left w:val="nil"/>
          <w:bottom w:val="nil"/>
          <w:right w:val="nil"/>
          <w:between w:val="nil"/>
        </w:pBdr>
        <w:spacing w:after="240" w:line="360" w:lineRule="auto"/>
        <w:jc w:val="both"/>
        <w:rPr>
          <w:color w:val="000000"/>
        </w:rPr>
      </w:pPr>
      <w:r>
        <w:rPr>
          <w:color w:val="000000"/>
          <w:highlight w:val="white"/>
        </w:rPr>
        <w:t xml:space="preserve">Denysiuk, L., (2021). </w:t>
      </w:r>
      <w:r>
        <w:rPr>
          <w:i/>
          <w:color w:val="000000"/>
          <w:highlight w:val="white"/>
        </w:rPr>
        <w:t>Success factors for corporate-startup collaboration</w:t>
      </w:r>
      <w:r>
        <w:rPr>
          <w:color w:val="000000"/>
          <w:highlight w:val="white"/>
        </w:rPr>
        <w:t xml:space="preserve"> (No. 12). LBS Working Paper.</w:t>
      </w:r>
    </w:p>
    <w:p w14:paraId="0EF012AF" w14:textId="77777777" w:rsidR="00030055" w:rsidRDefault="00FE3FA4">
      <w:pPr>
        <w:pBdr>
          <w:top w:val="nil"/>
          <w:left w:val="nil"/>
          <w:bottom w:val="nil"/>
          <w:right w:val="nil"/>
          <w:between w:val="nil"/>
        </w:pBdr>
        <w:spacing w:after="240" w:line="360" w:lineRule="auto"/>
        <w:jc w:val="both"/>
        <w:rPr>
          <w:color w:val="000000"/>
        </w:rPr>
      </w:pPr>
      <w:r>
        <w:rPr>
          <w:color w:val="000000"/>
          <w:highlight w:val="white"/>
        </w:rPr>
        <w:t xml:space="preserve">Deva, S., (2020). From business or human rights to business and human rights: what next?. In </w:t>
      </w:r>
      <w:r>
        <w:rPr>
          <w:i/>
          <w:color w:val="000000"/>
          <w:highlight w:val="white"/>
        </w:rPr>
        <w:t>Research handbook on human rights and business</w:t>
      </w:r>
      <w:r>
        <w:rPr>
          <w:color w:val="000000"/>
          <w:highlight w:val="white"/>
        </w:rPr>
        <w:t xml:space="preserve"> (pp. 1-21). Edward Elgar Publishing.</w:t>
      </w:r>
    </w:p>
    <w:p w14:paraId="2B096C90" w14:textId="77777777" w:rsidR="00030055" w:rsidRDefault="00FE3FA4">
      <w:pPr>
        <w:pBdr>
          <w:top w:val="nil"/>
          <w:left w:val="nil"/>
          <w:bottom w:val="nil"/>
          <w:right w:val="nil"/>
          <w:between w:val="nil"/>
        </w:pBdr>
        <w:spacing w:after="240" w:line="360" w:lineRule="auto"/>
        <w:jc w:val="both"/>
        <w:rPr>
          <w:color w:val="000000"/>
        </w:rPr>
      </w:pPr>
      <w:r>
        <w:rPr>
          <w:color w:val="000000"/>
          <w:highlight w:val="white"/>
        </w:rPr>
        <w:t xml:space="preserve">Elkhatib, M., Al Hosani, A., Al Hosani, I. and Albuflasa, K., (2022). Agile project management and project risks improvements: Pros and cons. </w:t>
      </w:r>
      <w:r>
        <w:rPr>
          <w:i/>
          <w:color w:val="000000"/>
          <w:highlight w:val="white"/>
        </w:rPr>
        <w:t>Modern Economy</w:t>
      </w:r>
      <w:r>
        <w:rPr>
          <w:color w:val="000000"/>
          <w:highlight w:val="white"/>
        </w:rPr>
        <w:t xml:space="preserve">, </w:t>
      </w:r>
      <w:r>
        <w:rPr>
          <w:i/>
          <w:color w:val="000000"/>
          <w:highlight w:val="white"/>
        </w:rPr>
        <w:t>13</w:t>
      </w:r>
      <w:r>
        <w:rPr>
          <w:color w:val="000000"/>
          <w:highlight w:val="white"/>
        </w:rPr>
        <w:t>(9), pp.1157-1176.</w:t>
      </w:r>
    </w:p>
    <w:p w14:paraId="23969181" w14:textId="77777777" w:rsidR="00030055" w:rsidRDefault="00FE3FA4">
      <w:pPr>
        <w:pBdr>
          <w:top w:val="nil"/>
          <w:left w:val="nil"/>
          <w:bottom w:val="nil"/>
          <w:right w:val="nil"/>
          <w:between w:val="nil"/>
        </w:pBdr>
        <w:spacing w:after="240" w:line="360" w:lineRule="auto"/>
        <w:jc w:val="both"/>
        <w:rPr>
          <w:color w:val="000000"/>
          <w:highlight w:val="white"/>
        </w:rPr>
      </w:pPr>
      <w:r>
        <w:rPr>
          <w:color w:val="000000"/>
          <w:highlight w:val="white"/>
        </w:rPr>
        <w:t xml:space="preserve">Faccia, A. and Petratos, P., (2021). Blockchain, enterprise resource planning (ERP) and accounting information systems (AIS): Research on e-procurement and system integration. </w:t>
      </w:r>
      <w:r>
        <w:rPr>
          <w:i/>
          <w:color w:val="000000"/>
          <w:highlight w:val="white"/>
        </w:rPr>
        <w:t>Applied Sciences</w:t>
      </w:r>
      <w:r>
        <w:rPr>
          <w:color w:val="000000"/>
          <w:highlight w:val="white"/>
        </w:rPr>
        <w:t xml:space="preserve">, </w:t>
      </w:r>
      <w:r>
        <w:rPr>
          <w:i/>
          <w:color w:val="000000"/>
          <w:highlight w:val="white"/>
        </w:rPr>
        <w:t>11</w:t>
      </w:r>
      <w:r>
        <w:rPr>
          <w:color w:val="000000"/>
          <w:highlight w:val="white"/>
        </w:rPr>
        <w:t>(15), p.6792.</w:t>
      </w:r>
    </w:p>
    <w:p w14:paraId="6258B663" w14:textId="77777777" w:rsidR="00030055" w:rsidRDefault="00FE3FA4">
      <w:pPr>
        <w:pBdr>
          <w:top w:val="nil"/>
          <w:left w:val="nil"/>
          <w:bottom w:val="nil"/>
          <w:right w:val="nil"/>
          <w:between w:val="nil"/>
        </w:pBdr>
        <w:spacing w:after="240" w:line="360" w:lineRule="auto"/>
        <w:jc w:val="both"/>
        <w:rPr>
          <w:color w:val="000000"/>
          <w:highlight w:val="white"/>
        </w:rPr>
      </w:pPr>
      <w:r>
        <w:rPr>
          <w:color w:val="000000"/>
          <w:highlight w:val="white"/>
        </w:rPr>
        <w:t xml:space="preserve">Ferreira, A.P.P.F.S. and de Sá, M.M.B.P., 2024. The importance of the Ansoff matrix for the study of the information services market. </w:t>
      </w:r>
      <w:r>
        <w:rPr>
          <w:i/>
          <w:color w:val="000000"/>
          <w:highlight w:val="white"/>
        </w:rPr>
        <w:t>The Canadian Journal of Information and Library Science</w:t>
      </w:r>
      <w:r>
        <w:rPr>
          <w:color w:val="000000"/>
          <w:highlight w:val="white"/>
        </w:rPr>
        <w:t xml:space="preserve">, </w:t>
      </w:r>
      <w:r>
        <w:rPr>
          <w:i/>
          <w:color w:val="000000"/>
          <w:highlight w:val="white"/>
        </w:rPr>
        <w:t>47</w:t>
      </w:r>
      <w:r>
        <w:rPr>
          <w:color w:val="000000"/>
          <w:highlight w:val="white"/>
        </w:rPr>
        <w:t>(2), pp.78-84.</w:t>
      </w:r>
    </w:p>
    <w:p w14:paraId="0059DA79"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find-and-update.company-information.service.gov.uk, (2024). </w:t>
      </w:r>
      <w:r>
        <w:rPr>
          <w:i/>
          <w:color w:val="000000"/>
        </w:rPr>
        <w:t xml:space="preserve">APEX COMPUTING SERVICES LIMITED. </w:t>
      </w:r>
      <w:r>
        <w:rPr>
          <w:color w:val="000000"/>
        </w:rPr>
        <w:t xml:space="preserve">[Online] Available at: </w:t>
      </w:r>
      <w:r>
        <w:rPr>
          <w:color w:val="000000"/>
        </w:rPr>
        <w:t>https://find-and-update.company-information.service.gov.uk/company/04943310 [Accessed on: 01.11.2024]</w:t>
      </w:r>
    </w:p>
    <w:p w14:paraId="121EF3A8"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Flinders.K, (2018). </w:t>
      </w:r>
      <w:r>
        <w:rPr>
          <w:i/>
          <w:color w:val="000000"/>
        </w:rPr>
        <w:t>UK tech sector growing 2.6 times faster than overall economy</w:t>
      </w:r>
      <w:r>
        <w:rPr>
          <w:color w:val="000000"/>
        </w:rPr>
        <w:t>. [Online] Available at: https://www.computerweekly.com/news/252441282/UK-tech-sector-growing-26-times-faster-than-overall-economy [Accessed on: 01.11.2024]</w:t>
      </w:r>
    </w:p>
    <w:p w14:paraId="48762124" w14:textId="77777777" w:rsidR="00030055" w:rsidRDefault="00FE3FA4">
      <w:pPr>
        <w:pBdr>
          <w:top w:val="nil"/>
          <w:left w:val="nil"/>
          <w:bottom w:val="nil"/>
          <w:right w:val="nil"/>
          <w:between w:val="nil"/>
        </w:pBdr>
        <w:spacing w:after="240" w:line="360" w:lineRule="auto"/>
        <w:jc w:val="both"/>
        <w:rPr>
          <w:color w:val="000000"/>
          <w:highlight w:val="white"/>
        </w:rPr>
      </w:pPr>
      <w:r>
        <w:rPr>
          <w:color w:val="000000"/>
          <w:highlight w:val="white"/>
        </w:rPr>
        <w:t xml:space="preserve">Girdzijauskas, S., Streimikiene, D., Griesiene, I., Mikalauskiene, A. and Kyriakopoulos, G.L., (2022). New approach to inflation phenomena to ensure sustainable economic growth. </w:t>
      </w:r>
      <w:r>
        <w:rPr>
          <w:i/>
          <w:color w:val="000000"/>
          <w:highlight w:val="white"/>
        </w:rPr>
        <w:t>Sustainability</w:t>
      </w:r>
      <w:r>
        <w:rPr>
          <w:color w:val="000000"/>
          <w:highlight w:val="white"/>
        </w:rPr>
        <w:t xml:space="preserve">, </w:t>
      </w:r>
      <w:r>
        <w:rPr>
          <w:i/>
          <w:color w:val="000000"/>
          <w:highlight w:val="white"/>
        </w:rPr>
        <w:t>14</w:t>
      </w:r>
      <w:r>
        <w:rPr>
          <w:color w:val="000000"/>
          <w:highlight w:val="white"/>
        </w:rPr>
        <w:t>(1), p.518.</w:t>
      </w:r>
    </w:p>
    <w:p w14:paraId="76E23141"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gov.uk, (n.d). </w:t>
      </w:r>
      <w:r>
        <w:rPr>
          <w:i/>
          <w:color w:val="000000"/>
        </w:rPr>
        <w:t>Data protection</w:t>
      </w:r>
      <w:r>
        <w:rPr>
          <w:color w:val="000000"/>
        </w:rPr>
        <w:t>. [Online] Available at: https://www.gov.uk/data-protection [Accessed on: 01.11.2024]</w:t>
      </w:r>
    </w:p>
    <w:p w14:paraId="5E889275" w14:textId="77777777" w:rsidR="00030055" w:rsidRDefault="00FE3FA4">
      <w:pPr>
        <w:pBdr>
          <w:top w:val="nil"/>
          <w:left w:val="nil"/>
          <w:bottom w:val="nil"/>
          <w:right w:val="nil"/>
          <w:between w:val="nil"/>
        </w:pBdr>
        <w:spacing w:after="240" w:line="360" w:lineRule="auto"/>
        <w:jc w:val="both"/>
        <w:rPr>
          <w:color w:val="000000"/>
        </w:rPr>
      </w:pPr>
      <w:r>
        <w:rPr>
          <w:color w:val="000000"/>
          <w:highlight w:val="white"/>
        </w:rPr>
        <w:t xml:space="preserve">He, W., Zhang, Z.J. and Li, W., (2021). Information technology solutions, challenges, and suggestions for tackling the COVID-19 pandemic. </w:t>
      </w:r>
      <w:r>
        <w:rPr>
          <w:i/>
          <w:color w:val="000000"/>
          <w:highlight w:val="white"/>
        </w:rPr>
        <w:t>International journal of information management</w:t>
      </w:r>
      <w:r>
        <w:rPr>
          <w:color w:val="000000"/>
          <w:highlight w:val="white"/>
        </w:rPr>
        <w:t xml:space="preserve">, </w:t>
      </w:r>
      <w:r>
        <w:rPr>
          <w:i/>
          <w:color w:val="000000"/>
          <w:highlight w:val="white"/>
        </w:rPr>
        <w:t>57</w:t>
      </w:r>
      <w:r>
        <w:rPr>
          <w:color w:val="000000"/>
          <w:highlight w:val="white"/>
        </w:rPr>
        <w:t>, p.102287.</w:t>
      </w:r>
    </w:p>
    <w:p w14:paraId="3867787B" w14:textId="77777777" w:rsidR="00030055" w:rsidRDefault="00FE3FA4">
      <w:pPr>
        <w:pBdr>
          <w:top w:val="nil"/>
          <w:left w:val="nil"/>
          <w:bottom w:val="nil"/>
          <w:right w:val="nil"/>
          <w:between w:val="nil"/>
        </w:pBdr>
        <w:spacing w:after="240" w:line="360" w:lineRule="auto"/>
        <w:jc w:val="both"/>
        <w:rPr>
          <w:color w:val="000000"/>
        </w:rPr>
      </w:pPr>
      <w:r>
        <w:rPr>
          <w:color w:val="000000"/>
        </w:rPr>
        <w:lastRenderedPageBreak/>
        <w:t xml:space="preserve">Hoory.L, (2024). </w:t>
      </w:r>
      <w:r>
        <w:rPr>
          <w:i/>
          <w:color w:val="000000"/>
        </w:rPr>
        <w:t>What Is A Stakeholder Analysis? Everything You Need To Know</w:t>
      </w:r>
      <w:r>
        <w:rPr>
          <w:color w:val="000000"/>
        </w:rPr>
        <w:t>. [Online] Available at: https://www.forbes.com/advisor/business/what-is-stakeholder-analysis/ [Accessed on: 01.11.2024]</w:t>
      </w:r>
    </w:p>
    <w:p w14:paraId="7485E8B0"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Hussain.Z, (2014). </w:t>
      </w:r>
      <w:r>
        <w:rPr>
          <w:i/>
          <w:color w:val="000000"/>
        </w:rPr>
        <w:t xml:space="preserve">Can political stability hurt economic growth? </w:t>
      </w:r>
      <w:r>
        <w:rPr>
          <w:color w:val="000000"/>
        </w:rPr>
        <w:t>[Online] Available at: https://blogs.worldbank.org/en/endpovertyinsouthasia/can-political-stability-hurt-economic-growth [Accessed on: 01.11.2024]</w:t>
      </w:r>
    </w:p>
    <w:p w14:paraId="503C9841"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ico.org.uk, (n.d). </w:t>
      </w:r>
      <w:r>
        <w:rPr>
          <w:i/>
          <w:color w:val="000000"/>
        </w:rPr>
        <w:t>Digital Regulation Cooperation Forum</w:t>
      </w:r>
      <w:r>
        <w:rPr>
          <w:color w:val="000000"/>
        </w:rPr>
        <w:t>. [Online] Available at: https://ico.org.uk/about-the-ico/what-we-do/digital-regulation-cooperation-forum/ [Accessed on: 01.11.2024]</w:t>
      </w:r>
    </w:p>
    <w:p w14:paraId="3FA9DA3E"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Ideson.P, (2024). </w:t>
      </w:r>
      <w:r>
        <w:rPr>
          <w:i/>
          <w:color w:val="000000"/>
        </w:rPr>
        <w:t xml:space="preserve">Porter’s Five Forces from a Procurement Perspective. </w:t>
      </w:r>
      <w:r>
        <w:rPr>
          <w:color w:val="000000"/>
        </w:rPr>
        <w:t>[Online] Available at: https://artofprocurement.com/learn/porters-five-forces-in-procurement/ [Accessed on: 01.11.2024]</w:t>
      </w:r>
    </w:p>
    <w:p w14:paraId="72265430"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improvementservice.org.uk, (n.d). </w:t>
      </w:r>
      <w:r>
        <w:rPr>
          <w:i/>
          <w:color w:val="000000"/>
        </w:rPr>
        <w:t>Introduction to the Power/Interest Grid</w:t>
      </w:r>
      <w:r>
        <w:rPr>
          <w:color w:val="000000"/>
        </w:rPr>
        <w:t>. [Online] Available at: https://www.improvementservice.org.uk/business-analysis-framework/consider-perspectives/powerinterest-grid. [Accessed on: 01.11.2024]</w:t>
      </w:r>
    </w:p>
    <w:p w14:paraId="4378A335" w14:textId="77777777" w:rsidR="00030055" w:rsidRDefault="00FE3FA4">
      <w:pPr>
        <w:pBdr>
          <w:top w:val="nil"/>
          <w:left w:val="nil"/>
          <w:bottom w:val="nil"/>
          <w:right w:val="nil"/>
          <w:between w:val="nil"/>
        </w:pBdr>
        <w:spacing w:after="240" w:line="360" w:lineRule="auto"/>
        <w:jc w:val="both"/>
        <w:rPr>
          <w:color w:val="000000"/>
        </w:rPr>
      </w:pPr>
      <w:r>
        <w:rPr>
          <w:color w:val="000000"/>
          <w:highlight w:val="white"/>
        </w:rPr>
        <w:t>Kilpinen, J., (2022). Customer retention in an ICT company.</w:t>
      </w:r>
    </w:p>
    <w:p w14:paraId="061A0625" w14:textId="77777777" w:rsidR="00030055" w:rsidRDefault="00FE3FA4">
      <w:pPr>
        <w:pBdr>
          <w:top w:val="nil"/>
          <w:left w:val="nil"/>
          <w:bottom w:val="nil"/>
          <w:right w:val="nil"/>
          <w:between w:val="nil"/>
        </w:pBdr>
        <w:spacing w:after="240" w:line="360" w:lineRule="auto"/>
        <w:jc w:val="both"/>
        <w:rPr>
          <w:color w:val="000000"/>
        </w:rPr>
      </w:pPr>
      <w:r>
        <w:rPr>
          <w:color w:val="000000"/>
          <w:highlight w:val="white"/>
        </w:rPr>
        <w:t xml:space="preserve">Lan, T.T.N., (2023). Market development strategy of renewable energy industry in Vietnam. </w:t>
      </w:r>
      <w:r>
        <w:rPr>
          <w:i/>
          <w:color w:val="000000"/>
          <w:highlight w:val="white"/>
        </w:rPr>
        <w:t>International journal of business and globalisation</w:t>
      </w:r>
      <w:r>
        <w:rPr>
          <w:color w:val="000000"/>
          <w:highlight w:val="white"/>
        </w:rPr>
        <w:t xml:space="preserve">, </w:t>
      </w:r>
      <w:r>
        <w:rPr>
          <w:i/>
          <w:color w:val="000000"/>
          <w:highlight w:val="white"/>
        </w:rPr>
        <w:t>1</w:t>
      </w:r>
      <w:r>
        <w:rPr>
          <w:color w:val="000000"/>
          <w:highlight w:val="white"/>
        </w:rPr>
        <w:t>, pp.1-9.</w:t>
      </w:r>
    </w:p>
    <w:p w14:paraId="2F6A5D69"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legislation.gov.uk, (2023). </w:t>
      </w:r>
      <w:r>
        <w:rPr>
          <w:i/>
          <w:color w:val="000000"/>
        </w:rPr>
        <w:t>Economic Crime and Corporate Transparency Act 2023</w:t>
      </w:r>
      <w:r>
        <w:rPr>
          <w:color w:val="000000"/>
        </w:rPr>
        <w:t>. [Online] Available at: https://www.legislation.gov.uk/ukpga/2023/56 [Accessed on: 01.11.2024]</w:t>
      </w:r>
    </w:p>
    <w:p w14:paraId="1E8E3FD1" w14:textId="77777777" w:rsidR="00030055" w:rsidRDefault="00FE3FA4">
      <w:pPr>
        <w:pBdr>
          <w:top w:val="nil"/>
          <w:left w:val="nil"/>
          <w:bottom w:val="nil"/>
          <w:right w:val="nil"/>
          <w:between w:val="nil"/>
        </w:pBdr>
        <w:spacing w:after="240" w:line="360" w:lineRule="auto"/>
        <w:jc w:val="both"/>
        <w:rPr>
          <w:color w:val="000000"/>
          <w:highlight w:val="white"/>
        </w:rPr>
      </w:pPr>
      <w:r>
        <w:rPr>
          <w:color w:val="000000"/>
          <w:highlight w:val="white"/>
        </w:rPr>
        <w:t xml:space="preserve">Marke, A., Chan, C., Taskin, G. and Hacking, T., (2020). Reducing e-waste in China's mobile electronics industry: the application of the innovative circular business models. </w:t>
      </w:r>
      <w:r>
        <w:rPr>
          <w:i/>
          <w:color w:val="000000"/>
          <w:highlight w:val="white"/>
        </w:rPr>
        <w:t>Asian education and development studies</w:t>
      </w:r>
      <w:r>
        <w:rPr>
          <w:color w:val="000000"/>
          <w:highlight w:val="white"/>
        </w:rPr>
        <w:t xml:space="preserve">, </w:t>
      </w:r>
      <w:r>
        <w:rPr>
          <w:i/>
          <w:color w:val="000000"/>
          <w:highlight w:val="white"/>
        </w:rPr>
        <w:t>9</w:t>
      </w:r>
      <w:r>
        <w:rPr>
          <w:color w:val="000000"/>
          <w:highlight w:val="white"/>
        </w:rPr>
        <w:t>(4), pp.591-610.</w:t>
      </w:r>
    </w:p>
    <w:p w14:paraId="5232F104" w14:textId="77777777" w:rsidR="00030055" w:rsidRDefault="00FE3FA4">
      <w:pPr>
        <w:pBdr>
          <w:top w:val="nil"/>
          <w:left w:val="nil"/>
          <w:bottom w:val="nil"/>
          <w:right w:val="nil"/>
          <w:between w:val="nil"/>
        </w:pBdr>
        <w:spacing w:after="240" w:line="360" w:lineRule="auto"/>
        <w:jc w:val="both"/>
        <w:rPr>
          <w:color w:val="000000"/>
          <w:highlight w:val="white"/>
        </w:rPr>
      </w:pPr>
      <w:r>
        <w:rPr>
          <w:color w:val="000000"/>
          <w:highlight w:val="white"/>
        </w:rPr>
        <w:t xml:space="preserve">Miao, M., Zaman, S.I., Zafar, A., Rodriguez, C.G. and Ali Zaman, S.A., (2022). The augmentation of Knowledge Management through Industry 4.0: case of Aviation sector of emerging economy. </w:t>
      </w:r>
      <w:r>
        <w:rPr>
          <w:i/>
          <w:color w:val="000000"/>
          <w:highlight w:val="white"/>
        </w:rPr>
        <w:t>Knowledge Management Research &amp; Practice</w:t>
      </w:r>
      <w:r>
        <w:rPr>
          <w:color w:val="000000"/>
          <w:highlight w:val="white"/>
        </w:rPr>
        <w:t xml:space="preserve">, </w:t>
      </w:r>
      <w:r>
        <w:rPr>
          <w:i/>
          <w:color w:val="000000"/>
          <w:highlight w:val="white"/>
        </w:rPr>
        <w:t>20</w:t>
      </w:r>
      <w:r>
        <w:rPr>
          <w:color w:val="000000"/>
          <w:highlight w:val="white"/>
        </w:rPr>
        <w:t>(6), pp.893-912.</w:t>
      </w:r>
    </w:p>
    <w:p w14:paraId="07551A39"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oecd.org, (2020). </w:t>
      </w:r>
      <w:r>
        <w:rPr>
          <w:i/>
          <w:color w:val="000000"/>
        </w:rPr>
        <w:t xml:space="preserve">Enterprises by business size. </w:t>
      </w:r>
      <w:r>
        <w:rPr>
          <w:color w:val="000000"/>
        </w:rPr>
        <w:t>[Online] Available at: https://www.oecd.org/en/data/indicators/enterprises-by-business-size.html. [Accessed on: 01.11.2024]</w:t>
      </w:r>
    </w:p>
    <w:p w14:paraId="66DBA22B" w14:textId="77777777" w:rsidR="00030055" w:rsidRDefault="00FE3FA4">
      <w:pPr>
        <w:pBdr>
          <w:top w:val="nil"/>
          <w:left w:val="nil"/>
          <w:bottom w:val="nil"/>
          <w:right w:val="nil"/>
          <w:between w:val="nil"/>
        </w:pBdr>
        <w:spacing w:after="240" w:line="360" w:lineRule="auto"/>
        <w:jc w:val="both"/>
        <w:rPr>
          <w:color w:val="000000"/>
        </w:rPr>
      </w:pPr>
      <w:r>
        <w:rPr>
          <w:color w:val="000000"/>
        </w:rPr>
        <w:lastRenderedPageBreak/>
        <w:t xml:space="preserve">ons.gov.uk, (2024). </w:t>
      </w:r>
      <w:r>
        <w:rPr>
          <w:i/>
          <w:color w:val="000000"/>
        </w:rPr>
        <w:t>Inflation and price indices</w:t>
      </w:r>
      <w:r>
        <w:rPr>
          <w:color w:val="000000"/>
        </w:rPr>
        <w:t>. [Online] Available at: https://www.ons.gov.uk/economy/inflationandpriceindices [Accessed on: 01.11.2024]</w:t>
      </w:r>
    </w:p>
    <w:p w14:paraId="12E944EF" w14:textId="77777777" w:rsidR="00030055" w:rsidRDefault="00FE3FA4">
      <w:pPr>
        <w:pBdr>
          <w:top w:val="nil"/>
          <w:left w:val="nil"/>
          <w:bottom w:val="nil"/>
          <w:right w:val="nil"/>
          <w:between w:val="nil"/>
        </w:pBdr>
        <w:spacing w:after="240" w:line="360" w:lineRule="auto"/>
        <w:jc w:val="both"/>
        <w:rPr>
          <w:color w:val="000000"/>
          <w:highlight w:val="white"/>
        </w:rPr>
      </w:pPr>
      <w:r>
        <w:rPr>
          <w:color w:val="000000"/>
          <w:highlight w:val="white"/>
        </w:rPr>
        <w:t xml:space="preserve">Palavesh, S., (2021). Co-Creating Business Concepts with Customers: Approaches to the Use of Customers in New Product/Service Development. </w:t>
      </w:r>
      <w:r>
        <w:rPr>
          <w:i/>
          <w:color w:val="000000"/>
          <w:highlight w:val="white"/>
        </w:rPr>
        <w:t>Integrated Journal for Research in Arts and Humanities</w:t>
      </w:r>
      <w:r>
        <w:rPr>
          <w:color w:val="000000"/>
          <w:highlight w:val="white"/>
        </w:rPr>
        <w:t xml:space="preserve">, </w:t>
      </w:r>
      <w:r>
        <w:rPr>
          <w:i/>
          <w:color w:val="000000"/>
          <w:highlight w:val="white"/>
        </w:rPr>
        <w:t>1</w:t>
      </w:r>
      <w:r>
        <w:rPr>
          <w:color w:val="000000"/>
          <w:highlight w:val="white"/>
        </w:rPr>
        <w:t>(1), pp.54-66.</w:t>
      </w:r>
    </w:p>
    <w:p w14:paraId="1A063B3A" w14:textId="77777777" w:rsidR="00030055" w:rsidRDefault="00FE3FA4">
      <w:pPr>
        <w:pBdr>
          <w:top w:val="nil"/>
          <w:left w:val="nil"/>
          <w:bottom w:val="nil"/>
          <w:right w:val="nil"/>
          <w:between w:val="nil"/>
        </w:pBdr>
        <w:spacing w:after="240" w:line="360" w:lineRule="auto"/>
        <w:jc w:val="both"/>
        <w:rPr>
          <w:color w:val="000000"/>
        </w:rPr>
      </w:pPr>
      <w:r>
        <w:rPr>
          <w:color w:val="000000"/>
          <w:highlight w:val="white"/>
        </w:rPr>
        <w:t>Parolisi Ricardo, G., (2024). COLOMBIAN COFFEE: A MARKETING STRATEGY BEYOND A BRAND AND ITS IMPACT ON THE INTERNATIONAL MARKET.</w:t>
      </w:r>
    </w:p>
    <w:p w14:paraId="7C1ACE99"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Peppler.S, (2022). </w:t>
      </w:r>
      <w:r>
        <w:rPr>
          <w:i/>
          <w:color w:val="000000"/>
        </w:rPr>
        <w:t xml:space="preserve">Competition-Based Pricing: Advantages &amp; Disadvantages. </w:t>
      </w:r>
      <w:r>
        <w:rPr>
          <w:color w:val="000000"/>
        </w:rPr>
        <w:t xml:space="preserve">[Online] Available at: </w:t>
      </w:r>
      <w:r>
        <w:rPr>
          <w:color w:val="000000"/>
        </w:rPr>
        <w:t>https://www.flintfox.com/resources/articles/competition-based-pricing-guide/. [Accessed on: 01.11.2024]</w:t>
      </w:r>
    </w:p>
    <w:p w14:paraId="2B74BC11" w14:textId="77777777" w:rsidR="00030055" w:rsidRDefault="00FE3FA4">
      <w:pPr>
        <w:pBdr>
          <w:top w:val="nil"/>
          <w:left w:val="nil"/>
          <w:bottom w:val="nil"/>
          <w:right w:val="nil"/>
          <w:between w:val="nil"/>
        </w:pBdr>
        <w:spacing w:after="240" w:line="360" w:lineRule="auto"/>
        <w:jc w:val="both"/>
        <w:rPr>
          <w:color w:val="000000"/>
          <w:highlight w:val="white"/>
        </w:rPr>
      </w:pPr>
      <w:r>
        <w:rPr>
          <w:color w:val="000000"/>
          <w:highlight w:val="white"/>
        </w:rPr>
        <w:t xml:space="preserve">Phillips, B., (2021). UK further education sector journey to compliance with the general data protection regulation and the data protection act 2018. </w:t>
      </w:r>
      <w:r>
        <w:rPr>
          <w:i/>
          <w:color w:val="000000"/>
          <w:highlight w:val="white"/>
        </w:rPr>
        <w:t>Computer Law &amp; Security Review</w:t>
      </w:r>
      <w:r>
        <w:rPr>
          <w:color w:val="000000"/>
          <w:highlight w:val="white"/>
        </w:rPr>
        <w:t xml:space="preserve">, </w:t>
      </w:r>
      <w:r>
        <w:rPr>
          <w:i/>
          <w:color w:val="000000"/>
          <w:highlight w:val="white"/>
        </w:rPr>
        <w:t>42</w:t>
      </w:r>
      <w:r>
        <w:rPr>
          <w:color w:val="000000"/>
          <w:highlight w:val="white"/>
        </w:rPr>
        <w:t>, p.105586.</w:t>
      </w:r>
    </w:p>
    <w:p w14:paraId="385FB503"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rsmuk.com, (2024). </w:t>
      </w:r>
      <w:r>
        <w:rPr>
          <w:i/>
          <w:color w:val="000000"/>
        </w:rPr>
        <w:t xml:space="preserve">Number of tech company start-ups jump by record 22%. </w:t>
      </w:r>
      <w:r>
        <w:rPr>
          <w:color w:val="000000"/>
        </w:rPr>
        <w:t>[Online] Available at: https://www.rsmuk.com/news/number-of-tech-company-start-ups-jump-by-record-22-percent. [Accessed on: 01.11.2024]</w:t>
      </w:r>
    </w:p>
    <w:p w14:paraId="4AB00FF4" w14:textId="77777777" w:rsidR="00030055" w:rsidRDefault="00FE3FA4">
      <w:pPr>
        <w:pBdr>
          <w:top w:val="nil"/>
          <w:left w:val="nil"/>
          <w:bottom w:val="nil"/>
          <w:right w:val="nil"/>
          <w:between w:val="nil"/>
        </w:pBdr>
        <w:spacing w:after="240" w:line="360" w:lineRule="auto"/>
        <w:jc w:val="both"/>
        <w:rPr>
          <w:color w:val="000000"/>
        </w:rPr>
      </w:pPr>
      <w:r>
        <w:rPr>
          <w:color w:val="000000"/>
          <w:highlight w:val="white"/>
        </w:rPr>
        <w:t xml:space="preserve">Sheehy, B. and Farneti, F., (2021). Corporate social responsibility, sustainability, sustainable development and corporate sustainability: What is the difference, and does it matter?. </w:t>
      </w:r>
      <w:r>
        <w:rPr>
          <w:i/>
          <w:color w:val="000000"/>
          <w:highlight w:val="white"/>
        </w:rPr>
        <w:t>Sustainability</w:t>
      </w:r>
      <w:r>
        <w:rPr>
          <w:color w:val="000000"/>
          <w:highlight w:val="white"/>
        </w:rPr>
        <w:t xml:space="preserve">, </w:t>
      </w:r>
      <w:r>
        <w:rPr>
          <w:i/>
          <w:color w:val="000000"/>
          <w:highlight w:val="white"/>
        </w:rPr>
        <w:t>13</w:t>
      </w:r>
      <w:r>
        <w:rPr>
          <w:color w:val="000000"/>
          <w:highlight w:val="white"/>
        </w:rPr>
        <w:t>(11), p.5965.</w:t>
      </w:r>
    </w:p>
    <w:p w14:paraId="5F60D1A4"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Shone.D, (2024). </w:t>
      </w:r>
      <w:r>
        <w:rPr>
          <w:i/>
          <w:color w:val="000000"/>
        </w:rPr>
        <w:t>Apex Computing Services Wins Prestigious "Mid Enterprise MSP of the Year" Award at Technology Reseller Awards 2024</w:t>
      </w:r>
      <w:r>
        <w:rPr>
          <w:color w:val="000000"/>
        </w:rPr>
        <w:t>. [Online] Available at: https://www.apexcomputing.co.uk/news/apex-computing-services-wins-prestigious-mid-enterprise-msp-of-the-year-award-at-technology-reseller-awards-2024 [Accessed on: 01.11.2024]</w:t>
      </w:r>
    </w:p>
    <w:p w14:paraId="20575DCB"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signalhire.com, (2024). </w:t>
      </w:r>
      <w:r>
        <w:rPr>
          <w:i/>
          <w:color w:val="000000"/>
        </w:rPr>
        <w:t>Apex Computing Services Ltd Overview.</w:t>
      </w:r>
      <w:r>
        <w:rPr>
          <w:color w:val="000000"/>
        </w:rPr>
        <w:t xml:space="preserve"> [Online] Available at: https://www.signalhire.com/companies/apex-computing-services-ltd [Accessed on: 01.11.2024]</w:t>
      </w:r>
    </w:p>
    <w:p w14:paraId="52B5E6B9" w14:textId="77777777" w:rsidR="00030055" w:rsidRDefault="00FE3FA4">
      <w:pPr>
        <w:pBdr>
          <w:top w:val="nil"/>
          <w:left w:val="nil"/>
          <w:bottom w:val="nil"/>
          <w:right w:val="nil"/>
          <w:between w:val="nil"/>
        </w:pBdr>
        <w:spacing w:after="240" w:line="360" w:lineRule="auto"/>
        <w:jc w:val="both"/>
        <w:rPr>
          <w:color w:val="000000"/>
          <w:highlight w:val="white"/>
        </w:rPr>
      </w:pPr>
      <w:r>
        <w:rPr>
          <w:color w:val="000000"/>
          <w:highlight w:val="white"/>
        </w:rPr>
        <w:t xml:space="preserve">Sitopu, Y.B., Sitinjak, K.A. and Marpaung, F.K., (2021). The influence of motivation, work discipline, and compensation on employee performance. </w:t>
      </w:r>
      <w:r>
        <w:rPr>
          <w:i/>
          <w:color w:val="000000"/>
          <w:highlight w:val="white"/>
        </w:rPr>
        <w:t>Golden Ratio of Human Resource Management</w:t>
      </w:r>
      <w:r>
        <w:rPr>
          <w:color w:val="000000"/>
          <w:highlight w:val="white"/>
        </w:rPr>
        <w:t xml:space="preserve">, </w:t>
      </w:r>
      <w:r>
        <w:rPr>
          <w:i/>
          <w:color w:val="000000"/>
          <w:highlight w:val="white"/>
        </w:rPr>
        <w:t>1</w:t>
      </w:r>
      <w:r>
        <w:rPr>
          <w:color w:val="000000"/>
          <w:highlight w:val="white"/>
        </w:rPr>
        <w:t>(2), pp.72-83.</w:t>
      </w:r>
    </w:p>
    <w:p w14:paraId="276126F8" w14:textId="77777777" w:rsidR="00030055" w:rsidRDefault="00FE3FA4">
      <w:pPr>
        <w:pBdr>
          <w:top w:val="nil"/>
          <w:left w:val="nil"/>
          <w:bottom w:val="nil"/>
          <w:right w:val="nil"/>
          <w:between w:val="nil"/>
        </w:pBdr>
        <w:spacing w:after="240" w:line="360" w:lineRule="auto"/>
        <w:jc w:val="both"/>
        <w:rPr>
          <w:color w:val="000000"/>
        </w:rPr>
      </w:pPr>
      <w:r>
        <w:rPr>
          <w:color w:val="000000"/>
        </w:rPr>
        <w:lastRenderedPageBreak/>
        <w:t xml:space="preserve">statista.com, (2023). </w:t>
      </w:r>
      <w:r>
        <w:rPr>
          <w:i/>
          <w:color w:val="000000"/>
        </w:rPr>
        <w:t>Online shopping behavior in the United Kingdom (UK) - statistics &amp; facts</w:t>
      </w:r>
      <w:r>
        <w:rPr>
          <w:color w:val="000000"/>
        </w:rPr>
        <w:t>. [Online] Available at: https://www.statista.com/topics/7887/online-shopping-behavior-in-the-uk/#topicOverview [Accessed on: 01.11.2024]</w:t>
      </w:r>
    </w:p>
    <w:p w14:paraId="5520B0D0" w14:textId="77777777" w:rsidR="00030055" w:rsidRDefault="00FE3FA4">
      <w:pPr>
        <w:pBdr>
          <w:top w:val="nil"/>
          <w:left w:val="nil"/>
          <w:bottom w:val="nil"/>
          <w:right w:val="nil"/>
          <w:between w:val="nil"/>
        </w:pBdr>
        <w:spacing w:after="240" w:line="360" w:lineRule="auto"/>
        <w:jc w:val="both"/>
        <w:rPr>
          <w:color w:val="000000"/>
          <w:highlight w:val="white"/>
        </w:rPr>
      </w:pPr>
      <w:r>
        <w:rPr>
          <w:color w:val="000000"/>
          <w:highlight w:val="white"/>
        </w:rPr>
        <w:t xml:space="preserve">Tatikonda, V., Venigandla, K. and Vemuri, N., (2022). Transforming customer banking experiences: ai-driven rpa for customized service delivery. </w:t>
      </w:r>
      <w:r>
        <w:rPr>
          <w:i/>
          <w:color w:val="000000"/>
          <w:highlight w:val="white"/>
        </w:rPr>
        <w:t>International Journal of Development Research</w:t>
      </w:r>
      <w:r>
        <w:rPr>
          <w:color w:val="000000"/>
          <w:highlight w:val="white"/>
        </w:rPr>
        <w:t xml:space="preserve">, </w:t>
      </w:r>
      <w:r>
        <w:rPr>
          <w:i/>
          <w:color w:val="000000"/>
          <w:highlight w:val="white"/>
        </w:rPr>
        <w:t>12</w:t>
      </w:r>
      <w:r>
        <w:rPr>
          <w:color w:val="000000"/>
          <w:highlight w:val="white"/>
        </w:rPr>
        <w:t>, pp.60674-60677.</w:t>
      </w:r>
    </w:p>
    <w:p w14:paraId="622C08A8" w14:textId="77777777" w:rsidR="00030055" w:rsidRDefault="00FE3FA4">
      <w:pPr>
        <w:pBdr>
          <w:top w:val="nil"/>
          <w:left w:val="nil"/>
          <w:bottom w:val="nil"/>
          <w:right w:val="nil"/>
          <w:between w:val="nil"/>
        </w:pBdr>
        <w:spacing w:after="240" w:line="360" w:lineRule="auto"/>
        <w:jc w:val="both"/>
        <w:rPr>
          <w:color w:val="000000"/>
        </w:rPr>
      </w:pPr>
      <w:r>
        <w:rPr>
          <w:color w:val="000000"/>
        </w:rPr>
        <w:t>tradingeconomics.com, (2024). United Kingdom - Political Stability And Absence Of Violence/Terrorism: Estimate. [Online] Available at: https://tradingeconomics.com/united-kingdom/political-stability-and-absence-of-violence-terrorism-estimate-wb-data.html [Accessed on: 01.11.2024]</w:t>
      </w:r>
    </w:p>
    <w:p w14:paraId="4E5500DA" w14:textId="77777777" w:rsidR="00030055" w:rsidRDefault="00FE3FA4">
      <w:pPr>
        <w:pBdr>
          <w:top w:val="nil"/>
          <w:left w:val="nil"/>
          <w:bottom w:val="nil"/>
          <w:right w:val="nil"/>
          <w:between w:val="nil"/>
        </w:pBdr>
        <w:spacing w:after="240" w:line="360" w:lineRule="auto"/>
        <w:jc w:val="both"/>
        <w:rPr>
          <w:color w:val="000000"/>
          <w:highlight w:val="white"/>
        </w:rPr>
      </w:pPr>
      <w:r>
        <w:rPr>
          <w:color w:val="000000"/>
          <w:highlight w:val="white"/>
        </w:rPr>
        <w:t xml:space="preserve">Trevino, L.K. and Nelson, K.A., (2021). </w:t>
      </w:r>
      <w:r>
        <w:rPr>
          <w:i/>
          <w:color w:val="000000"/>
          <w:highlight w:val="white"/>
        </w:rPr>
        <w:t>Managing business ethics: Straight talk about how to do it right</w:t>
      </w:r>
      <w:r>
        <w:rPr>
          <w:color w:val="000000"/>
          <w:highlight w:val="white"/>
        </w:rPr>
        <w:t>. John Wiley &amp; Sons.</w:t>
      </w:r>
    </w:p>
    <w:p w14:paraId="2E0E93A6"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uk.trustpilot.com, (2024). </w:t>
      </w:r>
      <w:r>
        <w:rPr>
          <w:i/>
          <w:color w:val="000000"/>
        </w:rPr>
        <w:t>Apex Computing Services</w:t>
      </w:r>
      <w:r>
        <w:rPr>
          <w:color w:val="000000"/>
        </w:rPr>
        <w:t>. [Online] Available at: https://uk.trustpilot.com/review/apexcomputing.co.uk [Accessed on: 01.11.2024]</w:t>
      </w:r>
    </w:p>
    <w:p w14:paraId="004302BA"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vizologi.com, (2023). </w:t>
      </w:r>
      <w:r>
        <w:rPr>
          <w:i/>
          <w:color w:val="000000"/>
        </w:rPr>
        <w:t xml:space="preserve">What are the 5 C’s of innovation? </w:t>
      </w:r>
      <w:r>
        <w:rPr>
          <w:color w:val="000000"/>
        </w:rPr>
        <w:t>[Online] Available at: https://vizologi.com/what-are-cs-of-innovation/ [Accessed on: 01.11.2024]</w:t>
      </w:r>
    </w:p>
    <w:p w14:paraId="25CC4E9F"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wastemanaged.co.uk, (n.d). </w:t>
      </w:r>
      <w:r>
        <w:rPr>
          <w:i/>
          <w:color w:val="000000"/>
        </w:rPr>
        <w:t>E-Waste Guide – Facts &amp; Statistics</w:t>
      </w:r>
      <w:r>
        <w:rPr>
          <w:color w:val="000000"/>
        </w:rPr>
        <w:t>. [Online] Available at: https://www.wastemanaged.co.uk/our-news/other/e-waste-guide-statistics/ [Accessed on: 01.11.2024]</w:t>
      </w:r>
    </w:p>
    <w:p w14:paraId="29F0F452" w14:textId="77777777" w:rsidR="00030055" w:rsidRDefault="00FE3FA4">
      <w:pPr>
        <w:pBdr>
          <w:top w:val="nil"/>
          <w:left w:val="nil"/>
          <w:bottom w:val="nil"/>
          <w:right w:val="nil"/>
          <w:between w:val="nil"/>
        </w:pBdr>
        <w:spacing w:after="240" w:line="360" w:lineRule="auto"/>
        <w:jc w:val="both"/>
        <w:rPr>
          <w:color w:val="000000"/>
        </w:rPr>
      </w:pPr>
      <w:r>
        <w:rPr>
          <w:color w:val="000000"/>
          <w:highlight w:val="white"/>
        </w:rPr>
        <w:t xml:space="preserve">Wouters, O.J., McKee, M. and Luyten, J., (2020). Estimated research and development investment needed to bring a new medicine to market, 2009-2018. </w:t>
      </w:r>
      <w:r>
        <w:rPr>
          <w:i/>
          <w:color w:val="000000"/>
          <w:highlight w:val="white"/>
        </w:rPr>
        <w:t>Jama</w:t>
      </w:r>
      <w:r>
        <w:rPr>
          <w:color w:val="000000"/>
          <w:highlight w:val="white"/>
        </w:rPr>
        <w:t xml:space="preserve">, </w:t>
      </w:r>
      <w:r>
        <w:rPr>
          <w:i/>
          <w:color w:val="000000"/>
          <w:highlight w:val="white"/>
        </w:rPr>
        <w:t>323</w:t>
      </w:r>
      <w:r>
        <w:rPr>
          <w:color w:val="000000"/>
          <w:highlight w:val="white"/>
        </w:rPr>
        <w:t>(9), pp.844-853.</w:t>
      </w:r>
    </w:p>
    <w:p w14:paraId="1BD9A563"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zoominfo.com, (2024). </w:t>
      </w:r>
      <w:r>
        <w:rPr>
          <w:i/>
          <w:color w:val="000000"/>
        </w:rPr>
        <w:t xml:space="preserve">Apex Computing. </w:t>
      </w:r>
      <w:r>
        <w:rPr>
          <w:color w:val="000000"/>
        </w:rPr>
        <w:t>[Online] Available at: https://www.zoominfo.com/c/apex-computing-ltd/9212116 [Accessed on: 01.11.2024]</w:t>
      </w:r>
    </w:p>
    <w:p w14:paraId="07AA9844" w14:textId="77777777" w:rsidR="00030055" w:rsidRDefault="00FE3FA4">
      <w:pPr>
        <w:pBdr>
          <w:top w:val="nil"/>
          <w:left w:val="nil"/>
          <w:bottom w:val="nil"/>
          <w:right w:val="nil"/>
          <w:between w:val="nil"/>
        </w:pBdr>
        <w:spacing w:after="240" w:line="360" w:lineRule="auto"/>
        <w:jc w:val="both"/>
        <w:rPr>
          <w:color w:val="000000"/>
        </w:rPr>
      </w:pPr>
      <w:r>
        <w:rPr>
          <w:color w:val="000000"/>
          <w:highlight w:val="white"/>
        </w:rPr>
        <w:t xml:space="preserve">Zugay, B. and Zakaria, R., (2023). </w:t>
      </w:r>
      <w:r>
        <w:rPr>
          <w:i/>
          <w:color w:val="000000"/>
          <w:highlight w:val="white"/>
        </w:rPr>
        <w:t>Ansoff matrix</w:t>
      </w:r>
      <w:r>
        <w:rPr>
          <w:color w:val="000000"/>
          <w:highlight w:val="white"/>
        </w:rPr>
        <w:t>. SAGE Publications, Inc..</w:t>
      </w:r>
    </w:p>
    <w:p w14:paraId="36A01F40" w14:textId="77777777" w:rsidR="00030055" w:rsidRDefault="00FE3FA4">
      <w:pPr>
        <w:rPr>
          <w:highlight w:val="white"/>
        </w:rPr>
      </w:pPr>
      <w:r>
        <w:br w:type="page"/>
      </w:r>
    </w:p>
    <w:p w14:paraId="37DBBD15" w14:textId="37F55192" w:rsidR="00030055" w:rsidRPr="00C24EE8" w:rsidRDefault="00C24EE8">
      <w:pPr>
        <w:pBdr>
          <w:top w:val="nil"/>
          <w:left w:val="nil"/>
          <w:bottom w:val="nil"/>
          <w:right w:val="nil"/>
          <w:between w:val="nil"/>
        </w:pBdr>
        <w:spacing w:after="240" w:line="360" w:lineRule="auto"/>
        <w:jc w:val="both"/>
        <w:rPr>
          <w:b/>
          <w:bCs/>
          <w:color w:val="000000"/>
        </w:rPr>
      </w:pPr>
      <w:r w:rsidRPr="00C24EE8">
        <w:rPr>
          <w:b/>
          <w:bCs/>
          <w:color w:val="000000"/>
        </w:rPr>
        <w:lastRenderedPageBreak/>
        <w:t>TASK 2 POSTER</w:t>
      </w:r>
    </w:p>
    <w:p w14:paraId="03F19883" w14:textId="4CF83D12" w:rsidR="00030055" w:rsidRDefault="00155028">
      <w:pPr>
        <w:pBdr>
          <w:top w:val="nil"/>
          <w:left w:val="nil"/>
          <w:bottom w:val="nil"/>
          <w:right w:val="nil"/>
          <w:between w:val="nil"/>
        </w:pBdr>
        <w:spacing w:after="240" w:line="360" w:lineRule="auto"/>
        <w:jc w:val="both"/>
        <w:rPr>
          <w:b/>
          <w:color w:val="000000"/>
        </w:rPr>
      </w:pPr>
      <w:r>
        <w:rPr>
          <w:noProof/>
        </w:rPr>
        <w:drawing>
          <wp:inline distT="0" distB="0" distL="0" distR="0" wp14:anchorId="6A4BB24E" wp14:editId="0D8DE87E">
            <wp:extent cx="5733415" cy="5294630"/>
            <wp:effectExtent l="0" t="0" r="635" b="1270"/>
            <wp:docPr id="1673495863" name="Graf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495863"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3415" cy="5294630"/>
                    </a:xfrm>
                    <a:prstGeom prst="rect">
                      <a:avLst/>
                    </a:prstGeom>
                  </pic:spPr>
                </pic:pic>
              </a:graphicData>
            </a:graphic>
          </wp:inline>
        </w:drawing>
      </w:r>
    </w:p>
    <w:sectPr w:rsidR="00030055">
      <w:footerReference w:type="default" r:id="rId13"/>
      <w:pgSz w:w="11909" w:h="16834"/>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376201" w14:textId="77777777" w:rsidR="005E5EB7" w:rsidRDefault="005E5EB7">
      <w:pPr>
        <w:spacing w:line="240" w:lineRule="auto"/>
      </w:pPr>
      <w:r>
        <w:separator/>
      </w:r>
    </w:p>
  </w:endnote>
  <w:endnote w:type="continuationSeparator" w:id="0">
    <w:p w14:paraId="72B524CE" w14:textId="77777777" w:rsidR="005E5EB7" w:rsidRDefault="005E5E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45C616" w14:textId="77777777" w:rsidR="00030055" w:rsidRDefault="00FE3FA4">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C24EE8">
      <w:rPr>
        <w:noProof/>
        <w:color w:val="000000"/>
      </w:rPr>
      <w:t>2</w:t>
    </w:r>
    <w:r>
      <w:rPr>
        <w:color w:val="000000"/>
      </w:rPr>
      <w:fldChar w:fldCharType="end"/>
    </w:r>
  </w:p>
  <w:p w14:paraId="22CCF9FC" w14:textId="77777777" w:rsidR="00030055" w:rsidRDefault="00030055">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02F57D" w14:textId="77777777" w:rsidR="005E5EB7" w:rsidRDefault="005E5EB7">
      <w:pPr>
        <w:spacing w:line="240" w:lineRule="auto"/>
      </w:pPr>
      <w:r>
        <w:separator/>
      </w:r>
    </w:p>
  </w:footnote>
  <w:footnote w:type="continuationSeparator" w:id="0">
    <w:p w14:paraId="4DEEC3BF" w14:textId="77777777" w:rsidR="005E5EB7" w:rsidRDefault="005E5EB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FFB435F"/>
    <w:multiLevelType w:val="multilevel"/>
    <w:tmpl w:val="D1DEEE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B7E4832"/>
    <w:multiLevelType w:val="multilevel"/>
    <w:tmpl w:val="E4AC58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F686E69"/>
    <w:multiLevelType w:val="multilevel"/>
    <w:tmpl w:val="EFBCAB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DD003F9"/>
    <w:multiLevelType w:val="multilevel"/>
    <w:tmpl w:val="298A01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83797434">
    <w:abstractNumId w:val="0"/>
  </w:num>
  <w:num w:numId="2" w16cid:durableId="1084181892">
    <w:abstractNumId w:val="3"/>
  </w:num>
  <w:num w:numId="3" w16cid:durableId="911618928">
    <w:abstractNumId w:val="1"/>
  </w:num>
  <w:num w:numId="4" w16cid:durableId="4320889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0055"/>
    <w:rsid w:val="00030055"/>
    <w:rsid w:val="00155028"/>
    <w:rsid w:val="003E482C"/>
    <w:rsid w:val="00403240"/>
    <w:rsid w:val="005E5EB7"/>
    <w:rsid w:val="00C24EE8"/>
    <w:rsid w:val="00D20601"/>
    <w:rsid w:val="00FE3FA4"/>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F8658"/>
  <w15:docId w15:val="{B0B7E053-33CB-4E84-9892-486A07CE8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ro-RO"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25DF"/>
  </w:style>
  <w:style w:type="paragraph" w:styleId="Heading1">
    <w:name w:val="heading 1"/>
    <w:basedOn w:val="Normal1"/>
    <w:next w:val="Normal1"/>
    <w:uiPriority w:val="9"/>
    <w:qFormat/>
    <w:rsid w:val="00A4222F"/>
    <w:pPr>
      <w:keepNext/>
      <w:keepLines/>
      <w:spacing w:before="400" w:after="120" w:line="360" w:lineRule="auto"/>
      <w:jc w:val="both"/>
      <w:outlineLvl w:val="0"/>
    </w:pPr>
    <w:rPr>
      <w:b/>
      <w:sz w:val="28"/>
      <w:szCs w:val="40"/>
    </w:rPr>
  </w:style>
  <w:style w:type="paragraph" w:styleId="Heading2">
    <w:name w:val="heading 2"/>
    <w:basedOn w:val="Normal1"/>
    <w:next w:val="Normal1"/>
    <w:uiPriority w:val="9"/>
    <w:unhideWhenUsed/>
    <w:qFormat/>
    <w:rsid w:val="00A4222F"/>
    <w:pPr>
      <w:keepNext/>
      <w:keepLines/>
      <w:spacing w:before="360" w:after="120" w:line="360" w:lineRule="auto"/>
      <w:jc w:val="both"/>
      <w:outlineLvl w:val="1"/>
    </w:pPr>
    <w:rPr>
      <w:b/>
      <w:sz w:val="26"/>
      <w:szCs w:val="32"/>
    </w:rPr>
  </w:style>
  <w:style w:type="paragraph" w:styleId="Heading3">
    <w:name w:val="heading 3"/>
    <w:basedOn w:val="Normal1"/>
    <w:next w:val="Normal1"/>
    <w:uiPriority w:val="9"/>
    <w:semiHidden/>
    <w:unhideWhenUsed/>
    <w:qFormat/>
    <w:rsid w:val="00AF21DC"/>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rsid w:val="00AF21DC"/>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rsid w:val="00AF21DC"/>
    <w:pPr>
      <w:keepNext/>
      <w:keepLines/>
      <w:spacing w:before="240" w:after="80"/>
      <w:outlineLvl w:val="4"/>
    </w:pPr>
    <w:rPr>
      <w:color w:val="666666"/>
    </w:rPr>
  </w:style>
  <w:style w:type="paragraph" w:styleId="Heading6">
    <w:name w:val="heading 6"/>
    <w:basedOn w:val="Normal1"/>
    <w:next w:val="Normal1"/>
    <w:uiPriority w:val="9"/>
    <w:semiHidden/>
    <w:unhideWhenUsed/>
    <w:qFormat/>
    <w:rsid w:val="00AF21D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uiPriority w:val="10"/>
    <w:qFormat/>
    <w:rsid w:val="00AF21DC"/>
    <w:pPr>
      <w:keepNext/>
      <w:keepLines/>
      <w:spacing w:after="60"/>
    </w:pPr>
    <w:rPr>
      <w:sz w:val="52"/>
      <w:szCs w:val="52"/>
    </w:rPr>
  </w:style>
  <w:style w:type="paragraph" w:customStyle="1" w:styleId="Normal1">
    <w:name w:val="Normal1"/>
    <w:rsid w:val="00AF21DC"/>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a">
    <w:basedOn w:val="TableNormal"/>
    <w:rsid w:val="00AF21DC"/>
    <w:tblPr>
      <w:tblStyleRowBandSize w:val="1"/>
      <w:tblStyleColBandSize w:val="1"/>
      <w:tblCellMar>
        <w:top w:w="100" w:type="dxa"/>
        <w:left w:w="100" w:type="dxa"/>
        <w:bottom w:w="100" w:type="dxa"/>
        <w:right w:w="100" w:type="dxa"/>
      </w:tblCellMar>
    </w:tblPr>
  </w:style>
  <w:style w:type="table" w:customStyle="1" w:styleId="a0">
    <w:basedOn w:val="TableNormal"/>
    <w:rsid w:val="00AF21DC"/>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A4222F"/>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A4222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222F"/>
    <w:rPr>
      <w:rFonts w:ascii="Tahoma" w:hAnsi="Tahoma" w:cs="Tahoma"/>
      <w:sz w:val="16"/>
      <w:szCs w:val="16"/>
    </w:rPr>
  </w:style>
  <w:style w:type="paragraph" w:styleId="Header">
    <w:name w:val="header"/>
    <w:basedOn w:val="Normal"/>
    <w:link w:val="HeaderChar"/>
    <w:uiPriority w:val="99"/>
    <w:semiHidden/>
    <w:unhideWhenUsed/>
    <w:rsid w:val="0022321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23213"/>
  </w:style>
  <w:style w:type="paragraph" w:styleId="Footer">
    <w:name w:val="footer"/>
    <w:basedOn w:val="Normal"/>
    <w:link w:val="FooterChar"/>
    <w:uiPriority w:val="99"/>
    <w:unhideWhenUsed/>
    <w:rsid w:val="00223213"/>
    <w:pPr>
      <w:tabs>
        <w:tab w:val="center" w:pos="4680"/>
        <w:tab w:val="right" w:pos="9360"/>
      </w:tabs>
      <w:spacing w:line="240" w:lineRule="auto"/>
    </w:pPr>
  </w:style>
  <w:style w:type="character" w:customStyle="1" w:styleId="FooterChar">
    <w:name w:val="Footer Char"/>
    <w:basedOn w:val="DefaultParagraphFont"/>
    <w:link w:val="Footer"/>
    <w:uiPriority w:val="99"/>
    <w:rsid w:val="00223213"/>
  </w:style>
  <w:style w:type="paragraph" w:styleId="TOCHeading">
    <w:name w:val="TOC Heading"/>
    <w:basedOn w:val="Heading1"/>
    <w:next w:val="Normal"/>
    <w:uiPriority w:val="39"/>
    <w:semiHidden/>
    <w:unhideWhenUsed/>
    <w:qFormat/>
    <w:rsid w:val="00223213"/>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223213"/>
    <w:pPr>
      <w:spacing w:after="100"/>
    </w:pPr>
  </w:style>
  <w:style w:type="paragraph" w:styleId="TOC2">
    <w:name w:val="toc 2"/>
    <w:basedOn w:val="Normal"/>
    <w:next w:val="Normal"/>
    <w:autoRedefine/>
    <w:uiPriority w:val="39"/>
    <w:unhideWhenUsed/>
    <w:rsid w:val="00223213"/>
    <w:pPr>
      <w:spacing w:after="100"/>
      <w:ind w:left="220"/>
    </w:pPr>
  </w:style>
  <w:style w:type="character" w:styleId="Hyperlink">
    <w:name w:val="Hyperlink"/>
    <w:basedOn w:val="DefaultParagraphFont"/>
    <w:uiPriority w:val="99"/>
    <w:unhideWhenUsed/>
    <w:rsid w:val="00223213"/>
    <w:rPr>
      <w:color w:val="0000FF" w:themeColor="hyperlink"/>
      <w:u w:val="single"/>
    </w:r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sv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ZKq9FJ1b6uatIIKll9hMe8xaRVw==">CgMxLjAyCGguZ2pkZ3hzMgloLjMwajB6bGwyCWguMWZvYjl0ZTIJaC4zem55c2g3MgloLjJldDkycDAyCGgudHlqY3d0MgloLjNkeTZ2a20yCWguMXQzaDVzZjIJaC40ZDM0b2c4MgloLjJzOGV5bzEyCWguMTdkcDh2dTgAciExS0lpT1ZYNEMweGh2WndVem94RmF0dXpHRmM4SlZ6YzE=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20</Pages>
  <Words>5033</Words>
  <Characters>28692</Characters>
  <Application>Microsoft Office Word</Application>
  <DocSecurity>0</DocSecurity>
  <Lines>239</Lines>
  <Paragraphs>67</Paragraphs>
  <ScaleCrop>false</ScaleCrop>
  <Company/>
  <LinksUpToDate>false</LinksUpToDate>
  <CharactersWithSpaces>33658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 Aliu</cp:lastModifiedBy>
  <cp:revision>5</cp:revision>
  <dcterms:created xsi:type="dcterms:W3CDTF">2024-11-03T15:20:00Z</dcterms:created>
  <dcterms:modified xsi:type="dcterms:W3CDTF">2024-11-10T21:07:00Z</dcterms:modified>
</cp:coreProperties>
</file>