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sz w:val="40"/>
          <w:szCs w:val="40"/>
        </w:rPr>
      </w:pPr>
      <w:r w:rsidDel="00000000" w:rsidR="00000000" w:rsidRPr="00000000">
        <w:rPr>
          <w:b w:val="1"/>
          <w:sz w:val="40"/>
          <w:szCs w:val="40"/>
          <w:rtl w:val="0"/>
        </w:rPr>
        <w:t xml:space="preserve">BA (Hons) Leadership and Management Skills for the Workplace</w:t>
      </w:r>
    </w:p>
    <w:p w:rsidR="00000000" w:rsidDel="00000000" w:rsidP="00000000" w:rsidRDefault="00000000" w:rsidRPr="00000000" w14:paraId="00000002">
      <w:pPr>
        <w:pStyle w:val="Heading1"/>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pStyle w:val="Heading1"/>
        <w:rPr/>
      </w:pPr>
      <w:r w:rsidDel="00000000" w:rsidR="00000000" w:rsidRPr="00000000">
        <w:rPr>
          <w:rtl w:val="0"/>
        </w:rPr>
      </w:r>
    </w:p>
    <w:p w:rsidR="00000000" w:rsidDel="00000000" w:rsidP="00000000" w:rsidRDefault="00000000" w:rsidRPr="00000000" w14:paraId="00000005">
      <w:pPr>
        <w:tabs>
          <w:tab w:val="left" w:leader="none" w:pos="5200"/>
        </w:tabs>
        <w:jc w:val="center"/>
        <w:rPr>
          <w:sz w:val="28"/>
          <w:szCs w:val="28"/>
        </w:rPr>
      </w:pPr>
      <w:r w:rsidDel="00000000" w:rsidR="00000000" w:rsidRPr="00000000">
        <w:rPr>
          <w:rFonts w:ascii="Arial" w:cs="Arial" w:eastAsia="Arial" w:hAnsi="Arial"/>
          <w:sz w:val="28"/>
          <w:szCs w:val="28"/>
          <w:rtl w:val="0"/>
        </w:rPr>
        <w:t xml:space="preserve">LCLM6003- Leading and Implementing Change</w:t>
        <w:br w:type="textWrapping"/>
        <w:t xml:space="preserve">(LIC)</w:t>
      </w:r>
      <w:r w:rsidDel="00000000" w:rsidR="00000000" w:rsidRPr="00000000">
        <w:rPr>
          <w:rtl w:val="0"/>
        </w:rPr>
      </w:r>
    </w:p>
    <w:p w:rsidR="00000000" w:rsidDel="00000000" w:rsidP="00000000" w:rsidRDefault="00000000" w:rsidRPr="00000000" w14:paraId="00000006">
      <w:pPr>
        <w:pStyle w:val="Heading1"/>
        <w:jc w:val="center"/>
        <w:rPr>
          <w:b w:val="0"/>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pStyle w:val="Heading1"/>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pStyle w:val="Heading1"/>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pStyle w:val="Heading1"/>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pStyle w:val="Heading1"/>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pStyle w:val="Heading1"/>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pStyle w:val="Heading1"/>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pStyle w:val="Heading1"/>
        <w:rPr/>
      </w:pPr>
      <w:r w:rsidDel="00000000" w:rsidR="00000000" w:rsidRPr="00000000">
        <w:rPr>
          <w:rtl w:val="0"/>
        </w:rPr>
      </w:r>
    </w:p>
    <w:p w:rsidR="00000000" w:rsidDel="00000000" w:rsidP="00000000" w:rsidRDefault="00000000" w:rsidRPr="00000000" w14:paraId="00000015">
      <w:pPr>
        <w:jc w:val="center"/>
        <w:rPr/>
      </w:pPr>
      <w:r w:rsidDel="00000000" w:rsidR="00000000" w:rsidRPr="00000000">
        <w:rPr>
          <w:rtl w:val="0"/>
        </w:rPr>
      </w:r>
    </w:p>
    <w:p w:rsidR="00000000" w:rsidDel="00000000" w:rsidP="00000000" w:rsidRDefault="00000000" w:rsidRPr="00000000" w14:paraId="00000016">
      <w:pPr>
        <w:jc w:val="center"/>
        <w:rPr/>
      </w:pPr>
      <w:r w:rsidDel="00000000" w:rsidR="00000000" w:rsidRPr="00000000">
        <w:rPr>
          <w:rtl w:val="0"/>
        </w:rPr>
      </w:r>
    </w:p>
    <w:p w:rsidR="00000000" w:rsidDel="00000000" w:rsidP="00000000" w:rsidRDefault="00000000" w:rsidRPr="00000000" w14:paraId="00000017">
      <w:pPr>
        <w:jc w:val="center"/>
        <w:rPr/>
      </w:pPr>
      <w:r w:rsidDel="00000000" w:rsidR="00000000" w:rsidRPr="00000000">
        <w:rPr>
          <w:rtl w:val="0"/>
        </w:rPr>
        <w:t xml:space="preserve">Student Name: Mihaela Catalina Iovu</w:t>
      </w:r>
    </w:p>
    <w:p w:rsidR="00000000" w:rsidDel="00000000" w:rsidP="00000000" w:rsidRDefault="00000000" w:rsidRPr="00000000" w14:paraId="00000018">
      <w:pPr>
        <w:jc w:val="center"/>
        <w:rPr/>
      </w:pPr>
      <w:r w:rsidDel="00000000" w:rsidR="00000000" w:rsidRPr="00000000">
        <w:rPr>
          <w:rtl w:val="0"/>
        </w:rPr>
        <w:t xml:space="preserve">Student ID:2112981</w:t>
      </w:r>
    </w:p>
    <w:p w:rsidR="00000000" w:rsidDel="00000000" w:rsidP="00000000" w:rsidRDefault="00000000" w:rsidRPr="00000000" w14:paraId="00000019">
      <w:pPr>
        <w:jc w:val="center"/>
        <w:rPr/>
      </w:pPr>
      <w:r w:rsidDel="00000000" w:rsidR="00000000" w:rsidRPr="00000000">
        <w:rPr>
          <w:rtl w:val="0"/>
        </w:rPr>
      </w:r>
    </w:p>
    <w:p w:rsidR="00000000" w:rsidDel="00000000" w:rsidP="00000000" w:rsidRDefault="00000000" w:rsidRPr="00000000" w14:paraId="0000001A">
      <w:pPr>
        <w:jc w:val="center"/>
        <w:rPr/>
      </w:pPr>
      <w:r w:rsidDel="00000000" w:rsidR="00000000" w:rsidRPr="00000000">
        <w:rPr>
          <w:rtl w:val="0"/>
        </w:rPr>
      </w:r>
    </w:p>
    <w:p w:rsidR="00000000" w:rsidDel="00000000" w:rsidP="00000000" w:rsidRDefault="00000000" w:rsidRPr="00000000" w14:paraId="0000001B">
      <w:pPr>
        <w:jc w:val="center"/>
        <w:rPr/>
      </w:pPr>
      <w:r w:rsidDel="00000000" w:rsidR="00000000" w:rsidRPr="00000000">
        <w:rPr>
          <w:rtl w:val="0"/>
        </w:rPr>
      </w:r>
    </w:p>
    <w:p w:rsidR="00000000" w:rsidDel="00000000" w:rsidP="00000000" w:rsidRDefault="00000000" w:rsidRPr="00000000" w14:paraId="0000001C">
      <w:pPr>
        <w:jc w:val="center"/>
        <w:rPr/>
      </w:pPr>
      <w:r w:rsidDel="00000000" w:rsidR="00000000" w:rsidRPr="00000000">
        <w:rPr>
          <w:rtl w:val="0"/>
        </w:rPr>
      </w:r>
    </w:p>
    <w:p w:rsidR="00000000" w:rsidDel="00000000" w:rsidP="00000000" w:rsidRDefault="00000000" w:rsidRPr="00000000" w14:paraId="0000001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Contents</w:t>
      </w:r>
    </w:p>
    <w:sdt>
      <w:sdtPr>
        <w:id w:val="-1619125452"/>
        <w:docPartObj>
          <w:docPartGallery w:val="Table of Contents"/>
          <w:docPartUnique w:val="1"/>
        </w:docPartObj>
      </w:sdtPr>
      <w:sdtContent>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6"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gvmng8nws7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6"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2sax5wu98mz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Organisational Background and Environmental Analysis</w:t>
              <w:tab/>
              <w:t xml:space="preserve">3</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6"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mcex756lpx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Recent History and Market Position</w:t>
              <w:tab/>
              <w:t xml:space="preserve">3</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6"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ggr7snlqdek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Digital Disruption and Online Shopping</w:t>
              <w:tab/>
              <w:t xml:space="preserve">3</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6"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jkhvlhym67y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Artificial Intelligence and Technology Integration</w:t>
              <w:tab/>
              <w:t xml:space="preserve">4</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6"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rvb0ydh057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Internal Environmental Challenges</w:t>
              <w:tab/>
              <w:t xml:space="preserve">4</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6"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hukfsvifglu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Change Management Models and Strategic Approaches</w:t>
              <w:tab/>
              <w:t xml:space="preserve">5</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6"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piik0j4m0zd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Theoretical Frameworks for Change Management</w:t>
              <w:tab/>
              <w:t xml:space="preserve">5</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6"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5vy2j7b9cbq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Omnichannel Integration Strategy.</w:t>
              <w:tab/>
              <w:t xml:space="preserve">5</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6"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up09h2hejwv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Managing Strategic Change Implementation</w:t>
              <w:tab/>
              <w:t xml:space="preserve">6</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6"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947skwlc3bk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Leadership and Organisational Culture</w:t>
              <w:tab/>
              <w:t xml:space="preserve">7</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6"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lveh053xs8w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Leadership Styles and Change Effectiveness</w:t>
              <w:tab/>
              <w:t xml:space="preserve">7</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6"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1hflj53p7xe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Cultural Dimensions and Change Readiness</w:t>
              <w:tab/>
              <w:t xml:space="preserve">7</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6"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xzaay7hgi9b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Communication and Stakeholder Engagement</w:t>
              <w:tab/>
              <w:t xml:space="preserve">8</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6"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47ns1fvinfb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Strategic Change Management Plan</w:t>
              <w:tab/>
              <w:t xml:space="preserve">8</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6"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7lmov2y7iqu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Vision and Strategic Objectives</w:t>
              <w:tab/>
              <w:t xml:space="preserve">8</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6"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ivfkvof6djf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Financial Plan and Investment Requirements</w:t>
              <w:tab/>
              <w:t xml:space="preserve">9</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6"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u9xek8p0evz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Implementation Phases and Timeline</w:t>
              <w:tab/>
              <w:t xml:space="preserve">10</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6"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woz8ak282de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Communication Plan and Stakeholder Management</w:t>
              <w:tab/>
              <w:t xml:space="preserve">11</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6"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u9vyyipl1rj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Training and Capability Development</w:t>
              <w:tab/>
              <w:t xml:space="preserve">12</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6"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xgicbj5g2p0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Risk Management and Mitigation Strategies</w:t>
              <w:tab/>
              <w:t xml:space="preserve">13</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6"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2pnykewgni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Evaluation Plan and Performance Monitoring</w:t>
              <w:tab/>
              <w:t xml:space="preserve">14</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6" w:lineRule="auto"/>
            <w:ind w:left="24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mk1oiuyz907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Change Sustainability and Continuous Improvement</w:t>
              <w:tab/>
              <w:t xml:space="preserve">15</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6"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apjo32lk1ya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16</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6" w:lineRule="auto"/>
            <w:ind w:left="0" w:right="0" w:firstLine="0"/>
            <w:jc w:val="left"/>
            <w:rPr>
              <w:rFonts w:ascii="Calibri" w:cs="Calibri" w:eastAsia="Calibri" w:hAnsi="Calibri"/>
              <w:b w:val="0"/>
              <w:i w:val="0"/>
              <w:smallCaps w:val="0"/>
              <w:strike w:val="0"/>
              <w:color w:val="000000"/>
              <w:sz w:val="24"/>
              <w:szCs w:val="24"/>
              <w:u w:val="none"/>
              <w:shd w:fill="auto" w:val="clear"/>
              <w:vertAlign w:val="baseline"/>
            </w:rPr>
          </w:pPr>
          <w:hyperlink w:anchor="_r507o01mg9ly">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17</w:t>
            </w:r>
          </w:hyperlink>
          <w:r w:rsidDel="00000000" w:rsidR="00000000" w:rsidRPr="00000000">
            <w:rPr>
              <w:rtl w:val="0"/>
            </w:rPr>
          </w:r>
        </w:p>
        <w:p w:rsidR="00000000" w:rsidDel="00000000" w:rsidP="00000000" w:rsidRDefault="00000000" w:rsidRPr="00000000" w14:paraId="00000037">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8">
      <w:pPr>
        <w:pStyle w:val="Heading1"/>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pStyle w:val="Heading1"/>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pStyle w:val="Heading1"/>
        <w:rPr/>
      </w:pPr>
      <w:r w:rsidDel="00000000" w:rsidR="00000000" w:rsidRPr="00000000">
        <w:rPr>
          <w:rtl w:val="0"/>
        </w:rPr>
      </w:r>
    </w:p>
    <w:p w:rsidR="00000000" w:rsidDel="00000000" w:rsidP="00000000" w:rsidRDefault="00000000" w:rsidRPr="00000000" w14:paraId="0000003E">
      <w:pPr>
        <w:spacing w:line="360" w:lineRule="auto"/>
        <w:jc w:val="both"/>
        <w:rPr/>
      </w:pPr>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left"/>
        <w:rPr>
          <w:rFonts w:ascii="Times New Roman" w:cs="Times New Roman" w:eastAsia="Times New Roman" w:hAnsi="Times New Roman"/>
          <w:b w:val="1"/>
          <w:i w:val="0"/>
          <w:smallCaps w:val="0"/>
          <w:strike w:val="0"/>
          <w:color w:val="000000"/>
          <w:sz w:val="28"/>
          <w:szCs w:val="28"/>
          <w:u w:val="none"/>
          <w:shd w:fill="auto" w:val="clear"/>
          <w:vertAlign w:val="baseline"/>
        </w:rPr>
      </w:pPr>
      <w:bookmarkStart w:colFirst="0" w:colLast="0" w:name="_hgvmng8nws7s" w:id="0"/>
      <w:bookmarkEnd w:id="0"/>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Introduction</w:t>
      </w:r>
    </w:p>
    <w:p w:rsidR="00000000" w:rsidDel="00000000" w:rsidP="00000000" w:rsidRDefault="00000000" w:rsidRPr="00000000" w14:paraId="00000040">
      <w:pPr>
        <w:spacing w:line="360" w:lineRule="auto"/>
        <w:jc w:val="both"/>
        <w:rPr/>
      </w:pPr>
      <w:r w:rsidDel="00000000" w:rsidR="00000000" w:rsidRPr="00000000">
        <w:rPr>
          <w:rtl w:val="0"/>
        </w:rPr>
        <w:t xml:space="preserve">The Tesco PLC is the largest grocery retailer in the United Kingdom that has a significant presence in the market in various regions of the world. The organisation is experiencing a huge pressure due to changing consumer behaviours and technological development (Sharma et al., 2024). The digital disruption poses opportunities and threats to the traditional retail operation (AlNuaimi et al., 2022). The board needs urgent strategic intervention to manage these environmental changes and still be on top of the competitive advantage. This report establishes a detailed change management plan with an external and internal trigger that will influence the effectiveness of its operations in Tesco (Jääskä et al., 2024). The analysis reviews the history of organisations and compares the correct change management models to implement successfully (Phillips and Klein, 2023).</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left"/>
        <w:rPr>
          <w:rFonts w:ascii="Times New Roman" w:cs="Times New Roman" w:eastAsia="Times New Roman" w:hAnsi="Times New Roman"/>
          <w:b w:val="1"/>
          <w:i w:val="0"/>
          <w:smallCaps w:val="0"/>
          <w:strike w:val="0"/>
          <w:color w:val="000000"/>
          <w:sz w:val="28"/>
          <w:szCs w:val="28"/>
          <w:u w:val="none"/>
          <w:shd w:fill="auto" w:val="clear"/>
          <w:vertAlign w:val="baseline"/>
        </w:rPr>
      </w:pPr>
      <w:bookmarkStart w:colFirst="0" w:colLast="0" w:name="_2sax5wu98mz7" w:id="1"/>
      <w:bookmarkEnd w:id="1"/>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Organisational Background and Environmental Analysis</w:t>
      </w:r>
    </w:p>
    <w:p w:rsidR="00000000" w:rsidDel="00000000" w:rsidP="00000000" w:rsidRDefault="00000000" w:rsidRPr="00000000" w14:paraId="00000042">
      <w:pPr>
        <w:pStyle w:val="Heading2"/>
        <w:rPr/>
      </w:pPr>
      <w:bookmarkStart w:colFirst="0" w:colLast="0" w:name="_mcex756lpxm3" w:id="2"/>
      <w:bookmarkEnd w:id="2"/>
      <w:r w:rsidDel="00000000" w:rsidR="00000000" w:rsidRPr="00000000">
        <w:rPr>
          <w:rtl w:val="0"/>
        </w:rPr>
        <w:t xml:space="preserve">Recent History and Market Position</w:t>
      </w:r>
    </w:p>
    <w:p w:rsidR="00000000" w:rsidDel="00000000" w:rsidP="00000000" w:rsidRDefault="00000000" w:rsidRPr="00000000" w14:paraId="00000043">
      <w:pPr>
        <w:spacing w:line="360" w:lineRule="auto"/>
        <w:jc w:val="both"/>
        <w:rPr/>
      </w:pPr>
      <w:r w:rsidDel="00000000" w:rsidR="00000000" w:rsidRPr="00000000">
        <w:rPr>
          <w:rtl w:val="0"/>
        </w:rPr>
        <w:t xml:space="preserve">Tesco has undergone a tremendous change after the accounting scam in 2014 and later change of leadership. The organisation refined operations in the core markets of the UK and sold international assets in South Korea, Turkey and Poland. The external environmental pressures became even stronger after the COVID-19 pandemic when the consumer shopping patterns changed radically (Brüggemann et al., 2023). Online grocery shopping is the type of service that became accessible through its niche status and turned into a mainstream expectation within several months, which completely changes the competitive landscape (Younes et al., 2022). Store-based operations that existed in the past needed quick changes to suit varying demands in the market and remain profitable. The competitive environment also changed with discount retailers gaining more market share and digital-native entrants into grocery retailing (De Canio et al., 2023). The technology companies such as Amazon fresh introduced other ways of doing business that threatened the traditional business in the retail stores. All these pressures require fundamentals of reconsideration of the business model instead of minor changes in the existing operations.</w:t>
      </w:r>
    </w:p>
    <w:p w:rsidR="00000000" w:rsidDel="00000000" w:rsidP="00000000" w:rsidRDefault="00000000" w:rsidRPr="00000000" w14:paraId="00000044">
      <w:pPr>
        <w:pStyle w:val="Heading2"/>
        <w:rPr/>
      </w:pPr>
      <w:bookmarkStart w:colFirst="0" w:colLast="0" w:name="_ggr7snlqdek1" w:id="3"/>
      <w:bookmarkEnd w:id="3"/>
      <w:r w:rsidDel="00000000" w:rsidR="00000000" w:rsidRPr="00000000">
        <w:rPr>
          <w:rtl w:val="0"/>
        </w:rPr>
        <w:t xml:space="preserve">Digital Disruption and Online Shopping</w:t>
      </w:r>
    </w:p>
    <w:p w:rsidR="00000000" w:rsidDel="00000000" w:rsidP="00000000" w:rsidRDefault="00000000" w:rsidRPr="00000000" w14:paraId="00000045">
      <w:pPr>
        <w:spacing w:line="360" w:lineRule="auto"/>
        <w:jc w:val="both"/>
        <w:rPr/>
      </w:pPr>
      <w:r w:rsidDel="00000000" w:rsidR="00000000" w:rsidRPr="00000000">
        <w:rPr>
          <w:rtl w:val="0"/>
        </w:rPr>
        <w:t xml:space="preserve">The leading environmental stimulus that would influence the strategy of Tesco is digital transformation. The new expectations of consumers shifted to the smooth omnichannel experience including both physical and online touchpoints (Sharma et al., 2023). It has been proven that the online shopping behaviour significantly changes the shopping patterns of visiting the stores and purchasing items; various basket structures and purchasing rates are exhibited (Chintala et al., 2024). The customers have started insisting on the flexibility in fulfilment such as home delivery, click-and-collect, and same-day service as a normal service and not a premium one (Eriksson et al., 2024). The pandemic increased the rates of adoption faster than predicted by the industry and introduced long-term behavioural shifts among the demographics, who were previously reluctant to use online grocery shopping (Younes et al., 2022). The conventional competitive advantages, store location, and product range were reduced because the digital capabilities became prominent in the decision-making processes of customers. Omnichannel integration became a critical success factor instead of an optional improvement to retain the position in the market (Sharma et al., 2022). Companies that do not deliver integrated experiences lose their customers to others who have excellent digital services as well as a brick and mortar (Yin et al., 2022).</w:t>
      </w:r>
    </w:p>
    <w:p w:rsidR="00000000" w:rsidDel="00000000" w:rsidP="00000000" w:rsidRDefault="00000000" w:rsidRPr="00000000" w14:paraId="00000046">
      <w:pPr>
        <w:pStyle w:val="Heading2"/>
        <w:rPr/>
      </w:pPr>
      <w:bookmarkStart w:colFirst="0" w:colLast="0" w:name="_jkhvlhym67y9" w:id="4"/>
      <w:bookmarkEnd w:id="4"/>
      <w:r w:rsidDel="00000000" w:rsidR="00000000" w:rsidRPr="00000000">
        <w:rPr>
          <w:rtl w:val="0"/>
        </w:rPr>
        <w:t xml:space="preserve">Artificial Intelligence and Technology Integration</w:t>
      </w:r>
    </w:p>
    <w:p w:rsidR="00000000" w:rsidDel="00000000" w:rsidP="00000000" w:rsidRDefault="00000000" w:rsidRPr="00000000" w14:paraId="00000047">
      <w:pPr>
        <w:spacing w:line="360" w:lineRule="auto"/>
        <w:jc w:val="both"/>
        <w:rPr/>
      </w:pPr>
      <w:r w:rsidDel="00000000" w:rsidR="00000000" w:rsidRPr="00000000">
        <w:rPr>
          <w:rtl w:val="0"/>
        </w:rPr>
        <w:t xml:space="preserve">The artificial intelligence solutions transform the retail business on various fronts encompassing front-line services to back-office processes. According to technology roadmaps, AI usage in the domain of forecasting demand, personalised marketing, inventory optimisation, and automation of customer service can be classified as key areas of investment (Lu et al., 2023). The machine learning algorithm allows dynamic pricing that reacts to the market conditions, competitor activities, and demand trends within real-time. Predictive analytics enhance efficiency of supply chain and minimise waste in perishable categories of products because of higher accuracy of forecasting (Saghiri et al., 2023). The development of AI studies shows the increase in speed with the practical commercial use that is coming out of the experiment phase at an amazing rate (Dwivedi et al., 2023). Those competitors who invest a lot in the technological infrastructure acquire operational benefits by reducing costs and creating more positive customer experiences. Digital alignment to organisational agility is the key to successful transformation instead of implementing technology alone (AlNuaimi et al., 2022). Tesco has to invest heavily in technological capacity in order to remain at the competitive parity and create differentiation through unique applications.</w:t>
      </w:r>
    </w:p>
    <w:p w:rsidR="00000000" w:rsidDel="00000000" w:rsidP="00000000" w:rsidRDefault="00000000" w:rsidRPr="00000000" w14:paraId="00000048">
      <w:pPr>
        <w:pStyle w:val="Heading2"/>
        <w:rPr/>
      </w:pPr>
      <w:bookmarkStart w:colFirst="0" w:colLast="0" w:name="_rvb0ydh057p0" w:id="5"/>
      <w:bookmarkEnd w:id="5"/>
      <w:r w:rsidDel="00000000" w:rsidR="00000000" w:rsidRPr="00000000">
        <w:rPr>
          <w:rtl w:val="0"/>
        </w:rPr>
        <w:t xml:space="preserve">Internal Environmental Challenges</w:t>
      </w:r>
    </w:p>
    <w:p w:rsidR="00000000" w:rsidDel="00000000" w:rsidP="00000000" w:rsidRDefault="00000000" w:rsidRPr="00000000" w14:paraId="00000049">
      <w:pPr>
        <w:spacing w:line="360" w:lineRule="auto"/>
        <w:jc w:val="both"/>
        <w:rPr/>
      </w:pPr>
      <w:r w:rsidDel="00000000" w:rsidR="00000000" w:rsidRPr="00000000">
        <w:rPr>
          <w:rtl w:val="0"/>
        </w:rPr>
        <w:t xml:space="preserve">At the internal organisational level, change implementation is limited in a variety of aspects. The old systems and processes that were aimed at store-centric operations pose challenges in integration with the digital platforms and the omnichannel demands. The skills of employees should be developed to accommodate the omnichannel processes and the adoption of technology, and the gaps in the existing employee skills are substantial (Deng and Yi, 2025). Organisational culture can affect the effectiveness of change programmes by having inherent behaviours and presumptions that have been accrued over decades of operation (Abawari et al., 2024). The fear of losing their jobs and not knowing what positions await them in the future is what is causing resistance to change (Khaw et al., 2022). The communication strategies should consider the emotional reaction after any major organisational change to sustain the interest and dedication (Harikkala-Laihinen, 2022). Leadership styles dictate the level of engagement among employees during periods of transformation by the visible support and regular communication. The process of aligning cultures to strategic goals needs strategic intervention, and not an emergent growth out of the regular organisational modalities.</w:t>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left"/>
        <w:rPr>
          <w:rFonts w:ascii="Times New Roman" w:cs="Times New Roman" w:eastAsia="Times New Roman" w:hAnsi="Times New Roman"/>
          <w:b w:val="1"/>
          <w:i w:val="0"/>
          <w:smallCaps w:val="0"/>
          <w:strike w:val="0"/>
          <w:color w:val="000000"/>
          <w:sz w:val="28"/>
          <w:szCs w:val="28"/>
          <w:u w:val="none"/>
          <w:shd w:fill="auto" w:val="clear"/>
          <w:vertAlign w:val="baseline"/>
        </w:rPr>
      </w:pPr>
      <w:bookmarkStart w:colFirst="0" w:colLast="0" w:name="_hukfsvifglu6" w:id="6"/>
      <w:bookmarkEnd w:id="6"/>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Change Management Models and Strategic Approaches</w:t>
      </w:r>
    </w:p>
    <w:p w:rsidR="00000000" w:rsidDel="00000000" w:rsidP="00000000" w:rsidRDefault="00000000" w:rsidRPr="00000000" w14:paraId="0000004B">
      <w:pPr>
        <w:pStyle w:val="Heading2"/>
        <w:rPr/>
      </w:pPr>
      <w:bookmarkStart w:colFirst="0" w:colLast="0" w:name="_piik0j4m0zda" w:id="7"/>
      <w:bookmarkEnd w:id="7"/>
      <w:r w:rsidDel="00000000" w:rsidR="00000000" w:rsidRPr="00000000">
        <w:rPr>
          <w:rtl w:val="0"/>
        </w:rPr>
        <w:t xml:space="preserve">Theoretical Frameworks for Change Management</w:t>
      </w:r>
    </w:p>
    <w:p w:rsidR="00000000" w:rsidDel="00000000" w:rsidP="00000000" w:rsidRDefault="00000000" w:rsidRPr="00000000" w14:paraId="0000004C">
      <w:pPr>
        <w:spacing w:line="360" w:lineRule="auto"/>
        <w:jc w:val="both"/>
        <w:rPr/>
      </w:pPr>
      <w:r w:rsidDel="00000000" w:rsidR="00000000" w:rsidRPr="00000000">
        <w:rPr>
          <w:rtl w:val="0"/>
        </w:rPr>
        <w:t xml:space="preserve">There are several theoretical frameworks that guide successful change management practise in various organisational settings. Evidence-based methods also focus on a rigorous assessment and continuous learning during implementation as opposed to adherence to predefined plans irrespective of the results (Rousseau and ten Have, 2022). The combined strategy of change management and project management practises enhances performance due to the systematic organisation of governance and progress oversight (Jääskä et al., 2024). Regular literature reviews found that there are uniform factors contributing to organisational response to change efforts such as quality of leadership, effectiveness of communication, and participation of employees (Khaw et al., 2022). The implementation process is successful when theoretical models are translated into actual operational procedures that can be relevant in a particular organisational situation (Phillips and Klein, 2023). Tesco needs to identify frameworks that suit the size and complexity of the required transformation without being fixed on rigid approach in case of experience change. The eight-step model by Kotter offers systematic progress towards change in large-scale organisations in phases that create momentum. The model focuses on the establishment of urgency, coalition forming, vision development, extensive communication, empowerment of action, winning, solidification of gains and rooting of organisational culture changes.</w:t>
      </w:r>
    </w:p>
    <w:p w:rsidR="00000000" w:rsidDel="00000000" w:rsidP="00000000" w:rsidRDefault="00000000" w:rsidRPr="00000000" w14:paraId="0000004D">
      <w:pPr>
        <w:pStyle w:val="Heading2"/>
        <w:rPr/>
      </w:pPr>
      <w:bookmarkStart w:colFirst="0" w:colLast="0" w:name="_5vy2j7b9cbqr" w:id="8"/>
      <w:bookmarkEnd w:id="8"/>
      <w:r w:rsidDel="00000000" w:rsidR="00000000" w:rsidRPr="00000000">
        <w:rPr>
          <w:rtl w:val="0"/>
        </w:rPr>
        <w:t xml:space="preserve">Omnichannel Integration Strategy.</w:t>
      </w:r>
    </w:p>
    <w:p w:rsidR="00000000" w:rsidDel="00000000" w:rsidP="00000000" w:rsidRDefault="00000000" w:rsidRPr="00000000" w14:paraId="0000004E">
      <w:pPr>
        <w:spacing w:line="360" w:lineRule="auto"/>
        <w:jc w:val="both"/>
        <w:rPr/>
      </w:pPr>
      <w:r w:rsidDel="00000000" w:rsidR="00000000" w:rsidRPr="00000000">
        <w:rPr>
          <w:rtl w:val="0"/>
        </w:rPr>
        <w:t xml:space="preserve">Omnichannel retailing does not involve the small-scale adjustment of old business models but necessitates the business model change. Studies have found that integration, interaction, and individualisation are retention elements that define customer loyalty in the multichannel setting (Yin et al., 2022). Value is created by providing customers with seamless channel experiences as opposed to channel-specific optimisation, which causes friction between channels (Sharma et al., 2024). The shopping behaviour shapes the tendencies of adopting omnichannel and identifies differentiated customer audiences that need specialised services and service designs (Sharma et al., 2024). The implementation of technology should be able to support customer journey mapping in various touchpoints that allow continuity and personalisation (Thaichon et al., 2024). The inventory management systems should be redesigned to work with perishable items in online and offline platforms and reduce the waste and stockouts (Saghiri et al., 2023). The adoption of digital technology is associated with the measures of sustainable retail performance such as customer satisfaction, operational efficiency, and financial outcomes (Sharma et al., 2024). The research of customer satisfaction reveals that the expectations of home delivery are not only product availability, but also convenience, reliability, and the quality of communication (Singh and Söderlund, 2022).</w:t>
      </w:r>
    </w:p>
    <w:p w:rsidR="00000000" w:rsidDel="00000000" w:rsidP="00000000" w:rsidRDefault="00000000" w:rsidRPr="00000000" w14:paraId="0000004F">
      <w:pPr>
        <w:pStyle w:val="Heading2"/>
        <w:rPr/>
      </w:pPr>
      <w:bookmarkStart w:colFirst="0" w:colLast="0" w:name="_up09h2hejwvm" w:id="9"/>
      <w:bookmarkEnd w:id="9"/>
      <w:r w:rsidDel="00000000" w:rsidR="00000000" w:rsidRPr="00000000">
        <w:rPr>
          <w:rtl w:val="0"/>
        </w:rPr>
        <w:t xml:space="preserve">Managing Strategic Change Implementation</w:t>
      </w:r>
    </w:p>
    <w:p w:rsidR="00000000" w:rsidDel="00000000" w:rsidP="00000000" w:rsidRDefault="00000000" w:rsidRPr="00000000" w14:paraId="00000050">
      <w:pPr>
        <w:spacing w:line="360" w:lineRule="auto"/>
        <w:jc w:val="both"/>
        <w:rPr/>
      </w:pPr>
      <w:r w:rsidDel="00000000" w:rsidR="00000000" w:rsidRPr="00000000">
        <w:rPr>
          <w:rtl w:val="0"/>
        </w:rPr>
        <w:t xml:space="preserve">Having been implemented in Tesco before, some change efforts indicate success as well as constraints in strategies of implementation. The Turnaround Plan after 2014 was mainly aimed at recovering the finances and efficiency of operation by cutting on cost programmes. The leadership focus was on restoring profitability in the short run but not positioning its strategy towards the future market environment and competitive pressure. Online investments rose gradually and not by transformational commitment consuming a huge amount of resources. The restructuring periods negatively impacted staff engagement, which impacted the quality of service and morale both in stores and in the distribution processes (Harikkala-Laihinen, 2022). Change fatigue came into play in the sequential nature of the next initiative with no sufficient time off to consolidate and enable new practises to take root. The application of evidence-based change management principles was unevenly used across the business units, which produced different quality of implementation (Rousseau and ten Have, 2022). The communication strategies adopted the top-down communication principles instead of the participatory communication where feedback and adaptation would be possible. Such historical trends need to be put into context in designing a future change programme to prevent implementation failures that negate strategic plans.</w:t>
      </w:r>
    </w:p>
    <w:p w:rsidR="00000000" w:rsidDel="00000000" w:rsidP="00000000" w:rsidRDefault="00000000" w:rsidRPr="00000000" w14:paraId="00000051">
      <w:pPr>
        <w:spacing w:line="360" w:lineRule="auto"/>
        <w:jc w:val="both"/>
        <w:rPr/>
      </w:pPr>
      <w:r w:rsidDel="00000000" w:rsidR="00000000" w:rsidRPr="00000000">
        <w:rPr>
          <w:rtl w:val="0"/>
        </w:rPr>
      </w:r>
    </w:p>
    <w:p w:rsidR="00000000" w:rsidDel="00000000" w:rsidP="00000000" w:rsidRDefault="00000000" w:rsidRPr="00000000" w14:paraId="00000052">
      <w:pPr>
        <w:pStyle w:val="Heading1"/>
        <w:rPr/>
      </w:pPr>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left"/>
        <w:rPr>
          <w:rFonts w:ascii="Times New Roman" w:cs="Times New Roman" w:eastAsia="Times New Roman" w:hAnsi="Times New Roman"/>
          <w:b w:val="1"/>
          <w:i w:val="0"/>
          <w:smallCaps w:val="0"/>
          <w:strike w:val="0"/>
          <w:color w:val="000000"/>
          <w:sz w:val="28"/>
          <w:szCs w:val="28"/>
          <w:u w:val="none"/>
          <w:shd w:fill="auto" w:val="clear"/>
          <w:vertAlign w:val="baseline"/>
        </w:rPr>
      </w:pPr>
      <w:bookmarkStart w:colFirst="0" w:colLast="0" w:name="_947skwlc3bkh" w:id="10"/>
      <w:bookmarkEnd w:id="10"/>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Leadership and Organisational Culture</w:t>
      </w:r>
    </w:p>
    <w:p w:rsidR="00000000" w:rsidDel="00000000" w:rsidP="00000000" w:rsidRDefault="00000000" w:rsidRPr="00000000" w14:paraId="00000054">
      <w:pPr>
        <w:pStyle w:val="Heading2"/>
        <w:rPr/>
      </w:pPr>
      <w:bookmarkStart w:colFirst="0" w:colLast="0" w:name="_lveh053xs8wk" w:id="11"/>
      <w:bookmarkEnd w:id="11"/>
      <w:r w:rsidDel="00000000" w:rsidR="00000000" w:rsidRPr="00000000">
        <w:rPr>
          <w:rtl w:val="0"/>
        </w:rPr>
        <w:t xml:space="preserve">Leadership Styles and Change Effectiveness</w:t>
      </w:r>
    </w:p>
    <w:p w:rsidR="00000000" w:rsidDel="00000000" w:rsidP="00000000" w:rsidRDefault="00000000" w:rsidRPr="00000000" w14:paraId="00000055">
      <w:pPr>
        <w:spacing w:line="360" w:lineRule="auto"/>
        <w:jc w:val="both"/>
        <w:rPr/>
      </w:pPr>
      <w:r w:rsidDel="00000000" w:rsidR="00000000" w:rsidRPr="00000000">
        <w:rPr>
          <w:rtl w:val="0"/>
        </w:rPr>
        <w:t xml:space="preserve">The leadership style has direct impacts on the change management results in various ways such as staff motivation and organisational climate. Transformational leadership is associated with the effective digital transformation programmes through the ability to excite collective vision and devotion, which are not self-focused (AlNuaimi et al., 2022). The leaders need to be nimble in adapting to environmental uncertainty whilst having an overall direction of strategy and offering a sense of stability in turbulence. The organisational culture is the mediating variable in the relationship between the leadership approach and the effectiveness of change programmes by reinforcing or demolishing the leader messages (Abawari et al., 2024). The leadership history of Tesco has seen the alternating modes of autocratic decision-making with the participative ones based on the situation and preferences of the leader. The present-day change demands genuine leadership that makes an effort to prove its adoption of long-term strategic goals and not temporary financial returns. By becoming emphatic and supportive, emotional intelligence can help a leader to manage resistance and anxiety that comes with major change (Harikkala-Laihinen, 2022). Effective communication requires credibility of leadership that is created by consistency of behaviour with values and priorities proclaimed. The leaders should be able to lead by example, not merely talk about ideal values that are not related to everyday working.</w:t>
      </w:r>
    </w:p>
    <w:p w:rsidR="00000000" w:rsidDel="00000000" w:rsidP="00000000" w:rsidRDefault="00000000" w:rsidRPr="00000000" w14:paraId="00000056">
      <w:pPr>
        <w:pStyle w:val="Heading2"/>
        <w:rPr/>
      </w:pPr>
      <w:bookmarkStart w:colFirst="0" w:colLast="0" w:name="_1hflj53p7xei" w:id="12"/>
      <w:bookmarkEnd w:id="12"/>
      <w:r w:rsidDel="00000000" w:rsidR="00000000" w:rsidRPr="00000000">
        <w:rPr>
          <w:rtl w:val="0"/>
        </w:rPr>
        <w:t xml:space="preserve">Cultural Dimensions and Change Readiness</w:t>
      </w:r>
    </w:p>
    <w:p w:rsidR="00000000" w:rsidDel="00000000" w:rsidP="00000000" w:rsidRDefault="00000000" w:rsidRPr="00000000" w14:paraId="00000057">
      <w:pPr>
        <w:spacing w:line="360" w:lineRule="auto"/>
        <w:jc w:val="both"/>
        <w:rPr/>
      </w:pPr>
      <w:r w:rsidDel="00000000" w:rsidR="00000000" w:rsidRPr="00000000">
        <w:rPr>
          <w:rtl w:val="0"/>
        </w:rPr>
        <w:t xml:space="preserve">Organisational culture consists of ingrained assumptions that influence the receptivity and success of change implementation. The culture of Tesco has developed over decades of store-based business operation that has paid attention to cost and operational discipline coupled with high process orientation. Standardised processes and hierarchical structures are typical of traditional retail culture that is evolved throughout the expansion periods that focus on uniformity. Digital transformation necessitates the culture change to testing, learning and customer-centricity and tolerate calculated failures. When rational arguments supporting change can be persuasive based on financial analysis and strategic thinking the presence of cultural misalignment in the organisational culture causes resistance (Abawari et al., 2024). Reactions of employees towards change are based on their emotional responses that need to be considered and addressed instead of being deemed irrational (Khaw et al., 2022). Cultural assessment also recognises particular obstacles and facilitators in current organisational settings to design and sequence of intervention. The positive change experiences have momentum because they prove to be beneficial and diminish doubts regarding impacts on individuals (Harikkala-Laihinen, 2022). Cultural change is a long process, which is achieved through regularisation as opposed to proclamation and anticipation of instant change.</w:t>
      </w:r>
    </w:p>
    <w:p w:rsidR="00000000" w:rsidDel="00000000" w:rsidP="00000000" w:rsidRDefault="00000000" w:rsidRPr="00000000" w14:paraId="00000058">
      <w:pPr>
        <w:pStyle w:val="Heading2"/>
        <w:rPr/>
      </w:pPr>
      <w:bookmarkStart w:colFirst="0" w:colLast="0" w:name="_xzaay7hgi9b8" w:id="13"/>
      <w:bookmarkEnd w:id="13"/>
      <w:r w:rsidDel="00000000" w:rsidR="00000000" w:rsidRPr="00000000">
        <w:rPr>
          <w:rtl w:val="0"/>
        </w:rPr>
        <w:t xml:space="preserve">Communication and Stakeholder Engagement</w:t>
      </w:r>
    </w:p>
    <w:p w:rsidR="00000000" w:rsidDel="00000000" w:rsidP="00000000" w:rsidRDefault="00000000" w:rsidRPr="00000000" w14:paraId="00000059">
      <w:pPr>
        <w:spacing w:line="360" w:lineRule="auto"/>
        <w:jc w:val="both"/>
        <w:rPr/>
      </w:pPr>
      <w:r w:rsidDel="00000000" w:rsidR="00000000" w:rsidRPr="00000000">
        <w:rPr>
          <w:rtl w:val="0"/>
        </w:rPr>
        <w:t xml:space="preserve">Communication strategies are also crucial towards success of change programmes in various stakeholder groups. The stakeholder involvement should be done during planning and implementation but not only during the announcement stages when decisions are final. Bi-directional communication channels can facilitate an integration of feedback and responsiveness to the new concerns enhancing the quality of implementation (Harikkala-Laihinen, 2022). Information can be shared faster with the help of digital means of communication, and the personal interaction can foster trust and commitment through the natural conversation. The email management strategies influence the effectiveness of communication and overload of information that needs to be carefully chosen by the channels (Letkithe and Noll, 2024). Open sharing of problems and failures will ensure the credibility in hard times instead of selective divulging of information that will create suspicion. Various stakeholder groups need to receive special messages to specific issues and concerns and not general messages. The communication plans should strike a balance between frequency, choice of channel and message contents in order to maximise engagement without being too overwhelming to the audience.</w:t>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left"/>
        <w:rPr>
          <w:rFonts w:ascii="Times New Roman" w:cs="Times New Roman" w:eastAsia="Times New Roman" w:hAnsi="Times New Roman"/>
          <w:b w:val="1"/>
          <w:i w:val="0"/>
          <w:smallCaps w:val="0"/>
          <w:strike w:val="0"/>
          <w:color w:val="000000"/>
          <w:sz w:val="28"/>
          <w:szCs w:val="28"/>
          <w:u w:val="none"/>
          <w:shd w:fill="auto" w:val="clear"/>
          <w:vertAlign w:val="baseline"/>
        </w:rPr>
      </w:pPr>
      <w:bookmarkStart w:colFirst="0" w:colLast="0" w:name="_47ns1fvinfb6" w:id="14"/>
      <w:bookmarkEnd w:id="14"/>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Strategic Change Management Plan</w:t>
      </w:r>
    </w:p>
    <w:p w:rsidR="00000000" w:rsidDel="00000000" w:rsidP="00000000" w:rsidRDefault="00000000" w:rsidRPr="00000000" w14:paraId="0000005B">
      <w:pPr>
        <w:pStyle w:val="Heading2"/>
        <w:rPr/>
      </w:pPr>
      <w:bookmarkStart w:colFirst="0" w:colLast="0" w:name="_7lmov2y7iqus" w:id="15"/>
      <w:bookmarkEnd w:id="15"/>
      <w:r w:rsidDel="00000000" w:rsidR="00000000" w:rsidRPr="00000000">
        <w:rPr>
          <w:rtl w:val="0"/>
        </w:rPr>
        <w:t xml:space="preserve">Vision and Strategic Objectives</w:t>
      </w:r>
    </w:p>
    <w:p w:rsidR="00000000" w:rsidDel="00000000" w:rsidP="00000000" w:rsidRDefault="00000000" w:rsidRPr="00000000" w14:paraId="0000005C">
      <w:pPr>
        <w:spacing w:line="360" w:lineRule="auto"/>
        <w:jc w:val="both"/>
        <w:rPr/>
      </w:pPr>
      <w:r w:rsidDel="00000000" w:rsidR="00000000" w:rsidRPr="00000000">
        <w:rPr>
          <w:rtl w:val="0"/>
        </w:rPr>
        <w:t xml:space="preserve">The strategy vision makes Tesco the top omnichannel grocery retailer that provides seamless customer experience at all touchpoints. This vision demands radical change in the technological, operations and cultural aspects as opposed to modest enhancement to the current capabilities. Strategic objectives are used to transform vision into clear targets to be used to direct implementation activities and track progress. The digital leadership of the change programme is to be attained keeping operational excellence in traditional channels without channel conflict. Online and offline integration is what generates integrated customer experience instead of single channels competing over resources (Sharma et al., 2023). The investments in technologies allow gaining operational efficiency and improving customer experience via automation and personalisation. The cultural change facilitates innovation and flexibility as a continuous ability and not as a one-time reaction to crisis. The consequences of customer loyalty and operational productivity in terms of financial performance are the rise of financial performance due to cost offsets between implementation and customer loyalty (Sharma et al., 2024).</w:t>
      </w:r>
    </w:p>
    <w:p w:rsidR="00000000" w:rsidDel="00000000" w:rsidP="00000000" w:rsidRDefault="00000000" w:rsidRPr="00000000" w14:paraId="0000005D">
      <w:pPr>
        <w:spacing w:line="360" w:lineRule="auto"/>
        <w:jc w:val="both"/>
        <w:rPr/>
      </w:pPr>
      <w:r w:rsidDel="00000000" w:rsidR="00000000" w:rsidRPr="00000000">
        <w:rPr>
          <w:b w:val="1"/>
          <w:rtl w:val="0"/>
        </w:rPr>
        <w:t xml:space="preserve">Table 1: Strategic Objectives and Key Performance Indicators</w:t>
      </w: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452"/>
        <w:gridCol w:w="4210"/>
        <w:gridCol w:w="2354"/>
        <w:tblGridChange w:id="0">
          <w:tblGrid>
            <w:gridCol w:w="2452"/>
            <w:gridCol w:w="4210"/>
            <w:gridCol w:w="2354"/>
          </w:tblGrid>
        </w:tblGridChange>
      </w:tblGrid>
      <w:tr>
        <w:trPr>
          <w:cantSplit w:val="0"/>
          <w:tblHeader w:val="0"/>
        </w:trPr>
        <w:tc>
          <w:tcPr/>
          <w:p w:rsidR="00000000" w:rsidDel="00000000" w:rsidP="00000000" w:rsidRDefault="00000000" w:rsidRPr="00000000" w14:paraId="0000005E">
            <w:pPr>
              <w:spacing w:after="160" w:line="360" w:lineRule="auto"/>
              <w:jc w:val="both"/>
              <w:rPr>
                <w:b w:val="1"/>
              </w:rPr>
            </w:pPr>
            <w:r w:rsidDel="00000000" w:rsidR="00000000" w:rsidRPr="00000000">
              <w:rPr>
                <w:b w:val="1"/>
                <w:rtl w:val="0"/>
              </w:rPr>
              <w:t xml:space="preserve">Strategic Objective</w:t>
            </w:r>
          </w:p>
        </w:tc>
        <w:tc>
          <w:tcPr/>
          <w:p w:rsidR="00000000" w:rsidDel="00000000" w:rsidP="00000000" w:rsidRDefault="00000000" w:rsidRPr="00000000" w14:paraId="0000005F">
            <w:pPr>
              <w:spacing w:after="160" w:line="360" w:lineRule="auto"/>
              <w:jc w:val="both"/>
              <w:rPr>
                <w:b w:val="1"/>
              </w:rPr>
            </w:pPr>
            <w:r w:rsidDel="00000000" w:rsidR="00000000" w:rsidRPr="00000000">
              <w:rPr>
                <w:b w:val="1"/>
                <w:rtl w:val="0"/>
              </w:rPr>
              <w:t xml:space="preserve">Key Performance Indicator</w:t>
            </w:r>
          </w:p>
        </w:tc>
        <w:tc>
          <w:tcPr/>
          <w:p w:rsidR="00000000" w:rsidDel="00000000" w:rsidP="00000000" w:rsidRDefault="00000000" w:rsidRPr="00000000" w14:paraId="00000060">
            <w:pPr>
              <w:spacing w:after="160" w:line="360" w:lineRule="auto"/>
              <w:jc w:val="both"/>
              <w:rPr>
                <w:b w:val="1"/>
              </w:rPr>
            </w:pPr>
            <w:r w:rsidDel="00000000" w:rsidR="00000000" w:rsidRPr="00000000">
              <w:rPr>
                <w:b w:val="1"/>
                <w:rtl w:val="0"/>
              </w:rPr>
              <w:t xml:space="preserve">Target (Year 3)</w:t>
            </w:r>
          </w:p>
        </w:tc>
      </w:tr>
      <w:tr>
        <w:trPr>
          <w:cantSplit w:val="0"/>
          <w:tblHeader w:val="0"/>
        </w:trPr>
        <w:tc>
          <w:tcPr/>
          <w:p w:rsidR="00000000" w:rsidDel="00000000" w:rsidP="00000000" w:rsidRDefault="00000000" w:rsidRPr="00000000" w14:paraId="00000061">
            <w:pPr>
              <w:spacing w:after="160" w:line="360" w:lineRule="auto"/>
              <w:jc w:val="both"/>
              <w:rPr/>
            </w:pPr>
            <w:r w:rsidDel="00000000" w:rsidR="00000000" w:rsidRPr="00000000">
              <w:rPr>
                <w:rtl w:val="0"/>
              </w:rPr>
              <w:t xml:space="preserve">Omnichannel Integration</w:t>
            </w:r>
          </w:p>
        </w:tc>
        <w:tc>
          <w:tcPr/>
          <w:p w:rsidR="00000000" w:rsidDel="00000000" w:rsidP="00000000" w:rsidRDefault="00000000" w:rsidRPr="00000000" w14:paraId="00000062">
            <w:pPr>
              <w:spacing w:after="160" w:line="360" w:lineRule="auto"/>
              <w:jc w:val="both"/>
              <w:rPr/>
            </w:pPr>
            <w:r w:rsidDel="00000000" w:rsidR="00000000" w:rsidRPr="00000000">
              <w:rPr>
                <w:rtl w:val="0"/>
              </w:rPr>
              <w:t xml:space="preserve">Customer satisfaction score across channels</w:t>
            </w:r>
          </w:p>
        </w:tc>
        <w:tc>
          <w:tcPr/>
          <w:p w:rsidR="00000000" w:rsidDel="00000000" w:rsidP="00000000" w:rsidRDefault="00000000" w:rsidRPr="00000000" w14:paraId="00000063">
            <w:pPr>
              <w:spacing w:after="160" w:line="360" w:lineRule="auto"/>
              <w:jc w:val="both"/>
              <w:rPr/>
            </w:pPr>
            <w:r w:rsidDel="00000000" w:rsidR="00000000" w:rsidRPr="00000000">
              <w:rPr>
                <w:rtl w:val="0"/>
              </w:rPr>
              <w:t xml:space="preserve">85% positive rating</w:t>
            </w:r>
          </w:p>
        </w:tc>
      </w:tr>
      <w:tr>
        <w:trPr>
          <w:cantSplit w:val="0"/>
          <w:tblHeader w:val="0"/>
        </w:trPr>
        <w:tc>
          <w:tcPr/>
          <w:p w:rsidR="00000000" w:rsidDel="00000000" w:rsidP="00000000" w:rsidRDefault="00000000" w:rsidRPr="00000000" w14:paraId="00000064">
            <w:pPr>
              <w:spacing w:after="160" w:line="360" w:lineRule="auto"/>
              <w:jc w:val="both"/>
              <w:rPr/>
            </w:pPr>
            <w:r w:rsidDel="00000000" w:rsidR="00000000" w:rsidRPr="00000000">
              <w:rPr>
                <w:rtl w:val="0"/>
              </w:rPr>
              <w:t xml:space="preserve">Digital Revenue Growth</w:t>
            </w:r>
          </w:p>
        </w:tc>
        <w:tc>
          <w:tcPr/>
          <w:p w:rsidR="00000000" w:rsidDel="00000000" w:rsidP="00000000" w:rsidRDefault="00000000" w:rsidRPr="00000000" w14:paraId="00000065">
            <w:pPr>
              <w:spacing w:after="160" w:line="360" w:lineRule="auto"/>
              <w:jc w:val="both"/>
              <w:rPr/>
            </w:pPr>
            <w:r w:rsidDel="00000000" w:rsidR="00000000" w:rsidRPr="00000000">
              <w:rPr>
                <w:rtl w:val="0"/>
              </w:rPr>
              <w:t xml:space="preserve">Online sales as percentage of total revenue</w:t>
            </w:r>
          </w:p>
        </w:tc>
        <w:tc>
          <w:tcPr/>
          <w:p w:rsidR="00000000" w:rsidDel="00000000" w:rsidP="00000000" w:rsidRDefault="00000000" w:rsidRPr="00000000" w14:paraId="00000066">
            <w:pPr>
              <w:spacing w:after="160" w:line="360" w:lineRule="auto"/>
              <w:jc w:val="both"/>
              <w:rPr/>
            </w:pPr>
            <w:r w:rsidDel="00000000" w:rsidR="00000000" w:rsidRPr="00000000">
              <w:rPr>
                <w:rtl w:val="0"/>
              </w:rPr>
              <w:t xml:space="preserve">25% of total sales</w:t>
            </w:r>
          </w:p>
        </w:tc>
      </w:tr>
      <w:tr>
        <w:trPr>
          <w:cantSplit w:val="0"/>
          <w:tblHeader w:val="0"/>
        </w:trPr>
        <w:tc>
          <w:tcPr/>
          <w:p w:rsidR="00000000" w:rsidDel="00000000" w:rsidP="00000000" w:rsidRDefault="00000000" w:rsidRPr="00000000" w14:paraId="00000067">
            <w:pPr>
              <w:spacing w:after="160" w:line="360" w:lineRule="auto"/>
              <w:jc w:val="both"/>
              <w:rPr/>
            </w:pPr>
            <w:r w:rsidDel="00000000" w:rsidR="00000000" w:rsidRPr="00000000">
              <w:rPr>
                <w:rtl w:val="0"/>
              </w:rPr>
              <w:t xml:space="preserve">Operational Efficiency</w:t>
            </w:r>
          </w:p>
        </w:tc>
        <w:tc>
          <w:tcPr/>
          <w:p w:rsidR="00000000" w:rsidDel="00000000" w:rsidP="00000000" w:rsidRDefault="00000000" w:rsidRPr="00000000" w14:paraId="00000068">
            <w:pPr>
              <w:spacing w:after="160" w:line="360" w:lineRule="auto"/>
              <w:jc w:val="both"/>
              <w:rPr/>
            </w:pPr>
            <w:r w:rsidDel="00000000" w:rsidR="00000000" w:rsidRPr="00000000">
              <w:rPr>
                <w:rtl w:val="0"/>
              </w:rPr>
              <w:t xml:space="preserve">Cost-to-serve reduction through automation</w:t>
            </w:r>
          </w:p>
        </w:tc>
        <w:tc>
          <w:tcPr/>
          <w:p w:rsidR="00000000" w:rsidDel="00000000" w:rsidP="00000000" w:rsidRDefault="00000000" w:rsidRPr="00000000" w14:paraId="00000069">
            <w:pPr>
              <w:spacing w:after="160" w:line="360" w:lineRule="auto"/>
              <w:jc w:val="both"/>
              <w:rPr/>
            </w:pPr>
            <w:r w:rsidDel="00000000" w:rsidR="00000000" w:rsidRPr="00000000">
              <w:rPr>
                <w:rtl w:val="0"/>
              </w:rPr>
              <w:t xml:space="preserve">15% cost reduction</w:t>
            </w:r>
          </w:p>
        </w:tc>
      </w:tr>
      <w:tr>
        <w:trPr>
          <w:cantSplit w:val="0"/>
          <w:tblHeader w:val="0"/>
        </w:trPr>
        <w:tc>
          <w:tcPr/>
          <w:p w:rsidR="00000000" w:rsidDel="00000000" w:rsidP="00000000" w:rsidRDefault="00000000" w:rsidRPr="00000000" w14:paraId="0000006A">
            <w:pPr>
              <w:spacing w:after="160" w:line="360" w:lineRule="auto"/>
              <w:jc w:val="both"/>
              <w:rPr/>
            </w:pPr>
            <w:r w:rsidDel="00000000" w:rsidR="00000000" w:rsidRPr="00000000">
              <w:rPr>
                <w:rtl w:val="0"/>
              </w:rPr>
              <w:t xml:space="preserve">Technology Capability</w:t>
            </w:r>
          </w:p>
        </w:tc>
        <w:tc>
          <w:tcPr/>
          <w:p w:rsidR="00000000" w:rsidDel="00000000" w:rsidP="00000000" w:rsidRDefault="00000000" w:rsidRPr="00000000" w14:paraId="0000006B">
            <w:pPr>
              <w:spacing w:after="160" w:line="360" w:lineRule="auto"/>
              <w:jc w:val="both"/>
              <w:rPr/>
            </w:pPr>
            <w:r w:rsidDel="00000000" w:rsidR="00000000" w:rsidRPr="00000000">
              <w:rPr>
                <w:rtl w:val="0"/>
              </w:rPr>
              <w:t xml:space="preserve">AI-driven personalisation adoption rate</w:t>
            </w:r>
          </w:p>
        </w:tc>
        <w:tc>
          <w:tcPr/>
          <w:p w:rsidR="00000000" w:rsidDel="00000000" w:rsidP="00000000" w:rsidRDefault="00000000" w:rsidRPr="00000000" w14:paraId="0000006C">
            <w:pPr>
              <w:spacing w:after="160" w:line="360" w:lineRule="auto"/>
              <w:jc w:val="both"/>
              <w:rPr/>
            </w:pPr>
            <w:r w:rsidDel="00000000" w:rsidR="00000000" w:rsidRPr="00000000">
              <w:rPr>
                <w:rtl w:val="0"/>
              </w:rPr>
              <w:t xml:space="preserve">70% customer base</w:t>
            </w:r>
          </w:p>
        </w:tc>
      </w:tr>
      <w:tr>
        <w:trPr>
          <w:cantSplit w:val="0"/>
          <w:tblHeader w:val="0"/>
        </w:trPr>
        <w:tc>
          <w:tcPr/>
          <w:p w:rsidR="00000000" w:rsidDel="00000000" w:rsidP="00000000" w:rsidRDefault="00000000" w:rsidRPr="00000000" w14:paraId="0000006D">
            <w:pPr>
              <w:spacing w:after="160" w:line="360" w:lineRule="auto"/>
              <w:jc w:val="both"/>
              <w:rPr/>
            </w:pPr>
            <w:r w:rsidDel="00000000" w:rsidR="00000000" w:rsidRPr="00000000">
              <w:rPr>
                <w:rtl w:val="0"/>
              </w:rPr>
              <w:t xml:space="preserve">Employee Capability</w:t>
            </w:r>
          </w:p>
        </w:tc>
        <w:tc>
          <w:tcPr/>
          <w:p w:rsidR="00000000" w:rsidDel="00000000" w:rsidP="00000000" w:rsidRDefault="00000000" w:rsidRPr="00000000" w14:paraId="0000006E">
            <w:pPr>
              <w:spacing w:after="160" w:line="360" w:lineRule="auto"/>
              <w:jc w:val="both"/>
              <w:rPr/>
            </w:pPr>
            <w:r w:rsidDel="00000000" w:rsidR="00000000" w:rsidRPr="00000000">
              <w:rPr>
                <w:rtl w:val="0"/>
              </w:rPr>
              <w:t xml:space="preserve">Digital skills proficiency assessment</w:t>
            </w:r>
          </w:p>
        </w:tc>
        <w:tc>
          <w:tcPr/>
          <w:p w:rsidR="00000000" w:rsidDel="00000000" w:rsidP="00000000" w:rsidRDefault="00000000" w:rsidRPr="00000000" w14:paraId="0000006F">
            <w:pPr>
              <w:spacing w:after="160" w:line="360" w:lineRule="auto"/>
              <w:jc w:val="both"/>
              <w:rPr/>
            </w:pPr>
            <w:r w:rsidDel="00000000" w:rsidR="00000000" w:rsidRPr="00000000">
              <w:rPr>
                <w:rtl w:val="0"/>
              </w:rPr>
              <w:t xml:space="preserve">80% workforce certified</w:t>
            </w:r>
          </w:p>
        </w:tc>
      </w:tr>
      <w:tr>
        <w:trPr>
          <w:cantSplit w:val="0"/>
          <w:tblHeader w:val="0"/>
        </w:trPr>
        <w:tc>
          <w:tcPr/>
          <w:p w:rsidR="00000000" w:rsidDel="00000000" w:rsidP="00000000" w:rsidRDefault="00000000" w:rsidRPr="00000000" w14:paraId="00000070">
            <w:pPr>
              <w:spacing w:after="160" w:line="360" w:lineRule="auto"/>
              <w:jc w:val="both"/>
              <w:rPr/>
            </w:pPr>
            <w:r w:rsidDel="00000000" w:rsidR="00000000" w:rsidRPr="00000000">
              <w:rPr>
                <w:rtl w:val="0"/>
              </w:rPr>
              <w:t xml:space="preserve">Customer Retention</w:t>
            </w:r>
          </w:p>
        </w:tc>
        <w:tc>
          <w:tcPr/>
          <w:p w:rsidR="00000000" w:rsidDel="00000000" w:rsidP="00000000" w:rsidRDefault="00000000" w:rsidRPr="00000000" w14:paraId="00000071">
            <w:pPr>
              <w:spacing w:after="160" w:line="360" w:lineRule="auto"/>
              <w:jc w:val="both"/>
              <w:rPr/>
            </w:pPr>
            <w:r w:rsidDel="00000000" w:rsidR="00000000" w:rsidRPr="00000000">
              <w:rPr>
                <w:rtl w:val="0"/>
              </w:rPr>
              <w:t xml:space="preserve">Repeat purchase frequency omnichannel users</w:t>
            </w:r>
          </w:p>
        </w:tc>
        <w:tc>
          <w:tcPr/>
          <w:p w:rsidR="00000000" w:rsidDel="00000000" w:rsidP="00000000" w:rsidRDefault="00000000" w:rsidRPr="00000000" w14:paraId="00000072">
            <w:pPr>
              <w:spacing w:after="160" w:line="360" w:lineRule="auto"/>
              <w:jc w:val="both"/>
              <w:rPr/>
            </w:pPr>
            <w:r w:rsidDel="00000000" w:rsidR="00000000" w:rsidRPr="00000000">
              <w:rPr>
                <w:rtl w:val="0"/>
              </w:rPr>
              <w:t xml:space="preserve">30% increase</w:t>
            </w:r>
          </w:p>
        </w:tc>
      </w:tr>
    </w:tbl>
    <w:p w:rsidR="00000000" w:rsidDel="00000000" w:rsidP="00000000" w:rsidRDefault="00000000" w:rsidRPr="00000000" w14:paraId="00000073">
      <w:pPr>
        <w:pStyle w:val="Heading2"/>
        <w:rPr/>
      </w:pPr>
      <w:bookmarkStart w:colFirst="0" w:colLast="0" w:name="_ivfkvof6djf2" w:id="16"/>
      <w:bookmarkEnd w:id="16"/>
      <w:r w:rsidDel="00000000" w:rsidR="00000000" w:rsidRPr="00000000">
        <w:rPr>
          <w:rtl w:val="0"/>
        </w:rPr>
        <w:t xml:space="preserve">Financial Plan and Investment Requirements</w:t>
      </w:r>
    </w:p>
    <w:p w:rsidR="00000000" w:rsidDel="00000000" w:rsidP="00000000" w:rsidRDefault="00000000" w:rsidRPr="00000000" w14:paraId="00000074">
      <w:pPr>
        <w:spacing w:line="360" w:lineRule="auto"/>
        <w:jc w:val="both"/>
        <w:rPr/>
      </w:pPr>
      <w:r w:rsidDel="00000000" w:rsidR="00000000" w:rsidRPr="00000000">
        <w:rPr>
          <w:rtl w:val="0"/>
        </w:rPr>
        <w:t xml:space="preserve">The financial planning has specific priorities of allocating financial resources in regard to technology infrastructure, capability development, and operational transformation. Digital transformation is an intensive investment in the short-term whereby returns are realised over years of multi-year capital investment. The choice of technology investments is on the development of omnichannel platforms, the implementation of AI and data analytics options that facilitate the ability to create a competitive difference (Lu et al., 2023). Improved infrastructure facilitates higher order fulfilment and delivery processes online using automated warehouses and last-mile logistics. The skills required to work with digital operations bridging existing ability gaps are built via employee training programmes (Deng &amp; Yi, 2025). The change management activities must be allocated specific budget to communication, engaging with the stakeholders, and professional knowledge to complement the internal resources. Financial modelling can be considered a positive ROF in terms of revenue increase and cost-effectiveness to warrant heavy investment (Sharma et al., 2024). Phased investment plan regulates the cash flow and sustains the business stability in transformation without financial strain.</w:t>
      </w:r>
    </w:p>
    <w:p w:rsidR="00000000" w:rsidDel="00000000" w:rsidP="00000000" w:rsidRDefault="00000000" w:rsidRPr="00000000" w14:paraId="00000075">
      <w:pPr>
        <w:spacing w:line="360" w:lineRule="auto"/>
        <w:jc w:val="both"/>
        <w:rPr/>
      </w:pPr>
      <w:r w:rsidDel="00000000" w:rsidR="00000000" w:rsidRPr="00000000">
        <w:rPr>
          <w:b w:val="1"/>
          <w:rtl w:val="0"/>
        </w:rPr>
        <w:t xml:space="preserve">Table 2: Three-Year Financial Plan (£ millions)</w:t>
      </w:r>
      <w:r w:rsidDel="00000000" w:rsidR="00000000" w:rsidRPr="00000000">
        <w:rPr>
          <w:rtl w:val="0"/>
        </w:rPr>
      </w:r>
    </w:p>
    <w:tbl>
      <w:tblPr>
        <w:tblStyle w:val="Table2"/>
        <w:tblW w:w="7580.000000000001"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223"/>
        <w:gridCol w:w="872"/>
        <w:gridCol w:w="872"/>
        <w:gridCol w:w="872"/>
        <w:gridCol w:w="741"/>
        <w:tblGridChange w:id="0">
          <w:tblGrid>
            <w:gridCol w:w="4223"/>
            <w:gridCol w:w="872"/>
            <w:gridCol w:w="872"/>
            <w:gridCol w:w="872"/>
            <w:gridCol w:w="741"/>
          </w:tblGrid>
        </w:tblGridChange>
      </w:tblGrid>
      <w:tr>
        <w:trPr>
          <w:cantSplit w:val="0"/>
          <w:tblHeader w:val="0"/>
        </w:trPr>
        <w:tc>
          <w:tcPr/>
          <w:p w:rsidR="00000000" w:rsidDel="00000000" w:rsidP="00000000" w:rsidRDefault="00000000" w:rsidRPr="00000000" w14:paraId="00000076">
            <w:pPr>
              <w:spacing w:after="160" w:line="360" w:lineRule="auto"/>
              <w:jc w:val="both"/>
              <w:rPr>
                <w:b w:val="1"/>
              </w:rPr>
            </w:pPr>
            <w:r w:rsidDel="00000000" w:rsidR="00000000" w:rsidRPr="00000000">
              <w:rPr>
                <w:b w:val="1"/>
                <w:rtl w:val="0"/>
              </w:rPr>
              <w:t xml:space="preserve">Investment Category</w:t>
            </w:r>
          </w:p>
        </w:tc>
        <w:tc>
          <w:tcPr/>
          <w:p w:rsidR="00000000" w:rsidDel="00000000" w:rsidP="00000000" w:rsidRDefault="00000000" w:rsidRPr="00000000" w14:paraId="00000077">
            <w:pPr>
              <w:spacing w:after="160" w:line="360" w:lineRule="auto"/>
              <w:jc w:val="both"/>
              <w:rPr>
                <w:b w:val="1"/>
              </w:rPr>
            </w:pPr>
            <w:r w:rsidDel="00000000" w:rsidR="00000000" w:rsidRPr="00000000">
              <w:rPr>
                <w:b w:val="1"/>
                <w:rtl w:val="0"/>
              </w:rPr>
              <w:t xml:space="preserve">Year 1</w:t>
            </w:r>
          </w:p>
        </w:tc>
        <w:tc>
          <w:tcPr/>
          <w:p w:rsidR="00000000" w:rsidDel="00000000" w:rsidP="00000000" w:rsidRDefault="00000000" w:rsidRPr="00000000" w14:paraId="00000078">
            <w:pPr>
              <w:spacing w:after="160" w:line="360" w:lineRule="auto"/>
              <w:jc w:val="both"/>
              <w:rPr>
                <w:b w:val="1"/>
              </w:rPr>
            </w:pPr>
            <w:r w:rsidDel="00000000" w:rsidR="00000000" w:rsidRPr="00000000">
              <w:rPr>
                <w:b w:val="1"/>
                <w:rtl w:val="0"/>
              </w:rPr>
              <w:t xml:space="preserve">Year 2</w:t>
            </w:r>
          </w:p>
        </w:tc>
        <w:tc>
          <w:tcPr/>
          <w:p w:rsidR="00000000" w:rsidDel="00000000" w:rsidP="00000000" w:rsidRDefault="00000000" w:rsidRPr="00000000" w14:paraId="00000079">
            <w:pPr>
              <w:spacing w:after="160" w:line="360" w:lineRule="auto"/>
              <w:jc w:val="both"/>
              <w:rPr>
                <w:b w:val="1"/>
              </w:rPr>
            </w:pPr>
            <w:r w:rsidDel="00000000" w:rsidR="00000000" w:rsidRPr="00000000">
              <w:rPr>
                <w:b w:val="1"/>
                <w:rtl w:val="0"/>
              </w:rPr>
              <w:t xml:space="preserve">Year 3</w:t>
            </w:r>
          </w:p>
        </w:tc>
        <w:tc>
          <w:tcPr/>
          <w:p w:rsidR="00000000" w:rsidDel="00000000" w:rsidP="00000000" w:rsidRDefault="00000000" w:rsidRPr="00000000" w14:paraId="0000007A">
            <w:pPr>
              <w:spacing w:after="160" w:line="360" w:lineRule="auto"/>
              <w:jc w:val="both"/>
              <w:rPr>
                <w:b w:val="1"/>
              </w:rPr>
            </w:pPr>
            <w:r w:rsidDel="00000000" w:rsidR="00000000" w:rsidRPr="00000000">
              <w:rPr>
                <w:b w:val="1"/>
                <w:rtl w:val="0"/>
              </w:rPr>
              <w:t xml:space="preserve">Total</w:t>
            </w:r>
          </w:p>
        </w:tc>
      </w:tr>
      <w:tr>
        <w:trPr>
          <w:cantSplit w:val="0"/>
          <w:tblHeader w:val="0"/>
        </w:trPr>
        <w:tc>
          <w:tcPr/>
          <w:p w:rsidR="00000000" w:rsidDel="00000000" w:rsidP="00000000" w:rsidRDefault="00000000" w:rsidRPr="00000000" w14:paraId="0000007B">
            <w:pPr>
              <w:spacing w:after="160" w:line="360" w:lineRule="auto"/>
              <w:jc w:val="both"/>
              <w:rPr/>
            </w:pPr>
            <w:r w:rsidDel="00000000" w:rsidR="00000000" w:rsidRPr="00000000">
              <w:rPr>
                <w:rtl w:val="0"/>
              </w:rPr>
              <w:t xml:space="preserve">Technology Infrastructure</w:t>
            </w:r>
          </w:p>
        </w:tc>
        <w:tc>
          <w:tcPr/>
          <w:p w:rsidR="00000000" w:rsidDel="00000000" w:rsidP="00000000" w:rsidRDefault="00000000" w:rsidRPr="00000000" w14:paraId="0000007C">
            <w:pPr>
              <w:spacing w:after="160" w:line="360" w:lineRule="auto"/>
              <w:jc w:val="both"/>
              <w:rPr/>
            </w:pPr>
            <w:r w:rsidDel="00000000" w:rsidR="00000000" w:rsidRPr="00000000">
              <w:rPr>
                <w:rtl w:val="0"/>
              </w:rPr>
              <w:t xml:space="preserve">150</w:t>
            </w:r>
          </w:p>
        </w:tc>
        <w:tc>
          <w:tcPr/>
          <w:p w:rsidR="00000000" w:rsidDel="00000000" w:rsidP="00000000" w:rsidRDefault="00000000" w:rsidRPr="00000000" w14:paraId="0000007D">
            <w:pPr>
              <w:spacing w:after="160" w:line="360" w:lineRule="auto"/>
              <w:jc w:val="both"/>
              <w:rPr/>
            </w:pPr>
            <w:r w:rsidDel="00000000" w:rsidR="00000000" w:rsidRPr="00000000">
              <w:rPr>
                <w:rtl w:val="0"/>
              </w:rPr>
              <w:t xml:space="preserve">120</w:t>
            </w:r>
          </w:p>
        </w:tc>
        <w:tc>
          <w:tcPr/>
          <w:p w:rsidR="00000000" w:rsidDel="00000000" w:rsidP="00000000" w:rsidRDefault="00000000" w:rsidRPr="00000000" w14:paraId="0000007E">
            <w:pPr>
              <w:spacing w:after="160" w:line="360" w:lineRule="auto"/>
              <w:jc w:val="both"/>
              <w:rPr/>
            </w:pPr>
            <w:r w:rsidDel="00000000" w:rsidR="00000000" w:rsidRPr="00000000">
              <w:rPr>
                <w:rtl w:val="0"/>
              </w:rPr>
              <w:t xml:space="preserve">80</w:t>
            </w:r>
          </w:p>
        </w:tc>
        <w:tc>
          <w:tcPr/>
          <w:p w:rsidR="00000000" w:rsidDel="00000000" w:rsidP="00000000" w:rsidRDefault="00000000" w:rsidRPr="00000000" w14:paraId="0000007F">
            <w:pPr>
              <w:spacing w:after="160" w:line="360" w:lineRule="auto"/>
              <w:jc w:val="both"/>
              <w:rPr/>
            </w:pPr>
            <w:r w:rsidDel="00000000" w:rsidR="00000000" w:rsidRPr="00000000">
              <w:rPr>
                <w:rtl w:val="0"/>
              </w:rPr>
              <w:t xml:space="preserve">350</w:t>
            </w:r>
          </w:p>
        </w:tc>
      </w:tr>
      <w:tr>
        <w:trPr>
          <w:cantSplit w:val="0"/>
          <w:tblHeader w:val="0"/>
        </w:trPr>
        <w:tc>
          <w:tcPr/>
          <w:p w:rsidR="00000000" w:rsidDel="00000000" w:rsidP="00000000" w:rsidRDefault="00000000" w:rsidRPr="00000000" w14:paraId="00000080">
            <w:pPr>
              <w:spacing w:after="160" w:line="360" w:lineRule="auto"/>
              <w:jc w:val="both"/>
              <w:rPr/>
            </w:pPr>
            <w:r w:rsidDel="00000000" w:rsidR="00000000" w:rsidRPr="00000000">
              <w:rPr>
                <w:rtl w:val="0"/>
              </w:rPr>
              <w:t xml:space="preserve">AI and Analytics Systems</w:t>
            </w:r>
          </w:p>
        </w:tc>
        <w:tc>
          <w:tcPr/>
          <w:p w:rsidR="00000000" w:rsidDel="00000000" w:rsidP="00000000" w:rsidRDefault="00000000" w:rsidRPr="00000000" w14:paraId="00000081">
            <w:pPr>
              <w:spacing w:after="160" w:line="360" w:lineRule="auto"/>
              <w:jc w:val="both"/>
              <w:rPr/>
            </w:pPr>
            <w:r w:rsidDel="00000000" w:rsidR="00000000" w:rsidRPr="00000000">
              <w:rPr>
                <w:rtl w:val="0"/>
              </w:rPr>
              <w:t xml:space="preserve">80</w:t>
            </w:r>
          </w:p>
        </w:tc>
        <w:tc>
          <w:tcPr/>
          <w:p w:rsidR="00000000" w:rsidDel="00000000" w:rsidP="00000000" w:rsidRDefault="00000000" w:rsidRPr="00000000" w14:paraId="00000082">
            <w:pPr>
              <w:spacing w:after="160" w:line="360" w:lineRule="auto"/>
              <w:jc w:val="both"/>
              <w:rPr/>
            </w:pPr>
            <w:r w:rsidDel="00000000" w:rsidR="00000000" w:rsidRPr="00000000">
              <w:rPr>
                <w:rtl w:val="0"/>
              </w:rPr>
              <w:t xml:space="preserve">60</w:t>
            </w:r>
          </w:p>
        </w:tc>
        <w:tc>
          <w:tcPr/>
          <w:p w:rsidR="00000000" w:rsidDel="00000000" w:rsidP="00000000" w:rsidRDefault="00000000" w:rsidRPr="00000000" w14:paraId="00000083">
            <w:pPr>
              <w:spacing w:after="160" w:line="360" w:lineRule="auto"/>
              <w:jc w:val="both"/>
              <w:rPr/>
            </w:pPr>
            <w:r w:rsidDel="00000000" w:rsidR="00000000" w:rsidRPr="00000000">
              <w:rPr>
                <w:rtl w:val="0"/>
              </w:rPr>
              <w:t xml:space="preserve">40</w:t>
            </w:r>
          </w:p>
        </w:tc>
        <w:tc>
          <w:tcPr/>
          <w:p w:rsidR="00000000" w:rsidDel="00000000" w:rsidP="00000000" w:rsidRDefault="00000000" w:rsidRPr="00000000" w14:paraId="00000084">
            <w:pPr>
              <w:spacing w:after="160" w:line="360" w:lineRule="auto"/>
              <w:jc w:val="both"/>
              <w:rPr/>
            </w:pPr>
            <w:r w:rsidDel="00000000" w:rsidR="00000000" w:rsidRPr="00000000">
              <w:rPr>
                <w:rtl w:val="0"/>
              </w:rPr>
              <w:t xml:space="preserve">180</w:t>
            </w:r>
          </w:p>
        </w:tc>
      </w:tr>
      <w:tr>
        <w:trPr>
          <w:cantSplit w:val="0"/>
          <w:tblHeader w:val="0"/>
        </w:trPr>
        <w:tc>
          <w:tcPr/>
          <w:p w:rsidR="00000000" w:rsidDel="00000000" w:rsidP="00000000" w:rsidRDefault="00000000" w:rsidRPr="00000000" w14:paraId="00000085">
            <w:pPr>
              <w:spacing w:after="160" w:line="360" w:lineRule="auto"/>
              <w:jc w:val="both"/>
              <w:rPr/>
            </w:pPr>
            <w:r w:rsidDel="00000000" w:rsidR="00000000" w:rsidRPr="00000000">
              <w:rPr>
                <w:rtl w:val="0"/>
              </w:rPr>
              <w:t xml:space="preserve">Fulfilment Centre Development</w:t>
            </w:r>
          </w:p>
        </w:tc>
        <w:tc>
          <w:tcPr/>
          <w:p w:rsidR="00000000" w:rsidDel="00000000" w:rsidP="00000000" w:rsidRDefault="00000000" w:rsidRPr="00000000" w14:paraId="00000086">
            <w:pPr>
              <w:spacing w:after="160" w:line="360" w:lineRule="auto"/>
              <w:jc w:val="both"/>
              <w:rPr/>
            </w:pPr>
            <w:r w:rsidDel="00000000" w:rsidR="00000000" w:rsidRPr="00000000">
              <w:rPr>
                <w:rtl w:val="0"/>
              </w:rPr>
              <w:t xml:space="preserve">100</w:t>
            </w:r>
          </w:p>
        </w:tc>
        <w:tc>
          <w:tcPr/>
          <w:p w:rsidR="00000000" w:rsidDel="00000000" w:rsidP="00000000" w:rsidRDefault="00000000" w:rsidRPr="00000000" w14:paraId="00000087">
            <w:pPr>
              <w:spacing w:after="160" w:line="360" w:lineRule="auto"/>
              <w:jc w:val="both"/>
              <w:rPr/>
            </w:pPr>
            <w:r w:rsidDel="00000000" w:rsidR="00000000" w:rsidRPr="00000000">
              <w:rPr>
                <w:rtl w:val="0"/>
              </w:rPr>
              <w:t xml:space="preserve">80</w:t>
            </w:r>
          </w:p>
        </w:tc>
        <w:tc>
          <w:tcPr/>
          <w:p w:rsidR="00000000" w:rsidDel="00000000" w:rsidP="00000000" w:rsidRDefault="00000000" w:rsidRPr="00000000" w14:paraId="00000088">
            <w:pPr>
              <w:spacing w:after="160" w:line="360" w:lineRule="auto"/>
              <w:jc w:val="both"/>
              <w:rPr/>
            </w:pPr>
            <w:r w:rsidDel="00000000" w:rsidR="00000000" w:rsidRPr="00000000">
              <w:rPr>
                <w:rtl w:val="0"/>
              </w:rPr>
              <w:t xml:space="preserve">50</w:t>
            </w:r>
          </w:p>
        </w:tc>
        <w:tc>
          <w:tcPr/>
          <w:p w:rsidR="00000000" w:rsidDel="00000000" w:rsidP="00000000" w:rsidRDefault="00000000" w:rsidRPr="00000000" w14:paraId="00000089">
            <w:pPr>
              <w:spacing w:after="160" w:line="360" w:lineRule="auto"/>
              <w:jc w:val="both"/>
              <w:rPr/>
            </w:pPr>
            <w:r w:rsidDel="00000000" w:rsidR="00000000" w:rsidRPr="00000000">
              <w:rPr>
                <w:rtl w:val="0"/>
              </w:rPr>
              <w:t xml:space="preserve">230</w:t>
            </w:r>
          </w:p>
        </w:tc>
      </w:tr>
      <w:tr>
        <w:trPr>
          <w:cantSplit w:val="0"/>
          <w:tblHeader w:val="0"/>
        </w:trPr>
        <w:tc>
          <w:tcPr/>
          <w:p w:rsidR="00000000" w:rsidDel="00000000" w:rsidP="00000000" w:rsidRDefault="00000000" w:rsidRPr="00000000" w14:paraId="0000008A">
            <w:pPr>
              <w:spacing w:after="160" w:line="360" w:lineRule="auto"/>
              <w:jc w:val="both"/>
              <w:rPr/>
            </w:pPr>
            <w:r w:rsidDel="00000000" w:rsidR="00000000" w:rsidRPr="00000000">
              <w:rPr>
                <w:rtl w:val="0"/>
              </w:rPr>
              <w:t xml:space="preserve">Employee Training and Development</w:t>
            </w:r>
          </w:p>
        </w:tc>
        <w:tc>
          <w:tcPr/>
          <w:p w:rsidR="00000000" w:rsidDel="00000000" w:rsidP="00000000" w:rsidRDefault="00000000" w:rsidRPr="00000000" w14:paraId="0000008B">
            <w:pPr>
              <w:spacing w:after="160" w:line="360" w:lineRule="auto"/>
              <w:jc w:val="both"/>
              <w:rPr/>
            </w:pPr>
            <w:r w:rsidDel="00000000" w:rsidR="00000000" w:rsidRPr="00000000">
              <w:rPr>
                <w:rtl w:val="0"/>
              </w:rPr>
              <w:t xml:space="preserve">40</w:t>
            </w:r>
          </w:p>
        </w:tc>
        <w:tc>
          <w:tcPr/>
          <w:p w:rsidR="00000000" w:rsidDel="00000000" w:rsidP="00000000" w:rsidRDefault="00000000" w:rsidRPr="00000000" w14:paraId="0000008C">
            <w:pPr>
              <w:spacing w:after="160" w:line="360" w:lineRule="auto"/>
              <w:jc w:val="both"/>
              <w:rPr/>
            </w:pPr>
            <w:r w:rsidDel="00000000" w:rsidR="00000000" w:rsidRPr="00000000">
              <w:rPr>
                <w:rtl w:val="0"/>
              </w:rPr>
              <w:t xml:space="preserve">35</w:t>
            </w:r>
          </w:p>
        </w:tc>
        <w:tc>
          <w:tcPr/>
          <w:p w:rsidR="00000000" w:rsidDel="00000000" w:rsidP="00000000" w:rsidRDefault="00000000" w:rsidRPr="00000000" w14:paraId="0000008D">
            <w:pPr>
              <w:spacing w:after="160" w:line="360" w:lineRule="auto"/>
              <w:jc w:val="both"/>
              <w:rPr/>
            </w:pPr>
            <w:r w:rsidDel="00000000" w:rsidR="00000000" w:rsidRPr="00000000">
              <w:rPr>
                <w:rtl w:val="0"/>
              </w:rPr>
              <w:t xml:space="preserve">25</w:t>
            </w:r>
          </w:p>
        </w:tc>
        <w:tc>
          <w:tcPr/>
          <w:p w:rsidR="00000000" w:rsidDel="00000000" w:rsidP="00000000" w:rsidRDefault="00000000" w:rsidRPr="00000000" w14:paraId="0000008E">
            <w:pPr>
              <w:spacing w:after="160" w:line="360" w:lineRule="auto"/>
              <w:jc w:val="both"/>
              <w:rPr/>
            </w:pPr>
            <w:r w:rsidDel="00000000" w:rsidR="00000000" w:rsidRPr="00000000">
              <w:rPr>
                <w:rtl w:val="0"/>
              </w:rPr>
              <w:t xml:space="preserve">100</w:t>
            </w:r>
          </w:p>
        </w:tc>
      </w:tr>
      <w:tr>
        <w:trPr>
          <w:cantSplit w:val="0"/>
          <w:tblHeader w:val="0"/>
        </w:trPr>
        <w:tc>
          <w:tcPr/>
          <w:p w:rsidR="00000000" w:rsidDel="00000000" w:rsidP="00000000" w:rsidRDefault="00000000" w:rsidRPr="00000000" w14:paraId="0000008F">
            <w:pPr>
              <w:spacing w:after="160" w:line="360" w:lineRule="auto"/>
              <w:jc w:val="both"/>
              <w:rPr/>
            </w:pPr>
            <w:r w:rsidDel="00000000" w:rsidR="00000000" w:rsidRPr="00000000">
              <w:rPr>
                <w:rtl w:val="0"/>
              </w:rPr>
              <w:t xml:space="preserve">Change Management Programme</w:t>
            </w:r>
          </w:p>
        </w:tc>
        <w:tc>
          <w:tcPr/>
          <w:p w:rsidR="00000000" w:rsidDel="00000000" w:rsidP="00000000" w:rsidRDefault="00000000" w:rsidRPr="00000000" w14:paraId="00000090">
            <w:pPr>
              <w:spacing w:after="160" w:line="360" w:lineRule="auto"/>
              <w:jc w:val="both"/>
              <w:rPr/>
            </w:pPr>
            <w:r w:rsidDel="00000000" w:rsidR="00000000" w:rsidRPr="00000000">
              <w:rPr>
                <w:rtl w:val="0"/>
              </w:rPr>
              <w:t xml:space="preserve">25</w:t>
            </w:r>
          </w:p>
        </w:tc>
        <w:tc>
          <w:tcPr/>
          <w:p w:rsidR="00000000" w:rsidDel="00000000" w:rsidP="00000000" w:rsidRDefault="00000000" w:rsidRPr="00000000" w14:paraId="00000091">
            <w:pPr>
              <w:spacing w:after="160" w:line="360" w:lineRule="auto"/>
              <w:jc w:val="both"/>
              <w:rPr/>
            </w:pPr>
            <w:r w:rsidDel="00000000" w:rsidR="00000000" w:rsidRPr="00000000">
              <w:rPr>
                <w:rtl w:val="0"/>
              </w:rPr>
              <w:t xml:space="preserve">20</w:t>
            </w:r>
          </w:p>
        </w:tc>
        <w:tc>
          <w:tcPr/>
          <w:p w:rsidR="00000000" w:rsidDel="00000000" w:rsidP="00000000" w:rsidRDefault="00000000" w:rsidRPr="00000000" w14:paraId="00000092">
            <w:pPr>
              <w:spacing w:after="160" w:line="360" w:lineRule="auto"/>
              <w:jc w:val="both"/>
              <w:rPr/>
            </w:pPr>
            <w:r w:rsidDel="00000000" w:rsidR="00000000" w:rsidRPr="00000000">
              <w:rPr>
                <w:rtl w:val="0"/>
              </w:rPr>
              <w:t xml:space="preserve">15</w:t>
            </w:r>
          </w:p>
        </w:tc>
        <w:tc>
          <w:tcPr/>
          <w:p w:rsidR="00000000" w:rsidDel="00000000" w:rsidP="00000000" w:rsidRDefault="00000000" w:rsidRPr="00000000" w14:paraId="00000093">
            <w:pPr>
              <w:spacing w:after="160" w:line="360" w:lineRule="auto"/>
              <w:jc w:val="both"/>
              <w:rPr/>
            </w:pPr>
            <w:r w:rsidDel="00000000" w:rsidR="00000000" w:rsidRPr="00000000">
              <w:rPr>
                <w:rtl w:val="0"/>
              </w:rPr>
              <w:t xml:space="preserve">60</w:t>
            </w:r>
          </w:p>
        </w:tc>
      </w:tr>
      <w:tr>
        <w:trPr>
          <w:cantSplit w:val="0"/>
          <w:tblHeader w:val="0"/>
        </w:trPr>
        <w:tc>
          <w:tcPr/>
          <w:p w:rsidR="00000000" w:rsidDel="00000000" w:rsidP="00000000" w:rsidRDefault="00000000" w:rsidRPr="00000000" w14:paraId="00000094">
            <w:pPr>
              <w:spacing w:after="160" w:line="360" w:lineRule="auto"/>
              <w:jc w:val="both"/>
              <w:rPr/>
            </w:pPr>
            <w:r w:rsidDel="00000000" w:rsidR="00000000" w:rsidRPr="00000000">
              <w:rPr>
                <w:rtl w:val="0"/>
              </w:rPr>
              <w:t xml:space="preserve">Marketing and Customer Communication</w:t>
            </w:r>
          </w:p>
        </w:tc>
        <w:tc>
          <w:tcPr/>
          <w:p w:rsidR="00000000" w:rsidDel="00000000" w:rsidP="00000000" w:rsidRDefault="00000000" w:rsidRPr="00000000" w14:paraId="00000095">
            <w:pPr>
              <w:spacing w:after="160" w:line="360" w:lineRule="auto"/>
              <w:jc w:val="both"/>
              <w:rPr/>
            </w:pPr>
            <w:r w:rsidDel="00000000" w:rsidR="00000000" w:rsidRPr="00000000">
              <w:rPr>
                <w:rtl w:val="0"/>
              </w:rPr>
              <w:t xml:space="preserve">30</w:t>
            </w:r>
          </w:p>
        </w:tc>
        <w:tc>
          <w:tcPr/>
          <w:p w:rsidR="00000000" w:rsidDel="00000000" w:rsidP="00000000" w:rsidRDefault="00000000" w:rsidRPr="00000000" w14:paraId="00000096">
            <w:pPr>
              <w:spacing w:after="160" w:line="360" w:lineRule="auto"/>
              <w:jc w:val="both"/>
              <w:rPr/>
            </w:pPr>
            <w:r w:rsidDel="00000000" w:rsidR="00000000" w:rsidRPr="00000000">
              <w:rPr>
                <w:rtl w:val="0"/>
              </w:rPr>
              <w:t xml:space="preserve">25</w:t>
            </w:r>
          </w:p>
        </w:tc>
        <w:tc>
          <w:tcPr/>
          <w:p w:rsidR="00000000" w:rsidDel="00000000" w:rsidP="00000000" w:rsidRDefault="00000000" w:rsidRPr="00000000" w14:paraId="00000097">
            <w:pPr>
              <w:spacing w:after="160" w:line="360" w:lineRule="auto"/>
              <w:jc w:val="both"/>
              <w:rPr/>
            </w:pPr>
            <w:r w:rsidDel="00000000" w:rsidR="00000000" w:rsidRPr="00000000">
              <w:rPr>
                <w:rtl w:val="0"/>
              </w:rPr>
              <w:t xml:space="preserve">20</w:t>
            </w:r>
          </w:p>
        </w:tc>
        <w:tc>
          <w:tcPr/>
          <w:p w:rsidR="00000000" w:rsidDel="00000000" w:rsidP="00000000" w:rsidRDefault="00000000" w:rsidRPr="00000000" w14:paraId="00000098">
            <w:pPr>
              <w:spacing w:after="160" w:line="360" w:lineRule="auto"/>
              <w:jc w:val="both"/>
              <w:rPr/>
            </w:pPr>
            <w:r w:rsidDel="00000000" w:rsidR="00000000" w:rsidRPr="00000000">
              <w:rPr>
                <w:rtl w:val="0"/>
              </w:rPr>
              <w:t xml:space="preserve">75</w:t>
            </w:r>
          </w:p>
        </w:tc>
      </w:tr>
      <w:tr>
        <w:trPr>
          <w:cantSplit w:val="0"/>
          <w:tblHeader w:val="0"/>
        </w:trPr>
        <w:tc>
          <w:tcPr/>
          <w:p w:rsidR="00000000" w:rsidDel="00000000" w:rsidP="00000000" w:rsidRDefault="00000000" w:rsidRPr="00000000" w14:paraId="00000099">
            <w:pPr>
              <w:spacing w:after="160" w:line="360" w:lineRule="auto"/>
              <w:jc w:val="both"/>
              <w:rPr/>
            </w:pPr>
            <w:r w:rsidDel="00000000" w:rsidR="00000000" w:rsidRPr="00000000">
              <w:rPr>
                <w:b w:val="1"/>
                <w:rtl w:val="0"/>
              </w:rPr>
              <w:t xml:space="preserve">Total Investment</w:t>
            </w:r>
            <w:r w:rsidDel="00000000" w:rsidR="00000000" w:rsidRPr="00000000">
              <w:rPr>
                <w:rtl w:val="0"/>
              </w:rPr>
            </w:r>
          </w:p>
        </w:tc>
        <w:tc>
          <w:tcPr/>
          <w:p w:rsidR="00000000" w:rsidDel="00000000" w:rsidP="00000000" w:rsidRDefault="00000000" w:rsidRPr="00000000" w14:paraId="0000009A">
            <w:pPr>
              <w:spacing w:after="160" w:line="360" w:lineRule="auto"/>
              <w:jc w:val="both"/>
              <w:rPr/>
            </w:pPr>
            <w:r w:rsidDel="00000000" w:rsidR="00000000" w:rsidRPr="00000000">
              <w:rPr>
                <w:b w:val="1"/>
                <w:rtl w:val="0"/>
              </w:rPr>
              <w:t xml:space="preserve">425</w:t>
            </w:r>
            <w:r w:rsidDel="00000000" w:rsidR="00000000" w:rsidRPr="00000000">
              <w:rPr>
                <w:rtl w:val="0"/>
              </w:rPr>
            </w:r>
          </w:p>
        </w:tc>
        <w:tc>
          <w:tcPr/>
          <w:p w:rsidR="00000000" w:rsidDel="00000000" w:rsidP="00000000" w:rsidRDefault="00000000" w:rsidRPr="00000000" w14:paraId="0000009B">
            <w:pPr>
              <w:spacing w:after="160" w:line="360" w:lineRule="auto"/>
              <w:jc w:val="both"/>
              <w:rPr/>
            </w:pPr>
            <w:r w:rsidDel="00000000" w:rsidR="00000000" w:rsidRPr="00000000">
              <w:rPr>
                <w:b w:val="1"/>
                <w:rtl w:val="0"/>
              </w:rPr>
              <w:t xml:space="preserve">340</w:t>
            </w:r>
            <w:r w:rsidDel="00000000" w:rsidR="00000000" w:rsidRPr="00000000">
              <w:rPr>
                <w:rtl w:val="0"/>
              </w:rPr>
            </w:r>
          </w:p>
        </w:tc>
        <w:tc>
          <w:tcPr/>
          <w:p w:rsidR="00000000" w:rsidDel="00000000" w:rsidP="00000000" w:rsidRDefault="00000000" w:rsidRPr="00000000" w14:paraId="0000009C">
            <w:pPr>
              <w:spacing w:after="160" w:line="360" w:lineRule="auto"/>
              <w:jc w:val="both"/>
              <w:rPr/>
            </w:pPr>
            <w:r w:rsidDel="00000000" w:rsidR="00000000" w:rsidRPr="00000000">
              <w:rPr>
                <w:b w:val="1"/>
                <w:rtl w:val="0"/>
              </w:rPr>
              <w:t xml:space="preserve">230</w:t>
            </w:r>
            <w:r w:rsidDel="00000000" w:rsidR="00000000" w:rsidRPr="00000000">
              <w:rPr>
                <w:rtl w:val="0"/>
              </w:rPr>
            </w:r>
          </w:p>
        </w:tc>
        <w:tc>
          <w:tcPr/>
          <w:p w:rsidR="00000000" w:rsidDel="00000000" w:rsidP="00000000" w:rsidRDefault="00000000" w:rsidRPr="00000000" w14:paraId="0000009D">
            <w:pPr>
              <w:spacing w:after="160" w:line="360" w:lineRule="auto"/>
              <w:jc w:val="both"/>
              <w:rPr/>
            </w:pPr>
            <w:r w:rsidDel="00000000" w:rsidR="00000000" w:rsidRPr="00000000">
              <w:rPr>
                <w:b w:val="1"/>
                <w:rtl w:val="0"/>
              </w:rPr>
              <w:t xml:space="preserve">995</w:t>
            </w:r>
            <w:r w:rsidDel="00000000" w:rsidR="00000000" w:rsidRPr="00000000">
              <w:rPr>
                <w:rtl w:val="0"/>
              </w:rPr>
            </w:r>
          </w:p>
        </w:tc>
      </w:tr>
      <w:tr>
        <w:trPr>
          <w:cantSplit w:val="0"/>
          <w:tblHeader w:val="0"/>
        </w:trPr>
        <w:tc>
          <w:tcPr/>
          <w:p w:rsidR="00000000" w:rsidDel="00000000" w:rsidP="00000000" w:rsidRDefault="00000000" w:rsidRPr="00000000" w14:paraId="0000009E">
            <w:pPr>
              <w:spacing w:after="160" w:line="360" w:lineRule="auto"/>
              <w:jc w:val="both"/>
              <w:rPr/>
            </w:pPr>
            <w:r w:rsidDel="00000000" w:rsidR="00000000" w:rsidRPr="00000000">
              <w:rPr>
                <w:b w:val="1"/>
                <w:rtl w:val="0"/>
              </w:rPr>
              <w:t xml:space="preserve">Projected Annual Benefits</w:t>
            </w:r>
            <w:r w:rsidDel="00000000" w:rsidR="00000000" w:rsidRPr="00000000">
              <w:rPr>
                <w:rtl w:val="0"/>
              </w:rPr>
            </w:r>
          </w:p>
        </w:tc>
        <w:tc>
          <w:tcPr/>
          <w:p w:rsidR="00000000" w:rsidDel="00000000" w:rsidP="00000000" w:rsidRDefault="00000000" w:rsidRPr="00000000" w14:paraId="0000009F">
            <w:pPr>
              <w:spacing w:after="160" w:line="360" w:lineRule="auto"/>
              <w:jc w:val="both"/>
              <w:rPr/>
            </w:pPr>
            <w:r w:rsidDel="00000000" w:rsidR="00000000" w:rsidRPr="00000000">
              <w:rPr>
                <w:b w:val="1"/>
                <w:rtl w:val="0"/>
              </w:rPr>
              <w:t xml:space="preserve">50</w:t>
            </w:r>
            <w:r w:rsidDel="00000000" w:rsidR="00000000" w:rsidRPr="00000000">
              <w:rPr>
                <w:rtl w:val="0"/>
              </w:rPr>
            </w:r>
          </w:p>
        </w:tc>
        <w:tc>
          <w:tcPr/>
          <w:p w:rsidR="00000000" w:rsidDel="00000000" w:rsidP="00000000" w:rsidRDefault="00000000" w:rsidRPr="00000000" w14:paraId="000000A0">
            <w:pPr>
              <w:spacing w:after="160" w:line="360" w:lineRule="auto"/>
              <w:jc w:val="both"/>
              <w:rPr/>
            </w:pPr>
            <w:r w:rsidDel="00000000" w:rsidR="00000000" w:rsidRPr="00000000">
              <w:rPr>
                <w:b w:val="1"/>
                <w:rtl w:val="0"/>
              </w:rPr>
              <w:t xml:space="preserve">200</w:t>
            </w:r>
            <w:r w:rsidDel="00000000" w:rsidR="00000000" w:rsidRPr="00000000">
              <w:rPr>
                <w:rtl w:val="0"/>
              </w:rPr>
            </w:r>
          </w:p>
        </w:tc>
        <w:tc>
          <w:tcPr/>
          <w:p w:rsidR="00000000" w:rsidDel="00000000" w:rsidP="00000000" w:rsidRDefault="00000000" w:rsidRPr="00000000" w14:paraId="000000A1">
            <w:pPr>
              <w:spacing w:after="160" w:line="360" w:lineRule="auto"/>
              <w:jc w:val="both"/>
              <w:rPr/>
            </w:pPr>
            <w:r w:rsidDel="00000000" w:rsidR="00000000" w:rsidRPr="00000000">
              <w:rPr>
                <w:b w:val="1"/>
                <w:rtl w:val="0"/>
              </w:rPr>
              <w:t xml:space="preserve">400</w:t>
            </w:r>
            <w:r w:rsidDel="00000000" w:rsidR="00000000" w:rsidRPr="00000000">
              <w:rPr>
                <w:rtl w:val="0"/>
              </w:rPr>
            </w:r>
          </w:p>
        </w:tc>
        <w:tc>
          <w:tcPr/>
          <w:p w:rsidR="00000000" w:rsidDel="00000000" w:rsidP="00000000" w:rsidRDefault="00000000" w:rsidRPr="00000000" w14:paraId="000000A2">
            <w:pPr>
              <w:spacing w:after="160" w:line="360" w:lineRule="auto"/>
              <w:jc w:val="both"/>
              <w:rPr/>
            </w:pPr>
            <w:r w:rsidDel="00000000" w:rsidR="00000000" w:rsidRPr="00000000">
              <w:rPr>
                <w:b w:val="1"/>
                <w:rtl w:val="0"/>
              </w:rPr>
              <w:t xml:space="preserve">650</w:t>
            </w:r>
            <w:r w:rsidDel="00000000" w:rsidR="00000000" w:rsidRPr="00000000">
              <w:rPr>
                <w:rtl w:val="0"/>
              </w:rPr>
            </w:r>
          </w:p>
        </w:tc>
      </w:tr>
    </w:tbl>
    <w:p w:rsidR="00000000" w:rsidDel="00000000" w:rsidP="00000000" w:rsidRDefault="00000000" w:rsidRPr="00000000" w14:paraId="000000A3">
      <w:pPr>
        <w:pStyle w:val="Heading2"/>
        <w:rPr/>
      </w:pPr>
      <w:bookmarkStart w:colFirst="0" w:colLast="0" w:name="_u9xek8p0evzl" w:id="17"/>
      <w:bookmarkEnd w:id="17"/>
      <w:r w:rsidDel="00000000" w:rsidR="00000000" w:rsidRPr="00000000">
        <w:rPr>
          <w:rtl w:val="0"/>
        </w:rPr>
        <w:t xml:space="preserve">Implementation Phases and Timeline</w:t>
      </w:r>
    </w:p>
    <w:p w:rsidR="00000000" w:rsidDel="00000000" w:rsidP="00000000" w:rsidRDefault="00000000" w:rsidRPr="00000000" w14:paraId="000000A4">
      <w:pPr>
        <w:spacing w:line="360" w:lineRule="auto"/>
        <w:jc w:val="both"/>
        <w:rPr/>
      </w:pPr>
      <w:r w:rsidDel="00000000" w:rsidR="00000000" w:rsidRPr="00000000">
        <w:rPr>
          <w:rtl w:val="0"/>
        </w:rPr>
        <w:t xml:space="preserve">Phased implementation is helpful in controlling complexity as well as providing early wins that build momentum and organisational confidence. Foundation phase puts in place governance systems, communication lines and baseline measurements reporting prevailing state performance. The deployment of technology infrastructure is done concurrently with the capability development programmes to ensure that the implementation is as fast as possible. Pilot programmes are used to test methods in controlled settings and roll out the methods company-wide to mitigate the risk of implementation (Phillips and Klein, 2023). Integration phase links isolated systems and operations together in a unified omnichannel operations that facilitates smooth customer experiences (Sharma et al., 2022). Optimisation phase is the refinement of performance according to the data of operations and customer reviews in the form of continuous improvement. From the beginning of every step, there are set benchmarks that allow tracking of progress and change the course in case the outcomes do not meet expectations (Jääskä et al., 2024). The science of project management provides the coordination of various work streams in a project and dependencies that avoid any bottlenecks and delays. Risk management procedures detect and address threats of implementation in the lifecycle of the programme in defence of value delivery.</w:t>
      </w:r>
    </w:p>
    <w:p w:rsidR="00000000" w:rsidDel="00000000" w:rsidP="00000000" w:rsidRDefault="00000000" w:rsidRPr="00000000" w14:paraId="000000A5">
      <w:pPr>
        <w:spacing w:line="360" w:lineRule="auto"/>
        <w:jc w:val="both"/>
        <w:rPr/>
      </w:pPr>
      <w:r w:rsidDel="00000000" w:rsidR="00000000" w:rsidRPr="00000000">
        <w:rPr>
          <w:b w:val="1"/>
          <w:rtl w:val="0"/>
        </w:rPr>
        <w:t xml:space="preserve">Table 3: Implementation Timeline and Key Milestones</w:t>
      </w:r>
      <w:r w:rsidDel="00000000" w:rsidR="00000000" w:rsidRPr="00000000">
        <w:rPr>
          <w:rtl w:val="0"/>
        </w:rPr>
      </w:r>
    </w:p>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668"/>
        <w:gridCol w:w="1281"/>
        <w:gridCol w:w="3483"/>
        <w:gridCol w:w="2584"/>
        <w:tblGridChange w:id="0">
          <w:tblGrid>
            <w:gridCol w:w="1668"/>
            <w:gridCol w:w="1281"/>
            <w:gridCol w:w="3483"/>
            <w:gridCol w:w="2584"/>
          </w:tblGrid>
        </w:tblGridChange>
      </w:tblGrid>
      <w:tr>
        <w:trPr>
          <w:cantSplit w:val="0"/>
          <w:tblHeader w:val="0"/>
        </w:trPr>
        <w:tc>
          <w:tcPr/>
          <w:p w:rsidR="00000000" w:rsidDel="00000000" w:rsidP="00000000" w:rsidRDefault="00000000" w:rsidRPr="00000000" w14:paraId="000000A6">
            <w:pPr>
              <w:spacing w:after="160" w:line="360" w:lineRule="auto"/>
              <w:jc w:val="both"/>
              <w:rPr>
                <w:b w:val="1"/>
              </w:rPr>
            </w:pPr>
            <w:r w:rsidDel="00000000" w:rsidR="00000000" w:rsidRPr="00000000">
              <w:rPr>
                <w:b w:val="1"/>
                <w:rtl w:val="0"/>
              </w:rPr>
              <w:t xml:space="preserve">Phase</w:t>
            </w:r>
          </w:p>
        </w:tc>
        <w:tc>
          <w:tcPr/>
          <w:p w:rsidR="00000000" w:rsidDel="00000000" w:rsidP="00000000" w:rsidRDefault="00000000" w:rsidRPr="00000000" w14:paraId="000000A7">
            <w:pPr>
              <w:spacing w:after="160" w:line="360" w:lineRule="auto"/>
              <w:jc w:val="both"/>
              <w:rPr>
                <w:b w:val="1"/>
              </w:rPr>
            </w:pPr>
            <w:r w:rsidDel="00000000" w:rsidR="00000000" w:rsidRPr="00000000">
              <w:rPr>
                <w:b w:val="1"/>
                <w:rtl w:val="0"/>
              </w:rPr>
              <w:t xml:space="preserve">Duration</w:t>
            </w:r>
          </w:p>
        </w:tc>
        <w:tc>
          <w:tcPr/>
          <w:p w:rsidR="00000000" w:rsidDel="00000000" w:rsidP="00000000" w:rsidRDefault="00000000" w:rsidRPr="00000000" w14:paraId="000000A8">
            <w:pPr>
              <w:spacing w:after="160" w:line="360" w:lineRule="auto"/>
              <w:jc w:val="both"/>
              <w:rPr>
                <w:b w:val="1"/>
              </w:rPr>
            </w:pPr>
            <w:r w:rsidDel="00000000" w:rsidR="00000000" w:rsidRPr="00000000">
              <w:rPr>
                <w:b w:val="1"/>
                <w:rtl w:val="0"/>
              </w:rPr>
              <w:t xml:space="preserve">Key Activities</w:t>
            </w:r>
          </w:p>
        </w:tc>
        <w:tc>
          <w:tcPr/>
          <w:p w:rsidR="00000000" w:rsidDel="00000000" w:rsidP="00000000" w:rsidRDefault="00000000" w:rsidRPr="00000000" w14:paraId="000000A9">
            <w:pPr>
              <w:spacing w:after="160" w:line="360" w:lineRule="auto"/>
              <w:jc w:val="both"/>
              <w:rPr>
                <w:b w:val="1"/>
              </w:rPr>
            </w:pPr>
            <w:r w:rsidDel="00000000" w:rsidR="00000000" w:rsidRPr="00000000">
              <w:rPr>
                <w:b w:val="1"/>
                <w:rtl w:val="0"/>
              </w:rPr>
              <w:t xml:space="preserve">Major Milestones</w:t>
            </w:r>
          </w:p>
        </w:tc>
      </w:tr>
      <w:tr>
        <w:trPr>
          <w:cantSplit w:val="0"/>
          <w:tblHeader w:val="0"/>
        </w:trPr>
        <w:tc>
          <w:tcPr/>
          <w:p w:rsidR="00000000" w:rsidDel="00000000" w:rsidP="00000000" w:rsidRDefault="00000000" w:rsidRPr="00000000" w14:paraId="000000AA">
            <w:pPr>
              <w:spacing w:after="160" w:line="360" w:lineRule="auto"/>
              <w:jc w:val="both"/>
              <w:rPr/>
            </w:pPr>
            <w:r w:rsidDel="00000000" w:rsidR="00000000" w:rsidRPr="00000000">
              <w:rPr>
                <w:rtl w:val="0"/>
              </w:rPr>
              <w:t xml:space="preserve">Foundation</w:t>
            </w:r>
          </w:p>
        </w:tc>
        <w:tc>
          <w:tcPr/>
          <w:p w:rsidR="00000000" w:rsidDel="00000000" w:rsidP="00000000" w:rsidRDefault="00000000" w:rsidRPr="00000000" w14:paraId="000000AB">
            <w:pPr>
              <w:spacing w:after="160" w:line="360" w:lineRule="auto"/>
              <w:jc w:val="both"/>
              <w:rPr/>
            </w:pPr>
            <w:r w:rsidDel="00000000" w:rsidR="00000000" w:rsidRPr="00000000">
              <w:rPr>
                <w:rtl w:val="0"/>
              </w:rPr>
              <w:t xml:space="preserve">Months 1-6</w:t>
            </w:r>
          </w:p>
        </w:tc>
        <w:tc>
          <w:tcPr/>
          <w:p w:rsidR="00000000" w:rsidDel="00000000" w:rsidP="00000000" w:rsidRDefault="00000000" w:rsidRPr="00000000" w14:paraId="000000AC">
            <w:pPr>
              <w:spacing w:after="160" w:line="360" w:lineRule="auto"/>
              <w:jc w:val="both"/>
              <w:rPr/>
            </w:pPr>
            <w:r w:rsidDel="00000000" w:rsidR="00000000" w:rsidRPr="00000000">
              <w:rPr>
                <w:rtl w:val="0"/>
              </w:rPr>
              <w:t xml:space="preserve">Governance establishment, baseline assessment, stakeholder engagement</w:t>
            </w:r>
          </w:p>
        </w:tc>
        <w:tc>
          <w:tcPr/>
          <w:p w:rsidR="00000000" w:rsidDel="00000000" w:rsidP="00000000" w:rsidRDefault="00000000" w:rsidRPr="00000000" w14:paraId="000000AD">
            <w:pPr>
              <w:spacing w:after="160" w:line="360" w:lineRule="auto"/>
              <w:jc w:val="both"/>
              <w:rPr/>
            </w:pPr>
            <w:r w:rsidDel="00000000" w:rsidR="00000000" w:rsidRPr="00000000">
              <w:rPr>
                <w:rtl w:val="0"/>
              </w:rPr>
              <w:t xml:space="preserve">Change board operational, current state documented</w:t>
            </w:r>
          </w:p>
        </w:tc>
      </w:tr>
      <w:tr>
        <w:trPr>
          <w:cantSplit w:val="0"/>
          <w:tblHeader w:val="0"/>
        </w:trPr>
        <w:tc>
          <w:tcPr/>
          <w:p w:rsidR="00000000" w:rsidDel="00000000" w:rsidP="00000000" w:rsidRDefault="00000000" w:rsidRPr="00000000" w14:paraId="000000AE">
            <w:pPr>
              <w:spacing w:after="160" w:line="360" w:lineRule="auto"/>
              <w:jc w:val="both"/>
              <w:rPr/>
            </w:pPr>
            <w:r w:rsidDel="00000000" w:rsidR="00000000" w:rsidRPr="00000000">
              <w:rPr>
                <w:rtl w:val="0"/>
              </w:rPr>
              <w:t xml:space="preserve">Pilot Development</w:t>
            </w:r>
          </w:p>
        </w:tc>
        <w:tc>
          <w:tcPr/>
          <w:p w:rsidR="00000000" w:rsidDel="00000000" w:rsidP="00000000" w:rsidRDefault="00000000" w:rsidRPr="00000000" w14:paraId="000000AF">
            <w:pPr>
              <w:spacing w:after="160" w:line="360" w:lineRule="auto"/>
              <w:jc w:val="both"/>
              <w:rPr/>
            </w:pPr>
            <w:r w:rsidDel="00000000" w:rsidR="00000000" w:rsidRPr="00000000">
              <w:rPr>
                <w:rtl w:val="0"/>
              </w:rPr>
              <w:t xml:space="preserve">Months 7-12</w:t>
            </w:r>
          </w:p>
        </w:tc>
        <w:tc>
          <w:tcPr/>
          <w:p w:rsidR="00000000" w:rsidDel="00000000" w:rsidP="00000000" w:rsidRDefault="00000000" w:rsidRPr="00000000" w14:paraId="000000B0">
            <w:pPr>
              <w:spacing w:after="160" w:line="360" w:lineRule="auto"/>
              <w:jc w:val="both"/>
              <w:rPr/>
            </w:pPr>
            <w:r w:rsidDel="00000000" w:rsidR="00000000" w:rsidRPr="00000000">
              <w:rPr>
                <w:rtl w:val="0"/>
              </w:rPr>
              <w:t xml:space="preserve">Technology platform development, pilot store selection, training programmes</w:t>
            </w:r>
          </w:p>
        </w:tc>
        <w:tc>
          <w:tcPr/>
          <w:p w:rsidR="00000000" w:rsidDel="00000000" w:rsidP="00000000" w:rsidRDefault="00000000" w:rsidRPr="00000000" w14:paraId="000000B1">
            <w:pPr>
              <w:spacing w:after="160" w:line="360" w:lineRule="auto"/>
              <w:jc w:val="both"/>
              <w:rPr/>
            </w:pPr>
            <w:r w:rsidDel="00000000" w:rsidR="00000000" w:rsidRPr="00000000">
              <w:rPr>
                <w:rtl w:val="0"/>
              </w:rPr>
              <w:t xml:space="preserve">Platform operational, pilots launched</w:t>
            </w:r>
          </w:p>
        </w:tc>
      </w:tr>
      <w:tr>
        <w:trPr>
          <w:cantSplit w:val="0"/>
          <w:tblHeader w:val="0"/>
        </w:trPr>
        <w:tc>
          <w:tcPr/>
          <w:p w:rsidR="00000000" w:rsidDel="00000000" w:rsidP="00000000" w:rsidRDefault="00000000" w:rsidRPr="00000000" w14:paraId="000000B2">
            <w:pPr>
              <w:spacing w:after="160" w:line="360" w:lineRule="auto"/>
              <w:jc w:val="both"/>
              <w:rPr/>
            </w:pPr>
            <w:r w:rsidDel="00000000" w:rsidR="00000000" w:rsidRPr="00000000">
              <w:rPr>
                <w:rtl w:val="0"/>
              </w:rPr>
              <w:t xml:space="preserve">Expansion</w:t>
            </w:r>
          </w:p>
        </w:tc>
        <w:tc>
          <w:tcPr/>
          <w:p w:rsidR="00000000" w:rsidDel="00000000" w:rsidP="00000000" w:rsidRDefault="00000000" w:rsidRPr="00000000" w14:paraId="000000B3">
            <w:pPr>
              <w:spacing w:after="160" w:line="360" w:lineRule="auto"/>
              <w:jc w:val="both"/>
              <w:rPr/>
            </w:pPr>
            <w:r w:rsidDel="00000000" w:rsidR="00000000" w:rsidRPr="00000000">
              <w:rPr>
                <w:rtl w:val="0"/>
              </w:rPr>
              <w:t xml:space="preserve">Months 13-24</w:t>
            </w:r>
          </w:p>
        </w:tc>
        <w:tc>
          <w:tcPr/>
          <w:p w:rsidR="00000000" w:rsidDel="00000000" w:rsidP="00000000" w:rsidRDefault="00000000" w:rsidRPr="00000000" w14:paraId="000000B4">
            <w:pPr>
              <w:spacing w:after="160" w:line="360" w:lineRule="auto"/>
              <w:jc w:val="both"/>
              <w:rPr/>
            </w:pPr>
            <w:r w:rsidDel="00000000" w:rsidR="00000000" w:rsidRPr="00000000">
              <w:rPr>
                <w:rtl w:val="0"/>
              </w:rPr>
              <w:t xml:space="preserve">Regional rollout, AI system deployment, training scale-up</w:t>
            </w:r>
          </w:p>
        </w:tc>
        <w:tc>
          <w:tcPr/>
          <w:p w:rsidR="00000000" w:rsidDel="00000000" w:rsidP="00000000" w:rsidRDefault="00000000" w:rsidRPr="00000000" w14:paraId="000000B5">
            <w:pPr>
              <w:spacing w:after="160" w:line="360" w:lineRule="auto"/>
              <w:jc w:val="both"/>
              <w:rPr/>
            </w:pPr>
            <w:r w:rsidDel="00000000" w:rsidR="00000000" w:rsidRPr="00000000">
              <w:rPr>
                <w:rtl w:val="0"/>
              </w:rPr>
              <w:t xml:space="preserve">50% coverage achieved, AI systems live</w:t>
            </w:r>
          </w:p>
        </w:tc>
      </w:tr>
      <w:tr>
        <w:trPr>
          <w:cantSplit w:val="0"/>
          <w:tblHeader w:val="0"/>
        </w:trPr>
        <w:tc>
          <w:tcPr/>
          <w:p w:rsidR="00000000" w:rsidDel="00000000" w:rsidP="00000000" w:rsidRDefault="00000000" w:rsidRPr="00000000" w14:paraId="000000B6">
            <w:pPr>
              <w:spacing w:after="160" w:line="360" w:lineRule="auto"/>
              <w:jc w:val="both"/>
              <w:rPr/>
            </w:pPr>
            <w:r w:rsidDel="00000000" w:rsidR="00000000" w:rsidRPr="00000000">
              <w:rPr>
                <w:rtl w:val="0"/>
              </w:rPr>
              <w:t xml:space="preserve">Integration</w:t>
            </w:r>
          </w:p>
        </w:tc>
        <w:tc>
          <w:tcPr/>
          <w:p w:rsidR="00000000" w:rsidDel="00000000" w:rsidP="00000000" w:rsidRDefault="00000000" w:rsidRPr="00000000" w14:paraId="000000B7">
            <w:pPr>
              <w:spacing w:after="160" w:line="360" w:lineRule="auto"/>
              <w:jc w:val="both"/>
              <w:rPr/>
            </w:pPr>
            <w:r w:rsidDel="00000000" w:rsidR="00000000" w:rsidRPr="00000000">
              <w:rPr>
                <w:rtl w:val="0"/>
              </w:rPr>
              <w:t xml:space="preserve">Months 25-30</w:t>
            </w:r>
          </w:p>
        </w:tc>
        <w:tc>
          <w:tcPr/>
          <w:p w:rsidR="00000000" w:rsidDel="00000000" w:rsidP="00000000" w:rsidRDefault="00000000" w:rsidRPr="00000000" w14:paraId="000000B8">
            <w:pPr>
              <w:spacing w:after="160" w:line="360" w:lineRule="auto"/>
              <w:jc w:val="both"/>
              <w:rPr/>
            </w:pPr>
            <w:r w:rsidDel="00000000" w:rsidR="00000000" w:rsidRPr="00000000">
              <w:rPr>
                <w:rtl w:val="0"/>
              </w:rPr>
              <w:t xml:space="preserve">Full network integration, analytics deployment, cultural reinforcement</w:t>
            </w:r>
          </w:p>
        </w:tc>
        <w:tc>
          <w:tcPr/>
          <w:p w:rsidR="00000000" w:rsidDel="00000000" w:rsidP="00000000" w:rsidRDefault="00000000" w:rsidRPr="00000000" w14:paraId="000000B9">
            <w:pPr>
              <w:spacing w:after="160" w:line="360" w:lineRule="auto"/>
              <w:jc w:val="both"/>
              <w:rPr/>
            </w:pPr>
            <w:r w:rsidDel="00000000" w:rsidR="00000000" w:rsidRPr="00000000">
              <w:rPr>
                <w:rtl w:val="0"/>
              </w:rPr>
              <w:t xml:space="preserve">National coverage complete, systems integrated</w:t>
            </w:r>
          </w:p>
        </w:tc>
      </w:tr>
      <w:tr>
        <w:trPr>
          <w:cantSplit w:val="0"/>
          <w:tblHeader w:val="0"/>
        </w:trPr>
        <w:tc>
          <w:tcPr/>
          <w:p w:rsidR="00000000" w:rsidDel="00000000" w:rsidP="00000000" w:rsidRDefault="00000000" w:rsidRPr="00000000" w14:paraId="000000BA">
            <w:pPr>
              <w:spacing w:after="160" w:line="360" w:lineRule="auto"/>
              <w:jc w:val="both"/>
              <w:rPr/>
            </w:pPr>
            <w:r w:rsidDel="00000000" w:rsidR="00000000" w:rsidRPr="00000000">
              <w:rPr>
                <w:rtl w:val="0"/>
              </w:rPr>
              <w:t xml:space="preserve">Optimisation</w:t>
            </w:r>
          </w:p>
        </w:tc>
        <w:tc>
          <w:tcPr/>
          <w:p w:rsidR="00000000" w:rsidDel="00000000" w:rsidP="00000000" w:rsidRDefault="00000000" w:rsidRPr="00000000" w14:paraId="000000BB">
            <w:pPr>
              <w:spacing w:after="160" w:line="360" w:lineRule="auto"/>
              <w:jc w:val="both"/>
              <w:rPr/>
            </w:pPr>
            <w:r w:rsidDel="00000000" w:rsidR="00000000" w:rsidRPr="00000000">
              <w:rPr>
                <w:rtl w:val="0"/>
              </w:rPr>
              <w:t xml:space="preserve">Months 31-36</w:t>
            </w:r>
          </w:p>
        </w:tc>
        <w:tc>
          <w:tcPr/>
          <w:p w:rsidR="00000000" w:rsidDel="00000000" w:rsidP="00000000" w:rsidRDefault="00000000" w:rsidRPr="00000000" w14:paraId="000000BC">
            <w:pPr>
              <w:spacing w:after="160" w:line="360" w:lineRule="auto"/>
              <w:jc w:val="both"/>
              <w:rPr/>
            </w:pPr>
            <w:r w:rsidDel="00000000" w:rsidR="00000000" w:rsidRPr="00000000">
              <w:rPr>
                <w:rtl w:val="0"/>
              </w:rPr>
              <w:t xml:space="preserve">Performance refinement, continuous improvement, benefit tracking</w:t>
            </w:r>
          </w:p>
        </w:tc>
        <w:tc>
          <w:tcPr/>
          <w:p w:rsidR="00000000" w:rsidDel="00000000" w:rsidP="00000000" w:rsidRDefault="00000000" w:rsidRPr="00000000" w14:paraId="000000BD">
            <w:pPr>
              <w:spacing w:after="160" w:line="360" w:lineRule="auto"/>
              <w:jc w:val="both"/>
              <w:rPr/>
            </w:pPr>
            <w:r w:rsidDel="00000000" w:rsidR="00000000" w:rsidRPr="00000000">
              <w:rPr>
                <w:rtl w:val="0"/>
              </w:rPr>
              <w:t xml:space="preserve">Target KPIs achieved, sustainable operation</w:t>
            </w:r>
          </w:p>
        </w:tc>
      </w:tr>
    </w:tbl>
    <w:p w:rsidR="00000000" w:rsidDel="00000000" w:rsidP="00000000" w:rsidRDefault="00000000" w:rsidRPr="00000000" w14:paraId="000000BE">
      <w:pPr>
        <w:pStyle w:val="Heading2"/>
        <w:rPr/>
      </w:pPr>
      <w:bookmarkStart w:colFirst="0" w:colLast="0" w:name="_woz8ak282de8" w:id="18"/>
      <w:bookmarkEnd w:id="18"/>
      <w:r w:rsidDel="00000000" w:rsidR="00000000" w:rsidRPr="00000000">
        <w:rPr>
          <w:rtl w:val="0"/>
        </w:rPr>
        <w:t xml:space="preserve">Communication Plan and Stakeholder Management</w:t>
      </w:r>
    </w:p>
    <w:p w:rsidR="00000000" w:rsidDel="00000000" w:rsidP="00000000" w:rsidRDefault="00000000" w:rsidRPr="00000000" w14:paraId="000000BF">
      <w:pPr>
        <w:spacing w:line="360" w:lineRule="auto"/>
        <w:jc w:val="both"/>
        <w:rPr/>
      </w:pPr>
      <w:r w:rsidDel="00000000" w:rsidR="00000000" w:rsidRPr="00000000">
        <w:rPr>
          <w:rtl w:val="0"/>
        </w:rPr>
        <w:t xml:space="preserve">Communication strategy is comprehensive and meets the needs of various stakeholders during transformation considering various information needs and preferences. Employee communication focuses on openness on the changes to roles in addition to bringing out development and career advancement opportunities. Periodic town meetings and team discussions allow a two-way discussion on issues and take the feedback that helps to improve the quality of implementation (Harikkala-Laihinen, 2022). Online systems facilitate real time information exchange between the geographically distributed human resource to maintain constant messages and minimise rumours. Customer communication details how the services are getting better and how it allows better shopping experiences to create excitement and adoption. Investor relations activities are strategic rationale and financial benefits of transformation programme upholding confidence in the investment period. The engagement of suppliers makes sure that the supply chain partners follow the changes in their operations that coordinate the implementation activities across organisational boundaries. The union consultations solve the workforce issues using the systematic bargaining mechanisms that create support and reduce the interference of industrial relations. To ensure effectiveness in communication, the effectiveness needs to be monitored by surveys and feedback mechanisms that allow the effective communication to be constantly improved (Letkithe and Noll, 2024).</w:t>
      </w:r>
    </w:p>
    <w:p w:rsidR="00000000" w:rsidDel="00000000" w:rsidP="00000000" w:rsidRDefault="00000000" w:rsidRPr="00000000" w14:paraId="000000C0">
      <w:pPr>
        <w:spacing w:line="360" w:lineRule="auto"/>
        <w:jc w:val="both"/>
        <w:rPr/>
      </w:pPr>
      <w:r w:rsidDel="00000000" w:rsidR="00000000" w:rsidRPr="00000000">
        <w:rPr>
          <w:b w:val="1"/>
          <w:rtl w:val="0"/>
        </w:rPr>
        <w:t xml:space="preserve">Table 4: Communication Plan by Stakeholder Group</w:t>
      </w:r>
      <w:r w:rsidDel="00000000" w:rsidR="00000000" w:rsidRPr="00000000">
        <w:rPr>
          <w:rtl w:val="0"/>
        </w:rPr>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44"/>
        <w:gridCol w:w="2687"/>
        <w:gridCol w:w="2434"/>
        <w:gridCol w:w="2151"/>
        <w:tblGridChange w:id="0">
          <w:tblGrid>
            <w:gridCol w:w="1744"/>
            <w:gridCol w:w="2687"/>
            <w:gridCol w:w="2434"/>
            <w:gridCol w:w="2151"/>
          </w:tblGrid>
        </w:tblGridChange>
      </w:tblGrid>
      <w:tr>
        <w:trPr>
          <w:cantSplit w:val="0"/>
          <w:tblHeader w:val="0"/>
        </w:trPr>
        <w:tc>
          <w:tcPr/>
          <w:p w:rsidR="00000000" w:rsidDel="00000000" w:rsidP="00000000" w:rsidRDefault="00000000" w:rsidRPr="00000000" w14:paraId="000000C1">
            <w:pPr>
              <w:spacing w:after="160" w:line="360" w:lineRule="auto"/>
              <w:jc w:val="both"/>
              <w:rPr>
                <w:b w:val="1"/>
              </w:rPr>
            </w:pPr>
            <w:r w:rsidDel="00000000" w:rsidR="00000000" w:rsidRPr="00000000">
              <w:rPr>
                <w:b w:val="1"/>
                <w:rtl w:val="0"/>
              </w:rPr>
              <w:t xml:space="preserve">Stakeholder Group</w:t>
            </w:r>
          </w:p>
        </w:tc>
        <w:tc>
          <w:tcPr/>
          <w:p w:rsidR="00000000" w:rsidDel="00000000" w:rsidP="00000000" w:rsidRDefault="00000000" w:rsidRPr="00000000" w14:paraId="000000C2">
            <w:pPr>
              <w:spacing w:after="160" w:line="360" w:lineRule="auto"/>
              <w:jc w:val="both"/>
              <w:rPr>
                <w:b w:val="1"/>
              </w:rPr>
            </w:pPr>
            <w:r w:rsidDel="00000000" w:rsidR="00000000" w:rsidRPr="00000000">
              <w:rPr>
                <w:b w:val="1"/>
                <w:rtl w:val="0"/>
              </w:rPr>
              <w:t xml:space="preserve">Communication Objectives</w:t>
            </w:r>
          </w:p>
        </w:tc>
        <w:tc>
          <w:tcPr/>
          <w:p w:rsidR="00000000" w:rsidDel="00000000" w:rsidP="00000000" w:rsidRDefault="00000000" w:rsidRPr="00000000" w14:paraId="000000C3">
            <w:pPr>
              <w:spacing w:after="160" w:line="360" w:lineRule="auto"/>
              <w:jc w:val="both"/>
              <w:rPr>
                <w:b w:val="1"/>
              </w:rPr>
            </w:pPr>
            <w:r w:rsidDel="00000000" w:rsidR="00000000" w:rsidRPr="00000000">
              <w:rPr>
                <w:b w:val="1"/>
                <w:rtl w:val="0"/>
              </w:rPr>
              <w:t xml:space="preserve">Channels</w:t>
            </w:r>
          </w:p>
        </w:tc>
        <w:tc>
          <w:tcPr/>
          <w:p w:rsidR="00000000" w:rsidDel="00000000" w:rsidP="00000000" w:rsidRDefault="00000000" w:rsidRPr="00000000" w14:paraId="000000C4">
            <w:pPr>
              <w:spacing w:after="160" w:line="360" w:lineRule="auto"/>
              <w:jc w:val="both"/>
              <w:rPr>
                <w:b w:val="1"/>
              </w:rPr>
            </w:pPr>
            <w:r w:rsidDel="00000000" w:rsidR="00000000" w:rsidRPr="00000000">
              <w:rPr>
                <w:b w:val="1"/>
                <w:rtl w:val="0"/>
              </w:rPr>
              <w:t xml:space="preserve">Frequency</w:t>
            </w:r>
          </w:p>
        </w:tc>
      </w:tr>
      <w:tr>
        <w:trPr>
          <w:cantSplit w:val="0"/>
          <w:tblHeader w:val="0"/>
        </w:trPr>
        <w:tc>
          <w:tcPr/>
          <w:p w:rsidR="00000000" w:rsidDel="00000000" w:rsidP="00000000" w:rsidRDefault="00000000" w:rsidRPr="00000000" w14:paraId="000000C5">
            <w:pPr>
              <w:spacing w:after="160" w:line="360" w:lineRule="auto"/>
              <w:jc w:val="both"/>
              <w:rPr/>
            </w:pPr>
            <w:r w:rsidDel="00000000" w:rsidR="00000000" w:rsidRPr="00000000">
              <w:rPr>
                <w:rtl w:val="0"/>
              </w:rPr>
              <w:t xml:space="preserve">Employees</w:t>
            </w:r>
          </w:p>
        </w:tc>
        <w:tc>
          <w:tcPr/>
          <w:p w:rsidR="00000000" w:rsidDel="00000000" w:rsidP="00000000" w:rsidRDefault="00000000" w:rsidRPr="00000000" w14:paraId="000000C6">
            <w:pPr>
              <w:spacing w:after="160" w:line="360" w:lineRule="auto"/>
              <w:jc w:val="both"/>
              <w:rPr/>
            </w:pPr>
            <w:r w:rsidDel="00000000" w:rsidR="00000000" w:rsidRPr="00000000">
              <w:rPr>
                <w:rtl w:val="0"/>
              </w:rPr>
              <w:t xml:space="preserve">Build understanding, reduce resistance</w:t>
            </w:r>
          </w:p>
        </w:tc>
        <w:tc>
          <w:tcPr/>
          <w:p w:rsidR="00000000" w:rsidDel="00000000" w:rsidP="00000000" w:rsidRDefault="00000000" w:rsidRPr="00000000" w14:paraId="000000C7">
            <w:pPr>
              <w:spacing w:after="160" w:line="360" w:lineRule="auto"/>
              <w:jc w:val="both"/>
              <w:rPr/>
            </w:pPr>
            <w:r w:rsidDel="00000000" w:rsidR="00000000" w:rsidRPr="00000000">
              <w:rPr>
                <w:rtl w:val="0"/>
              </w:rPr>
              <w:t xml:space="preserve">Town halls, intranet, email</w:t>
            </w:r>
          </w:p>
        </w:tc>
        <w:tc>
          <w:tcPr/>
          <w:p w:rsidR="00000000" w:rsidDel="00000000" w:rsidP="00000000" w:rsidRDefault="00000000" w:rsidRPr="00000000" w14:paraId="000000C8">
            <w:pPr>
              <w:spacing w:after="160" w:line="360" w:lineRule="auto"/>
              <w:jc w:val="both"/>
              <w:rPr/>
            </w:pPr>
            <w:r w:rsidDel="00000000" w:rsidR="00000000" w:rsidRPr="00000000">
              <w:rPr>
                <w:rtl w:val="0"/>
              </w:rPr>
              <w:t xml:space="preserve">Weekly updates, monthly forums</w:t>
            </w:r>
          </w:p>
        </w:tc>
      </w:tr>
      <w:tr>
        <w:trPr>
          <w:cantSplit w:val="0"/>
          <w:tblHeader w:val="0"/>
        </w:trPr>
        <w:tc>
          <w:tcPr/>
          <w:p w:rsidR="00000000" w:rsidDel="00000000" w:rsidP="00000000" w:rsidRDefault="00000000" w:rsidRPr="00000000" w14:paraId="000000C9">
            <w:pPr>
              <w:spacing w:after="160" w:line="360" w:lineRule="auto"/>
              <w:jc w:val="both"/>
              <w:rPr/>
            </w:pPr>
            <w:r w:rsidDel="00000000" w:rsidR="00000000" w:rsidRPr="00000000">
              <w:rPr>
                <w:rtl w:val="0"/>
              </w:rPr>
              <w:t xml:space="preserve">Customers</w:t>
            </w:r>
          </w:p>
        </w:tc>
        <w:tc>
          <w:tcPr/>
          <w:p w:rsidR="00000000" w:rsidDel="00000000" w:rsidP="00000000" w:rsidRDefault="00000000" w:rsidRPr="00000000" w14:paraId="000000CA">
            <w:pPr>
              <w:spacing w:after="160" w:line="360" w:lineRule="auto"/>
              <w:jc w:val="both"/>
              <w:rPr/>
            </w:pPr>
            <w:r w:rsidDel="00000000" w:rsidR="00000000" w:rsidRPr="00000000">
              <w:rPr>
                <w:rtl w:val="0"/>
              </w:rPr>
              <w:t xml:space="preserve">Explain benefits, encourage adoption</w:t>
            </w:r>
          </w:p>
        </w:tc>
        <w:tc>
          <w:tcPr/>
          <w:p w:rsidR="00000000" w:rsidDel="00000000" w:rsidP="00000000" w:rsidRDefault="00000000" w:rsidRPr="00000000" w14:paraId="000000CB">
            <w:pPr>
              <w:spacing w:after="160" w:line="360" w:lineRule="auto"/>
              <w:jc w:val="both"/>
              <w:rPr/>
            </w:pPr>
            <w:r w:rsidDel="00000000" w:rsidR="00000000" w:rsidRPr="00000000">
              <w:rPr>
                <w:rtl w:val="0"/>
              </w:rPr>
              <w:t xml:space="preserve">Website, app, in-store, social media</w:t>
            </w:r>
          </w:p>
        </w:tc>
        <w:tc>
          <w:tcPr/>
          <w:p w:rsidR="00000000" w:rsidDel="00000000" w:rsidP="00000000" w:rsidRDefault="00000000" w:rsidRPr="00000000" w14:paraId="000000CC">
            <w:pPr>
              <w:spacing w:after="160" w:line="360" w:lineRule="auto"/>
              <w:jc w:val="both"/>
              <w:rPr/>
            </w:pPr>
            <w:r w:rsidDel="00000000" w:rsidR="00000000" w:rsidRPr="00000000">
              <w:rPr>
                <w:rtl w:val="0"/>
              </w:rPr>
              <w:t xml:space="preserve">Continuous touchpoints</w:t>
            </w:r>
          </w:p>
        </w:tc>
      </w:tr>
      <w:tr>
        <w:trPr>
          <w:cantSplit w:val="0"/>
          <w:tblHeader w:val="0"/>
        </w:trPr>
        <w:tc>
          <w:tcPr/>
          <w:p w:rsidR="00000000" w:rsidDel="00000000" w:rsidP="00000000" w:rsidRDefault="00000000" w:rsidRPr="00000000" w14:paraId="000000CD">
            <w:pPr>
              <w:spacing w:after="160" w:line="360" w:lineRule="auto"/>
              <w:jc w:val="both"/>
              <w:rPr/>
            </w:pPr>
            <w:r w:rsidDel="00000000" w:rsidR="00000000" w:rsidRPr="00000000">
              <w:rPr>
                <w:rtl w:val="0"/>
              </w:rPr>
              <w:t xml:space="preserve">Investors</w:t>
            </w:r>
          </w:p>
        </w:tc>
        <w:tc>
          <w:tcPr/>
          <w:p w:rsidR="00000000" w:rsidDel="00000000" w:rsidP="00000000" w:rsidRDefault="00000000" w:rsidRPr="00000000" w14:paraId="000000CE">
            <w:pPr>
              <w:spacing w:after="160" w:line="360" w:lineRule="auto"/>
              <w:jc w:val="both"/>
              <w:rPr/>
            </w:pPr>
            <w:r w:rsidDel="00000000" w:rsidR="00000000" w:rsidRPr="00000000">
              <w:rPr>
                <w:rtl w:val="0"/>
              </w:rPr>
              <w:t xml:space="preserve">Demonstrate strategic rationale</w:t>
            </w:r>
          </w:p>
        </w:tc>
        <w:tc>
          <w:tcPr/>
          <w:p w:rsidR="00000000" w:rsidDel="00000000" w:rsidP="00000000" w:rsidRDefault="00000000" w:rsidRPr="00000000" w14:paraId="000000CF">
            <w:pPr>
              <w:spacing w:after="160" w:line="360" w:lineRule="auto"/>
              <w:jc w:val="both"/>
              <w:rPr/>
            </w:pPr>
            <w:r w:rsidDel="00000000" w:rsidR="00000000" w:rsidRPr="00000000">
              <w:rPr>
                <w:rtl w:val="0"/>
              </w:rPr>
              <w:t xml:space="preserve">Presentations, reports, analyst calls</w:t>
            </w:r>
          </w:p>
        </w:tc>
        <w:tc>
          <w:tcPr/>
          <w:p w:rsidR="00000000" w:rsidDel="00000000" w:rsidP="00000000" w:rsidRDefault="00000000" w:rsidRPr="00000000" w14:paraId="000000D0">
            <w:pPr>
              <w:spacing w:after="160" w:line="360" w:lineRule="auto"/>
              <w:jc w:val="both"/>
              <w:rPr/>
            </w:pPr>
            <w:r w:rsidDel="00000000" w:rsidR="00000000" w:rsidRPr="00000000">
              <w:rPr>
                <w:rtl w:val="0"/>
              </w:rPr>
              <w:t xml:space="preserve">Quarterly updates</w:t>
            </w:r>
          </w:p>
        </w:tc>
      </w:tr>
      <w:tr>
        <w:trPr>
          <w:cantSplit w:val="0"/>
          <w:tblHeader w:val="0"/>
        </w:trPr>
        <w:tc>
          <w:tcPr/>
          <w:p w:rsidR="00000000" w:rsidDel="00000000" w:rsidP="00000000" w:rsidRDefault="00000000" w:rsidRPr="00000000" w14:paraId="000000D1">
            <w:pPr>
              <w:spacing w:after="160" w:line="360" w:lineRule="auto"/>
              <w:jc w:val="both"/>
              <w:rPr/>
            </w:pPr>
            <w:r w:rsidDel="00000000" w:rsidR="00000000" w:rsidRPr="00000000">
              <w:rPr>
                <w:rtl w:val="0"/>
              </w:rPr>
              <w:t xml:space="preserve">Suppliers</w:t>
            </w:r>
          </w:p>
        </w:tc>
        <w:tc>
          <w:tcPr/>
          <w:p w:rsidR="00000000" w:rsidDel="00000000" w:rsidP="00000000" w:rsidRDefault="00000000" w:rsidRPr="00000000" w14:paraId="000000D2">
            <w:pPr>
              <w:spacing w:after="160" w:line="360" w:lineRule="auto"/>
              <w:jc w:val="both"/>
              <w:rPr/>
            </w:pPr>
            <w:r w:rsidDel="00000000" w:rsidR="00000000" w:rsidRPr="00000000">
              <w:rPr>
                <w:rtl w:val="0"/>
              </w:rPr>
              <w:t xml:space="preserve">Align operations, coordinate changes</w:t>
            </w:r>
          </w:p>
        </w:tc>
        <w:tc>
          <w:tcPr/>
          <w:p w:rsidR="00000000" w:rsidDel="00000000" w:rsidP="00000000" w:rsidRDefault="00000000" w:rsidRPr="00000000" w14:paraId="000000D3">
            <w:pPr>
              <w:spacing w:after="160" w:line="360" w:lineRule="auto"/>
              <w:jc w:val="both"/>
              <w:rPr/>
            </w:pPr>
            <w:r w:rsidDel="00000000" w:rsidR="00000000" w:rsidRPr="00000000">
              <w:rPr>
                <w:rtl w:val="0"/>
              </w:rPr>
              <w:t xml:space="preserve">Direct meetings, portal updates</w:t>
            </w:r>
          </w:p>
        </w:tc>
        <w:tc>
          <w:tcPr/>
          <w:p w:rsidR="00000000" w:rsidDel="00000000" w:rsidP="00000000" w:rsidRDefault="00000000" w:rsidRPr="00000000" w14:paraId="000000D4">
            <w:pPr>
              <w:spacing w:after="160" w:line="360" w:lineRule="auto"/>
              <w:jc w:val="both"/>
              <w:rPr/>
            </w:pPr>
            <w:r w:rsidDel="00000000" w:rsidR="00000000" w:rsidRPr="00000000">
              <w:rPr>
                <w:rtl w:val="0"/>
              </w:rPr>
              <w:t xml:space="preserve">Monthly reviews</w:t>
            </w:r>
          </w:p>
        </w:tc>
      </w:tr>
      <w:tr>
        <w:trPr>
          <w:cantSplit w:val="0"/>
          <w:tblHeader w:val="0"/>
        </w:trPr>
        <w:tc>
          <w:tcPr/>
          <w:p w:rsidR="00000000" w:rsidDel="00000000" w:rsidP="00000000" w:rsidRDefault="00000000" w:rsidRPr="00000000" w14:paraId="000000D5">
            <w:pPr>
              <w:spacing w:after="160" w:line="360" w:lineRule="auto"/>
              <w:jc w:val="both"/>
              <w:rPr/>
            </w:pPr>
            <w:r w:rsidDel="00000000" w:rsidR="00000000" w:rsidRPr="00000000">
              <w:rPr>
                <w:rtl w:val="0"/>
              </w:rPr>
              <w:t xml:space="preserve">Unions</w:t>
            </w:r>
          </w:p>
        </w:tc>
        <w:tc>
          <w:tcPr/>
          <w:p w:rsidR="00000000" w:rsidDel="00000000" w:rsidP="00000000" w:rsidRDefault="00000000" w:rsidRPr="00000000" w14:paraId="000000D6">
            <w:pPr>
              <w:spacing w:after="160" w:line="360" w:lineRule="auto"/>
              <w:jc w:val="both"/>
              <w:rPr/>
            </w:pPr>
            <w:r w:rsidDel="00000000" w:rsidR="00000000" w:rsidRPr="00000000">
              <w:rPr>
                <w:rtl w:val="0"/>
              </w:rPr>
              <w:t xml:space="preserve">Address workforce concerns</w:t>
            </w:r>
          </w:p>
        </w:tc>
        <w:tc>
          <w:tcPr/>
          <w:p w:rsidR="00000000" w:rsidDel="00000000" w:rsidP="00000000" w:rsidRDefault="00000000" w:rsidRPr="00000000" w14:paraId="000000D7">
            <w:pPr>
              <w:spacing w:after="160" w:line="360" w:lineRule="auto"/>
              <w:jc w:val="both"/>
              <w:rPr/>
            </w:pPr>
            <w:r w:rsidDel="00000000" w:rsidR="00000000" w:rsidRPr="00000000">
              <w:rPr>
                <w:rtl w:val="0"/>
              </w:rPr>
              <w:t xml:space="preserve">Formal consultation, working groups</w:t>
            </w:r>
          </w:p>
        </w:tc>
        <w:tc>
          <w:tcPr/>
          <w:p w:rsidR="00000000" w:rsidDel="00000000" w:rsidP="00000000" w:rsidRDefault="00000000" w:rsidRPr="00000000" w14:paraId="000000D8">
            <w:pPr>
              <w:spacing w:after="160" w:line="360" w:lineRule="auto"/>
              <w:jc w:val="both"/>
              <w:rPr/>
            </w:pPr>
            <w:r w:rsidDel="00000000" w:rsidR="00000000" w:rsidRPr="00000000">
              <w:rPr>
                <w:rtl w:val="0"/>
              </w:rPr>
              <w:t xml:space="preserve">Fortnightly meetings</w:t>
            </w:r>
          </w:p>
        </w:tc>
      </w:tr>
      <w:tr>
        <w:trPr>
          <w:cantSplit w:val="0"/>
          <w:tblHeader w:val="0"/>
        </w:trPr>
        <w:tc>
          <w:tcPr/>
          <w:p w:rsidR="00000000" w:rsidDel="00000000" w:rsidP="00000000" w:rsidRDefault="00000000" w:rsidRPr="00000000" w14:paraId="000000D9">
            <w:pPr>
              <w:spacing w:after="160" w:line="360" w:lineRule="auto"/>
              <w:jc w:val="both"/>
              <w:rPr/>
            </w:pPr>
            <w:r w:rsidDel="00000000" w:rsidR="00000000" w:rsidRPr="00000000">
              <w:rPr>
                <w:rtl w:val="0"/>
              </w:rPr>
              <w:t xml:space="preserve">Board of Directors</w:t>
            </w:r>
          </w:p>
        </w:tc>
        <w:tc>
          <w:tcPr/>
          <w:p w:rsidR="00000000" w:rsidDel="00000000" w:rsidP="00000000" w:rsidRDefault="00000000" w:rsidRPr="00000000" w14:paraId="000000DA">
            <w:pPr>
              <w:spacing w:after="160" w:line="360" w:lineRule="auto"/>
              <w:jc w:val="both"/>
              <w:rPr/>
            </w:pPr>
            <w:r w:rsidDel="00000000" w:rsidR="00000000" w:rsidRPr="00000000">
              <w:rPr>
                <w:rtl w:val="0"/>
              </w:rPr>
              <w:t xml:space="preserve">Progress reporting, decision support</w:t>
            </w:r>
          </w:p>
        </w:tc>
        <w:tc>
          <w:tcPr/>
          <w:p w:rsidR="00000000" w:rsidDel="00000000" w:rsidP="00000000" w:rsidRDefault="00000000" w:rsidRPr="00000000" w14:paraId="000000DB">
            <w:pPr>
              <w:spacing w:after="160" w:line="360" w:lineRule="auto"/>
              <w:jc w:val="both"/>
              <w:rPr/>
            </w:pPr>
            <w:r w:rsidDel="00000000" w:rsidR="00000000" w:rsidRPr="00000000">
              <w:rPr>
                <w:rtl w:val="0"/>
              </w:rPr>
              <w:t xml:space="preserve">Board meetings, written reports</w:t>
            </w:r>
          </w:p>
        </w:tc>
        <w:tc>
          <w:tcPr/>
          <w:p w:rsidR="00000000" w:rsidDel="00000000" w:rsidP="00000000" w:rsidRDefault="00000000" w:rsidRPr="00000000" w14:paraId="000000DC">
            <w:pPr>
              <w:spacing w:after="160" w:line="360" w:lineRule="auto"/>
              <w:jc w:val="both"/>
              <w:rPr/>
            </w:pPr>
            <w:r w:rsidDel="00000000" w:rsidR="00000000" w:rsidRPr="00000000">
              <w:rPr>
                <w:rtl w:val="0"/>
              </w:rPr>
              <w:t xml:space="preserve">Monthly updates</w:t>
            </w:r>
          </w:p>
        </w:tc>
      </w:tr>
    </w:tbl>
    <w:p w:rsidR="00000000" w:rsidDel="00000000" w:rsidP="00000000" w:rsidRDefault="00000000" w:rsidRPr="00000000" w14:paraId="000000DD">
      <w:pPr>
        <w:pStyle w:val="Heading2"/>
        <w:rPr/>
      </w:pPr>
      <w:bookmarkStart w:colFirst="0" w:colLast="0" w:name="_u9vyyipl1rjl" w:id="19"/>
      <w:bookmarkEnd w:id="19"/>
      <w:r w:rsidDel="00000000" w:rsidR="00000000" w:rsidRPr="00000000">
        <w:rPr>
          <w:rtl w:val="0"/>
        </w:rPr>
        <w:t xml:space="preserve">Training and Capability Development</w:t>
      </w:r>
    </w:p>
    <w:p w:rsidR="00000000" w:rsidDel="00000000" w:rsidP="00000000" w:rsidRDefault="00000000" w:rsidRPr="00000000" w14:paraId="000000DE">
      <w:pPr>
        <w:spacing w:line="360" w:lineRule="auto"/>
        <w:jc w:val="both"/>
        <w:rPr/>
      </w:pPr>
      <w:r w:rsidDel="00000000" w:rsidR="00000000" w:rsidRPr="00000000">
        <w:rPr>
          <w:rtl w:val="0"/>
        </w:rPr>
        <w:t xml:space="preserve">Training programmes form the workforce skills required to execute the omnichannel operations at all the workforce level and functions. Digital literacy learning provides competency baseline throughout the whole population of employees with minimum competency requirements. Role-specific programmes meet store colle requirements, distribution centre worker requirements and customer service team requirements that correspond to training and job requirements. The leadership development equips managers to guide the transformations of the team and adjust their practises according to the new operating models (AlNuaimi et al., 2022). Technical training prepares the IT personnel to accommodate the new systems and to troubleshoot problems that would allow the company to run smoothly in transition. The learning techniques are integrated with classroom training, web-based courses, and in-job training that fit various learning styles and working needs. The evaluation procedures confirm the achievement of competencies prior to employees taking over other duties to defend the quality of service and employee confidence (Deng &amp; Yi, 2025). The culture of continuous learning assists in the continuous improvement as technology and processes grow with time of implementation. The measurement of training effectiveness measures the completion rates, competency tests, and performance results that allow refining the programme.</w:t>
      </w:r>
    </w:p>
    <w:p w:rsidR="00000000" w:rsidDel="00000000" w:rsidP="00000000" w:rsidRDefault="00000000" w:rsidRPr="00000000" w14:paraId="000000DF">
      <w:pPr>
        <w:spacing w:line="360" w:lineRule="auto"/>
        <w:jc w:val="both"/>
        <w:rPr/>
      </w:pPr>
      <w:r w:rsidDel="00000000" w:rsidR="00000000" w:rsidRPr="00000000">
        <w:rPr>
          <w:b w:val="1"/>
          <w:rtl w:val="0"/>
        </w:rPr>
        <w:t xml:space="preserve">Table 5: Training Programme Structure</w:t>
      </w:r>
      <w:r w:rsidDel="00000000" w:rsidR="00000000" w:rsidRPr="00000000">
        <w:rPr>
          <w:rtl w:val="0"/>
        </w:rPr>
      </w:r>
    </w:p>
    <w:tbl>
      <w:tblPr>
        <w:tblStyle w:val="Table5"/>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498"/>
        <w:gridCol w:w="2674"/>
        <w:gridCol w:w="1150"/>
        <w:gridCol w:w="2694"/>
        <w:tblGridChange w:id="0">
          <w:tblGrid>
            <w:gridCol w:w="2498"/>
            <w:gridCol w:w="2674"/>
            <w:gridCol w:w="1150"/>
            <w:gridCol w:w="2694"/>
          </w:tblGrid>
        </w:tblGridChange>
      </w:tblGrid>
      <w:tr>
        <w:trPr>
          <w:cantSplit w:val="0"/>
          <w:tblHeader w:val="0"/>
        </w:trPr>
        <w:tc>
          <w:tcPr/>
          <w:p w:rsidR="00000000" w:rsidDel="00000000" w:rsidP="00000000" w:rsidRDefault="00000000" w:rsidRPr="00000000" w14:paraId="000000E0">
            <w:pPr>
              <w:spacing w:after="160" w:line="360" w:lineRule="auto"/>
              <w:jc w:val="both"/>
              <w:rPr>
                <w:b w:val="1"/>
              </w:rPr>
            </w:pPr>
            <w:r w:rsidDel="00000000" w:rsidR="00000000" w:rsidRPr="00000000">
              <w:rPr>
                <w:b w:val="1"/>
                <w:rtl w:val="0"/>
              </w:rPr>
              <w:t xml:space="preserve">Programme</w:t>
            </w:r>
          </w:p>
        </w:tc>
        <w:tc>
          <w:tcPr/>
          <w:p w:rsidR="00000000" w:rsidDel="00000000" w:rsidP="00000000" w:rsidRDefault="00000000" w:rsidRPr="00000000" w14:paraId="000000E1">
            <w:pPr>
              <w:spacing w:after="160" w:line="360" w:lineRule="auto"/>
              <w:jc w:val="both"/>
              <w:rPr>
                <w:b w:val="1"/>
              </w:rPr>
            </w:pPr>
            <w:r w:rsidDel="00000000" w:rsidR="00000000" w:rsidRPr="00000000">
              <w:rPr>
                <w:b w:val="1"/>
                <w:rtl w:val="0"/>
              </w:rPr>
              <w:t xml:space="preserve">Target Audience</w:t>
            </w:r>
          </w:p>
        </w:tc>
        <w:tc>
          <w:tcPr/>
          <w:p w:rsidR="00000000" w:rsidDel="00000000" w:rsidP="00000000" w:rsidRDefault="00000000" w:rsidRPr="00000000" w14:paraId="000000E2">
            <w:pPr>
              <w:spacing w:after="160" w:line="360" w:lineRule="auto"/>
              <w:jc w:val="both"/>
              <w:rPr>
                <w:b w:val="1"/>
              </w:rPr>
            </w:pPr>
            <w:r w:rsidDel="00000000" w:rsidR="00000000" w:rsidRPr="00000000">
              <w:rPr>
                <w:b w:val="1"/>
                <w:rtl w:val="0"/>
              </w:rPr>
              <w:t xml:space="preserve">Duration</w:t>
            </w:r>
          </w:p>
        </w:tc>
        <w:tc>
          <w:tcPr/>
          <w:p w:rsidR="00000000" w:rsidDel="00000000" w:rsidP="00000000" w:rsidRDefault="00000000" w:rsidRPr="00000000" w14:paraId="000000E3">
            <w:pPr>
              <w:spacing w:after="160" w:line="360" w:lineRule="auto"/>
              <w:jc w:val="both"/>
              <w:rPr>
                <w:b w:val="1"/>
              </w:rPr>
            </w:pPr>
            <w:r w:rsidDel="00000000" w:rsidR="00000000" w:rsidRPr="00000000">
              <w:rPr>
                <w:b w:val="1"/>
                <w:rtl w:val="0"/>
              </w:rPr>
              <w:t xml:space="preserve">Delivery Method</w:t>
            </w:r>
          </w:p>
        </w:tc>
      </w:tr>
      <w:tr>
        <w:trPr>
          <w:cantSplit w:val="0"/>
          <w:tblHeader w:val="0"/>
        </w:trPr>
        <w:tc>
          <w:tcPr/>
          <w:p w:rsidR="00000000" w:rsidDel="00000000" w:rsidP="00000000" w:rsidRDefault="00000000" w:rsidRPr="00000000" w14:paraId="000000E4">
            <w:pPr>
              <w:spacing w:after="160" w:line="360" w:lineRule="auto"/>
              <w:jc w:val="both"/>
              <w:rPr/>
            </w:pPr>
            <w:r w:rsidDel="00000000" w:rsidR="00000000" w:rsidRPr="00000000">
              <w:rPr>
                <w:rtl w:val="0"/>
              </w:rPr>
              <w:t xml:space="preserve">Digital Fundamentals</w:t>
            </w:r>
          </w:p>
        </w:tc>
        <w:tc>
          <w:tcPr/>
          <w:p w:rsidR="00000000" w:rsidDel="00000000" w:rsidP="00000000" w:rsidRDefault="00000000" w:rsidRPr="00000000" w14:paraId="000000E5">
            <w:pPr>
              <w:spacing w:after="160" w:line="360" w:lineRule="auto"/>
              <w:jc w:val="both"/>
              <w:rPr/>
            </w:pPr>
            <w:r w:rsidDel="00000000" w:rsidR="00000000" w:rsidRPr="00000000">
              <w:rPr>
                <w:rtl w:val="0"/>
              </w:rPr>
              <w:t xml:space="preserve">All employees</w:t>
            </w:r>
          </w:p>
        </w:tc>
        <w:tc>
          <w:tcPr/>
          <w:p w:rsidR="00000000" w:rsidDel="00000000" w:rsidP="00000000" w:rsidRDefault="00000000" w:rsidRPr="00000000" w14:paraId="000000E6">
            <w:pPr>
              <w:spacing w:after="160" w:line="360" w:lineRule="auto"/>
              <w:jc w:val="both"/>
              <w:rPr/>
            </w:pPr>
            <w:r w:rsidDel="00000000" w:rsidR="00000000" w:rsidRPr="00000000">
              <w:rPr>
                <w:rtl w:val="0"/>
              </w:rPr>
              <w:t xml:space="preserve">2 days</w:t>
            </w:r>
          </w:p>
        </w:tc>
        <w:tc>
          <w:tcPr/>
          <w:p w:rsidR="00000000" w:rsidDel="00000000" w:rsidP="00000000" w:rsidRDefault="00000000" w:rsidRPr="00000000" w14:paraId="000000E7">
            <w:pPr>
              <w:spacing w:after="160" w:line="360" w:lineRule="auto"/>
              <w:jc w:val="both"/>
              <w:rPr/>
            </w:pPr>
            <w:r w:rsidDel="00000000" w:rsidR="00000000" w:rsidRPr="00000000">
              <w:rPr>
                <w:rtl w:val="0"/>
              </w:rPr>
              <w:t xml:space="preserve">Online modules, workshops</w:t>
            </w:r>
          </w:p>
        </w:tc>
      </w:tr>
      <w:tr>
        <w:trPr>
          <w:cantSplit w:val="0"/>
          <w:tblHeader w:val="0"/>
        </w:trPr>
        <w:tc>
          <w:tcPr/>
          <w:p w:rsidR="00000000" w:rsidDel="00000000" w:rsidP="00000000" w:rsidRDefault="00000000" w:rsidRPr="00000000" w14:paraId="000000E8">
            <w:pPr>
              <w:spacing w:after="160" w:line="360" w:lineRule="auto"/>
              <w:jc w:val="both"/>
              <w:rPr/>
            </w:pPr>
            <w:r w:rsidDel="00000000" w:rsidR="00000000" w:rsidRPr="00000000">
              <w:rPr>
                <w:rtl w:val="0"/>
              </w:rPr>
              <w:t xml:space="preserve">Omnichannel Customer Service</w:t>
            </w:r>
          </w:p>
        </w:tc>
        <w:tc>
          <w:tcPr/>
          <w:p w:rsidR="00000000" w:rsidDel="00000000" w:rsidP="00000000" w:rsidRDefault="00000000" w:rsidRPr="00000000" w14:paraId="000000E9">
            <w:pPr>
              <w:spacing w:after="160" w:line="360" w:lineRule="auto"/>
              <w:jc w:val="both"/>
              <w:rPr/>
            </w:pPr>
            <w:r w:rsidDel="00000000" w:rsidR="00000000" w:rsidRPr="00000000">
              <w:rPr>
                <w:rtl w:val="0"/>
              </w:rPr>
              <w:t xml:space="preserve">Customer-facing colleagues</w:t>
            </w:r>
          </w:p>
        </w:tc>
        <w:tc>
          <w:tcPr/>
          <w:p w:rsidR="00000000" w:rsidDel="00000000" w:rsidP="00000000" w:rsidRDefault="00000000" w:rsidRPr="00000000" w14:paraId="000000EA">
            <w:pPr>
              <w:spacing w:after="160" w:line="360" w:lineRule="auto"/>
              <w:jc w:val="both"/>
              <w:rPr/>
            </w:pPr>
            <w:r w:rsidDel="00000000" w:rsidR="00000000" w:rsidRPr="00000000">
              <w:rPr>
                <w:rtl w:val="0"/>
              </w:rPr>
              <w:t xml:space="preserve">3 days</w:t>
            </w:r>
          </w:p>
        </w:tc>
        <w:tc>
          <w:tcPr/>
          <w:p w:rsidR="00000000" w:rsidDel="00000000" w:rsidP="00000000" w:rsidRDefault="00000000" w:rsidRPr="00000000" w14:paraId="000000EB">
            <w:pPr>
              <w:spacing w:after="160" w:line="360" w:lineRule="auto"/>
              <w:jc w:val="both"/>
              <w:rPr/>
            </w:pPr>
            <w:r w:rsidDel="00000000" w:rsidR="00000000" w:rsidRPr="00000000">
              <w:rPr>
                <w:rtl w:val="0"/>
              </w:rPr>
              <w:t xml:space="preserve">Classroom, role-play, system practice</w:t>
            </w:r>
          </w:p>
        </w:tc>
      </w:tr>
      <w:tr>
        <w:trPr>
          <w:cantSplit w:val="0"/>
          <w:tblHeader w:val="0"/>
        </w:trPr>
        <w:tc>
          <w:tcPr/>
          <w:p w:rsidR="00000000" w:rsidDel="00000000" w:rsidP="00000000" w:rsidRDefault="00000000" w:rsidRPr="00000000" w14:paraId="000000EC">
            <w:pPr>
              <w:spacing w:after="160" w:line="360" w:lineRule="auto"/>
              <w:jc w:val="both"/>
              <w:rPr/>
            </w:pPr>
            <w:r w:rsidDel="00000000" w:rsidR="00000000" w:rsidRPr="00000000">
              <w:rPr>
                <w:rtl w:val="0"/>
              </w:rPr>
              <w:t xml:space="preserve">Fulfilment Operations</w:t>
            </w:r>
          </w:p>
        </w:tc>
        <w:tc>
          <w:tcPr/>
          <w:p w:rsidR="00000000" w:rsidDel="00000000" w:rsidP="00000000" w:rsidRDefault="00000000" w:rsidRPr="00000000" w14:paraId="000000ED">
            <w:pPr>
              <w:spacing w:after="160" w:line="360" w:lineRule="auto"/>
              <w:jc w:val="both"/>
              <w:rPr/>
            </w:pPr>
            <w:r w:rsidDel="00000000" w:rsidR="00000000" w:rsidRPr="00000000">
              <w:rPr>
                <w:rtl w:val="0"/>
              </w:rPr>
              <w:t xml:space="preserve">Distribution and store picking staff</w:t>
            </w:r>
          </w:p>
        </w:tc>
        <w:tc>
          <w:tcPr/>
          <w:p w:rsidR="00000000" w:rsidDel="00000000" w:rsidP="00000000" w:rsidRDefault="00000000" w:rsidRPr="00000000" w14:paraId="000000EE">
            <w:pPr>
              <w:spacing w:after="160" w:line="360" w:lineRule="auto"/>
              <w:jc w:val="both"/>
              <w:rPr/>
            </w:pPr>
            <w:r w:rsidDel="00000000" w:rsidR="00000000" w:rsidRPr="00000000">
              <w:rPr>
                <w:rtl w:val="0"/>
              </w:rPr>
              <w:t xml:space="preserve">5 days</w:t>
            </w:r>
          </w:p>
        </w:tc>
        <w:tc>
          <w:tcPr/>
          <w:p w:rsidR="00000000" w:rsidDel="00000000" w:rsidP="00000000" w:rsidRDefault="00000000" w:rsidRPr="00000000" w14:paraId="000000EF">
            <w:pPr>
              <w:spacing w:after="160" w:line="360" w:lineRule="auto"/>
              <w:jc w:val="both"/>
              <w:rPr/>
            </w:pPr>
            <w:r w:rsidDel="00000000" w:rsidR="00000000" w:rsidRPr="00000000">
              <w:rPr>
                <w:rtl w:val="0"/>
              </w:rPr>
              <w:t xml:space="preserve">On-site training, shadowing</w:t>
            </w:r>
          </w:p>
        </w:tc>
      </w:tr>
      <w:tr>
        <w:trPr>
          <w:cantSplit w:val="0"/>
          <w:tblHeader w:val="0"/>
        </w:trPr>
        <w:tc>
          <w:tcPr/>
          <w:p w:rsidR="00000000" w:rsidDel="00000000" w:rsidP="00000000" w:rsidRDefault="00000000" w:rsidRPr="00000000" w14:paraId="000000F0">
            <w:pPr>
              <w:spacing w:after="160" w:line="360" w:lineRule="auto"/>
              <w:jc w:val="both"/>
              <w:rPr/>
            </w:pPr>
            <w:r w:rsidDel="00000000" w:rsidR="00000000" w:rsidRPr="00000000">
              <w:rPr>
                <w:rtl w:val="0"/>
              </w:rPr>
              <w:t xml:space="preserve">Leadership in Change</w:t>
            </w:r>
          </w:p>
        </w:tc>
        <w:tc>
          <w:tcPr/>
          <w:p w:rsidR="00000000" w:rsidDel="00000000" w:rsidP="00000000" w:rsidRDefault="00000000" w:rsidRPr="00000000" w14:paraId="000000F1">
            <w:pPr>
              <w:spacing w:after="160" w:line="360" w:lineRule="auto"/>
              <w:jc w:val="both"/>
              <w:rPr/>
            </w:pPr>
            <w:r w:rsidDel="00000000" w:rsidR="00000000" w:rsidRPr="00000000">
              <w:rPr>
                <w:rtl w:val="0"/>
              </w:rPr>
              <w:t xml:space="preserve">Managers and supervisors</w:t>
            </w:r>
          </w:p>
        </w:tc>
        <w:tc>
          <w:tcPr/>
          <w:p w:rsidR="00000000" w:rsidDel="00000000" w:rsidP="00000000" w:rsidRDefault="00000000" w:rsidRPr="00000000" w14:paraId="000000F2">
            <w:pPr>
              <w:spacing w:after="160" w:line="360" w:lineRule="auto"/>
              <w:jc w:val="both"/>
              <w:rPr/>
            </w:pPr>
            <w:r w:rsidDel="00000000" w:rsidR="00000000" w:rsidRPr="00000000">
              <w:rPr>
                <w:rtl w:val="0"/>
              </w:rPr>
              <w:t xml:space="preserve">4 days</w:t>
            </w:r>
          </w:p>
        </w:tc>
        <w:tc>
          <w:tcPr/>
          <w:p w:rsidR="00000000" w:rsidDel="00000000" w:rsidP="00000000" w:rsidRDefault="00000000" w:rsidRPr="00000000" w14:paraId="000000F3">
            <w:pPr>
              <w:spacing w:after="160" w:line="360" w:lineRule="auto"/>
              <w:jc w:val="both"/>
              <w:rPr/>
            </w:pPr>
            <w:r w:rsidDel="00000000" w:rsidR="00000000" w:rsidRPr="00000000">
              <w:rPr>
                <w:rtl w:val="0"/>
              </w:rPr>
              <w:t xml:space="preserve">Workshops, coaching, peer learning</w:t>
            </w:r>
          </w:p>
        </w:tc>
      </w:tr>
      <w:tr>
        <w:trPr>
          <w:cantSplit w:val="0"/>
          <w:tblHeader w:val="0"/>
        </w:trPr>
        <w:tc>
          <w:tcPr/>
          <w:p w:rsidR="00000000" w:rsidDel="00000000" w:rsidP="00000000" w:rsidRDefault="00000000" w:rsidRPr="00000000" w14:paraId="000000F4">
            <w:pPr>
              <w:spacing w:after="160" w:line="360" w:lineRule="auto"/>
              <w:jc w:val="both"/>
              <w:rPr/>
            </w:pPr>
            <w:r w:rsidDel="00000000" w:rsidR="00000000" w:rsidRPr="00000000">
              <w:rPr>
                <w:rtl w:val="0"/>
              </w:rPr>
              <w:t xml:space="preserve">Advanced Analytics</w:t>
            </w:r>
          </w:p>
        </w:tc>
        <w:tc>
          <w:tcPr/>
          <w:p w:rsidR="00000000" w:rsidDel="00000000" w:rsidP="00000000" w:rsidRDefault="00000000" w:rsidRPr="00000000" w14:paraId="000000F5">
            <w:pPr>
              <w:spacing w:after="160" w:line="360" w:lineRule="auto"/>
              <w:jc w:val="both"/>
              <w:rPr/>
            </w:pPr>
            <w:r w:rsidDel="00000000" w:rsidR="00000000" w:rsidRPr="00000000">
              <w:rPr>
                <w:rtl w:val="0"/>
              </w:rPr>
              <w:t xml:space="preserve">Business analysts, merchandisers</w:t>
            </w:r>
          </w:p>
        </w:tc>
        <w:tc>
          <w:tcPr/>
          <w:p w:rsidR="00000000" w:rsidDel="00000000" w:rsidP="00000000" w:rsidRDefault="00000000" w:rsidRPr="00000000" w14:paraId="000000F6">
            <w:pPr>
              <w:spacing w:after="160" w:line="360" w:lineRule="auto"/>
              <w:jc w:val="both"/>
              <w:rPr/>
            </w:pPr>
            <w:r w:rsidDel="00000000" w:rsidR="00000000" w:rsidRPr="00000000">
              <w:rPr>
                <w:rtl w:val="0"/>
              </w:rPr>
              <w:t xml:space="preserve">10 days</w:t>
            </w:r>
          </w:p>
        </w:tc>
        <w:tc>
          <w:tcPr/>
          <w:p w:rsidR="00000000" w:rsidDel="00000000" w:rsidP="00000000" w:rsidRDefault="00000000" w:rsidRPr="00000000" w14:paraId="000000F7">
            <w:pPr>
              <w:spacing w:after="160" w:line="360" w:lineRule="auto"/>
              <w:jc w:val="both"/>
              <w:rPr/>
            </w:pPr>
            <w:r w:rsidDel="00000000" w:rsidR="00000000" w:rsidRPr="00000000">
              <w:rPr>
                <w:rtl w:val="0"/>
              </w:rPr>
              <w:t xml:space="preserve">Technical training, project work</w:t>
            </w:r>
          </w:p>
        </w:tc>
      </w:tr>
    </w:tbl>
    <w:p w:rsidR="00000000" w:rsidDel="00000000" w:rsidP="00000000" w:rsidRDefault="00000000" w:rsidRPr="00000000" w14:paraId="000000F8">
      <w:pPr>
        <w:pStyle w:val="Heading2"/>
        <w:rPr/>
      </w:pPr>
      <w:bookmarkStart w:colFirst="0" w:colLast="0" w:name="_xgicbj5g2p09" w:id="20"/>
      <w:bookmarkEnd w:id="20"/>
      <w:r w:rsidDel="00000000" w:rsidR="00000000" w:rsidRPr="00000000">
        <w:rPr>
          <w:rtl w:val="0"/>
        </w:rPr>
        <w:t xml:space="preserve">Risk Management and Mitigation Strategies</w:t>
      </w:r>
    </w:p>
    <w:p w:rsidR="00000000" w:rsidDel="00000000" w:rsidP="00000000" w:rsidRDefault="00000000" w:rsidRPr="00000000" w14:paraId="000000F9">
      <w:pPr>
        <w:spacing w:line="360" w:lineRule="auto"/>
        <w:jc w:val="both"/>
        <w:rPr/>
      </w:pPr>
      <w:r w:rsidDel="00000000" w:rsidR="00000000" w:rsidRPr="00000000">
        <w:rPr>
          <w:rtl w:val="0"/>
        </w:rPr>
        <w:t xml:space="preserve">Risk management in all its completeness determines risks to successful implementation, and comes up with mitigation strategies to safeguard programme value. A failure of the systems, integration problems, and cybersecurity vulnerabilities that may cause disruption of the operations are some of the technology implementation risks. Mitigation policies utilise intensive testing, gradual implementations and backup provisions that keep services running through the deployment. The risks of organisational resistance are caused by the cultural inertia and anxiety of the employees about the change that is degrading engagement and the quality of its implementation (Khaw et al., 2022). The mitigation strategies focus on communication, engagement, and observable leadership support development of trust and devotion (Abawari et al., 2024). Financial risks include cost and benefit overruns and programme viability and organisational support are threatened by financial risks. Examples of mitigation measures are contingency budgets, stage-gate reviews and benefit tracking that allows the intervention to be taken at an early stage where the performance is not going as expected. Competitive risks are created when competitors have the same capabilities deployed faster and strip away the expected benefits and market positions. Mitigation is directed to expedited deployment and customer differentiated value propositions that generate sustainable competitive advantages. External risks are connected with economic environment, regulatory changes and technology disruption with impact on the context of implementation and strategic assumptions.</w:t>
      </w:r>
    </w:p>
    <w:p w:rsidR="00000000" w:rsidDel="00000000" w:rsidP="00000000" w:rsidRDefault="00000000" w:rsidRPr="00000000" w14:paraId="000000FA">
      <w:pPr>
        <w:spacing w:line="360" w:lineRule="auto"/>
        <w:jc w:val="both"/>
        <w:rPr/>
      </w:pPr>
      <w:r w:rsidDel="00000000" w:rsidR="00000000" w:rsidRPr="00000000">
        <w:rPr>
          <w:b w:val="1"/>
          <w:rtl w:val="0"/>
        </w:rPr>
        <w:t xml:space="preserve">Table 6: Key Risks and Mitigation Strategies</w:t>
      </w:r>
      <w:r w:rsidDel="00000000" w:rsidR="00000000" w:rsidRPr="00000000">
        <w:rPr>
          <w:rtl w:val="0"/>
        </w:rPr>
      </w:r>
    </w:p>
    <w:tbl>
      <w:tblPr>
        <w:tblStyle w:val="Table6"/>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645"/>
        <w:gridCol w:w="2167"/>
        <w:gridCol w:w="1030"/>
        <w:gridCol w:w="1324"/>
        <w:gridCol w:w="2850"/>
        <w:tblGridChange w:id="0">
          <w:tblGrid>
            <w:gridCol w:w="1645"/>
            <w:gridCol w:w="2167"/>
            <w:gridCol w:w="1030"/>
            <w:gridCol w:w="1324"/>
            <w:gridCol w:w="2850"/>
          </w:tblGrid>
        </w:tblGridChange>
      </w:tblGrid>
      <w:tr>
        <w:trPr>
          <w:cantSplit w:val="0"/>
          <w:tblHeader w:val="0"/>
        </w:trPr>
        <w:tc>
          <w:tcPr/>
          <w:p w:rsidR="00000000" w:rsidDel="00000000" w:rsidP="00000000" w:rsidRDefault="00000000" w:rsidRPr="00000000" w14:paraId="000000FB">
            <w:pPr>
              <w:spacing w:after="160" w:line="360" w:lineRule="auto"/>
              <w:jc w:val="both"/>
              <w:rPr>
                <w:b w:val="1"/>
              </w:rPr>
            </w:pPr>
            <w:r w:rsidDel="00000000" w:rsidR="00000000" w:rsidRPr="00000000">
              <w:rPr>
                <w:b w:val="1"/>
                <w:rtl w:val="0"/>
              </w:rPr>
              <w:t xml:space="preserve">Risk Category</w:t>
            </w:r>
          </w:p>
        </w:tc>
        <w:tc>
          <w:tcPr/>
          <w:p w:rsidR="00000000" w:rsidDel="00000000" w:rsidP="00000000" w:rsidRDefault="00000000" w:rsidRPr="00000000" w14:paraId="000000FC">
            <w:pPr>
              <w:spacing w:after="160" w:line="360" w:lineRule="auto"/>
              <w:jc w:val="both"/>
              <w:rPr>
                <w:b w:val="1"/>
              </w:rPr>
            </w:pPr>
            <w:r w:rsidDel="00000000" w:rsidR="00000000" w:rsidRPr="00000000">
              <w:rPr>
                <w:b w:val="1"/>
                <w:rtl w:val="0"/>
              </w:rPr>
              <w:t xml:space="preserve">Specific Risk</w:t>
            </w:r>
          </w:p>
        </w:tc>
        <w:tc>
          <w:tcPr/>
          <w:p w:rsidR="00000000" w:rsidDel="00000000" w:rsidP="00000000" w:rsidRDefault="00000000" w:rsidRPr="00000000" w14:paraId="000000FD">
            <w:pPr>
              <w:spacing w:after="160" w:line="360" w:lineRule="auto"/>
              <w:jc w:val="both"/>
              <w:rPr>
                <w:b w:val="1"/>
              </w:rPr>
            </w:pPr>
            <w:r w:rsidDel="00000000" w:rsidR="00000000" w:rsidRPr="00000000">
              <w:rPr>
                <w:b w:val="1"/>
                <w:rtl w:val="0"/>
              </w:rPr>
              <w:t xml:space="preserve">Impact</w:t>
            </w:r>
          </w:p>
        </w:tc>
        <w:tc>
          <w:tcPr/>
          <w:p w:rsidR="00000000" w:rsidDel="00000000" w:rsidP="00000000" w:rsidRDefault="00000000" w:rsidRPr="00000000" w14:paraId="000000FE">
            <w:pPr>
              <w:spacing w:after="160" w:line="360" w:lineRule="auto"/>
              <w:jc w:val="both"/>
              <w:rPr>
                <w:b w:val="1"/>
              </w:rPr>
            </w:pPr>
            <w:r w:rsidDel="00000000" w:rsidR="00000000" w:rsidRPr="00000000">
              <w:rPr>
                <w:b w:val="1"/>
                <w:rtl w:val="0"/>
              </w:rPr>
              <w:t xml:space="preserve">Likelihood</w:t>
            </w:r>
          </w:p>
        </w:tc>
        <w:tc>
          <w:tcPr/>
          <w:p w:rsidR="00000000" w:rsidDel="00000000" w:rsidP="00000000" w:rsidRDefault="00000000" w:rsidRPr="00000000" w14:paraId="000000FF">
            <w:pPr>
              <w:spacing w:after="160" w:line="360" w:lineRule="auto"/>
              <w:jc w:val="both"/>
              <w:rPr>
                <w:b w:val="1"/>
              </w:rPr>
            </w:pPr>
            <w:r w:rsidDel="00000000" w:rsidR="00000000" w:rsidRPr="00000000">
              <w:rPr>
                <w:b w:val="1"/>
                <w:rtl w:val="0"/>
              </w:rPr>
              <w:t xml:space="preserve">Mitigation Strategy</w:t>
            </w:r>
          </w:p>
        </w:tc>
      </w:tr>
      <w:tr>
        <w:trPr>
          <w:cantSplit w:val="0"/>
          <w:tblHeader w:val="0"/>
        </w:trPr>
        <w:tc>
          <w:tcPr/>
          <w:p w:rsidR="00000000" w:rsidDel="00000000" w:rsidP="00000000" w:rsidRDefault="00000000" w:rsidRPr="00000000" w14:paraId="00000100">
            <w:pPr>
              <w:spacing w:after="160" w:line="360" w:lineRule="auto"/>
              <w:jc w:val="both"/>
              <w:rPr/>
            </w:pPr>
            <w:r w:rsidDel="00000000" w:rsidR="00000000" w:rsidRPr="00000000">
              <w:rPr>
                <w:rtl w:val="0"/>
              </w:rPr>
              <w:t xml:space="preserve">Technology</w:t>
            </w:r>
          </w:p>
        </w:tc>
        <w:tc>
          <w:tcPr/>
          <w:p w:rsidR="00000000" w:rsidDel="00000000" w:rsidP="00000000" w:rsidRDefault="00000000" w:rsidRPr="00000000" w14:paraId="00000101">
            <w:pPr>
              <w:spacing w:after="160" w:line="360" w:lineRule="auto"/>
              <w:jc w:val="both"/>
              <w:rPr/>
            </w:pPr>
            <w:r w:rsidDel="00000000" w:rsidR="00000000" w:rsidRPr="00000000">
              <w:rPr>
                <w:rtl w:val="0"/>
              </w:rPr>
              <w:t xml:space="preserve">System integration failure</w:t>
            </w:r>
          </w:p>
        </w:tc>
        <w:tc>
          <w:tcPr/>
          <w:p w:rsidR="00000000" w:rsidDel="00000000" w:rsidP="00000000" w:rsidRDefault="00000000" w:rsidRPr="00000000" w14:paraId="00000102">
            <w:pPr>
              <w:spacing w:after="160" w:line="360" w:lineRule="auto"/>
              <w:jc w:val="both"/>
              <w:rPr/>
            </w:pPr>
            <w:r w:rsidDel="00000000" w:rsidR="00000000" w:rsidRPr="00000000">
              <w:rPr>
                <w:rtl w:val="0"/>
              </w:rPr>
              <w:t xml:space="preserve">High</w:t>
            </w:r>
          </w:p>
        </w:tc>
        <w:tc>
          <w:tcPr/>
          <w:p w:rsidR="00000000" w:rsidDel="00000000" w:rsidP="00000000" w:rsidRDefault="00000000" w:rsidRPr="00000000" w14:paraId="00000103">
            <w:pPr>
              <w:spacing w:after="160" w:line="360" w:lineRule="auto"/>
              <w:jc w:val="both"/>
              <w:rPr/>
            </w:pPr>
            <w:r w:rsidDel="00000000" w:rsidR="00000000" w:rsidRPr="00000000">
              <w:rPr>
                <w:rtl w:val="0"/>
              </w:rPr>
              <w:t xml:space="preserve">Medium</w:t>
            </w:r>
          </w:p>
        </w:tc>
        <w:tc>
          <w:tcPr/>
          <w:p w:rsidR="00000000" w:rsidDel="00000000" w:rsidP="00000000" w:rsidRDefault="00000000" w:rsidRPr="00000000" w14:paraId="00000104">
            <w:pPr>
              <w:spacing w:after="160" w:line="360" w:lineRule="auto"/>
              <w:jc w:val="both"/>
              <w:rPr/>
            </w:pPr>
            <w:r w:rsidDel="00000000" w:rsidR="00000000" w:rsidRPr="00000000">
              <w:rPr>
                <w:rtl w:val="0"/>
              </w:rPr>
              <w:t xml:space="preserve">Phased rollout, extensive testing, vendor support</w:t>
            </w:r>
          </w:p>
        </w:tc>
      </w:tr>
      <w:tr>
        <w:trPr>
          <w:cantSplit w:val="0"/>
          <w:tblHeader w:val="0"/>
        </w:trPr>
        <w:tc>
          <w:tcPr/>
          <w:p w:rsidR="00000000" w:rsidDel="00000000" w:rsidP="00000000" w:rsidRDefault="00000000" w:rsidRPr="00000000" w14:paraId="00000105">
            <w:pPr>
              <w:spacing w:after="160" w:line="360" w:lineRule="auto"/>
              <w:jc w:val="both"/>
              <w:rPr/>
            </w:pPr>
            <w:r w:rsidDel="00000000" w:rsidR="00000000" w:rsidRPr="00000000">
              <w:rPr>
                <w:rtl w:val="0"/>
              </w:rPr>
              <w:t xml:space="preserve">Organisational</w:t>
            </w:r>
          </w:p>
        </w:tc>
        <w:tc>
          <w:tcPr/>
          <w:p w:rsidR="00000000" w:rsidDel="00000000" w:rsidP="00000000" w:rsidRDefault="00000000" w:rsidRPr="00000000" w14:paraId="00000106">
            <w:pPr>
              <w:spacing w:after="160" w:line="360" w:lineRule="auto"/>
              <w:jc w:val="both"/>
              <w:rPr/>
            </w:pPr>
            <w:r w:rsidDel="00000000" w:rsidR="00000000" w:rsidRPr="00000000">
              <w:rPr>
                <w:rtl w:val="0"/>
              </w:rPr>
              <w:t xml:space="preserve">Employee resistance</w:t>
            </w:r>
          </w:p>
        </w:tc>
        <w:tc>
          <w:tcPr/>
          <w:p w:rsidR="00000000" w:rsidDel="00000000" w:rsidP="00000000" w:rsidRDefault="00000000" w:rsidRPr="00000000" w14:paraId="00000107">
            <w:pPr>
              <w:spacing w:after="160" w:line="360" w:lineRule="auto"/>
              <w:jc w:val="both"/>
              <w:rPr/>
            </w:pPr>
            <w:r w:rsidDel="00000000" w:rsidR="00000000" w:rsidRPr="00000000">
              <w:rPr>
                <w:rtl w:val="0"/>
              </w:rPr>
              <w:t xml:space="preserve">High</w:t>
            </w:r>
          </w:p>
        </w:tc>
        <w:tc>
          <w:tcPr/>
          <w:p w:rsidR="00000000" w:rsidDel="00000000" w:rsidP="00000000" w:rsidRDefault="00000000" w:rsidRPr="00000000" w14:paraId="00000108">
            <w:pPr>
              <w:spacing w:after="160" w:line="360" w:lineRule="auto"/>
              <w:jc w:val="both"/>
              <w:rPr/>
            </w:pPr>
            <w:r w:rsidDel="00000000" w:rsidR="00000000" w:rsidRPr="00000000">
              <w:rPr>
                <w:rtl w:val="0"/>
              </w:rPr>
              <w:t xml:space="preserve">High</w:t>
            </w:r>
          </w:p>
        </w:tc>
        <w:tc>
          <w:tcPr/>
          <w:p w:rsidR="00000000" w:rsidDel="00000000" w:rsidP="00000000" w:rsidRDefault="00000000" w:rsidRPr="00000000" w14:paraId="00000109">
            <w:pPr>
              <w:spacing w:after="160" w:line="360" w:lineRule="auto"/>
              <w:jc w:val="both"/>
              <w:rPr/>
            </w:pPr>
            <w:r w:rsidDel="00000000" w:rsidR="00000000" w:rsidRPr="00000000">
              <w:rPr>
                <w:rtl w:val="0"/>
              </w:rPr>
              <w:t xml:space="preserve">Communication programme, training investment</w:t>
            </w:r>
          </w:p>
        </w:tc>
      </w:tr>
      <w:tr>
        <w:trPr>
          <w:cantSplit w:val="0"/>
          <w:tblHeader w:val="0"/>
        </w:trPr>
        <w:tc>
          <w:tcPr/>
          <w:p w:rsidR="00000000" w:rsidDel="00000000" w:rsidP="00000000" w:rsidRDefault="00000000" w:rsidRPr="00000000" w14:paraId="0000010A">
            <w:pPr>
              <w:spacing w:after="160" w:line="360" w:lineRule="auto"/>
              <w:jc w:val="both"/>
              <w:rPr/>
            </w:pPr>
            <w:r w:rsidDel="00000000" w:rsidR="00000000" w:rsidRPr="00000000">
              <w:rPr>
                <w:rtl w:val="0"/>
              </w:rPr>
              <w:t xml:space="preserve">Financial</w:t>
            </w:r>
          </w:p>
        </w:tc>
        <w:tc>
          <w:tcPr/>
          <w:p w:rsidR="00000000" w:rsidDel="00000000" w:rsidP="00000000" w:rsidRDefault="00000000" w:rsidRPr="00000000" w14:paraId="0000010B">
            <w:pPr>
              <w:spacing w:after="160" w:line="360" w:lineRule="auto"/>
              <w:jc w:val="both"/>
              <w:rPr/>
            </w:pPr>
            <w:r w:rsidDel="00000000" w:rsidR="00000000" w:rsidRPr="00000000">
              <w:rPr>
                <w:rtl w:val="0"/>
              </w:rPr>
              <w:t xml:space="preserve">Budget overrun</w:t>
            </w:r>
          </w:p>
        </w:tc>
        <w:tc>
          <w:tcPr/>
          <w:p w:rsidR="00000000" w:rsidDel="00000000" w:rsidP="00000000" w:rsidRDefault="00000000" w:rsidRPr="00000000" w14:paraId="0000010C">
            <w:pPr>
              <w:spacing w:after="160" w:line="360" w:lineRule="auto"/>
              <w:jc w:val="both"/>
              <w:rPr/>
            </w:pPr>
            <w:r w:rsidDel="00000000" w:rsidR="00000000" w:rsidRPr="00000000">
              <w:rPr>
                <w:rtl w:val="0"/>
              </w:rPr>
              <w:t xml:space="preserve">Medium</w:t>
            </w:r>
          </w:p>
        </w:tc>
        <w:tc>
          <w:tcPr/>
          <w:p w:rsidR="00000000" w:rsidDel="00000000" w:rsidP="00000000" w:rsidRDefault="00000000" w:rsidRPr="00000000" w14:paraId="0000010D">
            <w:pPr>
              <w:spacing w:after="160" w:line="360" w:lineRule="auto"/>
              <w:jc w:val="both"/>
              <w:rPr/>
            </w:pPr>
            <w:r w:rsidDel="00000000" w:rsidR="00000000" w:rsidRPr="00000000">
              <w:rPr>
                <w:rtl w:val="0"/>
              </w:rPr>
              <w:t xml:space="preserve">Medium</w:t>
            </w:r>
          </w:p>
        </w:tc>
        <w:tc>
          <w:tcPr/>
          <w:p w:rsidR="00000000" w:rsidDel="00000000" w:rsidP="00000000" w:rsidRDefault="00000000" w:rsidRPr="00000000" w14:paraId="0000010E">
            <w:pPr>
              <w:spacing w:after="160" w:line="360" w:lineRule="auto"/>
              <w:jc w:val="both"/>
              <w:rPr/>
            </w:pPr>
            <w:r w:rsidDel="00000000" w:rsidR="00000000" w:rsidRPr="00000000">
              <w:rPr>
                <w:rtl w:val="0"/>
              </w:rPr>
              <w:t xml:space="preserve">Stage-gate approvals, contingency reserves</w:t>
            </w:r>
          </w:p>
        </w:tc>
      </w:tr>
      <w:tr>
        <w:trPr>
          <w:cantSplit w:val="0"/>
          <w:tblHeader w:val="0"/>
        </w:trPr>
        <w:tc>
          <w:tcPr/>
          <w:p w:rsidR="00000000" w:rsidDel="00000000" w:rsidP="00000000" w:rsidRDefault="00000000" w:rsidRPr="00000000" w14:paraId="0000010F">
            <w:pPr>
              <w:spacing w:after="160" w:line="360" w:lineRule="auto"/>
              <w:jc w:val="both"/>
              <w:rPr/>
            </w:pPr>
            <w:r w:rsidDel="00000000" w:rsidR="00000000" w:rsidRPr="00000000">
              <w:rPr>
                <w:rtl w:val="0"/>
              </w:rPr>
              <w:t xml:space="preserve">Operational</w:t>
            </w:r>
          </w:p>
        </w:tc>
        <w:tc>
          <w:tcPr/>
          <w:p w:rsidR="00000000" w:rsidDel="00000000" w:rsidP="00000000" w:rsidRDefault="00000000" w:rsidRPr="00000000" w14:paraId="00000110">
            <w:pPr>
              <w:spacing w:after="160" w:line="360" w:lineRule="auto"/>
              <w:jc w:val="both"/>
              <w:rPr/>
            </w:pPr>
            <w:r w:rsidDel="00000000" w:rsidR="00000000" w:rsidRPr="00000000">
              <w:rPr>
                <w:rtl w:val="0"/>
              </w:rPr>
              <w:t xml:space="preserve">Service disruption during transition</w:t>
            </w:r>
          </w:p>
        </w:tc>
        <w:tc>
          <w:tcPr/>
          <w:p w:rsidR="00000000" w:rsidDel="00000000" w:rsidP="00000000" w:rsidRDefault="00000000" w:rsidRPr="00000000" w14:paraId="00000111">
            <w:pPr>
              <w:spacing w:after="160" w:line="360" w:lineRule="auto"/>
              <w:jc w:val="both"/>
              <w:rPr/>
            </w:pPr>
            <w:r w:rsidDel="00000000" w:rsidR="00000000" w:rsidRPr="00000000">
              <w:rPr>
                <w:rtl w:val="0"/>
              </w:rPr>
              <w:t xml:space="preserve">High</w:t>
            </w:r>
          </w:p>
        </w:tc>
        <w:tc>
          <w:tcPr/>
          <w:p w:rsidR="00000000" w:rsidDel="00000000" w:rsidP="00000000" w:rsidRDefault="00000000" w:rsidRPr="00000000" w14:paraId="00000112">
            <w:pPr>
              <w:spacing w:after="160" w:line="360" w:lineRule="auto"/>
              <w:jc w:val="both"/>
              <w:rPr/>
            </w:pPr>
            <w:r w:rsidDel="00000000" w:rsidR="00000000" w:rsidRPr="00000000">
              <w:rPr>
                <w:rtl w:val="0"/>
              </w:rPr>
              <w:t xml:space="preserve">Medium</w:t>
            </w:r>
          </w:p>
        </w:tc>
        <w:tc>
          <w:tcPr/>
          <w:p w:rsidR="00000000" w:rsidDel="00000000" w:rsidP="00000000" w:rsidRDefault="00000000" w:rsidRPr="00000000" w14:paraId="00000113">
            <w:pPr>
              <w:spacing w:after="160" w:line="360" w:lineRule="auto"/>
              <w:jc w:val="both"/>
              <w:rPr/>
            </w:pPr>
            <w:r w:rsidDel="00000000" w:rsidR="00000000" w:rsidRPr="00000000">
              <w:rPr>
                <w:rtl w:val="0"/>
              </w:rPr>
              <w:t xml:space="preserve">Parallel running, backup procedures</w:t>
            </w:r>
          </w:p>
        </w:tc>
      </w:tr>
      <w:tr>
        <w:trPr>
          <w:cantSplit w:val="0"/>
          <w:tblHeader w:val="0"/>
        </w:trPr>
        <w:tc>
          <w:tcPr/>
          <w:p w:rsidR="00000000" w:rsidDel="00000000" w:rsidP="00000000" w:rsidRDefault="00000000" w:rsidRPr="00000000" w14:paraId="00000114">
            <w:pPr>
              <w:spacing w:after="160" w:line="360" w:lineRule="auto"/>
              <w:jc w:val="both"/>
              <w:rPr/>
            </w:pPr>
            <w:r w:rsidDel="00000000" w:rsidR="00000000" w:rsidRPr="00000000">
              <w:rPr>
                <w:rtl w:val="0"/>
              </w:rPr>
              <w:t xml:space="preserve">Competitive</w:t>
            </w:r>
          </w:p>
        </w:tc>
        <w:tc>
          <w:tcPr/>
          <w:p w:rsidR="00000000" w:rsidDel="00000000" w:rsidP="00000000" w:rsidRDefault="00000000" w:rsidRPr="00000000" w14:paraId="00000115">
            <w:pPr>
              <w:spacing w:after="160" w:line="360" w:lineRule="auto"/>
              <w:jc w:val="both"/>
              <w:rPr/>
            </w:pPr>
            <w:r w:rsidDel="00000000" w:rsidR="00000000" w:rsidRPr="00000000">
              <w:rPr>
                <w:rtl w:val="0"/>
              </w:rPr>
              <w:t xml:space="preserve">Market share loss to faster competitors</w:t>
            </w:r>
          </w:p>
        </w:tc>
        <w:tc>
          <w:tcPr/>
          <w:p w:rsidR="00000000" w:rsidDel="00000000" w:rsidP="00000000" w:rsidRDefault="00000000" w:rsidRPr="00000000" w14:paraId="00000116">
            <w:pPr>
              <w:spacing w:after="160" w:line="360" w:lineRule="auto"/>
              <w:jc w:val="both"/>
              <w:rPr/>
            </w:pPr>
            <w:r w:rsidDel="00000000" w:rsidR="00000000" w:rsidRPr="00000000">
              <w:rPr>
                <w:rtl w:val="0"/>
              </w:rPr>
              <w:t xml:space="preserve">High</w:t>
            </w:r>
          </w:p>
        </w:tc>
        <w:tc>
          <w:tcPr/>
          <w:p w:rsidR="00000000" w:rsidDel="00000000" w:rsidP="00000000" w:rsidRDefault="00000000" w:rsidRPr="00000000" w14:paraId="00000117">
            <w:pPr>
              <w:spacing w:after="160" w:line="360" w:lineRule="auto"/>
              <w:jc w:val="both"/>
              <w:rPr/>
            </w:pPr>
            <w:r w:rsidDel="00000000" w:rsidR="00000000" w:rsidRPr="00000000">
              <w:rPr>
                <w:rtl w:val="0"/>
              </w:rPr>
              <w:t xml:space="preserve">Medium</w:t>
            </w:r>
          </w:p>
        </w:tc>
        <w:tc>
          <w:tcPr/>
          <w:p w:rsidR="00000000" w:rsidDel="00000000" w:rsidP="00000000" w:rsidRDefault="00000000" w:rsidRPr="00000000" w14:paraId="00000118">
            <w:pPr>
              <w:spacing w:after="160" w:line="360" w:lineRule="auto"/>
              <w:jc w:val="both"/>
              <w:rPr/>
            </w:pPr>
            <w:r w:rsidDel="00000000" w:rsidR="00000000" w:rsidRPr="00000000">
              <w:rPr>
                <w:rtl w:val="0"/>
              </w:rPr>
              <w:t xml:space="preserve">Accelerated deployment, differentiated propositions</w:t>
            </w:r>
          </w:p>
        </w:tc>
      </w:tr>
    </w:tbl>
    <w:p w:rsidR="00000000" w:rsidDel="00000000" w:rsidP="00000000" w:rsidRDefault="00000000" w:rsidRPr="00000000" w14:paraId="00000119">
      <w:pPr>
        <w:pStyle w:val="Heading2"/>
        <w:rPr/>
      </w:pPr>
      <w:bookmarkStart w:colFirst="0" w:colLast="0" w:name="_2pnykewgnie" w:id="21"/>
      <w:bookmarkEnd w:id="21"/>
      <w:r w:rsidDel="00000000" w:rsidR="00000000" w:rsidRPr="00000000">
        <w:rPr>
          <w:rtl w:val="0"/>
        </w:rPr>
        <w:t xml:space="preserve">Evaluation Plan and Performance Monitoring</w:t>
      </w:r>
    </w:p>
    <w:p w:rsidR="00000000" w:rsidDel="00000000" w:rsidP="00000000" w:rsidRDefault="00000000" w:rsidRPr="00000000" w14:paraId="0000011A">
      <w:pPr>
        <w:spacing w:line="360" w:lineRule="auto"/>
        <w:jc w:val="both"/>
        <w:rPr/>
      </w:pPr>
      <w:r w:rsidDel="00000000" w:rsidR="00000000" w:rsidRPr="00000000">
        <w:rPr>
          <w:rtl w:val="0"/>
        </w:rPr>
        <w:t xml:space="preserve">Evaluation framework compares progress to goals and also determines the necessary changes that are needed to keep implementation efficient. Baseline measurements lay a starting point of all the important performance indicators to track progress and gauge the impact. Frequent monitoring follows the milestones of the implementation, financial results, and operational indicators that give early notice of issues. Customer satisfaction surveys evaluate the quality of the experience through channels and unearth areas of improvements and confirm strategic assumptions. Employee engagement surveys assess readiness of change and progress of cultural transformation to inform intervention changes. Benefit realisation tracking measure monetary returns on investments that display value-generation and warranting further investment. Quarterly reviews are reviews of the health of the entire programme and strategic alignment that discuss the issues of coordination and priorities (Rousseau and ten Have, 2022). Independent audits offer objective evaluation of the quality of the implementation that defines gaps and areas of improvement. Lessons learned processes take lessons that will be applied to future implementation phases (Phillips and Klein, 2023). The results of evaluations guide the leaders in making decisions concerning resource allocation and strategic focus, which makes evidence-based management possible.</w:t>
      </w:r>
    </w:p>
    <w:p w:rsidR="00000000" w:rsidDel="00000000" w:rsidP="00000000" w:rsidRDefault="00000000" w:rsidRPr="00000000" w14:paraId="0000011B">
      <w:pPr>
        <w:spacing w:line="360" w:lineRule="auto"/>
        <w:jc w:val="both"/>
        <w:rPr/>
      </w:pPr>
      <w:r w:rsidDel="00000000" w:rsidR="00000000" w:rsidRPr="00000000">
        <w:rPr>
          <w:b w:val="1"/>
          <w:rtl w:val="0"/>
        </w:rPr>
        <w:t xml:space="preserve">Table 7: Evaluation Framework and Monitoring Schedule</w:t>
      </w:r>
      <w:r w:rsidDel="00000000" w:rsidR="00000000" w:rsidRPr="00000000">
        <w:rPr>
          <w:rtl w:val="0"/>
        </w:rPr>
      </w:r>
    </w:p>
    <w:tbl>
      <w:tblPr>
        <w:tblStyle w:val="Table7"/>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371"/>
        <w:gridCol w:w="4615"/>
        <w:gridCol w:w="2030"/>
        <w:tblGridChange w:id="0">
          <w:tblGrid>
            <w:gridCol w:w="2371"/>
            <w:gridCol w:w="4615"/>
            <w:gridCol w:w="2030"/>
          </w:tblGrid>
        </w:tblGridChange>
      </w:tblGrid>
      <w:tr>
        <w:trPr>
          <w:cantSplit w:val="0"/>
          <w:tblHeader w:val="0"/>
        </w:trPr>
        <w:tc>
          <w:tcPr/>
          <w:p w:rsidR="00000000" w:rsidDel="00000000" w:rsidP="00000000" w:rsidRDefault="00000000" w:rsidRPr="00000000" w14:paraId="0000011C">
            <w:pPr>
              <w:spacing w:after="160" w:line="360" w:lineRule="auto"/>
              <w:jc w:val="both"/>
              <w:rPr>
                <w:b w:val="1"/>
              </w:rPr>
            </w:pPr>
            <w:r w:rsidDel="00000000" w:rsidR="00000000" w:rsidRPr="00000000">
              <w:rPr>
                <w:b w:val="1"/>
                <w:rtl w:val="0"/>
              </w:rPr>
              <w:t xml:space="preserve">Evaluation Dimension</w:t>
            </w:r>
          </w:p>
        </w:tc>
        <w:tc>
          <w:tcPr/>
          <w:p w:rsidR="00000000" w:rsidDel="00000000" w:rsidP="00000000" w:rsidRDefault="00000000" w:rsidRPr="00000000" w14:paraId="0000011D">
            <w:pPr>
              <w:spacing w:after="160" w:line="360" w:lineRule="auto"/>
              <w:jc w:val="both"/>
              <w:rPr>
                <w:b w:val="1"/>
              </w:rPr>
            </w:pPr>
            <w:r w:rsidDel="00000000" w:rsidR="00000000" w:rsidRPr="00000000">
              <w:rPr>
                <w:b w:val="1"/>
                <w:rtl w:val="0"/>
              </w:rPr>
              <w:t xml:space="preserve">Metrics</w:t>
            </w:r>
          </w:p>
        </w:tc>
        <w:tc>
          <w:tcPr/>
          <w:p w:rsidR="00000000" w:rsidDel="00000000" w:rsidP="00000000" w:rsidRDefault="00000000" w:rsidRPr="00000000" w14:paraId="0000011E">
            <w:pPr>
              <w:spacing w:after="160" w:line="360" w:lineRule="auto"/>
              <w:jc w:val="both"/>
              <w:rPr>
                <w:b w:val="1"/>
              </w:rPr>
            </w:pPr>
            <w:r w:rsidDel="00000000" w:rsidR="00000000" w:rsidRPr="00000000">
              <w:rPr>
                <w:b w:val="1"/>
                <w:rtl w:val="0"/>
              </w:rPr>
              <w:t xml:space="preserve">Reporting Frequency</w:t>
            </w:r>
          </w:p>
        </w:tc>
      </w:tr>
      <w:tr>
        <w:trPr>
          <w:cantSplit w:val="0"/>
          <w:tblHeader w:val="0"/>
        </w:trPr>
        <w:tc>
          <w:tcPr/>
          <w:p w:rsidR="00000000" w:rsidDel="00000000" w:rsidP="00000000" w:rsidRDefault="00000000" w:rsidRPr="00000000" w14:paraId="0000011F">
            <w:pPr>
              <w:spacing w:after="160" w:line="360" w:lineRule="auto"/>
              <w:jc w:val="both"/>
              <w:rPr/>
            </w:pPr>
            <w:r w:rsidDel="00000000" w:rsidR="00000000" w:rsidRPr="00000000">
              <w:rPr>
                <w:rtl w:val="0"/>
              </w:rPr>
              <w:t xml:space="preserve">Implementation Progress</w:t>
            </w:r>
          </w:p>
        </w:tc>
        <w:tc>
          <w:tcPr/>
          <w:p w:rsidR="00000000" w:rsidDel="00000000" w:rsidP="00000000" w:rsidRDefault="00000000" w:rsidRPr="00000000" w14:paraId="00000120">
            <w:pPr>
              <w:spacing w:after="160" w:line="360" w:lineRule="auto"/>
              <w:jc w:val="both"/>
              <w:rPr/>
            </w:pPr>
            <w:r w:rsidDel="00000000" w:rsidR="00000000" w:rsidRPr="00000000">
              <w:rPr>
                <w:rtl w:val="0"/>
              </w:rPr>
              <w:t xml:space="preserve">Milestone completion, budget variance, resource utilisation</w:t>
            </w:r>
          </w:p>
        </w:tc>
        <w:tc>
          <w:tcPr/>
          <w:p w:rsidR="00000000" w:rsidDel="00000000" w:rsidP="00000000" w:rsidRDefault="00000000" w:rsidRPr="00000000" w14:paraId="00000121">
            <w:pPr>
              <w:spacing w:after="160" w:line="360" w:lineRule="auto"/>
              <w:jc w:val="both"/>
              <w:rPr/>
            </w:pPr>
            <w:r w:rsidDel="00000000" w:rsidR="00000000" w:rsidRPr="00000000">
              <w:rPr>
                <w:rtl w:val="0"/>
              </w:rPr>
              <w:t xml:space="preserve">Monthly</w:t>
            </w:r>
          </w:p>
        </w:tc>
      </w:tr>
      <w:tr>
        <w:trPr>
          <w:cantSplit w:val="0"/>
          <w:tblHeader w:val="0"/>
        </w:trPr>
        <w:tc>
          <w:tcPr/>
          <w:p w:rsidR="00000000" w:rsidDel="00000000" w:rsidP="00000000" w:rsidRDefault="00000000" w:rsidRPr="00000000" w14:paraId="00000122">
            <w:pPr>
              <w:spacing w:after="160" w:line="360" w:lineRule="auto"/>
              <w:jc w:val="both"/>
              <w:rPr/>
            </w:pPr>
            <w:r w:rsidDel="00000000" w:rsidR="00000000" w:rsidRPr="00000000">
              <w:rPr>
                <w:rtl w:val="0"/>
              </w:rPr>
              <w:t xml:space="preserve">Customer Impact</w:t>
            </w:r>
          </w:p>
        </w:tc>
        <w:tc>
          <w:tcPr/>
          <w:p w:rsidR="00000000" w:rsidDel="00000000" w:rsidP="00000000" w:rsidRDefault="00000000" w:rsidRPr="00000000" w14:paraId="00000123">
            <w:pPr>
              <w:spacing w:after="160" w:line="360" w:lineRule="auto"/>
              <w:jc w:val="both"/>
              <w:rPr/>
            </w:pPr>
            <w:r w:rsidDel="00000000" w:rsidR="00000000" w:rsidRPr="00000000">
              <w:rPr>
                <w:rtl w:val="0"/>
              </w:rPr>
              <w:t xml:space="preserve">Satisfaction scores, channel usage, basket size, retention rates</w:t>
            </w:r>
          </w:p>
        </w:tc>
        <w:tc>
          <w:tcPr/>
          <w:p w:rsidR="00000000" w:rsidDel="00000000" w:rsidP="00000000" w:rsidRDefault="00000000" w:rsidRPr="00000000" w14:paraId="00000124">
            <w:pPr>
              <w:spacing w:after="160" w:line="360" w:lineRule="auto"/>
              <w:jc w:val="both"/>
              <w:rPr/>
            </w:pPr>
            <w:r w:rsidDel="00000000" w:rsidR="00000000" w:rsidRPr="00000000">
              <w:rPr>
                <w:rtl w:val="0"/>
              </w:rPr>
              <w:t xml:space="preserve">Quarterly</w:t>
            </w:r>
          </w:p>
        </w:tc>
      </w:tr>
      <w:tr>
        <w:trPr>
          <w:cantSplit w:val="0"/>
          <w:tblHeader w:val="0"/>
        </w:trPr>
        <w:tc>
          <w:tcPr/>
          <w:p w:rsidR="00000000" w:rsidDel="00000000" w:rsidP="00000000" w:rsidRDefault="00000000" w:rsidRPr="00000000" w14:paraId="00000125">
            <w:pPr>
              <w:spacing w:after="160" w:line="360" w:lineRule="auto"/>
              <w:jc w:val="both"/>
              <w:rPr/>
            </w:pPr>
            <w:r w:rsidDel="00000000" w:rsidR="00000000" w:rsidRPr="00000000">
              <w:rPr>
                <w:rtl w:val="0"/>
              </w:rPr>
              <w:t xml:space="preserve">Employee Engagement</w:t>
            </w:r>
          </w:p>
        </w:tc>
        <w:tc>
          <w:tcPr/>
          <w:p w:rsidR="00000000" w:rsidDel="00000000" w:rsidP="00000000" w:rsidRDefault="00000000" w:rsidRPr="00000000" w14:paraId="00000126">
            <w:pPr>
              <w:spacing w:after="160" w:line="360" w:lineRule="auto"/>
              <w:jc w:val="both"/>
              <w:rPr/>
            </w:pPr>
            <w:r w:rsidDel="00000000" w:rsidR="00000000" w:rsidRPr="00000000">
              <w:rPr>
                <w:rtl w:val="0"/>
              </w:rPr>
              <w:t xml:space="preserve">Change readiness, skills development, satisfaction, turnover</w:t>
            </w:r>
          </w:p>
        </w:tc>
        <w:tc>
          <w:tcPr/>
          <w:p w:rsidR="00000000" w:rsidDel="00000000" w:rsidP="00000000" w:rsidRDefault="00000000" w:rsidRPr="00000000" w14:paraId="00000127">
            <w:pPr>
              <w:spacing w:after="160" w:line="360" w:lineRule="auto"/>
              <w:jc w:val="both"/>
              <w:rPr/>
            </w:pPr>
            <w:r w:rsidDel="00000000" w:rsidR="00000000" w:rsidRPr="00000000">
              <w:rPr>
                <w:rtl w:val="0"/>
              </w:rPr>
              <w:t xml:space="preserve">Quarterly</w:t>
            </w:r>
          </w:p>
        </w:tc>
      </w:tr>
      <w:tr>
        <w:trPr>
          <w:cantSplit w:val="0"/>
          <w:tblHeader w:val="0"/>
        </w:trPr>
        <w:tc>
          <w:tcPr/>
          <w:p w:rsidR="00000000" w:rsidDel="00000000" w:rsidP="00000000" w:rsidRDefault="00000000" w:rsidRPr="00000000" w14:paraId="00000128">
            <w:pPr>
              <w:spacing w:after="160" w:line="360" w:lineRule="auto"/>
              <w:jc w:val="both"/>
              <w:rPr/>
            </w:pPr>
            <w:r w:rsidDel="00000000" w:rsidR="00000000" w:rsidRPr="00000000">
              <w:rPr>
                <w:rtl w:val="0"/>
              </w:rPr>
              <w:t xml:space="preserve">Financial Performance</w:t>
            </w:r>
          </w:p>
        </w:tc>
        <w:tc>
          <w:tcPr/>
          <w:p w:rsidR="00000000" w:rsidDel="00000000" w:rsidP="00000000" w:rsidRDefault="00000000" w:rsidRPr="00000000" w14:paraId="00000129">
            <w:pPr>
              <w:spacing w:after="160" w:line="360" w:lineRule="auto"/>
              <w:jc w:val="both"/>
              <w:rPr/>
            </w:pPr>
            <w:r w:rsidDel="00000000" w:rsidR="00000000" w:rsidRPr="00000000">
              <w:rPr>
                <w:rtl w:val="0"/>
              </w:rPr>
              <w:t xml:space="preserve">Revenue growth, cost reduction, investment returns, cash flow</w:t>
            </w:r>
          </w:p>
        </w:tc>
        <w:tc>
          <w:tcPr/>
          <w:p w:rsidR="00000000" w:rsidDel="00000000" w:rsidP="00000000" w:rsidRDefault="00000000" w:rsidRPr="00000000" w14:paraId="0000012A">
            <w:pPr>
              <w:spacing w:after="160" w:line="360" w:lineRule="auto"/>
              <w:jc w:val="both"/>
              <w:rPr/>
            </w:pPr>
            <w:r w:rsidDel="00000000" w:rsidR="00000000" w:rsidRPr="00000000">
              <w:rPr>
                <w:rtl w:val="0"/>
              </w:rPr>
              <w:t xml:space="preserve">Monthly</w:t>
            </w:r>
          </w:p>
        </w:tc>
      </w:tr>
      <w:tr>
        <w:trPr>
          <w:cantSplit w:val="0"/>
          <w:tblHeader w:val="0"/>
        </w:trPr>
        <w:tc>
          <w:tcPr/>
          <w:p w:rsidR="00000000" w:rsidDel="00000000" w:rsidP="00000000" w:rsidRDefault="00000000" w:rsidRPr="00000000" w14:paraId="0000012B">
            <w:pPr>
              <w:spacing w:after="160" w:line="360" w:lineRule="auto"/>
              <w:jc w:val="both"/>
              <w:rPr/>
            </w:pPr>
            <w:r w:rsidDel="00000000" w:rsidR="00000000" w:rsidRPr="00000000">
              <w:rPr>
                <w:rtl w:val="0"/>
              </w:rPr>
              <w:t xml:space="preserve">Operational Effectiveness</w:t>
            </w:r>
          </w:p>
        </w:tc>
        <w:tc>
          <w:tcPr/>
          <w:p w:rsidR="00000000" w:rsidDel="00000000" w:rsidP="00000000" w:rsidRDefault="00000000" w:rsidRPr="00000000" w14:paraId="0000012C">
            <w:pPr>
              <w:spacing w:after="160" w:line="360" w:lineRule="auto"/>
              <w:jc w:val="both"/>
              <w:rPr/>
            </w:pPr>
            <w:r w:rsidDel="00000000" w:rsidR="00000000" w:rsidRPr="00000000">
              <w:rPr>
                <w:rtl w:val="0"/>
              </w:rPr>
              <w:t xml:space="preserve">Order accuracy, delivery performance, stock availability</w:t>
            </w:r>
          </w:p>
        </w:tc>
        <w:tc>
          <w:tcPr/>
          <w:p w:rsidR="00000000" w:rsidDel="00000000" w:rsidP="00000000" w:rsidRDefault="00000000" w:rsidRPr="00000000" w14:paraId="0000012D">
            <w:pPr>
              <w:spacing w:after="160" w:line="360" w:lineRule="auto"/>
              <w:jc w:val="both"/>
              <w:rPr/>
            </w:pPr>
            <w:r w:rsidDel="00000000" w:rsidR="00000000" w:rsidRPr="00000000">
              <w:rPr>
                <w:rtl w:val="0"/>
              </w:rPr>
              <w:t xml:space="preserve">Weekly</w:t>
            </w:r>
          </w:p>
        </w:tc>
      </w:tr>
    </w:tbl>
    <w:p w:rsidR="00000000" w:rsidDel="00000000" w:rsidP="00000000" w:rsidRDefault="00000000" w:rsidRPr="00000000" w14:paraId="0000012E">
      <w:pPr>
        <w:pStyle w:val="Heading2"/>
        <w:rPr/>
      </w:pPr>
      <w:bookmarkStart w:colFirst="0" w:colLast="0" w:name="_mk1oiuyz907g" w:id="22"/>
      <w:bookmarkEnd w:id="22"/>
      <w:r w:rsidDel="00000000" w:rsidR="00000000" w:rsidRPr="00000000">
        <w:rPr>
          <w:rtl w:val="0"/>
        </w:rPr>
        <w:t xml:space="preserve">Change Sustainability and Continuous Improvement</w:t>
      </w:r>
    </w:p>
    <w:p w:rsidR="00000000" w:rsidDel="00000000" w:rsidP="00000000" w:rsidRDefault="00000000" w:rsidRPr="00000000" w14:paraId="0000012F">
      <w:pPr>
        <w:spacing w:line="360" w:lineRule="auto"/>
        <w:jc w:val="both"/>
        <w:rPr/>
      </w:pPr>
      <w:r w:rsidDel="00000000" w:rsidR="00000000" w:rsidRPr="00000000">
        <w:rPr>
          <w:rtl w:val="0"/>
        </w:rPr>
        <w:t xml:space="preserve">To be successful in the long term, changes should be integrated into the normal operating practise and organisational culture that will not allow the organisation to regress. Sustainability planning does not occur after implementation but in the course of implementation is assuring that changes will continue even after the completion of the programmes. Formal revision of operational guidelines is the replacement of old processes by new processes as documents of standard-work. The performance management systems strengthen the desired behaviours by matching the individual incentives to organisational goals by objectives and recognition. Continuous improvement procedures allow a process of continuous refinement on the basis of experience, and the feedback that captures learning in a systematic way. Knowledge management also preserves the lessons learned and best practises to use in future references to allow transfer of capabilities (Phillips and Klein, 2023). Change champion networks maintain a momentum following the formal programme completion to maintain the enthusiasm and solve arising concerns. Succession planning of leaders involves new leaders being aware of and valuing the direction set on the way thus avoiding strategic drift. Frequent refresher training helps ensure that the level of capability remains high because the composition of the workforce varies with the turnover and recruitment. Strategies like cultural reinforcement activities rejoice achievement and consolidate values that contribute to change entrenching new assumptions (Abawari et al., 2024). Sustainability indicators are monitored by the monitoring systems to ensure that the organisation does not go back to the old ways of doing things as the indicators are detected and addressed early.</w:t>
      </w:r>
    </w:p>
    <w:p w:rsidR="00000000" w:rsidDel="00000000" w:rsidP="00000000" w:rsidRDefault="00000000" w:rsidRPr="00000000" w14:paraId="00000130">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left"/>
        <w:rPr>
          <w:rFonts w:ascii="Times New Roman" w:cs="Times New Roman" w:eastAsia="Times New Roman" w:hAnsi="Times New Roman"/>
          <w:b w:val="1"/>
          <w:i w:val="0"/>
          <w:smallCaps w:val="0"/>
          <w:strike w:val="0"/>
          <w:color w:val="000000"/>
          <w:sz w:val="28"/>
          <w:szCs w:val="28"/>
          <w:u w:val="none"/>
          <w:shd w:fill="auto" w:val="clear"/>
          <w:vertAlign w:val="baseline"/>
        </w:rPr>
      </w:pPr>
      <w:bookmarkStart w:colFirst="0" w:colLast="0" w:name="_apjo32lk1ya6" w:id="23"/>
      <w:bookmarkEnd w:id="23"/>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Conclusion</w:t>
      </w:r>
    </w:p>
    <w:p w:rsidR="00000000" w:rsidDel="00000000" w:rsidP="00000000" w:rsidRDefault="00000000" w:rsidRPr="00000000" w14:paraId="00000131">
      <w:pPr>
        <w:spacing w:line="360" w:lineRule="auto"/>
        <w:jc w:val="both"/>
        <w:rPr/>
      </w:pPr>
      <w:r w:rsidDel="00000000" w:rsidR="00000000" w:rsidRPr="00000000">
        <w:rPr>
          <w:rtl w:val="0"/>
        </w:rPr>
        <w:t xml:space="preserve">Tesco is also at the crossroads which needs a complete turnaround to sustain itself in the changing retailing landscape. Digital disruption, shifting consumer behaviours and the advancement of technology pose threats and opportunities that require strategic response (Sharma et al., 2024). The change management plan offers the systematic methodology of the reaction to the environmental triggers with the help of the strategic interventions on the various levels. The integrated efforts by technology deployment, process redesign, capability development and cultural transformation work in synergy to succeed (AlNuaimi et al., 2022). Strategic elegance cannot achieve ultimate outcomes independently but rather leadership commitment, employee engagement, and strict execution (Abawari et al., 2024). The given plan is very ambitious and, at the same time, realistic enough, offering a clear roadmap but remaining flexible to changes as they happen. The implementation will put organisational determination and capacity to test as it will take years of continuous effort with its ups and downs. The other option to the transformation is slow competitive loss as the market forces move irreversibly to omnichannel retailing models.</w:t>
      </w:r>
    </w:p>
    <w:p w:rsidR="00000000" w:rsidDel="00000000" w:rsidP="00000000" w:rsidRDefault="00000000" w:rsidRPr="00000000" w14:paraId="00000132">
      <w:pPr>
        <w:pStyle w:val="Heading1"/>
        <w:rPr/>
      </w:pPr>
      <w:r w:rsidDel="00000000" w:rsidR="00000000" w:rsidRPr="00000000">
        <w:rPr>
          <w:rtl w:val="0"/>
        </w:rPr>
      </w:r>
    </w:p>
    <w:p w:rsidR="00000000" w:rsidDel="00000000" w:rsidP="00000000" w:rsidRDefault="00000000" w:rsidRPr="00000000" w14:paraId="00000133">
      <w:pPr>
        <w:rPr/>
      </w:pPr>
      <w:r w:rsidDel="00000000" w:rsidR="00000000" w:rsidRPr="00000000">
        <w:rPr>
          <w:rtl w:val="0"/>
        </w:rPr>
      </w:r>
    </w:p>
    <w:p w:rsidR="00000000" w:rsidDel="00000000" w:rsidP="00000000" w:rsidRDefault="00000000" w:rsidRPr="00000000" w14:paraId="00000134">
      <w:pPr>
        <w:pStyle w:val="Heading1"/>
        <w:rPr/>
      </w:pPr>
      <w:r w:rsidDel="00000000" w:rsidR="00000000" w:rsidRPr="00000000">
        <w:rPr>
          <w:rtl w:val="0"/>
        </w:rPr>
      </w:r>
    </w:p>
    <w:p w:rsidR="00000000" w:rsidDel="00000000" w:rsidP="00000000" w:rsidRDefault="00000000" w:rsidRPr="00000000" w14:paraId="00000135">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120" w:line="240" w:lineRule="auto"/>
        <w:ind w:left="0" w:right="0" w:firstLine="0"/>
        <w:jc w:val="left"/>
        <w:rPr>
          <w:rFonts w:ascii="Times New Roman" w:cs="Times New Roman" w:eastAsia="Times New Roman" w:hAnsi="Times New Roman"/>
          <w:b w:val="1"/>
          <w:i w:val="0"/>
          <w:smallCaps w:val="0"/>
          <w:strike w:val="0"/>
          <w:color w:val="000000"/>
          <w:sz w:val="28"/>
          <w:szCs w:val="28"/>
          <w:u w:val="none"/>
          <w:shd w:fill="auto" w:val="clear"/>
          <w:vertAlign w:val="baseline"/>
        </w:rPr>
      </w:pPr>
      <w:bookmarkStart w:colFirst="0" w:colLast="0" w:name="_r507o01mg9ly" w:id="24"/>
      <w:bookmarkEnd w:id="24"/>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References</w:t>
      </w:r>
    </w:p>
    <w:p w:rsidR="00000000" w:rsidDel="00000000" w:rsidP="00000000" w:rsidRDefault="00000000" w:rsidRPr="00000000" w14:paraId="00000136">
      <w:pPr>
        <w:spacing w:line="360" w:lineRule="auto"/>
        <w:jc w:val="both"/>
        <w:rPr/>
      </w:pPr>
      <w:r w:rsidDel="00000000" w:rsidR="00000000" w:rsidRPr="00000000">
        <w:rPr>
          <w:rtl w:val="0"/>
        </w:rPr>
        <w:t xml:space="preserve">Abawari, A.M., Kedir, S., Geda, A. &amp; Mohammed, S. (2024). ‘The effects of organizational culture on change management through leadership styles’, </w:t>
      </w:r>
      <w:r w:rsidDel="00000000" w:rsidR="00000000" w:rsidRPr="00000000">
        <w:rPr>
          <w:i w:val="1"/>
          <w:rtl w:val="0"/>
        </w:rPr>
        <w:t xml:space="preserve">Cogent Business &amp; Management</w:t>
      </w:r>
      <w:r w:rsidDel="00000000" w:rsidR="00000000" w:rsidRPr="00000000">
        <w:rPr>
          <w:rtl w:val="0"/>
        </w:rPr>
        <w:t xml:space="preserve">, 11(1), Article 2375623. Available at: </w:t>
      </w:r>
      <w:hyperlink r:id="rId6">
        <w:r w:rsidDel="00000000" w:rsidR="00000000" w:rsidRPr="00000000">
          <w:rPr>
            <w:color w:val="0563c1"/>
            <w:u w:val="single"/>
            <w:rtl w:val="0"/>
          </w:rPr>
          <w:t xml:space="preserve">https://www.tandfonline.com/doi/full/10.1080/23311975.2024.2375623</w:t>
        </w:r>
      </w:hyperlink>
      <w:r w:rsidDel="00000000" w:rsidR="00000000" w:rsidRPr="00000000">
        <w:rPr>
          <w:rtl w:val="0"/>
        </w:rPr>
        <w:t xml:space="preserve"> (Accessed: 9 October 2025).</w:t>
      </w:r>
    </w:p>
    <w:p w:rsidR="00000000" w:rsidDel="00000000" w:rsidP="00000000" w:rsidRDefault="00000000" w:rsidRPr="00000000" w14:paraId="00000137">
      <w:pPr>
        <w:spacing w:line="360" w:lineRule="auto"/>
        <w:jc w:val="both"/>
        <w:rPr/>
      </w:pPr>
      <w:r w:rsidDel="00000000" w:rsidR="00000000" w:rsidRPr="00000000">
        <w:rPr>
          <w:rtl w:val="0"/>
        </w:rPr>
        <w:t xml:space="preserve">AlNuaimi, B.K., Singh, S.K., Ren, S., Budhwar, P. &amp; Vorobyev, D. (2022). ‘Mastering digital transformation: The nexus between leadership, agility, and digital strategy’, </w:t>
      </w:r>
      <w:r w:rsidDel="00000000" w:rsidR="00000000" w:rsidRPr="00000000">
        <w:rPr>
          <w:i w:val="1"/>
          <w:rtl w:val="0"/>
        </w:rPr>
        <w:t xml:space="preserve">Journal of Business Research</w:t>
      </w:r>
      <w:r w:rsidDel="00000000" w:rsidR="00000000" w:rsidRPr="00000000">
        <w:rPr>
          <w:rtl w:val="0"/>
        </w:rPr>
        <w:t xml:space="preserve">, 145, pp. 636–648. Available at: </w:t>
      </w:r>
      <w:hyperlink r:id="rId7">
        <w:r w:rsidDel="00000000" w:rsidR="00000000" w:rsidRPr="00000000">
          <w:rPr>
            <w:color w:val="0563c1"/>
            <w:u w:val="single"/>
            <w:rtl w:val="0"/>
          </w:rPr>
          <w:t xml:space="preserve">https://www.sciencedirect.com/science/article/pii/S0148296322002727</w:t>
        </w:r>
      </w:hyperlink>
      <w:r w:rsidDel="00000000" w:rsidR="00000000" w:rsidRPr="00000000">
        <w:rPr>
          <w:rtl w:val="0"/>
        </w:rPr>
        <w:t xml:space="preserve"> (Accessed: 10 October 2025).</w:t>
      </w:r>
    </w:p>
    <w:p w:rsidR="00000000" w:rsidDel="00000000" w:rsidP="00000000" w:rsidRDefault="00000000" w:rsidRPr="00000000" w14:paraId="00000138">
      <w:pPr>
        <w:spacing w:line="360" w:lineRule="auto"/>
        <w:jc w:val="both"/>
        <w:rPr/>
      </w:pPr>
      <w:r w:rsidDel="00000000" w:rsidR="00000000" w:rsidRPr="00000000">
        <w:rPr>
          <w:rtl w:val="0"/>
        </w:rPr>
        <w:t xml:space="preserve">Brüggemann, P., Welling, B. &amp; Müller, S. (2023). ‘The impact of COVID-19 pandemic restrictions on offline and online retailing’, </w:t>
      </w:r>
      <w:r w:rsidDel="00000000" w:rsidR="00000000" w:rsidRPr="00000000">
        <w:rPr>
          <w:i w:val="1"/>
          <w:rtl w:val="0"/>
        </w:rPr>
        <w:t xml:space="preserve">Electronic Commerce Research</w:t>
      </w:r>
      <w:r w:rsidDel="00000000" w:rsidR="00000000" w:rsidRPr="00000000">
        <w:rPr>
          <w:rtl w:val="0"/>
        </w:rPr>
        <w:t xml:space="preserve">, 23(3), pp. 1021–1053. Available at: </w:t>
      </w:r>
      <w:hyperlink r:id="rId8">
        <w:r w:rsidDel="00000000" w:rsidR="00000000" w:rsidRPr="00000000">
          <w:rPr>
            <w:color w:val="0563c1"/>
            <w:u w:val="single"/>
            <w:rtl w:val="0"/>
          </w:rPr>
          <w:t xml:space="preserve">https://link.springer.com/article/10.1007/s10660-022-09658-1</w:t>
        </w:r>
      </w:hyperlink>
      <w:r w:rsidDel="00000000" w:rsidR="00000000" w:rsidRPr="00000000">
        <w:rPr>
          <w:rtl w:val="0"/>
        </w:rPr>
        <w:t xml:space="preserve"> (Accessed: 11 October 2025).</w:t>
      </w:r>
    </w:p>
    <w:p w:rsidR="00000000" w:rsidDel="00000000" w:rsidP="00000000" w:rsidRDefault="00000000" w:rsidRPr="00000000" w14:paraId="00000139">
      <w:pPr>
        <w:spacing w:line="360" w:lineRule="auto"/>
        <w:jc w:val="both"/>
        <w:rPr/>
      </w:pPr>
      <w:r w:rsidDel="00000000" w:rsidR="00000000" w:rsidRPr="00000000">
        <w:rPr>
          <w:rtl w:val="0"/>
        </w:rPr>
        <w:t xml:space="preserve">Chintala, S., Liaukonyte, J. &amp; Yang, S. (2024). ‘Browsing the Aisles or Browsing the App? Online-Offline Interaction in Grocery Baskets’, </w:t>
      </w:r>
      <w:r w:rsidDel="00000000" w:rsidR="00000000" w:rsidRPr="00000000">
        <w:rPr>
          <w:i w:val="1"/>
          <w:rtl w:val="0"/>
        </w:rPr>
        <w:t xml:space="preserve">Marketing Science</w:t>
      </w:r>
      <w:r w:rsidDel="00000000" w:rsidR="00000000" w:rsidRPr="00000000">
        <w:rPr>
          <w:rtl w:val="0"/>
        </w:rPr>
        <w:t xml:space="preserve">, 43(3), pp. 506–522. Available at: </w:t>
      </w:r>
      <w:hyperlink r:id="rId9">
        <w:r w:rsidDel="00000000" w:rsidR="00000000" w:rsidRPr="00000000">
          <w:rPr>
            <w:color w:val="0563c1"/>
            <w:u w:val="single"/>
            <w:rtl w:val="0"/>
          </w:rPr>
          <w:t xml:space="preserve">https://pubsonline.informs.org/doi/10.1287/mksc.2023.1477</w:t>
        </w:r>
      </w:hyperlink>
      <w:r w:rsidDel="00000000" w:rsidR="00000000" w:rsidRPr="00000000">
        <w:rPr>
          <w:rtl w:val="0"/>
        </w:rPr>
        <w:t xml:space="preserve"> (Accessed: 9 October 2025).</w:t>
      </w:r>
    </w:p>
    <w:p w:rsidR="00000000" w:rsidDel="00000000" w:rsidP="00000000" w:rsidRDefault="00000000" w:rsidRPr="00000000" w14:paraId="0000013A">
      <w:pPr>
        <w:spacing w:line="360" w:lineRule="auto"/>
        <w:jc w:val="both"/>
        <w:rPr/>
      </w:pPr>
      <w:r w:rsidDel="00000000" w:rsidR="00000000" w:rsidRPr="00000000">
        <w:rPr>
          <w:rtl w:val="0"/>
        </w:rPr>
        <w:t xml:space="preserve">De Canio, F., Pellegrini, D., Schena, R. &amp; Simoni, C. (2023). ‘Exploring channel switching in the aftermath of the Covid-19 pandemic: Evidence from grocery retailing’, </w:t>
      </w:r>
      <w:r w:rsidDel="00000000" w:rsidR="00000000" w:rsidRPr="00000000">
        <w:rPr>
          <w:i w:val="1"/>
          <w:rtl w:val="0"/>
        </w:rPr>
        <w:t xml:space="preserve">International Journal of Retail &amp; Distribution Management</w:t>
      </w:r>
      <w:r w:rsidDel="00000000" w:rsidR="00000000" w:rsidRPr="00000000">
        <w:rPr>
          <w:rtl w:val="0"/>
        </w:rPr>
        <w:t xml:space="preserve">, 51(12), pp. 1656–1676. Available at: </w:t>
      </w:r>
      <w:hyperlink r:id="rId10">
        <w:r w:rsidDel="00000000" w:rsidR="00000000" w:rsidRPr="00000000">
          <w:rPr>
            <w:color w:val="0563c1"/>
            <w:u w:val="single"/>
            <w:rtl w:val="0"/>
          </w:rPr>
          <w:t xml:space="preserve">https://www.emerald.com/insight/content/doi/10.1108/IJRDM-04-2022-0133/full/html</w:t>
        </w:r>
      </w:hyperlink>
      <w:r w:rsidDel="00000000" w:rsidR="00000000" w:rsidRPr="00000000">
        <w:rPr>
          <w:rtl w:val="0"/>
        </w:rPr>
        <w:t xml:space="preserve"> (Accessed: 10 October 2025).</w:t>
      </w:r>
    </w:p>
    <w:p w:rsidR="00000000" w:rsidDel="00000000" w:rsidP="00000000" w:rsidRDefault="00000000" w:rsidRPr="00000000" w14:paraId="0000013B">
      <w:pPr>
        <w:spacing w:line="360" w:lineRule="auto"/>
        <w:jc w:val="both"/>
        <w:rPr/>
      </w:pPr>
      <w:r w:rsidDel="00000000" w:rsidR="00000000" w:rsidRPr="00000000">
        <w:rPr>
          <w:rtl w:val="0"/>
        </w:rPr>
        <w:t xml:space="preserve">Deng, X.N. &amp; Yi, S. (2025). ‘Individual motivation and self-perception of Excel skills learning: An empirical study of first-generation college students and their peers’, </w:t>
      </w:r>
      <w:r w:rsidDel="00000000" w:rsidR="00000000" w:rsidRPr="00000000">
        <w:rPr>
          <w:i w:val="1"/>
          <w:rtl w:val="0"/>
        </w:rPr>
        <w:t xml:space="preserve">Journal of Accounting Education</w:t>
      </w:r>
      <w:r w:rsidDel="00000000" w:rsidR="00000000" w:rsidRPr="00000000">
        <w:rPr>
          <w:rtl w:val="0"/>
        </w:rPr>
        <w:t xml:space="preserve">, 70, Article 100947. Available at: </w:t>
      </w:r>
      <w:hyperlink r:id="rId11">
        <w:r w:rsidDel="00000000" w:rsidR="00000000" w:rsidRPr="00000000">
          <w:rPr>
            <w:color w:val="0563c1"/>
            <w:u w:val="single"/>
            <w:rtl w:val="0"/>
          </w:rPr>
          <w:t xml:space="preserve">https://www.sciencedirect.com/science/article/abs/pii/S0748575124000630</w:t>
        </w:r>
      </w:hyperlink>
      <w:r w:rsidDel="00000000" w:rsidR="00000000" w:rsidRPr="00000000">
        <w:rPr>
          <w:rtl w:val="0"/>
        </w:rPr>
        <w:t xml:space="preserve"> (Accessed: 11 October 2025).</w:t>
      </w:r>
    </w:p>
    <w:p w:rsidR="00000000" w:rsidDel="00000000" w:rsidP="00000000" w:rsidRDefault="00000000" w:rsidRPr="00000000" w14:paraId="0000013C">
      <w:pPr>
        <w:spacing w:line="360" w:lineRule="auto"/>
        <w:jc w:val="both"/>
        <w:rPr/>
      </w:pPr>
      <w:r w:rsidDel="00000000" w:rsidR="00000000" w:rsidRPr="00000000">
        <w:rPr>
          <w:rtl w:val="0"/>
        </w:rPr>
        <w:t xml:space="preserve">Dwivedi, Y.K., et al. (2023). ‘Evolution of artificial intelligence research in </w:t>
      </w:r>
      <w:r w:rsidDel="00000000" w:rsidR="00000000" w:rsidRPr="00000000">
        <w:rPr>
          <w:i w:val="1"/>
          <w:rtl w:val="0"/>
        </w:rPr>
        <w:t xml:space="preserve">Technological Forecasting and Social Change</w:t>
      </w:r>
      <w:r w:rsidDel="00000000" w:rsidR="00000000" w:rsidRPr="00000000">
        <w:rPr>
          <w:rtl w:val="0"/>
        </w:rPr>
        <w:t xml:space="preserve">: A review and bibliometric analysis’, </w:t>
      </w:r>
      <w:r w:rsidDel="00000000" w:rsidR="00000000" w:rsidRPr="00000000">
        <w:rPr>
          <w:i w:val="1"/>
          <w:rtl w:val="0"/>
        </w:rPr>
        <w:t xml:space="preserve">Technological Forecasting &amp; Social Change</w:t>
      </w:r>
      <w:r w:rsidDel="00000000" w:rsidR="00000000" w:rsidRPr="00000000">
        <w:rPr>
          <w:rtl w:val="0"/>
        </w:rPr>
        <w:t xml:space="preserve">, 194, Article 122974. Available at: </w:t>
      </w:r>
      <w:hyperlink r:id="rId12">
        <w:r w:rsidDel="00000000" w:rsidR="00000000" w:rsidRPr="00000000">
          <w:rPr>
            <w:color w:val="0563c1"/>
            <w:u w:val="single"/>
            <w:rtl w:val="0"/>
          </w:rPr>
          <w:t xml:space="preserve">https://www.sciencedirect.com/science/article/pii/S0040162523002640</w:t>
        </w:r>
      </w:hyperlink>
      <w:r w:rsidDel="00000000" w:rsidR="00000000" w:rsidRPr="00000000">
        <w:rPr>
          <w:rtl w:val="0"/>
        </w:rPr>
        <w:t xml:space="preserve"> (Accessed: 9 October 2025).</w:t>
      </w:r>
    </w:p>
    <w:p w:rsidR="00000000" w:rsidDel="00000000" w:rsidP="00000000" w:rsidRDefault="00000000" w:rsidRPr="00000000" w14:paraId="0000013D">
      <w:pPr>
        <w:spacing w:line="360" w:lineRule="auto"/>
        <w:jc w:val="both"/>
        <w:rPr/>
      </w:pPr>
      <w:r w:rsidDel="00000000" w:rsidR="00000000" w:rsidRPr="00000000">
        <w:rPr>
          <w:rtl w:val="0"/>
        </w:rPr>
        <w:t xml:space="preserve">Eriksson, N., Persson, A. &amp; Hultén, P. (2024). ‘Online grocery shoppers according to their typical pathways: A segmentation based on CDMS’, </w:t>
      </w:r>
      <w:r w:rsidDel="00000000" w:rsidR="00000000" w:rsidRPr="00000000">
        <w:rPr>
          <w:i w:val="1"/>
          <w:rtl w:val="0"/>
        </w:rPr>
        <w:t xml:space="preserve">Journal of Food Products Marketing</w:t>
      </w:r>
      <w:r w:rsidDel="00000000" w:rsidR="00000000" w:rsidRPr="00000000">
        <w:rPr>
          <w:rtl w:val="0"/>
        </w:rPr>
        <w:t xml:space="preserve">, 30(5), pp. 331–352. Available at: </w:t>
      </w:r>
      <w:hyperlink r:id="rId13">
        <w:r w:rsidDel="00000000" w:rsidR="00000000" w:rsidRPr="00000000">
          <w:rPr>
            <w:color w:val="0563c1"/>
            <w:u w:val="single"/>
            <w:rtl w:val="0"/>
          </w:rPr>
          <w:t xml:space="preserve">https://www.tandfonline.com/doi/full/10.1080/10454446.2024.2311179</w:t>
        </w:r>
      </w:hyperlink>
      <w:r w:rsidDel="00000000" w:rsidR="00000000" w:rsidRPr="00000000">
        <w:rPr>
          <w:rtl w:val="0"/>
        </w:rPr>
        <w:t xml:space="preserve"> (Accessed: 10 October 2025).</w:t>
      </w:r>
    </w:p>
    <w:p w:rsidR="00000000" w:rsidDel="00000000" w:rsidP="00000000" w:rsidRDefault="00000000" w:rsidRPr="00000000" w14:paraId="0000013E">
      <w:pPr>
        <w:spacing w:line="360" w:lineRule="auto"/>
        <w:jc w:val="both"/>
        <w:rPr/>
      </w:pPr>
      <w:r w:rsidDel="00000000" w:rsidR="00000000" w:rsidRPr="00000000">
        <w:rPr>
          <w:rtl w:val="0"/>
        </w:rPr>
        <w:t xml:space="preserve">Harikkala-Laihinen, R. (2022). ‘Managing Positive Change: Emotions and Communication Following Acquisitions’, </w:t>
      </w:r>
      <w:r w:rsidDel="00000000" w:rsidR="00000000" w:rsidRPr="00000000">
        <w:rPr>
          <w:i w:val="1"/>
          <w:rtl w:val="0"/>
        </w:rPr>
        <w:t xml:space="preserve">Journal of Change Management</w:t>
      </w:r>
      <w:r w:rsidDel="00000000" w:rsidR="00000000" w:rsidRPr="00000000">
        <w:rPr>
          <w:rtl w:val="0"/>
        </w:rPr>
        <w:t xml:space="preserve">, 22(4), pp. 373–400. Available at: </w:t>
      </w:r>
      <w:hyperlink r:id="rId14">
        <w:r w:rsidDel="00000000" w:rsidR="00000000" w:rsidRPr="00000000">
          <w:rPr>
            <w:color w:val="0563c1"/>
            <w:u w:val="single"/>
            <w:rtl w:val="0"/>
          </w:rPr>
          <w:t xml:space="preserve">https://www.tandfonline.com/doi/full/10.1080/14697017.2022.2091635</w:t>
        </w:r>
      </w:hyperlink>
      <w:r w:rsidDel="00000000" w:rsidR="00000000" w:rsidRPr="00000000">
        <w:rPr>
          <w:rtl w:val="0"/>
        </w:rPr>
        <w:t xml:space="preserve"> (Accessed: 11 October 2025).</w:t>
      </w:r>
    </w:p>
    <w:p w:rsidR="00000000" w:rsidDel="00000000" w:rsidP="00000000" w:rsidRDefault="00000000" w:rsidRPr="00000000" w14:paraId="0000013F">
      <w:pPr>
        <w:spacing w:line="360" w:lineRule="auto"/>
        <w:jc w:val="both"/>
        <w:rPr/>
      </w:pPr>
      <w:r w:rsidDel="00000000" w:rsidR="00000000" w:rsidRPr="00000000">
        <w:rPr>
          <w:rtl w:val="0"/>
        </w:rPr>
        <w:t xml:space="preserve">Harikkala-Laihinen, R. (2022). ‘Managing Positive Change: Emotions and Communication Following Acquisitions’, </w:t>
      </w:r>
      <w:r w:rsidDel="00000000" w:rsidR="00000000" w:rsidRPr="00000000">
        <w:rPr>
          <w:i w:val="1"/>
          <w:rtl w:val="0"/>
        </w:rPr>
        <w:t xml:space="preserve">Journal of Change Management</w:t>
      </w:r>
      <w:r w:rsidDel="00000000" w:rsidR="00000000" w:rsidRPr="00000000">
        <w:rPr>
          <w:rtl w:val="0"/>
        </w:rPr>
        <w:t xml:space="preserve">, 22(4), pp. 373–400. Available at: </w:t>
      </w:r>
      <w:hyperlink r:id="rId15">
        <w:r w:rsidDel="00000000" w:rsidR="00000000" w:rsidRPr="00000000">
          <w:rPr>
            <w:color w:val="0563c1"/>
            <w:u w:val="single"/>
            <w:rtl w:val="0"/>
          </w:rPr>
          <w:t xml:space="preserve">https://www.utupub.fi/bitstream/handle/10024/186818/Managing%20Positive%20Change%20Emotions%20and%20Communication%20Following%20Acquisitions%281%29.pdf</w:t>
        </w:r>
      </w:hyperlink>
      <w:r w:rsidDel="00000000" w:rsidR="00000000" w:rsidRPr="00000000">
        <w:rPr>
          <w:rtl w:val="0"/>
        </w:rPr>
        <w:t xml:space="preserve"> (Accessed: 9 October 2025).</w:t>
      </w:r>
    </w:p>
    <w:p w:rsidR="00000000" w:rsidDel="00000000" w:rsidP="00000000" w:rsidRDefault="00000000" w:rsidRPr="00000000" w14:paraId="00000140">
      <w:pPr>
        <w:spacing w:line="360" w:lineRule="auto"/>
        <w:jc w:val="both"/>
        <w:rPr/>
      </w:pPr>
      <w:r w:rsidDel="00000000" w:rsidR="00000000" w:rsidRPr="00000000">
        <w:rPr>
          <w:rtl w:val="0"/>
        </w:rPr>
        <w:t xml:space="preserve">Jääskä, E., Aaltonen, K. &amp; Kujala, J. (2024). ‘Bridging change and project management: A review and research agenda’, </w:t>
      </w:r>
      <w:r w:rsidDel="00000000" w:rsidR="00000000" w:rsidRPr="00000000">
        <w:rPr>
          <w:i w:val="1"/>
          <w:rtl w:val="0"/>
        </w:rPr>
        <w:t xml:space="preserve">Project Leadership and Society</w:t>
      </w:r>
      <w:r w:rsidDel="00000000" w:rsidR="00000000" w:rsidRPr="00000000">
        <w:rPr>
          <w:rtl w:val="0"/>
        </w:rPr>
        <w:t xml:space="preserve">, 5, Article 100152. Available at: </w:t>
      </w:r>
      <w:hyperlink r:id="rId16">
        <w:r w:rsidDel="00000000" w:rsidR="00000000" w:rsidRPr="00000000">
          <w:rPr>
            <w:color w:val="0563c1"/>
            <w:u w:val="single"/>
            <w:rtl w:val="0"/>
          </w:rPr>
          <w:t xml:space="preserve">https://www.sciencedirect.com/science/article/pii/S2666721524000577</w:t>
        </w:r>
      </w:hyperlink>
      <w:r w:rsidDel="00000000" w:rsidR="00000000" w:rsidRPr="00000000">
        <w:rPr>
          <w:rtl w:val="0"/>
        </w:rPr>
        <w:t xml:space="preserve"> (Accessed: 10 October 2025).</w:t>
      </w:r>
    </w:p>
    <w:p w:rsidR="00000000" w:rsidDel="00000000" w:rsidP="00000000" w:rsidRDefault="00000000" w:rsidRPr="00000000" w14:paraId="00000141">
      <w:pPr>
        <w:spacing w:line="360" w:lineRule="auto"/>
        <w:jc w:val="both"/>
        <w:rPr/>
      </w:pPr>
      <w:r w:rsidDel="00000000" w:rsidR="00000000" w:rsidRPr="00000000">
        <w:rPr>
          <w:rtl w:val="0"/>
        </w:rPr>
        <w:t xml:space="preserve">Khaw, K.W., Teoh, K.T., Azizan, N.A. &amp; Wai, C.K. (2022). ‘Reactions towards organizational change: a systematic literature review’, </w:t>
      </w:r>
      <w:r w:rsidDel="00000000" w:rsidR="00000000" w:rsidRPr="00000000">
        <w:rPr>
          <w:i w:val="1"/>
          <w:rtl w:val="0"/>
        </w:rPr>
        <w:t xml:space="preserve">Frontiers in Psychology</w:t>
      </w:r>
      <w:r w:rsidDel="00000000" w:rsidR="00000000" w:rsidRPr="00000000">
        <w:rPr>
          <w:rtl w:val="0"/>
        </w:rPr>
        <w:t xml:space="preserve">, 13, Article 834204. Available at: </w:t>
      </w:r>
      <w:hyperlink r:id="rId17">
        <w:r w:rsidDel="00000000" w:rsidR="00000000" w:rsidRPr="00000000">
          <w:rPr>
            <w:color w:val="0563c1"/>
            <w:u w:val="single"/>
            <w:rtl w:val="0"/>
          </w:rPr>
          <w:t xml:space="preserve">https://pmc.ncbi.nlm.nih.gov/articles/PMC9006211/</w:t>
        </w:r>
      </w:hyperlink>
      <w:r w:rsidDel="00000000" w:rsidR="00000000" w:rsidRPr="00000000">
        <w:rPr>
          <w:rtl w:val="0"/>
        </w:rPr>
        <w:t xml:space="preserve"> (Accessed: 11 October 2025).</w:t>
      </w:r>
    </w:p>
    <w:p w:rsidR="00000000" w:rsidDel="00000000" w:rsidP="00000000" w:rsidRDefault="00000000" w:rsidRPr="00000000" w14:paraId="00000142">
      <w:pPr>
        <w:spacing w:line="360" w:lineRule="auto"/>
        <w:jc w:val="both"/>
        <w:rPr/>
      </w:pPr>
      <w:r w:rsidDel="00000000" w:rsidR="00000000" w:rsidRPr="00000000">
        <w:rPr>
          <w:rtl w:val="0"/>
        </w:rPr>
        <w:t xml:space="preserve">Letmathe, P. &amp; Noll, E. (2024). ‘Analysis of email management strategies and their effects on email management performance’, </w:t>
      </w:r>
      <w:r w:rsidDel="00000000" w:rsidR="00000000" w:rsidRPr="00000000">
        <w:rPr>
          <w:i w:val="1"/>
          <w:rtl w:val="0"/>
        </w:rPr>
        <w:t xml:space="preserve">Omega: The International Journal of Management Science</w:t>
      </w:r>
      <w:r w:rsidDel="00000000" w:rsidR="00000000" w:rsidRPr="00000000">
        <w:rPr>
          <w:rtl w:val="0"/>
        </w:rPr>
        <w:t xml:space="preserve">, 124, Article 103002. Available at: </w:t>
      </w:r>
      <w:hyperlink r:id="rId18">
        <w:r w:rsidDel="00000000" w:rsidR="00000000" w:rsidRPr="00000000">
          <w:rPr>
            <w:color w:val="0563c1"/>
            <w:u w:val="single"/>
            <w:rtl w:val="0"/>
          </w:rPr>
          <w:t xml:space="preserve">https://www.sciencedirect.com/science/article/pii/S0305048323001664</w:t>
        </w:r>
      </w:hyperlink>
      <w:r w:rsidDel="00000000" w:rsidR="00000000" w:rsidRPr="00000000">
        <w:rPr>
          <w:rtl w:val="0"/>
        </w:rPr>
        <w:t xml:space="preserve"> (Accessed: 9 October 2025).</w:t>
      </w:r>
    </w:p>
    <w:p w:rsidR="00000000" w:rsidDel="00000000" w:rsidP="00000000" w:rsidRDefault="00000000" w:rsidRPr="00000000" w14:paraId="00000143">
      <w:pPr>
        <w:spacing w:line="360" w:lineRule="auto"/>
        <w:jc w:val="both"/>
        <w:rPr/>
      </w:pPr>
      <w:r w:rsidDel="00000000" w:rsidR="00000000" w:rsidRPr="00000000">
        <w:rPr>
          <w:rtl w:val="0"/>
        </w:rPr>
        <w:t xml:space="preserve">Lu, H.-P., Cheng, H.-L., Tzou, J.-C. &amp; Chen, C.-S. (2023). ‘Technology roadmap of AI applications in the retail industry’, </w:t>
      </w:r>
      <w:r w:rsidDel="00000000" w:rsidR="00000000" w:rsidRPr="00000000">
        <w:rPr>
          <w:i w:val="1"/>
          <w:rtl w:val="0"/>
        </w:rPr>
        <w:t xml:space="preserve">Technological Forecasting &amp; Social Change</w:t>
      </w:r>
      <w:r w:rsidDel="00000000" w:rsidR="00000000" w:rsidRPr="00000000">
        <w:rPr>
          <w:rtl w:val="0"/>
        </w:rPr>
        <w:t xml:space="preserve">, 195, Article 122778. Available at: </w:t>
      </w:r>
      <w:hyperlink r:id="rId19">
        <w:r w:rsidDel="00000000" w:rsidR="00000000" w:rsidRPr="00000000">
          <w:rPr>
            <w:color w:val="0563c1"/>
            <w:u w:val="single"/>
            <w:rtl w:val="0"/>
          </w:rPr>
          <w:t xml:space="preserve">https://www.sciencedirect.com/science/article/pii/S0040162523004638</w:t>
        </w:r>
      </w:hyperlink>
      <w:r w:rsidDel="00000000" w:rsidR="00000000" w:rsidRPr="00000000">
        <w:rPr>
          <w:rtl w:val="0"/>
        </w:rPr>
        <w:t xml:space="preserve"> (Accessed: 10 October 2025).</w:t>
      </w:r>
    </w:p>
    <w:p w:rsidR="00000000" w:rsidDel="00000000" w:rsidP="00000000" w:rsidRDefault="00000000" w:rsidRPr="00000000" w14:paraId="00000144">
      <w:pPr>
        <w:spacing w:line="360" w:lineRule="auto"/>
        <w:jc w:val="both"/>
        <w:rPr/>
      </w:pPr>
      <w:r w:rsidDel="00000000" w:rsidR="00000000" w:rsidRPr="00000000">
        <w:rPr>
          <w:rtl w:val="0"/>
        </w:rPr>
        <w:t xml:space="preserve">Phillips, J. &amp; Klein, J.D. (2023). ‘Change Management: From Theory to Practice’, </w:t>
      </w:r>
      <w:r w:rsidDel="00000000" w:rsidR="00000000" w:rsidRPr="00000000">
        <w:rPr>
          <w:i w:val="1"/>
          <w:rtl w:val="0"/>
        </w:rPr>
        <w:t xml:space="preserve">TechTrends</w:t>
      </w:r>
      <w:r w:rsidDel="00000000" w:rsidR="00000000" w:rsidRPr="00000000">
        <w:rPr>
          <w:rtl w:val="0"/>
        </w:rPr>
        <w:t xml:space="preserve">, 67(1), pp. 189–197. Available at: </w:t>
      </w:r>
      <w:hyperlink r:id="rId20">
        <w:r w:rsidDel="00000000" w:rsidR="00000000" w:rsidRPr="00000000">
          <w:rPr>
            <w:color w:val="0563c1"/>
            <w:u w:val="single"/>
            <w:rtl w:val="0"/>
          </w:rPr>
          <w:t xml:space="preserve">https://link.springer.com/article/10.1007/s11528-022-00775-0</w:t>
        </w:r>
      </w:hyperlink>
      <w:r w:rsidDel="00000000" w:rsidR="00000000" w:rsidRPr="00000000">
        <w:rPr>
          <w:rtl w:val="0"/>
        </w:rPr>
        <w:t xml:space="preserve"> (Accessed: 11 October 2025).</w:t>
      </w:r>
    </w:p>
    <w:p w:rsidR="00000000" w:rsidDel="00000000" w:rsidP="00000000" w:rsidRDefault="00000000" w:rsidRPr="00000000" w14:paraId="00000145">
      <w:pPr>
        <w:spacing w:line="360" w:lineRule="auto"/>
        <w:jc w:val="both"/>
        <w:rPr/>
      </w:pPr>
      <w:r w:rsidDel="00000000" w:rsidR="00000000" w:rsidRPr="00000000">
        <w:rPr>
          <w:rtl w:val="0"/>
        </w:rPr>
        <w:t xml:space="preserve">Rousseau, D.M. &amp; ten Have, S. (2022). ‘Evidence-based change management’, </w:t>
      </w:r>
      <w:r w:rsidDel="00000000" w:rsidR="00000000" w:rsidRPr="00000000">
        <w:rPr>
          <w:i w:val="1"/>
          <w:rtl w:val="0"/>
        </w:rPr>
        <w:t xml:space="preserve">Organizational Dynamics</w:t>
      </w:r>
      <w:r w:rsidDel="00000000" w:rsidR="00000000" w:rsidRPr="00000000">
        <w:rPr>
          <w:rtl w:val="0"/>
        </w:rPr>
        <w:t xml:space="preserve">, 51(3), Article 100899. Available at: </w:t>
      </w:r>
      <w:hyperlink r:id="rId21">
        <w:r w:rsidDel="00000000" w:rsidR="00000000" w:rsidRPr="00000000">
          <w:rPr>
            <w:color w:val="0563c1"/>
            <w:u w:val="single"/>
            <w:rtl w:val="0"/>
          </w:rPr>
          <w:t xml:space="preserve">https://www.sciencedirect.com/science/article/pii/S0090261622000243</w:t>
        </w:r>
      </w:hyperlink>
      <w:r w:rsidDel="00000000" w:rsidR="00000000" w:rsidRPr="00000000">
        <w:rPr>
          <w:rtl w:val="0"/>
        </w:rPr>
        <w:t xml:space="preserve"> (Accessed: 9 October 2025).</w:t>
      </w:r>
    </w:p>
    <w:p w:rsidR="00000000" w:rsidDel="00000000" w:rsidP="00000000" w:rsidRDefault="00000000" w:rsidRPr="00000000" w14:paraId="00000146">
      <w:pPr>
        <w:spacing w:line="360" w:lineRule="auto"/>
        <w:jc w:val="both"/>
        <w:rPr/>
      </w:pPr>
      <w:r w:rsidDel="00000000" w:rsidR="00000000" w:rsidRPr="00000000">
        <w:rPr>
          <w:rtl w:val="0"/>
        </w:rPr>
        <w:t xml:space="preserve">Saghiri, S., Wilding, R. &amp; Mena, C. (2023). ‘Omnichannel perishable inventory management in grocery retail: performance measures and influencing factors’, </w:t>
      </w:r>
      <w:r w:rsidDel="00000000" w:rsidR="00000000" w:rsidRPr="00000000">
        <w:rPr>
          <w:i w:val="1"/>
          <w:rtl w:val="0"/>
        </w:rPr>
        <w:t xml:space="preserve">International Journal of Production Research</w:t>
      </w:r>
      <w:r w:rsidDel="00000000" w:rsidR="00000000" w:rsidRPr="00000000">
        <w:rPr>
          <w:rtl w:val="0"/>
        </w:rPr>
        <w:t xml:space="preserve">, 61(21), pp. 7285–7306. Available at: </w:t>
      </w:r>
      <w:hyperlink r:id="rId22">
        <w:r w:rsidDel="00000000" w:rsidR="00000000" w:rsidRPr="00000000">
          <w:rPr>
            <w:color w:val="0563c1"/>
            <w:u w:val="single"/>
            <w:rtl w:val="0"/>
          </w:rPr>
          <w:t xml:space="preserve">https://eprints.soton.ac.uk/477792/1/Grocery_omnichannel_perishable_inventories_2023.pdf</w:t>
        </w:r>
      </w:hyperlink>
      <w:r w:rsidDel="00000000" w:rsidR="00000000" w:rsidRPr="00000000">
        <w:rPr>
          <w:rtl w:val="0"/>
        </w:rPr>
        <w:t xml:space="preserve"> (Accessed: 10 October 2025).</w:t>
      </w:r>
    </w:p>
    <w:p w:rsidR="00000000" w:rsidDel="00000000" w:rsidP="00000000" w:rsidRDefault="00000000" w:rsidRPr="00000000" w14:paraId="00000147">
      <w:pPr>
        <w:spacing w:line="360" w:lineRule="auto"/>
        <w:jc w:val="both"/>
        <w:rPr/>
      </w:pPr>
      <w:r w:rsidDel="00000000" w:rsidR="00000000" w:rsidRPr="00000000">
        <w:rPr>
          <w:rtl w:val="0"/>
        </w:rPr>
        <w:t xml:space="preserve">Sharma, N., Dasgupta, P. &amp; Al-Hawari, M. (2022). ‘How can retailers design omnichannel to retain customers?’, </w:t>
      </w:r>
      <w:r w:rsidDel="00000000" w:rsidR="00000000" w:rsidRPr="00000000">
        <w:rPr>
          <w:i w:val="1"/>
          <w:rtl w:val="0"/>
        </w:rPr>
        <w:t xml:space="preserve">Journal of Retailing and Consumer Services</w:t>
      </w:r>
      <w:r w:rsidDel="00000000" w:rsidR="00000000" w:rsidRPr="00000000">
        <w:rPr>
          <w:rtl w:val="0"/>
        </w:rPr>
        <w:t xml:space="preserve">, 65, Article 102866. Available at: </w:t>
      </w:r>
      <w:hyperlink r:id="rId23">
        <w:r w:rsidDel="00000000" w:rsidR="00000000" w:rsidRPr="00000000">
          <w:rPr>
            <w:color w:val="0563c1"/>
            <w:u w:val="single"/>
            <w:rtl w:val="0"/>
          </w:rPr>
          <w:t xml:space="preserve">https://www.sciencedirect.com/science/article/pii/S0969698922000572</w:t>
        </w:r>
      </w:hyperlink>
      <w:r w:rsidDel="00000000" w:rsidR="00000000" w:rsidRPr="00000000">
        <w:rPr>
          <w:rtl w:val="0"/>
        </w:rPr>
        <w:t xml:space="preserve"> (Accessed: 11 October 2025).</w:t>
      </w:r>
    </w:p>
    <w:p w:rsidR="00000000" w:rsidDel="00000000" w:rsidP="00000000" w:rsidRDefault="00000000" w:rsidRPr="00000000" w14:paraId="00000148">
      <w:pPr>
        <w:spacing w:line="360" w:lineRule="auto"/>
        <w:jc w:val="both"/>
        <w:rPr/>
      </w:pPr>
      <w:r w:rsidDel="00000000" w:rsidR="00000000" w:rsidRPr="00000000">
        <w:rPr>
          <w:rtl w:val="0"/>
        </w:rPr>
        <w:t xml:space="preserve">Sharma, N., Dutta, J., Kar, A.K. &amp; Singh, R. (2023). ‘Omnichannel retailing and customer experience: a systematic literature review’, </w:t>
      </w:r>
      <w:r w:rsidDel="00000000" w:rsidR="00000000" w:rsidRPr="00000000">
        <w:rPr>
          <w:i w:val="1"/>
          <w:rtl w:val="0"/>
        </w:rPr>
        <w:t xml:space="preserve">Journal of Retailing and Consumer Services</w:t>
      </w:r>
      <w:r w:rsidDel="00000000" w:rsidR="00000000" w:rsidRPr="00000000">
        <w:rPr>
          <w:rtl w:val="0"/>
        </w:rPr>
        <w:t xml:space="preserve">, 71, Article 103239. Available at: </w:t>
      </w:r>
      <w:hyperlink r:id="rId24">
        <w:r w:rsidDel="00000000" w:rsidR="00000000" w:rsidRPr="00000000">
          <w:rPr>
            <w:color w:val="0563c1"/>
            <w:u w:val="single"/>
            <w:rtl w:val="0"/>
          </w:rPr>
          <w:t xml:space="preserve">https://www.sciencedirect.com/science/article/pii/S0969698922002024</w:t>
        </w:r>
      </w:hyperlink>
      <w:r w:rsidDel="00000000" w:rsidR="00000000" w:rsidRPr="00000000">
        <w:rPr>
          <w:rtl w:val="0"/>
        </w:rPr>
        <w:t xml:space="preserve"> (Accessed: 9 October 2025).</w:t>
      </w:r>
    </w:p>
    <w:p w:rsidR="00000000" w:rsidDel="00000000" w:rsidP="00000000" w:rsidRDefault="00000000" w:rsidRPr="00000000" w14:paraId="00000149">
      <w:pPr>
        <w:spacing w:line="360" w:lineRule="auto"/>
        <w:jc w:val="both"/>
        <w:rPr/>
      </w:pPr>
      <w:r w:rsidDel="00000000" w:rsidR="00000000" w:rsidRPr="00000000">
        <w:rPr>
          <w:rtl w:val="0"/>
        </w:rPr>
        <w:t xml:space="preserve">Sharma, N., Dasgupta, P., Al-Hawari, M., Pandey, S. &amp; Sharma, S. (2024). ‘Influence of perceived value on omnichannel usage behaviour: The role of shopping habit’, </w:t>
      </w:r>
      <w:r w:rsidDel="00000000" w:rsidR="00000000" w:rsidRPr="00000000">
        <w:rPr>
          <w:i w:val="1"/>
          <w:rtl w:val="0"/>
        </w:rPr>
        <w:t xml:space="preserve">Journal of Retailing and Consumer Services</w:t>
      </w:r>
      <w:r w:rsidDel="00000000" w:rsidR="00000000" w:rsidRPr="00000000">
        <w:rPr>
          <w:rtl w:val="0"/>
        </w:rPr>
        <w:t xml:space="preserve">, 75, Article 103694. Available at: </w:t>
      </w:r>
      <w:hyperlink r:id="rId25">
        <w:r w:rsidDel="00000000" w:rsidR="00000000" w:rsidRPr="00000000">
          <w:rPr>
            <w:color w:val="0563c1"/>
            <w:u w:val="single"/>
            <w:rtl w:val="0"/>
          </w:rPr>
          <w:t xml:space="preserve">https://www.sciencedirect.com/science/article/pii/S0969698923003788</w:t>
        </w:r>
      </w:hyperlink>
      <w:r w:rsidDel="00000000" w:rsidR="00000000" w:rsidRPr="00000000">
        <w:rPr>
          <w:rtl w:val="0"/>
        </w:rPr>
        <w:t xml:space="preserve"> (Accessed: 10 October 2025).</w:t>
      </w:r>
    </w:p>
    <w:p w:rsidR="00000000" w:rsidDel="00000000" w:rsidP="00000000" w:rsidRDefault="00000000" w:rsidRPr="00000000" w14:paraId="0000014A">
      <w:pPr>
        <w:spacing w:line="360" w:lineRule="auto"/>
        <w:jc w:val="both"/>
        <w:rPr/>
      </w:pPr>
      <w:r w:rsidDel="00000000" w:rsidR="00000000" w:rsidRPr="00000000">
        <w:rPr>
          <w:rtl w:val="0"/>
        </w:rPr>
        <w:t xml:space="preserve">Sharma, N., Dasgupta, P. &amp; Al-Hawari, M. (2024). ‘Leveraging digital technology in retailing business: Omnichannel adoption and sustainable retail performance’, </w:t>
      </w:r>
      <w:r w:rsidDel="00000000" w:rsidR="00000000" w:rsidRPr="00000000">
        <w:rPr>
          <w:i w:val="1"/>
          <w:rtl w:val="0"/>
        </w:rPr>
        <w:t xml:space="preserve">Journal of Retailing and Consumer Services</w:t>
      </w:r>
      <w:r w:rsidDel="00000000" w:rsidR="00000000" w:rsidRPr="00000000">
        <w:rPr>
          <w:rtl w:val="0"/>
        </w:rPr>
        <w:t xml:space="preserve">, 76, Article 103741. Available at: </w:t>
      </w:r>
      <w:hyperlink r:id="rId26">
        <w:r w:rsidDel="00000000" w:rsidR="00000000" w:rsidRPr="00000000">
          <w:rPr>
            <w:color w:val="0563c1"/>
            <w:u w:val="single"/>
            <w:rtl w:val="0"/>
          </w:rPr>
          <w:t xml:space="preserve">https://www.sciencedirect.com/science/article/pii/S0969698924003436</w:t>
        </w:r>
      </w:hyperlink>
      <w:r w:rsidDel="00000000" w:rsidR="00000000" w:rsidRPr="00000000">
        <w:rPr>
          <w:rtl w:val="0"/>
        </w:rPr>
        <w:t xml:space="preserve"> (Accessed: 11 October 2025).</w:t>
      </w:r>
    </w:p>
    <w:p w:rsidR="00000000" w:rsidDel="00000000" w:rsidP="00000000" w:rsidRDefault="00000000" w:rsidRPr="00000000" w14:paraId="0000014B">
      <w:pPr>
        <w:spacing w:line="360" w:lineRule="auto"/>
        <w:jc w:val="both"/>
        <w:rPr/>
      </w:pPr>
      <w:r w:rsidDel="00000000" w:rsidR="00000000" w:rsidRPr="00000000">
        <w:rPr>
          <w:rtl w:val="0"/>
        </w:rPr>
        <w:t xml:space="preserve">Singh, R. &amp; Söderlund, M. (2022). ‘Home satisfaction in the context of online grocery shopping’, </w:t>
      </w:r>
      <w:r w:rsidDel="00000000" w:rsidR="00000000" w:rsidRPr="00000000">
        <w:rPr>
          <w:i w:val="1"/>
          <w:rtl w:val="0"/>
        </w:rPr>
        <w:t xml:space="preserve">Journal of Retailing and Consumer Services</w:t>
      </w:r>
      <w:r w:rsidDel="00000000" w:rsidR="00000000" w:rsidRPr="00000000">
        <w:rPr>
          <w:rtl w:val="0"/>
        </w:rPr>
        <w:t xml:space="preserve">, 70, Article 102074. Available at: </w:t>
      </w:r>
      <w:hyperlink r:id="rId27">
        <w:r w:rsidDel="00000000" w:rsidR="00000000" w:rsidRPr="00000000">
          <w:rPr>
            <w:color w:val="0563c1"/>
            <w:u w:val="single"/>
            <w:rtl w:val="0"/>
          </w:rPr>
          <w:t xml:space="preserve">https://www.sciencedirect.com/science/article/pii/S0969698922003251</w:t>
        </w:r>
      </w:hyperlink>
      <w:r w:rsidDel="00000000" w:rsidR="00000000" w:rsidRPr="00000000">
        <w:rPr>
          <w:rtl w:val="0"/>
        </w:rPr>
        <w:t xml:space="preserve"> (Accessed: 9 October 2025).</w:t>
      </w:r>
    </w:p>
    <w:p w:rsidR="00000000" w:rsidDel="00000000" w:rsidP="00000000" w:rsidRDefault="00000000" w:rsidRPr="00000000" w14:paraId="0000014C">
      <w:pPr>
        <w:spacing w:line="360" w:lineRule="auto"/>
        <w:jc w:val="both"/>
        <w:rPr/>
      </w:pPr>
      <w:r w:rsidDel="00000000" w:rsidR="00000000" w:rsidRPr="00000000">
        <w:rPr>
          <w:rtl w:val="0"/>
        </w:rPr>
        <w:t xml:space="preserve">Thaichon, P., Quach, S., Barari, M. &amp; Nguyen, M. (2024). ‘Exploring the Role of Omnichannel Retailing Technologies: Future Research Directions’, </w:t>
      </w:r>
      <w:r w:rsidDel="00000000" w:rsidR="00000000" w:rsidRPr="00000000">
        <w:rPr>
          <w:i w:val="1"/>
          <w:rtl w:val="0"/>
        </w:rPr>
        <w:t xml:space="preserve">Australasian Marketing Journal</w:t>
      </w:r>
      <w:r w:rsidDel="00000000" w:rsidR="00000000" w:rsidRPr="00000000">
        <w:rPr>
          <w:rtl w:val="0"/>
        </w:rPr>
        <w:t xml:space="preserve">, 32(2), pp. 162–177. Available at: </w:t>
      </w:r>
      <w:hyperlink r:id="rId28">
        <w:r w:rsidDel="00000000" w:rsidR="00000000" w:rsidRPr="00000000">
          <w:rPr>
            <w:color w:val="0563c1"/>
            <w:u w:val="single"/>
            <w:rtl w:val="0"/>
          </w:rPr>
          <w:t xml:space="preserve">https://journals.sagepub.com/doi/10.1177/14413582231167664</w:t>
        </w:r>
      </w:hyperlink>
      <w:r w:rsidDel="00000000" w:rsidR="00000000" w:rsidRPr="00000000">
        <w:rPr>
          <w:rtl w:val="0"/>
        </w:rPr>
        <w:t xml:space="preserve"> (Accessed: 10 October 2025).</w:t>
      </w:r>
    </w:p>
    <w:p w:rsidR="00000000" w:rsidDel="00000000" w:rsidP="00000000" w:rsidRDefault="00000000" w:rsidRPr="00000000" w14:paraId="0000014D">
      <w:pPr>
        <w:spacing w:line="360" w:lineRule="auto"/>
        <w:jc w:val="both"/>
        <w:rPr/>
      </w:pPr>
      <w:r w:rsidDel="00000000" w:rsidR="00000000" w:rsidRPr="00000000">
        <w:rPr>
          <w:rtl w:val="0"/>
        </w:rPr>
        <w:t xml:space="preserve">Yin, C., Song, H., Lee, J.Y. &amp; Kim, S. (2022). ‘How to retain customers in omnichannel retailing: The roles of integration, interaction, and individualization’, </w:t>
      </w:r>
      <w:r w:rsidDel="00000000" w:rsidR="00000000" w:rsidRPr="00000000">
        <w:rPr>
          <w:i w:val="1"/>
          <w:rtl w:val="0"/>
        </w:rPr>
        <w:t xml:space="preserve">Journal of Retailing and Consumer Services</w:t>
      </w:r>
      <w:r w:rsidDel="00000000" w:rsidR="00000000" w:rsidRPr="00000000">
        <w:rPr>
          <w:rtl w:val="0"/>
        </w:rPr>
        <w:t xml:space="preserve">, 66, Article 103372. Available at: </w:t>
      </w:r>
      <w:hyperlink r:id="rId29">
        <w:r w:rsidDel="00000000" w:rsidR="00000000" w:rsidRPr="00000000">
          <w:rPr>
            <w:color w:val="0563c1"/>
            <w:u w:val="single"/>
            <w:rtl w:val="0"/>
          </w:rPr>
          <w:t xml:space="preserve">https://www.sciencedirect.com/science/article/pii/S0969698922001631</w:t>
        </w:r>
      </w:hyperlink>
      <w:r w:rsidDel="00000000" w:rsidR="00000000" w:rsidRPr="00000000">
        <w:rPr>
          <w:rtl w:val="0"/>
        </w:rPr>
        <w:t xml:space="preserve"> (Accessed: 11 October 2025).</w:t>
      </w:r>
    </w:p>
    <w:p w:rsidR="00000000" w:rsidDel="00000000" w:rsidP="00000000" w:rsidRDefault="00000000" w:rsidRPr="00000000" w14:paraId="0000014E">
      <w:pPr>
        <w:spacing w:line="360" w:lineRule="auto"/>
        <w:jc w:val="both"/>
        <w:rPr/>
      </w:pPr>
      <w:r w:rsidDel="00000000" w:rsidR="00000000" w:rsidRPr="00000000">
        <w:rPr>
          <w:rtl w:val="0"/>
        </w:rPr>
        <w:t xml:space="preserve">Younes, H., Noland, R.B. &amp; Zhang, W. (2022). ‘Browsing for food: Will COVID-induced online grocery delivery persist?’, </w:t>
      </w:r>
      <w:r w:rsidDel="00000000" w:rsidR="00000000" w:rsidRPr="00000000">
        <w:rPr>
          <w:i w:val="1"/>
          <w:rtl w:val="0"/>
        </w:rPr>
        <w:t xml:space="preserve">Regional Science Policy &amp; Practice</w:t>
      </w:r>
      <w:r w:rsidDel="00000000" w:rsidR="00000000" w:rsidRPr="00000000">
        <w:rPr>
          <w:rtl w:val="0"/>
        </w:rPr>
        <w:t xml:space="preserve">, 14(S1), pp. 179–195. Available at: </w:t>
      </w:r>
      <w:hyperlink r:id="rId30">
        <w:r w:rsidDel="00000000" w:rsidR="00000000" w:rsidRPr="00000000">
          <w:rPr>
            <w:color w:val="0563c1"/>
            <w:u w:val="single"/>
            <w:rtl w:val="0"/>
          </w:rPr>
          <w:t xml:space="preserve">https://rsaiconnect.onlinelibrary.wiley.com/doi/10.1111/rsp3.12542</w:t>
        </w:r>
      </w:hyperlink>
      <w:r w:rsidDel="00000000" w:rsidR="00000000" w:rsidRPr="00000000">
        <w:rPr>
          <w:rtl w:val="0"/>
        </w:rPr>
        <w:t xml:space="preserve"> (Accessed: 9 October 2025).</w:t>
      </w:r>
    </w:p>
    <w:p w:rsidR="00000000" w:rsidDel="00000000" w:rsidP="00000000" w:rsidRDefault="00000000" w:rsidRPr="00000000" w14:paraId="0000014F">
      <w:pPr>
        <w:rPr/>
      </w:pPr>
      <w:r w:rsidDel="00000000" w:rsidR="00000000" w:rsidRPr="00000000">
        <w:rPr>
          <w:rtl w:val="0"/>
        </w:rPr>
      </w:r>
    </w:p>
    <w:sectPr>
      <w:footerReference r:id="rId31"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5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25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spacing w:after="120" w:before="120" w:line="240" w:lineRule="auto"/>
    </w:pPr>
    <w:rPr>
      <w:b w:val="1"/>
      <w:color w:val="000000"/>
      <w:sz w:val="28"/>
      <w:szCs w:val="28"/>
    </w:rPr>
  </w:style>
  <w:style w:type="paragraph" w:styleId="Heading2">
    <w:name w:val="heading 2"/>
    <w:basedOn w:val="Normal"/>
    <w:next w:val="Normal"/>
    <w:pPr>
      <w:keepNext w:val="1"/>
      <w:keepLines w:val="1"/>
      <w:spacing w:after="0" w:before="80" w:line="240" w:lineRule="auto"/>
    </w:pPr>
    <w:rPr>
      <w:b w:val="1"/>
      <w:color w:val="000000"/>
    </w:rPr>
  </w:style>
  <w:style w:type="paragraph" w:styleId="Heading3">
    <w:name w:val="heading 3"/>
    <w:basedOn w:val="Normal"/>
    <w:next w:val="Normal"/>
    <w:pPr>
      <w:keepNext w:val="1"/>
      <w:keepLines w:val="1"/>
      <w:spacing w:after="0" w:before="40" w:lineRule="auto"/>
    </w:pPr>
    <w:rPr>
      <w:b w:val="1"/>
    </w:rPr>
  </w:style>
  <w:style w:type="paragraph" w:styleId="Heading4">
    <w:name w:val="heading 4"/>
    <w:basedOn w:val="Normal"/>
    <w:next w:val="Normal"/>
    <w:pPr>
      <w:keepNext w:val="1"/>
      <w:keepLines w:val="1"/>
      <w:spacing w:after="40" w:before="80" w:line="254" w:lineRule="auto"/>
    </w:pPr>
    <w:rPr>
      <w:b w:val="1"/>
    </w:rPr>
  </w:style>
  <w:style w:type="paragraph" w:styleId="Heading5">
    <w:name w:val="heading 5"/>
    <w:basedOn w:val="Normal"/>
    <w:next w:val="Normal"/>
    <w:pPr>
      <w:keepNext w:val="1"/>
      <w:keepLines w:val="1"/>
      <w:spacing w:after="40" w:before="80" w:lineRule="auto"/>
    </w:pPr>
    <w:rPr>
      <w:rFonts w:ascii="Calibri" w:cs="Calibri" w:eastAsia="Calibri" w:hAnsi="Calibri"/>
      <w:color w:val="2f5496"/>
    </w:rPr>
  </w:style>
  <w:style w:type="paragraph" w:styleId="Heading6">
    <w:name w:val="heading 6"/>
    <w:basedOn w:val="Normal"/>
    <w:next w:val="Normal"/>
    <w:pPr>
      <w:keepNext w:val="1"/>
      <w:keepLines w:val="1"/>
      <w:spacing w:after="0" w:before="40" w:lineRule="auto"/>
    </w:pPr>
    <w:rPr>
      <w:rFonts w:ascii="Calibri" w:cs="Calibri" w:eastAsia="Calibri" w:hAnsi="Calibri"/>
      <w:i w:val="1"/>
      <w:color w:val="595959"/>
    </w:rPr>
  </w:style>
  <w:style w:type="paragraph" w:styleId="Title">
    <w:name w:val="Title"/>
    <w:basedOn w:val="Normal"/>
    <w:next w:val="Normal"/>
    <w:pPr>
      <w:spacing w:after="80" w:line="240" w:lineRule="auto"/>
    </w:pPr>
    <w:rPr>
      <w:rFonts w:ascii="Calibri" w:cs="Calibri" w:eastAsia="Calibri" w:hAnsi="Calibri"/>
      <w:color w:val="000000"/>
      <w:sz w:val="56"/>
      <w:szCs w:val="56"/>
    </w:rPr>
  </w:style>
  <w:style w:type="paragraph" w:styleId="Subtitle">
    <w:name w:val="Subtitle"/>
    <w:basedOn w:val="Normal"/>
    <w:next w:val="Normal"/>
    <w:pPr/>
    <w:rPr>
      <w:rFonts w:ascii="Calibri" w:cs="Calibri" w:eastAsia="Calibri" w:hAnsi="Calibri"/>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link.springer.com/article/10.1007/s11528-022-00775-0" TargetMode="External"/><Relationship Id="rId22" Type="http://schemas.openxmlformats.org/officeDocument/2006/relationships/hyperlink" Target="https://eprints.soton.ac.uk/477792/1/Grocery_omnichannel_perishable_inventories_2023.pdf" TargetMode="External"/><Relationship Id="rId21" Type="http://schemas.openxmlformats.org/officeDocument/2006/relationships/hyperlink" Target="https://www.sciencedirect.com/science/article/pii/S0090261622000243" TargetMode="External"/><Relationship Id="rId24" Type="http://schemas.openxmlformats.org/officeDocument/2006/relationships/hyperlink" Target="https://www.sciencedirect.com/science/article/pii/S0969698922002024" TargetMode="External"/><Relationship Id="rId23" Type="http://schemas.openxmlformats.org/officeDocument/2006/relationships/hyperlink" Target="https://www.sciencedirect.com/science/article/pii/S0969698922000572"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pubsonline.informs.org/doi/10.1287/mksc.2023.1477" TargetMode="External"/><Relationship Id="rId26" Type="http://schemas.openxmlformats.org/officeDocument/2006/relationships/hyperlink" Target="https://www.sciencedirect.com/science/article/pii/S0969698924003436" TargetMode="External"/><Relationship Id="rId25" Type="http://schemas.openxmlformats.org/officeDocument/2006/relationships/hyperlink" Target="https://www.sciencedirect.com/science/article/pii/S0969698923003788" TargetMode="External"/><Relationship Id="rId28" Type="http://schemas.openxmlformats.org/officeDocument/2006/relationships/hyperlink" Target="https://journals.sagepub.com/doi/10.1177/14413582231167664" TargetMode="External"/><Relationship Id="rId27" Type="http://schemas.openxmlformats.org/officeDocument/2006/relationships/hyperlink" Target="https://www.sciencedirect.com/science/article/pii/S0969698922003251" TargetMode="External"/><Relationship Id="rId5" Type="http://schemas.openxmlformats.org/officeDocument/2006/relationships/styles" Target="styles.xml"/><Relationship Id="rId6" Type="http://schemas.openxmlformats.org/officeDocument/2006/relationships/hyperlink" Target="https://www.tandfonline.com/doi/full/10.1080/23311975.2024.2375623" TargetMode="External"/><Relationship Id="rId29" Type="http://schemas.openxmlformats.org/officeDocument/2006/relationships/hyperlink" Target="https://www.sciencedirect.com/science/article/pii/S0969698922001631" TargetMode="External"/><Relationship Id="rId7" Type="http://schemas.openxmlformats.org/officeDocument/2006/relationships/hyperlink" Target="https://www.sciencedirect.com/science/article/pii/S0148296322002727" TargetMode="External"/><Relationship Id="rId8" Type="http://schemas.openxmlformats.org/officeDocument/2006/relationships/hyperlink" Target="https://link.springer.com/article/10.1007/s10660-022-09658-1" TargetMode="External"/><Relationship Id="rId31" Type="http://schemas.openxmlformats.org/officeDocument/2006/relationships/footer" Target="footer1.xml"/><Relationship Id="rId30" Type="http://schemas.openxmlformats.org/officeDocument/2006/relationships/hyperlink" Target="https://rsaiconnect.onlinelibrary.wiley.com/doi/10.1111/rsp3.12542" TargetMode="External"/><Relationship Id="rId11" Type="http://schemas.openxmlformats.org/officeDocument/2006/relationships/hyperlink" Target="https://www.sciencedirect.com/science/article/abs/pii/S0748575124000630" TargetMode="External"/><Relationship Id="rId10" Type="http://schemas.openxmlformats.org/officeDocument/2006/relationships/hyperlink" Target="https://www.emerald.com/insight/content/doi/10.1108/IJRDM-04-2022-0133/full/html" TargetMode="External"/><Relationship Id="rId13" Type="http://schemas.openxmlformats.org/officeDocument/2006/relationships/hyperlink" Target="https://www.tandfonline.com/doi/full/10.1080/10454446.2024.2311179" TargetMode="External"/><Relationship Id="rId12" Type="http://schemas.openxmlformats.org/officeDocument/2006/relationships/hyperlink" Target="https://www.sciencedirect.com/science/article/pii/S0040162523002640" TargetMode="External"/><Relationship Id="rId15" Type="http://schemas.openxmlformats.org/officeDocument/2006/relationships/hyperlink" Target="https://www.utupub.fi/bitstream/handle/10024/186818/Managing%20Positive%20Change%20Emotions%20and%20Communication%20Following%20Acquisitions%281%29.pdf" TargetMode="External"/><Relationship Id="rId14" Type="http://schemas.openxmlformats.org/officeDocument/2006/relationships/hyperlink" Target="https://www.tandfonline.com/doi/full/10.1080/14697017.2022.2091635" TargetMode="External"/><Relationship Id="rId17" Type="http://schemas.openxmlformats.org/officeDocument/2006/relationships/hyperlink" Target="https://pmc.ncbi.nlm.nih.gov/articles/PMC9006211/" TargetMode="External"/><Relationship Id="rId16" Type="http://schemas.openxmlformats.org/officeDocument/2006/relationships/hyperlink" Target="https://www.sciencedirect.com/science/article/pii/S2666721524000577" TargetMode="External"/><Relationship Id="rId19" Type="http://schemas.openxmlformats.org/officeDocument/2006/relationships/hyperlink" Target="https://www.sciencedirect.com/science/article/pii/S0040162523004638" TargetMode="External"/><Relationship Id="rId18" Type="http://schemas.openxmlformats.org/officeDocument/2006/relationships/hyperlink" Target="https://www.sciencedirect.com/science/article/pii/S03050483230016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