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EED40" w14:textId="77777777" w:rsidR="006C6215" w:rsidRDefault="003C39B2">
      <w:pPr>
        <w:jc w:val="center"/>
      </w:pPr>
      <w:r>
        <w:rPr>
          <w:noProof/>
        </w:rPr>
        <w:drawing>
          <wp:inline distT="0" distB="0" distL="0" distR="0" wp14:anchorId="7A791069" wp14:editId="117785C2">
            <wp:extent cx="3632764" cy="1983324"/>
            <wp:effectExtent l="0" t="0" r="5786" b="0"/>
            <wp:docPr id="1" name="Picture 1677614515" descr="See the source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632764" cy="1983324"/>
                    </a:xfrm>
                    <a:prstGeom prst="rect">
                      <a:avLst/>
                    </a:prstGeom>
                    <a:noFill/>
                    <a:ln>
                      <a:noFill/>
                      <a:prstDash/>
                    </a:ln>
                  </pic:spPr>
                </pic:pic>
              </a:graphicData>
            </a:graphic>
          </wp:inline>
        </w:drawing>
      </w:r>
    </w:p>
    <w:p w14:paraId="3B20A331" w14:textId="77777777" w:rsidR="006C6215" w:rsidRDefault="006C6215">
      <w:pPr>
        <w:jc w:val="center"/>
        <w:rPr>
          <w:rFonts w:ascii="Arial" w:hAnsi="Arial" w:cs="Arial"/>
          <w:sz w:val="52"/>
          <w:szCs w:val="52"/>
        </w:rPr>
      </w:pPr>
    </w:p>
    <w:p w14:paraId="6E215AB3" w14:textId="77777777" w:rsidR="006C6215" w:rsidRDefault="006C6215">
      <w:pPr>
        <w:jc w:val="center"/>
        <w:rPr>
          <w:rFonts w:ascii="Arial" w:hAnsi="Arial" w:cs="Arial"/>
          <w:sz w:val="52"/>
          <w:szCs w:val="52"/>
        </w:rPr>
      </w:pPr>
    </w:p>
    <w:p w14:paraId="10A1854F" w14:textId="77777777" w:rsidR="006C6215" w:rsidRDefault="003C39B2">
      <w:pPr>
        <w:jc w:val="center"/>
        <w:rPr>
          <w:rFonts w:ascii="Arial" w:hAnsi="Arial" w:cs="Arial"/>
          <w:sz w:val="52"/>
          <w:szCs w:val="52"/>
        </w:rPr>
      </w:pPr>
      <w:r>
        <w:rPr>
          <w:rFonts w:ascii="Arial" w:hAnsi="Arial" w:cs="Arial"/>
          <w:sz w:val="52"/>
          <w:szCs w:val="52"/>
        </w:rPr>
        <w:t>Workplace Culture and its impact on Organisational Efficiency</w:t>
      </w:r>
    </w:p>
    <w:p w14:paraId="1F83D9FA" w14:textId="77777777" w:rsidR="006C6215" w:rsidRDefault="006C6215">
      <w:pPr>
        <w:jc w:val="center"/>
        <w:rPr>
          <w:rFonts w:ascii="Arial" w:hAnsi="Arial" w:cs="Arial"/>
          <w:sz w:val="52"/>
          <w:szCs w:val="52"/>
        </w:rPr>
      </w:pPr>
    </w:p>
    <w:p w14:paraId="204E2117" w14:textId="77777777" w:rsidR="006C6215" w:rsidRDefault="006C6215">
      <w:pPr>
        <w:tabs>
          <w:tab w:val="left" w:pos="280"/>
        </w:tabs>
        <w:rPr>
          <w:rFonts w:ascii="Arial" w:hAnsi="Arial" w:cs="Arial"/>
          <w:sz w:val="24"/>
          <w:szCs w:val="24"/>
        </w:rPr>
      </w:pPr>
    </w:p>
    <w:p w14:paraId="70583DF4" w14:textId="77777777" w:rsidR="006C6215" w:rsidRDefault="006C6215">
      <w:pPr>
        <w:tabs>
          <w:tab w:val="left" w:pos="280"/>
        </w:tabs>
        <w:rPr>
          <w:rFonts w:ascii="Arial" w:hAnsi="Arial" w:cs="Arial"/>
          <w:sz w:val="24"/>
          <w:szCs w:val="24"/>
        </w:rPr>
      </w:pPr>
    </w:p>
    <w:p w14:paraId="044DA83D" w14:textId="77777777" w:rsidR="006C6215" w:rsidRDefault="006C6215">
      <w:pPr>
        <w:tabs>
          <w:tab w:val="left" w:pos="280"/>
        </w:tabs>
        <w:rPr>
          <w:rFonts w:ascii="Arial" w:hAnsi="Arial" w:cs="Arial"/>
          <w:sz w:val="24"/>
          <w:szCs w:val="24"/>
        </w:rPr>
      </w:pPr>
    </w:p>
    <w:p w14:paraId="323BE389" w14:textId="77777777" w:rsidR="006C6215" w:rsidRDefault="003C39B2">
      <w:pPr>
        <w:tabs>
          <w:tab w:val="left" w:pos="280"/>
        </w:tabs>
        <w:rPr>
          <w:rFonts w:ascii="Arial" w:hAnsi="Arial" w:cs="Arial"/>
          <w:sz w:val="36"/>
          <w:szCs w:val="36"/>
        </w:rPr>
      </w:pPr>
      <w:r>
        <w:rPr>
          <w:rFonts w:ascii="Arial" w:hAnsi="Arial" w:cs="Arial"/>
          <w:sz w:val="36"/>
          <w:szCs w:val="36"/>
        </w:rPr>
        <w:t>Student name: Artiola Stana (2121201)</w:t>
      </w:r>
    </w:p>
    <w:p w14:paraId="3E94BB2A" w14:textId="77777777" w:rsidR="006C6215" w:rsidRDefault="003C39B2">
      <w:pPr>
        <w:tabs>
          <w:tab w:val="left" w:pos="280"/>
        </w:tabs>
        <w:rPr>
          <w:rFonts w:ascii="Arial" w:hAnsi="Arial" w:cs="Arial"/>
          <w:sz w:val="24"/>
          <w:szCs w:val="24"/>
        </w:rPr>
      </w:pPr>
      <w:bookmarkStart w:id="0" w:name="_Hlk141096670"/>
      <w:r>
        <w:rPr>
          <w:rFonts w:ascii="Arial" w:hAnsi="Arial" w:cs="Arial"/>
          <w:sz w:val="24"/>
          <w:szCs w:val="24"/>
        </w:rPr>
        <w:t xml:space="preserve"> </w:t>
      </w:r>
      <w:bookmarkEnd w:id="0"/>
    </w:p>
    <w:p w14:paraId="6ADCFD2B" w14:textId="77777777" w:rsidR="006C6215" w:rsidRDefault="003C39B2">
      <w:pPr>
        <w:rPr>
          <w:rFonts w:ascii="Arial" w:hAnsi="Arial" w:cs="Arial"/>
          <w:sz w:val="36"/>
          <w:szCs w:val="36"/>
        </w:rPr>
      </w:pPr>
      <w:r>
        <w:rPr>
          <w:rFonts w:ascii="Arial" w:hAnsi="Arial" w:cs="Arial"/>
          <w:sz w:val="36"/>
          <w:szCs w:val="36"/>
        </w:rPr>
        <w:t>Lecturer name: Mr Richard Ashaye</w:t>
      </w:r>
    </w:p>
    <w:p w14:paraId="3AE93C54" w14:textId="77777777" w:rsidR="006C6215" w:rsidRDefault="006C6215">
      <w:pPr>
        <w:pageBreakBefore/>
        <w:spacing w:line="256" w:lineRule="auto"/>
      </w:pPr>
    </w:p>
    <w:p w14:paraId="20BC36F6" w14:textId="77777777" w:rsidR="006C6215" w:rsidRDefault="003C39B2">
      <w:pPr>
        <w:pStyle w:val="TOCHeading"/>
        <w:outlineLvl w:val="9"/>
      </w:pPr>
      <w:r>
        <w:rPr>
          <w:rFonts w:ascii="Arial" w:hAnsi="Arial" w:cs="Arial"/>
        </w:rPr>
        <w:t>Table of Contents</w:t>
      </w:r>
    </w:p>
    <w:p w14:paraId="6F954A0A" w14:textId="77777777" w:rsidR="006C6215" w:rsidRDefault="003C39B2">
      <w:pPr>
        <w:pStyle w:val="TOC1"/>
        <w:tabs>
          <w:tab w:val="right" w:leader="dot" w:pos="9016"/>
        </w:tabs>
      </w:pPr>
      <w:r>
        <w:rPr>
          <w:rFonts w:ascii="Calibri Light" w:hAnsi="Calibri Light"/>
          <w:color w:val="2F5496"/>
          <w:sz w:val="32"/>
          <w:szCs w:val="32"/>
        </w:rPr>
        <w:fldChar w:fldCharType="begin"/>
      </w:r>
      <w:r>
        <w:instrText xml:space="preserve"> TOC \o "1-3" \u \h </w:instrText>
      </w:r>
      <w:r>
        <w:rPr>
          <w:rFonts w:ascii="Calibri Light" w:hAnsi="Calibri Light"/>
          <w:color w:val="2F5496"/>
          <w:sz w:val="32"/>
          <w:szCs w:val="32"/>
        </w:rPr>
        <w:fldChar w:fldCharType="separate"/>
      </w:r>
      <w:hyperlink w:anchor="_Toc142851629" w:history="1">
        <w:r>
          <w:rPr>
            <w:rStyle w:val="Hyperlink"/>
            <w:rFonts w:ascii="Arial" w:hAnsi="Arial" w:cs="Arial"/>
          </w:rPr>
          <w:t>Executive Summary</w:t>
        </w:r>
        <w:r>
          <w:tab/>
          <w:t>3</w:t>
        </w:r>
      </w:hyperlink>
    </w:p>
    <w:p w14:paraId="4D465732" w14:textId="77777777" w:rsidR="006C6215" w:rsidRDefault="006C4CB4">
      <w:pPr>
        <w:pStyle w:val="TOC1"/>
        <w:tabs>
          <w:tab w:val="right" w:leader="dot" w:pos="9016"/>
        </w:tabs>
      </w:pPr>
      <w:hyperlink w:anchor="_Toc142851630" w:history="1">
        <w:r w:rsidR="003C39B2">
          <w:rPr>
            <w:rStyle w:val="Hyperlink"/>
            <w:rFonts w:ascii="Arial" w:hAnsi="Arial" w:cs="Arial"/>
          </w:rPr>
          <w:t>Introduction</w:t>
        </w:r>
        <w:r w:rsidR="003C39B2">
          <w:tab/>
          <w:t>3</w:t>
        </w:r>
      </w:hyperlink>
    </w:p>
    <w:p w14:paraId="1E8BF2DB" w14:textId="77777777" w:rsidR="006C6215" w:rsidRDefault="006C4CB4">
      <w:pPr>
        <w:pStyle w:val="TOC2"/>
        <w:tabs>
          <w:tab w:val="right" w:leader="dot" w:pos="9016"/>
        </w:tabs>
      </w:pPr>
      <w:hyperlink w:anchor="_Toc142851631" w:history="1">
        <w:r w:rsidR="003C39B2">
          <w:rPr>
            <w:rStyle w:val="Hyperlink"/>
            <w:rFonts w:ascii="Arial" w:hAnsi="Arial" w:cs="Arial"/>
          </w:rPr>
          <w:t>EasyJet</w:t>
        </w:r>
        <w:r w:rsidR="003C39B2">
          <w:tab/>
          <w:t>3</w:t>
        </w:r>
      </w:hyperlink>
    </w:p>
    <w:p w14:paraId="79F07F4A" w14:textId="77777777" w:rsidR="006C6215" w:rsidRDefault="006C4CB4">
      <w:pPr>
        <w:pStyle w:val="TOC1"/>
        <w:tabs>
          <w:tab w:val="right" w:leader="dot" w:pos="9016"/>
        </w:tabs>
      </w:pPr>
      <w:hyperlink w:anchor="_Toc142851632" w:history="1">
        <w:r w:rsidR="003C39B2">
          <w:rPr>
            <w:rStyle w:val="Hyperlink"/>
            <w:rFonts w:ascii="Arial" w:hAnsi="Arial" w:cs="Arial"/>
          </w:rPr>
          <w:t>Organisational Culture and Structure of EasyJet</w:t>
        </w:r>
        <w:r w:rsidR="003C39B2">
          <w:tab/>
          <w:t>4</w:t>
        </w:r>
      </w:hyperlink>
    </w:p>
    <w:p w14:paraId="1A5041E1" w14:textId="77777777" w:rsidR="006C6215" w:rsidRDefault="006C4CB4">
      <w:pPr>
        <w:pStyle w:val="TOC2"/>
        <w:tabs>
          <w:tab w:val="right" w:leader="dot" w:pos="9016"/>
        </w:tabs>
      </w:pPr>
      <w:hyperlink w:anchor="_Toc142851633" w:history="1">
        <w:r w:rsidR="003C39B2">
          <w:rPr>
            <w:rStyle w:val="Hyperlink"/>
            <w:rFonts w:ascii="Arial" w:hAnsi="Arial" w:cs="Arial"/>
          </w:rPr>
          <w:t>Definition of Organisational Culture and Structure</w:t>
        </w:r>
        <w:r w:rsidR="003C39B2">
          <w:tab/>
          <w:t>4</w:t>
        </w:r>
      </w:hyperlink>
    </w:p>
    <w:p w14:paraId="13FC224B" w14:textId="77777777" w:rsidR="006C6215" w:rsidRDefault="006C4CB4">
      <w:pPr>
        <w:pStyle w:val="TOC1"/>
        <w:tabs>
          <w:tab w:val="right" w:leader="dot" w:pos="9016"/>
        </w:tabs>
      </w:pPr>
      <w:hyperlink w:anchor="_Toc142851634" w:history="1">
        <w:r w:rsidR="003C39B2">
          <w:rPr>
            <w:rStyle w:val="Hyperlink"/>
            <w:rFonts w:ascii="Arial" w:hAnsi="Arial" w:cs="Arial"/>
          </w:rPr>
          <w:t>McKenzie 7s Model</w:t>
        </w:r>
        <w:r w:rsidR="003C39B2">
          <w:tab/>
          <w:t>5</w:t>
        </w:r>
      </w:hyperlink>
    </w:p>
    <w:p w14:paraId="4ABC4AA6" w14:textId="77777777" w:rsidR="006C6215" w:rsidRDefault="006C4CB4">
      <w:pPr>
        <w:pStyle w:val="TOC1"/>
        <w:tabs>
          <w:tab w:val="right" w:leader="dot" w:pos="9016"/>
        </w:tabs>
      </w:pPr>
      <w:hyperlink w:anchor="_Toc142851635" w:history="1">
        <w:r w:rsidR="003C39B2">
          <w:rPr>
            <w:rStyle w:val="Hyperlink"/>
            <w:rFonts w:ascii="Arial" w:hAnsi="Arial" w:cs="Arial"/>
          </w:rPr>
          <w:t>Evaluation of the Broader Environment using Analytical Techniques</w:t>
        </w:r>
        <w:r w:rsidR="003C39B2">
          <w:tab/>
          <w:t>7</w:t>
        </w:r>
      </w:hyperlink>
    </w:p>
    <w:p w14:paraId="34888D02" w14:textId="77777777" w:rsidR="006C6215" w:rsidRDefault="006C4CB4">
      <w:pPr>
        <w:pStyle w:val="TOC1"/>
        <w:tabs>
          <w:tab w:val="right" w:leader="dot" w:pos="9016"/>
        </w:tabs>
      </w:pPr>
      <w:hyperlink w:anchor="_Toc142851636" w:history="1">
        <w:r w:rsidR="003C39B2">
          <w:rPr>
            <w:rStyle w:val="Hyperlink"/>
            <w:rFonts w:ascii="Arial" w:hAnsi="Arial" w:cs="Arial"/>
          </w:rPr>
          <w:t>PESTEL Analysis</w:t>
        </w:r>
        <w:r w:rsidR="003C39B2">
          <w:tab/>
          <w:t>8</w:t>
        </w:r>
      </w:hyperlink>
    </w:p>
    <w:p w14:paraId="7596633C" w14:textId="77777777" w:rsidR="006C6215" w:rsidRDefault="006C4CB4">
      <w:pPr>
        <w:pStyle w:val="TOC2"/>
        <w:tabs>
          <w:tab w:val="right" w:leader="dot" w:pos="9016"/>
        </w:tabs>
      </w:pPr>
      <w:hyperlink w:anchor="_Toc142851637" w:history="1">
        <w:r w:rsidR="003C39B2">
          <w:rPr>
            <w:rStyle w:val="Hyperlink"/>
            <w:rFonts w:ascii="Arial" w:hAnsi="Arial" w:cs="Arial"/>
          </w:rPr>
          <w:t>Definition</w:t>
        </w:r>
        <w:r w:rsidR="003C39B2">
          <w:tab/>
          <w:t>8</w:t>
        </w:r>
      </w:hyperlink>
    </w:p>
    <w:p w14:paraId="2569E903" w14:textId="77777777" w:rsidR="006C6215" w:rsidRDefault="006C4CB4">
      <w:pPr>
        <w:pStyle w:val="TOC3"/>
        <w:tabs>
          <w:tab w:val="right" w:leader="dot" w:pos="9016"/>
        </w:tabs>
      </w:pPr>
      <w:hyperlink w:anchor="_Toc142851638" w:history="1">
        <w:r w:rsidR="003C39B2">
          <w:rPr>
            <w:rStyle w:val="Hyperlink"/>
            <w:rFonts w:ascii="Arial" w:hAnsi="Arial" w:cs="Arial"/>
          </w:rPr>
          <w:t>POLITICAL</w:t>
        </w:r>
        <w:r w:rsidR="003C39B2">
          <w:tab/>
          <w:t>8</w:t>
        </w:r>
      </w:hyperlink>
    </w:p>
    <w:p w14:paraId="6B1CE770" w14:textId="77777777" w:rsidR="006C6215" w:rsidRDefault="006C4CB4">
      <w:pPr>
        <w:pStyle w:val="TOC3"/>
        <w:tabs>
          <w:tab w:val="right" w:leader="dot" w:pos="9016"/>
        </w:tabs>
      </w:pPr>
      <w:hyperlink w:anchor="_Toc142851639" w:history="1">
        <w:r w:rsidR="003C39B2">
          <w:rPr>
            <w:rStyle w:val="Hyperlink"/>
            <w:rFonts w:ascii="Arial" w:hAnsi="Arial" w:cs="Arial"/>
          </w:rPr>
          <w:t>ECONOMIC</w:t>
        </w:r>
        <w:r w:rsidR="003C39B2">
          <w:tab/>
          <w:t>9</w:t>
        </w:r>
      </w:hyperlink>
    </w:p>
    <w:p w14:paraId="4EE79B3D" w14:textId="77777777" w:rsidR="006C6215" w:rsidRDefault="006C4CB4">
      <w:pPr>
        <w:pStyle w:val="TOC3"/>
        <w:tabs>
          <w:tab w:val="right" w:leader="dot" w:pos="9016"/>
        </w:tabs>
      </w:pPr>
      <w:hyperlink w:anchor="_Toc142851640" w:history="1">
        <w:r w:rsidR="003C39B2">
          <w:rPr>
            <w:rStyle w:val="Hyperlink"/>
            <w:rFonts w:ascii="Arial" w:hAnsi="Arial" w:cs="Arial"/>
          </w:rPr>
          <w:t>SOCIAL</w:t>
        </w:r>
        <w:r w:rsidR="003C39B2">
          <w:tab/>
          <w:t>10</w:t>
        </w:r>
      </w:hyperlink>
    </w:p>
    <w:p w14:paraId="263B4E33" w14:textId="77777777" w:rsidR="006C6215" w:rsidRDefault="006C4CB4">
      <w:pPr>
        <w:pStyle w:val="TOC3"/>
        <w:tabs>
          <w:tab w:val="right" w:leader="dot" w:pos="9016"/>
        </w:tabs>
      </w:pPr>
      <w:hyperlink w:anchor="_Toc142851641" w:history="1">
        <w:r w:rsidR="003C39B2">
          <w:rPr>
            <w:rStyle w:val="Hyperlink"/>
            <w:rFonts w:ascii="Arial" w:hAnsi="Arial" w:cs="Arial"/>
          </w:rPr>
          <w:t>TECHNOLOGICAL</w:t>
        </w:r>
        <w:r w:rsidR="003C39B2">
          <w:tab/>
          <w:t>11</w:t>
        </w:r>
      </w:hyperlink>
    </w:p>
    <w:p w14:paraId="4C33C89A" w14:textId="77777777" w:rsidR="006C6215" w:rsidRDefault="006C4CB4">
      <w:pPr>
        <w:pStyle w:val="TOC3"/>
        <w:tabs>
          <w:tab w:val="right" w:leader="dot" w:pos="9016"/>
        </w:tabs>
      </w:pPr>
      <w:hyperlink w:anchor="_Toc142851642" w:history="1">
        <w:r w:rsidR="003C39B2">
          <w:rPr>
            <w:rStyle w:val="Hyperlink"/>
            <w:rFonts w:ascii="Arial" w:hAnsi="Arial" w:cs="Arial"/>
          </w:rPr>
          <w:t>ENVIRONMENTAL</w:t>
        </w:r>
        <w:r w:rsidR="003C39B2">
          <w:tab/>
          <w:t>11</w:t>
        </w:r>
      </w:hyperlink>
    </w:p>
    <w:p w14:paraId="79A3A01F" w14:textId="77777777" w:rsidR="006C6215" w:rsidRDefault="006C4CB4">
      <w:pPr>
        <w:pStyle w:val="TOC3"/>
        <w:tabs>
          <w:tab w:val="right" w:leader="dot" w:pos="9016"/>
        </w:tabs>
      </w:pPr>
      <w:hyperlink w:anchor="_Toc142851643" w:history="1">
        <w:r w:rsidR="003C39B2">
          <w:rPr>
            <w:rStyle w:val="Hyperlink"/>
            <w:rFonts w:ascii="Arial" w:hAnsi="Arial" w:cs="Arial"/>
          </w:rPr>
          <w:t>LEGAL</w:t>
        </w:r>
        <w:r w:rsidR="003C39B2">
          <w:tab/>
          <w:t>12</w:t>
        </w:r>
      </w:hyperlink>
    </w:p>
    <w:p w14:paraId="1542BFD9" w14:textId="77777777" w:rsidR="006C6215" w:rsidRDefault="006C4CB4">
      <w:pPr>
        <w:pStyle w:val="TOC1"/>
        <w:tabs>
          <w:tab w:val="right" w:leader="dot" w:pos="9016"/>
        </w:tabs>
      </w:pPr>
      <w:hyperlink w:anchor="_Toc142851644" w:history="1">
        <w:r w:rsidR="003C39B2">
          <w:rPr>
            <w:rStyle w:val="Hyperlink"/>
            <w:rFonts w:ascii="Arial" w:hAnsi="Arial" w:cs="Arial"/>
          </w:rPr>
          <w:t>Porter’s Five Forces</w:t>
        </w:r>
        <w:r w:rsidR="003C39B2">
          <w:tab/>
          <w:t>12</w:t>
        </w:r>
      </w:hyperlink>
    </w:p>
    <w:p w14:paraId="3CC6A19A" w14:textId="77777777" w:rsidR="006C6215" w:rsidRDefault="006C4CB4">
      <w:pPr>
        <w:pStyle w:val="TOC3"/>
        <w:tabs>
          <w:tab w:val="right" w:leader="dot" w:pos="9016"/>
        </w:tabs>
      </w:pPr>
      <w:hyperlink w:anchor="_Toc142851645" w:history="1">
        <w:r w:rsidR="003C39B2">
          <w:rPr>
            <w:rStyle w:val="Hyperlink"/>
            <w:rFonts w:ascii="Arial" w:hAnsi="Arial" w:cs="Arial"/>
          </w:rPr>
          <w:t>Definition</w:t>
        </w:r>
        <w:r w:rsidR="003C39B2">
          <w:tab/>
          <w:t>12</w:t>
        </w:r>
      </w:hyperlink>
    </w:p>
    <w:p w14:paraId="2B326C82" w14:textId="77777777" w:rsidR="006C6215" w:rsidRDefault="006C4CB4">
      <w:pPr>
        <w:pStyle w:val="TOC1"/>
        <w:tabs>
          <w:tab w:val="right" w:leader="dot" w:pos="9016"/>
        </w:tabs>
      </w:pPr>
      <w:hyperlink w:anchor="_Toc142851646" w:history="1">
        <w:r w:rsidR="003C39B2">
          <w:rPr>
            <w:rStyle w:val="Hyperlink"/>
            <w:rFonts w:ascii="Arial" w:hAnsi="Arial" w:cs="Arial"/>
          </w:rPr>
          <w:t>Ethical Approaches and Dilemmas of EasyJet</w:t>
        </w:r>
        <w:r w:rsidR="003C39B2">
          <w:tab/>
          <w:t>14</w:t>
        </w:r>
      </w:hyperlink>
    </w:p>
    <w:p w14:paraId="48798FB7" w14:textId="77777777" w:rsidR="006C6215" w:rsidRDefault="006C4CB4">
      <w:pPr>
        <w:pStyle w:val="TOC1"/>
        <w:tabs>
          <w:tab w:val="right" w:leader="dot" w:pos="9016"/>
        </w:tabs>
      </w:pPr>
      <w:hyperlink w:anchor="_Toc142851647" w:history="1">
        <w:r w:rsidR="003C39B2">
          <w:rPr>
            <w:rStyle w:val="Hyperlink"/>
            <w:rFonts w:ascii="Arial" w:hAnsi="Arial" w:cs="Arial"/>
          </w:rPr>
          <w:t>Recommendations</w:t>
        </w:r>
        <w:r w:rsidR="003C39B2">
          <w:tab/>
          <w:t>14</w:t>
        </w:r>
      </w:hyperlink>
    </w:p>
    <w:p w14:paraId="7A8B4D2C" w14:textId="77777777" w:rsidR="006C6215" w:rsidRDefault="006C4CB4">
      <w:pPr>
        <w:pStyle w:val="TOC1"/>
        <w:tabs>
          <w:tab w:val="right" w:leader="dot" w:pos="9016"/>
        </w:tabs>
      </w:pPr>
      <w:hyperlink w:anchor="_Toc142851648" w:history="1">
        <w:r w:rsidR="003C39B2">
          <w:rPr>
            <w:rStyle w:val="Hyperlink"/>
            <w:rFonts w:ascii="Arial" w:hAnsi="Arial" w:cs="Arial"/>
          </w:rPr>
          <w:t>Conclusion</w:t>
        </w:r>
        <w:r w:rsidR="003C39B2">
          <w:tab/>
          <w:t>15</w:t>
        </w:r>
      </w:hyperlink>
    </w:p>
    <w:p w14:paraId="4D1C8E30" w14:textId="77777777" w:rsidR="006C6215" w:rsidRDefault="006C4CB4">
      <w:pPr>
        <w:pStyle w:val="TOC1"/>
        <w:tabs>
          <w:tab w:val="right" w:leader="dot" w:pos="9016"/>
        </w:tabs>
      </w:pPr>
      <w:hyperlink w:anchor="_Toc142851649" w:history="1">
        <w:r w:rsidR="003C39B2">
          <w:rPr>
            <w:rStyle w:val="Hyperlink"/>
            <w:rFonts w:ascii="Arial" w:hAnsi="Arial" w:cs="Arial"/>
          </w:rPr>
          <w:t>References</w:t>
        </w:r>
        <w:r w:rsidR="003C39B2">
          <w:tab/>
          <w:t>15</w:t>
        </w:r>
      </w:hyperlink>
    </w:p>
    <w:p w14:paraId="5B87B55B" w14:textId="77777777" w:rsidR="006C6215" w:rsidRDefault="003C39B2">
      <w:r>
        <w:rPr>
          <w:rFonts w:eastAsia="Times New Roman"/>
          <w:kern w:val="0"/>
          <w:lang w:val="en-US"/>
        </w:rPr>
        <w:fldChar w:fldCharType="end"/>
      </w:r>
    </w:p>
    <w:p w14:paraId="00454FCF" w14:textId="77777777" w:rsidR="006C6215" w:rsidRDefault="006C6215">
      <w:pPr>
        <w:pageBreakBefore/>
        <w:spacing w:line="256" w:lineRule="auto"/>
        <w:rPr>
          <w:rFonts w:ascii="Arial" w:hAnsi="Arial" w:cs="Arial"/>
        </w:rPr>
      </w:pPr>
    </w:p>
    <w:p w14:paraId="7E137350" w14:textId="77777777" w:rsidR="006C6215" w:rsidRDefault="003C39B2">
      <w:pPr>
        <w:pStyle w:val="Heading1"/>
        <w:rPr>
          <w:rFonts w:ascii="Arial" w:hAnsi="Arial" w:cs="Arial"/>
        </w:rPr>
      </w:pPr>
      <w:bookmarkStart w:id="1" w:name="_Toc142851629"/>
      <w:r>
        <w:rPr>
          <w:rFonts w:ascii="Arial" w:hAnsi="Arial" w:cs="Arial"/>
        </w:rPr>
        <w:t>Executive Summary</w:t>
      </w:r>
      <w:bookmarkEnd w:id="1"/>
    </w:p>
    <w:p w14:paraId="4B3BD054" w14:textId="77777777" w:rsidR="006C6215" w:rsidRDefault="006C6215"/>
    <w:p w14:paraId="50B40FF0" w14:textId="77777777" w:rsidR="006C6215" w:rsidRDefault="003C39B2">
      <w:pPr>
        <w:spacing w:line="360" w:lineRule="auto"/>
        <w:rPr>
          <w:rFonts w:ascii="Arial" w:hAnsi="Arial" w:cs="Arial"/>
        </w:rPr>
      </w:pPr>
      <w:r>
        <w:rPr>
          <w:rFonts w:ascii="Arial" w:hAnsi="Arial" w:cs="Arial"/>
        </w:rPr>
        <w:t xml:space="preserve">This report examines the organisational culture, structure, and broader environment of EasyJet. The study employs analytical techniques, including the McKenzie 7s Model, PESTEL Analysis, and Porter’s Five Forces, to evaluate the company’s strategic position. It is also delving into EasyJet’s ethical approaches and dilemmas. The report sheds light on how EasyJet prioritizes safety, sustainability, diversity, and customer experience, while actively engaging in community outreach. It further explores the airline’s commitment to transparent pricing and fair treatment to passengers. The analysis presented offers valuable insights into EasyJet’s operations and strategic considerations within the aviation industry. </w:t>
      </w:r>
    </w:p>
    <w:p w14:paraId="26D459D5" w14:textId="77777777" w:rsidR="006C6215" w:rsidRDefault="006C6215"/>
    <w:p w14:paraId="3B870C95" w14:textId="77777777" w:rsidR="006C6215" w:rsidRDefault="006C6215"/>
    <w:p w14:paraId="46FA7F8E" w14:textId="77777777" w:rsidR="006C6215" w:rsidRDefault="006C6215"/>
    <w:p w14:paraId="12FC32BF" w14:textId="77777777" w:rsidR="006C6215" w:rsidRDefault="003C39B2">
      <w:r>
        <w:rPr>
          <w:noProof/>
        </w:rPr>
        <w:drawing>
          <wp:anchor distT="0" distB="0" distL="114300" distR="114300" simplePos="0" relativeHeight="251658240" behindDoc="0" locked="0" layoutInCell="1" allowOverlap="1" wp14:anchorId="31530F76" wp14:editId="5A84ED3E">
            <wp:simplePos x="0" y="0"/>
            <wp:positionH relativeFrom="margin">
              <wp:posOffset>541023</wp:posOffset>
            </wp:positionH>
            <wp:positionV relativeFrom="paragraph">
              <wp:posOffset>360045</wp:posOffset>
            </wp:positionV>
            <wp:extent cx="4648837" cy="2376168"/>
            <wp:effectExtent l="0" t="0" r="0" b="5082"/>
            <wp:wrapTopAndBottom/>
            <wp:docPr id="2" name="Picture 1570521589" descr="Image result for easyje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648837" cy="2376168"/>
                    </a:xfrm>
                    <a:prstGeom prst="rect">
                      <a:avLst/>
                    </a:prstGeom>
                    <a:noFill/>
                    <a:ln>
                      <a:noFill/>
                      <a:prstDash/>
                    </a:ln>
                  </pic:spPr>
                </pic:pic>
              </a:graphicData>
            </a:graphic>
          </wp:anchor>
        </w:drawing>
      </w:r>
    </w:p>
    <w:p w14:paraId="703379CA" w14:textId="77777777" w:rsidR="006C6215" w:rsidRDefault="006C6215"/>
    <w:p w14:paraId="01D42143" w14:textId="77777777" w:rsidR="006C6215" w:rsidRDefault="006C6215"/>
    <w:p w14:paraId="420CC9F4" w14:textId="77777777" w:rsidR="006C6215" w:rsidRDefault="003C39B2">
      <w:pPr>
        <w:pStyle w:val="Heading1"/>
        <w:rPr>
          <w:rFonts w:ascii="Arial" w:hAnsi="Arial" w:cs="Arial"/>
        </w:rPr>
      </w:pPr>
      <w:bookmarkStart w:id="2" w:name="_Toc142851630"/>
      <w:r>
        <w:rPr>
          <w:rFonts w:ascii="Arial" w:hAnsi="Arial" w:cs="Arial"/>
        </w:rPr>
        <w:t>Introduction</w:t>
      </w:r>
      <w:bookmarkEnd w:id="2"/>
    </w:p>
    <w:p w14:paraId="7FAC5B79" w14:textId="77777777" w:rsidR="006C6215" w:rsidRDefault="006C6215"/>
    <w:p w14:paraId="123E2CE4" w14:textId="77777777" w:rsidR="006C6215" w:rsidRDefault="003C39B2">
      <w:pPr>
        <w:keepNext/>
        <w:keepLines/>
        <w:spacing w:before="40" w:after="0"/>
        <w:outlineLvl w:val="1"/>
        <w:rPr>
          <w:rFonts w:ascii="Arial" w:eastAsia="Times New Roman" w:hAnsi="Arial" w:cs="Arial"/>
          <w:color w:val="2F5496"/>
          <w:sz w:val="32"/>
          <w:szCs w:val="32"/>
        </w:rPr>
      </w:pPr>
      <w:bookmarkStart w:id="3" w:name="_Toc141367225"/>
      <w:bookmarkStart w:id="4" w:name="_Toc142249252"/>
      <w:bookmarkStart w:id="5" w:name="_Toc142604175"/>
      <w:bookmarkStart w:id="6" w:name="_Toc142851631"/>
      <w:r>
        <w:rPr>
          <w:rFonts w:ascii="Arial" w:eastAsia="Times New Roman" w:hAnsi="Arial" w:cs="Arial"/>
          <w:color w:val="2F5496"/>
          <w:sz w:val="32"/>
          <w:szCs w:val="32"/>
        </w:rPr>
        <w:t>EasyJet</w:t>
      </w:r>
      <w:bookmarkEnd w:id="3"/>
      <w:bookmarkEnd w:id="4"/>
      <w:bookmarkEnd w:id="5"/>
      <w:bookmarkEnd w:id="6"/>
      <w:r>
        <w:rPr>
          <w:rFonts w:ascii="Arial" w:eastAsia="Times New Roman" w:hAnsi="Arial" w:cs="Arial"/>
          <w:color w:val="2F5496"/>
          <w:sz w:val="32"/>
          <w:szCs w:val="32"/>
        </w:rPr>
        <w:t xml:space="preserve"> </w:t>
      </w:r>
    </w:p>
    <w:p w14:paraId="764CEB16" w14:textId="77777777" w:rsidR="006C6215" w:rsidRDefault="006C6215"/>
    <w:p w14:paraId="7FE39709" w14:textId="77777777" w:rsidR="006C6215" w:rsidRDefault="003C39B2">
      <w:pPr>
        <w:spacing w:line="360" w:lineRule="auto"/>
        <w:rPr>
          <w:rFonts w:ascii="Arial" w:hAnsi="Arial" w:cs="Arial"/>
        </w:rPr>
      </w:pPr>
      <w:r>
        <w:rPr>
          <w:rFonts w:ascii="Arial" w:hAnsi="Arial" w:cs="Arial"/>
        </w:rPr>
        <w:t xml:space="preserve">Sir Stelios Haji-Ioannou, a Greek-Cypriot entrepreneur, established EasyJet in 1995, with its headquarters initially situated at London Luton Airport, a base that continues to be significant for the airline. EasyJet’s primary objective upon its inception was to make air travel </w:t>
      </w:r>
      <w:r>
        <w:rPr>
          <w:rFonts w:ascii="Arial" w:hAnsi="Arial" w:cs="Arial"/>
        </w:rPr>
        <w:lastRenderedPageBreak/>
        <w:t xml:space="preserve">affordable and accessible to the public. </w:t>
      </w:r>
      <w:bookmarkStart w:id="7" w:name="_Hlk142767114"/>
      <w:r>
        <w:rPr>
          <w:rFonts w:ascii="Arial" w:hAnsi="Arial" w:cs="Arial"/>
        </w:rPr>
        <w:t xml:space="preserve">(Vali,2017) </w:t>
      </w:r>
      <w:bookmarkEnd w:id="7"/>
      <w:r>
        <w:rPr>
          <w:rFonts w:ascii="Arial" w:hAnsi="Arial" w:cs="Arial"/>
        </w:rPr>
        <w:t xml:space="preserve">On November 10, 1995, EasyJet inaugurated its maiden flight, departing from London Luton and bound for Glasgow. The airline commenced its operations with two leased Boeing 737-300 aircraft, adopting a no-frills service strategy that involved removing various conventional airline luxuries to minimize expenses. This cost-cutting approach enabled EasyJet to provide competitive ticket prices and appeal to travellers seeking budget-friendly options. (Vali,2017)  </w:t>
      </w:r>
    </w:p>
    <w:p w14:paraId="592631C6" w14:textId="77777777" w:rsidR="006C6215" w:rsidRDefault="006C6215">
      <w:pPr>
        <w:spacing w:line="360" w:lineRule="auto"/>
        <w:rPr>
          <w:rFonts w:ascii="Arial" w:hAnsi="Arial" w:cs="Arial"/>
          <w:b/>
          <w:bCs/>
        </w:rPr>
      </w:pPr>
    </w:p>
    <w:p w14:paraId="29505C5C" w14:textId="77777777" w:rsidR="006C6215" w:rsidRDefault="003C39B2">
      <w:pPr>
        <w:spacing w:line="360" w:lineRule="auto"/>
        <w:rPr>
          <w:rFonts w:ascii="Arial" w:hAnsi="Arial" w:cs="Arial"/>
          <w:b/>
          <w:bCs/>
        </w:rPr>
      </w:pPr>
      <w:r>
        <w:rPr>
          <w:rFonts w:ascii="Arial" w:hAnsi="Arial" w:cs="Arial"/>
          <w:b/>
          <w:bCs/>
        </w:rPr>
        <w:t xml:space="preserve">Key Milestones </w:t>
      </w:r>
    </w:p>
    <w:p w14:paraId="0AF410B0" w14:textId="77777777" w:rsidR="006C6215" w:rsidRDefault="003C39B2">
      <w:pPr>
        <w:spacing w:line="360" w:lineRule="auto"/>
        <w:rPr>
          <w:rFonts w:ascii="Arial" w:hAnsi="Arial" w:cs="Arial"/>
        </w:rPr>
      </w:pPr>
      <w:r>
        <w:rPr>
          <w:rFonts w:ascii="Arial" w:hAnsi="Arial" w:cs="Arial"/>
        </w:rPr>
        <w:t>In the year 2000, EasyJet underwent its initial public offering (IPO) on the London Stock Exchange, generating funds to facilitate additional expansion and investments. Two years later, in 2002, EasyJet acquired Go Fly, a British Airways subsidiary, which proved instrumental in broadening the airline’s network of destinations and bolstering its market presence. (Vali,2017) Throughout its existence, EasyJet continuously integrated more fuel-efficient aircraft, such as the Airbus A320 family, into its fleet, resulting in further cost reductions in operations. And finally, EasyJet distinct orange logo and branding became synonymous with its budget-conscious and customer-centric approach, establishing a recognizable presence throughout Europe. (Vali,2017)</w:t>
      </w:r>
    </w:p>
    <w:p w14:paraId="5030EC8E" w14:textId="77777777" w:rsidR="006C6215" w:rsidRDefault="006C6215">
      <w:pPr>
        <w:spacing w:line="360" w:lineRule="auto"/>
        <w:rPr>
          <w:rFonts w:ascii="Arial" w:hAnsi="Arial" w:cs="Arial"/>
        </w:rPr>
      </w:pPr>
    </w:p>
    <w:p w14:paraId="7FEFDB66" w14:textId="77777777" w:rsidR="006C6215" w:rsidRDefault="003C39B2">
      <w:pPr>
        <w:pStyle w:val="Heading1"/>
        <w:rPr>
          <w:rFonts w:ascii="Arial" w:hAnsi="Arial" w:cs="Arial"/>
        </w:rPr>
      </w:pPr>
      <w:bookmarkStart w:id="8" w:name="_Toc142851632"/>
      <w:r>
        <w:rPr>
          <w:rFonts w:ascii="Arial" w:hAnsi="Arial" w:cs="Arial"/>
        </w:rPr>
        <w:t>Organisational Culture and Structure of EasyJet</w:t>
      </w:r>
      <w:bookmarkEnd w:id="8"/>
    </w:p>
    <w:p w14:paraId="2FC0D3C3" w14:textId="77777777" w:rsidR="006C6215" w:rsidRDefault="006C6215"/>
    <w:p w14:paraId="1388B57C" w14:textId="77777777" w:rsidR="006C6215" w:rsidRDefault="003C39B2">
      <w:pPr>
        <w:pStyle w:val="Heading2"/>
        <w:rPr>
          <w:rFonts w:ascii="Arial" w:hAnsi="Arial" w:cs="Arial"/>
        </w:rPr>
      </w:pPr>
      <w:bookmarkStart w:id="9" w:name="_Toc142851633"/>
      <w:r>
        <w:rPr>
          <w:rFonts w:ascii="Arial" w:hAnsi="Arial" w:cs="Arial"/>
        </w:rPr>
        <w:t>Definition of Organisational Culture and Structure</w:t>
      </w:r>
      <w:bookmarkEnd w:id="9"/>
    </w:p>
    <w:p w14:paraId="7EA7211F" w14:textId="77777777" w:rsidR="006C6215" w:rsidRDefault="006C6215"/>
    <w:p w14:paraId="6CAEA29D" w14:textId="77777777" w:rsidR="006C6215" w:rsidRDefault="003C39B2">
      <w:pPr>
        <w:spacing w:line="360" w:lineRule="auto"/>
        <w:rPr>
          <w:rFonts w:ascii="Arial" w:hAnsi="Arial" w:cs="Arial"/>
        </w:rPr>
      </w:pPr>
      <w:r>
        <w:rPr>
          <w:rFonts w:ascii="Arial" w:hAnsi="Arial" w:cs="Arial"/>
        </w:rPr>
        <w:t xml:space="preserve">Organizational culture and structure are key concepts with significant explanatory and predictive abilities when it comes to understanding the reasons behind of people’s behaviour within organizations. (Janicijevic,2013) As a result, researchers frequently utilize these concepts as independent variables to explain various phenomena observed in companies and other types of organizations. Exploring the connection between organizational structure and culture would be a highly advantageous, as both aspects play a crucial role in shaping the behaviour of members within an organization. (Janicijevic,2013) Organisational culture, being substantial, guides how people behave based on internal factors like assumptions, values, norms, and attitudes. On the other hand, organizational structure, as an external factor, influences behaviour through formal constrains such as division of labour, authority distribution, unit grouping, and coordination. By studying the interplay of the organizational </w:t>
      </w:r>
      <w:r>
        <w:rPr>
          <w:rFonts w:ascii="Arial" w:hAnsi="Arial" w:cs="Arial"/>
        </w:rPr>
        <w:lastRenderedPageBreak/>
        <w:t xml:space="preserve">culture and structure, we can gain a comprehensive understanding of how members behave in an organization. </w:t>
      </w:r>
      <w:bookmarkStart w:id="10" w:name="_Hlk142773472"/>
      <w:r>
        <w:rPr>
          <w:rFonts w:ascii="Arial" w:hAnsi="Arial" w:cs="Arial"/>
        </w:rPr>
        <w:t>(Janicijevic,2013)</w:t>
      </w:r>
      <w:bookmarkEnd w:id="10"/>
    </w:p>
    <w:p w14:paraId="02A140B9" w14:textId="77777777" w:rsidR="006C6215" w:rsidRDefault="006C6215">
      <w:pPr>
        <w:spacing w:line="360" w:lineRule="auto"/>
        <w:rPr>
          <w:rFonts w:ascii="Arial" w:hAnsi="Arial" w:cs="Arial"/>
        </w:rPr>
      </w:pPr>
    </w:p>
    <w:p w14:paraId="7F3CAB08" w14:textId="77777777" w:rsidR="006C6215" w:rsidRDefault="003C39B2">
      <w:pPr>
        <w:spacing w:line="360" w:lineRule="auto"/>
        <w:rPr>
          <w:rFonts w:ascii="Arial" w:hAnsi="Arial" w:cs="Arial"/>
        </w:rPr>
      </w:pPr>
      <w:r>
        <w:rPr>
          <w:rFonts w:ascii="Arial" w:hAnsi="Arial" w:cs="Arial"/>
        </w:rPr>
        <w:t>As for the culture of EasyJet, it is a prominent airline, it is defined by its dedication to low-cost travel, effectiveness, and customer service. The organization highlights a straightforward strategy to flying, striving to offer budget-friendly rates while upholding a dedication to safety and punctuality. (EasyJet,2019) This culture motivates the staff members to display initiative, originality, and flexibility to address the ever-changing requirements of the aviation industry. Placing significant importance on teamwork collaborative environment, EasyJet culture motivates its employees to achieve the company’s goals. (EasyJet,2019)</w:t>
      </w:r>
    </w:p>
    <w:p w14:paraId="557A4A18" w14:textId="77777777" w:rsidR="006C6215" w:rsidRDefault="006C6215">
      <w:pPr>
        <w:spacing w:line="360" w:lineRule="auto"/>
        <w:rPr>
          <w:rFonts w:ascii="Arial" w:hAnsi="Arial" w:cs="Arial"/>
        </w:rPr>
      </w:pPr>
    </w:p>
    <w:p w14:paraId="4F7952C2" w14:textId="77777777" w:rsidR="006C6215" w:rsidRDefault="003C39B2">
      <w:pPr>
        <w:pStyle w:val="Heading1"/>
        <w:rPr>
          <w:rFonts w:ascii="Arial" w:hAnsi="Arial" w:cs="Arial"/>
        </w:rPr>
      </w:pPr>
      <w:bookmarkStart w:id="11" w:name="_Toc142851634"/>
      <w:r>
        <w:rPr>
          <w:rFonts w:ascii="Arial" w:hAnsi="Arial" w:cs="Arial"/>
        </w:rPr>
        <w:t>McKenzie 7s Model</w:t>
      </w:r>
      <w:bookmarkEnd w:id="11"/>
      <w:r>
        <w:rPr>
          <w:rFonts w:ascii="Arial" w:hAnsi="Arial" w:cs="Arial"/>
        </w:rPr>
        <w:t xml:space="preserve"> </w:t>
      </w:r>
    </w:p>
    <w:p w14:paraId="7C68C6B9" w14:textId="77777777" w:rsidR="006C6215" w:rsidRDefault="006C6215"/>
    <w:p w14:paraId="5A9C96C6" w14:textId="77777777" w:rsidR="006C6215" w:rsidRDefault="003C39B2">
      <w:pPr>
        <w:spacing w:line="360" w:lineRule="auto"/>
        <w:rPr>
          <w:rFonts w:ascii="Arial" w:hAnsi="Arial" w:cs="Arial"/>
        </w:rPr>
      </w:pPr>
      <w:r>
        <w:rPr>
          <w:rFonts w:ascii="Arial" w:hAnsi="Arial" w:cs="Arial"/>
        </w:rPr>
        <w:t xml:space="preserve">This is a model that explains and analyses further about the EasyJet’s culture and is divided into two sections, hard elements, and the soft elements. </w:t>
      </w:r>
    </w:p>
    <w:p w14:paraId="4451159A" w14:textId="77777777" w:rsidR="006C6215" w:rsidRDefault="003C39B2">
      <w:pPr>
        <w:spacing w:line="360" w:lineRule="auto"/>
      </w:pPr>
      <w:r>
        <w:rPr>
          <w:rStyle w:val="Strong"/>
          <w:rFonts w:ascii="Arial" w:hAnsi="Arial" w:cs="Arial"/>
          <w:sz w:val="28"/>
          <w:szCs w:val="28"/>
        </w:rPr>
        <w:t xml:space="preserve">Hard Elements </w:t>
      </w:r>
    </w:p>
    <w:p w14:paraId="75B68F75" w14:textId="77777777" w:rsidR="006C6215" w:rsidRDefault="003C39B2">
      <w:pPr>
        <w:pStyle w:val="NormalWeb"/>
        <w:shd w:val="clear" w:color="auto" w:fill="FFFFFF"/>
        <w:spacing w:line="360" w:lineRule="auto"/>
      </w:pPr>
      <w:r>
        <w:rPr>
          <w:rFonts w:ascii="Arial" w:hAnsi="Arial" w:cs="Arial"/>
          <w:spacing w:val="8"/>
          <w:sz w:val="26"/>
          <w:szCs w:val="26"/>
        </w:rPr>
        <w:t xml:space="preserve">Strategy: </w:t>
      </w:r>
      <w:r>
        <w:rPr>
          <w:rFonts w:ascii="Arial" w:hAnsi="Arial" w:cs="Arial"/>
          <w:spacing w:val="8"/>
          <w:sz w:val="22"/>
          <w:szCs w:val="22"/>
        </w:rPr>
        <w:t xml:space="preserve">EasyJet must strike a delicate balance between immediate cost reductions and safeguarding its fundamental competitive edge. Customers view EasyJet’s offerings as a blend of excellent value and added benefits. (Pro,2023) While striving to expand market share by competing on pricing, EasyJet should steer clear of cost-cutting measures that could compromise the quality of its products and services. </w:t>
      </w:r>
      <w:bookmarkStart w:id="12" w:name="_Hlk142841363"/>
      <w:r>
        <w:rPr>
          <w:rFonts w:ascii="Arial" w:hAnsi="Arial" w:cs="Arial"/>
          <w:spacing w:val="8"/>
          <w:sz w:val="22"/>
          <w:szCs w:val="22"/>
        </w:rPr>
        <w:t>(Pro,2023)</w:t>
      </w:r>
    </w:p>
    <w:bookmarkEnd w:id="12"/>
    <w:p w14:paraId="77AA6586" w14:textId="77777777" w:rsidR="006C6215" w:rsidRDefault="003C39B2">
      <w:pPr>
        <w:pStyle w:val="NormalWeb"/>
        <w:shd w:val="clear" w:color="auto" w:fill="FFFFFF"/>
        <w:spacing w:line="360" w:lineRule="auto"/>
      </w:pPr>
      <w:r>
        <w:rPr>
          <w:rFonts w:ascii="Arial" w:hAnsi="Arial" w:cs="Arial"/>
          <w:spacing w:val="8"/>
          <w:sz w:val="26"/>
          <w:szCs w:val="26"/>
        </w:rPr>
        <w:t xml:space="preserve">Structure: </w:t>
      </w:r>
      <w:r>
        <w:rPr>
          <w:rFonts w:ascii="Arial" w:hAnsi="Arial" w:cs="Arial"/>
          <w:spacing w:val="8"/>
          <w:sz w:val="22"/>
          <w:szCs w:val="22"/>
        </w:rPr>
        <w:t>The pandemic had led EasyJet to reconsider its framework and supply chain management. To enhance resilience against future disruptions, the airline should diversify suppliers globally, reducing the impact of climate and geopolitical issues. (Pro,2023) It is important to lessen reliance on China due to trade tensions, reducing risks and improving risk management. EasyJet should also restructure by creating smaller, agile teams empowered to make real-time decisions and maintain strong communication with headquarters. (Pro,2023)</w:t>
      </w:r>
    </w:p>
    <w:p w14:paraId="5F05C6C8" w14:textId="77777777" w:rsidR="006C6215" w:rsidRDefault="003C39B2">
      <w:pPr>
        <w:pStyle w:val="NormalWeb"/>
        <w:shd w:val="clear" w:color="auto" w:fill="FFFFFF"/>
        <w:spacing w:line="360" w:lineRule="auto"/>
      </w:pPr>
      <w:r>
        <w:rPr>
          <w:rFonts w:ascii="Arial" w:hAnsi="Arial" w:cs="Arial"/>
          <w:spacing w:val="8"/>
          <w:sz w:val="26"/>
          <w:szCs w:val="26"/>
        </w:rPr>
        <w:t xml:space="preserve">Systems: </w:t>
      </w:r>
      <w:r>
        <w:rPr>
          <w:rFonts w:ascii="Arial" w:hAnsi="Arial" w:cs="Arial"/>
          <w:spacing w:val="8"/>
          <w:sz w:val="22"/>
          <w:szCs w:val="22"/>
        </w:rPr>
        <w:t>EasyJet should prioritize the following aspects:</w:t>
      </w:r>
    </w:p>
    <w:p w14:paraId="7BA7BF4B" w14:textId="77777777" w:rsidR="006C6215" w:rsidRDefault="003C39B2">
      <w:pPr>
        <w:pStyle w:val="NormalWeb"/>
        <w:numPr>
          <w:ilvl w:val="0"/>
          <w:numId w:val="1"/>
        </w:numPr>
        <w:shd w:val="clear" w:color="auto" w:fill="FFFFFF"/>
        <w:spacing w:line="360" w:lineRule="auto"/>
        <w:rPr>
          <w:rFonts w:ascii="Arial" w:hAnsi="Arial" w:cs="Arial"/>
          <w:spacing w:val="8"/>
          <w:sz w:val="22"/>
          <w:szCs w:val="22"/>
        </w:rPr>
      </w:pPr>
      <w:r>
        <w:rPr>
          <w:rFonts w:ascii="Arial" w:hAnsi="Arial" w:cs="Arial"/>
          <w:spacing w:val="8"/>
          <w:sz w:val="22"/>
          <w:szCs w:val="22"/>
        </w:rPr>
        <w:lastRenderedPageBreak/>
        <w:t xml:space="preserve">Enhance internal procedures, including refining risk management, optimizing Customer Relationship Management (CRM), improving the website app, and enhancing data visualisation throughout the company (Pro,2023) </w:t>
      </w:r>
    </w:p>
    <w:p w14:paraId="6D629BE0" w14:textId="77777777" w:rsidR="006C6215" w:rsidRDefault="003C39B2">
      <w:pPr>
        <w:pStyle w:val="NormalWeb"/>
        <w:numPr>
          <w:ilvl w:val="0"/>
          <w:numId w:val="1"/>
        </w:numPr>
        <w:shd w:val="clear" w:color="auto" w:fill="FFFFFF"/>
        <w:spacing w:line="360" w:lineRule="auto"/>
        <w:rPr>
          <w:rFonts w:ascii="Arial" w:hAnsi="Arial" w:cs="Arial"/>
          <w:spacing w:val="8"/>
          <w:sz w:val="22"/>
          <w:szCs w:val="22"/>
        </w:rPr>
      </w:pPr>
      <w:r>
        <w:rPr>
          <w:rFonts w:ascii="Arial" w:hAnsi="Arial" w:cs="Arial"/>
          <w:spacing w:val="8"/>
          <w:sz w:val="22"/>
          <w:szCs w:val="22"/>
        </w:rPr>
        <w:t>Implementing a robust system for remote employees is essential, fostering enhanced online and in-person interactions. This approach will elevate productivity, bolster data security, and strengthen cybersecurity measures (Pro,2023)</w:t>
      </w:r>
    </w:p>
    <w:p w14:paraId="7B02D57C" w14:textId="77777777" w:rsidR="006C6215" w:rsidRDefault="006C6215">
      <w:pPr>
        <w:pStyle w:val="NormalWeb"/>
        <w:shd w:val="clear" w:color="auto" w:fill="FFFFFF"/>
        <w:spacing w:line="360" w:lineRule="auto"/>
        <w:rPr>
          <w:rFonts w:ascii="Arial" w:hAnsi="Arial" w:cs="Arial"/>
          <w:spacing w:val="8"/>
          <w:sz w:val="22"/>
          <w:szCs w:val="22"/>
        </w:rPr>
      </w:pPr>
    </w:p>
    <w:p w14:paraId="36C4F2A7" w14:textId="77777777" w:rsidR="006C6215" w:rsidRDefault="006C6215">
      <w:pPr>
        <w:pStyle w:val="NormalWeb"/>
        <w:shd w:val="clear" w:color="auto" w:fill="FFFFFF"/>
        <w:spacing w:line="360" w:lineRule="auto"/>
        <w:rPr>
          <w:rFonts w:ascii="Arial" w:hAnsi="Arial" w:cs="Arial"/>
          <w:spacing w:val="8"/>
          <w:sz w:val="22"/>
          <w:szCs w:val="22"/>
        </w:rPr>
      </w:pPr>
    </w:p>
    <w:p w14:paraId="3C9DCD34" w14:textId="77777777" w:rsidR="006C6215" w:rsidRDefault="003C39B2">
      <w:pPr>
        <w:pStyle w:val="NormalWeb"/>
        <w:shd w:val="clear" w:color="auto" w:fill="FFFFFF"/>
        <w:spacing w:line="360" w:lineRule="auto"/>
      </w:pPr>
      <w:r>
        <w:rPr>
          <w:rFonts w:ascii="Arial" w:hAnsi="Arial" w:cs="Arial"/>
          <w:spacing w:val="8"/>
          <w:sz w:val="22"/>
          <w:szCs w:val="22"/>
        </w:rPr>
        <w:t xml:space="preserve"> </w:t>
      </w:r>
      <w:r>
        <w:rPr>
          <w:rStyle w:val="Strong"/>
          <w:rFonts w:ascii="Arial" w:hAnsi="Arial" w:cs="Arial"/>
          <w:sz w:val="28"/>
          <w:szCs w:val="28"/>
        </w:rPr>
        <w:t xml:space="preserve">Soft Elements </w:t>
      </w:r>
    </w:p>
    <w:p w14:paraId="0CD62A3F" w14:textId="77777777" w:rsidR="006C6215" w:rsidRDefault="003C39B2">
      <w:pPr>
        <w:pStyle w:val="NormalWeb"/>
        <w:shd w:val="clear" w:color="auto" w:fill="FFFFFF"/>
        <w:spacing w:line="360" w:lineRule="auto"/>
      </w:pPr>
      <w:r>
        <w:rPr>
          <w:rStyle w:val="Strong"/>
          <w:rFonts w:ascii="Arial" w:hAnsi="Arial" w:cs="Arial"/>
          <w:b w:val="0"/>
          <w:bCs w:val="0"/>
          <w:sz w:val="26"/>
          <w:szCs w:val="26"/>
        </w:rPr>
        <w:t>Staff:</w:t>
      </w:r>
      <w:r>
        <w:rPr>
          <w:rStyle w:val="Strong"/>
          <w:rFonts w:ascii="Arial" w:hAnsi="Arial" w:cs="Arial"/>
          <w:b w:val="0"/>
          <w:bCs w:val="0"/>
          <w:sz w:val="22"/>
          <w:szCs w:val="22"/>
        </w:rPr>
        <w:t xml:space="preserve"> Due to the pandemic, many employees are operating form remote sites. To create a more inclusive atmosphere for new staff, EasyJet should establish a remote onboarding system, encompassing brief video tutorials, small group engagements, and technical showcases.</w:t>
      </w:r>
      <w:r>
        <w:rPr>
          <w:rFonts w:ascii="Arial" w:hAnsi="Arial" w:cs="Arial"/>
          <w:spacing w:val="8"/>
          <w:sz w:val="22"/>
          <w:szCs w:val="22"/>
        </w:rPr>
        <w:t xml:space="preserve"> (Pro,2023)</w:t>
      </w:r>
      <w:r>
        <w:rPr>
          <w:rStyle w:val="Strong"/>
          <w:rFonts w:ascii="Arial" w:hAnsi="Arial" w:cs="Arial"/>
          <w:b w:val="0"/>
          <w:bCs w:val="0"/>
          <w:sz w:val="22"/>
          <w:szCs w:val="22"/>
        </w:rPr>
        <w:t xml:space="preserve"> Furthermore, to introduce open chat platforms to facilitate interactions across hierarchy levels. This will enable top management to directly engage with subordinates and contribute to fostering an open and transparent organisation culture. </w:t>
      </w:r>
      <w:r>
        <w:rPr>
          <w:rFonts w:ascii="Arial" w:hAnsi="Arial" w:cs="Arial"/>
          <w:spacing w:val="8"/>
          <w:sz w:val="22"/>
          <w:szCs w:val="22"/>
        </w:rPr>
        <w:t>(Pro,2023)</w:t>
      </w:r>
    </w:p>
    <w:p w14:paraId="0F1F6B03" w14:textId="77777777" w:rsidR="006C6215" w:rsidRDefault="003C39B2">
      <w:pPr>
        <w:pStyle w:val="NormalWeb"/>
        <w:shd w:val="clear" w:color="auto" w:fill="FFFFFF"/>
        <w:spacing w:line="360" w:lineRule="auto"/>
      </w:pPr>
      <w:r>
        <w:rPr>
          <w:rStyle w:val="Strong"/>
          <w:rFonts w:ascii="Arial" w:hAnsi="Arial" w:cs="Arial"/>
          <w:b w:val="0"/>
          <w:bCs w:val="0"/>
          <w:sz w:val="26"/>
          <w:szCs w:val="26"/>
        </w:rPr>
        <w:t xml:space="preserve">Shared values: </w:t>
      </w:r>
      <w:r>
        <w:rPr>
          <w:rStyle w:val="Strong"/>
          <w:rFonts w:ascii="Arial" w:hAnsi="Arial" w:cs="Arial"/>
          <w:b w:val="0"/>
          <w:bCs w:val="0"/>
          <w:sz w:val="22"/>
          <w:szCs w:val="22"/>
        </w:rPr>
        <w:t>The company has established an effective business model grounded in its fundamental principles, vision, and mission. Minimal adjustments are necessary in the realm of shared values.</w:t>
      </w:r>
      <w:r>
        <w:rPr>
          <w:rFonts w:ascii="Arial" w:hAnsi="Arial" w:cs="Arial"/>
          <w:spacing w:val="8"/>
          <w:sz w:val="22"/>
          <w:szCs w:val="22"/>
        </w:rPr>
        <w:t xml:space="preserve"> (Pro,2023)</w:t>
      </w:r>
      <w:r>
        <w:rPr>
          <w:rStyle w:val="Strong"/>
          <w:rFonts w:ascii="Arial" w:hAnsi="Arial" w:cs="Arial"/>
          <w:b w:val="0"/>
          <w:bCs w:val="0"/>
          <w:sz w:val="22"/>
          <w:szCs w:val="22"/>
        </w:rPr>
        <w:t xml:space="preserve"> However, an aspect deserving increased attention in sustainability. Given investors’ heightened emphasis on Environmental, Social and Governance concerns, the organization can enhance transparency by incorporating the Triple Bottom Line Framework into ESG and financial disclosures.</w:t>
      </w:r>
      <w:r>
        <w:rPr>
          <w:rFonts w:ascii="Arial" w:hAnsi="Arial" w:cs="Arial"/>
          <w:spacing w:val="8"/>
          <w:sz w:val="22"/>
          <w:szCs w:val="22"/>
        </w:rPr>
        <w:t xml:space="preserve"> (Pro,2023)</w:t>
      </w:r>
    </w:p>
    <w:p w14:paraId="43590770" w14:textId="77777777" w:rsidR="006C6215" w:rsidRDefault="003C39B2">
      <w:pPr>
        <w:pStyle w:val="NormalWeb"/>
        <w:shd w:val="clear" w:color="auto" w:fill="FFFFFF"/>
        <w:spacing w:line="360" w:lineRule="auto"/>
      </w:pPr>
      <w:r>
        <w:rPr>
          <w:rFonts w:ascii="Arial" w:hAnsi="Arial" w:cs="Arial"/>
          <w:spacing w:val="8"/>
          <w:sz w:val="26"/>
          <w:szCs w:val="26"/>
        </w:rPr>
        <w:t xml:space="preserve">Skills: </w:t>
      </w:r>
      <w:r>
        <w:rPr>
          <w:rFonts w:ascii="Arial" w:hAnsi="Arial" w:cs="Arial"/>
          <w:spacing w:val="8"/>
          <w:sz w:val="22"/>
          <w:szCs w:val="22"/>
        </w:rPr>
        <w:t>EasyJet can establish a well-organised training and growth initiative for remote staff members. In response to a growing trend of individuals seeking more stimulating roles, EasyJet can recruit new talent. (Pro,2023)</w:t>
      </w:r>
    </w:p>
    <w:p w14:paraId="497F3A1D" w14:textId="77777777" w:rsidR="006C6215" w:rsidRDefault="003C39B2">
      <w:pPr>
        <w:pStyle w:val="NormalWeb"/>
        <w:shd w:val="clear" w:color="auto" w:fill="FFFFFF"/>
        <w:spacing w:line="360" w:lineRule="auto"/>
      </w:pPr>
      <w:r>
        <w:rPr>
          <w:rFonts w:ascii="Arial" w:hAnsi="Arial" w:cs="Arial"/>
          <w:spacing w:val="8"/>
          <w:sz w:val="26"/>
          <w:szCs w:val="26"/>
        </w:rPr>
        <w:t xml:space="preserve">Style: </w:t>
      </w:r>
      <w:r>
        <w:rPr>
          <w:rFonts w:ascii="Arial" w:hAnsi="Arial" w:cs="Arial"/>
          <w:spacing w:val="8"/>
          <w:sz w:val="22"/>
          <w:szCs w:val="22"/>
        </w:rPr>
        <w:t>The leadership approaches needed in a physical setting and remote context differ significantly. In a physical setting, managers can easily engage in spontaneous conversations, offer guidance, and review tasks. (Pro,2023) However, in remote settings, employees often work in more isolated conditions. To enhance operational efficiency leaders should adopt a cooperative and inclusive leadership style. This involves creating smaller teams within larger ones to promote collaboration (Pro,2023)</w:t>
      </w:r>
    </w:p>
    <w:p w14:paraId="30E54FFD" w14:textId="77777777" w:rsidR="006C6215" w:rsidRDefault="006C6215">
      <w:pPr>
        <w:pStyle w:val="NormalWeb"/>
        <w:shd w:val="clear" w:color="auto" w:fill="FFFFFF"/>
        <w:spacing w:line="360" w:lineRule="auto"/>
        <w:rPr>
          <w:rFonts w:ascii="Arial" w:hAnsi="Arial" w:cs="Arial"/>
          <w:spacing w:val="8"/>
          <w:sz w:val="22"/>
          <w:szCs w:val="22"/>
        </w:rPr>
      </w:pPr>
    </w:p>
    <w:p w14:paraId="683A7480" w14:textId="77777777" w:rsidR="006C6215" w:rsidRDefault="006C6215">
      <w:pPr>
        <w:pStyle w:val="NormalWeb"/>
        <w:shd w:val="clear" w:color="auto" w:fill="FFFFFF"/>
        <w:spacing w:line="360" w:lineRule="auto"/>
        <w:rPr>
          <w:rFonts w:ascii="Arial" w:hAnsi="Arial" w:cs="Arial"/>
          <w:spacing w:val="8"/>
          <w:sz w:val="22"/>
          <w:szCs w:val="22"/>
        </w:rPr>
      </w:pPr>
    </w:p>
    <w:p w14:paraId="2594394E" w14:textId="77777777" w:rsidR="006C6215" w:rsidRDefault="003C39B2">
      <w:r>
        <w:rPr>
          <w:rFonts w:ascii="Arial" w:hAnsi="Arial" w:cs="Arial"/>
          <w:spacing w:val="8"/>
        </w:rPr>
        <w:t>EasyJet financial statements are aligned with the Financial Reporting Standard and the statutory obligations that have been in place for companies since 2016 the company made a smooth shift from international accounting standards to IC 101 on October 2022, with no impact on the financial statements.</w:t>
      </w:r>
      <w:r>
        <w:rPr>
          <w:rFonts w:ascii="Arial" w:eastAsia="Times New Roman" w:hAnsi="Arial" w:cs="Arial"/>
          <w:color w:val="000000"/>
          <w:kern w:val="0"/>
          <w:lang w:eastAsia="en-GB"/>
        </w:rPr>
        <w:t xml:space="preserve"> (EasyJet UK Limited Annual Report, n.d.) </w:t>
      </w:r>
      <w:r>
        <w:rPr>
          <w:rFonts w:ascii="Arial" w:hAnsi="Arial" w:cs="Arial"/>
          <w:spacing w:val="8"/>
        </w:rPr>
        <w:t xml:space="preserve"> The financial statements for September 2022 have been developed using the historical cost principle. Within the scope of EasyJet operations and the pivotal factors influencing its forthcoming expansion, the financial statements provide a comprehensive depiction of the company’s goals, strategies for capital utilization, and a detailed exploration of the risks associated with its held financial instruments.</w:t>
      </w:r>
      <w:r>
        <w:rPr>
          <w:rFonts w:ascii="Arial" w:eastAsia="Times New Roman" w:hAnsi="Arial" w:cs="Arial"/>
          <w:color w:val="000000"/>
          <w:kern w:val="0"/>
          <w:lang w:eastAsia="en-GB"/>
        </w:rPr>
        <w:t xml:space="preserve"> (EasyJet UK Limited Annual Report, n.d.) </w:t>
      </w:r>
    </w:p>
    <w:p w14:paraId="426720E7" w14:textId="77777777" w:rsidR="006C6215" w:rsidRDefault="006C6215">
      <w:pPr>
        <w:rPr>
          <w:rFonts w:ascii="Arial" w:hAnsi="Arial" w:cs="Arial"/>
        </w:rPr>
      </w:pPr>
    </w:p>
    <w:p w14:paraId="09662745" w14:textId="77777777" w:rsidR="006C6215" w:rsidRDefault="003C39B2">
      <w:pPr>
        <w:pStyle w:val="NormalWeb"/>
        <w:shd w:val="clear" w:color="auto" w:fill="FFFFFF"/>
        <w:spacing w:line="360" w:lineRule="auto"/>
        <w:rPr>
          <w:rFonts w:ascii="Arial" w:hAnsi="Arial" w:cs="Arial"/>
          <w:spacing w:val="8"/>
          <w:sz w:val="22"/>
          <w:szCs w:val="22"/>
        </w:rPr>
      </w:pPr>
      <w:r>
        <w:rPr>
          <w:rFonts w:ascii="Arial" w:hAnsi="Arial" w:cs="Arial"/>
          <w:spacing w:val="8"/>
          <w:sz w:val="22"/>
          <w:szCs w:val="22"/>
        </w:rPr>
        <w:t xml:space="preserve">As for EasyJet’s framework, has refined its approach to achieve its goal of making affordable travel convenience. This new strategy consists of four key priorities that leverage EasyJet’s advantages in the European aviation industry. (EasyJet,2023) By doing so, EasyJet aims to become the most beloved airline in Europe, benefiting its customers, shareholders, and employees. The updated structure capitalizes on EasyJet’s strengths, including its extensive network, efficient cost framework, strong brand, and financial stability. This positions EasyJet to achieve sustainable growth and favourable returns for its shareholders. (EasyJet,2023) </w:t>
      </w:r>
    </w:p>
    <w:p w14:paraId="2EFD4461" w14:textId="77777777" w:rsidR="006C6215" w:rsidRDefault="003C39B2">
      <w:pPr>
        <w:keepNext/>
        <w:keepLines/>
        <w:spacing w:before="240" w:after="0"/>
        <w:outlineLvl w:val="0"/>
        <w:rPr>
          <w:rFonts w:ascii="Arial" w:eastAsia="Times New Roman" w:hAnsi="Arial" w:cs="Arial"/>
          <w:color w:val="2F5496"/>
          <w:sz w:val="28"/>
          <w:szCs w:val="28"/>
        </w:rPr>
      </w:pPr>
      <w:bookmarkStart w:id="13" w:name="_Toc142604178"/>
      <w:bookmarkStart w:id="14" w:name="_Toc142851635"/>
      <w:r>
        <w:rPr>
          <w:rFonts w:ascii="Arial" w:eastAsia="Times New Roman" w:hAnsi="Arial" w:cs="Arial"/>
          <w:color w:val="2F5496"/>
          <w:sz w:val="28"/>
          <w:szCs w:val="28"/>
        </w:rPr>
        <w:t>Evaluation of the Broader Environment using Analytical Techniques</w:t>
      </w:r>
      <w:bookmarkEnd w:id="13"/>
      <w:bookmarkEnd w:id="14"/>
    </w:p>
    <w:p w14:paraId="45350D90" w14:textId="77777777" w:rsidR="006C6215" w:rsidRDefault="006C6215"/>
    <w:p w14:paraId="1F561C5D" w14:textId="77777777" w:rsidR="006C6215" w:rsidRDefault="003C39B2">
      <w:pPr>
        <w:spacing w:line="360" w:lineRule="auto"/>
        <w:rPr>
          <w:rFonts w:ascii="Arial" w:hAnsi="Arial" w:cs="Arial"/>
        </w:rPr>
      </w:pPr>
      <w:r>
        <w:rPr>
          <w:rFonts w:ascii="Arial" w:hAnsi="Arial" w:cs="Arial"/>
        </w:rPr>
        <w:t xml:space="preserve">Conducting an environmental analysis holds significant importance in assessing both internal and external factors that impact the business. It is crucial to consider various forms of environmental effects and factor them into decision-making processes. </w:t>
      </w:r>
      <w:bookmarkStart w:id="15" w:name="_Hlk142515510"/>
      <w:r>
        <w:rPr>
          <w:rFonts w:ascii="Arial" w:hAnsi="Arial" w:cs="Arial"/>
        </w:rPr>
        <w:t xml:space="preserve">(Semwal,2022) </w:t>
      </w:r>
      <w:bookmarkEnd w:id="15"/>
      <w:r>
        <w:rPr>
          <w:rFonts w:ascii="Arial" w:hAnsi="Arial" w:cs="Arial"/>
        </w:rPr>
        <w:t>Performing an environmental analysis involves comprehending the circumstances and patterns that directly affect the company’s operational outcomes. The objective of such an analysis is to recognize and address potential environmental consequences proactively before proceeding with any initiatives. (Semwal,2022) An environmental analysis aids decision-makers in comprehending the potential impact of their planned actions on the ecosystem and identifying possible alternative choices. Additionally, it assists in pinpointing areas where collaboration between the public and private sectors might be essential to attain the desired environmental results. (Semwal,2022) Environmental analysis is important for a variety of reasons:</w:t>
      </w:r>
    </w:p>
    <w:p w14:paraId="458AE776" w14:textId="77777777" w:rsidR="006C6215" w:rsidRDefault="003C39B2">
      <w:pPr>
        <w:numPr>
          <w:ilvl w:val="0"/>
          <w:numId w:val="2"/>
        </w:numPr>
        <w:spacing w:line="360" w:lineRule="auto"/>
        <w:contextualSpacing/>
        <w:rPr>
          <w:rFonts w:ascii="Arial" w:hAnsi="Arial" w:cs="Arial"/>
        </w:rPr>
      </w:pPr>
      <w:r>
        <w:rPr>
          <w:rFonts w:ascii="Arial" w:hAnsi="Arial" w:cs="Arial"/>
        </w:rPr>
        <w:t xml:space="preserve">Environmental analysis discerns the implications of alternations in significant environmental factors for a business. This analytical approach enables you to assess </w:t>
      </w:r>
      <w:r>
        <w:rPr>
          <w:rFonts w:ascii="Arial" w:hAnsi="Arial" w:cs="Arial"/>
        </w:rPr>
        <w:lastRenderedPageBreak/>
        <w:t>how modifications could impact the company’s valuation or competitive stance. (Semwal,2022)</w:t>
      </w:r>
    </w:p>
    <w:p w14:paraId="7CDE853C" w14:textId="77777777" w:rsidR="006C6215" w:rsidRDefault="003C39B2">
      <w:pPr>
        <w:numPr>
          <w:ilvl w:val="0"/>
          <w:numId w:val="2"/>
        </w:numPr>
        <w:spacing w:line="360" w:lineRule="auto"/>
        <w:contextualSpacing/>
        <w:rPr>
          <w:rFonts w:ascii="Arial" w:hAnsi="Arial" w:cs="Arial"/>
        </w:rPr>
      </w:pPr>
      <w:r>
        <w:rPr>
          <w:rFonts w:ascii="Arial" w:hAnsi="Arial" w:cs="Arial"/>
        </w:rPr>
        <w:t>Through environmental analysis, we can access and monitor potential perils to the business, devising strategies to mitigate these risks effectively. (Semwal,2022)</w:t>
      </w:r>
    </w:p>
    <w:p w14:paraId="7FAA5A29" w14:textId="77777777" w:rsidR="006C6215" w:rsidRDefault="003C39B2">
      <w:pPr>
        <w:numPr>
          <w:ilvl w:val="0"/>
          <w:numId w:val="2"/>
        </w:numPr>
        <w:spacing w:line="360" w:lineRule="auto"/>
        <w:contextualSpacing/>
        <w:rPr>
          <w:rFonts w:ascii="Arial" w:hAnsi="Arial" w:cs="Arial"/>
        </w:rPr>
      </w:pPr>
      <w:r>
        <w:rPr>
          <w:rFonts w:ascii="Arial" w:hAnsi="Arial" w:cs="Arial"/>
        </w:rPr>
        <w:t>Environmental analysis serves as a tool for uncovering prospects within a dynamic context, pinpointing organisational adjustments that can amplify resource-based profitability, elevate customer service, or enhanced quality. (Semwal,2022)</w:t>
      </w:r>
    </w:p>
    <w:p w14:paraId="4551D167" w14:textId="77777777" w:rsidR="006C6215" w:rsidRDefault="003C39B2">
      <w:pPr>
        <w:numPr>
          <w:ilvl w:val="0"/>
          <w:numId w:val="2"/>
        </w:numPr>
        <w:spacing w:line="360" w:lineRule="auto"/>
        <w:contextualSpacing/>
        <w:rPr>
          <w:rFonts w:ascii="Arial" w:hAnsi="Arial" w:cs="Arial"/>
        </w:rPr>
      </w:pPr>
      <w:r>
        <w:rPr>
          <w:rFonts w:ascii="Arial" w:hAnsi="Arial" w:cs="Arial"/>
        </w:rPr>
        <w:t>By conducting an environmental analysis, businesses formulate potent strategies and marketing blueprints, heightening their competitive edge within their sector or industry. (Semwal,2022)</w:t>
      </w:r>
    </w:p>
    <w:p w14:paraId="6EDB35A8" w14:textId="77777777" w:rsidR="006C6215" w:rsidRDefault="006C6215">
      <w:pPr>
        <w:spacing w:line="360" w:lineRule="auto"/>
      </w:pPr>
    </w:p>
    <w:p w14:paraId="6AA654AE" w14:textId="77777777" w:rsidR="006C6215" w:rsidRDefault="003C39B2">
      <w:pPr>
        <w:keepNext/>
        <w:keepLines/>
        <w:spacing w:before="240" w:after="0"/>
        <w:outlineLvl w:val="0"/>
        <w:rPr>
          <w:rFonts w:ascii="Arial" w:eastAsia="Times New Roman" w:hAnsi="Arial" w:cs="Arial"/>
          <w:color w:val="2F5496"/>
          <w:sz w:val="32"/>
          <w:szCs w:val="32"/>
        </w:rPr>
      </w:pPr>
      <w:bookmarkStart w:id="16" w:name="_Toc142604179"/>
      <w:bookmarkStart w:id="17" w:name="_Toc142851636"/>
      <w:r>
        <w:rPr>
          <w:rFonts w:ascii="Arial" w:eastAsia="Times New Roman" w:hAnsi="Arial" w:cs="Arial"/>
          <w:color w:val="2F5496"/>
          <w:sz w:val="32"/>
          <w:szCs w:val="32"/>
        </w:rPr>
        <w:t>PESTEL Analysis</w:t>
      </w:r>
      <w:bookmarkEnd w:id="16"/>
      <w:bookmarkEnd w:id="17"/>
    </w:p>
    <w:p w14:paraId="0A0B91B9" w14:textId="77777777" w:rsidR="006C6215" w:rsidRDefault="006C6215"/>
    <w:p w14:paraId="78E21901" w14:textId="77777777" w:rsidR="006C6215" w:rsidRDefault="003C39B2">
      <w:pPr>
        <w:keepNext/>
        <w:keepLines/>
        <w:spacing w:before="40" w:after="0"/>
        <w:outlineLvl w:val="1"/>
        <w:rPr>
          <w:rFonts w:ascii="Arial" w:eastAsia="Times New Roman" w:hAnsi="Arial" w:cs="Arial"/>
          <w:color w:val="2F5496"/>
          <w:sz w:val="26"/>
          <w:szCs w:val="26"/>
        </w:rPr>
      </w:pPr>
      <w:bookmarkStart w:id="18" w:name="_Toc142604180"/>
      <w:bookmarkStart w:id="19" w:name="_Toc142851637"/>
      <w:r>
        <w:rPr>
          <w:rFonts w:ascii="Arial" w:eastAsia="Times New Roman" w:hAnsi="Arial" w:cs="Arial"/>
          <w:color w:val="2F5496"/>
          <w:sz w:val="26"/>
          <w:szCs w:val="26"/>
        </w:rPr>
        <w:t>Definition</w:t>
      </w:r>
      <w:bookmarkEnd w:id="18"/>
      <w:bookmarkEnd w:id="19"/>
      <w:r>
        <w:rPr>
          <w:rFonts w:ascii="Arial" w:eastAsia="Times New Roman" w:hAnsi="Arial" w:cs="Arial"/>
          <w:color w:val="2F5496"/>
          <w:sz w:val="26"/>
          <w:szCs w:val="26"/>
        </w:rPr>
        <w:t xml:space="preserve"> </w:t>
      </w:r>
    </w:p>
    <w:p w14:paraId="14E6416A" w14:textId="77777777" w:rsidR="006C6215" w:rsidRDefault="006C6215">
      <w:pPr>
        <w:spacing w:line="360" w:lineRule="auto"/>
        <w:rPr>
          <w:rFonts w:ascii="Arial" w:hAnsi="Arial" w:cs="Arial"/>
        </w:rPr>
      </w:pPr>
    </w:p>
    <w:p w14:paraId="60683155" w14:textId="77777777" w:rsidR="006C6215" w:rsidRDefault="003C39B2">
      <w:pPr>
        <w:spacing w:line="360" w:lineRule="auto"/>
        <w:rPr>
          <w:rFonts w:ascii="Arial" w:hAnsi="Arial" w:cs="Arial"/>
        </w:rPr>
      </w:pPr>
      <w:r>
        <w:rPr>
          <w:rFonts w:ascii="Arial" w:hAnsi="Arial" w:cs="Arial"/>
        </w:rPr>
        <w:t xml:space="preserve">PESTLE analysis functions as a strategic structure employed to evaluate external macro-environmental elements that hold the potential to influence an organization or enterprise. It encompasses Political, Economic, Social, Technological, Legal, and Environmental aspects. </w:t>
      </w:r>
      <w:bookmarkStart w:id="20" w:name="_Hlk142516808"/>
      <w:r>
        <w:rPr>
          <w:rFonts w:ascii="Arial" w:hAnsi="Arial" w:cs="Arial"/>
        </w:rPr>
        <w:t xml:space="preserve">(Indeed,2022) </w:t>
      </w:r>
      <w:bookmarkEnd w:id="20"/>
      <w:r>
        <w:rPr>
          <w:rFonts w:ascii="Arial" w:hAnsi="Arial" w:cs="Arial"/>
        </w:rPr>
        <w:t>This analytical approach is widely utilized by businesses, governmental bodies, and other entities to grasp the encompassing backdrop of their operations and facilitate well-informed choices. (Indeed,2022) By analysing these elements using the PESTLE framework, organizations can acquire a deeper understanding of possible prospects, risks, and obstacles that could emerge from the external surroundings, this examination empowers organizations to arrive at more enlightened strategic choices and adjust their approaches to accommodate the evolving external landscape. (Indeed,2022)</w:t>
      </w:r>
    </w:p>
    <w:p w14:paraId="18398211" w14:textId="77777777" w:rsidR="006C6215" w:rsidRDefault="006C6215">
      <w:pPr>
        <w:spacing w:line="360" w:lineRule="auto"/>
        <w:rPr>
          <w:rFonts w:ascii="Arial" w:hAnsi="Arial" w:cs="Arial"/>
        </w:rPr>
      </w:pPr>
    </w:p>
    <w:p w14:paraId="713F8723" w14:textId="77777777" w:rsidR="006C6215" w:rsidRDefault="003C39B2">
      <w:pPr>
        <w:spacing w:after="0" w:line="240" w:lineRule="auto"/>
        <w:contextualSpacing/>
        <w:jc w:val="center"/>
        <w:rPr>
          <w:rFonts w:ascii="Arial" w:eastAsia="Times New Roman" w:hAnsi="Arial" w:cs="Arial"/>
          <w:spacing w:val="-10"/>
          <w:sz w:val="40"/>
          <w:szCs w:val="40"/>
        </w:rPr>
      </w:pPr>
      <w:r>
        <w:rPr>
          <w:rFonts w:ascii="Arial" w:eastAsia="Times New Roman" w:hAnsi="Arial" w:cs="Arial"/>
          <w:spacing w:val="-10"/>
          <w:sz w:val="40"/>
          <w:szCs w:val="40"/>
        </w:rPr>
        <w:t>PESTEL Analysis for EasyJet</w:t>
      </w:r>
    </w:p>
    <w:p w14:paraId="2D303610" w14:textId="77777777" w:rsidR="006C6215" w:rsidRDefault="006C6215"/>
    <w:p w14:paraId="2D96D077" w14:textId="77777777" w:rsidR="006C6215" w:rsidRDefault="003C39B2">
      <w:pPr>
        <w:keepNext/>
        <w:keepLines/>
        <w:spacing w:before="40" w:after="0"/>
        <w:outlineLvl w:val="2"/>
        <w:rPr>
          <w:rFonts w:ascii="Arial" w:eastAsia="Times New Roman" w:hAnsi="Arial" w:cs="Arial"/>
          <w:color w:val="1F3763"/>
          <w:sz w:val="28"/>
          <w:szCs w:val="28"/>
        </w:rPr>
      </w:pPr>
      <w:bookmarkStart w:id="21" w:name="_Toc142604181"/>
      <w:bookmarkStart w:id="22" w:name="_Toc142851638"/>
      <w:r>
        <w:rPr>
          <w:rFonts w:ascii="Arial" w:eastAsia="Times New Roman" w:hAnsi="Arial" w:cs="Arial"/>
          <w:color w:val="1F3763"/>
          <w:sz w:val="28"/>
          <w:szCs w:val="28"/>
        </w:rPr>
        <w:t>POLITICAL</w:t>
      </w:r>
      <w:bookmarkEnd w:id="21"/>
      <w:bookmarkEnd w:id="22"/>
    </w:p>
    <w:p w14:paraId="0DC8381B" w14:textId="77777777" w:rsidR="006C6215" w:rsidRDefault="006C6215"/>
    <w:p w14:paraId="551D133D" w14:textId="77777777" w:rsidR="006C6215" w:rsidRDefault="003C39B2">
      <w:pPr>
        <w:numPr>
          <w:ilvl w:val="0"/>
          <w:numId w:val="3"/>
        </w:numPr>
        <w:spacing w:line="360" w:lineRule="auto"/>
        <w:contextualSpacing/>
      </w:pPr>
      <w:r>
        <w:rPr>
          <w:rFonts w:ascii="Arial" w:hAnsi="Arial" w:cs="Arial"/>
          <w:b/>
          <w:bCs/>
        </w:rPr>
        <w:t>Stability of Governance</w:t>
      </w:r>
      <w:r>
        <w:rPr>
          <w:rFonts w:ascii="Arial" w:hAnsi="Arial" w:cs="Arial"/>
        </w:rPr>
        <w:t xml:space="preserve">: Instances of political instability, such as shifts in governmental leadership, have the potential to introduce alternations in policies or regulations that may influence the operations of EasyJet. For instance, modifications </w:t>
      </w:r>
      <w:r>
        <w:rPr>
          <w:rFonts w:ascii="Arial" w:hAnsi="Arial" w:cs="Arial"/>
        </w:rPr>
        <w:lastRenderedPageBreak/>
        <w:t xml:space="preserve">in aviation regulations or tax policies can exert an impact on the company’s financial performance. </w:t>
      </w:r>
      <w:bookmarkStart w:id="23" w:name="_Hlk142564689"/>
      <w:r>
        <w:rPr>
          <w:rFonts w:ascii="Arial" w:hAnsi="Arial" w:cs="Arial"/>
        </w:rPr>
        <w:t>(The Strategy Story,2023)</w:t>
      </w:r>
      <w:bookmarkEnd w:id="23"/>
    </w:p>
    <w:p w14:paraId="5777E42D" w14:textId="77777777" w:rsidR="006C6215" w:rsidRDefault="003C39B2">
      <w:pPr>
        <w:numPr>
          <w:ilvl w:val="0"/>
          <w:numId w:val="3"/>
        </w:numPr>
        <w:spacing w:line="360" w:lineRule="auto"/>
        <w:contextualSpacing/>
      </w:pPr>
      <w:r>
        <w:rPr>
          <w:rFonts w:ascii="Arial" w:hAnsi="Arial" w:cs="Arial"/>
          <w:b/>
          <w:bCs/>
        </w:rPr>
        <w:t>International Relations</w:t>
      </w:r>
      <w:r>
        <w:t xml:space="preserve">: </w:t>
      </w:r>
      <w:r>
        <w:rPr>
          <w:rFonts w:ascii="Arial" w:hAnsi="Arial" w:cs="Arial"/>
        </w:rPr>
        <w:t>EasyJet conducts operations with numerous European nations. The interactions and connections between these countries can bear an influence on the functioning of EasyJet. For instance, political strains of conflicts might interrupt flight timetables or result in prohibitions on flights to specific locations. (The Strategy Story,2023)</w:t>
      </w:r>
    </w:p>
    <w:p w14:paraId="2D796419" w14:textId="77777777" w:rsidR="006C6215" w:rsidRDefault="003C39B2">
      <w:pPr>
        <w:numPr>
          <w:ilvl w:val="0"/>
          <w:numId w:val="3"/>
        </w:numPr>
        <w:spacing w:line="360" w:lineRule="auto"/>
        <w:contextualSpacing/>
      </w:pPr>
      <w:r>
        <w:rPr>
          <w:rFonts w:ascii="Arial" w:hAnsi="Arial" w:cs="Arial"/>
          <w:b/>
          <w:bCs/>
        </w:rPr>
        <w:t>Brexit Impact:</w:t>
      </w:r>
      <w:r>
        <w:t xml:space="preserve"> </w:t>
      </w:r>
      <w:r>
        <w:rPr>
          <w:rFonts w:ascii="Arial" w:hAnsi="Arial" w:cs="Arial"/>
        </w:rPr>
        <w:t>The UK’s withdrawal from the European Union (Brexit) carries noteworthy political implications for EasyJet. Brexit has initiated alternations in regulations, encompassing matters like flight entitlement and activities within the EU. This may potentially curtail EasyJet’s capacity to navigate seamlessly across EU nations, thereby influencing its operational framework. (The Strategy Story,2023)</w:t>
      </w:r>
    </w:p>
    <w:p w14:paraId="2501CD14" w14:textId="77777777" w:rsidR="006C6215" w:rsidRDefault="003C39B2">
      <w:pPr>
        <w:numPr>
          <w:ilvl w:val="0"/>
          <w:numId w:val="3"/>
        </w:numPr>
        <w:spacing w:line="360" w:lineRule="auto"/>
        <w:contextualSpacing/>
      </w:pPr>
      <w:r>
        <w:rPr>
          <w:rFonts w:ascii="Arial" w:hAnsi="Arial" w:cs="Arial"/>
          <w:b/>
          <w:bCs/>
        </w:rPr>
        <w:t>Regulatory Landscape:</w:t>
      </w:r>
      <w:r>
        <w:t xml:space="preserve"> </w:t>
      </w:r>
      <w:r>
        <w:rPr>
          <w:rFonts w:ascii="Arial" w:hAnsi="Arial" w:cs="Arial"/>
        </w:rPr>
        <w:t>EasyJet is beholden to an array of regulations, including safety protocols, environmental directives, and labour legislations. Alternations in these regulations have the potential to influence EasyJet’s expenditures and operational effectiveness. As an illustration, more stringent environmental mandates might necessitate EasyJet’s investment in modern, ecologically conscious aircraft. (The Strategy Story,2023)</w:t>
      </w:r>
    </w:p>
    <w:p w14:paraId="5125425E" w14:textId="77777777" w:rsidR="006C6215" w:rsidRDefault="003C39B2">
      <w:pPr>
        <w:numPr>
          <w:ilvl w:val="0"/>
          <w:numId w:val="3"/>
        </w:numPr>
        <w:spacing w:line="360" w:lineRule="auto"/>
        <w:contextualSpacing/>
      </w:pPr>
      <w:r>
        <w:rPr>
          <w:rFonts w:ascii="Arial" w:hAnsi="Arial" w:cs="Arial"/>
          <w:b/>
          <w:bCs/>
        </w:rPr>
        <w:t>Terrorism and Safety Concerns:</w:t>
      </w:r>
      <w:r>
        <w:t xml:space="preserve"> </w:t>
      </w:r>
      <w:r>
        <w:rPr>
          <w:rFonts w:ascii="Arial" w:hAnsi="Arial" w:cs="Arial"/>
        </w:rPr>
        <w:t>Political aspects like the menace of terrorism or security challenges can also exert an influence on EasyJet. Such circumstances can prompt heightened security protocols, amplified expenses, and repercussions for the passenger journey. Furthermore, it has the potential to dampen demand for air travel in specific geographical areas. (The Strategy Story,2023)</w:t>
      </w:r>
    </w:p>
    <w:p w14:paraId="1D7002A4" w14:textId="77777777" w:rsidR="006C6215" w:rsidRDefault="006C6215">
      <w:pPr>
        <w:spacing w:line="360" w:lineRule="auto"/>
      </w:pPr>
    </w:p>
    <w:p w14:paraId="6D221608" w14:textId="77777777" w:rsidR="006C6215" w:rsidRDefault="003C39B2">
      <w:pPr>
        <w:keepNext/>
        <w:keepLines/>
        <w:spacing w:before="40" w:after="0"/>
        <w:outlineLvl w:val="2"/>
        <w:rPr>
          <w:rFonts w:ascii="Arial" w:eastAsia="Times New Roman" w:hAnsi="Arial" w:cs="Arial"/>
          <w:color w:val="1F3763"/>
          <w:sz w:val="28"/>
          <w:szCs w:val="28"/>
        </w:rPr>
      </w:pPr>
      <w:bookmarkStart w:id="24" w:name="_Toc142604182"/>
      <w:bookmarkStart w:id="25" w:name="_Toc142851639"/>
      <w:r>
        <w:rPr>
          <w:rFonts w:ascii="Arial" w:eastAsia="Times New Roman" w:hAnsi="Arial" w:cs="Arial"/>
          <w:color w:val="1F3763"/>
          <w:sz w:val="28"/>
          <w:szCs w:val="28"/>
        </w:rPr>
        <w:t>ECONOMIC</w:t>
      </w:r>
      <w:bookmarkEnd w:id="24"/>
      <w:bookmarkEnd w:id="25"/>
    </w:p>
    <w:p w14:paraId="4FB4238C" w14:textId="77777777" w:rsidR="006C6215" w:rsidRDefault="006C6215">
      <w:pPr>
        <w:spacing w:line="360" w:lineRule="auto"/>
        <w:rPr>
          <w:rFonts w:ascii="Arial" w:hAnsi="Arial" w:cs="Arial"/>
        </w:rPr>
      </w:pPr>
    </w:p>
    <w:p w14:paraId="4CC48867" w14:textId="77777777" w:rsidR="006C6215" w:rsidRDefault="003C39B2">
      <w:pPr>
        <w:numPr>
          <w:ilvl w:val="0"/>
          <w:numId w:val="4"/>
        </w:numPr>
        <w:spacing w:line="360" w:lineRule="auto"/>
        <w:contextualSpacing/>
      </w:pPr>
      <w:r>
        <w:rPr>
          <w:rFonts w:ascii="Arial" w:hAnsi="Arial" w:cs="Arial"/>
          <w:b/>
          <w:bCs/>
        </w:rPr>
        <w:t xml:space="preserve">Economic Fluctuations: </w:t>
      </w:r>
      <w:r>
        <w:rPr>
          <w:rFonts w:ascii="Arial" w:hAnsi="Arial" w:cs="Arial"/>
        </w:rPr>
        <w:t>The need of EasyJet’s offering exhibits a close correlation with economic circumstances. During periods of economic affluence, individuals are inclined to engage in business and leisure travel, thus elevating the requisition for flights. Conversely, during economic recessions, a propensity to curtail travel emerges, potentially diminishing the demand for EasyJet’s services. (The Strategy Story,2023)</w:t>
      </w:r>
    </w:p>
    <w:p w14:paraId="2AB1A964" w14:textId="77777777" w:rsidR="006C6215" w:rsidRDefault="003C39B2">
      <w:pPr>
        <w:numPr>
          <w:ilvl w:val="0"/>
          <w:numId w:val="4"/>
        </w:numPr>
        <w:spacing w:line="360" w:lineRule="auto"/>
        <w:contextualSpacing/>
      </w:pPr>
      <w:r>
        <w:rPr>
          <w:rFonts w:ascii="Arial" w:hAnsi="Arial" w:cs="Arial"/>
          <w:b/>
          <w:bCs/>
        </w:rPr>
        <w:t>Fuel Costs:</w:t>
      </w:r>
      <w:r>
        <w:rPr>
          <w:rFonts w:ascii="Arial" w:hAnsi="Arial" w:cs="Arial"/>
        </w:rPr>
        <w:t xml:space="preserve"> Among the most substantial operational expenditures for any airline lies in fuel. Hence, variations in oil prices possess the capacity to notably influence the profitability of EasyJet. (The Strategy Story,2023)</w:t>
      </w:r>
    </w:p>
    <w:p w14:paraId="7CBC3039" w14:textId="77777777" w:rsidR="006C6215" w:rsidRDefault="003C39B2">
      <w:pPr>
        <w:numPr>
          <w:ilvl w:val="0"/>
          <w:numId w:val="4"/>
        </w:numPr>
        <w:spacing w:line="360" w:lineRule="auto"/>
        <w:contextualSpacing/>
      </w:pPr>
      <w:r>
        <w:rPr>
          <w:rFonts w:ascii="Arial" w:hAnsi="Arial" w:cs="Arial"/>
          <w:b/>
          <w:bCs/>
        </w:rPr>
        <w:lastRenderedPageBreak/>
        <w:t>Inflation and Interest Rates:</w:t>
      </w:r>
      <w:r>
        <w:rPr>
          <w:rFonts w:ascii="Arial" w:hAnsi="Arial" w:cs="Arial"/>
        </w:rPr>
        <w:t xml:space="preserve"> The fluctuations in inflation and interest rates can wield an influence on EasyJet's expenditures. For instance, elevated interest rates may escalate the expenses associated with borrowing for essential capital investments, like procuring new aircrafts. (The Strategy Story,2023)</w:t>
      </w:r>
    </w:p>
    <w:p w14:paraId="5A93052C" w14:textId="77777777" w:rsidR="006C6215" w:rsidRDefault="003C39B2">
      <w:pPr>
        <w:numPr>
          <w:ilvl w:val="0"/>
          <w:numId w:val="4"/>
        </w:numPr>
        <w:spacing w:line="360" w:lineRule="auto"/>
        <w:contextualSpacing/>
      </w:pPr>
      <w:r>
        <w:rPr>
          <w:rFonts w:ascii="Arial" w:hAnsi="Arial" w:cs="Arial"/>
          <w:b/>
          <w:bCs/>
        </w:rPr>
        <w:t>Consumer Trust and Financial Capability:</w:t>
      </w:r>
      <w:r>
        <w:rPr>
          <w:rFonts w:ascii="Arial" w:hAnsi="Arial" w:cs="Arial"/>
        </w:rPr>
        <w:t xml:space="preserve"> The economic well-being of consumers holds a direct bearing on the travel sector. In instances of strong consumer trust and a sense of fiscal stability, there is a heightened likelihood of expenditures on travel, thereby bolstering EasyJet. Conversely, when consumer confidence wanes, there is a potential decline in discretionary spending, potentially leading to reduced travel-related expenses. (The Strategy Story,2023)</w:t>
      </w:r>
    </w:p>
    <w:p w14:paraId="553A5C99" w14:textId="77777777" w:rsidR="006C6215" w:rsidRDefault="006C6215">
      <w:pPr>
        <w:spacing w:line="360" w:lineRule="auto"/>
        <w:rPr>
          <w:rFonts w:ascii="Arial" w:hAnsi="Arial" w:cs="Arial"/>
        </w:rPr>
      </w:pPr>
    </w:p>
    <w:p w14:paraId="3AFF3DD6" w14:textId="77777777" w:rsidR="006C6215" w:rsidRDefault="003C39B2">
      <w:pPr>
        <w:keepNext/>
        <w:keepLines/>
        <w:spacing w:before="40" w:after="0"/>
        <w:outlineLvl w:val="2"/>
        <w:rPr>
          <w:rFonts w:ascii="Arial" w:eastAsia="Times New Roman" w:hAnsi="Arial" w:cs="Arial"/>
          <w:color w:val="1F3763"/>
          <w:sz w:val="28"/>
          <w:szCs w:val="28"/>
        </w:rPr>
      </w:pPr>
      <w:bookmarkStart w:id="26" w:name="_Toc142604183"/>
      <w:bookmarkStart w:id="27" w:name="_Toc142851640"/>
      <w:r>
        <w:rPr>
          <w:rFonts w:ascii="Arial" w:eastAsia="Times New Roman" w:hAnsi="Arial" w:cs="Arial"/>
          <w:color w:val="1F3763"/>
          <w:sz w:val="28"/>
          <w:szCs w:val="28"/>
        </w:rPr>
        <w:t>SOCIAL</w:t>
      </w:r>
      <w:bookmarkEnd w:id="26"/>
      <w:bookmarkEnd w:id="27"/>
    </w:p>
    <w:p w14:paraId="6CF415ED" w14:textId="77777777" w:rsidR="006C6215" w:rsidRDefault="006C6215"/>
    <w:p w14:paraId="6AFA2778" w14:textId="77777777" w:rsidR="006C6215" w:rsidRDefault="003C39B2">
      <w:pPr>
        <w:numPr>
          <w:ilvl w:val="0"/>
          <w:numId w:val="5"/>
        </w:numPr>
        <w:spacing w:line="360" w:lineRule="auto"/>
        <w:contextualSpacing/>
      </w:pPr>
      <w:r>
        <w:rPr>
          <w:rFonts w:ascii="Arial" w:hAnsi="Arial" w:cs="Arial"/>
          <w:b/>
          <w:bCs/>
        </w:rPr>
        <w:t xml:space="preserve">Evolution of Travel Patterns: </w:t>
      </w:r>
      <w:r>
        <w:rPr>
          <w:rFonts w:ascii="Arial" w:hAnsi="Arial" w:cs="Arial"/>
        </w:rPr>
        <w:t>Alternations in sociocultural norms can have an impact on individuals’ travel behaviours. For instance, a heightened inclination towards eco-tourism or adventure-based travel could influence the array of destinations served by EasyJet. Likewise, the surging trend of remote work and digital nomadism may stimulate a surge in travel demand, as individuals are no longer constrained to a fixed work location. (The Strategy Story,2023)</w:t>
      </w:r>
    </w:p>
    <w:p w14:paraId="19C928E6" w14:textId="77777777" w:rsidR="006C6215" w:rsidRDefault="003C39B2">
      <w:pPr>
        <w:numPr>
          <w:ilvl w:val="0"/>
          <w:numId w:val="5"/>
        </w:numPr>
        <w:spacing w:line="360" w:lineRule="auto"/>
        <w:contextualSpacing/>
      </w:pPr>
      <w:r>
        <w:rPr>
          <w:rFonts w:ascii="Arial" w:hAnsi="Arial" w:cs="Arial"/>
          <w:b/>
          <w:bCs/>
        </w:rPr>
        <w:t>Demographic Changes:</w:t>
      </w:r>
      <w:r>
        <w:t xml:space="preserve"> </w:t>
      </w:r>
      <w:r>
        <w:rPr>
          <w:rFonts w:ascii="Arial" w:hAnsi="Arial" w:cs="Arial"/>
        </w:rPr>
        <w:t>Alternations in the age distribution, gender composition, income levels, and educational attainment of the population can also exert an influence on EasyJet. For instance, a progressively aging population could potentially elevate the requisition for destinations or services. (The Strategy Story,2023)</w:t>
      </w:r>
    </w:p>
    <w:p w14:paraId="5532AE3C" w14:textId="77777777" w:rsidR="006C6215" w:rsidRDefault="003C39B2">
      <w:pPr>
        <w:numPr>
          <w:ilvl w:val="0"/>
          <w:numId w:val="5"/>
        </w:numPr>
        <w:spacing w:line="360" w:lineRule="auto"/>
        <w:contextualSpacing/>
      </w:pPr>
      <w:r>
        <w:rPr>
          <w:rFonts w:ascii="Arial" w:hAnsi="Arial" w:cs="Arial"/>
          <w:b/>
          <w:bCs/>
        </w:rPr>
        <w:t xml:space="preserve">Cultural Variances: </w:t>
      </w:r>
      <w:r>
        <w:rPr>
          <w:rFonts w:ascii="Arial" w:hAnsi="Arial" w:cs="Arial"/>
        </w:rPr>
        <w:t>With operations spanning diverse nations, EasyJet must remain attuned to cultural distinctions. These dissimilarities can impact an array of aspects, ranging from marketing tactics to approaches in customer service. (The Strategy Story,2023)</w:t>
      </w:r>
    </w:p>
    <w:p w14:paraId="145313DC" w14:textId="77777777" w:rsidR="006C6215" w:rsidRDefault="003C39B2">
      <w:pPr>
        <w:numPr>
          <w:ilvl w:val="0"/>
          <w:numId w:val="5"/>
        </w:numPr>
        <w:spacing w:line="360" w:lineRule="auto"/>
        <w:contextualSpacing/>
      </w:pPr>
      <w:r>
        <w:rPr>
          <w:rFonts w:ascii="Arial" w:hAnsi="Arial" w:cs="Arial"/>
          <w:b/>
          <w:bCs/>
        </w:rPr>
        <w:t>Health and Wellbeing:</w:t>
      </w:r>
      <w:r>
        <w:t xml:space="preserve"> </w:t>
      </w:r>
      <w:r>
        <w:rPr>
          <w:rFonts w:ascii="Arial" w:hAnsi="Arial" w:cs="Arial"/>
        </w:rPr>
        <w:t xml:space="preserve">The escalating emphasis on health and wellbeing has the potential to influence the demand for travel, particularly in times of pandemics. Apprehensions about health-related perils linked to travel might contribute to a decline in the desire for air travel. </w:t>
      </w:r>
      <w:bookmarkStart w:id="28" w:name="_Hlk142603674"/>
      <w:r>
        <w:rPr>
          <w:rFonts w:ascii="Arial" w:hAnsi="Arial" w:cs="Arial"/>
        </w:rPr>
        <w:t>(The Strategy Story,2023)</w:t>
      </w:r>
      <w:bookmarkEnd w:id="28"/>
    </w:p>
    <w:p w14:paraId="522D8D27" w14:textId="77777777" w:rsidR="006C6215" w:rsidRDefault="003C39B2">
      <w:pPr>
        <w:numPr>
          <w:ilvl w:val="0"/>
          <w:numId w:val="5"/>
        </w:numPr>
        <w:spacing w:line="360" w:lineRule="auto"/>
        <w:contextualSpacing/>
      </w:pPr>
      <w:r>
        <w:rPr>
          <w:rFonts w:ascii="Arial" w:hAnsi="Arial" w:cs="Arial"/>
          <w:b/>
          <w:bCs/>
        </w:rPr>
        <w:t>Altered Consumer Conduct After the Pandemic:</w:t>
      </w:r>
      <w:r>
        <w:t xml:space="preserve"> </w:t>
      </w:r>
      <w:r>
        <w:rPr>
          <w:rFonts w:ascii="Arial" w:hAnsi="Arial" w:cs="Arial"/>
        </w:rPr>
        <w:t>The COVID-19 outbreak has precipitated noteworthy shifts in travel conduct. Even after the pandemic’s resolution, certain adjustments might endure, such as a predilection for destinations with lower population density or heightened vigilance regarding hygiene standards. (The Strategy Story,2023)</w:t>
      </w:r>
    </w:p>
    <w:p w14:paraId="388CEDC8" w14:textId="77777777" w:rsidR="006C6215" w:rsidRDefault="006C6215">
      <w:pPr>
        <w:spacing w:line="360" w:lineRule="auto"/>
      </w:pPr>
    </w:p>
    <w:p w14:paraId="118AD89E" w14:textId="77777777" w:rsidR="006C6215" w:rsidRDefault="006C6215">
      <w:pPr>
        <w:spacing w:line="360" w:lineRule="auto"/>
      </w:pPr>
    </w:p>
    <w:p w14:paraId="16A4D967" w14:textId="77777777" w:rsidR="006C6215" w:rsidRDefault="003C39B2">
      <w:pPr>
        <w:keepNext/>
        <w:keepLines/>
        <w:spacing w:before="40" w:after="0"/>
        <w:outlineLvl w:val="2"/>
        <w:rPr>
          <w:rFonts w:ascii="Arial" w:eastAsia="Times New Roman" w:hAnsi="Arial" w:cs="Arial"/>
          <w:color w:val="1F3763"/>
          <w:sz w:val="28"/>
          <w:szCs w:val="28"/>
        </w:rPr>
      </w:pPr>
      <w:bookmarkStart w:id="29" w:name="_Toc142604184"/>
      <w:bookmarkStart w:id="30" w:name="_Toc142851641"/>
      <w:r>
        <w:rPr>
          <w:rFonts w:ascii="Arial" w:eastAsia="Times New Roman" w:hAnsi="Arial" w:cs="Arial"/>
          <w:color w:val="1F3763"/>
          <w:sz w:val="28"/>
          <w:szCs w:val="28"/>
        </w:rPr>
        <w:t>TECHNOLOGICAL</w:t>
      </w:r>
      <w:bookmarkEnd w:id="29"/>
      <w:bookmarkEnd w:id="30"/>
    </w:p>
    <w:p w14:paraId="4D34FA24" w14:textId="77777777" w:rsidR="006C6215" w:rsidRDefault="006C6215"/>
    <w:p w14:paraId="046D19FD" w14:textId="77777777" w:rsidR="006C6215" w:rsidRDefault="003C39B2">
      <w:pPr>
        <w:numPr>
          <w:ilvl w:val="0"/>
          <w:numId w:val="6"/>
        </w:numPr>
        <w:spacing w:line="360" w:lineRule="auto"/>
        <w:contextualSpacing/>
      </w:pPr>
      <w:r>
        <w:rPr>
          <w:rFonts w:ascii="Arial" w:hAnsi="Arial" w:cs="Arial"/>
          <w:b/>
          <w:bCs/>
        </w:rPr>
        <w:t xml:space="preserve">Digital Reservation Platform and Electronic Commerce: </w:t>
      </w:r>
      <w:r>
        <w:rPr>
          <w:rFonts w:ascii="Arial" w:hAnsi="Arial" w:cs="Arial"/>
        </w:rPr>
        <w:t>The ascent of digital booking systems has brought about a transformative shift in the travel sector. Like numerous airlines, EasyJet employs an online reservation system that empowers customers to secure flights, conduct check-ins, and oversee their reservations. Any enhancements in this technology or shifts in customer utilization may potentially influence EasyJet. (The Strategy Story,2023)</w:t>
      </w:r>
    </w:p>
    <w:p w14:paraId="688AA964" w14:textId="77777777" w:rsidR="006C6215" w:rsidRDefault="003C39B2">
      <w:pPr>
        <w:numPr>
          <w:ilvl w:val="0"/>
          <w:numId w:val="6"/>
        </w:numPr>
        <w:spacing w:line="360" w:lineRule="auto"/>
        <w:contextualSpacing/>
      </w:pPr>
      <w:r>
        <w:rPr>
          <w:rFonts w:ascii="Arial" w:hAnsi="Arial" w:cs="Arial"/>
          <w:b/>
          <w:bCs/>
        </w:rPr>
        <w:t xml:space="preserve">In-Flight Amusement and Connectivity: </w:t>
      </w:r>
      <w:r>
        <w:rPr>
          <w:rFonts w:ascii="Arial" w:hAnsi="Arial" w:cs="Arial"/>
        </w:rPr>
        <w:t>Technological progressions have elevated anticipations concerning the range of in-flight entertainment and connectivity alternatives, although this pertains more to extended flights. As a budget-oriented airline, EasyJet must weigh the cost-effectiveness of adopting these technologies. (The Strategy Story,2023)</w:t>
      </w:r>
    </w:p>
    <w:p w14:paraId="2A916128" w14:textId="77777777" w:rsidR="006C6215" w:rsidRDefault="003C39B2">
      <w:pPr>
        <w:numPr>
          <w:ilvl w:val="0"/>
          <w:numId w:val="6"/>
        </w:numPr>
        <w:spacing w:line="360" w:lineRule="auto"/>
        <w:contextualSpacing/>
      </w:pPr>
      <w:r>
        <w:rPr>
          <w:rFonts w:ascii="Arial" w:hAnsi="Arial" w:cs="Arial"/>
          <w:b/>
          <w:bCs/>
        </w:rPr>
        <w:t>Aircraft Technology and Fuel-</w:t>
      </w:r>
      <w:r>
        <w:rPr>
          <w:rFonts w:ascii="Arial" w:eastAsia="DengXian Light" w:hAnsi="Arial" w:cs="Arial"/>
          <w:b/>
          <w:bCs/>
        </w:rPr>
        <w:t xml:space="preserve">Efficiency: </w:t>
      </w:r>
      <w:r>
        <w:rPr>
          <w:rFonts w:ascii="Arial" w:eastAsia="DengXian Light" w:hAnsi="Arial" w:cs="Arial"/>
        </w:rPr>
        <w:t xml:space="preserve">Technological advancements in aircraft construction and enhanced fuel efficiency can wield a substantial influence on the operational dynamics of EasyJet. Embracing aircraft with heightened fuel efficiency not only curtails expenses but also contributes to meeting environmental objectives. </w:t>
      </w:r>
      <w:r>
        <w:rPr>
          <w:rFonts w:ascii="Arial" w:hAnsi="Arial" w:cs="Arial"/>
        </w:rPr>
        <w:t>(The Strategy Story,2023)</w:t>
      </w:r>
    </w:p>
    <w:p w14:paraId="264910BA" w14:textId="77777777" w:rsidR="006C6215" w:rsidRDefault="006C6215">
      <w:pPr>
        <w:spacing w:line="360" w:lineRule="auto"/>
      </w:pPr>
    </w:p>
    <w:p w14:paraId="5C137733" w14:textId="77777777" w:rsidR="006C6215" w:rsidRDefault="003C39B2">
      <w:pPr>
        <w:keepNext/>
        <w:keepLines/>
        <w:spacing w:before="40" w:after="0"/>
        <w:outlineLvl w:val="2"/>
        <w:rPr>
          <w:rFonts w:ascii="Arial" w:eastAsia="Times New Roman" w:hAnsi="Arial" w:cs="Arial"/>
          <w:color w:val="1F3763"/>
          <w:sz w:val="28"/>
          <w:szCs w:val="28"/>
        </w:rPr>
      </w:pPr>
      <w:bookmarkStart w:id="31" w:name="_Toc142604185"/>
      <w:bookmarkStart w:id="32" w:name="_Toc142851642"/>
      <w:r>
        <w:rPr>
          <w:rFonts w:ascii="Arial" w:eastAsia="Times New Roman" w:hAnsi="Arial" w:cs="Arial"/>
          <w:color w:val="1F3763"/>
          <w:sz w:val="28"/>
          <w:szCs w:val="28"/>
        </w:rPr>
        <w:t>ENVIRONMENTAL</w:t>
      </w:r>
      <w:bookmarkEnd w:id="31"/>
      <w:bookmarkEnd w:id="32"/>
    </w:p>
    <w:p w14:paraId="71D0D23D" w14:textId="77777777" w:rsidR="006C6215" w:rsidRDefault="006C6215"/>
    <w:p w14:paraId="731E71E2" w14:textId="77777777" w:rsidR="006C6215" w:rsidRDefault="003C39B2">
      <w:pPr>
        <w:numPr>
          <w:ilvl w:val="0"/>
          <w:numId w:val="7"/>
        </w:numPr>
        <w:spacing w:line="360" w:lineRule="auto"/>
        <w:contextualSpacing/>
      </w:pPr>
      <w:r>
        <w:rPr>
          <w:rFonts w:ascii="Arial" w:hAnsi="Arial" w:cs="Arial"/>
          <w:b/>
          <w:bCs/>
        </w:rPr>
        <w:t xml:space="preserve">Climate Change: </w:t>
      </w:r>
      <w:r>
        <w:rPr>
          <w:rFonts w:ascii="Arial" w:hAnsi="Arial" w:cs="Arial"/>
        </w:rPr>
        <w:t>Changes in climate conditions can result in heightened and erratic weather patterns, thereby unsettling flight timetables and augmenting operational expenditures for EasyJet. Additionally, climate shifts have the potential to impact travel behaviours and the attractiveness of specific destinations. (The Strategy Story,2023)</w:t>
      </w:r>
    </w:p>
    <w:p w14:paraId="7203D187" w14:textId="77777777" w:rsidR="006C6215" w:rsidRDefault="003C39B2">
      <w:pPr>
        <w:numPr>
          <w:ilvl w:val="0"/>
          <w:numId w:val="7"/>
        </w:numPr>
        <w:spacing w:line="360" w:lineRule="auto"/>
        <w:contextualSpacing/>
      </w:pPr>
      <w:r>
        <w:rPr>
          <w:rFonts w:ascii="Arial" w:hAnsi="Arial" w:cs="Arial"/>
          <w:b/>
          <w:bCs/>
        </w:rPr>
        <w:t xml:space="preserve">Eco-Friendly Aviation Fuels: </w:t>
      </w:r>
      <w:r>
        <w:rPr>
          <w:rFonts w:ascii="Arial" w:hAnsi="Arial" w:cs="Arial"/>
        </w:rPr>
        <w:t>The surge in enthusiasm for sustainable aviation fuels aims to curtail the ecological repercussions of air travel. Although these fuels might entail higher costs compared to traditional jet fuel, their significance could escalate carbon emission regulations become more stringent. (The Strategy Story,2023)</w:t>
      </w:r>
    </w:p>
    <w:p w14:paraId="178A0D93" w14:textId="77777777" w:rsidR="006C6215" w:rsidRDefault="003C39B2">
      <w:pPr>
        <w:numPr>
          <w:ilvl w:val="0"/>
          <w:numId w:val="7"/>
        </w:numPr>
        <w:spacing w:line="360" w:lineRule="auto"/>
        <w:contextualSpacing/>
      </w:pPr>
      <w:r>
        <w:rPr>
          <w:rFonts w:ascii="Arial" w:hAnsi="Arial" w:cs="Arial"/>
          <w:b/>
          <w:bCs/>
        </w:rPr>
        <w:t>Waste Control:</w:t>
      </w:r>
      <w:r>
        <w:t xml:space="preserve"> </w:t>
      </w:r>
      <w:r>
        <w:rPr>
          <w:rFonts w:ascii="Arial" w:hAnsi="Arial" w:cs="Arial"/>
        </w:rPr>
        <w:t xml:space="preserve">Airlines produce substantial amounts of waste, encompassing food remnants and disposable items such as plastic utensils and cups. The airline industry </w:t>
      </w:r>
      <w:r>
        <w:rPr>
          <w:rFonts w:ascii="Arial" w:hAnsi="Arial" w:cs="Arial"/>
        </w:rPr>
        <w:lastRenderedPageBreak/>
        <w:t>is encountering mounting pressure to reduce waste generation and enhance recycling endeavours. (The Strategy Story,2023)</w:t>
      </w:r>
    </w:p>
    <w:p w14:paraId="263778AD" w14:textId="77777777" w:rsidR="006C6215" w:rsidRDefault="006C6215">
      <w:pPr>
        <w:spacing w:line="360" w:lineRule="auto"/>
        <w:rPr>
          <w:rFonts w:ascii="Arial" w:hAnsi="Arial" w:cs="Arial"/>
        </w:rPr>
      </w:pPr>
    </w:p>
    <w:p w14:paraId="391D4822" w14:textId="77777777" w:rsidR="006C6215" w:rsidRDefault="003C39B2">
      <w:pPr>
        <w:keepNext/>
        <w:keepLines/>
        <w:spacing w:before="40" w:after="0"/>
        <w:outlineLvl w:val="2"/>
        <w:rPr>
          <w:rFonts w:ascii="Arial" w:eastAsia="Times New Roman" w:hAnsi="Arial" w:cs="Arial"/>
          <w:color w:val="1F3763"/>
          <w:sz w:val="28"/>
          <w:szCs w:val="28"/>
        </w:rPr>
      </w:pPr>
      <w:bookmarkStart w:id="33" w:name="_Toc142604186"/>
      <w:bookmarkStart w:id="34" w:name="_Toc142851643"/>
      <w:r>
        <w:rPr>
          <w:rFonts w:ascii="Arial" w:eastAsia="Times New Roman" w:hAnsi="Arial" w:cs="Arial"/>
          <w:color w:val="1F3763"/>
          <w:sz w:val="28"/>
          <w:szCs w:val="28"/>
        </w:rPr>
        <w:t>LEGAL</w:t>
      </w:r>
      <w:bookmarkEnd w:id="33"/>
      <w:bookmarkEnd w:id="34"/>
      <w:r>
        <w:rPr>
          <w:rFonts w:ascii="Arial" w:eastAsia="Times New Roman" w:hAnsi="Arial" w:cs="Arial"/>
          <w:color w:val="1F3763"/>
          <w:sz w:val="28"/>
          <w:szCs w:val="28"/>
        </w:rPr>
        <w:t xml:space="preserve"> </w:t>
      </w:r>
    </w:p>
    <w:p w14:paraId="33651E8A" w14:textId="77777777" w:rsidR="006C6215" w:rsidRDefault="006C6215"/>
    <w:p w14:paraId="495153F9" w14:textId="77777777" w:rsidR="006C6215" w:rsidRDefault="003C39B2">
      <w:pPr>
        <w:numPr>
          <w:ilvl w:val="0"/>
          <w:numId w:val="8"/>
        </w:numPr>
        <w:spacing w:line="360" w:lineRule="auto"/>
        <w:contextualSpacing/>
      </w:pPr>
      <w:r>
        <w:rPr>
          <w:rFonts w:ascii="Arial" w:hAnsi="Arial" w:cs="Arial"/>
          <w:b/>
          <w:bCs/>
        </w:rPr>
        <w:t xml:space="preserve">Air Travel Regulations: </w:t>
      </w:r>
      <w:r>
        <w:rPr>
          <w:rFonts w:ascii="Arial" w:hAnsi="Arial" w:cs="Arial"/>
        </w:rPr>
        <w:t>EasyJet is subject to a range of aviation-specific regulations as an airline. These include safety standards, flight regulations, and issues like overbooking and passenger compensation for delayed or cancelled flights. Changes in these regulations can significantly impact EasyJet’s operations and costs. (The Strategy Story,2023)</w:t>
      </w:r>
    </w:p>
    <w:p w14:paraId="500F4801" w14:textId="77777777" w:rsidR="006C6215" w:rsidRDefault="003C39B2">
      <w:pPr>
        <w:numPr>
          <w:ilvl w:val="0"/>
          <w:numId w:val="8"/>
        </w:numPr>
        <w:spacing w:line="360" w:lineRule="auto"/>
        <w:contextualSpacing/>
      </w:pPr>
      <w:r>
        <w:rPr>
          <w:rFonts w:ascii="Arial" w:hAnsi="Arial" w:cs="Arial"/>
          <w:b/>
          <w:bCs/>
        </w:rPr>
        <w:t xml:space="preserve">Data Protection and Privacy Regulations: </w:t>
      </w:r>
      <w:r>
        <w:rPr>
          <w:rFonts w:ascii="Arial" w:hAnsi="Arial" w:cs="Arial"/>
        </w:rPr>
        <w:t>Given the expanding reliance on digital technologies like online booking systems, the significance of data protection and privacy laws is on the rise. EasyJet is obliged to adhere to mandates such as the European Union’s General Data Protection Regulation (GDPR). (The Strategy Story,2023)</w:t>
      </w:r>
    </w:p>
    <w:p w14:paraId="754A3251" w14:textId="77777777" w:rsidR="006C6215" w:rsidRDefault="003C39B2">
      <w:pPr>
        <w:numPr>
          <w:ilvl w:val="0"/>
          <w:numId w:val="8"/>
        </w:numPr>
        <w:spacing w:line="360" w:lineRule="auto"/>
        <w:contextualSpacing/>
      </w:pPr>
      <w:r>
        <w:rPr>
          <w:rFonts w:ascii="Arial" w:hAnsi="Arial" w:cs="Arial"/>
          <w:b/>
          <w:bCs/>
        </w:rPr>
        <w:t>Safety and Health Regulations:</w:t>
      </w:r>
      <w:r>
        <w:t xml:space="preserve"> </w:t>
      </w:r>
      <w:r>
        <w:rPr>
          <w:rFonts w:ascii="Arial" w:hAnsi="Arial" w:cs="Arial"/>
        </w:rPr>
        <w:t>Airlines are held to rigorous safety and health protocols to guarantee the well-being of both passengers and crew. These mandates encompass a variety of domains, ranging from aircraft upkeep to onboard safety protocols. (The Strategy Story,2023)</w:t>
      </w:r>
    </w:p>
    <w:p w14:paraId="3A79331B" w14:textId="77777777" w:rsidR="006C6215" w:rsidRDefault="006C6215">
      <w:pPr>
        <w:spacing w:line="360" w:lineRule="auto"/>
      </w:pPr>
    </w:p>
    <w:p w14:paraId="56AA5904" w14:textId="77777777" w:rsidR="006C6215" w:rsidRDefault="006C6215">
      <w:pPr>
        <w:spacing w:line="360" w:lineRule="auto"/>
      </w:pPr>
    </w:p>
    <w:p w14:paraId="6025CFDC" w14:textId="77777777" w:rsidR="006C6215" w:rsidRDefault="003C39B2">
      <w:pPr>
        <w:keepNext/>
        <w:keepLines/>
        <w:spacing w:before="240" w:after="0"/>
        <w:outlineLvl w:val="0"/>
        <w:rPr>
          <w:rFonts w:ascii="Arial" w:eastAsia="Times New Roman" w:hAnsi="Arial" w:cs="Arial"/>
          <w:color w:val="2F5496"/>
          <w:sz w:val="36"/>
          <w:szCs w:val="36"/>
        </w:rPr>
      </w:pPr>
      <w:bookmarkStart w:id="35" w:name="_Toc142604187"/>
      <w:bookmarkStart w:id="36" w:name="_Toc142851644"/>
      <w:r>
        <w:rPr>
          <w:rFonts w:ascii="Arial" w:eastAsia="Times New Roman" w:hAnsi="Arial" w:cs="Arial"/>
          <w:color w:val="2F5496"/>
          <w:sz w:val="36"/>
          <w:szCs w:val="36"/>
        </w:rPr>
        <w:t>Porter’s Five Forces</w:t>
      </w:r>
      <w:bookmarkEnd w:id="35"/>
      <w:bookmarkEnd w:id="36"/>
    </w:p>
    <w:p w14:paraId="25A409DC" w14:textId="77777777" w:rsidR="006C6215" w:rsidRDefault="006C6215"/>
    <w:p w14:paraId="211AF5B8" w14:textId="77777777" w:rsidR="006C6215" w:rsidRDefault="003C39B2">
      <w:pPr>
        <w:keepNext/>
        <w:keepLines/>
        <w:spacing w:before="40" w:after="0"/>
        <w:outlineLvl w:val="2"/>
        <w:rPr>
          <w:rFonts w:ascii="Arial" w:eastAsia="Times New Roman" w:hAnsi="Arial" w:cs="Arial"/>
          <w:color w:val="1F3763"/>
          <w:sz w:val="24"/>
          <w:szCs w:val="24"/>
        </w:rPr>
      </w:pPr>
      <w:bookmarkStart w:id="37" w:name="_Toc142604188"/>
      <w:bookmarkStart w:id="38" w:name="_Toc142851645"/>
      <w:r>
        <w:rPr>
          <w:rFonts w:ascii="Arial" w:eastAsia="Times New Roman" w:hAnsi="Arial" w:cs="Arial"/>
          <w:color w:val="1F3763"/>
          <w:sz w:val="24"/>
          <w:szCs w:val="24"/>
        </w:rPr>
        <w:t>Definition</w:t>
      </w:r>
      <w:bookmarkEnd w:id="37"/>
      <w:bookmarkEnd w:id="38"/>
    </w:p>
    <w:p w14:paraId="2251618C" w14:textId="77777777" w:rsidR="006C6215" w:rsidRDefault="006C6215">
      <w:pPr>
        <w:spacing w:line="360" w:lineRule="auto"/>
      </w:pPr>
    </w:p>
    <w:p w14:paraId="2717F933" w14:textId="77777777" w:rsidR="006C6215" w:rsidRDefault="003C39B2">
      <w:pPr>
        <w:spacing w:line="360" w:lineRule="auto"/>
        <w:rPr>
          <w:rFonts w:ascii="Arial" w:hAnsi="Arial" w:cs="Arial"/>
        </w:rPr>
      </w:pPr>
      <w:r>
        <w:rPr>
          <w:rFonts w:ascii="Arial" w:hAnsi="Arial" w:cs="Arial"/>
        </w:rPr>
        <w:t xml:space="preserve">Michael Porter’s model of competitive advantage, known as the five frameworks, offers a compelling perspective on how a company can attain a competitive edge within a specific industry. </w:t>
      </w:r>
      <w:bookmarkStart w:id="39" w:name="_Hlk142609788"/>
      <w:r>
        <w:rPr>
          <w:rFonts w:ascii="Arial" w:hAnsi="Arial" w:cs="Arial"/>
        </w:rPr>
        <w:t xml:space="preserve">(Goyal,2020) </w:t>
      </w:r>
      <w:bookmarkEnd w:id="39"/>
      <w:r>
        <w:rPr>
          <w:rFonts w:ascii="Arial" w:hAnsi="Arial" w:cs="Arial"/>
        </w:rPr>
        <w:t>By utilizing five crucial industry forces, this contemporary theory of competitive advantage has gained widespread recognition and acceptance. However, it is not exempt from its share of limitations. (Goyal,2020) The five forces enclose factors that hold the potential to influence a firm’s positioning within a given industry. These forces consist of the Bargaining Power of Buyers, the Bargaining Power of Sellers, the Threat of Substitutes, the Threat of New Entrants, and the Threat of Existing Competition. (Goyal,2020)</w:t>
      </w:r>
    </w:p>
    <w:p w14:paraId="5DBFDBFD" w14:textId="77777777" w:rsidR="006C6215" w:rsidRDefault="006C6215">
      <w:pPr>
        <w:spacing w:line="360" w:lineRule="auto"/>
        <w:rPr>
          <w:rFonts w:ascii="Arial" w:hAnsi="Arial" w:cs="Arial"/>
        </w:rPr>
      </w:pPr>
    </w:p>
    <w:p w14:paraId="2467572C" w14:textId="77777777" w:rsidR="006C6215" w:rsidRDefault="003C39B2">
      <w:pPr>
        <w:spacing w:after="0" w:line="240" w:lineRule="auto"/>
        <w:contextualSpacing/>
        <w:jc w:val="center"/>
        <w:rPr>
          <w:rFonts w:ascii="Arial" w:eastAsia="Times New Roman" w:hAnsi="Arial" w:cs="Arial"/>
          <w:spacing w:val="-10"/>
          <w:sz w:val="40"/>
          <w:szCs w:val="40"/>
        </w:rPr>
      </w:pPr>
      <w:r>
        <w:rPr>
          <w:rFonts w:ascii="Arial" w:eastAsia="Times New Roman" w:hAnsi="Arial" w:cs="Arial"/>
          <w:spacing w:val="-10"/>
          <w:sz w:val="40"/>
          <w:szCs w:val="40"/>
        </w:rPr>
        <w:t>Porter’s Five Forces for EasyJet</w:t>
      </w:r>
    </w:p>
    <w:p w14:paraId="2B87F9CB" w14:textId="77777777" w:rsidR="006C6215" w:rsidRDefault="006C6215"/>
    <w:p w14:paraId="1A86AD2D" w14:textId="77777777" w:rsidR="006C6215" w:rsidRDefault="006C6215">
      <w:pPr>
        <w:spacing w:line="360" w:lineRule="auto"/>
        <w:rPr>
          <w:rFonts w:ascii="Arial" w:hAnsi="Arial" w:cs="Arial"/>
          <w:sz w:val="28"/>
          <w:szCs w:val="28"/>
        </w:rPr>
      </w:pPr>
    </w:p>
    <w:p w14:paraId="3BAE5550" w14:textId="77777777" w:rsidR="006C6215" w:rsidRDefault="003C39B2">
      <w:pPr>
        <w:spacing w:line="360" w:lineRule="auto"/>
      </w:pPr>
      <w:r>
        <w:rPr>
          <w:rFonts w:ascii="Arial" w:hAnsi="Arial" w:cs="Arial"/>
          <w:sz w:val="28"/>
          <w:szCs w:val="28"/>
        </w:rPr>
        <w:t xml:space="preserve">Threats of New Entrants: </w:t>
      </w:r>
      <w:r>
        <w:rPr>
          <w:rFonts w:ascii="Arial" w:hAnsi="Arial" w:cs="Arial"/>
        </w:rPr>
        <w:t xml:space="preserve">The aviation sector presents considerable obstacles for new entrants due to substantial capital demands, regulatory challenges, and the well-established reputation of current participants. Nevertheless, low-cost airlines like EasyJet might encounter competition from emerging players aiming to secure a portion of the market. </w:t>
      </w:r>
      <w:bookmarkStart w:id="40" w:name="_Hlk142836243"/>
      <w:r>
        <w:rPr>
          <w:rFonts w:ascii="Arial" w:hAnsi="Arial" w:cs="Arial"/>
        </w:rPr>
        <w:t>(Vali,2017)</w:t>
      </w:r>
      <w:bookmarkEnd w:id="40"/>
    </w:p>
    <w:p w14:paraId="2A0BC038" w14:textId="77777777" w:rsidR="006C6215" w:rsidRDefault="003C39B2">
      <w:pPr>
        <w:spacing w:line="360" w:lineRule="auto"/>
      </w:pPr>
      <w:r>
        <w:rPr>
          <w:rFonts w:ascii="Arial" w:hAnsi="Arial" w:cs="Arial"/>
          <w:sz w:val="28"/>
          <w:szCs w:val="28"/>
        </w:rPr>
        <w:t xml:space="preserve">Bargaining Power of Suppliers: </w:t>
      </w:r>
      <w:r>
        <w:rPr>
          <w:rFonts w:ascii="Arial" w:hAnsi="Arial" w:cs="Arial"/>
        </w:rPr>
        <w:t>Suppliers within the aviation sector, including aircraft procedures and fuel suppliers, posses a degree of influence in negotiations due to their restricted quantity and specialized role. This influence can impact expenses, although EasyJet’s extensive fleet size could potentially offer some advantageous bargaining position. (Vali,2017)</w:t>
      </w:r>
    </w:p>
    <w:p w14:paraId="1FD9FC3D" w14:textId="77777777" w:rsidR="006C6215" w:rsidRDefault="003C39B2">
      <w:pPr>
        <w:spacing w:line="360" w:lineRule="auto"/>
      </w:pPr>
      <w:r>
        <w:rPr>
          <w:rFonts w:ascii="Arial" w:hAnsi="Arial" w:cs="Arial"/>
          <w:sz w:val="28"/>
          <w:szCs w:val="28"/>
        </w:rPr>
        <w:t xml:space="preserve">Bargaining Power of Buyers: </w:t>
      </w:r>
      <w:r>
        <w:rPr>
          <w:rFonts w:ascii="Arial" w:hAnsi="Arial" w:cs="Arial"/>
        </w:rPr>
        <w:t>Passengers maintain a moderate degree of leverage as they can choose from various airline alternatives. EasyJet’s emphasis on economical travel could heighten their responsiveness to price adjustments, potentially enhancing the influence of buyers. (Vali,2017)</w:t>
      </w:r>
    </w:p>
    <w:p w14:paraId="08AE661D" w14:textId="77777777" w:rsidR="006C6215" w:rsidRDefault="003C39B2">
      <w:pPr>
        <w:spacing w:line="360" w:lineRule="auto"/>
      </w:pPr>
      <w:r>
        <w:rPr>
          <w:rStyle w:val="Strong"/>
          <w:rFonts w:ascii="Arial" w:hAnsi="Arial" w:cs="Arial"/>
          <w:b w:val="0"/>
          <w:bCs w:val="0"/>
          <w:sz w:val="28"/>
          <w:szCs w:val="28"/>
        </w:rPr>
        <w:t xml:space="preserve">Threats of Substitutes Products and Services: </w:t>
      </w:r>
      <w:r>
        <w:rPr>
          <w:rStyle w:val="Strong"/>
          <w:rFonts w:ascii="Arial" w:hAnsi="Arial" w:cs="Arial"/>
          <w:b w:val="0"/>
          <w:bCs w:val="0"/>
        </w:rPr>
        <w:t xml:space="preserve">The threat of substitute products or services in the airline industry revolves around the possibility of customers opting for alternatives to air travel. In the case of short-haul flights, such as those within a relatively close geographical distance, there exists a moderate threat form substitutes like trains and buses. These modes of transportation provide viable alternatives, especially when considering factors like convenience, cost, and environmental concerns. </w:t>
      </w:r>
      <w:r>
        <w:rPr>
          <w:rFonts w:ascii="Arial" w:hAnsi="Arial" w:cs="Arial"/>
        </w:rPr>
        <w:t>(Vali,2017)</w:t>
      </w:r>
    </w:p>
    <w:p w14:paraId="2590119F" w14:textId="77777777" w:rsidR="006C6215" w:rsidRDefault="003C39B2">
      <w:pPr>
        <w:spacing w:line="360" w:lineRule="auto"/>
      </w:pPr>
      <w:r>
        <w:rPr>
          <w:rStyle w:val="Strong"/>
          <w:rFonts w:ascii="Arial" w:hAnsi="Arial" w:cs="Arial"/>
          <w:b w:val="0"/>
          <w:bCs w:val="0"/>
          <w:sz w:val="28"/>
          <w:szCs w:val="28"/>
        </w:rPr>
        <w:t xml:space="preserve">Intensity of Competitive Rivalry: </w:t>
      </w:r>
      <w:r>
        <w:rPr>
          <w:rStyle w:val="Strong"/>
          <w:rFonts w:ascii="Arial" w:hAnsi="Arial" w:cs="Arial"/>
          <w:b w:val="0"/>
          <w:bCs w:val="0"/>
        </w:rPr>
        <w:t>The aviation industry experiences intense competition, and EasyJet engages in rivalry with both budget airlines and conventional carriers. Heightened competition driven by pricing battles and the expansion of capacities can result in fierce competition, affecting the company’s profitability.</w:t>
      </w:r>
      <w:r>
        <w:rPr>
          <w:rFonts w:ascii="Arial" w:hAnsi="Arial" w:cs="Arial"/>
        </w:rPr>
        <w:t xml:space="preserve"> (Vali,2017)</w:t>
      </w:r>
    </w:p>
    <w:p w14:paraId="2300C540" w14:textId="77777777" w:rsidR="006C6215" w:rsidRDefault="006C6215">
      <w:pPr>
        <w:spacing w:line="360" w:lineRule="auto"/>
        <w:rPr>
          <w:rFonts w:ascii="Arial" w:hAnsi="Arial" w:cs="Arial"/>
        </w:rPr>
      </w:pPr>
    </w:p>
    <w:p w14:paraId="6F9BDC79" w14:textId="77777777" w:rsidR="006C6215" w:rsidRDefault="003C39B2">
      <w:pPr>
        <w:pStyle w:val="Heading1"/>
      </w:pPr>
      <w:bookmarkStart w:id="41" w:name="_Toc142851646"/>
      <w:r>
        <w:rPr>
          <w:rStyle w:val="Strong"/>
          <w:rFonts w:ascii="Arial" w:hAnsi="Arial" w:cs="Arial"/>
          <w:b w:val="0"/>
          <w:bCs w:val="0"/>
        </w:rPr>
        <w:t>Ethical Approaches and Dilemmas of EasyJet</w:t>
      </w:r>
      <w:bookmarkEnd w:id="41"/>
    </w:p>
    <w:p w14:paraId="4965FEF3" w14:textId="77777777" w:rsidR="006C6215" w:rsidRDefault="006C6215">
      <w:pPr>
        <w:spacing w:line="360" w:lineRule="auto"/>
      </w:pPr>
    </w:p>
    <w:p w14:paraId="68F286D1" w14:textId="77777777" w:rsidR="006C6215" w:rsidRDefault="003C39B2">
      <w:pPr>
        <w:pStyle w:val="ListParagraph"/>
        <w:numPr>
          <w:ilvl w:val="0"/>
          <w:numId w:val="9"/>
        </w:numPr>
        <w:spacing w:line="360" w:lineRule="auto"/>
      </w:pPr>
      <w:r>
        <w:rPr>
          <w:rStyle w:val="Strong"/>
          <w:rFonts w:ascii="Arial" w:hAnsi="Arial" w:cs="Arial"/>
          <w:b w:val="0"/>
          <w:bCs w:val="0"/>
        </w:rPr>
        <w:lastRenderedPageBreak/>
        <w:t xml:space="preserve">Safety is a fundamental ethical value at EasyJet, with strong emphasis on safeguarding the well-being of both passengers and employees. (Code of business ethics, n.d.) </w:t>
      </w:r>
    </w:p>
    <w:p w14:paraId="3B2AF843" w14:textId="77777777" w:rsidR="006C6215" w:rsidRDefault="003C39B2">
      <w:pPr>
        <w:pStyle w:val="ListParagraph"/>
        <w:numPr>
          <w:ilvl w:val="0"/>
          <w:numId w:val="9"/>
        </w:numPr>
        <w:spacing w:line="360" w:lineRule="auto"/>
      </w:pPr>
      <w:r>
        <w:rPr>
          <w:rStyle w:val="Strong"/>
          <w:rFonts w:ascii="Arial" w:hAnsi="Arial" w:cs="Arial"/>
          <w:b w:val="0"/>
          <w:bCs w:val="0"/>
        </w:rPr>
        <w:t>The company demonstrates a resolute commitment to sustainability by implementing strategies such as carbon offsetting, adopting more fuel-efficient airplanes, and embracing eco-friendly practices to minimize its environmental impact. (Code of business ethics, n.d.)</w:t>
      </w:r>
    </w:p>
    <w:p w14:paraId="7A82F13C" w14:textId="77777777" w:rsidR="006C6215" w:rsidRDefault="003C39B2">
      <w:pPr>
        <w:pStyle w:val="ListParagraph"/>
        <w:numPr>
          <w:ilvl w:val="0"/>
          <w:numId w:val="9"/>
        </w:numPr>
        <w:spacing w:line="360" w:lineRule="auto"/>
      </w:pPr>
      <w:r>
        <w:rPr>
          <w:rStyle w:val="Strong"/>
          <w:rFonts w:ascii="Arial" w:hAnsi="Arial" w:cs="Arial"/>
          <w:b w:val="0"/>
          <w:bCs w:val="0"/>
        </w:rPr>
        <w:t>Diversity and inclusivity are actively promoted within EasyJet’s workforce, ensuring that everyone, regardless of gender, ethnicity, or background, is provided with equal opportunities. (Code of business ethics, n.d.)</w:t>
      </w:r>
    </w:p>
    <w:p w14:paraId="0C6D9545" w14:textId="77777777" w:rsidR="006C6215" w:rsidRDefault="003C39B2">
      <w:pPr>
        <w:pStyle w:val="ListParagraph"/>
        <w:numPr>
          <w:ilvl w:val="0"/>
          <w:numId w:val="9"/>
        </w:numPr>
        <w:spacing w:line="360" w:lineRule="auto"/>
      </w:pPr>
      <w:r>
        <w:rPr>
          <w:rStyle w:val="Strong"/>
          <w:rFonts w:ascii="Arial" w:hAnsi="Arial" w:cs="Arial"/>
          <w:b w:val="0"/>
          <w:bCs w:val="0"/>
        </w:rPr>
        <w:t>EasyJet places a significant emphasis on upholding ethical standards while delivering a positive customer experience, which includes transparent pricing and equitable treatment of passengers. (Code of business ethics, n.d.)</w:t>
      </w:r>
    </w:p>
    <w:p w14:paraId="63041EF4" w14:textId="77777777" w:rsidR="006C6215" w:rsidRDefault="003C39B2">
      <w:pPr>
        <w:pStyle w:val="ListParagraph"/>
        <w:numPr>
          <w:ilvl w:val="0"/>
          <w:numId w:val="9"/>
        </w:numPr>
        <w:spacing w:line="360" w:lineRule="auto"/>
      </w:pPr>
      <w:r>
        <w:rPr>
          <w:rStyle w:val="Strong"/>
          <w:rFonts w:ascii="Arial" w:hAnsi="Arial" w:cs="Arial"/>
          <w:b w:val="0"/>
          <w:bCs w:val="0"/>
        </w:rPr>
        <w:t>The airline actively participates in community engagement through outreach initiatives and charitable endeavours, displaying a dedication to social causes and providing support to local communities. (Code of business ethics, n.d.)</w:t>
      </w:r>
    </w:p>
    <w:p w14:paraId="30245AE5" w14:textId="77777777" w:rsidR="006C6215" w:rsidRDefault="006C6215">
      <w:pPr>
        <w:spacing w:line="360" w:lineRule="auto"/>
      </w:pPr>
    </w:p>
    <w:p w14:paraId="7DBFDE60" w14:textId="77777777" w:rsidR="006C6215" w:rsidRDefault="006C6215">
      <w:pPr>
        <w:spacing w:line="360" w:lineRule="auto"/>
      </w:pPr>
    </w:p>
    <w:p w14:paraId="44C30B40" w14:textId="77777777" w:rsidR="006C6215" w:rsidRDefault="006C6215">
      <w:pPr>
        <w:spacing w:line="360" w:lineRule="auto"/>
      </w:pPr>
    </w:p>
    <w:p w14:paraId="09937231" w14:textId="77777777" w:rsidR="006C6215" w:rsidRDefault="003C39B2">
      <w:pPr>
        <w:pStyle w:val="Heading1"/>
      </w:pPr>
      <w:bookmarkStart w:id="42" w:name="_Toc142851647"/>
      <w:r>
        <w:rPr>
          <w:rStyle w:val="Strong"/>
          <w:rFonts w:ascii="Arial" w:hAnsi="Arial" w:cs="Arial"/>
          <w:b w:val="0"/>
          <w:bCs w:val="0"/>
        </w:rPr>
        <w:t>Recommendations</w:t>
      </w:r>
      <w:bookmarkEnd w:id="42"/>
    </w:p>
    <w:p w14:paraId="78907067" w14:textId="77777777" w:rsidR="006C6215" w:rsidRDefault="006C6215"/>
    <w:p w14:paraId="58351EDF" w14:textId="77777777" w:rsidR="006C6215" w:rsidRDefault="003C39B2">
      <w:pPr>
        <w:spacing w:line="360" w:lineRule="auto"/>
        <w:rPr>
          <w:rFonts w:ascii="Arial" w:hAnsi="Arial" w:cs="Arial"/>
        </w:rPr>
      </w:pPr>
      <w:r>
        <w:rPr>
          <w:rFonts w:ascii="Arial" w:hAnsi="Arial" w:cs="Arial"/>
        </w:rPr>
        <w:t>The recommendations that I can give for EasyJet airline company is to create throughout ethics committee to analyse and manage potential issues, ensuring ongoing commitment to ethical standards. Enhance employee training in ethical decision making and foster a culture of open reporting and addressing ethical matters. To increase the transparency in communicating ethical efforts and achievements to passengers and stakeholders, ultimately bolstering the company’s reputation. Another recommendation that I could give is about the Logo of the company. Considering simplifying the logo design to ensure it is clean, modern, and easily recognizable. Streamlining the elements can create a stronger visual impact.</w:t>
      </w:r>
    </w:p>
    <w:p w14:paraId="08EE29CE" w14:textId="77777777" w:rsidR="006C6215" w:rsidRDefault="006C6215">
      <w:pPr>
        <w:spacing w:line="360" w:lineRule="auto"/>
        <w:rPr>
          <w:rFonts w:ascii="Arial" w:hAnsi="Arial" w:cs="Arial"/>
        </w:rPr>
      </w:pPr>
    </w:p>
    <w:p w14:paraId="33C680AE" w14:textId="77777777" w:rsidR="006C6215" w:rsidRDefault="006C6215">
      <w:pPr>
        <w:spacing w:line="360" w:lineRule="auto"/>
        <w:rPr>
          <w:rFonts w:ascii="Arial" w:hAnsi="Arial" w:cs="Arial"/>
        </w:rPr>
      </w:pPr>
    </w:p>
    <w:p w14:paraId="61435991" w14:textId="77777777" w:rsidR="006C6215" w:rsidRDefault="006C6215">
      <w:pPr>
        <w:pStyle w:val="Heading1"/>
        <w:rPr>
          <w:rFonts w:ascii="Arial" w:hAnsi="Arial" w:cs="Arial"/>
        </w:rPr>
      </w:pPr>
    </w:p>
    <w:p w14:paraId="6FCFFF04" w14:textId="77777777" w:rsidR="006C6215" w:rsidRDefault="003C39B2">
      <w:pPr>
        <w:pStyle w:val="Heading1"/>
        <w:rPr>
          <w:rFonts w:ascii="Arial" w:hAnsi="Arial" w:cs="Arial"/>
        </w:rPr>
      </w:pPr>
      <w:bookmarkStart w:id="43" w:name="_Toc142851648"/>
      <w:r>
        <w:rPr>
          <w:rFonts w:ascii="Arial" w:hAnsi="Arial" w:cs="Arial"/>
        </w:rPr>
        <w:t>Conclusion</w:t>
      </w:r>
      <w:bookmarkEnd w:id="43"/>
    </w:p>
    <w:p w14:paraId="19773983" w14:textId="77777777" w:rsidR="006C6215" w:rsidRDefault="006C6215"/>
    <w:p w14:paraId="0DE61037" w14:textId="77777777" w:rsidR="006C6215" w:rsidRDefault="003C39B2">
      <w:pPr>
        <w:spacing w:line="360" w:lineRule="auto"/>
        <w:rPr>
          <w:rFonts w:ascii="Arial" w:hAnsi="Arial" w:cs="Arial"/>
        </w:rPr>
      </w:pPr>
      <w:r>
        <w:rPr>
          <w:rFonts w:ascii="Arial" w:hAnsi="Arial" w:cs="Arial"/>
        </w:rPr>
        <w:t xml:space="preserve">In conclusion, this analysis sheds light on EasyJet’s operations, employing models like the McKenzie 7s, PESTEL, and Porter’s Five Forces to reveal how internal and external factors interact. By exploring ethical practices and offering recommendations for transparent communication, structural improvement, and technological adaption, EasyJet can progress. Strengthening community ties, supplier relations, and ethical choices enhances its responsible image. Adapting to change, predicting trends, and refining strategies are vital for success in the competitive aviation landscape. These insights guide EasyJet’s sustainable growth, economic changes, and evolving expectations. </w:t>
      </w:r>
    </w:p>
    <w:p w14:paraId="4E08B53E" w14:textId="77777777" w:rsidR="006C6215" w:rsidRDefault="006C6215"/>
    <w:p w14:paraId="3F1DEC42" w14:textId="77777777" w:rsidR="006C6215" w:rsidRDefault="006C6215"/>
    <w:p w14:paraId="79FD668E" w14:textId="77777777" w:rsidR="006C6215" w:rsidRDefault="003C39B2">
      <w:pPr>
        <w:pStyle w:val="Heading1"/>
        <w:rPr>
          <w:rFonts w:ascii="Arial" w:hAnsi="Arial" w:cs="Arial"/>
        </w:rPr>
      </w:pPr>
      <w:bookmarkStart w:id="44" w:name="_Toc142851649"/>
      <w:r>
        <w:rPr>
          <w:rFonts w:ascii="Arial" w:hAnsi="Arial" w:cs="Arial"/>
        </w:rPr>
        <w:t>References</w:t>
      </w:r>
      <w:bookmarkEnd w:id="44"/>
      <w:r>
        <w:rPr>
          <w:rFonts w:ascii="Arial" w:hAnsi="Arial" w:cs="Arial"/>
        </w:rPr>
        <w:t xml:space="preserve"> </w:t>
      </w:r>
    </w:p>
    <w:p w14:paraId="095459D7" w14:textId="77777777" w:rsidR="006C6215" w:rsidRDefault="006C6215"/>
    <w:p w14:paraId="04073126" w14:textId="77777777" w:rsidR="006C6215" w:rsidRDefault="003C39B2">
      <w:pPr>
        <w:spacing w:after="0" w:line="360" w:lineRule="atLeast"/>
      </w:pPr>
      <w:r>
        <w:rPr>
          <w:rFonts w:eastAsia="Times New Roman" w:cs="Calibri"/>
          <w:color w:val="000000"/>
          <w:kern w:val="0"/>
          <w:sz w:val="27"/>
          <w:szCs w:val="27"/>
          <w:lang w:eastAsia="en-GB"/>
        </w:rPr>
        <w:t xml:space="preserve">EasyJet (n.d.) </w:t>
      </w:r>
      <w:r>
        <w:rPr>
          <w:rFonts w:eastAsia="Times New Roman" w:cs="Calibri"/>
          <w:i/>
          <w:iCs/>
          <w:color w:val="000000"/>
          <w:kern w:val="0"/>
          <w:sz w:val="27"/>
          <w:szCs w:val="27"/>
          <w:lang w:eastAsia="en-GB"/>
        </w:rPr>
        <w:t>Code of business ethics</w:t>
      </w:r>
      <w:r>
        <w:rPr>
          <w:rFonts w:eastAsia="Times New Roman" w:cs="Calibri"/>
          <w:color w:val="000000"/>
          <w:kern w:val="0"/>
          <w:sz w:val="27"/>
          <w:szCs w:val="27"/>
          <w:lang w:eastAsia="en-GB"/>
        </w:rPr>
        <w:t xml:space="preserve">. Available at: </w:t>
      </w:r>
      <w:hyperlink r:id="rId9" w:history="1">
        <w:r>
          <w:rPr>
            <w:rFonts w:eastAsia="Times New Roman" w:cs="Calibri"/>
            <w:color w:val="0563C1"/>
            <w:kern w:val="0"/>
            <w:sz w:val="27"/>
            <w:szCs w:val="27"/>
            <w:u w:val="single"/>
            <w:lang w:eastAsia="en-GB"/>
          </w:rPr>
          <w:t>https://corporate.easyjet.com/~/media/Files/E/Easyjet/attachments/code-of-business-ethics.pdf</w:t>
        </w:r>
      </w:hyperlink>
      <w:r>
        <w:rPr>
          <w:rFonts w:eastAsia="Times New Roman" w:cs="Calibri"/>
          <w:color w:val="000000"/>
          <w:kern w:val="0"/>
          <w:sz w:val="27"/>
          <w:szCs w:val="27"/>
          <w:lang w:eastAsia="en-GB"/>
        </w:rPr>
        <w:t xml:space="preserve"> (Accessed: 30</w:t>
      </w:r>
      <w:r>
        <w:rPr>
          <w:rFonts w:eastAsia="Times New Roman" w:cs="Calibri"/>
          <w:color w:val="000000"/>
          <w:kern w:val="0"/>
          <w:sz w:val="27"/>
          <w:szCs w:val="27"/>
          <w:vertAlign w:val="superscript"/>
          <w:lang w:eastAsia="en-GB"/>
        </w:rPr>
        <w:t>th</w:t>
      </w:r>
      <w:r>
        <w:rPr>
          <w:rFonts w:eastAsia="Times New Roman" w:cs="Calibri"/>
          <w:color w:val="000000"/>
          <w:kern w:val="0"/>
          <w:sz w:val="27"/>
          <w:szCs w:val="27"/>
          <w:lang w:eastAsia="en-GB"/>
        </w:rPr>
        <w:t xml:space="preserve"> July 2023)</w:t>
      </w:r>
    </w:p>
    <w:p w14:paraId="22F54072" w14:textId="77777777" w:rsidR="006C6215" w:rsidRDefault="006C6215"/>
    <w:p w14:paraId="35B60D63" w14:textId="77777777" w:rsidR="006C6215" w:rsidRDefault="003C39B2">
      <w:pPr>
        <w:spacing w:line="251" w:lineRule="auto"/>
      </w:pPr>
      <w:r>
        <w:rPr>
          <w:sz w:val="27"/>
          <w:szCs w:val="27"/>
        </w:rPr>
        <w:t xml:space="preserve">EasyJet (2019) </w:t>
      </w:r>
      <w:r>
        <w:rPr>
          <w:i/>
          <w:iCs/>
          <w:sz w:val="27"/>
          <w:szCs w:val="27"/>
        </w:rPr>
        <w:t xml:space="preserve">EasyJet Careers. </w:t>
      </w:r>
      <w:r>
        <w:rPr>
          <w:sz w:val="27"/>
          <w:szCs w:val="27"/>
        </w:rPr>
        <w:t xml:space="preserve">Available at: </w:t>
      </w:r>
      <w:hyperlink r:id="rId10" w:history="1">
        <w:r>
          <w:rPr>
            <w:color w:val="0563C1"/>
            <w:sz w:val="27"/>
            <w:szCs w:val="27"/>
            <w:u w:val="single"/>
          </w:rPr>
          <w:t>https://carees.easyjet.com/why-easyjet/our-culture/</w:t>
        </w:r>
      </w:hyperlink>
      <w:r>
        <w:rPr>
          <w:sz w:val="27"/>
          <w:szCs w:val="27"/>
        </w:rPr>
        <w:t>. (Accessed: 26</w:t>
      </w:r>
      <w:r>
        <w:rPr>
          <w:sz w:val="27"/>
          <w:szCs w:val="27"/>
          <w:vertAlign w:val="superscript"/>
        </w:rPr>
        <w:t>th</w:t>
      </w:r>
      <w:r>
        <w:rPr>
          <w:sz w:val="27"/>
          <w:szCs w:val="27"/>
        </w:rPr>
        <w:t xml:space="preserve"> July 2023)</w:t>
      </w:r>
    </w:p>
    <w:p w14:paraId="242C5CBE" w14:textId="77777777" w:rsidR="006C6215" w:rsidRDefault="006C6215"/>
    <w:p w14:paraId="54EEAD54" w14:textId="77777777" w:rsidR="006C6215" w:rsidRDefault="003C39B2">
      <w:pPr>
        <w:spacing w:after="0" w:line="360" w:lineRule="atLeast"/>
      </w:pPr>
      <w:r>
        <w:rPr>
          <w:rFonts w:eastAsia="Times New Roman" w:cs="Calibri"/>
          <w:color w:val="000000"/>
          <w:kern w:val="0"/>
          <w:sz w:val="27"/>
          <w:szCs w:val="27"/>
          <w:lang w:eastAsia="en-GB"/>
        </w:rPr>
        <w:t>EasyJet (2023). </w:t>
      </w:r>
      <w:r>
        <w:rPr>
          <w:rFonts w:eastAsia="Times New Roman" w:cs="Calibri"/>
          <w:i/>
          <w:iCs/>
          <w:color w:val="000000"/>
          <w:kern w:val="0"/>
          <w:sz w:val="27"/>
          <w:szCs w:val="27"/>
          <w:lang w:eastAsia="en-GB"/>
        </w:rPr>
        <w:t>Strategy</w:t>
      </w:r>
      <w:r>
        <w:rPr>
          <w:rFonts w:eastAsia="Times New Roman" w:cs="Calibri"/>
          <w:color w:val="000000"/>
          <w:kern w:val="0"/>
          <w:sz w:val="27"/>
          <w:szCs w:val="27"/>
          <w:lang w:eastAsia="en-GB"/>
        </w:rPr>
        <w:t xml:space="preserve"> </w:t>
      </w:r>
      <w:r>
        <w:rPr>
          <w:rFonts w:eastAsia="Times New Roman" w:cs="Calibri"/>
          <w:i/>
          <w:iCs/>
          <w:color w:val="000000"/>
          <w:kern w:val="0"/>
          <w:sz w:val="27"/>
          <w:szCs w:val="27"/>
          <w:lang w:eastAsia="en-GB"/>
        </w:rPr>
        <w:t xml:space="preserve">of EasyJet. </w:t>
      </w:r>
      <w:r>
        <w:rPr>
          <w:rFonts w:eastAsia="Times New Roman" w:cs="Calibri"/>
          <w:color w:val="000000"/>
          <w:kern w:val="0"/>
          <w:sz w:val="27"/>
          <w:szCs w:val="27"/>
          <w:lang w:eastAsia="en-GB"/>
        </w:rPr>
        <w:t xml:space="preserve"> Available at: </w:t>
      </w:r>
      <w:hyperlink r:id="rId11" w:history="1">
        <w:r>
          <w:rPr>
            <w:rFonts w:eastAsia="Times New Roman" w:cs="Calibri"/>
            <w:color w:val="0563C1"/>
            <w:kern w:val="0"/>
            <w:sz w:val="27"/>
            <w:szCs w:val="27"/>
            <w:u w:val="single"/>
            <w:lang w:eastAsia="en-GB"/>
          </w:rPr>
          <w:t>https://corporate.easyjet.com/about/strategy</w:t>
        </w:r>
      </w:hyperlink>
      <w:r>
        <w:rPr>
          <w:rFonts w:eastAsia="Times New Roman" w:cs="Calibri"/>
          <w:color w:val="000000"/>
          <w:kern w:val="0"/>
          <w:sz w:val="27"/>
          <w:szCs w:val="27"/>
          <w:lang w:eastAsia="en-GB"/>
        </w:rPr>
        <w:t xml:space="preserve">  (Accessed: 29</w:t>
      </w:r>
      <w:r>
        <w:rPr>
          <w:rFonts w:eastAsia="Times New Roman" w:cs="Calibri"/>
          <w:color w:val="000000"/>
          <w:kern w:val="0"/>
          <w:sz w:val="27"/>
          <w:szCs w:val="27"/>
          <w:vertAlign w:val="superscript"/>
          <w:lang w:eastAsia="en-GB"/>
        </w:rPr>
        <w:t>th</w:t>
      </w:r>
      <w:r>
        <w:rPr>
          <w:rFonts w:eastAsia="Times New Roman" w:cs="Calibri"/>
          <w:color w:val="000000"/>
          <w:kern w:val="0"/>
          <w:sz w:val="27"/>
          <w:szCs w:val="27"/>
          <w:lang w:eastAsia="en-GB"/>
        </w:rPr>
        <w:t xml:space="preserve"> July 2023)</w:t>
      </w:r>
    </w:p>
    <w:p w14:paraId="637C5438" w14:textId="77777777" w:rsidR="006C6215" w:rsidRDefault="006C6215">
      <w:pPr>
        <w:spacing w:after="0" w:line="360" w:lineRule="atLeast"/>
        <w:rPr>
          <w:rFonts w:eastAsia="Times New Roman" w:cs="Calibri"/>
          <w:color w:val="000000"/>
          <w:kern w:val="0"/>
          <w:sz w:val="27"/>
          <w:szCs w:val="27"/>
          <w:lang w:eastAsia="en-GB"/>
        </w:rPr>
      </w:pPr>
    </w:p>
    <w:p w14:paraId="33B7C6FB" w14:textId="77777777" w:rsidR="006C6215" w:rsidRDefault="003C39B2">
      <w:pPr>
        <w:spacing w:after="0" w:line="360" w:lineRule="atLeast"/>
      </w:pPr>
      <w:r>
        <w:rPr>
          <w:rFonts w:eastAsia="Times New Roman" w:cs="Calibri"/>
          <w:color w:val="000000"/>
          <w:kern w:val="0"/>
          <w:sz w:val="27"/>
          <w:szCs w:val="27"/>
          <w:lang w:eastAsia="en-GB"/>
        </w:rPr>
        <w:t xml:space="preserve">EasyJet (n.d.) </w:t>
      </w:r>
      <w:r>
        <w:rPr>
          <w:rFonts w:eastAsia="Times New Roman" w:cs="Calibri"/>
          <w:i/>
          <w:iCs/>
          <w:color w:val="000000"/>
          <w:kern w:val="0"/>
          <w:sz w:val="27"/>
          <w:szCs w:val="27"/>
          <w:lang w:eastAsia="en-GB"/>
        </w:rPr>
        <w:t>UK Limited Annual Report and Accounts EasyJet UK Limited Contents</w:t>
      </w:r>
      <w:r>
        <w:rPr>
          <w:rFonts w:eastAsia="Times New Roman" w:cs="Calibri"/>
          <w:color w:val="000000"/>
          <w:kern w:val="0"/>
          <w:sz w:val="27"/>
          <w:szCs w:val="27"/>
          <w:lang w:eastAsia="en-GB"/>
        </w:rPr>
        <w:t xml:space="preserve">. Available at: </w:t>
      </w:r>
      <w:hyperlink r:id="rId12" w:history="1">
        <w:r>
          <w:rPr>
            <w:rFonts w:eastAsia="Times New Roman" w:cs="Calibri"/>
            <w:color w:val="0563C1"/>
            <w:kern w:val="0"/>
            <w:sz w:val="27"/>
            <w:szCs w:val="27"/>
            <w:u w:val="single"/>
            <w:lang w:eastAsia="en-GB"/>
          </w:rPr>
          <w:t>https://corporate.easyjet.com/media/Files/Easyjet/Financial/Statement/pdf</w:t>
        </w:r>
      </w:hyperlink>
      <w:r>
        <w:rPr>
          <w:rFonts w:eastAsia="Times New Roman" w:cs="Calibri"/>
          <w:color w:val="000000"/>
          <w:kern w:val="0"/>
          <w:sz w:val="27"/>
          <w:szCs w:val="27"/>
          <w:lang w:eastAsia="en-GB"/>
        </w:rPr>
        <w:t xml:space="preserve"> (Accessed: 29</w:t>
      </w:r>
      <w:r>
        <w:rPr>
          <w:rFonts w:eastAsia="Times New Roman" w:cs="Calibri"/>
          <w:color w:val="000000"/>
          <w:kern w:val="0"/>
          <w:sz w:val="27"/>
          <w:szCs w:val="27"/>
          <w:vertAlign w:val="superscript"/>
          <w:lang w:eastAsia="en-GB"/>
        </w:rPr>
        <w:t>th</w:t>
      </w:r>
      <w:r>
        <w:rPr>
          <w:rFonts w:eastAsia="Times New Roman" w:cs="Calibri"/>
          <w:color w:val="000000"/>
          <w:kern w:val="0"/>
          <w:sz w:val="27"/>
          <w:szCs w:val="27"/>
          <w:lang w:eastAsia="en-GB"/>
        </w:rPr>
        <w:t xml:space="preserve"> July 2023)</w:t>
      </w:r>
    </w:p>
    <w:p w14:paraId="2C594E79" w14:textId="77777777" w:rsidR="006C6215" w:rsidRDefault="006C6215"/>
    <w:p w14:paraId="79242FC7" w14:textId="77777777" w:rsidR="006C6215" w:rsidRDefault="003C39B2">
      <w:pPr>
        <w:spacing w:after="0" w:line="360" w:lineRule="atLeast"/>
      </w:pPr>
      <w:r>
        <w:rPr>
          <w:rFonts w:eastAsia="Times New Roman" w:cs="Calibri"/>
          <w:color w:val="000000"/>
          <w:kern w:val="0"/>
          <w:sz w:val="27"/>
          <w:szCs w:val="27"/>
          <w:lang w:eastAsia="en-GB"/>
        </w:rPr>
        <w:t xml:space="preserve">Goyal, A. (2020) ‘A Critical Analysis of Porter’s 5 Forces Model of Competitive Advantage.’ Doi: </w:t>
      </w:r>
      <w:hyperlink r:id="rId13" w:history="1">
        <w:r>
          <w:rPr>
            <w:rFonts w:eastAsia="Times New Roman" w:cs="Calibri"/>
            <w:color w:val="0563C1"/>
            <w:kern w:val="0"/>
            <w:sz w:val="27"/>
            <w:szCs w:val="27"/>
            <w:u w:val="single"/>
            <w:lang w:eastAsia="en-GB"/>
          </w:rPr>
          <w:t>https://doi.org/10.1729/Journal.25126</w:t>
        </w:r>
      </w:hyperlink>
      <w:r>
        <w:rPr>
          <w:rFonts w:eastAsia="Times New Roman" w:cs="Calibri"/>
          <w:color w:val="000000"/>
          <w:kern w:val="0"/>
          <w:sz w:val="27"/>
          <w:szCs w:val="27"/>
          <w:lang w:eastAsia="en-GB"/>
        </w:rPr>
        <w:t xml:space="preserve"> (Accessed: 03</w:t>
      </w:r>
      <w:r>
        <w:rPr>
          <w:rFonts w:eastAsia="Times New Roman" w:cs="Calibri"/>
          <w:color w:val="000000"/>
          <w:kern w:val="0"/>
          <w:sz w:val="27"/>
          <w:szCs w:val="27"/>
          <w:vertAlign w:val="superscript"/>
          <w:lang w:eastAsia="en-GB"/>
        </w:rPr>
        <w:t>rd</w:t>
      </w:r>
      <w:r>
        <w:rPr>
          <w:rFonts w:eastAsia="Times New Roman" w:cs="Calibri"/>
          <w:color w:val="000000"/>
          <w:kern w:val="0"/>
          <w:sz w:val="27"/>
          <w:szCs w:val="27"/>
          <w:lang w:eastAsia="en-GB"/>
        </w:rPr>
        <w:t xml:space="preserve"> August 2023) </w:t>
      </w:r>
    </w:p>
    <w:p w14:paraId="7C49CB7E" w14:textId="77777777" w:rsidR="006C6215" w:rsidRDefault="006C6215">
      <w:pPr>
        <w:spacing w:after="0" w:line="360" w:lineRule="atLeast"/>
        <w:rPr>
          <w:rFonts w:eastAsia="Times New Roman" w:cs="Calibri"/>
          <w:color w:val="000000"/>
          <w:kern w:val="0"/>
          <w:sz w:val="27"/>
          <w:szCs w:val="27"/>
          <w:lang w:eastAsia="en-GB"/>
        </w:rPr>
      </w:pPr>
    </w:p>
    <w:p w14:paraId="361097B0" w14:textId="77777777" w:rsidR="006C6215" w:rsidRDefault="003C39B2">
      <w:pPr>
        <w:spacing w:line="251" w:lineRule="auto"/>
      </w:pPr>
      <w:r>
        <w:rPr>
          <w:sz w:val="27"/>
          <w:szCs w:val="27"/>
        </w:rPr>
        <w:lastRenderedPageBreak/>
        <w:t xml:space="preserve">Janicejevic, N. (2013) ‘The Mutual Impact of Organisation Culture and Structure.’ </w:t>
      </w:r>
      <w:r>
        <w:rPr>
          <w:i/>
          <w:iCs/>
          <w:sz w:val="27"/>
          <w:szCs w:val="27"/>
        </w:rPr>
        <w:t xml:space="preserve">Economic Annals, </w:t>
      </w:r>
      <w:r>
        <w:rPr>
          <w:sz w:val="27"/>
          <w:szCs w:val="27"/>
        </w:rPr>
        <w:t xml:space="preserve">58(198), pp.35-60.  Doi: </w:t>
      </w:r>
      <w:hyperlink r:id="rId14" w:history="1">
        <w:r>
          <w:rPr>
            <w:color w:val="0563C1"/>
            <w:sz w:val="27"/>
            <w:szCs w:val="27"/>
            <w:u w:val="single"/>
          </w:rPr>
          <w:t>https://doi.org/10.2298/eka1398035j</w:t>
        </w:r>
      </w:hyperlink>
    </w:p>
    <w:p w14:paraId="3597F89B" w14:textId="77777777" w:rsidR="006C6215" w:rsidRDefault="006C6215"/>
    <w:p w14:paraId="22291898" w14:textId="77777777" w:rsidR="006C6215" w:rsidRDefault="003C39B2">
      <w:pPr>
        <w:spacing w:before="100" w:after="100" w:line="240" w:lineRule="auto"/>
      </w:pPr>
      <w:r>
        <w:rPr>
          <w:rFonts w:eastAsia="Times New Roman" w:cs="Calibri"/>
          <w:color w:val="000000"/>
          <w:kern w:val="0"/>
          <w:sz w:val="27"/>
          <w:szCs w:val="27"/>
          <w:lang w:eastAsia="en-GB"/>
        </w:rPr>
        <w:t xml:space="preserve">‌Pro, E. (2023) </w:t>
      </w:r>
      <w:r>
        <w:rPr>
          <w:rFonts w:eastAsia="Times New Roman" w:cs="Calibri"/>
          <w:i/>
          <w:iCs/>
          <w:color w:val="000000"/>
          <w:kern w:val="0"/>
          <w:sz w:val="27"/>
          <w:szCs w:val="27"/>
          <w:lang w:eastAsia="en-GB"/>
        </w:rPr>
        <w:t xml:space="preserve">EasyJet Mckensey 7s Analysis/ Framework. </w:t>
      </w:r>
      <w:r>
        <w:rPr>
          <w:rFonts w:eastAsia="Times New Roman" w:cs="Calibri"/>
          <w:color w:val="000000"/>
          <w:kern w:val="0"/>
          <w:sz w:val="27"/>
          <w:szCs w:val="27"/>
          <w:lang w:eastAsia="en-GB"/>
        </w:rPr>
        <w:t xml:space="preserve">Available at: </w:t>
      </w:r>
      <w:hyperlink r:id="rId15" w:history="1">
        <w:r>
          <w:rPr>
            <w:rFonts w:eastAsia="Times New Roman" w:cs="Calibri"/>
            <w:color w:val="0563C1"/>
            <w:kern w:val="0"/>
            <w:sz w:val="27"/>
            <w:szCs w:val="27"/>
            <w:u w:val="single"/>
            <w:lang w:eastAsia="en-GB"/>
          </w:rPr>
          <w:t>https://embapro.com/frontpage/mckensey7scoanalysis/18100-easyjet</w:t>
        </w:r>
      </w:hyperlink>
      <w:r>
        <w:rPr>
          <w:rFonts w:eastAsia="Times New Roman" w:cs="Calibri"/>
          <w:color w:val="000000"/>
          <w:kern w:val="0"/>
          <w:sz w:val="27"/>
          <w:szCs w:val="27"/>
          <w:lang w:eastAsia="en-GB"/>
        </w:rPr>
        <w:t xml:space="preserve"> (Accessed: 26</w:t>
      </w:r>
      <w:r>
        <w:rPr>
          <w:rFonts w:eastAsia="Times New Roman" w:cs="Calibri"/>
          <w:color w:val="000000"/>
          <w:kern w:val="0"/>
          <w:sz w:val="27"/>
          <w:szCs w:val="27"/>
          <w:vertAlign w:val="superscript"/>
          <w:lang w:eastAsia="en-GB"/>
        </w:rPr>
        <w:t>th</w:t>
      </w:r>
      <w:r>
        <w:rPr>
          <w:rFonts w:eastAsia="Times New Roman" w:cs="Calibri"/>
          <w:color w:val="000000"/>
          <w:kern w:val="0"/>
          <w:sz w:val="27"/>
          <w:szCs w:val="27"/>
          <w:lang w:eastAsia="en-GB"/>
        </w:rPr>
        <w:t xml:space="preserve"> July 2023)</w:t>
      </w:r>
    </w:p>
    <w:p w14:paraId="1DA1413C" w14:textId="77777777" w:rsidR="006C6215" w:rsidRDefault="003C39B2">
      <w:pPr>
        <w:spacing w:after="0" w:line="360" w:lineRule="atLeast"/>
      </w:pPr>
      <w:r>
        <w:rPr>
          <w:rFonts w:eastAsia="Times New Roman" w:cs="Calibri"/>
          <w:color w:val="000000"/>
          <w:kern w:val="0"/>
          <w:sz w:val="27"/>
          <w:szCs w:val="27"/>
          <w:lang w:eastAsia="en-GB"/>
        </w:rPr>
        <w:t xml:space="preserve">Vali, E. (2017) </w:t>
      </w:r>
      <w:r>
        <w:rPr>
          <w:rFonts w:eastAsia="Times New Roman" w:cs="Calibri"/>
          <w:i/>
          <w:iCs/>
          <w:color w:val="000000"/>
          <w:kern w:val="0"/>
          <w:sz w:val="27"/>
          <w:szCs w:val="27"/>
          <w:lang w:eastAsia="en-GB"/>
        </w:rPr>
        <w:t xml:space="preserve">Copenhagen Business School Master Thesis an Analysis and Assessment of EasyJet’s Strategy and Options (A Case Study). </w:t>
      </w:r>
      <w:r>
        <w:rPr>
          <w:rFonts w:eastAsia="Times New Roman" w:cs="Calibri"/>
          <w:color w:val="000000"/>
          <w:kern w:val="0"/>
          <w:sz w:val="27"/>
          <w:szCs w:val="27"/>
          <w:lang w:eastAsia="en-GB"/>
        </w:rPr>
        <w:t xml:space="preserve">Available at: </w:t>
      </w:r>
      <w:hyperlink r:id="rId16" w:history="1">
        <w:r>
          <w:rPr>
            <w:rFonts w:eastAsia="Times New Roman" w:cs="Calibri"/>
            <w:color w:val="0563C1"/>
            <w:kern w:val="0"/>
            <w:sz w:val="27"/>
            <w:szCs w:val="27"/>
            <w:u w:val="single"/>
            <w:lang w:eastAsia="en-GB"/>
          </w:rPr>
          <w:t>https://research-api.cbs.dk/ws/portalflies/portal/60756643/307423_An_Analysis_and_Assessment_of_easyjet_s_Strategy_and_Options.pdf</w:t>
        </w:r>
      </w:hyperlink>
      <w:r>
        <w:rPr>
          <w:rFonts w:eastAsia="Times New Roman" w:cs="Calibri"/>
          <w:color w:val="000000"/>
          <w:kern w:val="0"/>
          <w:sz w:val="27"/>
          <w:szCs w:val="27"/>
          <w:lang w:eastAsia="en-GB"/>
        </w:rPr>
        <w:t xml:space="preserve"> (Accessed: 02</w:t>
      </w:r>
      <w:r>
        <w:rPr>
          <w:rFonts w:eastAsia="Times New Roman" w:cs="Calibri"/>
          <w:color w:val="000000"/>
          <w:kern w:val="0"/>
          <w:sz w:val="27"/>
          <w:szCs w:val="27"/>
          <w:vertAlign w:val="superscript"/>
          <w:lang w:eastAsia="en-GB"/>
        </w:rPr>
        <w:t>nd</w:t>
      </w:r>
      <w:r>
        <w:rPr>
          <w:rFonts w:eastAsia="Times New Roman" w:cs="Calibri"/>
          <w:color w:val="000000"/>
          <w:kern w:val="0"/>
          <w:sz w:val="27"/>
          <w:szCs w:val="27"/>
          <w:lang w:eastAsia="en-GB"/>
        </w:rPr>
        <w:t xml:space="preserve"> August 2023)</w:t>
      </w:r>
    </w:p>
    <w:p w14:paraId="4E504F3F" w14:textId="77777777" w:rsidR="006C6215" w:rsidRDefault="006C6215"/>
    <w:p w14:paraId="79FD036B" w14:textId="77777777" w:rsidR="006C6215" w:rsidRDefault="006C6215"/>
    <w:sectPr w:rsidR="006C621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C8EDA" w14:textId="77777777" w:rsidR="003C39B2" w:rsidRDefault="003C39B2">
      <w:pPr>
        <w:spacing w:after="0" w:line="240" w:lineRule="auto"/>
      </w:pPr>
      <w:r>
        <w:separator/>
      </w:r>
    </w:p>
  </w:endnote>
  <w:endnote w:type="continuationSeparator" w:id="0">
    <w:p w14:paraId="258A2AAF" w14:textId="77777777" w:rsidR="003C39B2" w:rsidRDefault="003C39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7FA17" w14:textId="77777777" w:rsidR="003C39B2" w:rsidRDefault="003C39B2">
      <w:pPr>
        <w:spacing w:after="0" w:line="240" w:lineRule="auto"/>
      </w:pPr>
      <w:r>
        <w:rPr>
          <w:color w:val="000000"/>
        </w:rPr>
        <w:separator/>
      </w:r>
    </w:p>
  </w:footnote>
  <w:footnote w:type="continuationSeparator" w:id="0">
    <w:p w14:paraId="52094240" w14:textId="77777777" w:rsidR="003C39B2" w:rsidRDefault="003C39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45B38"/>
    <w:multiLevelType w:val="multilevel"/>
    <w:tmpl w:val="54BAE01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B240992"/>
    <w:multiLevelType w:val="multilevel"/>
    <w:tmpl w:val="A61AB3E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F48533F"/>
    <w:multiLevelType w:val="multilevel"/>
    <w:tmpl w:val="BE2A02E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29491D81"/>
    <w:multiLevelType w:val="multilevel"/>
    <w:tmpl w:val="41F2554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2C980640"/>
    <w:multiLevelType w:val="multilevel"/>
    <w:tmpl w:val="E190D8A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40F70C1A"/>
    <w:multiLevelType w:val="multilevel"/>
    <w:tmpl w:val="D7DE15E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4370540C"/>
    <w:multiLevelType w:val="multilevel"/>
    <w:tmpl w:val="1AC0898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549F0E9C"/>
    <w:multiLevelType w:val="multilevel"/>
    <w:tmpl w:val="6E5E8E8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5D740625"/>
    <w:multiLevelType w:val="multilevel"/>
    <w:tmpl w:val="E8D6FDA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860320967">
    <w:abstractNumId w:val="2"/>
  </w:num>
  <w:num w:numId="2" w16cid:durableId="1928535482">
    <w:abstractNumId w:val="5"/>
  </w:num>
  <w:num w:numId="3" w16cid:durableId="847214438">
    <w:abstractNumId w:val="3"/>
  </w:num>
  <w:num w:numId="4" w16cid:durableId="1115101942">
    <w:abstractNumId w:val="7"/>
  </w:num>
  <w:num w:numId="5" w16cid:durableId="1270700198">
    <w:abstractNumId w:val="0"/>
  </w:num>
  <w:num w:numId="6" w16cid:durableId="1740976533">
    <w:abstractNumId w:val="4"/>
  </w:num>
  <w:num w:numId="7" w16cid:durableId="1150176441">
    <w:abstractNumId w:val="8"/>
  </w:num>
  <w:num w:numId="8" w16cid:durableId="132990835">
    <w:abstractNumId w:val="1"/>
  </w:num>
  <w:num w:numId="9" w16cid:durableId="6143663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6215"/>
    <w:rsid w:val="003C39B2"/>
    <w:rsid w:val="006C4CB4"/>
    <w:rsid w:val="006C621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13D6F4C"/>
  <w15:docId w15:val="{C20811A1-BB96-4BDC-ACB8-D4621C588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9" w:lineRule="auto"/>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semiHidden/>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kern w:val="3"/>
      <w:sz w:val="32"/>
      <w:szCs w:val="32"/>
    </w:rPr>
  </w:style>
  <w:style w:type="paragraph" w:styleId="TOCHeading">
    <w:name w:val="TOC Heading"/>
    <w:basedOn w:val="Heading1"/>
    <w:next w:val="Normal"/>
    <w:pPr>
      <w:spacing w:line="256" w:lineRule="auto"/>
    </w:pPr>
    <w:rPr>
      <w:kern w:val="0"/>
      <w:lang w:val="en-US"/>
    </w:rPr>
  </w:style>
  <w:style w:type="paragraph" w:styleId="TOC2">
    <w:name w:val="toc 2"/>
    <w:basedOn w:val="Normal"/>
    <w:next w:val="Normal"/>
    <w:autoRedefine/>
    <w:pPr>
      <w:spacing w:after="100" w:line="256" w:lineRule="auto"/>
      <w:ind w:left="220"/>
    </w:pPr>
    <w:rPr>
      <w:rFonts w:eastAsia="Times New Roman"/>
      <w:kern w:val="0"/>
      <w:lang w:val="en-US"/>
    </w:rPr>
  </w:style>
  <w:style w:type="paragraph" w:styleId="TOC1">
    <w:name w:val="toc 1"/>
    <w:basedOn w:val="Normal"/>
    <w:next w:val="Normal"/>
    <w:autoRedefine/>
    <w:pPr>
      <w:spacing w:after="100" w:line="256" w:lineRule="auto"/>
    </w:pPr>
    <w:rPr>
      <w:rFonts w:eastAsia="Times New Roman"/>
      <w:kern w:val="0"/>
      <w:lang w:val="en-US"/>
    </w:rPr>
  </w:style>
  <w:style w:type="paragraph" w:styleId="TOC3">
    <w:name w:val="toc 3"/>
    <w:basedOn w:val="Normal"/>
    <w:next w:val="Normal"/>
    <w:autoRedefine/>
    <w:pPr>
      <w:spacing w:after="100" w:line="256" w:lineRule="auto"/>
      <w:ind w:left="440"/>
    </w:pPr>
    <w:rPr>
      <w:rFonts w:eastAsia="Times New Roman"/>
      <w:kern w:val="0"/>
      <w:lang w:val="en-US"/>
    </w:rPr>
  </w:style>
  <w:style w:type="character" w:styleId="Hyperlink">
    <w:name w:val="Hyperlink"/>
    <w:basedOn w:val="DefaultParagraphFont"/>
    <w:rPr>
      <w:color w:val="0563C1"/>
      <w:u w:val="single"/>
    </w:rPr>
  </w:style>
  <w:style w:type="character" w:customStyle="1" w:styleId="Heading2Char">
    <w:name w:val="Heading 2 Char"/>
    <w:basedOn w:val="DefaultParagraphFont"/>
    <w:rPr>
      <w:rFonts w:ascii="Calibri Light" w:eastAsia="Times New Roman" w:hAnsi="Calibri Light" w:cs="Times New Roman"/>
      <w:color w:val="2F5496"/>
      <w:kern w:val="3"/>
      <w:sz w:val="26"/>
      <w:szCs w:val="26"/>
    </w:rPr>
  </w:style>
  <w:style w:type="character" w:styleId="Strong">
    <w:name w:val="Strong"/>
    <w:basedOn w:val="DefaultParagraphFont"/>
    <w:rPr>
      <w:b/>
      <w:bCs/>
    </w:rPr>
  </w:style>
  <w:style w:type="paragraph" w:styleId="NormalWeb">
    <w:name w:val="Normal (Web)"/>
    <w:basedOn w:val="Normal"/>
    <w:pPr>
      <w:spacing w:before="100" w:after="100" w:line="240" w:lineRule="auto"/>
    </w:pPr>
    <w:rPr>
      <w:rFonts w:ascii="Times New Roman" w:eastAsia="Times New Roman" w:hAnsi="Times New Roman"/>
      <w:kern w:val="0"/>
      <w:sz w:val="24"/>
      <w:szCs w:val="24"/>
      <w:lang w:eastAsia="en-GB"/>
    </w:rPr>
  </w:style>
  <w:style w:type="character" w:customStyle="1" w:styleId="Heading3Char">
    <w:name w:val="Heading 3 Char"/>
    <w:basedOn w:val="DefaultParagraphFont"/>
    <w:rPr>
      <w:rFonts w:ascii="Calibri Light" w:eastAsia="Times New Roman" w:hAnsi="Calibri Light" w:cs="Times New Roman"/>
      <w:color w:val="1F3763"/>
      <w:kern w:val="3"/>
      <w:sz w:val="24"/>
      <w:szCs w:val="24"/>
    </w:rPr>
  </w:style>
  <w:style w:type="paragraph" w:styleId="ListParagraph">
    <w:name w:val="List Paragraph"/>
    <w:basedOn w:val="Normal"/>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729/Journal.25126"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corporate.easyjet.com/media/Files/Easyjet/Financial/Statement/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esearch-api.cbs.dk/ws/portalflies/portal/60756643/307423_An_Analysis_and_Assessment_of_easyjet_s_Strategy_and_Option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easyjet.com/about/strategy" TargetMode="External"/><Relationship Id="rId5" Type="http://schemas.openxmlformats.org/officeDocument/2006/relationships/footnotes" Target="footnotes.xml"/><Relationship Id="rId15" Type="http://schemas.openxmlformats.org/officeDocument/2006/relationships/hyperlink" Target="https://embapro.com/frontpage/mckensey7scoanalysis/18100-easyjet" TargetMode="External"/><Relationship Id="rId10" Type="http://schemas.openxmlformats.org/officeDocument/2006/relationships/hyperlink" Target="https://carees.easyjet.com/why-easyjet/our-culture/" TargetMode="External"/><Relationship Id="rId4" Type="http://schemas.openxmlformats.org/officeDocument/2006/relationships/webSettings" Target="webSettings.xml"/><Relationship Id="rId9" Type="http://schemas.openxmlformats.org/officeDocument/2006/relationships/hyperlink" Target="https://corporate.easyjet.com/~/media/Files/E/Easyjet/attachments/code-of-business-ethics.pdf" TargetMode="External"/><Relationship Id="rId14" Type="http://schemas.openxmlformats.org/officeDocument/2006/relationships/hyperlink" Target="https://doi.org/10.2298/eka1398035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4308</Words>
  <Characters>24561</Characters>
  <Application>Microsoft Office Word</Application>
  <DocSecurity>0</DocSecurity>
  <Lines>204</Lines>
  <Paragraphs>57</Paragraphs>
  <ScaleCrop>false</ScaleCrop>
  <Company/>
  <LinksUpToDate>false</LinksUpToDate>
  <CharactersWithSpaces>28812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Artiola</dc:creator>
  <dc:description/>
  <cp:lastModifiedBy>Artiola Stana (2121201)</cp:lastModifiedBy>
  <cp:revision>2</cp:revision>
  <dcterms:created xsi:type="dcterms:W3CDTF">2023-08-13T19:48:00Z</dcterms:created>
  <dcterms:modified xsi:type="dcterms:W3CDTF">2023-08-13T19:48:00Z</dcterms:modified>
</cp:coreProperties>
</file>