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21398" w14:textId="77777777" w:rsidR="005A4665" w:rsidRPr="000E5EA0" w:rsidRDefault="005A4665" w:rsidP="005A4665">
      <w:pPr>
        <w:pBdr>
          <w:top w:val="nil"/>
          <w:left w:val="nil"/>
          <w:bottom w:val="nil"/>
          <w:right w:val="nil"/>
          <w:between w:val="nil"/>
        </w:pBdr>
        <w:spacing w:after="240"/>
        <w:jc w:val="center"/>
        <w:rPr>
          <w:rFonts w:cs="Times New Roman"/>
          <w:b/>
          <w:bCs/>
          <w:color w:val="000000"/>
          <w:sz w:val="32"/>
          <w:szCs w:val="28"/>
        </w:rPr>
      </w:pPr>
      <w:r w:rsidRPr="00FF2943">
        <w:rPr>
          <w:rFonts w:cs="Times New Roman"/>
          <w:b/>
          <w:noProof/>
          <w:color w:val="000000"/>
          <w:sz w:val="32"/>
          <w:szCs w:val="28"/>
        </w:rPr>
        <w:drawing>
          <wp:inline distT="0" distB="0" distL="0" distR="0" wp14:anchorId="01A964E7" wp14:editId="5A90A1B9">
            <wp:extent cx="1828800" cy="666750"/>
            <wp:effectExtent l="0" t="0" r="0" b="0"/>
            <wp:docPr id="10552103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666750"/>
                    </a:xfrm>
                    <a:prstGeom prst="rect">
                      <a:avLst/>
                    </a:prstGeom>
                    <a:noFill/>
                    <a:ln>
                      <a:noFill/>
                    </a:ln>
                  </pic:spPr>
                </pic:pic>
              </a:graphicData>
            </a:graphic>
          </wp:inline>
        </w:drawing>
      </w:r>
    </w:p>
    <w:p w14:paraId="5BA685A9" w14:textId="312F3480" w:rsidR="005A4665" w:rsidRPr="00FF2943" w:rsidRDefault="005A4665" w:rsidP="005A4665">
      <w:pPr>
        <w:pBdr>
          <w:top w:val="nil"/>
          <w:left w:val="nil"/>
          <w:bottom w:val="nil"/>
          <w:right w:val="nil"/>
          <w:between w:val="nil"/>
        </w:pBdr>
        <w:spacing w:after="240"/>
        <w:jc w:val="center"/>
        <w:rPr>
          <w:rFonts w:cs="Times New Roman"/>
          <w:b/>
          <w:bCs/>
          <w:color w:val="000000"/>
          <w:sz w:val="32"/>
          <w:szCs w:val="28"/>
        </w:rPr>
      </w:pPr>
      <w:r w:rsidRPr="000E5EA0">
        <w:rPr>
          <w:rFonts w:cs="Times New Roman"/>
          <w:b/>
          <w:bCs/>
          <w:color w:val="000000"/>
          <w:sz w:val="32"/>
          <w:szCs w:val="28"/>
        </w:rPr>
        <w:t xml:space="preserve">Module: </w:t>
      </w:r>
      <w:bookmarkStart w:id="0" w:name="_d84rjof5k8j"/>
      <w:bookmarkEnd w:id="0"/>
      <w:r w:rsidRPr="005A4665">
        <w:rPr>
          <w:rFonts w:cs="Times New Roman"/>
          <w:b/>
          <w:bCs/>
          <w:color w:val="000000"/>
          <w:sz w:val="32"/>
          <w:szCs w:val="28"/>
        </w:rPr>
        <w:t xml:space="preserve">Global Business Challenges </w:t>
      </w:r>
    </w:p>
    <w:p w14:paraId="1E627D43" w14:textId="59CAAD2A" w:rsidR="005A4665" w:rsidRPr="00FF2943" w:rsidRDefault="005A4665" w:rsidP="005A4665">
      <w:pPr>
        <w:pBdr>
          <w:top w:val="nil"/>
          <w:left w:val="nil"/>
          <w:bottom w:val="nil"/>
          <w:right w:val="nil"/>
          <w:between w:val="nil"/>
        </w:pBdr>
        <w:spacing w:after="240"/>
        <w:jc w:val="center"/>
        <w:rPr>
          <w:rFonts w:cs="Times New Roman"/>
          <w:b/>
          <w:bCs/>
          <w:color w:val="000000"/>
          <w:sz w:val="32"/>
          <w:szCs w:val="28"/>
        </w:rPr>
      </w:pPr>
      <w:r w:rsidRPr="000E5EA0">
        <w:rPr>
          <w:rFonts w:cs="Times New Roman"/>
          <w:b/>
          <w:bCs/>
          <w:color w:val="000000"/>
          <w:sz w:val="32"/>
          <w:szCs w:val="28"/>
        </w:rPr>
        <w:t xml:space="preserve">Module code: </w:t>
      </w:r>
      <w:r w:rsidRPr="005A4665">
        <w:rPr>
          <w:rFonts w:cs="Times New Roman"/>
          <w:b/>
          <w:bCs/>
          <w:color w:val="000000"/>
          <w:sz w:val="32"/>
          <w:szCs w:val="28"/>
        </w:rPr>
        <w:t>BMMB7006</w:t>
      </w:r>
    </w:p>
    <w:p w14:paraId="436C3726" w14:textId="249FB187" w:rsidR="005A4665" w:rsidRPr="000E5EA0" w:rsidRDefault="00FC5018" w:rsidP="005A4665">
      <w:pPr>
        <w:pBdr>
          <w:top w:val="nil"/>
          <w:left w:val="nil"/>
          <w:bottom w:val="nil"/>
          <w:right w:val="nil"/>
          <w:between w:val="nil"/>
        </w:pBdr>
        <w:spacing w:after="240"/>
        <w:jc w:val="center"/>
        <w:rPr>
          <w:rFonts w:cs="Times New Roman"/>
          <w:b/>
          <w:bCs/>
          <w:color w:val="000000"/>
          <w:sz w:val="32"/>
          <w:szCs w:val="28"/>
        </w:rPr>
      </w:pPr>
      <w:r w:rsidRPr="00FC5018">
        <w:rPr>
          <w:rFonts w:cs="Times New Roman"/>
          <w:b/>
          <w:bCs/>
          <w:color w:val="000000"/>
          <w:sz w:val="32"/>
          <w:szCs w:val="28"/>
        </w:rPr>
        <w:t xml:space="preserve">AI Growth Risks and Corporate Governance: Strategic Advisory for HSBC </w:t>
      </w:r>
    </w:p>
    <w:p w14:paraId="298C9568" w14:textId="007D502E" w:rsidR="005A4665" w:rsidRPr="00FF2943" w:rsidRDefault="00FC5018" w:rsidP="005A4665">
      <w:pPr>
        <w:pBdr>
          <w:top w:val="nil"/>
          <w:left w:val="nil"/>
          <w:bottom w:val="nil"/>
          <w:right w:val="nil"/>
          <w:between w:val="nil"/>
        </w:pBdr>
        <w:spacing w:after="240"/>
        <w:jc w:val="center"/>
        <w:rPr>
          <w:rFonts w:cs="Times New Roman"/>
          <w:b/>
          <w:bCs/>
          <w:color w:val="000000"/>
          <w:sz w:val="32"/>
          <w:szCs w:val="28"/>
        </w:rPr>
      </w:pPr>
      <w:r w:rsidRPr="00FC5018">
        <w:rPr>
          <w:rFonts w:cs="Times New Roman"/>
          <w:b/>
          <w:bCs/>
          <w:color w:val="000000"/>
          <w:sz w:val="32"/>
          <w:szCs w:val="28"/>
        </w:rPr>
        <w:t>Prepared for: The Board of Directors, HSBC Holdings plc</w:t>
      </w:r>
    </w:p>
    <w:p w14:paraId="114C8024" w14:textId="77777777" w:rsidR="005A4665" w:rsidRPr="00FF2943" w:rsidRDefault="005A4665" w:rsidP="005A4665">
      <w:pPr>
        <w:pBdr>
          <w:top w:val="nil"/>
          <w:left w:val="nil"/>
          <w:bottom w:val="nil"/>
          <w:right w:val="nil"/>
          <w:between w:val="nil"/>
        </w:pBdr>
        <w:spacing w:after="240"/>
        <w:jc w:val="center"/>
        <w:rPr>
          <w:rFonts w:cs="Times New Roman"/>
          <w:b/>
          <w:bCs/>
          <w:color w:val="000000"/>
          <w:sz w:val="32"/>
          <w:szCs w:val="28"/>
        </w:rPr>
      </w:pPr>
    </w:p>
    <w:p w14:paraId="3EDC91E3" w14:textId="77777777" w:rsidR="005A4665" w:rsidRPr="000E5EA0" w:rsidRDefault="005A4665" w:rsidP="005A4665">
      <w:pPr>
        <w:pBdr>
          <w:top w:val="nil"/>
          <w:left w:val="nil"/>
          <w:bottom w:val="nil"/>
          <w:right w:val="nil"/>
          <w:between w:val="nil"/>
        </w:pBdr>
        <w:spacing w:after="240"/>
        <w:jc w:val="center"/>
        <w:rPr>
          <w:rFonts w:cs="Times New Roman"/>
          <w:b/>
          <w:bCs/>
          <w:color w:val="000000"/>
          <w:sz w:val="32"/>
          <w:szCs w:val="28"/>
        </w:rPr>
      </w:pPr>
      <w:r w:rsidRPr="000E5EA0">
        <w:rPr>
          <w:rFonts w:cs="Times New Roman"/>
          <w:b/>
          <w:bCs/>
          <w:color w:val="000000"/>
          <w:sz w:val="32"/>
          <w:szCs w:val="28"/>
        </w:rPr>
        <w:t xml:space="preserve">Student Name: </w:t>
      </w:r>
      <w:proofErr w:type="spellStart"/>
      <w:r w:rsidRPr="00FF2943">
        <w:rPr>
          <w:rFonts w:cs="Times New Roman"/>
          <w:b/>
          <w:bCs/>
          <w:color w:val="000000"/>
          <w:sz w:val="32"/>
          <w:szCs w:val="28"/>
        </w:rPr>
        <w:t>Foysol</w:t>
      </w:r>
      <w:proofErr w:type="spellEnd"/>
      <w:r w:rsidRPr="00FF2943">
        <w:rPr>
          <w:rFonts w:cs="Times New Roman"/>
          <w:b/>
          <w:bCs/>
          <w:color w:val="000000"/>
          <w:sz w:val="32"/>
          <w:szCs w:val="28"/>
        </w:rPr>
        <w:t xml:space="preserve"> Ahmod</w:t>
      </w:r>
    </w:p>
    <w:p w14:paraId="2ED57CC5" w14:textId="77777777" w:rsidR="005A4665" w:rsidRPr="000E5EA0" w:rsidRDefault="005A4665" w:rsidP="005A4665">
      <w:pPr>
        <w:pBdr>
          <w:top w:val="nil"/>
          <w:left w:val="nil"/>
          <w:bottom w:val="nil"/>
          <w:right w:val="nil"/>
          <w:between w:val="nil"/>
        </w:pBdr>
        <w:spacing w:after="240"/>
        <w:jc w:val="center"/>
        <w:rPr>
          <w:rFonts w:cs="Times New Roman"/>
          <w:b/>
          <w:bCs/>
          <w:color w:val="000000"/>
          <w:sz w:val="32"/>
          <w:szCs w:val="28"/>
        </w:rPr>
      </w:pPr>
      <w:r w:rsidRPr="000E5EA0">
        <w:rPr>
          <w:rFonts w:cs="Times New Roman"/>
          <w:b/>
          <w:bCs/>
          <w:color w:val="000000"/>
          <w:sz w:val="32"/>
          <w:szCs w:val="28"/>
        </w:rPr>
        <w:t xml:space="preserve">Student ID: </w:t>
      </w:r>
      <w:r w:rsidRPr="00FF2943">
        <w:rPr>
          <w:rFonts w:cs="Times New Roman"/>
          <w:b/>
          <w:bCs/>
          <w:color w:val="000000"/>
          <w:sz w:val="32"/>
          <w:szCs w:val="28"/>
        </w:rPr>
        <w:t>2421468</w:t>
      </w:r>
    </w:p>
    <w:p w14:paraId="4F205A19" w14:textId="77777777" w:rsidR="005A4665" w:rsidRPr="00FF2943" w:rsidRDefault="005A4665" w:rsidP="005A4665">
      <w:pPr>
        <w:pBdr>
          <w:top w:val="nil"/>
          <w:left w:val="nil"/>
          <w:bottom w:val="nil"/>
          <w:right w:val="nil"/>
          <w:between w:val="nil"/>
        </w:pBdr>
        <w:spacing w:after="240"/>
        <w:jc w:val="center"/>
        <w:rPr>
          <w:rFonts w:cs="Times New Roman"/>
          <w:b/>
          <w:bCs/>
          <w:color w:val="000000"/>
          <w:sz w:val="32"/>
          <w:szCs w:val="28"/>
        </w:rPr>
      </w:pPr>
    </w:p>
    <w:p w14:paraId="0EA31CCA" w14:textId="77777777" w:rsidR="005A4665" w:rsidRDefault="005A4665" w:rsidP="00FC5018">
      <w:pPr>
        <w:pBdr>
          <w:top w:val="nil"/>
          <w:left w:val="nil"/>
          <w:bottom w:val="nil"/>
          <w:right w:val="nil"/>
          <w:between w:val="nil"/>
        </w:pBdr>
        <w:spacing w:after="240"/>
        <w:rPr>
          <w:rFonts w:cs="Times New Roman"/>
          <w:b/>
          <w:bCs/>
          <w:color w:val="000000"/>
          <w:sz w:val="32"/>
          <w:szCs w:val="28"/>
        </w:rPr>
      </w:pPr>
    </w:p>
    <w:p w14:paraId="38690F57" w14:textId="77777777" w:rsidR="00FC5018" w:rsidRPr="00FF2943" w:rsidRDefault="00FC5018" w:rsidP="00FC5018">
      <w:pPr>
        <w:pBdr>
          <w:top w:val="nil"/>
          <w:left w:val="nil"/>
          <w:bottom w:val="nil"/>
          <w:right w:val="nil"/>
          <w:between w:val="nil"/>
        </w:pBdr>
        <w:spacing w:after="240"/>
        <w:rPr>
          <w:rFonts w:cs="Times New Roman"/>
          <w:b/>
          <w:bCs/>
          <w:color w:val="000000"/>
          <w:sz w:val="32"/>
          <w:szCs w:val="28"/>
        </w:rPr>
      </w:pPr>
    </w:p>
    <w:p w14:paraId="229435CB" w14:textId="78B504E0" w:rsidR="005A4665" w:rsidRPr="000E5EA0" w:rsidRDefault="005A4665" w:rsidP="005A4665">
      <w:pPr>
        <w:pBdr>
          <w:top w:val="nil"/>
          <w:left w:val="nil"/>
          <w:bottom w:val="nil"/>
          <w:right w:val="nil"/>
          <w:between w:val="nil"/>
        </w:pBdr>
        <w:spacing w:after="240"/>
        <w:jc w:val="center"/>
        <w:rPr>
          <w:rFonts w:cs="Times New Roman"/>
          <w:b/>
          <w:bCs/>
          <w:color w:val="000000"/>
          <w:sz w:val="32"/>
          <w:szCs w:val="28"/>
        </w:rPr>
      </w:pPr>
      <w:r w:rsidRPr="000E5EA0">
        <w:rPr>
          <w:rFonts w:cs="Times New Roman"/>
          <w:b/>
          <w:bCs/>
          <w:color w:val="000000"/>
          <w:sz w:val="32"/>
          <w:szCs w:val="28"/>
        </w:rPr>
        <w:t xml:space="preserve">Word Count: </w:t>
      </w:r>
      <w:r w:rsidR="00FC5018">
        <w:rPr>
          <w:rFonts w:cs="Times New Roman"/>
          <w:b/>
          <w:bCs/>
          <w:color w:val="000000"/>
          <w:sz w:val="32"/>
          <w:szCs w:val="28"/>
        </w:rPr>
        <w:t>5432</w:t>
      </w:r>
    </w:p>
    <w:p w14:paraId="2AE0805E" w14:textId="54B35D03" w:rsidR="005A4665" w:rsidRPr="000E5EA0" w:rsidRDefault="005A4665" w:rsidP="005A4665">
      <w:pPr>
        <w:pBdr>
          <w:top w:val="nil"/>
          <w:left w:val="nil"/>
          <w:bottom w:val="nil"/>
          <w:right w:val="nil"/>
          <w:between w:val="nil"/>
        </w:pBdr>
        <w:spacing w:after="240"/>
        <w:jc w:val="center"/>
        <w:rPr>
          <w:rFonts w:cs="Times New Roman"/>
          <w:b/>
          <w:bCs/>
          <w:color w:val="000000"/>
          <w:sz w:val="32"/>
          <w:szCs w:val="28"/>
        </w:rPr>
      </w:pPr>
      <w:r w:rsidRPr="000E5EA0">
        <w:rPr>
          <w:rFonts w:cs="Times New Roman"/>
          <w:b/>
          <w:bCs/>
          <w:color w:val="000000"/>
          <w:sz w:val="32"/>
          <w:szCs w:val="28"/>
        </w:rPr>
        <w:t>Submission</w:t>
      </w:r>
      <w:r w:rsidRPr="00FF2943">
        <w:rPr>
          <w:rFonts w:cs="Times New Roman"/>
          <w:b/>
          <w:bCs/>
          <w:color w:val="000000"/>
          <w:sz w:val="32"/>
          <w:szCs w:val="28"/>
        </w:rPr>
        <w:t xml:space="preserve"> Date</w:t>
      </w:r>
      <w:r w:rsidRPr="000E5EA0">
        <w:rPr>
          <w:rFonts w:cs="Times New Roman"/>
          <w:b/>
          <w:bCs/>
          <w:color w:val="000000"/>
          <w:sz w:val="32"/>
          <w:szCs w:val="28"/>
        </w:rPr>
        <w:t>: 27/</w:t>
      </w:r>
      <w:r w:rsidR="00FC5018">
        <w:rPr>
          <w:rFonts w:cs="Times New Roman"/>
          <w:b/>
          <w:bCs/>
          <w:color w:val="000000"/>
          <w:sz w:val="32"/>
          <w:szCs w:val="28"/>
        </w:rPr>
        <w:t>4</w:t>
      </w:r>
      <w:r w:rsidRPr="000E5EA0">
        <w:rPr>
          <w:rFonts w:cs="Times New Roman"/>
          <w:b/>
          <w:bCs/>
          <w:color w:val="000000"/>
          <w:sz w:val="32"/>
          <w:szCs w:val="28"/>
        </w:rPr>
        <w:t>/26</w:t>
      </w:r>
    </w:p>
    <w:p w14:paraId="2C0980B3" w14:textId="77777777" w:rsidR="005A4665" w:rsidRDefault="005A4665" w:rsidP="005A4665"/>
    <w:p w14:paraId="3D00134E" w14:textId="77777777" w:rsidR="00FC5018" w:rsidRDefault="00FC5018" w:rsidP="00FC5018"/>
    <w:p w14:paraId="35F1AFA5" w14:textId="77777777" w:rsidR="00FC5018" w:rsidRDefault="00FC5018" w:rsidP="00FC5018"/>
    <w:sdt>
      <w:sdtPr>
        <w:rPr>
          <w:rFonts w:ascii="Times New Roman" w:eastAsia="Arial" w:hAnsi="Times New Roman" w:cs="Arial"/>
          <w:color w:val="auto"/>
          <w:sz w:val="24"/>
          <w:szCs w:val="22"/>
          <w:lang w:val="en-GB"/>
        </w:rPr>
        <w:id w:val="-873765899"/>
        <w:docPartObj>
          <w:docPartGallery w:val="Table of Contents"/>
          <w:docPartUnique/>
        </w:docPartObj>
      </w:sdtPr>
      <w:sdtEndPr>
        <w:rPr>
          <w:b/>
          <w:bCs/>
          <w:noProof/>
        </w:rPr>
      </w:sdtEndPr>
      <w:sdtContent>
        <w:p w14:paraId="27EF15C1" w14:textId="158D39FC" w:rsidR="00FC5018" w:rsidRPr="00FC5018" w:rsidRDefault="00FC5018" w:rsidP="00FC5018">
          <w:pPr>
            <w:pStyle w:val="TOCHeading"/>
            <w:jc w:val="center"/>
            <w:rPr>
              <w:rFonts w:ascii="Times New Roman" w:hAnsi="Times New Roman" w:cs="Times New Roman"/>
              <w:b/>
              <w:bCs/>
              <w:color w:val="000000" w:themeColor="text1"/>
            </w:rPr>
          </w:pPr>
          <w:r w:rsidRPr="00FC5018">
            <w:rPr>
              <w:rFonts w:ascii="Times New Roman" w:hAnsi="Times New Roman" w:cs="Times New Roman"/>
              <w:b/>
              <w:bCs/>
              <w:color w:val="000000" w:themeColor="text1"/>
            </w:rPr>
            <w:t>Table of Contents</w:t>
          </w:r>
        </w:p>
        <w:p w14:paraId="1AF2DA29" w14:textId="19C5661C" w:rsidR="005232EB" w:rsidRDefault="00FC5018">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28204899" w:history="1">
            <w:r w:rsidR="005232EB" w:rsidRPr="00C819D5">
              <w:rPr>
                <w:rStyle w:val="Hyperlink"/>
                <w:noProof/>
              </w:rPr>
              <w:t>Executive Summary</w:t>
            </w:r>
            <w:r w:rsidR="005232EB">
              <w:rPr>
                <w:noProof/>
                <w:webHidden/>
              </w:rPr>
              <w:tab/>
            </w:r>
            <w:r w:rsidR="005232EB">
              <w:rPr>
                <w:noProof/>
                <w:webHidden/>
              </w:rPr>
              <w:fldChar w:fldCharType="begin"/>
            </w:r>
            <w:r w:rsidR="005232EB">
              <w:rPr>
                <w:noProof/>
                <w:webHidden/>
              </w:rPr>
              <w:instrText xml:space="preserve"> PAGEREF _Toc228204899 \h </w:instrText>
            </w:r>
            <w:r w:rsidR="005232EB">
              <w:rPr>
                <w:noProof/>
                <w:webHidden/>
              </w:rPr>
            </w:r>
            <w:r w:rsidR="005232EB">
              <w:rPr>
                <w:noProof/>
                <w:webHidden/>
              </w:rPr>
              <w:fldChar w:fldCharType="separate"/>
            </w:r>
            <w:r w:rsidR="005232EB">
              <w:rPr>
                <w:noProof/>
                <w:webHidden/>
              </w:rPr>
              <w:t>3</w:t>
            </w:r>
            <w:r w:rsidR="005232EB">
              <w:rPr>
                <w:noProof/>
                <w:webHidden/>
              </w:rPr>
              <w:fldChar w:fldCharType="end"/>
            </w:r>
          </w:hyperlink>
        </w:p>
        <w:p w14:paraId="71A805F2" w14:textId="08326F35"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00" w:history="1">
            <w:r w:rsidRPr="00C819D5">
              <w:rPr>
                <w:rStyle w:val="Hyperlink"/>
                <w:noProof/>
              </w:rPr>
              <w:t>1. Introduction: The Agentic AI Era and Corporate Governance</w:t>
            </w:r>
            <w:r>
              <w:rPr>
                <w:noProof/>
                <w:webHidden/>
              </w:rPr>
              <w:tab/>
            </w:r>
            <w:r>
              <w:rPr>
                <w:noProof/>
                <w:webHidden/>
              </w:rPr>
              <w:fldChar w:fldCharType="begin"/>
            </w:r>
            <w:r>
              <w:rPr>
                <w:noProof/>
                <w:webHidden/>
              </w:rPr>
              <w:instrText xml:space="preserve"> PAGEREF _Toc228204900 \h </w:instrText>
            </w:r>
            <w:r>
              <w:rPr>
                <w:noProof/>
                <w:webHidden/>
              </w:rPr>
            </w:r>
            <w:r>
              <w:rPr>
                <w:noProof/>
                <w:webHidden/>
              </w:rPr>
              <w:fldChar w:fldCharType="separate"/>
            </w:r>
            <w:r>
              <w:rPr>
                <w:noProof/>
                <w:webHidden/>
              </w:rPr>
              <w:t>4</w:t>
            </w:r>
            <w:r>
              <w:rPr>
                <w:noProof/>
                <w:webHidden/>
              </w:rPr>
              <w:fldChar w:fldCharType="end"/>
            </w:r>
          </w:hyperlink>
        </w:p>
        <w:p w14:paraId="55F917D0" w14:textId="0038DF57"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01" w:history="1">
            <w:r w:rsidRPr="00C819D5">
              <w:rPr>
                <w:rStyle w:val="Hyperlink"/>
                <w:noProof/>
              </w:rPr>
              <w:t>2. The Transatlantic Regulatory Divide: Navigating Institutional Isomorphism</w:t>
            </w:r>
            <w:r>
              <w:rPr>
                <w:noProof/>
                <w:webHidden/>
              </w:rPr>
              <w:tab/>
            </w:r>
            <w:r>
              <w:rPr>
                <w:noProof/>
                <w:webHidden/>
              </w:rPr>
              <w:fldChar w:fldCharType="begin"/>
            </w:r>
            <w:r>
              <w:rPr>
                <w:noProof/>
                <w:webHidden/>
              </w:rPr>
              <w:instrText xml:space="preserve"> PAGEREF _Toc228204901 \h </w:instrText>
            </w:r>
            <w:r>
              <w:rPr>
                <w:noProof/>
                <w:webHidden/>
              </w:rPr>
            </w:r>
            <w:r>
              <w:rPr>
                <w:noProof/>
                <w:webHidden/>
              </w:rPr>
              <w:fldChar w:fldCharType="separate"/>
            </w:r>
            <w:r>
              <w:rPr>
                <w:noProof/>
                <w:webHidden/>
              </w:rPr>
              <w:t>6</w:t>
            </w:r>
            <w:r>
              <w:rPr>
                <w:noProof/>
                <w:webHidden/>
              </w:rPr>
              <w:fldChar w:fldCharType="end"/>
            </w:r>
          </w:hyperlink>
        </w:p>
        <w:p w14:paraId="50136CFD" w14:textId="4FA7D877"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02" w:history="1">
            <w:r w:rsidRPr="00C819D5">
              <w:rPr>
                <w:rStyle w:val="Hyperlink"/>
                <w:noProof/>
              </w:rPr>
              <w:t>2.1 The UK's FCA-Led Agile Framework and Consumer Duty</w:t>
            </w:r>
            <w:r>
              <w:rPr>
                <w:noProof/>
                <w:webHidden/>
              </w:rPr>
              <w:tab/>
            </w:r>
            <w:r>
              <w:rPr>
                <w:noProof/>
                <w:webHidden/>
              </w:rPr>
              <w:fldChar w:fldCharType="begin"/>
            </w:r>
            <w:r>
              <w:rPr>
                <w:noProof/>
                <w:webHidden/>
              </w:rPr>
              <w:instrText xml:space="preserve"> PAGEREF _Toc228204902 \h </w:instrText>
            </w:r>
            <w:r>
              <w:rPr>
                <w:noProof/>
                <w:webHidden/>
              </w:rPr>
            </w:r>
            <w:r>
              <w:rPr>
                <w:noProof/>
                <w:webHidden/>
              </w:rPr>
              <w:fldChar w:fldCharType="separate"/>
            </w:r>
            <w:r>
              <w:rPr>
                <w:noProof/>
                <w:webHidden/>
              </w:rPr>
              <w:t>7</w:t>
            </w:r>
            <w:r>
              <w:rPr>
                <w:noProof/>
                <w:webHidden/>
              </w:rPr>
              <w:fldChar w:fldCharType="end"/>
            </w:r>
          </w:hyperlink>
        </w:p>
        <w:p w14:paraId="14490B5E" w14:textId="2255795B"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03" w:history="1">
            <w:r w:rsidRPr="00C819D5">
              <w:rPr>
                <w:rStyle w:val="Hyperlink"/>
                <w:noProof/>
              </w:rPr>
              <w:t>2.2 The US NIST AI RMF 1.0 as a Global Benchmark</w:t>
            </w:r>
            <w:r>
              <w:rPr>
                <w:noProof/>
                <w:webHidden/>
              </w:rPr>
              <w:tab/>
            </w:r>
            <w:r>
              <w:rPr>
                <w:noProof/>
                <w:webHidden/>
              </w:rPr>
              <w:fldChar w:fldCharType="begin"/>
            </w:r>
            <w:r>
              <w:rPr>
                <w:noProof/>
                <w:webHidden/>
              </w:rPr>
              <w:instrText xml:space="preserve"> PAGEREF _Toc228204903 \h </w:instrText>
            </w:r>
            <w:r>
              <w:rPr>
                <w:noProof/>
                <w:webHidden/>
              </w:rPr>
            </w:r>
            <w:r>
              <w:rPr>
                <w:noProof/>
                <w:webHidden/>
              </w:rPr>
              <w:fldChar w:fldCharType="separate"/>
            </w:r>
            <w:r>
              <w:rPr>
                <w:noProof/>
                <w:webHidden/>
              </w:rPr>
              <w:t>7</w:t>
            </w:r>
            <w:r>
              <w:rPr>
                <w:noProof/>
                <w:webHidden/>
              </w:rPr>
              <w:fldChar w:fldCharType="end"/>
            </w:r>
          </w:hyperlink>
        </w:p>
        <w:p w14:paraId="5145C660" w14:textId="37B5E117"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04" w:history="1">
            <w:r w:rsidRPr="00C819D5">
              <w:rPr>
                <w:rStyle w:val="Hyperlink"/>
                <w:noProof/>
              </w:rPr>
              <w:t>3. Technological Sovereignty: TCE and Supply Chain Resilience</w:t>
            </w:r>
            <w:r>
              <w:rPr>
                <w:noProof/>
                <w:webHidden/>
              </w:rPr>
              <w:tab/>
            </w:r>
            <w:r>
              <w:rPr>
                <w:noProof/>
                <w:webHidden/>
              </w:rPr>
              <w:fldChar w:fldCharType="begin"/>
            </w:r>
            <w:r>
              <w:rPr>
                <w:noProof/>
                <w:webHidden/>
              </w:rPr>
              <w:instrText xml:space="preserve"> PAGEREF _Toc228204904 \h </w:instrText>
            </w:r>
            <w:r>
              <w:rPr>
                <w:noProof/>
                <w:webHidden/>
              </w:rPr>
            </w:r>
            <w:r>
              <w:rPr>
                <w:noProof/>
                <w:webHidden/>
              </w:rPr>
              <w:fldChar w:fldCharType="separate"/>
            </w:r>
            <w:r>
              <w:rPr>
                <w:noProof/>
                <w:webHidden/>
              </w:rPr>
              <w:t>9</w:t>
            </w:r>
            <w:r>
              <w:rPr>
                <w:noProof/>
                <w:webHidden/>
              </w:rPr>
              <w:fldChar w:fldCharType="end"/>
            </w:r>
          </w:hyperlink>
        </w:p>
        <w:p w14:paraId="7CD837AC" w14:textId="3F43D40F"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05" w:history="1">
            <w:r w:rsidRPr="00C819D5">
              <w:rPr>
                <w:rStyle w:val="Hyperlink"/>
                <w:noProof/>
              </w:rPr>
              <w:t>3.1 The Make-or-Buy Cloud Dilemma and Vendor Lock-In</w:t>
            </w:r>
            <w:r>
              <w:rPr>
                <w:noProof/>
                <w:webHidden/>
              </w:rPr>
              <w:tab/>
            </w:r>
            <w:r>
              <w:rPr>
                <w:noProof/>
                <w:webHidden/>
              </w:rPr>
              <w:fldChar w:fldCharType="begin"/>
            </w:r>
            <w:r>
              <w:rPr>
                <w:noProof/>
                <w:webHidden/>
              </w:rPr>
              <w:instrText xml:space="preserve"> PAGEREF _Toc228204905 \h </w:instrText>
            </w:r>
            <w:r>
              <w:rPr>
                <w:noProof/>
                <w:webHidden/>
              </w:rPr>
            </w:r>
            <w:r>
              <w:rPr>
                <w:noProof/>
                <w:webHidden/>
              </w:rPr>
              <w:fldChar w:fldCharType="separate"/>
            </w:r>
            <w:r>
              <w:rPr>
                <w:noProof/>
                <w:webHidden/>
              </w:rPr>
              <w:t>9</w:t>
            </w:r>
            <w:r>
              <w:rPr>
                <w:noProof/>
                <w:webHidden/>
              </w:rPr>
              <w:fldChar w:fldCharType="end"/>
            </w:r>
          </w:hyperlink>
        </w:p>
        <w:p w14:paraId="0DDCC9C8" w14:textId="1B095ACC"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06" w:history="1">
            <w:r w:rsidRPr="00C819D5">
              <w:rPr>
                <w:rStyle w:val="Hyperlink"/>
                <w:noProof/>
              </w:rPr>
              <w:t>3.2 Environmental Impact and Sustainable Supply Chains</w:t>
            </w:r>
            <w:r>
              <w:rPr>
                <w:noProof/>
                <w:webHidden/>
              </w:rPr>
              <w:tab/>
            </w:r>
            <w:r>
              <w:rPr>
                <w:noProof/>
                <w:webHidden/>
              </w:rPr>
              <w:fldChar w:fldCharType="begin"/>
            </w:r>
            <w:r>
              <w:rPr>
                <w:noProof/>
                <w:webHidden/>
              </w:rPr>
              <w:instrText xml:space="preserve"> PAGEREF _Toc228204906 \h </w:instrText>
            </w:r>
            <w:r>
              <w:rPr>
                <w:noProof/>
                <w:webHidden/>
              </w:rPr>
            </w:r>
            <w:r>
              <w:rPr>
                <w:noProof/>
                <w:webHidden/>
              </w:rPr>
              <w:fldChar w:fldCharType="separate"/>
            </w:r>
            <w:r>
              <w:rPr>
                <w:noProof/>
                <w:webHidden/>
              </w:rPr>
              <w:t>11</w:t>
            </w:r>
            <w:r>
              <w:rPr>
                <w:noProof/>
                <w:webHidden/>
              </w:rPr>
              <w:fldChar w:fldCharType="end"/>
            </w:r>
          </w:hyperlink>
        </w:p>
        <w:p w14:paraId="6A35C0B7" w14:textId="2E5BC1BC"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07" w:history="1">
            <w:r w:rsidRPr="00C819D5">
              <w:rPr>
                <w:rStyle w:val="Hyperlink"/>
                <w:noProof/>
              </w:rPr>
              <w:t>4. Strategic Positioning and Internal Capabilities</w:t>
            </w:r>
            <w:r>
              <w:rPr>
                <w:noProof/>
                <w:webHidden/>
              </w:rPr>
              <w:tab/>
            </w:r>
            <w:r>
              <w:rPr>
                <w:noProof/>
                <w:webHidden/>
              </w:rPr>
              <w:fldChar w:fldCharType="begin"/>
            </w:r>
            <w:r>
              <w:rPr>
                <w:noProof/>
                <w:webHidden/>
              </w:rPr>
              <w:instrText xml:space="preserve"> PAGEREF _Toc228204907 \h </w:instrText>
            </w:r>
            <w:r>
              <w:rPr>
                <w:noProof/>
                <w:webHidden/>
              </w:rPr>
            </w:r>
            <w:r>
              <w:rPr>
                <w:noProof/>
                <w:webHidden/>
              </w:rPr>
              <w:fldChar w:fldCharType="separate"/>
            </w:r>
            <w:r>
              <w:rPr>
                <w:noProof/>
                <w:webHidden/>
              </w:rPr>
              <w:t>11</w:t>
            </w:r>
            <w:r>
              <w:rPr>
                <w:noProof/>
                <w:webHidden/>
              </w:rPr>
              <w:fldChar w:fldCharType="end"/>
            </w:r>
          </w:hyperlink>
        </w:p>
        <w:p w14:paraId="2B2F1C20" w14:textId="2F626A0C"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08" w:history="1">
            <w:r w:rsidRPr="00C819D5">
              <w:rPr>
                <w:rStyle w:val="Hyperlink"/>
                <w:noProof/>
              </w:rPr>
              <w:t>4.1 The Resource-Based View and the VRIO Framework</w:t>
            </w:r>
            <w:r>
              <w:rPr>
                <w:noProof/>
                <w:webHidden/>
              </w:rPr>
              <w:tab/>
            </w:r>
            <w:r>
              <w:rPr>
                <w:noProof/>
                <w:webHidden/>
              </w:rPr>
              <w:fldChar w:fldCharType="begin"/>
            </w:r>
            <w:r>
              <w:rPr>
                <w:noProof/>
                <w:webHidden/>
              </w:rPr>
              <w:instrText xml:space="preserve"> PAGEREF _Toc228204908 \h </w:instrText>
            </w:r>
            <w:r>
              <w:rPr>
                <w:noProof/>
                <w:webHidden/>
              </w:rPr>
            </w:r>
            <w:r>
              <w:rPr>
                <w:noProof/>
                <w:webHidden/>
              </w:rPr>
              <w:fldChar w:fldCharType="separate"/>
            </w:r>
            <w:r>
              <w:rPr>
                <w:noProof/>
                <w:webHidden/>
              </w:rPr>
              <w:t>11</w:t>
            </w:r>
            <w:r>
              <w:rPr>
                <w:noProof/>
                <w:webHidden/>
              </w:rPr>
              <w:fldChar w:fldCharType="end"/>
            </w:r>
          </w:hyperlink>
        </w:p>
        <w:p w14:paraId="4956C3D4" w14:textId="0D4A4CF2"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09" w:history="1">
            <w:r w:rsidRPr="00C819D5">
              <w:rPr>
                <w:rStyle w:val="Hyperlink"/>
                <w:noProof/>
              </w:rPr>
              <w:t>4.2 Aligning Architecture via the McKinsey 7S Framework</w:t>
            </w:r>
            <w:r>
              <w:rPr>
                <w:noProof/>
                <w:webHidden/>
              </w:rPr>
              <w:tab/>
            </w:r>
            <w:r>
              <w:rPr>
                <w:noProof/>
                <w:webHidden/>
              </w:rPr>
              <w:fldChar w:fldCharType="begin"/>
            </w:r>
            <w:r>
              <w:rPr>
                <w:noProof/>
                <w:webHidden/>
              </w:rPr>
              <w:instrText xml:space="preserve"> PAGEREF _Toc228204909 \h </w:instrText>
            </w:r>
            <w:r>
              <w:rPr>
                <w:noProof/>
                <w:webHidden/>
              </w:rPr>
            </w:r>
            <w:r>
              <w:rPr>
                <w:noProof/>
                <w:webHidden/>
              </w:rPr>
              <w:fldChar w:fldCharType="separate"/>
            </w:r>
            <w:r>
              <w:rPr>
                <w:noProof/>
                <w:webHidden/>
              </w:rPr>
              <w:t>12</w:t>
            </w:r>
            <w:r>
              <w:rPr>
                <w:noProof/>
                <w:webHidden/>
              </w:rPr>
              <w:fldChar w:fldCharType="end"/>
            </w:r>
          </w:hyperlink>
        </w:p>
        <w:p w14:paraId="20A36B71" w14:textId="3F5A257B"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10" w:history="1">
            <w:r w:rsidRPr="00C819D5">
              <w:rPr>
                <w:rStyle w:val="Hyperlink"/>
                <w:noProof/>
              </w:rPr>
              <w:t>4.3 Competitor Analysis: JPMorgan Chase's Internalisation Strategy</w:t>
            </w:r>
            <w:r>
              <w:rPr>
                <w:noProof/>
                <w:webHidden/>
              </w:rPr>
              <w:tab/>
            </w:r>
            <w:r>
              <w:rPr>
                <w:noProof/>
                <w:webHidden/>
              </w:rPr>
              <w:fldChar w:fldCharType="begin"/>
            </w:r>
            <w:r>
              <w:rPr>
                <w:noProof/>
                <w:webHidden/>
              </w:rPr>
              <w:instrText xml:space="preserve"> PAGEREF _Toc228204910 \h </w:instrText>
            </w:r>
            <w:r>
              <w:rPr>
                <w:noProof/>
                <w:webHidden/>
              </w:rPr>
            </w:r>
            <w:r>
              <w:rPr>
                <w:noProof/>
                <w:webHidden/>
              </w:rPr>
              <w:fldChar w:fldCharType="separate"/>
            </w:r>
            <w:r>
              <w:rPr>
                <w:noProof/>
                <w:webHidden/>
              </w:rPr>
              <w:t>14</w:t>
            </w:r>
            <w:r>
              <w:rPr>
                <w:noProof/>
                <w:webHidden/>
              </w:rPr>
              <w:fldChar w:fldCharType="end"/>
            </w:r>
          </w:hyperlink>
        </w:p>
        <w:p w14:paraId="385D9635" w14:textId="00DB94A1"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11" w:history="1">
            <w:r w:rsidRPr="00C819D5">
              <w:rPr>
                <w:rStyle w:val="Hyperlink"/>
                <w:noProof/>
              </w:rPr>
              <w:t>5. Algorithmic Fairness, Inequality, and Socio-Economic Risk</w:t>
            </w:r>
            <w:r>
              <w:rPr>
                <w:noProof/>
                <w:webHidden/>
              </w:rPr>
              <w:tab/>
            </w:r>
            <w:r>
              <w:rPr>
                <w:noProof/>
                <w:webHidden/>
              </w:rPr>
              <w:fldChar w:fldCharType="begin"/>
            </w:r>
            <w:r>
              <w:rPr>
                <w:noProof/>
                <w:webHidden/>
              </w:rPr>
              <w:instrText xml:space="preserve"> PAGEREF _Toc228204911 \h </w:instrText>
            </w:r>
            <w:r>
              <w:rPr>
                <w:noProof/>
                <w:webHidden/>
              </w:rPr>
            </w:r>
            <w:r>
              <w:rPr>
                <w:noProof/>
                <w:webHidden/>
              </w:rPr>
              <w:fldChar w:fldCharType="separate"/>
            </w:r>
            <w:r>
              <w:rPr>
                <w:noProof/>
                <w:webHidden/>
              </w:rPr>
              <w:t>15</w:t>
            </w:r>
            <w:r>
              <w:rPr>
                <w:noProof/>
                <w:webHidden/>
              </w:rPr>
              <w:fldChar w:fldCharType="end"/>
            </w:r>
          </w:hyperlink>
        </w:p>
        <w:p w14:paraId="79584605" w14:textId="25DFE423"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12" w:history="1">
            <w:r w:rsidRPr="00C819D5">
              <w:rPr>
                <w:rStyle w:val="Hyperlink"/>
                <w:noProof/>
              </w:rPr>
              <w:t>5.1 Stakeholder Theory vs. Shareholder Primacy</w:t>
            </w:r>
            <w:r>
              <w:rPr>
                <w:noProof/>
                <w:webHidden/>
              </w:rPr>
              <w:tab/>
            </w:r>
            <w:r>
              <w:rPr>
                <w:noProof/>
                <w:webHidden/>
              </w:rPr>
              <w:fldChar w:fldCharType="begin"/>
            </w:r>
            <w:r>
              <w:rPr>
                <w:noProof/>
                <w:webHidden/>
              </w:rPr>
              <w:instrText xml:space="preserve"> PAGEREF _Toc228204912 \h </w:instrText>
            </w:r>
            <w:r>
              <w:rPr>
                <w:noProof/>
                <w:webHidden/>
              </w:rPr>
            </w:r>
            <w:r>
              <w:rPr>
                <w:noProof/>
                <w:webHidden/>
              </w:rPr>
              <w:fldChar w:fldCharType="separate"/>
            </w:r>
            <w:r>
              <w:rPr>
                <w:noProof/>
                <w:webHidden/>
              </w:rPr>
              <w:t>15</w:t>
            </w:r>
            <w:r>
              <w:rPr>
                <w:noProof/>
                <w:webHidden/>
              </w:rPr>
              <w:fldChar w:fldCharType="end"/>
            </w:r>
          </w:hyperlink>
        </w:p>
        <w:p w14:paraId="4A8314B1" w14:textId="41271182"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13" w:history="1">
            <w:r w:rsidRPr="00C819D5">
              <w:rPr>
                <w:rStyle w:val="Hyperlink"/>
                <w:noProof/>
              </w:rPr>
              <w:t>5.2 Digital Redlining, the Gini Coefficient, and the Palma Ratio</w:t>
            </w:r>
            <w:r>
              <w:rPr>
                <w:noProof/>
                <w:webHidden/>
              </w:rPr>
              <w:tab/>
            </w:r>
            <w:r>
              <w:rPr>
                <w:noProof/>
                <w:webHidden/>
              </w:rPr>
              <w:fldChar w:fldCharType="begin"/>
            </w:r>
            <w:r>
              <w:rPr>
                <w:noProof/>
                <w:webHidden/>
              </w:rPr>
              <w:instrText xml:space="preserve"> PAGEREF _Toc228204913 \h </w:instrText>
            </w:r>
            <w:r>
              <w:rPr>
                <w:noProof/>
                <w:webHidden/>
              </w:rPr>
            </w:r>
            <w:r>
              <w:rPr>
                <w:noProof/>
                <w:webHidden/>
              </w:rPr>
              <w:fldChar w:fldCharType="separate"/>
            </w:r>
            <w:r>
              <w:rPr>
                <w:noProof/>
                <w:webHidden/>
              </w:rPr>
              <w:t>15</w:t>
            </w:r>
            <w:r>
              <w:rPr>
                <w:noProof/>
                <w:webHidden/>
              </w:rPr>
              <w:fldChar w:fldCharType="end"/>
            </w:r>
          </w:hyperlink>
        </w:p>
        <w:p w14:paraId="21BDB347" w14:textId="6EDC8C68"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14" w:history="1">
            <w:r w:rsidRPr="00C819D5">
              <w:rPr>
                <w:rStyle w:val="Hyperlink"/>
                <w:noProof/>
              </w:rPr>
              <w:t>6. Cross-Cultural Change Management and Leadership</w:t>
            </w:r>
            <w:r>
              <w:rPr>
                <w:noProof/>
                <w:webHidden/>
              </w:rPr>
              <w:tab/>
            </w:r>
            <w:r>
              <w:rPr>
                <w:noProof/>
                <w:webHidden/>
              </w:rPr>
              <w:fldChar w:fldCharType="begin"/>
            </w:r>
            <w:r>
              <w:rPr>
                <w:noProof/>
                <w:webHidden/>
              </w:rPr>
              <w:instrText xml:space="preserve"> PAGEREF _Toc228204914 \h </w:instrText>
            </w:r>
            <w:r>
              <w:rPr>
                <w:noProof/>
                <w:webHidden/>
              </w:rPr>
            </w:r>
            <w:r>
              <w:rPr>
                <w:noProof/>
                <w:webHidden/>
              </w:rPr>
              <w:fldChar w:fldCharType="separate"/>
            </w:r>
            <w:r>
              <w:rPr>
                <w:noProof/>
                <w:webHidden/>
              </w:rPr>
              <w:t>17</w:t>
            </w:r>
            <w:r>
              <w:rPr>
                <w:noProof/>
                <w:webHidden/>
              </w:rPr>
              <w:fldChar w:fldCharType="end"/>
            </w:r>
          </w:hyperlink>
        </w:p>
        <w:p w14:paraId="059370A1" w14:textId="059D3DD9"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15" w:history="1">
            <w:r w:rsidRPr="00C819D5">
              <w:rPr>
                <w:rStyle w:val="Hyperlink"/>
                <w:noProof/>
              </w:rPr>
              <w:t>6.1 Overcoming the 93% Human Barrier</w:t>
            </w:r>
            <w:r>
              <w:rPr>
                <w:noProof/>
                <w:webHidden/>
              </w:rPr>
              <w:tab/>
            </w:r>
            <w:r>
              <w:rPr>
                <w:noProof/>
                <w:webHidden/>
              </w:rPr>
              <w:fldChar w:fldCharType="begin"/>
            </w:r>
            <w:r>
              <w:rPr>
                <w:noProof/>
                <w:webHidden/>
              </w:rPr>
              <w:instrText xml:space="preserve"> PAGEREF _Toc228204915 \h </w:instrText>
            </w:r>
            <w:r>
              <w:rPr>
                <w:noProof/>
                <w:webHidden/>
              </w:rPr>
            </w:r>
            <w:r>
              <w:rPr>
                <w:noProof/>
                <w:webHidden/>
              </w:rPr>
              <w:fldChar w:fldCharType="separate"/>
            </w:r>
            <w:r>
              <w:rPr>
                <w:noProof/>
                <w:webHidden/>
              </w:rPr>
              <w:t>17</w:t>
            </w:r>
            <w:r>
              <w:rPr>
                <w:noProof/>
                <w:webHidden/>
              </w:rPr>
              <w:fldChar w:fldCharType="end"/>
            </w:r>
          </w:hyperlink>
        </w:p>
        <w:p w14:paraId="04548F0F" w14:textId="2FFB2067" w:rsidR="005232EB" w:rsidRDefault="005232EB">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28204916" w:history="1">
            <w:r w:rsidRPr="00C819D5">
              <w:rPr>
                <w:rStyle w:val="Hyperlink"/>
                <w:noProof/>
              </w:rPr>
              <w:t>6.2 Hofstede’s Dimensions in Global Rollouts</w:t>
            </w:r>
            <w:r>
              <w:rPr>
                <w:noProof/>
                <w:webHidden/>
              </w:rPr>
              <w:tab/>
            </w:r>
            <w:r>
              <w:rPr>
                <w:noProof/>
                <w:webHidden/>
              </w:rPr>
              <w:fldChar w:fldCharType="begin"/>
            </w:r>
            <w:r>
              <w:rPr>
                <w:noProof/>
                <w:webHidden/>
              </w:rPr>
              <w:instrText xml:space="preserve"> PAGEREF _Toc228204916 \h </w:instrText>
            </w:r>
            <w:r>
              <w:rPr>
                <w:noProof/>
                <w:webHidden/>
              </w:rPr>
            </w:r>
            <w:r>
              <w:rPr>
                <w:noProof/>
                <w:webHidden/>
              </w:rPr>
              <w:fldChar w:fldCharType="separate"/>
            </w:r>
            <w:r>
              <w:rPr>
                <w:noProof/>
                <w:webHidden/>
              </w:rPr>
              <w:t>18</w:t>
            </w:r>
            <w:r>
              <w:rPr>
                <w:noProof/>
                <w:webHidden/>
              </w:rPr>
              <w:fldChar w:fldCharType="end"/>
            </w:r>
          </w:hyperlink>
        </w:p>
        <w:p w14:paraId="3B00D943" w14:textId="16C93FA3"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17" w:history="1">
            <w:r w:rsidRPr="00C819D5">
              <w:rPr>
                <w:rStyle w:val="Hyperlink"/>
                <w:noProof/>
              </w:rPr>
              <w:t>7. Strategic Implementation Roadmap and Risk Mitigation</w:t>
            </w:r>
            <w:r>
              <w:rPr>
                <w:noProof/>
                <w:webHidden/>
              </w:rPr>
              <w:tab/>
            </w:r>
            <w:r>
              <w:rPr>
                <w:noProof/>
                <w:webHidden/>
              </w:rPr>
              <w:fldChar w:fldCharType="begin"/>
            </w:r>
            <w:r>
              <w:rPr>
                <w:noProof/>
                <w:webHidden/>
              </w:rPr>
              <w:instrText xml:space="preserve"> PAGEREF _Toc228204917 \h </w:instrText>
            </w:r>
            <w:r>
              <w:rPr>
                <w:noProof/>
                <w:webHidden/>
              </w:rPr>
            </w:r>
            <w:r>
              <w:rPr>
                <w:noProof/>
                <w:webHidden/>
              </w:rPr>
              <w:fldChar w:fldCharType="separate"/>
            </w:r>
            <w:r>
              <w:rPr>
                <w:noProof/>
                <w:webHidden/>
              </w:rPr>
              <w:t>21</w:t>
            </w:r>
            <w:r>
              <w:rPr>
                <w:noProof/>
                <w:webHidden/>
              </w:rPr>
              <w:fldChar w:fldCharType="end"/>
            </w:r>
          </w:hyperlink>
        </w:p>
        <w:p w14:paraId="2A9BBCA1" w14:textId="76FFBFE5"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18" w:history="1">
            <w:r w:rsidRPr="00C819D5">
              <w:rPr>
                <w:rStyle w:val="Hyperlink"/>
                <w:noProof/>
              </w:rPr>
              <w:t>8. Conclusion and Final Recommendations</w:t>
            </w:r>
            <w:r>
              <w:rPr>
                <w:noProof/>
                <w:webHidden/>
              </w:rPr>
              <w:tab/>
            </w:r>
            <w:r>
              <w:rPr>
                <w:noProof/>
                <w:webHidden/>
              </w:rPr>
              <w:fldChar w:fldCharType="begin"/>
            </w:r>
            <w:r>
              <w:rPr>
                <w:noProof/>
                <w:webHidden/>
              </w:rPr>
              <w:instrText xml:space="preserve"> PAGEREF _Toc228204918 \h </w:instrText>
            </w:r>
            <w:r>
              <w:rPr>
                <w:noProof/>
                <w:webHidden/>
              </w:rPr>
            </w:r>
            <w:r>
              <w:rPr>
                <w:noProof/>
                <w:webHidden/>
              </w:rPr>
              <w:fldChar w:fldCharType="separate"/>
            </w:r>
            <w:r>
              <w:rPr>
                <w:noProof/>
                <w:webHidden/>
              </w:rPr>
              <w:t>23</w:t>
            </w:r>
            <w:r>
              <w:rPr>
                <w:noProof/>
                <w:webHidden/>
              </w:rPr>
              <w:fldChar w:fldCharType="end"/>
            </w:r>
          </w:hyperlink>
        </w:p>
        <w:p w14:paraId="33A0256F" w14:textId="407B9FF0" w:rsidR="005232EB" w:rsidRDefault="005232EB">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28204919" w:history="1">
            <w:r w:rsidRPr="00C819D5">
              <w:rPr>
                <w:rStyle w:val="Hyperlink"/>
                <w:noProof/>
              </w:rPr>
              <w:t>9. Bibliography</w:t>
            </w:r>
            <w:r>
              <w:rPr>
                <w:noProof/>
                <w:webHidden/>
              </w:rPr>
              <w:tab/>
            </w:r>
            <w:r>
              <w:rPr>
                <w:noProof/>
                <w:webHidden/>
              </w:rPr>
              <w:fldChar w:fldCharType="begin"/>
            </w:r>
            <w:r>
              <w:rPr>
                <w:noProof/>
                <w:webHidden/>
              </w:rPr>
              <w:instrText xml:space="preserve"> PAGEREF _Toc228204919 \h </w:instrText>
            </w:r>
            <w:r>
              <w:rPr>
                <w:noProof/>
                <w:webHidden/>
              </w:rPr>
            </w:r>
            <w:r>
              <w:rPr>
                <w:noProof/>
                <w:webHidden/>
              </w:rPr>
              <w:fldChar w:fldCharType="separate"/>
            </w:r>
            <w:r>
              <w:rPr>
                <w:noProof/>
                <w:webHidden/>
              </w:rPr>
              <w:t>24</w:t>
            </w:r>
            <w:r>
              <w:rPr>
                <w:noProof/>
                <w:webHidden/>
              </w:rPr>
              <w:fldChar w:fldCharType="end"/>
            </w:r>
          </w:hyperlink>
        </w:p>
        <w:p w14:paraId="1A2266A8" w14:textId="21C8EEF7" w:rsidR="00FC5018" w:rsidRDefault="00FC5018">
          <w:r>
            <w:rPr>
              <w:b/>
              <w:bCs/>
              <w:noProof/>
            </w:rPr>
            <w:fldChar w:fldCharType="end"/>
          </w:r>
        </w:p>
      </w:sdtContent>
    </w:sdt>
    <w:p w14:paraId="0504E66B" w14:textId="6D9E946C" w:rsidR="00AE19DD" w:rsidRPr="00FC5018" w:rsidRDefault="00FC5018" w:rsidP="00FC5018">
      <w:pPr>
        <w:spacing w:line="240" w:lineRule="auto"/>
        <w:jc w:val="left"/>
      </w:pPr>
      <w:r>
        <w:br w:type="page"/>
      </w:r>
    </w:p>
    <w:p w14:paraId="0000001E" w14:textId="77777777" w:rsidR="00FA4316" w:rsidRPr="008F1357" w:rsidRDefault="00000000" w:rsidP="00BA1CEC">
      <w:pPr>
        <w:pStyle w:val="Heading1"/>
      </w:pPr>
      <w:bookmarkStart w:id="1" w:name="_Toc228202680"/>
      <w:bookmarkStart w:id="2" w:name="_Toc228204899"/>
      <w:r w:rsidRPr="008F1357">
        <w:lastRenderedPageBreak/>
        <w:t>Executive Summary</w:t>
      </w:r>
      <w:bookmarkEnd w:id="1"/>
      <w:bookmarkEnd w:id="2"/>
    </w:p>
    <w:p w14:paraId="77AC1331" w14:textId="77777777"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The following strategic advisory document provides a critical examination of the deep institutional vulnerabilities and governance mandates brought about by HSBC Holdings plc’s global rollout of autonomous artificial intelligence. In the global banking industry's definitive adoption of agentic artificial intelligence (AI) able to execute complex capital orchestration and offer real-time risk assessments, technological advantage has become a pivotal point of competition. Nonetheless, this rapid shift leaves HSBC in a dangerous situation, vulnerable to fragmented regulatory regimes, the serious socio-economic and global risks of "digital redlining" and significant operational resistance from human employees.</w:t>
      </w:r>
    </w:p>
    <w:p w14:paraId="1F6934E4" w14:textId="1F3DBAF4"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Shifting focus from traditional operational audits, this briefing is a line and staff brief from the perspective of latest academic theories including Institutional Theory, Transaction Cost Economics (TCE), Resource-Based View (RBV) and Stakeholder Theory for the Board of Directors. The analysis scrutinises the contrasting regulatory climates of the </w:t>
      </w:r>
      <w:r w:rsidR="00A24A19" w:rsidRPr="008F1357">
        <w:rPr>
          <w:rFonts w:cs="Times New Roman"/>
          <w:color w:val="1F1F1F"/>
        </w:rPr>
        <w:t>United States</w:t>
      </w:r>
      <w:r w:rsidRPr="008F1357">
        <w:rPr>
          <w:rFonts w:cs="Times New Roman"/>
          <w:color w:val="1F1F1F"/>
        </w:rPr>
        <w:t xml:space="preserve"> and United Kingdom, from the responsive Financial Conduct Authority (FCA) dominated model to the highly prescriptive US National Institute of Standards and Technology (NIST) AI Risk Management Framework. Moreover, the report highlights the huge supply chain risks inherent in reliance on big cloud providers, explaining why HSBC needs to maintain tight internal governance of the corporate algorithm kernel, to prevent control by the vendors.</w:t>
      </w:r>
    </w:p>
    <w:p w14:paraId="00000021" w14:textId="221ECC7F" w:rsidR="00FA4316"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Finally, the report demonstrates that if artificial intelligence is viewed solely from a technological standpoint, this will only result in institutional failure. To ensure sustained and market leading positions, it is crucial for HSBC to establish an independent AI Ethics Committee, rigorously enforce the robust US NIST standards across all global offices to reconcile normative isomorphism, and prioritise culturally sensitive leadership. Only in this way can the firm break down human-centric barriers to scaling AI in enterprise.</w:t>
      </w:r>
    </w:p>
    <w:p w14:paraId="0F2AADD2" w14:textId="735B00F1" w:rsidR="00AE19DD" w:rsidRPr="008F1357" w:rsidRDefault="00AE19DD" w:rsidP="00AE19DD">
      <w:pPr>
        <w:rPr>
          <w:rFonts w:cs="Times New Roman"/>
          <w:color w:val="1F1F1F"/>
        </w:rPr>
      </w:pPr>
      <w:r w:rsidRPr="008F1357">
        <w:rPr>
          <w:rFonts w:cs="Times New Roman"/>
          <w:color w:val="1F1F1F"/>
        </w:rPr>
        <w:br w:type="page"/>
      </w:r>
    </w:p>
    <w:p w14:paraId="0381AE4E" w14:textId="24368899" w:rsidR="00FC5018" w:rsidRDefault="00FC5018"/>
    <w:p w14:paraId="00000023" w14:textId="7A3BDBD1" w:rsidR="00FA4316" w:rsidRPr="008F1357" w:rsidRDefault="00000000" w:rsidP="008F1357">
      <w:pPr>
        <w:pStyle w:val="Heading1"/>
      </w:pPr>
      <w:bookmarkStart w:id="3" w:name="_Toc228202681"/>
      <w:bookmarkStart w:id="4" w:name="_Toc228204900"/>
      <w:r w:rsidRPr="008F1357">
        <w:t>1. Introduction: The Agentic AI Era and Corporate Governance</w:t>
      </w:r>
      <w:bookmarkEnd w:id="3"/>
      <w:bookmarkEnd w:id="4"/>
    </w:p>
    <w:p w14:paraId="56A3F733" w14:textId="31400FE7"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By the year 2026, the worldwide financial services landscape has undeniably transitioned into a transformative era. Having progressed beyond the theoretical limits of machine learning, providers have now fundamentally integrated autonomous artificial intelligence. Now, AI underpins the operational backbone of commercial and capital markets globally (</w:t>
      </w:r>
      <w:proofErr w:type="spellStart"/>
      <w:r w:rsidRPr="008F1357">
        <w:rPr>
          <w:rFonts w:cs="Times New Roman"/>
          <w:color w:val="1F1F1F"/>
        </w:rPr>
        <w:t>Businesstats</w:t>
      </w:r>
      <w:proofErr w:type="spellEnd"/>
      <w:r w:rsidRPr="008F1357">
        <w:rPr>
          <w:rFonts w:cs="Times New Roman"/>
          <w:color w:val="1F1F1F"/>
        </w:rPr>
        <w:t>, 20</w:t>
      </w:r>
      <w:r w:rsidR="007C7D12">
        <w:rPr>
          <w:rFonts w:cs="Times New Roman"/>
          <w:color w:val="1F1F1F"/>
        </w:rPr>
        <w:t>2</w:t>
      </w:r>
      <w:r w:rsidRPr="008F1357">
        <w:rPr>
          <w:rFonts w:cs="Times New Roman"/>
          <w:color w:val="1F1F1F"/>
        </w:rPr>
        <w:t xml:space="preserve">6). The technology has progressed from predictive analytics, which merely model the likelihood of events using past data, to more advanced "agentic AI". These systems can independently initiate and complete complicated, multistep processes. Occurring in an unstable macroeconomic backdrop characterised by uncertain central bank policies, lacklustre global growth and fierce margin pressures (Sloman, Wride and Garratt, 2018; Sloman and Jones, 2020), this digital revolution offers </w:t>
      </w:r>
      <w:r w:rsidR="007C7D12" w:rsidRPr="008F1357">
        <w:rPr>
          <w:rFonts w:cs="Times New Roman"/>
          <w:color w:val="1F1F1F"/>
        </w:rPr>
        <w:t>unprecedented</w:t>
      </w:r>
      <w:r w:rsidRPr="008F1357">
        <w:rPr>
          <w:rFonts w:cs="Times New Roman"/>
          <w:color w:val="1F1F1F"/>
        </w:rPr>
        <w:t xml:space="preserve"> opportunities for cost and process acceleration. However, carefully managing such transformation is a </w:t>
      </w:r>
      <w:r w:rsidR="007C7D12" w:rsidRPr="007C7D12">
        <w:rPr>
          <w:rFonts w:cs="Times New Roman"/>
          <w:color w:val="1F1F1F"/>
        </w:rPr>
        <w:t>formidable challenge</w:t>
      </w:r>
      <w:r w:rsidRPr="008F1357">
        <w:rPr>
          <w:rFonts w:cs="Times New Roman"/>
          <w:color w:val="1F1F1F"/>
        </w:rPr>
        <w:t xml:space="preserve"> for legacy institutions burdened by legacy technology (</w:t>
      </w:r>
      <w:proofErr w:type="spellStart"/>
      <w:r w:rsidRPr="008F1357">
        <w:rPr>
          <w:rFonts w:cs="Times New Roman"/>
          <w:color w:val="1F1F1F"/>
        </w:rPr>
        <w:t>Abonamah</w:t>
      </w:r>
      <w:proofErr w:type="spellEnd"/>
      <w:r w:rsidRPr="008F1357">
        <w:rPr>
          <w:rFonts w:cs="Times New Roman"/>
          <w:color w:val="1F1F1F"/>
        </w:rPr>
        <w:t xml:space="preserve"> and Abdelhamid, 2024; Madanchian and </w:t>
      </w:r>
      <w:proofErr w:type="spellStart"/>
      <w:r w:rsidRPr="008F1357">
        <w:rPr>
          <w:rFonts w:cs="Times New Roman"/>
          <w:color w:val="1F1F1F"/>
        </w:rPr>
        <w:t>Taherdoost</w:t>
      </w:r>
      <w:proofErr w:type="spellEnd"/>
      <w:r w:rsidRPr="008F1357">
        <w:rPr>
          <w:rFonts w:cs="Times New Roman"/>
          <w:color w:val="1F1F1F"/>
        </w:rPr>
        <w:t xml:space="preserve">, 2025). As illustrated by Xu et al. (2024), the use of artificial intelligence to enhance risk management dramatically shifts the speed and efficiency of regulatory compliance, </w:t>
      </w:r>
      <w:proofErr w:type="gramStart"/>
      <w:r w:rsidRPr="008F1357">
        <w:rPr>
          <w:rFonts w:cs="Times New Roman"/>
          <w:color w:val="1F1F1F"/>
        </w:rPr>
        <w:t>as long as</w:t>
      </w:r>
      <w:proofErr w:type="gramEnd"/>
      <w:r w:rsidRPr="008F1357">
        <w:rPr>
          <w:rFonts w:cs="Times New Roman"/>
          <w:color w:val="1F1F1F"/>
        </w:rPr>
        <w:t xml:space="preserve"> broader governance frameworks are robust enough for managing machines that make its own decisions.</w:t>
      </w:r>
    </w:p>
    <w:p w14:paraId="00000025" w14:textId="1146CA5B" w:rsidR="00FA4316"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For a systemically important financial institution like HSBC Holdings plc, the undertaking of agentic AI precursory work represents an epic "science-push" advancement. As originally proposed by Schumpeter (1942), science-push innovations show how major technological breakthroughs, and not consumer preference, drive innovation in an "innovator's world". The global economic perspective of this transformation requires contextualising the banking industry within its breadth. Recent projections suggest that global commercial banking revenues will reach a total of 3.79 trillion USD by 2026, managing 13 billion individual account relationships worldwide (IBISWorld</w:t>
      </w:r>
      <w:r w:rsidR="007C7D12">
        <w:rPr>
          <w:rFonts w:cs="Times New Roman"/>
          <w:color w:val="1F1F1F"/>
        </w:rPr>
        <w:t>,</w:t>
      </w:r>
      <w:r w:rsidRPr="008F1357">
        <w:rPr>
          <w:rFonts w:cs="Times New Roman"/>
          <w:color w:val="1F1F1F"/>
        </w:rPr>
        <w:t xml:space="preserve"> 2026). Questions of technological sovereignty are huge for HSBC because the nature of agentic AI must be understood within these numbers. The latest algorithms are now reshaping consumer lending and risk assessment, automating complex corporate insurance policies, and processing anti-money laundering (AML) scans with unprecedented speed and accuracy, with financial institutions saving 15 million USD a year on average (for large institutions </w:t>
      </w:r>
      <w:r w:rsidRPr="008F1357">
        <w:rPr>
          <w:rFonts w:cs="Times New Roman"/>
          <w:color w:val="1F1F1F"/>
        </w:rPr>
        <w:lastRenderedPageBreak/>
        <w:t>with $1 billion in assets) on false positive detections, which have been reduced by 40% to 60% (</w:t>
      </w:r>
      <w:proofErr w:type="spellStart"/>
      <w:r w:rsidRPr="008F1357">
        <w:rPr>
          <w:rFonts w:cs="Times New Roman"/>
          <w:color w:val="1F1F1F"/>
        </w:rPr>
        <w:t>Gitnux</w:t>
      </w:r>
      <w:proofErr w:type="spellEnd"/>
      <w:r w:rsidRPr="008F1357">
        <w:rPr>
          <w:rFonts w:cs="Times New Roman"/>
          <w:color w:val="1F1F1F"/>
        </w:rPr>
        <w:t>, 2023). Yet, the Board of Directors must recognise that a frenzied dash towards adopting AI introduces unprecedented risks with data, ethics and reputational risks. This digital transformation is set to be undertaken within a heightened socio-economic backdrop, in which public trust (just 20%) in large-scale institutions remains shaky in the shadow of past decades of financial crises (Statista, 2026; Steger, 2021).</w:t>
      </w:r>
    </w:p>
    <w:p w14:paraId="052A8A77" w14:textId="77777777" w:rsidR="00E93832" w:rsidRPr="008F1357" w:rsidRDefault="00E93832" w:rsidP="00E93832">
      <w:pPr>
        <w:keepNext/>
        <w:pBdr>
          <w:top w:val="nil"/>
          <w:left w:val="nil"/>
          <w:bottom w:val="nil"/>
          <w:right w:val="nil"/>
          <w:between w:val="nil"/>
        </w:pBdr>
        <w:spacing w:after="240"/>
      </w:pPr>
      <w:r w:rsidRPr="008F1357">
        <w:rPr>
          <w:noProof/>
        </w:rPr>
        <w:drawing>
          <wp:inline distT="0" distB="0" distL="0" distR="0" wp14:anchorId="36ED671C" wp14:editId="22E409FD">
            <wp:extent cx="5943600" cy="5305425"/>
            <wp:effectExtent l="0" t="0" r="0" b="9525"/>
            <wp:docPr id="573274150" name="Picture 1" descr="Infographic: Few Americans Trust Institutions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Few Americans Trust Institutions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305425"/>
                    </a:xfrm>
                    <a:prstGeom prst="rect">
                      <a:avLst/>
                    </a:prstGeom>
                    <a:noFill/>
                    <a:ln>
                      <a:noFill/>
                    </a:ln>
                  </pic:spPr>
                </pic:pic>
              </a:graphicData>
            </a:graphic>
          </wp:inline>
        </w:drawing>
      </w:r>
    </w:p>
    <w:p w14:paraId="46B61670" w14:textId="37928FF3" w:rsidR="00E93832" w:rsidRPr="008F1357" w:rsidRDefault="00E93832" w:rsidP="00E93832">
      <w:pPr>
        <w:pStyle w:val="Caption"/>
        <w:jc w:val="center"/>
        <w:rPr>
          <w:rFonts w:cs="Times New Roman"/>
          <w:color w:val="1F1F1F"/>
        </w:rPr>
      </w:pPr>
      <w:r w:rsidRPr="008F1357">
        <w:t xml:space="preserve">Figure </w:t>
      </w:r>
      <w:r w:rsidRPr="008F1357">
        <w:fldChar w:fldCharType="begin"/>
      </w:r>
      <w:r w:rsidRPr="008F1357">
        <w:instrText xml:space="preserve"> SEQ Figure \* ARABIC </w:instrText>
      </w:r>
      <w:r w:rsidRPr="008F1357">
        <w:fldChar w:fldCharType="separate"/>
      </w:r>
      <w:r w:rsidR="002C5E2C">
        <w:rPr>
          <w:noProof/>
        </w:rPr>
        <w:t>1</w:t>
      </w:r>
      <w:r w:rsidRPr="008F1357">
        <w:fldChar w:fldCharType="end"/>
      </w:r>
      <w:r w:rsidRPr="008F1357">
        <w:t>: Few Americans Trust Institutions (</w:t>
      </w:r>
      <w:r w:rsidRPr="008F1357">
        <w:rPr>
          <w:rFonts w:cs="Times New Roman"/>
          <w:color w:val="1F1F1F"/>
        </w:rPr>
        <w:t>Statista, 2026)</w:t>
      </w:r>
    </w:p>
    <w:p w14:paraId="6D063A16" w14:textId="155BCE4F"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Given HSBC's historical fight for international compliance with anti-money laundering rules, artificial intelligence governance must be viewed as a critical board-level issue - not simply an </w:t>
      </w:r>
      <w:r w:rsidRPr="008F1357">
        <w:rPr>
          <w:rFonts w:cs="Times New Roman"/>
          <w:color w:val="1F1F1F"/>
        </w:rPr>
        <w:lastRenderedPageBreak/>
        <w:t>operational concern left to the IT manager. Corporate governance has existed since the Cadbury Report (1992) to resolve the "agency problem" of a fundamental clash of interests between the shareholders and the top management of corporations. Cadbury established three non-negotiable tenets of leadership: accountability, probity and transparency. The advent of AI supercharges this agency problem and seriously threatens these pillars. In the current era, data engineers and closed-source algorithms hold a very large, very cloaked influence over international financial markets and set up a dangerous power imbalance between technical experts and the Board. Managers are made to sign off on software frameworks they do</w:t>
      </w:r>
      <w:r w:rsidR="00A24A19">
        <w:rPr>
          <w:rFonts w:cs="Times New Roman"/>
          <w:color w:val="1F1F1F"/>
        </w:rPr>
        <w:t xml:space="preserve"> </w:t>
      </w:r>
      <w:r w:rsidR="00A24A19" w:rsidRPr="008F1357">
        <w:rPr>
          <w:rFonts w:cs="Times New Roman"/>
          <w:color w:val="1F1F1F"/>
        </w:rPr>
        <w:t>not</w:t>
      </w:r>
      <w:r w:rsidRPr="008F1357">
        <w:rPr>
          <w:rFonts w:cs="Times New Roman"/>
          <w:color w:val="1F1F1F"/>
        </w:rPr>
        <w:t xml:space="preserve"> understand (module code, for instance), directly violating the accountability mandate. As such, twenty-first-century corporate governance requires C-suite executives to proactively act as organisational guardians, interpret warring international regulatory responses and avoid severe fines resulting from unfair AI models (Tan, 2024).</w:t>
      </w:r>
    </w:p>
    <w:p w14:paraId="22EF3EA7" w14:textId="77777777" w:rsidR="008F1357" w:rsidRPr="008F1357" w:rsidRDefault="008F1357" w:rsidP="008F1357">
      <w:pPr>
        <w:pStyle w:val="Heading1"/>
      </w:pPr>
      <w:bookmarkStart w:id="5" w:name="_Toc228202682"/>
      <w:bookmarkStart w:id="6" w:name="_Toc228204901"/>
      <w:r w:rsidRPr="008F1357">
        <w:t>2. The Transatlantic Regulatory Divide: Navigating Institutional Isomorphism</w:t>
      </w:r>
      <w:bookmarkEnd w:id="5"/>
      <w:bookmarkEnd w:id="6"/>
    </w:p>
    <w:p w14:paraId="4F434C6E" w14:textId="77777777"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In rolling out its artificial intelligence systems across the globe, HSBC must grapple with divergent regulatory regimes. Institutional Theory (DiMaggio and Powell, 1983) suggests organisations must respond to the dominant imperatives of the environment to survive and remain legitimate. The theory suggests three distinct forces of isomorphic change shaping businesses. The Board needs to anticipate these various pressures when designing a compliant global network.</w:t>
      </w:r>
    </w:p>
    <w:p w14:paraId="63D807E7" w14:textId="19AF6EA5"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The first is coercive isomorphism that symbolise the explicit, mandatory influence of government laws and regulations, statutory standards and directives from central bank authorities. The second force is mimetic isomorphism, which explains the practice of firms imitating the business models of the most prominent firms during periods of high market uncertainty. In banking, </w:t>
      </w:r>
      <w:r w:rsidR="00BD257F" w:rsidRPr="00BD257F">
        <w:rPr>
          <w:rFonts w:cs="Times New Roman"/>
          <w:color w:val="1F1F1F"/>
        </w:rPr>
        <w:t>mimetic isomorphism presents a severe systemic threat</w:t>
      </w:r>
      <w:r w:rsidRPr="008F1357">
        <w:rPr>
          <w:rFonts w:cs="Times New Roman"/>
          <w:color w:val="1F1F1F"/>
        </w:rPr>
        <w:t xml:space="preserve">. Just as all financial institutions copied flawed, underlying collateralised debt obligation (CDO) models that preceded the 2008 global economic downturn (Levitt and Dubner, 2007), a situation that sees multiple international banks mindlessly replicate no more than the same initial AI models sourced from the same cloud computing firm could see simultaneous, catastrophic "flash crashes" across global markets. </w:t>
      </w:r>
      <w:r w:rsidR="00BD257F" w:rsidRPr="00BD257F">
        <w:rPr>
          <w:rFonts w:cs="Times New Roman"/>
          <w:color w:val="1F1F1F"/>
        </w:rPr>
        <w:t xml:space="preserve">The third isomorphic </w:t>
      </w:r>
      <w:r w:rsidR="00BD257F" w:rsidRPr="00BD257F">
        <w:rPr>
          <w:rFonts w:cs="Times New Roman"/>
          <w:color w:val="1F1F1F"/>
        </w:rPr>
        <w:lastRenderedPageBreak/>
        <w:t>force is normative isomorphism, which occurs when</w:t>
      </w:r>
      <w:r w:rsidR="00BD257F">
        <w:rPr>
          <w:rFonts w:cs="Times New Roman"/>
          <w:color w:val="1F1F1F"/>
        </w:rPr>
        <w:t xml:space="preserve"> </w:t>
      </w:r>
      <w:r w:rsidRPr="008F1357">
        <w:rPr>
          <w:rFonts w:cs="Times New Roman"/>
          <w:color w:val="1F1F1F"/>
        </w:rPr>
        <w:t>the intercorporate mobility of specialised professionals, such as information scientists and compliance ethicists who implement a shared set of professional norms from one organisation to another. For HSBC, the most important strategic risk is navigating the widening coercive regulatory gap between the market dominant UK and the United States.</w:t>
      </w:r>
    </w:p>
    <w:p w14:paraId="71B410FE" w14:textId="77777777" w:rsidR="008F1357" w:rsidRPr="008F1357" w:rsidRDefault="008F1357" w:rsidP="008F1357">
      <w:pPr>
        <w:pStyle w:val="Heading2"/>
      </w:pPr>
      <w:bookmarkStart w:id="7" w:name="_Toc228202683"/>
      <w:bookmarkStart w:id="8" w:name="_Toc228204902"/>
      <w:r w:rsidRPr="008F1357">
        <w:t>2.1 The UK's FCA-Led Agile Framework and Consumer Duty</w:t>
      </w:r>
      <w:bookmarkEnd w:id="7"/>
      <w:bookmarkEnd w:id="8"/>
    </w:p>
    <w:p w14:paraId="23FCC594" w14:textId="2A4F15BE"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Instead of a blanket legislative bill on artificial intelligence, the UK's regulatory strategy emphasises a multifaceted and innovation-promoting approach (UK Government, 20</w:t>
      </w:r>
      <w:r w:rsidR="007C7D12">
        <w:rPr>
          <w:rFonts w:cs="Times New Roman"/>
          <w:color w:val="1F1F1F"/>
        </w:rPr>
        <w:t>2</w:t>
      </w:r>
      <w:r w:rsidRPr="008F1357">
        <w:rPr>
          <w:rFonts w:cs="Times New Roman"/>
          <w:color w:val="1F1F1F"/>
        </w:rPr>
        <w:t>6). The UK government encourages existing industry-specific regulators, such as the Financial Conduct Authority (FCA) and the Prudential Regulation Authority (PRA), to provide guidance based on broad principles of safety, robustness, and explainability, among others.</w:t>
      </w:r>
    </w:p>
    <w:p w14:paraId="0000002C" w14:textId="3334886C" w:rsidR="00FA4316"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This strategy provides rapid technological experimentation for domestic HSBC operations, and a relatively modest short-term regulatory cost. Since the FCA has a natural understanding of financial markets, its regulatory framework for AI is highly specialised to the banking context, rather than clumsy impositions of social media regulations. On the other hand, this distributed approach leads to considerable long-term uncertainty. Crucially, the FCA's signature "Consumer Duty" rule, brought in to ensure banks and other firms can and must act to deliver good outcomes for retail consumers (FCA, 2022) explicitly contradicts the opacity of AI black boxes. If a powerful neural network rejects credit for a Small and Medium-sized Enterprise (SME) without an apparent rationale, then the bank breaches the Consumer Duty obligation to offer a clear explanation. This leaves HSBC's lawyers and compliance officers in a delicate conundrum between corporate pressures for faster AI efficiency and the peremptory legal need for human comprehensibility.</w:t>
      </w:r>
    </w:p>
    <w:p w14:paraId="0000002D" w14:textId="77777777" w:rsidR="00FA4316" w:rsidRPr="008F1357" w:rsidRDefault="00000000" w:rsidP="008F1357">
      <w:pPr>
        <w:pStyle w:val="Heading2"/>
      </w:pPr>
      <w:bookmarkStart w:id="9" w:name="_Toc228202684"/>
      <w:bookmarkStart w:id="10" w:name="_Toc228204903"/>
      <w:r w:rsidRPr="008F1357">
        <w:t>2.2 The US NIST AI RMF 1.0 as a Global Benchmark</w:t>
      </w:r>
      <w:bookmarkEnd w:id="9"/>
      <w:bookmarkEnd w:id="10"/>
    </w:p>
    <w:p w14:paraId="7D6A0E2F" w14:textId="7853280E"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In contrast, the US has heavily </w:t>
      </w:r>
      <w:r w:rsidR="00BD257F" w:rsidRPr="00BD257F">
        <w:rPr>
          <w:rFonts w:cs="Times New Roman"/>
          <w:color w:val="1F1F1F"/>
        </w:rPr>
        <w:t>championed</w:t>
      </w:r>
      <w:r w:rsidR="00BD257F">
        <w:rPr>
          <w:rFonts w:cs="Times New Roman"/>
          <w:color w:val="1F1F1F"/>
        </w:rPr>
        <w:t xml:space="preserve"> </w:t>
      </w:r>
      <w:r w:rsidRPr="008F1357">
        <w:rPr>
          <w:rFonts w:cs="Times New Roman"/>
          <w:color w:val="1F1F1F"/>
        </w:rPr>
        <w:t xml:space="preserve">the NIST AI Risk Management Framework (NIST, 2023). While initially proposed as a non-binding protocol rather than binding law, the NIST AI Risk Management Framework (RMF) has almost overnight become the de facto global protocol for corporate AI risk management. This trend has been hastened by the excessive normative and coercive grounds of US federal regulators who now consider the framework to represent the </w:t>
      </w:r>
      <w:r w:rsidRPr="008F1357">
        <w:rPr>
          <w:rFonts w:cs="Times New Roman"/>
          <w:color w:val="1F1F1F"/>
        </w:rPr>
        <w:lastRenderedPageBreak/>
        <w:t>standard of corporate care. The protocol demands intensive and ongoing auditing under the four pillars: Govern, Map, Measure and Manage.</w:t>
      </w:r>
    </w:p>
    <w:p w14:paraId="68AF0F5E" w14:textId="77777777" w:rsid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For the successful integration of artificial intelligence technologies in the highly lucrative US market, HSBC needs to flawlessly operate in these four categories:</w:t>
      </w:r>
    </w:p>
    <w:p w14:paraId="5B8D86AE" w14:textId="77777777" w:rsidR="00A24A19" w:rsidRDefault="00A24A19" w:rsidP="00A24A19">
      <w:pPr>
        <w:keepNext/>
        <w:pBdr>
          <w:top w:val="nil"/>
          <w:left w:val="nil"/>
          <w:bottom w:val="nil"/>
          <w:right w:val="nil"/>
          <w:between w:val="nil"/>
        </w:pBdr>
        <w:spacing w:after="240"/>
      </w:pPr>
      <w:r>
        <w:rPr>
          <w:rFonts w:cs="Times New Roman"/>
          <w:noProof/>
          <w:color w:val="1F1F1F"/>
        </w:rPr>
        <w:drawing>
          <wp:inline distT="0" distB="0" distL="0" distR="0" wp14:anchorId="15537174" wp14:editId="58B51DAA">
            <wp:extent cx="6496050" cy="4476750"/>
            <wp:effectExtent l="19050" t="0" r="19050" b="19050"/>
            <wp:docPr id="4511990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7145F77" w14:textId="7364AC8C" w:rsidR="00A24A19" w:rsidRPr="008F1357" w:rsidRDefault="00A24A19" w:rsidP="00A24A19">
      <w:pPr>
        <w:pStyle w:val="Caption"/>
        <w:jc w:val="center"/>
        <w:rPr>
          <w:rFonts w:cs="Times New Roman"/>
          <w:color w:val="1F1F1F"/>
        </w:rPr>
      </w:pPr>
      <w:r>
        <w:t xml:space="preserve">Figure </w:t>
      </w:r>
      <w:r>
        <w:fldChar w:fldCharType="begin"/>
      </w:r>
      <w:r>
        <w:instrText xml:space="preserve"> SEQ Figure \* ARABIC </w:instrText>
      </w:r>
      <w:r>
        <w:fldChar w:fldCharType="separate"/>
      </w:r>
      <w:r w:rsidR="002C5E2C">
        <w:rPr>
          <w:noProof/>
        </w:rPr>
        <w:t>2</w:t>
      </w:r>
      <w:r>
        <w:fldChar w:fldCharType="end"/>
      </w:r>
      <w:r>
        <w:t>:Four Pillars of t</w:t>
      </w:r>
      <w:r w:rsidRPr="00CC78EA">
        <w:t>he US NIST AI RMF 1.0</w:t>
      </w:r>
    </w:p>
    <w:p w14:paraId="71B77118" w14:textId="77777777"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Key regulators are now using compliance to the NIST framework to assess a bank's internal risk management processes. Failing to identify the downstream implications of an autonomous trading bot puts the bank at great risk of incurring significant penalties. As such, to ensure robust integration of these transatlantic standards, HSBC should continue to implement the US NIST AI RMF 1.0 globally. In doing so, HSBC enjoys "normative isomorphism" (DiMaggio and Powell, 1983) voluntarily adhering to the highest international professional standards, regardless of the </w:t>
      </w:r>
      <w:r w:rsidRPr="008F1357">
        <w:rPr>
          <w:rFonts w:cs="Times New Roman"/>
          <w:color w:val="1F1F1F"/>
        </w:rPr>
        <w:lastRenderedPageBreak/>
        <w:t>UK's regulatory demeanour. Attempting to maintain different compliance systems, a relaxed system in Europe and a fortified system in the US, presents dangerous complexity and risks with international data transfers.</w:t>
      </w:r>
    </w:p>
    <w:p w14:paraId="257A9344" w14:textId="77777777" w:rsidR="008F1357" w:rsidRPr="008F1357" w:rsidRDefault="008F1357" w:rsidP="008F1357">
      <w:pPr>
        <w:pStyle w:val="Heading1"/>
      </w:pPr>
      <w:bookmarkStart w:id="11" w:name="_Toc228202685"/>
      <w:bookmarkStart w:id="12" w:name="_Toc228204904"/>
      <w:r w:rsidRPr="008F1357">
        <w:t>3. Technological Sovereignty: TCE and Supply Chain Resilience</w:t>
      </w:r>
      <w:bookmarkEnd w:id="11"/>
      <w:bookmarkEnd w:id="12"/>
    </w:p>
    <w:p w14:paraId="6A7060C2" w14:textId="64782F62"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Worldwide rollout of artificial intelligence forces the Board to navigate a key "make or buy" decision on the bank's digital supply chain</w:t>
      </w:r>
      <w:r w:rsidR="00E029AA">
        <w:rPr>
          <w:rFonts w:cs="Times New Roman"/>
          <w:color w:val="1F1F1F"/>
        </w:rPr>
        <w:t xml:space="preserve"> </w:t>
      </w:r>
      <w:r w:rsidR="00E029AA" w:rsidRPr="00E029AA">
        <w:rPr>
          <w:rFonts w:cs="Times New Roman"/>
          <w:color w:val="1F1F1F"/>
        </w:rPr>
        <w:t>(Hamilton and Webster, 2018)</w:t>
      </w:r>
      <w:r w:rsidR="00E029AA">
        <w:rPr>
          <w:rFonts w:cs="Times New Roman"/>
          <w:color w:val="1F1F1F"/>
        </w:rPr>
        <w:t>.</w:t>
      </w:r>
      <w:r w:rsidRPr="008F1357">
        <w:rPr>
          <w:rFonts w:cs="Times New Roman"/>
          <w:color w:val="1F1F1F"/>
        </w:rPr>
        <w:t xml:space="preserve"> The question of in-house development or outsourcing to the technology giants is pivotal for the bank's future sovereignty and resilience.</w:t>
      </w:r>
    </w:p>
    <w:p w14:paraId="743CD022" w14:textId="77777777" w:rsidR="008F1357" w:rsidRPr="008F1357" w:rsidRDefault="008F1357" w:rsidP="008F1357">
      <w:pPr>
        <w:pStyle w:val="Heading2"/>
      </w:pPr>
      <w:bookmarkStart w:id="13" w:name="_Toc228202686"/>
      <w:bookmarkStart w:id="14" w:name="_Toc228204905"/>
      <w:r w:rsidRPr="008F1357">
        <w:t>3.1 The Make-or-Buy Cloud Dilemma and Vendor Lock-In</w:t>
      </w:r>
      <w:bookmarkEnd w:id="13"/>
      <w:bookmarkEnd w:id="14"/>
    </w:p>
    <w:p w14:paraId="5C09AA80" w14:textId="78CFBDD6" w:rsid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Transaction Cost Economics (TCE) is the best framework for appraising this decision-making dilemma (Williamson, 1981) and can be supported by contemporary principles of managerial economics (Baye, 2017; </w:t>
      </w:r>
      <w:r w:rsidR="00E029AA" w:rsidRPr="00E029AA">
        <w:rPr>
          <w:rFonts w:cs="Times New Roman"/>
          <w:color w:val="1F1F1F"/>
        </w:rPr>
        <w:t>Griffiths and Wall, 2011</w:t>
      </w:r>
      <w:r w:rsidR="00E029AA">
        <w:rPr>
          <w:rFonts w:cs="Times New Roman"/>
          <w:color w:val="1F1F1F"/>
        </w:rPr>
        <w:t xml:space="preserve">; </w:t>
      </w:r>
      <w:proofErr w:type="spellStart"/>
      <w:r w:rsidRPr="008F1357">
        <w:rPr>
          <w:rFonts w:cs="Times New Roman"/>
          <w:color w:val="1F1F1F"/>
        </w:rPr>
        <w:t>Png</w:t>
      </w:r>
      <w:proofErr w:type="spellEnd"/>
      <w:r w:rsidRPr="008F1357">
        <w:rPr>
          <w:rFonts w:cs="Times New Roman"/>
          <w:color w:val="1F1F1F"/>
        </w:rPr>
        <w:t xml:space="preserve"> and Lehman, 2007; Samuelson and Marks, 2014). TCE compares the relative cost structures involved with planning, adapting and managing business processes under alternate governance arrangements. It is based on three fundamental insights about human and organisational limitations:</w:t>
      </w:r>
    </w:p>
    <w:p w14:paraId="690098D8" w14:textId="77777777" w:rsidR="00A24A19" w:rsidRDefault="00A24A19" w:rsidP="00A24A19">
      <w:pPr>
        <w:keepNext/>
        <w:pBdr>
          <w:top w:val="nil"/>
          <w:left w:val="nil"/>
          <w:bottom w:val="nil"/>
          <w:right w:val="nil"/>
          <w:between w:val="nil"/>
        </w:pBdr>
        <w:spacing w:after="240"/>
      </w:pPr>
      <w:r>
        <w:rPr>
          <w:rFonts w:cs="Times New Roman"/>
          <w:noProof/>
          <w:color w:val="1F1F1F"/>
        </w:rPr>
        <w:drawing>
          <wp:inline distT="0" distB="0" distL="0" distR="0" wp14:anchorId="3F64AA32" wp14:editId="19529F1D">
            <wp:extent cx="6057900" cy="2952750"/>
            <wp:effectExtent l="38100" t="0" r="38100" b="0"/>
            <wp:docPr id="186923728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E3A007E" w14:textId="0597E086" w:rsidR="00A24A19" w:rsidRPr="008F1357" w:rsidRDefault="00A24A19" w:rsidP="00A24A19">
      <w:pPr>
        <w:pStyle w:val="Caption"/>
        <w:jc w:val="center"/>
        <w:rPr>
          <w:rFonts w:cs="Times New Roman"/>
          <w:color w:val="1F1F1F"/>
        </w:rPr>
      </w:pPr>
      <w:r>
        <w:t xml:space="preserve">Figure </w:t>
      </w:r>
      <w:r>
        <w:fldChar w:fldCharType="begin"/>
      </w:r>
      <w:r>
        <w:instrText xml:space="preserve"> SEQ Figure \* ARABIC </w:instrText>
      </w:r>
      <w:r>
        <w:fldChar w:fldCharType="separate"/>
      </w:r>
      <w:r w:rsidR="002C5E2C">
        <w:rPr>
          <w:noProof/>
        </w:rPr>
        <w:t>3</w:t>
      </w:r>
      <w:r>
        <w:fldChar w:fldCharType="end"/>
      </w:r>
      <w:r>
        <w:t xml:space="preserve">: </w:t>
      </w:r>
      <w:r w:rsidRPr="00B07456">
        <w:t xml:space="preserve">Three Fundamental Insights About Human </w:t>
      </w:r>
      <w:proofErr w:type="gramStart"/>
      <w:r w:rsidRPr="00B07456">
        <w:t>And</w:t>
      </w:r>
      <w:proofErr w:type="gramEnd"/>
      <w:r w:rsidRPr="00B07456">
        <w:t xml:space="preserve"> Organisational Limitations</w:t>
      </w:r>
    </w:p>
    <w:p w14:paraId="7F6A3C7F" w14:textId="77777777"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lastRenderedPageBreak/>
        <w:t>To date, HSBC is also highly reliant on technology partnerships with the likes of Google Cloud, Microsoft Azure and Amazon Web Services to power its generative AI. But developing algorithmic intelligence is highly asset specific (Smith et al., 2012). Although multinational corporations frequently employ "captive offshoring" (Tallman, 2011) to reduce costs in their conventional manufacturing, this exact same offshoring approach taken with a bank's algorithmic brain is highly risky.</w:t>
      </w:r>
    </w:p>
    <w:p w14:paraId="299FCB46" w14:textId="5E308231"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Informed by its technology partnerships with Google Cloud (Google Cloud, 2023), HSBC, under CEO Georges Elhedery's direction, is in the process of proposing to eliminate up to 20,000 jobs (around 10 percent) of its global workforce (MLQ AI, 2026). </w:t>
      </w:r>
      <w:r w:rsidR="00AF42A7" w:rsidRPr="00AF42A7">
        <w:rPr>
          <w:rFonts w:cs="Times New Roman"/>
          <w:color w:val="1F1F1F"/>
        </w:rPr>
        <w:t>The implementation of an AI-driven 'Dynamic Risk Assessment' architecture successfully slashed AML false positives by upwards of 60 percent (Google Cloud, 2023; HSBC, 2023), effectively removing the requirement for thousands of human compliance investigators in the middle and back-office (MLQ AI, 2026)</w:t>
      </w:r>
      <w:r w:rsidRPr="008F1357">
        <w:rPr>
          <w:rFonts w:cs="Times New Roman"/>
          <w:color w:val="1F1F1F"/>
        </w:rPr>
        <w:t xml:space="preserve">. This situation epitomises the TCE warning about outsourcing. If HSBC outsources the logical processing layer of its AI entirely to a third party, this unavoidable bounded rationality of the contract combined with the possibility of opportunism by the vendor spreads an unacceptable level of risk. This scenario creates a serious risk for "vendor lock-in". But if HSBC moves its entire credit profiling system and AML system to a single vendor and that vendor then exploits its market power to increase the price of processing credit risk and AML by 40 percent, HSBC will be stuck. The astronomical switching costs in such a catastrophic situation, involving enormous capital expenditures, </w:t>
      </w:r>
      <w:r w:rsidR="007C7D12" w:rsidRPr="007C7D12">
        <w:rPr>
          <w:rFonts w:cs="Times New Roman"/>
          <w:color w:val="1F1F1F"/>
        </w:rPr>
        <w:t>severe</w:t>
      </w:r>
      <w:r w:rsidRPr="008F1357">
        <w:rPr>
          <w:rFonts w:cs="Times New Roman"/>
          <w:color w:val="1F1F1F"/>
        </w:rPr>
        <w:t xml:space="preserve"> service disruptions and major compliance issues to disentangle highly specialised data systems of one provider from another, is prohibitively expensive.</w:t>
      </w:r>
    </w:p>
    <w:p w14:paraId="72460F13" w14:textId="5B4231C4"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To get out of this bind, some financial institutions engage in "multihoming" strategies, such as using multiple competing AI ecosystems to maintain bargaining power (Zhou et al., 2025). Yet, multihoming amply increases in-house technological complexity and vulnerabilities to cyberattacks. Also, as Yang and Li (2025) in their study of transnational data governance, over-dependency on foreign cloud networks leads to serious problems relating to data sovereignty (particularly interchange between Asian and European legal firms. Thus, TCE strongly recommends that </w:t>
      </w:r>
      <w:r w:rsidR="00BD257F" w:rsidRPr="00BD257F">
        <w:rPr>
          <w:rFonts w:cs="Times New Roman"/>
          <w:color w:val="1F1F1F"/>
        </w:rPr>
        <w:t>while HSBC can safely lease commodity processing power and server storage, the institution must strictly internalise its proprietary decision algorithms</w:t>
      </w:r>
      <w:r w:rsidR="00BD257F">
        <w:rPr>
          <w:rFonts w:cs="Times New Roman"/>
          <w:color w:val="1F1F1F"/>
        </w:rPr>
        <w:t xml:space="preserve"> </w:t>
      </w:r>
      <w:r w:rsidRPr="008F1357">
        <w:rPr>
          <w:rFonts w:cs="Times New Roman"/>
          <w:color w:val="1F1F1F"/>
        </w:rPr>
        <w:t xml:space="preserve">and data governance processes in house. By ensuring technological sovereignty, HSBC will avoid the pitfall of having </w:t>
      </w:r>
      <w:r w:rsidRPr="008F1357">
        <w:rPr>
          <w:rFonts w:cs="Times New Roman"/>
          <w:color w:val="1F1F1F"/>
        </w:rPr>
        <w:lastRenderedPageBreak/>
        <w:t>technology vendors sidestep banks in the future to offer end-customer services.</w:t>
      </w:r>
    </w:p>
    <w:p w14:paraId="04BD3328" w14:textId="77777777" w:rsidR="008F1357" w:rsidRPr="008F1357" w:rsidRDefault="008F1357" w:rsidP="008F1357">
      <w:pPr>
        <w:pStyle w:val="Heading2"/>
      </w:pPr>
      <w:bookmarkStart w:id="15" w:name="_Toc228202687"/>
      <w:bookmarkStart w:id="16" w:name="_Toc228204906"/>
      <w:r w:rsidRPr="008F1357">
        <w:t>3.2 Environmental Impact and Sustainable Supply Chains</w:t>
      </w:r>
      <w:bookmarkEnd w:id="15"/>
      <w:bookmarkEnd w:id="16"/>
    </w:p>
    <w:p w14:paraId="00000040" w14:textId="696044B2" w:rsidR="00FA4316"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Finally, the environmental impact of the gigantic outsourced digital supply chain must be taken into consideration. Training sophisticated Large Language Models requires gigantic data centres that produce massive carbon emissions and require gigantic amounts of water for cooling. As delineated by Klassen, </w:t>
      </w:r>
      <w:proofErr w:type="spellStart"/>
      <w:r w:rsidRPr="008F1357">
        <w:rPr>
          <w:rFonts w:cs="Times New Roman"/>
          <w:color w:val="1F1F1F"/>
        </w:rPr>
        <w:t>Gualandris</w:t>
      </w:r>
      <w:proofErr w:type="spellEnd"/>
      <w:r w:rsidRPr="008F1357">
        <w:rPr>
          <w:rFonts w:cs="Times New Roman"/>
          <w:color w:val="1F1F1F"/>
        </w:rPr>
        <w:t xml:space="preserve"> and Diebel (2020) in sustainable networks of commerce, companies are under intense public scrutiny for the environmental damage inflicted by their entire multi-level supply chains, from beyond their corporate offices. Therefore, HSBC must carefully analyse the renewable energy practices of its cloud partners to ensure that a ruthless quest for wider market share and domination in the field of artificial intelligence does not inadvertently cause the bank's highly acclaimed ESG (Environmental, Social and Governance) and "Net Zero" ammunition to backfire.</w:t>
      </w:r>
    </w:p>
    <w:p w14:paraId="00000041" w14:textId="77777777" w:rsidR="00FA4316" w:rsidRPr="008F1357" w:rsidRDefault="00000000" w:rsidP="008F1357">
      <w:pPr>
        <w:pStyle w:val="Heading1"/>
      </w:pPr>
      <w:bookmarkStart w:id="17" w:name="_Toc228202688"/>
      <w:bookmarkStart w:id="18" w:name="_Toc228204907"/>
      <w:r w:rsidRPr="008F1357">
        <w:t>4. Strategic Positioning and Internal Capabilities</w:t>
      </w:r>
      <w:bookmarkEnd w:id="17"/>
      <w:bookmarkEnd w:id="18"/>
    </w:p>
    <w:p w14:paraId="27BA0168" w14:textId="77777777" w:rsidR="008F1357" w:rsidRPr="008F1357" w:rsidRDefault="008F1357" w:rsidP="008F1357">
      <w:pPr>
        <w:pBdr>
          <w:top w:val="nil"/>
          <w:left w:val="nil"/>
          <w:bottom w:val="nil"/>
          <w:right w:val="nil"/>
          <w:between w:val="nil"/>
        </w:pBdr>
        <w:spacing w:after="240"/>
        <w:rPr>
          <w:rFonts w:cs="Times New Roman"/>
          <w:color w:val="1F1F1F"/>
        </w:rPr>
      </w:pPr>
      <w:proofErr w:type="gramStart"/>
      <w:r w:rsidRPr="008F1357">
        <w:rPr>
          <w:rFonts w:cs="Times New Roman"/>
          <w:color w:val="1F1F1F"/>
        </w:rPr>
        <w:t>In order to</w:t>
      </w:r>
      <w:proofErr w:type="gramEnd"/>
      <w:r w:rsidRPr="008F1357">
        <w:rPr>
          <w:rFonts w:cs="Times New Roman"/>
          <w:color w:val="1F1F1F"/>
        </w:rPr>
        <w:t xml:space="preserve"> successfully counter the increasingly mobile and digital threat of the new generation of fintech disruptors, HSBC needs to effectively leverage on its legacy assets through careful internal coordination and skill evaluations.</w:t>
      </w:r>
    </w:p>
    <w:p w14:paraId="25D4CA73" w14:textId="77777777" w:rsidR="008F1357" w:rsidRPr="008F1357" w:rsidRDefault="008F1357" w:rsidP="008F1357">
      <w:pPr>
        <w:pStyle w:val="Heading2"/>
      </w:pPr>
      <w:bookmarkStart w:id="19" w:name="_Toc228202689"/>
      <w:bookmarkStart w:id="20" w:name="_Toc228204908"/>
      <w:r w:rsidRPr="008F1357">
        <w:t>4.1 The Resource-Based View and the VRIO Framework</w:t>
      </w:r>
      <w:bookmarkEnd w:id="19"/>
      <w:bookmarkEnd w:id="20"/>
    </w:p>
    <w:p w14:paraId="6F67652E" w14:textId="5BECDB24"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The Resource-Based View (RBV) argues that </w:t>
      </w:r>
      <w:r w:rsidR="00AF42A7" w:rsidRPr="00AF42A7">
        <w:rPr>
          <w:rFonts w:cs="Times New Roman"/>
          <w:color w:val="1F1F1F"/>
        </w:rPr>
        <w:t>an enterprise secures enduring competitive dominance only by developing assets</w:t>
      </w:r>
      <w:r w:rsidRPr="008F1357">
        <w:rPr>
          <w:rFonts w:cs="Times New Roman"/>
          <w:color w:val="1F1F1F"/>
        </w:rPr>
        <w:t xml:space="preserve"> by investing in assets that meet the criteria of the VRIO matrix: Valuable, Rare, Inimitable and Organisation-wide support (Barney, 1991). In assessing the HSBC vision to adopt artificial intelligence, the Board must consider whether the resources meet this four-fold criteria:</w:t>
      </w:r>
    </w:p>
    <w:p w14:paraId="6CA199E2" w14:textId="4E706FD2" w:rsidR="008F1357" w:rsidRPr="008F1357" w:rsidRDefault="008F1357" w:rsidP="008F1357">
      <w:pPr>
        <w:pStyle w:val="ListParagraph"/>
        <w:numPr>
          <w:ilvl w:val="0"/>
          <w:numId w:val="18"/>
        </w:numPr>
        <w:pBdr>
          <w:top w:val="nil"/>
          <w:left w:val="nil"/>
          <w:bottom w:val="nil"/>
          <w:right w:val="nil"/>
          <w:between w:val="nil"/>
        </w:pBdr>
        <w:spacing w:after="240"/>
        <w:rPr>
          <w:rFonts w:cs="Times New Roman"/>
          <w:color w:val="1F1F1F"/>
        </w:rPr>
      </w:pPr>
      <w:r w:rsidRPr="008F1357">
        <w:rPr>
          <w:rFonts w:cs="Times New Roman"/>
          <w:b/>
          <w:bCs/>
          <w:color w:val="1F1F1F"/>
        </w:rPr>
        <w:t>Valuable:</w:t>
      </w:r>
      <w:r w:rsidRPr="008F1357">
        <w:rPr>
          <w:rFonts w:cs="Times New Roman"/>
          <w:color w:val="1F1F1F"/>
        </w:rPr>
        <w:t xml:space="preserve"> Is the asset useful in capturing an opportunity or warding off a threat? Second-generation algorithms are clearly valuable; they will lease to dramatically reduce costs of processing and revealing new revenue opportunities.</w:t>
      </w:r>
    </w:p>
    <w:p w14:paraId="0E995CD4" w14:textId="2E122AAF" w:rsidR="008F1357" w:rsidRPr="008F1357" w:rsidRDefault="008F1357" w:rsidP="008F1357">
      <w:pPr>
        <w:pStyle w:val="ListParagraph"/>
        <w:numPr>
          <w:ilvl w:val="0"/>
          <w:numId w:val="18"/>
        </w:numPr>
        <w:pBdr>
          <w:top w:val="nil"/>
          <w:left w:val="nil"/>
          <w:bottom w:val="nil"/>
          <w:right w:val="nil"/>
          <w:between w:val="nil"/>
        </w:pBdr>
        <w:spacing w:after="240"/>
        <w:rPr>
          <w:rFonts w:cs="Times New Roman"/>
          <w:color w:val="1F1F1F"/>
        </w:rPr>
      </w:pPr>
      <w:r w:rsidRPr="008F1357">
        <w:rPr>
          <w:rFonts w:cs="Times New Roman"/>
          <w:b/>
          <w:bCs/>
          <w:color w:val="1F1F1F"/>
        </w:rPr>
        <w:t>Rare:</w:t>
      </w:r>
      <w:r w:rsidRPr="008F1357">
        <w:rPr>
          <w:rFonts w:cs="Times New Roman"/>
          <w:color w:val="1F1F1F"/>
        </w:rPr>
        <w:t xml:space="preserve"> Is the asset possessed by a relatively few competitors in the market? Given cloud </w:t>
      </w:r>
      <w:r w:rsidRPr="008F1357">
        <w:rPr>
          <w:rFonts w:cs="Times New Roman"/>
          <w:color w:val="1F1F1F"/>
        </w:rPr>
        <w:lastRenderedPageBreak/>
        <w:t>computing and the open-source software foundations of AI are rapidly becoming universally accessible via the Big Tech platforms, the underlying software code is no longer rare.</w:t>
      </w:r>
    </w:p>
    <w:p w14:paraId="2C8AEFE2" w14:textId="309672FB" w:rsidR="008F1357" w:rsidRPr="008F1357" w:rsidRDefault="008F1357" w:rsidP="008F1357">
      <w:pPr>
        <w:pStyle w:val="ListParagraph"/>
        <w:numPr>
          <w:ilvl w:val="0"/>
          <w:numId w:val="18"/>
        </w:numPr>
        <w:pBdr>
          <w:top w:val="nil"/>
          <w:left w:val="nil"/>
          <w:bottom w:val="nil"/>
          <w:right w:val="nil"/>
          <w:between w:val="nil"/>
        </w:pBdr>
        <w:spacing w:after="240"/>
        <w:rPr>
          <w:rFonts w:cs="Times New Roman"/>
          <w:color w:val="1F1F1F"/>
        </w:rPr>
      </w:pPr>
      <w:r w:rsidRPr="008F1357">
        <w:rPr>
          <w:rFonts w:cs="Times New Roman"/>
          <w:b/>
          <w:bCs/>
          <w:color w:val="1F1F1F"/>
        </w:rPr>
        <w:t>Inimitable:</w:t>
      </w:r>
      <w:r w:rsidRPr="008F1357">
        <w:rPr>
          <w:rFonts w:cs="Times New Roman"/>
          <w:color w:val="1F1F1F"/>
        </w:rPr>
        <w:t xml:space="preserve"> Would it be prohibitively costly or otherwise impossible for competitors to replicate? This is where HSBC has the huge advantage. Its enormous, well-established databases of historical transaction data, containing billions of global SWIFT transfers and its own, decades-long credit histories are indisputably inimitable.</w:t>
      </w:r>
    </w:p>
    <w:p w14:paraId="692173C9" w14:textId="44237BD7" w:rsidR="008F1357" w:rsidRPr="008F1357" w:rsidRDefault="00BD257F" w:rsidP="008F1357">
      <w:pPr>
        <w:pStyle w:val="ListParagraph"/>
        <w:numPr>
          <w:ilvl w:val="0"/>
          <w:numId w:val="18"/>
        </w:numPr>
        <w:pBdr>
          <w:top w:val="nil"/>
          <w:left w:val="nil"/>
          <w:bottom w:val="nil"/>
          <w:right w:val="nil"/>
          <w:between w:val="nil"/>
        </w:pBdr>
        <w:spacing w:after="240"/>
        <w:rPr>
          <w:rFonts w:cs="Times New Roman"/>
          <w:color w:val="1F1F1F"/>
        </w:rPr>
      </w:pPr>
      <w:r w:rsidRPr="00BD257F">
        <w:rPr>
          <w:rFonts w:cs="Times New Roman"/>
          <w:b/>
          <w:bCs/>
          <w:color w:val="1F1F1F"/>
        </w:rPr>
        <w:t>Organi</w:t>
      </w:r>
      <w:r>
        <w:rPr>
          <w:rFonts w:cs="Times New Roman"/>
          <w:b/>
          <w:bCs/>
          <w:color w:val="1F1F1F"/>
        </w:rPr>
        <w:t>s</w:t>
      </w:r>
      <w:r w:rsidRPr="00BD257F">
        <w:rPr>
          <w:rFonts w:cs="Times New Roman"/>
          <w:b/>
          <w:bCs/>
          <w:color w:val="1F1F1F"/>
        </w:rPr>
        <w:t>ation</w:t>
      </w:r>
      <w:r w:rsidR="008F1357" w:rsidRPr="008F1357">
        <w:rPr>
          <w:rFonts w:cs="Times New Roman"/>
          <w:b/>
          <w:bCs/>
          <w:color w:val="1F1F1F"/>
        </w:rPr>
        <w:t>:</w:t>
      </w:r>
      <w:r w:rsidR="008F1357" w:rsidRPr="008F1357">
        <w:rPr>
          <w:rFonts w:cs="Times New Roman"/>
          <w:color w:val="1F1F1F"/>
        </w:rPr>
        <w:t xml:space="preserve"> Does the corporation have the capability to collect value? If management is not adaptable, and departments are not integrated, no matter how many and how powerful the data sets, there is no business value (Barney, 1991; Johnson et al., 2020).</w:t>
      </w:r>
    </w:p>
    <w:p w14:paraId="147D4B44" w14:textId="77777777" w:rsidR="00A24A19" w:rsidRDefault="00A24A19" w:rsidP="00A24A19">
      <w:pPr>
        <w:keepNext/>
        <w:pBdr>
          <w:top w:val="nil"/>
          <w:left w:val="nil"/>
          <w:bottom w:val="nil"/>
          <w:right w:val="nil"/>
          <w:between w:val="nil"/>
        </w:pBdr>
        <w:spacing w:after="240"/>
      </w:pPr>
      <w:r w:rsidRPr="00A24A19">
        <w:rPr>
          <w:rFonts w:cs="Times New Roman"/>
          <w:noProof/>
          <w:color w:val="1F1F1F"/>
        </w:rPr>
        <w:drawing>
          <wp:inline distT="0" distB="0" distL="0" distR="0" wp14:anchorId="692819F2" wp14:editId="03353E5D">
            <wp:extent cx="5943600" cy="1981200"/>
            <wp:effectExtent l="0" t="0" r="0" b="0"/>
            <wp:docPr id="70885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55494" name=""/>
                    <pic:cNvPicPr/>
                  </pic:nvPicPr>
                  <pic:blipFill>
                    <a:blip r:embed="rId20"/>
                    <a:stretch>
                      <a:fillRect/>
                    </a:stretch>
                  </pic:blipFill>
                  <pic:spPr>
                    <a:xfrm>
                      <a:off x="0" y="0"/>
                      <a:ext cx="5943600" cy="1981200"/>
                    </a:xfrm>
                    <a:prstGeom prst="rect">
                      <a:avLst/>
                    </a:prstGeom>
                  </pic:spPr>
                </pic:pic>
              </a:graphicData>
            </a:graphic>
          </wp:inline>
        </w:drawing>
      </w:r>
    </w:p>
    <w:p w14:paraId="421B6CCD" w14:textId="1DC086DB" w:rsidR="00A24A19" w:rsidRDefault="00A24A19" w:rsidP="00A24A19">
      <w:pPr>
        <w:pStyle w:val="Caption"/>
        <w:jc w:val="center"/>
        <w:rPr>
          <w:rFonts w:cs="Times New Roman"/>
          <w:color w:val="1F1F1F"/>
        </w:rPr>
      </w:pPr>
      <w:r>
        <w:t xml:space="preserve">Figure </w:t>
      </w:r>
      <w:r>
        <w:fldChar w:fldCharType="begin"/>
      </w:r>
      <w:r>
        <w:instrText xml:space="preserve"> SEQ Figure \* ARABIC </w:instrText>
      </w:r>
      <w:r>
        <w:fldChar w:fldCharType="separate"/>
      </w:r>
      <w:r w:rsidR="002C5E2C">
        <w:rPr>
          <w:noProof/>
        </w:rPr>
        <w:t>4</w:t>
      </w:r>
      <w:r>
        <w:fldChar w:fldCharType="end"/>
      </w:r>
      <w:r>
        <w:t>: Summary of HSBC VRIO Analysis</w:t>
      </w:r>
    </w:p>
    <w:p w14:paraId="4363D92F" w14:textId="714D6B54"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HSBC's last and highest line of defence is in ensuring that its algorithms are only trained on its unique financial archives. These archives lead to predictive insights that fintech disruptors simply cannot offer simply because they do not have the same operational experience and vast data sets as the traditional banks.</w:t>
      </w:r>
    </w:p>
    <w:p w14:paraId="688FC0E1" w14:textId="77777777" w:rsidR="008F1357" w:rsidRPr="008F1357" w:rsidRDefault="008F1357" w:rsidP="008F1357">
      <w:pPr>
        <w:pStyle w:val="Heading2"/>
      </w:pPr>
      <w:bookmarkStart w:id="21" w:name="_Toc228202690"/>
      <w:bookmarkStart w:id="22" w:name="_Toc228204909"/>
      <w:r w:rsidRPr="008F1357">
        <w:t>4.2 Aligning Architecture via the McKinsey 7S Framework</w:t>
      </w:r>
      <w:bookmarkEnd w:id="21"/>
      <w:bookmarkEnd w:id="22"/>
    </w:p>
    <w:p w14:paraId="6DE76BA6" w14:textId="62C2EEB5" w:rsid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However, owning inimitable data is futile without a bank architecture capable of leveraging it. As the McKinsey 7S Framework (Waterman, Peters and Phillips, 1980) explains, for companies to succeed, they need to align seven constructed and coexisting operational components. </w:t>
      </w:r>
      <w:r w:rsidR="00AF42A7" w:rsidRPr="00AF42A7">
        <w:rPr>
          <w:rFonts w:cs="Times New Roman"/>
          <w:color w:val="1F1F1F"/>
        </w:rPr>
        <w:t>This framework can be divided into</w:t>
      </w:r>
      <w:r w:rsidRPr="008F1357">
        <w:rPr>
          <w:rFonts w:cs="Times New Roman"/>
          <w:color w:val="1F1F1F"/>
        </w:rPr>
        <w:t xml:space="preserve"> the "Hard S's", the tangible structural elements </w:t>
      </w:r>
      <w:r w:rsidR="00A24A19" w:rsidRPr="008F1357">
        <w:rPr>
          <w:rFonts w:cs="Times New Roman"/>
          <w:color w:val="1F1F1F"/>
        </w:rPr>
        <w:t>and</w:t>
      </w:r>
      <w:r w:rsidRPr="008F1357">
        <w:rPr>
          <w:rFonts w:cs="Times New Roman"/>
          <w:color w:val="1F1F1F"/>
        </w:rPr>
        <w:t xml:space="preserve"> "Soft S's", the </w:t>
      </w:r>
      <w:r w:rsidRPr="008F1357">
        <w:rPr>
          <w:rFonts w:cs="Times New Roman"/>
          <w:color w:val="1F1F1F"/>
        </w:rPr>
        <w:lastRenderedPageBreak/>
        <w:t>intangible cultural elements which are resistant to change.</w:t>
      </w:r>
    </w:p>
    <w:p w14:paraId="73A099A5" w14:textId="77777777" w:rsidR="00A24A19" w:rsidRDefault="00A24A19" w:rsidP="00A24A19">
      <w:pPr>
        <w:keepNext/>
        <w:pBdr>
          <w:top w:val="nil"/>
          <w:left w:val="nil"/>
          <w:bottom w:val="nil"/>
          <w:right w:val="nil"/>
          <w:between w:val="nil"/>
        </w:pBdr>
        <w:spacing w:after="240"/>
      </w:pPr>
      <w:r w:rsidRPr="00A24A19">
        <w:rPr>
          <w:rFonts w:cs="Times New Roman"/>
          <w:noProof/>
          <w:color w:val="1F1F1F"/>
        </w:rPr>
        <w:drawing>
          <wp:inline distT="0" distB="0" distL="0" distR="0" wp14:anchorId="06E653C1" wp14:editId="6D7835F3">
            <wp:extent cx="5943600" cy="2729865"/>
            <wp:effectExtent l="0" t="0" r="0" b="0"/>
            <wp:docPr id="1072512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12510" name=""/>
                    <pic:cNvPicPr/>
                  </pic:nvPicPr>
                  <pic:blipFill>
                    <a:blip r:embed="rId21"/>
                    <a:stretch>
                      <a:fillRect/>
                    </a:stretch>
                  </pic:blipFill>
                  <pic:spPr>
                    <a:xfrm>
                      <a:off x="0" y="0"/>
                      <a:ext cx="5943600" cy="2729865"/>
                    </a:xfrm>
                    <a:prstGeom prst="rect">
                      <a:avLst/>
                    </a:prstGeom>
                  </pic:spPr>
                </pic:pic>
              </a:graphicData>
            </a:graphic>
          </wp:inline>
        </w:drawing>
      </w:r>
    </w:p>
    <w:p w14:paraId="2F6FE530" w14:textId="71EB1939" w:rsidR="00A24A19" w:rsidRPr="008F1357" w:rsidRDefault="00A24A19" w:rsidP="00A24A19">
      <w:pPr>
        <w:pStyle w:val="Caption"/>
        <w:jc w:val="center"/>
        <w:rPr>
          <w:rFonts w:cs="Times New Roman"/>
          <w:color w:val="1F1F1F"/>
        </w:rPr>
      </w:pPr>
      <w:r>
        <w:t xml:space="preserve">Figure </w:t>
      </w:r>
      <w:r>
        <w:fldChar w:fldCharType="begin"/>
      </w:r>
      <w:r>
        <w:instrText xml:space="preserve"> SEQ Figure \* ARABIC </w:instrText>
      </w:r>
      <w:r>
        <w:fldChar w:fldCharType="separate"/>
      </w:r>
      <w:r w:rsidR="002C5E2C">
        <w:rPr>
          <w:noProof/>
        </w:rPr>
        <w:t>5</w:t>
      </w:r>
      <w:r>
        <w:fldChar w:fldCharType="end"/>
      </w:r>
      <w:r>
        <w:t xml:space="preserve">: </w:t>
      </w:r>
      <w:r w:rsidRPr="00527CCD">
        <w:t>McKinsey 7S Framework</w:t>
      </w:r>
      <w:r>
        <w:t xml:space="preserve"> for HSBC</w:t>
      </w:r>
    </w:p>
    <w:p w14:paraId="1642B454" w14:textId="2D6A44F8"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Most significantly, this internal restructure must ruthlessly attack a striking weakness in the bank's current Skills, perhaps the most </w:t>
      </w:r>
      <w:r w:rsidR="00A24A19" w:rsidRPr="008F1357">
        <w:rPr>
          <w:rFonts w:cs="Times New Roman"/>
          <w:color w:val="1F1F1F"/>
        </w:rPr>
        <w:t>critical Soft</w:t>
      </w:r>
      <w:r w:rsidRPr="008F1357">
        <w:rPr>
          <w:rFonts w:cs="Times New Roman"/>
          <w:color w:val="1F1F1F"/>
        </w:rPr>
        <w:t xml:space="preserve"> S in the 21st century. </w:t>
      </w:r>
      <w:r w:rsidR="007C7D12" w:rsidRPr="007C7D12">
        <w:rPr>
          <w:rFonts w:cs="Times New Roman"/>
          <w:color w:val="1F1F1F"/>
        </w:rPr>
        <w:t>Legacy</w:t>
      </w:r>
      <w:r w:rsidRPr="008F1357">
        <w:rPr>
          <w:rFonts w:cs="Times New Roman"/>
          <w:color w:val="1F1F1F"/>
        </w:rPr>
        <w:t xml:space="preserve"> bank personnel are deep in expertise that has been honed over decades in traditional financial forecasting, manual underwriting and retrospective compliance reviews. By contrast, they are woefully short of the technical skills required to govern an independent AI ecosystem. Indeed, deficient knowledge and training is reported by almost 60% of financial industry respondents as the greatest impediment to responsible AI implementation (McKinsey and Company, 2026). For instance, existing risk professionals are seldom trained to audit deep neural networks, apply complex prompt engineering or understand the cutting-edge cryptography needed to protect a hybrid-cloud server network.</w:t>
      </w:r>
    </w:p>
    <w:p w14:paraId="180CC320" w14:textId="77777777" w:rsidR="008F1357"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This critical skills imbalance creates a dangerous knowledge gap, forcing HSBC into its difficult and dangerous relationship with external technology conglomerates and its cloud providers. If the in-house workforce is unable to independently audit the underlying mathematical and data integrity of an externalised algorithm, an institution gives up its technological sovereignty. Unless the bank undertakes intense educational initiatives to correct the very clear skills gap, modern legacy employees will quickly become totally technologically redundant. </w:t>
      </w:r>
      <w:proofErr w:type="gramStart"/>
      <w:r w:rsidRPr="008F1357">
        <w:rPr>
          <w:rFonts w:cs="Times New Roman"/>
          <w:color w:val="1F1F1F"/>
        </w:rPr>
        <w:t>As a consequence of</w:t>
      </w:r>
      <w:proofErr w:type="gramEnd"/>
      <w:r w:rsidRPr="008F1357">
        <w:rPr>
          <w:rFonts w:cs="Times New Roman"/>
          <w:color w:val="1F1F1F"/>
        </w:rPr>
        <w:t xml:space="preserve"> this, the Board will be entirely dependent on third party corporations to understand the algorithms </w:t>
      </w:r>
      <w:r w:rsidRPr="008F1357">
        <w:rPr>
          <w:rFonts w:cs="Times New Roman"/>
          <w:color w:val="1F1F1F"/>
        </w:rPr>
        <w:lastRenderedPageBreak/>
        <w:t xml:space="preserve">that </w:t>
      </w:r>
      <w:proofErr w:type="gramStart"/>
      <w:r w:rsidRPr="008F1357">
        <w:rPr>
          <w:rFonts w:cs="Times New Roman"/>
          <w:color w:val="1F1F1F"/>
        </w:rPr>
        <w:t>actually control</w:t>
      </w:r>
      <w:proofErr w:type="gramEnd"/>
      <w:r w:rsidRPr="008F1357">
        <w:rPr>
          <w:rFonts w:cs="Times New Roman"/>
          <w:color w:val="1F1F1F"/>
        </w:rPr>
        <w:t xml:space="preserve"> the bank's global capital deployment and regulatory compliance, which in turn, breaks the core tenets and practices of corporate governance.</w:t>
      </w:r>
    </w:p>
    <w:p w14:paraId="3CA6567A" w14:textId="77777777" w:rsidR="008F1357" w:rsidRPr="008F1357" w:rsidRDefault="008F1357" w:rsidP="008F1357">
      <w:pPr>
        <w:pStyle w:val="Heading2"/>
      </w:pPr>
      <w:bookmarkStart w:id="23" w:name="_Toc228202691"/>
      <w:bookmarkStart w:id="24" w:name="_Toc228204910"/>
      <w:r w:rsidRPr="008F1357">
        <w:t>4.3 Competitor Analysis: JPMorgan Chase's Internalisation Strategy</w:t>
      </w:r>
      <w:bookmarkEnd w:id="23"/>
      <w:bookmarkEnd w:id="24"/>
    </w:p>
    <w:p w14:paraId="6CF3F138" w14:textId="1726F578" w:rsidR="0083717F"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 xml:space="preserve">A rigorous competitor analysis is required to properly assess HSBC's </w:t>
      </w:r>
      <w:r w:rsidR="00BD257F" w:rsidRPr="00BD257F">
        <w:rPr>
          <w:rFonts w:cs="Times New Roman"/>
          <w:color w:val="1F1F1F"/>
        </w:rPr>
        <w:t>strategic positioning</w:t>
      </w:r>
      <w:r w:rsidRPr="008F1357">
        <w:rPr>
          <w:rFonts w:cs="Times New Roman"/>
          <w:color w:val="1F1F1F"/>
        </w:rPr>
        <w:t xml:space="preserve">. Amongst the global banking system, JPMorgan Chase presents an effective counter-narrative. Rather than wholly outsourcing its information systems to technology vendors and cloud conglomerates, JPMorgan has invested enormous resources into internalised AI, successfully executed the core principles of Transaction Cost Economics. </w:t>
      </w:r>
    </w:p>
    <w:p w14:paraId="2102943A" w14:textId="77777777" w:rsidR="0083717F" w:rsidRDefault="0083717F" w:rsidP="0083717F">
      <w:pPr>
        <w:keepNext/>
        <w:pBdr>
          <w:top w:val="nil"/>
          <w:left w:val="nil"/>
          <w:bottom w:val="nil"/>
          <w:right w:val="nil"/>
          <w:between w:val="nil"/>
        </w:pBdr>
        <w:spacing w:after="240"/>
      </w:pPr>
      <w:r w:rsidRPr="0083717F">
        <w:rPr>
          <w:rFonts w:cs="Times New Roman"/>
          <w:noProof/>
          <w:color w:val="1F1F1F"/>
        </w:rPr>
        <w:drawing>
          <wp:inline distT="0" distB="0" distL="0" distR="0" wp14:anchorId="6865586E" wp14:editId="6385D12A">
            <wp:extent cx="5943600" cy="2567940"/>
            <wp:effectExtent l="0" t="0" r="0" b="3810"/>
            <wp:docPr id="1653409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409244" name=""/>
                    <pic:cNvPicPr/>
                  </pic:nvPicPr>
                  <pic:blipFill>
                    <a:blip r:embed="rId22"/>
                    <a:stretch>
                      <a:fillRect/>
                    </a:stretch>
                  </pic:blipFill>
                  <pic:spPr>
                    <a:xfrm>
                      <a:off x="0" y="0"/>
                      <a:ext cx="5943600" cy="2567940"/>
                    </a:xfrm>
                    <a:prstGeom prst="rect">
                      <a:avLst/>
                    </a:prstGeom>
                  </pic:spPr>
                </pic:pic>
              </a:graphicData>
            </a:graphic>
          </wp:inline>
        </w:drawing>
      </w:r>
    </w:p>
    <w:p w14:paraId="0FD2F507" w14:textId="294CBB3D" w:rsidR="0083717F" w:rsidRDefault="0083717F" w:rsidP="0083717F">
      <w:pPr>
        <w:pStyle w:val="Caption"/>
        <w:jc w:val="center"/>
        <w:rPr>
          <w:rFonts w:cs="Times New Roman"/>
          <w:color w:val="1F1F1F"/>
        </w:rPr>
      </w:pPr>
      <w:r>
        <w:t xml:space="preserve">Figure </w:t>
      </w:r>
      <w:r>
        <w:fldChar w:fldCharType="begin"/>
      </w:r>
      <w:r>
        <w:instrText xml:space="preserve"> SEQ Figure \* ARABIC </w:instrText>
      </w:r>
      <w:r>
        <w:fldChar w:fldCharType="separate"/>
      </w:r>
      <w:r w:rsidR="002C5E2C">
        <w:rPr>
          <w:noProof/>
        </w:rPr>
        <w:t>6</w:t>
      </w:r>
      <w:r>
        <w:fldChar w:fldCharType="end"/>
      </w:r>
      <w:r>
        <w:t xml:space="preserve">: </w:t>
      </w:r>
      <w:r w:rsidRPr="008E5FD8">
        <w:t>Competitive Landscape: Strategic Brand Identity</w:t>
      </w:r>
    </w:p>
    <w:p w14:paraId="00000056" w14:textId="6579E1A9" w:rsidR="00FA4316" w:rsidRPr="008F1357" w:rsidRDefault="008F1357" w:rsidP="008F1357">
      <w:pPr>
        <w:pBdr>
          <w:top w:val="nil"/>
          <w:left w:val="nil"/>
          <w:bottom w:val="nil"/>
          <w:right w:val="nil"/>
          <w:between w:val="nil"/>
        </w:pBdr>
        <w:spacing w:after="240"/>
        <w:rPr>
          <w:rFonts w:cs="Times New Roman"/>
          <w:color w:val="1F1F1F"/>
        </w:rPr>
      </w:pPr>
      <w:r w:rsidRPr="008F1357">
        <w:rPr>
          <w:rFonts w:cs="Times New Roman"/>
          <w:color w:val="1F1F1F"/>
        </w:rPr>
        <w:t>This behaviour is visibly demonstrated by their internal AI use cases, where the successful automation of document processing alone has saved them 360,000 annual manual work hours (</w:t>
      </w:r>
      <w:proofErr w:type="spellStart"/>
      <w:r w:rsidRPr="008F1357">
        <w:rPr>
          <w:rFonts w:cs="Times New Roman"/>
          <w:color w:val="1F1F1F"/>
        </w:rPr>
        <w:t>Articsledge</w:t>
      </w:r>
      <w:proofErr w:type="spellEnd"/>
      <w:r w:rsidRPr="008F1357">
        <w:rPr>
          <w:rFonts w:cs="Times New Roman"/>
          <w:color w:val="1F1F1F"/>
        </w:rPr>
        <w:t>, 2024). Through deep internalisation of its key algorithmic architecture, JPMorgan has managed to avoid unnecessary vendor exploitation, fluctuates cloud costs and global data privacy breaches. HSBC needs to critically assess this mimicry. If HSBC continues to allow itself to over-rely solely on rented algorithmic talent, it risks losing its software autonomy: it will always remain dependent on its competitors for technological supremacy, who wholly own and manage their software from conception to deployment.</w:t>
      </w:r>
    </w:p>
    <w:p w14:paraId="00000057" w14:textId="77777777" w:rsidR="00FA4316" w:rsidRPr="008F1357" w:rsidRDefault="00000000" w:rsidP="00E029AA">
      <w:pPr>
        <w:pStyle w:val="Heading1"/>
      </w:pPr>
      <w:bookmarkStart w:id="25" w:name="_Toc228202692"/>
      <w:bookmarkStart w:id="26" w:name="_Toc228204911"/>
      <w:r w:rsidRPr="008F1357">
        <w:lastRenderedPageBreak/>
        <w:t>5. Algorithmic Fairness, Inequality, and Socio-Economic Risk</w:t>
      </w:r>
      <w:bookmarkEnd w:id="25"/>
      <w:bookmarkEnd w:id="26"/>
    </w:p>
    <w:p w14:paraId="50CAD2A1" w14:textId="69EC55DB" w:rsidR="00E16F93" w:rsidRPr="00E16F93" w:rsidRDefault="00E029AA" w:rsidP="00E16F93">
      <w:pPr>
        <w:pBdr>
          <w:top w:val="nil"/>
          <w:left w:val="nil"/>
          <w:bottom w:val="nil"/>
          <w:right w:val="nil"/>
          <w:between w:val="nil"/>
        </w:pBdr>
        <w:spacing w:after="240"/>
        <w:rPr>
          <w:rFonts w:cs="Times New Roman"/>
          <w:color w:val="1F1F1F"/>
        </w:rPr>
      </w:pPr>
      <w:r w:rsidRPr="00E029AA">
        <w:rPr>
          <w:rFonts w:cs="Times New Roman"/>
          <w:color w:val="1F1F1F"/>
        </w:rPr>
        <w:t>The widespread implementation of AI fundamentally jeopardises consumer data privacy</w:t>
      </w:r>
      <w:r>
        <w:rPr>
          <w:rFonts w:cs="Times New Roman"/>
          <w:color w:val="1F1F1F"/>
        </w:rPr>
        <w:t xml:space="preserve">, </w:t>
      </w:r>
      <w:r w:rsidRPr="00E029AA">
        <w:rPr>
          <w:rFonts w:cs="Times New Roman"/>
          <w:color w:val="1F1F1F"/>
        </w:rPr>
        <w:t xml:space="preserve">especially as global jurisdictions enact over 150 new data privacy </w:t>
      </w:r>
      <w:proofErr w:type="gramStart"/>
      <w:r w:rsidRPr="00E029AA">
        <w:rPr>
          <w:rFonts w:cs="Times New Roman"/>
          <w:color w:val="1F1F1F"/>
        </w:rPr>
        <w:t>regulations</w:t>
      </w:r>
      <w:r>
        <w:rPr>
          <w:rFonts w:cs="Times New Roman"/>
          <w:color w:val="1F1F1F"/>
        </w:rPr>
        <w:t xml:space="preserve">, </w:t>
      </w:r>
      <w:r w:rsidRPr="00E029AA">
        <w:rPr>
          <w:rFonts w:cs="Times New Roman"/>
          <w:color w:val="1F1F1F"/>
        </w:rPr>
        <w:t>and</w:t>
      </w:r>
      <w:proofErr w:type="gramEnd"/>
      <w:r w:rsidRPr="00E029AA">
        <w:rPr>
          <w:rFonts w:cs="Times New Roman"/>
          <w:color w:val="1F1F1F"/>
        </w:rPr>
        <w:t xml:space="preserve"> threatens the essential core of public trust (</w:t>
      </w:r>
      <w:proofErr w:type="spellStart"/>
      <w:r w:rsidRPr="00E029AA">
        <w:rPr>
          <w:rFonts w:cs="Times New Roman"/>
          <w:color w:val="1F1F1F"/>
        </w:rPr>
        <w:t>Usercentrics</w:t>
      </w:r>
      <w:proofErr w:type="spellEnd"/>
      <w:r w:rsidRPr="00E029AA">
        <w:rPr>
          <w:rFonts w:cs="Times New Roman"/>
          <w:color w:val="1F1F1F"/>
        </w:rPr>
        <w:t>, 2026)</w:t>
      </w:r>
      <w:r w:rsidR="00E16F93" w:rsidRPr="00E16F93">
        <w:rPr>
          <w:rFonts w:cs="Times New Roman"/>
          <w:color w:val="1F1F1F"/>
        </w:rPr>
        <w:t>. In an environment of heightened public scrutiny, corporate ethics should transcend mere public relations on the surface. As Kay (2011) beautifully describes in his book Obliquity, challenging goals such as corporate profitability are often best attained via oblique means; prioritising ethical approaches to explainable AI over short-term profits will strengthen HSBC's competitive advantage in the marketplace much more than uninhibited innovation.</w:t>
      </w:r>
    </w:p>
    <w:p w14:paraId="0FFF54F7" w14:textId="77777777" w:rsidR="00E16F93" w:rsidRPr="00E16F93" w:rsidRDefault="00E16F93" w:rsidP="00E16F93">
      <w:pPr>
        <w:pStyle w:val="Heading2"/>
      </w:pPr>
      <w:bookmarkStart w:id="27" w:name="_Toc228202693"/>
      <w:bookmarkStart w:id="28" w:name="_Toc228204912"/>
      <w:r w:rsidRPr="00E16F93">
        <w:t>5.1 Stakeholder Theory vs. Shareholder Primacy</w:t>
      </w:r>
      <w:bookmarkEnd w:id="27"/>
      <w:bookmarkEnd w:id="28"/>
    </w:p>
    <w:p w14:paraId="516B3F7A"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Modern Corporate Social Responsibility (CSR) concepts and Stakeholder Theory (Freeman, 1984) legally and morally demand that HSBC forget the archaic philosophy espoused by Friedman's doctrine of shareholder primacy. Shareholder primacy holds that the corporation has only one social objective; this is to maximise the profits of its shareholders. By contrast, Stakeholder Theory states that a corporation owes a duty to create value for all stakeholders (including employees, suppliers, customers, regional communities and the environment).</w:t>
      </w:r>
    </w:p>
    <w:p w14:paraId="1A6F0A8F" w14:textId="76E98F3D"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 xml:space="preserve">Hence, the Board should assess its AI rollout plan using the Triple Bottom Line, meaning that it should consider Profit, Planet, and People (Elkington, 1994). If artificial intelligence will undoubtedly generate immense cost savings and meet the bank's duty of care to shareholders (Profit), it also presents a </w:t>
      </w:r>
      <w:r w:rsidR="00AF42A7" w:rsidRPr="00AF42A7">
        <w:rPr>
          <w:rFonts w:cs="Times New Roman"/>
          <w:color w:val="1F1F1F"/>
        </w:rPr>
        <w:t>profound</w:t>
      </w:r>
      <w:r w:rsidR="00AF42A7">
        <w:rPr>
          <w:rFonts w:cs="Times New Roman"/>
          <w:color w:val="1F1F1F"/>
        </w:rPr>
        <w:t xml:space="preserve"> </w:t>
      </w:r>
      <w:r w:rsidRPr="00E16F93">
        <w:rPr>
          <w:rFonts w:cs="Times New Roman"/>
          <w:color w:val="1F1F1F"/>
        </w:rPr>
        <w:t>threat to financial equity and the security of consumers (People), especially in emerging economies where digital literacy is much less developed (Zhou et al., 2022).</w:t>
      </w:r>
    </w:p>
    <w:p w14:paraId="30F4BE42" w14:textId="77777777" w:rsidR="00E16F93" w:rsidRPr="00E16F93" w:rsidRDefault="00E16F93" w:rsidP="00E16F93">
      <w:pPr>
        <w:pStyle w:val="Heading2"/>
      </w:pPr>
      <w:bookmarkStart w:id="29" w:name="_Toc228202694"/>
      <w:bookmarkStart w:id="30" w:name="_Toc228204913"/>
      <w:r w:rsidRPr="00E16F93">
        <w:t>5.2 Digital Redlining, the Gini Coefficient, and the Palma Ratio</w:t>
      </w:r>
      <w:bookmarkEnd w:id="29"/>
      <w:bookmarkEnd w:id="30"/>
    </w:p>
    <w:p w14:paraId="3833A732" w14:textId="22A22366"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 xml:space="preserve">When past financial data, tainted by generations of systemic discrimination, is harnessed by machine learning </w:t>
      </w:r>
      <w:r w:rsidR="00AF42A7" w:rsidRPr="00E16F93">
        <w:rPr>
          <w:rFonts w:cs="Times New Roman"/>
          <w:color w:val="1F1F1F"/>
        </w:rPr>
        <w:t>modelling</w:t>
      </w:r>
      <w:r w:rsidRPr="00E16F93">
        <w:rPr>
          <w:rFonts w:cs="Times New Roman"/>
          <w:color w:val="1F1F1F"/>
        </w:rPr>
        <w:t xml:space="preserve"> pipelines, new algorithms will </w:t>
      </w:r>
      <w:r w:rsidR="007C7D12" w:rsidRPr="007C7D12">
        <w:rPr>
          <w:rFonts w:cs="Times New Roman"/>
          <w:color w:val="1F1F1F"/>
        </w:rPr>
        <w:t>systematically amplify</w:t>
      </w:r>
      <w:r w:rsidRPr="00E16F93">
        <w:rPr>
          <w:rFonts w:cs="Times New Roman"/>
          <w:color w:val="1F1F1F"/>
        </w:rPr>
        <w:t xml:space="preserve"> these forms of discrimination, at a record pace. This practice is well known in the banking industry as "algorithmic redlining". It's when models continually deny credit to minority and socio-</w:t>
      </w:r>
      <w:r w:rsidRPr="00E16F93">
        <w:rPr>
          <w:rFonts w:cs="Times New Roman"/>
          <w:color w:val="1F1F1F"/>
        </w:rPr>
        <w:lastRenderedPageBreak/>
        <w:t>economically vulnerable populations by using arcane, proxy data indicators (such as home zip code, tertiary institution, or internet web-browsing patterns), and thus lock them out of the means to accumulate wealth (World Economic Forum, 2026).</w:t>
      </w:r>
    </w:p>
    <w:p w14:paraId="30A1EC00"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To assess the magnitude of this macroeconomic risk, the Board needs to analyse key economic indicators such as the Gini Coefficient and the Palma Ratio.</w:t>
      </w:r>
    </w:p>
    <w:p w14:paraId="4EE796BD" w14:textId="35C014F0" w:rsidR="00E16F93" w:rsidRPr="00E16F93" w:rsidRDefault="00E16F93" w:rsidP="00E16F93">
      <w:pPr>
        <w:pStyle w:val="ListParagraph"/>
        <w:numPr>
          <w:ilvl w:val="0"/>
          <w:numId w:val="19"/>
        </w:numPr>
        <w:pBdr>
          <w:top w:val="nil"/>
          <w:left w:val="nil"/>
          <w:bottom w:val="nil"/>
          <w:right w:val="nil"/>
          <w:between w:val="nil"/>
        </w:pBdr>
        <w:spacing w:after="240"/>
        <w:rPr>
          <w:rFonts w:cs="Times New Roman"/>
          <w:color w:val="1F1F1F"/>
        </w:rPr>
      </w:pPr>
      <w:r w:rsidRPr="00E16F93">
        <w:rPr>
          <w:rFonts w:cs="Times New Roman"/>
          <w:b/>
          <w:bCs/>
          <w:color w:val="1F1F1F"/>
        </w:rPr>
        <w:t>The Gini Coefficient</w:t>
      </w:r>
      <w:r w:rsidRPr="00E16F93">
        <w:rPr>
          <w:rFonts w:cs="Times New Roman"/>
          <w:color w:val="1F1F1F"/>
        </w:rPr>
        <w:t xml:space="preserve"> is a mathematical formula for measuring disparity of income and wealth on a scale from 0 to 1, where 0 represents absolute equality (everyone has an equal share of the wealth) to 1, absolute inequality (one person has all the money).</w:t>
      </w:r>
    </w:p>
    <w:p w14:paraId="258EA93A" w14:textId="17230694" w:rsidR="00E16F93" w:rsidRPr="00E16F93" w:rsidRDefault="00E16F93" w:rsidP="00E16F93">
      <w:pPr>
        <w:pStyle w:val="ListParagraph"/>
        <w:numPr>
          <w:ilvl w:val="0"/>
          <w:numId w:val="19"/>
        </w:numPr>
        <w:pBdr>
          <w:top w:val="nil"/>
          <w:left w:val="nil"/>
          <w:bottom w:val="nil"/>
          <w:right w:val="nil"/>
          <w:between w:val="nil"/>
        </w:pBdr>
        <w:spacing w:after="240"/>
        <w:rPr>
          <w:rFonts w:cs="Times New Roman"/>
          <w:color w:val="1F1F1F"/>
        </w:rPr>
      </w:pPr>
      <w:r w:rsidRPr="00E16F93">
        <w:rPr>
          <w:rFonts w:cs="Times New Roman"/>
          <w:b/>
          <w:bCs/>
          <w:color w:val="1F1F1F"/>
        </w:rPr>
        <w:t>The Palma Ratio</w:t>
      </w:r>
      <w:r w:rsidRPr="00E16F93">
        <w:rPr>
          <w:rFonts w:cs="Times New Roman"/>
          <w:color w:val="1F1F1F"/>
        </w:rPr>
        <w:t xml:space="preserve"> provides a more targeted representation of the ratio of the gross national income (GNI) share of the top 10% of citizens to the share of the bottom 40% (Sloman, Wride and Garratt, 2018).</w:t>
      </w:r>
    </w:p>
    <w:p w14:paraId="6CFEE45E"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As the Global Multidimensional Poverty Index (Alkire et al., 2025) explains, the multidimensional disadvantages to vulnerable communities are devastating. Wealth-impoverished neighbourhoods will, by their very nature, not have digital "smart" infrastructure and will therefore not be included in the enormous volumes of data used to train global financial algorithms. If HSBC's AI-based credit decision making algorithms are trained only upon data from the rich, deeply connected internet age, and not subjected to independent fairness reviews and audits, they will be endemic with "data poverty".</w:t>
      </w:r>
    </w:p>
    <w:p w14:paraId="098BE33C" w14:textId="5E48201E"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This type of digital discrimination is already taking place. 450</w:t>
      </w:r>
      <w:r w:rsidR="00AF42A7">
        <w:rPr>
          <w:rFonts w:cs="Times New Roman"/>
          <w:color w:val="1F1F1F"/>
        </w:rPr>
        <w:t xml:space="preserve"> participants </w:t>
      </w:r>
      <w:r w:rsidRPr="00E16F93">
        <w:rPr>
          <w:rFonts w:cs="Times New Roman"/>
          <w:color w:val="1F1F1F"/>
        </w:rPr>
        <w:t xml:space="preserve">focused research in 2025 conclusively demonstrates that female credit applicants consistently received algorithmically derived credit scores 6-8 points lower than men with identical credit histories (Real World Data Science, 2025). And, in tests of Large Language Models (LLMs) for determining credit, they often proposed higher interest rates or mortgage denials for African Americans (Real World Data Science, 2025). Using these models will </w:t>
      </w:r>
      <w:r w:rsidR="00AF42A7" w:rsidRPr="00AF42A7">
        <w:rPr>
          <w:rFonts w:cs="Times New Roman"/>
          <w:color w:val="1F1F1F"/>
        </w:rPr>
        <w:t>systematically</w:t>
      </w:r>
      <w:r w:rsidR="00AF42A7">
        <w:rPr>
          <w:rFonts w:cs="Times New Roman"/>
          <w:color w:val="1F1F1F"/>
        </w:rPr>
        <w:t xml:space="preserve"> </w:t>
      </w:r>
      <w:r w:rsidRPr="00E16F93">
        <w:rPr>
          <w:rFonts w:cs="Times New Roman"/>
          <w:color w:val="1F1F1F"/>
        </w:rPr>
        <w:t xml:space="preserve">amplify the global wealth divide by evidenced denials of access to capital by those who need capital to establish businesses and to mortgage homes (Yang and Lee, 2024). Monetising AI without imposed stringent CSR standards directly increases the Gini coefficient, as a technological dividend is generated, benefiting a few elite groups, by moving the index towards the value of 1 and entirely contravening philosophies </w:t>
      </w:r>
      <w:r w:rsidRPr="00E16F93">
        <w:rPr>
          <w:rFonts w:cs="Times New Roman"/>
          <w:color w:val="1F1F1F"/>
        </w:rPr>
        <w:lastRenderedPageBreak/>
        <w:t>of poverty reduction (</w:t>
      </w:r>
      <w:proofErr w:type="spellStart"/>
      <w:r w:rsidRPr="00E16F93">
        <w:rPr>
          <w:rFonts w:cs="Times New Roman"/>
          <w:color w:val="1F1F1F"/>
        </w:rPr>
        <w:t>Pimpa</w:t>
      </w:r>
      <w:proofErr w:type="spellEnd"/>
      <w:r w:rsidRPr="00E16F93">
        <w:rPr>
          <w:rFonts w:cs="Times New Roman"/>
          <w:color w:val="1F1F1F"/>
        </w:rPr>
        <w:t xml:space="preserve">, 2011; Perrini, Russo and </w:t>
      </w:r>
      <w:proofErr w:type="spellStart"/>
      <w:r w:rsidRPr="00E16F93">
        <w:rPr>
          <w:rFonts w:cs="Times New Roman"/>
          <w:color w:val="1F1F1F"/>
        </w:rPr>
        <w:t>Tencati</w:t>
      </w:r>
      <w:proofErr w:type="spellEnd"/>
      <w:r w:rsidRPr="00E16F93">
        <w:rPr>
          <w:rFonts w:cs="Times New Roman"/>
          <w:color w:val="1F1F1F"/>
        </w:rPr>
        <w:t>, 2007; Townsend, 2006).</w:t>
      </w:r>
    </w:p>
    <w:p w14:paraId="56993CA7"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The studies conducted by Wen and Holweg (2024) show phenomenologically that accelerating the implementation of untested AI technologies usually seriously erodes customer trust. Indeed, if the senior management places more emphasis on the speed of loan applications processed rather than verifying the neutrality of algorithms in use, as discussed by Levitt and Dubner (2007) about the perils of misaligned corporate incentives, the consequence will be devastating. The case study of global corporations failing to consider regional social and ecological responsibility highlighted by Griffin and Pustay (2015) clearly demonstrates the devastating reputational and economic damages resulting from the huge Investor-State Dispute Settlement (ISDS) lawsuits against Chevron in Ecuador. The biased nature of algorithms also has the same potential to trigger enormous, destructive international class-action lawsuits against HSBC, damaging its reputation.</w:t>
      </w:r>
    </w:p>
    <w:p w14:paraId="4FB8B3ED" w14:textId="77777777" w:rsidR="00E16F93" w:rsidRPr="00E16F93" w:rsidRDefault="00E16F93" w:rsidP="00E16F93">
      <w:pPr>
        <w:pStyle w:val="Heading1"/>
      </w:pPr>
      <w:bookmarkStart w:id="31" w:name="_Toc228202695"/>
      <w:bookmarkStart w:id="32" w:name="_Toc228204914"/>
      <w:r w:rsidRPr="00E16F93">
        <w:t>6. Cross-Cultural Change Management and Leadership</w:t>
      </w:r>
      <w:bookmarkEnd w:id="31"/>
      <w:bookmarkEnd w:id="32"/>
    </w:p>
    <w:p w14:paraId="7BDB5C18"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And even though 100% error-free servers with 100% regulatory compliance, the biggest challenges to scaling AI lies in the psychology of humans.</w:t>
      </w:r>
    </w:p>
    <w:p w14:paraId="2968EC1F" w14:textId="77777777" w:rsidR="00E16F93" w:rsidRPr="00E16F93" w:rsidRDefault="00E16F93" w:rsidP="00E16F93">
      <w:pPr>
        <w:pStyle w:val="Heading2"/>
      </w:pPr>
      <w:bookmarkStart w:id="33" w:name="_Toc228202696"/>
      <w:bookmarkStart w:id="34" w:name="_Toc228204915"/>
      <w:r w:rsidRPr="00E16F93">
        <w:t>6.1 Overcoming the 93% Human Barrier</w:t>
      </w:r>
      <w:bookmarkEnd w:id="33"/>
      <w:bookmarkEnd w:id="34"/>
    </w:p>
    <w:p w14:paraId="39372E37" w14:textId="6CD061DA"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A breakthrough study in 2026 conducted across multiple companies revealed an incredibly startling fact: an alarming 93% of corporate leaders cite the human components, management conflicts and deep employee resistance as the key barriers to scaling artificial intelligence (AI) (Croft et al., 2026). As Westover (20</w:t>
      </w:r>
      <w:r w:rsidR="007C7D12">
        <w:rPr>
          <w:rFonts w:cs="Times New Roman"/>
          <w:color w:val="1F1F1F"/>
        </w:rPr>
        <w:t>2</w:t>
      </w:r>
      <w:r w:rsidRPr="00E16F93">
        <w:rPr>
          <w:rFonts w:cs="Times New Roman"/>
          <w:color w:val="1F1F1F"/>
        </w:rPr>
        <w:t>5) reminds us, when redesigning companies for sustainability, innovation must be embedded and pervasive: widespread and massive in human change management capacity. The employee trauma within an institution such as HSBC is enormous when considering current news of a 20,000-person workforce reduction internationally, attributed to automation. Firms that heavily invest in software and do not heavily invest in human change management inevitably see a disaster of talent loss.</w:t>
      </w:r>
    </w:p>
    <w:p w14:paraId="14F4BC5D"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 xml:space="preserve">When trying to understand the "93% Human Barrier" and the ensuing revolts, we need to further develop the theoretical line of argument by considering the concept of "algorithmic aversion". Algorithmic aversion is not caused by irrational fears of computers on the part of employees and </w:t>
      </w:r>
      <w:r w:rsidRPr="00E16F93">
        <w:rPr>
          <w:rFonts w:cs="Times New Roman"/>
          <w:color w:val="1F1F1F"/>
        </w:rPr>
        <w:lastRenderedPageBreak/>
        <w:t xml:space="preserve">the average consumers. Instead, they accurately perceive these independent "Black Box" systems as lacking any moral responsibility in its execution of financial judgements. This then results in profound emotional turmoil when the black box is trusted to make independent human-affecting decisions without human supervision (SQ Magazine, 2026; Pew Research </w:t>
      </w:r>
      <w:proofErr w:type="spellStart"/>
      <w:r w:rsidRPr="00E16F93">
        <w:rPr>
          <w:rFonts w:cs="Times New Roman"/>
          <w:color w:val="1F1F1F"/>
        </w:rPr>
        <w:t>Center</w:t>
      </w:r>
      <w:proofErr w:type="spellEnd"/>
      <w:r w:rsidRPr="00E16F93">
        <w:rPr>
          <w:rFonts w:cs="Times New Roman"/>
          <w:color w:val="1F1F1F"/>
        </w:rPr>
        <w:t>, 2026). This subtext in turn substantially alters the human-factors debate, as evidence demonstrates that insider resistance is often an ethical response to a legitimate concern for corporate governance, instead of technophobia.</w:t>
      </w:r>
    </w:p>
    <w:p w14:paraId="0BEB0119" w14:textId="77777777" w:rsidR="00E16F93" w:rsidRPr="00E16F93" w:rsidRDefault="00E16F93" w:rsidP="00E16F93">
      <w:pPr>
        <w:pStyle w:val="Heading2"/>
      </w:pPr>
      <w:bookmarkStart w:id="35" w:name="_Toc228202697"/>
      <w:bookmarkStart w:id="36" w:name="_Toc228204916"/>
      <w:r w:rsidRPr="00E16F93">
        <w:t>6.2 Hofstede’s Dimensions in Global Rollouts</w:t>
      </w:r>
      <w:bookmarkEnd w:id="35"/>
      <w:bookmarkEnd w:id="36"/>
    </w:p>
    <w:p w14:paraId="5195D03B" w14:textId="77777777" w:rsid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As a "world" corporation, HSBC is obliged to delicately negotiate quite divergent cultural responses to artificial intelligence in its various international centres (for example London, New York and Hong Kong). Hofstede's Cultural Dimensions (Hofstede, 1980; 2011) must be applied to understand these crucial behavioural differences across a variety of factors:</w:t>
      </w:r>
    </w:p>
    <w:p w14:paraId="7C372CDE" w14:textId="77777777" w:rsidR="002C5E2C" w:rsidRDefault="0083717F" w:rsidP="002C5E2C">
      <w:pPr>
        <w:keepNext/>
        <w:pBdr>
          <w:top w:val="nil"/>
          <w:left w:val="nil"/>
          <w:bottom w:val="nil"/>
          <w:right w:val="nil"/>
          <w:between w:val="nil"/>
        </w:pBdr>
        <w:spacing w:after="240"/>
      </w:pPr>
      <w:r w:rsidRPr="0083717F">
        <w:rPr>
          <w:rFonts w:cs="Times New Roman"/>
          <w:noProof/>
          <w:color w:val="1F1F1F"/>
        </w:rPr>
        <w:drawing>
          <wp:inline distT="0" distB="0" distL="0" distR="0" wp14:anchorId="2DD06D14" wp14:editId="4B1EDE1D">
            <wp:extent cx="5943600" cy="3071495"/>
            <wp:effectExtent l="0" t="0" r="0" b="0"/>
            <wp:docPr id="1096484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84354" name=""/>
                    <pic:cNvPicPr/>
                  </pic:nvPicPr>
                  <pic:blipFill>
                    <a:blip r:embed="rId23"/>
                    <a:stretch>
                      <a:fillRect/>
                    </a:stretch>
                  </pic:blipFill>
                  <pic:spPr>
                    <a:xfrm>
                      <a:off x="0" y="0"/>
                      <a:ext cx="5943600" cy="3071495"/>
                    </a:xfrm>
                    <a:prstGeom prst="rect">
                      <a:avLst/>
                    </a:prstGeom>
                  </pic:spPr>
                </pic:pic>
              </a:graphicData>
            </a:graphic>
          </wp:inline>
        </w:drawing>
      </w:r>
    </w:p>
    <w:p w14:paraId="527B361B" w14:textId="32661B2A" w:rsidR="0083717F" w:rsidRPr="00E16F93" w:rsidRDefault="002C5E2C" w:rsidP="002C5E2C">
      <w:pPr>
        <w:pStyle w:val="Caption"/>
        <w:jc w:val="center"/>
        <w:rPr>
          <w:rFonts w:cs="Times New Roman"/>
          <w:color w:val="1F1F1F"/>
        </w:rPr>
      </w:pPr>
      <w:r>
        <w:t xml:space="preserve">Figure </w:t>
      </w:r>
      <w:r>
        <w:fldChar w:fldCharType="begin"/>
      </w:r>
      <w:r>
        <w:instrText xml:space="preserve"> SEQ Figure \* ARABIC </w:instrText>
      </w:r>
      <w:r>
        <w:fldChar w:fldCharType="separate"/>
      </w:r>
      <w:r>
        <w:rPr>
          <w:noProof/>
        </w:rPr>
        <w:t>7</w:t>
      </w:r>
      <w:r>
        <w:fldChar w:fldCharType="end"/>
      </w:r>
      <w:r>
        <w:t>: Hofstede' Country Comparison Tool for Hong Kong, UK AND USA (</w:t>
      </w:r>
      <w:r w:rsidRPr="007B68B7">
        <w:t>The Culture Factor Group</w:t>
      </w:r>
      <w:r>
        <w:t xml:space="preserve">, </w:t>
      </w:r>
      <w:r w:rsidRPr="007B68B7">
        <w:t>2026)</w:t>
      </w:r>
    </w:p>
    <w:p w14:paraId="7B625174" w14:textId="2291058E"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b/>
          <w:bCs/>
          <w:color w:val="1F1F1F"/>
        </w:rPr>
        <w:t>Uncertainty Avoidance (UAI):</w:t>
      </w:r>
      <w:r w:rsidRPr="00E16F93">
        <w:rPr>
          <w:rFonts w:cs="Times New Roman"/>
          <w:color w:val="1F1F1F"/>
        </w:rPr>
        <w:t xml:space="preserve"> This measurement relates to </w:t>
      </w:r>
      <w:proofErr w:type="gramStart"/>
      <w:r w:rsidRPr="00E16F93">
        <w:rPr>
          <w:rFonts w:cs="Times New Roman"/>
          <w:color w:val="1F1F1F"/>
        </w:rPr>
        <w:t>whether or not</w:t>
      </w:r>
      <w:proofErr w:type="gramEnd"/>
      <w:r w:rsidRPr="00E16F93">
        <w:rPr>
          <w:rFonts w:cs="Times New Roman"/>
          <w:color w:val="1F1F1F"/>
        </w:rPr>
        <w:t xml:space="preserve"> a society is </w:t>
      </w:r>
      <w:proofErr w:type="gramStart"/>
      <w:r w:rsidRPr="00E16F93">
        <w:rPr>
          <w:rFonts w:cs="Times New Roman"/>
          <w:color w:val="1F1F1F"/>
        </w:rPr>
        <w:t>risk-averse</w:t>
      </w:r>
      <w:proofErr w:type="gramEnd"/>
      <w:r w:rsidRPr="00E16F93">
        <w:rPr>
          <w:rFonts w:cs="Times New Roman"/>
          <w:color w:val="1F1F1F"/>
        </w:rPr>
        <w:t xml:space="preserve">. Demographics with high Uncertainty Avoidance scores have a much smaller tolerance for uncertainty. In such cultures, employees will demand extremely rigorous and invasive </w:t>
      </w:r>
      <w:r w:rsidRPr="00E16F93">
        <w:rPr>
          <w:rFonts w:cs="Times New Roman"/>
          <w:color w:val="1F1F1F"/>
        </w:rPr>
        <w:lastRenderedPageBreak/>
        <w:t xml:space="preserve">documentation of financial algorithms ("White Box" models) and will heavily favour heavily documented iterative </w:t>
      </w:r>
      <w:r w:rsidR="002C5E2C" w:rsidRPr="00E16F93">
        <w:rPr>
          <w:rFonts w:cs="Times New Roman"/>
          <w:color w:val="1F1F1F"/>
        </w:rPr>
        <w:t>rollouts</w:t>
      </w:r>
      <w:r w:rsidRPr="00E16F93">
        <w:rPr>
          <w:rFonts w:cs="Times New Roman"/>
          <w:color w:val="1F1F1F"/>
        </w:rPr>
        <w:t xml:space="preserve"> of financial algorithms to alleviate their collective fear of failure.</w:t>
      </w:r>
    </w:p>
    <w:p w14:paraId="05DBD02C" w14:textId="2153D9B9"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b/>
          <w:bCs/>
          <w:color w:val="1F1F1F"/>
        </w:rPr>
        <w:t>Power Distance Index (PDI):</w:t>
      </w:r>
      <w:r w:rsidRPr="00E16F93">
        <w:rPr>
          <w:rFonts w:cs="Times New Roman"/>
          <w:color w:val="1F1F1F"/>
        </w:rPr>
        <w:t xml:space="preserve"> This describes the extent to which the less powerful members of organisations and societies accept and expect an unequal distribution of power. Where there is a </w:t>
      </w:r>
      <w:proofErr w:type="gramStart"/>
      <w:r w:rsidRPr="00E16F93">
        <w:rPr>
          <w:rFonts w:cs="Times New Roman"/>
          <w:color w:val="1F1F1F"/>
        </w:rPr>
        <w:t>high Power</w:t>
      </w:r>
      <w:proofErr w:type="gramEnd"/>
      <w:r w:rsidRPr="00E16F93">
        <w:rPr>
          <w:rFonts w:cs="Times New Roman"/>
          <w:color w:val="1F1F1F"/>
        </w:rPr>
        <w:t xml:space="preserve"> Distance Index in a culture, inferiors will be extremely reluctant to question decisions arrived at by an algorithm if they perceive that the AI-based platform was imposed upon them by top management at the corporate headquarters. This is supremely dangerous, as it would mean that severe issues in the AI algorithm for AML monitoring may not even be considered by junior staff for fear of facing retaliation.</w:t>
      </w:r>
    </w:p>
    <w:p w14:paraId="5CCDD35E" w14:textId="28D4461B"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b/>
          <w:bCs/>
          <w:color w:val="1F1F1F"/>
        </w:rPr>
        <w:t>Individualism vs. Collectivism (IDV):</w:t>
      </w:r>
      <w:r w:rsidRPr="00E16F93">
        <w:rPr>
          <w:rFonts w:cs="Times New Roman"/>
          <w:color w:val="1F1F1F"/>
        </w:rPr>
        <w:t xml:space="preserve"> This dimension measures the degree of collectivism that exists within a country. In very individualistic cultures such as the UK or the US, AI software that helps individuals increase their productivity to earn an individual bonus target is likely to be swiftly adopted. By contrast, in "collectivist" societies, a computer system that upsets group harmony or removes valued staff will face fierce, cohesively united, and tenacious resistance.</w:t>
      </w:r>
    </w:p>
    <w:p w14:paraId="5F329D81" w14:textId="7292409D"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b/>
          <w:bCs/>
          <w:color w:val="1F1F1F"/>
        </w:rPr>
        <w:t>Masculinity vs. Femininity (MAS):</w:t>
      </w:r>
      <w:r w:rsidRPr="00E16F93">
        <w:rPr>
          <w:rFonts w:cs="Times New Roman"/>
          <w:color w:val="1F1F1F"/>
        </w:rPr>
        <w:t xml:space="preserve"> In highly "masculine" environments driven by extreme competition, heroic individualism and material success, artificial intelligence will likely be pushed to its limits by lending teams </w:t>
      </w:r>
      <w:proofErr w:type="gramStart"/>
      <w:r w:rsidRPr="00E16F93">
        <w:rPr>
          <w:rFonts w:cs="Times New Roman"/>
          <w:color w:val="1F1F1F"/>
        </w:rPr>
        <w:t>in an effort to</w:t>
      </w:r>
      <w:proofErr w:type="gramEnd"/>
      <w:r w:rsidRPr="00E16F93">
        <w:rPr>
          <w:rFonts w:cs="Times New Roman"/>
          <w:color w:val="1F1F1F"/>
        </w:rPr>
        <w:t xml:space="preserve"> meet ambitious sales targets without moral compass. In "feminine" cultures that emphasise co-operation, collective decision-making and the quality of life, the ethical concerns around a technology and its socio-economic ramifications will appropriately be at the fore.</w:t>
      </w:r>
    </w:p>
    <w:p w14:paraId="33D14E55" w14:textId="2DE982D1" w:rsidR="00E16F93" w:rsidRPr="00E16F93" w:rsidRDefault="00BD257F" w:rsidP="00E16F93">
      <w:pPr>
        <w:pBdr>
          <w:top w:val="nil"/>
          <w:left w:val="nil"/>
          <w:bottom w:val="nil"/>
          <w:right w:val="nil"/>
          <w:between w:val="nil"/>
        </w:pBdr>
        <w:spacing w:after="240"/>
        <w:rPr>
          <w:rFonts w:cs="Times New Roman"/>
          <w:color w:val="1F1F1F"/>
        </w:rPr>
      </w:pPr>
      <w:r w:rsidRPr="00BD257F">
        <w:rPr>
          <w:rFonts w:cs="Times New Roman"/>
          <w:b/>
          <w:bCs/>
          <w:color w:val="1F1F1F"/>
        </w:rPr>
        <w:t>Long-Term vs. Short-Term Orientation (LTO</w:t>
      </w:r>
      <w:r w:rsidR="00E16F93" w:rsidRPr="00E16F93">
        <w:rPr>
          <w:rFonts w:cs="Times New Roman"/>
          <w:b/>
          <w:bCs/>
          <w:color w:val="1F1F1F"/>
        </w:rPr>
        <w:t>:</w:t>
      </w:r>
      <w:r w:rsidR="00E16F93" w:rsidRPr="00E16F93">
        <w:rPr>
          <w:rFonts w:cs="Times New Roman"/>
          <w:color w:val="1F1F1F"/>
        </w:rPr>
        <w:t xml:space="preserve"> Implementing an enterprise-level AI strategy requires tremendous short-term capital investments in return for long-term operational benefits. Immediately oriented cultures, deeply influenced by stock exchange quarterly revenues, may very well end up harassing the Board for quick financial results, thus arbitrarily omitting important ethical and safety auditing stages.</w:t>
      </w:r>
    </w:p>
    <w:p w14:paraId="7FB6DF01" w14:textId="761C9B18"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 xml:space="preserve">The critical importance of these concepts </w:t>
      </w:r>
      <w:proofErr w:type="gramStart"/>
      <w:r w:rsidRPr="00E16F93">
        <w:rPr>
          <w:rFonts w:cs="Times New Roman"/>
          <w:color w:val="1F1F1F"/>
        </w:rPr>
        <w:t>are</w:t>
      </w:r>
      <w:proofErr w:type="gramEnd"/>
      <w:r w:rsidRPr="00E16F93">
        <w:rPr>
          <w:rFonts w:cs="Times New Roman"/>
          <w:color w:val="1F1F1F"/>
        </w:rPr>
        <w:t xml:space="preserve"> aptly illustrated in the "When in China" case study (Chirino-</w:t>
      </w:r>
      <w:proofErr w:type="spellStart"/>
      <w:r w:rsidRPr="00E16F93">
        <w:rPr>
          <w:rFonts w:cs="Times New Roman"/>
          <w:color w:val="1F1F1F"/>
        </w:rPr>
        <w:t>Klevans</w:t>
      </w:r>
      <w:proofErr w:type="spellEnd"/>
      <w:r w:rsidRPr="00E16F93">
        <w:rPr>
          <w:rFonts w:cs="Times New Roman"/>
          <w:color w:val="1F1F1F"/>
        </w:rPr>
        <w:t xml:space="preserve">, 2014). This case demonstrates how the failure to successfully negotiate high context communicative cultures, in which implicit relationship development and intrinsic </w:t>
      </w:r>
      <w:r w:rsidRPr="00E16F93">
        <w:rPr>
          <w:rFonts w:cs="Times New Roman"/>
          <w:color w:val="1F1F1F"/>
        </w:rPr>
        <w:lastRenderedPageBreak/>
        <w:t xml:space="preserve">emotional intelligence skills are fundamental to achieving company success will </w:t>
      </w:r>
      <w:r w:rsidR="002C5E2C" w:rsidRPr="00E16F93">
        <w:rPr>
          <w:rFonts w:cs="Times New Roman"/>
          <w:color w:val="1F1F1F"/>
        </w:rPr>
        <w:t>inevitably</w:t>
      </w:r>
      <w:r w:rsidRPr="00E16F93">
        <w:rPr>
          <w:rFonts w:cs="Times New Roman"/>
          <w:color w:val="1F1F1F"/>
        </w:rPr>
        <w:t xml:space="preserve"> lead to corporate breakdown. A London-based head office unilateral, "top-down" mandate to adopt the "Black Box", mystical and unexplainable artificial intelligence (AI) process that eliminates the human aspect of relationship building between the regional wealth advisors and their customers will be met with massive push-back.</w:t>
      </w:r>
    </w:p>
    <w:p w14:paraId="2596182F" w14:textId="5CDFC64D"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 xml:space="preserve">To offer a palpable example of some of the huge operational risks of ignoring such cultural factors, one must imagine a scenario where an agentic AI system rejects a business loan. If this agentic information system inexplicably refuses important finance to a long-standing SME customer, </w:t>
      </w:r>
      <w:r w:rsidR="00AF42A7" w:rsidRPr="00AF42A7">
        <w:rPr>
          <w:rFonts w:cs="Times New Roman"/>
          <w:color w:val="1F1F1F"/>
        </w:rPr>
        <w:t>the ensuing response by the regional branch manager will diverge drastically based on their cultural programming</w:t>
      </w:r>
      <w:r w:rsidRPr="00E16F93">
        <w:rPr>
          <w:rFonts w:cs="Times New Roman"/>
          <w:color w:val="1F1F1F"/>
        </w:rPr>
        <w:t xml:space="preserve">. In a London branch, with empirically Low Power Distance and High Individualism (Hofstede, 2011) the regional relationship manager is highly likely to challenge the machine's determination. </w:t>
      </w:r>
      <w:r w:rsidR="007C7D12" w:rsidRPr="007C7D12">
        <w:rPr>
          <w:rFonts w:cs="Times New Roman"/>
          <w:color w:val="1F1F1F"/>
        </w:rPr>
        <w:t>Empowered by a culture of open inquiry, the London manager</w:t>
      </w:r>
      <w:r w:rsidRPr="00E16F93">
        <w:rPr>
          <w:rFonts w:cs="Times New Roman"/>
          <w:color w:val="1F1F1F"/>
        </w:rPr>
        <w:t xml:space="preserve"> would likely insist on full transparency on the part of the analytics department, will adamantly stand up for their single client, and would rapidly escalate the conflict to the company's AI Ethics Committee if they felt that systemic bias was evident.</w:t>
      </w:r>
    </w:p>
    <w:p w14:paraId="0A2A8F6E" w14:textId="77777777" w:rsid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 xml:space="preserve">On the other hand, if the same artificial rejection were to occur in an office in Hong Kong, a culture with traits of </w:t>
      </w:r>
      <w:proofErr w:type="gramStart"/>
      <w:r w:rsidRPr="00E16F93">
        <w:rPr>
          <w:rFonts w:cs="Times New Roman"/>
          <w:color w:val="1F1F1F"/>
        </w:rPr>
        <w:t>High Power</w:t>
      </w:r>
      <w:proofErr w:type="gramEnd"/>
      <w:r w:rsidRPr="00E16F93">
        <w:rPr>
          <w:rFonts w:cs="Times New Roman"/>
          <w:color w:val="1F1F1F"/>
        </w:rPr>
        <w:t xml:space="preserve"> Distance and extreme Collectivism (Hofstede, 2011), the response would be very different. In this high context culture, the regional manager is culturally symbolic of respecting the highest authority in the central head office; and the software used in the London head office is viewed as the unquestioned, final decision. This employee is likely to suppress any individual doubts about the software's impartiality and submit the software's rejection decision to the customer, unmentioned, in pursuit of group harmony and avoidance of upsetting his/her managers. This cultural tendency is highly dangerous in the age of AI because it ensures that gross algorithmic, localised data, or biased (against the customer) anti-money laundering (AML) tracking errors will never be documented by subordinates obliged by their cultural deference to remain silent. This highlights the fact that not understanding how to operate in high-context cultures where the relationship with others is critical to success, leads to systemic business failure in digital rollouts (Chirino-</w:t>
      </w:r>
      <w:proofErr w:type="spellStart"/>
      <w:r w:rsidRPr="00E16F93">
        <w:rPr>
          <w:rFonts w:cs="Times New Roman"/>
          <w:color w:val="1F1F1F"/>
        </w:rPr>
        <w:t>Klevans</w:t>
      </w:r>
      <w:proofErr w:type="spellEnd"/>
      <w:r w:rsidRPr="00E16F93">
        <w:rPr>
          <w:rFonts w:cs="Times New Roman"/>
          <w:color w:val="1F1F1F"/>
        </w:rPr>
        <w:t xml:space="preserve">, 2014). As such, one-size-fits-all, global rollouts of "Black Box" technology are bound to fail. The Board needs to implement a "Global Mindset" (Bartlett and Ghoshal, 1990; Kossow, 2024) with culturally and empathically adept leadership that </w:t>
      </w:r>
      <w:r w:rsidRPr="00E16F93">
        <w:rPr>
          <w:rFonts w:cs="Times New Roman"/>
          <w:color w:val="1F1F1F"/>
        </w:rPr>
        <w:lastRenderedPageBreak/>
        <w:t>promotes psychological safety. HSBC needs to introduce human-in-the-loop (HITL) mechanisms to ensure employees that autonomous technology is there to complement - not to compete - its human counterpart (Kou and Lu, 2025).</w:t>
      </w:r>
    </w:p>
    <w:p w14:paraId="39D7BE4E" w14:textId="77777777" w:rsidR="0083717F" w:rsidRPr="00E16F93" w:rsidRDefault="0083717F" w:rsidP="00E16F93">
      <w:pPr>
        <w:pBdr>
          <w:top w:val="nil"/>
          <w:left w:val="nil"/>
          <w:bottom w:val="nil"/>
          <w:right w:val="nil"/>
          <w:between w:val="nil"/>
        </w:pBdr>
        <w:spacing w:after="240"/>
        <w:rPr>
          <w:rFonts w:cs="Times New Roman"/>
          <w:color w:val="1F1F1F"/>
        </w:rPr>
      </w:pPr>
    </w:p>
    <w:p w14:paraId="1DCD25F6" w14:textId="77777777" w:rsidR="00E16F93" w:rsidRPr="00E16F93" w:rsidRDefault="00E16F93" w:rsidP="00E16F93">
      <w:pPr>
        <w:pStyle w:val="Heading1"/>
      </w:pPr>
      <w:bookmarkStart w:id="37" w:name="_Toc228202698"/>
      <w:bookmarkStart w:id="38" w:name="_Toc228204917"/>
      <w:r w:rsidRPr="00E16F93">
        <w:t>7. Strategic Implementation Roadmap and Risk Mitigation</w:t>
      </w:r>
      <w:bookmarkEnd w:id="37"/>
      <w:bookmarkEnd w:id="38"/>
    </w:p>
    <w:p w14:paraId="62360E47" w14:textId="77777777" w:rsid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To translate these high-level strategic guidelines into practical implementation, HSBC needs to follow a highly detailed, staggered multi-year plan to implement such transformational initiatives. This roadmap is designed to be a blueprint for ensuring that digital change is completely in service to corporate governing norms and thrives within detailed global legislation.</w:t>
      </w:r>
    </w:p>
    <w:p w14:paraId="7BF10ED4" w14:textId="77777777" w:rsidR="002C5E2C" w:rsidRDefault="002C5E2C" w:rsidP="002C5E2C">
      <w:pPr>
        <w:keepNext/>
        <w:pBdr>
          <w:top w:val="nil"/>
          <w:left w:val="nil"/>
          <w:bottom w:val="nil"/>
          <w:right w:val="nil"/>
          <w:between w:val="nil"/>
        </w:pBdr>
        <w:spacing w:after="240"/>
      </w:pPr>
      <w:r w:rsidRPr="002C5E2C">
        <w:rPr>
          <w:rFonts w:cs="Times New Roman"/>
          <w:noProof/>
          <w:color w:val="1F1F1F"/>
        </w:rPr>
        <w:drawing>
          <wp:inline distT="0" distB="0" distL="0" distR="0" wp14:anchorId="2E782647" wp14:editId="17472F8F">
            <wp:extent cx="5943600" cy="1405255"/>
            <wp:effectExtent l="0" t="0" r="0" b="4445"/>
            <wp:docPr id="444563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63236" name=""/>
                    <pic:cNvPicPr/>
                  </pic:nvPicPr>
                  <pic:blipFill>
                    <a:blip r:embed="rId24"/>
                    <a:stretch>
                      <a:fillRect/>
                    </a:stretch>
                  </pic:blipFill>
                  <pic:spPr>
                    <a:xfrm>
                      <a:off x="0" y="0"/>
                      <a:ext cx="5943600" cy="1405255"/>
                    </a:xfrm>
                    <a:prstGeom prst="rect">
                      <a:avLst/>
                    </a:prstGeom>
                  </pic:spPr>
                </pic:pic>
              </a:graphicData>
            </a:graphic>
          </wp:inline>
        </w:drawing>
      </w:r>
    </w:p>
    <w:p w14:paraId="0D212742" w14:textId="4B020326" w:rsidR="002C5E2C" w:rsidRPr="00E16F93" w:rsidRDefault="002C5E2C" w:rsidP="002C5E2C">
      <w:pPr>
        <w:pStyle w:val="Caption"/>
        <w:jc w:val="center"/>
        <w:rPr>
          <w:rFonts w:cs="Times New Roman"/>
          <w:color w:val="1F1F1F"/>
        </w:rPr>
      </w:pPr>
      <w:r>
        <w:t xml:space="preserve">Figure </w:t>
      </w:r>
      <w:r>
        <w:fldChar w:fldCharType="begin"/>
      </w:r>
      <w:r>
        <w:instrText xml:space="preserve"> SEQ Figure \* ARABIC </w:instrText>
      </w:r>
      <w:r>
        <w:fldChar w:fldCharType="separate"/>
      </w:r>
      <w:r>
        <w:rPr>
          <w:noProof/>
        </w:rPr>
        <w:t>8</w:t>
      </w:r>
      <w:r>
        <w:fldChar w:fldCharType="end"/>
      </w:r>
      <w:r>
        <w:t xml:space="preserve">: Summary of </w:t>
      </w:r>
      <w:r w:rsidRPr="00120F36">
        <w:t>Implementation Roadmap</w:t>
      </w:r>
    </w:p>
    <w:p w14:paraId="4ECEB7AC" w14:textId="77777777" w:rsidR="00E16F93" w:rsidRPr="00E16F93" w:rsidRDefault="00E16F93" w:rsidP="00E16F93">
      <w:pPr>
        <w:pBdr>
          <w:top w:val="nil"/>
          <w:left w:val="nil"/>
          <w:bottom w:val="nil"/>
          <w:right w:val="nil"/>
          <w:between w:val="nil"/>
        </w:pBdr>
        <w:spacing w:after="240"/>
        <w:rPr>
          <w:rFonts w:cs="Times New Roman"/>
          <w:b/>
          <w:bCs/>
          <w:color w:val="1F1F1F"/>
        </w:rPr>
      </w:pPr>
      <w:r w:rsidRPr="00E16F93">
        <w:rPr>
          <w:rFonts w:cs="Times New Roman"/>
          <w:b/>
          <w:bCs/>
          <w:color w:val="1F1F1F"/>
        </w:rPr>
        <w:t>Months 0-6: Governance &amp; Structuring</w:t>
      </w:r>
    </w:p>
    <w:p w14:paraId="6B692151" w14:textId="1B5B3CA3" w:rsidR="00E16F93" w:rsidRPr="00E16F93" w:rsidRDefault="00E16F93" w:rsidP="00E16F93">
      <w:pPr>
        <w:pStyle w:val="ListParagraph"/>
        <w:numPr>
          <w:ilvl w:val="0"/>
          <w:numId w:val="20"/>
        </w:numPr>
        <w:pBdr>
          <w:top w:val="nil"/>
          <w:left w:val="nil"/>
          <w:bottom w:val="nil"/>
          <w:right w:val="nil"/>
          <w:between w:val="nil"/>
        </w:pBdr>
        <w:spacing w:after="240"/>
        <w:rPr>
          <w:rFonts w:cs="Times New Roman"/>
          <w:color w:val="1F1F1F"/>
        </w:rPr>
      </w:pPr>
      <w:r w:rsidRPr="00E16F93">
        <w:rPr>
          <w:rFonts w:cs="Times New Roman"/>
          <w:b/>
          <w:bCs/>
          <w:color w:val="1F1F1F"/>
        </w:rPr>
        <w:t>Establish the AI Ethics Committee:</w:t>
      </w:r>
      <w:r w:rsidRPr="00E16F93">
        <w:rPr>
          <w:rFonts w:cs="Times New Roman"/>
          <w:color w:val="1F1F1F"/>
        </w:rPr>
        <w:t xml:space="preserve"> Assemble a handpicked multidisciplinary AI Ethics Committee including external governance lawyers, lead data engineers and ethicists for algorithms. This board of oversight should report only to the Board of Directors, deliberately skipping regional product leads to finally remove conflicts of interest associated with premature product release (Cadbury, 1992).</w:t>
      </w:r>
    </w:p>
    <w:p w14:paraId="3B30067B" w14:textId="1631F2C3" w:rsidR="00E16F93" w:rsidRPr="00E16F93" w:rsidRDefault="00E16F93" w:rsidP="00E16F93">
      <w:pPr>
        <w:pStyle w:val="ListParagraph"/>
        <w:numPr>
          <w:ilvl w:val="0"/>
          <w:numId w:val="20"/>
        </w:numPr>
        <w:pBdr>
          <w:top w:val="nil"/>
          <w:left w:val="nil"/>
          <w:bottom w:val="nil"/>
          <w:right w:val="nil"/>
          <w:between w:val="nil"/>
        </w:pBdr>
        <w:spacing w:after="240"/>
        <w:rPr>
          <w:rFonts w:cs="Times New Roman"/>
          <w:color w:val="1F1F1F"/>
        </w:rPr>
      </w:pPr>
      <w:r w:rsidRPr="00E16F93">
        <w:rPr>
          <w:rFonts w:cs="Times New Roman"/>
          <w:b/>
          <w:bCs/>
          <w:color w:val="1F1F1F"/>
        </w:rPr>
        <w:t>Baseline NIST Review:</w:t>
      </w:r>
      <w:r w:rsidRPr="00E16F93">
        <w:rPr>
          <w:rFonts w:cs="Times New Roman"/>
          <w:color w:val="1F1F1F"/>
        </w:rPr>
        <w:t xml:space="preserve"> Carry out a rigorous internal review of all existing and potential AI solutions using the strict standards of the National Institute of Standards and Technology (NIST) AI Risk Management Framework (Govern, Map, Measure, Manage). This includes comprehensively documenting all data ingestion flows and identifying any algorithms which potentially trigger all high-risk regulatory classifications.</w:t>
      </w:r>
    </w:p>
    <w:p w14:paraId="3C755F72" w14:textId="77777777" w:rsidR="00E16F93" w:rsidRPr="00E16F93" w:rsidRDefault="00E16F93" w:rsidP="00E16F93">
      <w:pPr>
        <w:pBdr>
          <w:top w:val="nil"/>
          <w:left w:val="nil"/>
          <w:bottom w:val="nil"/>
          <w:right w:val="nil"/>
          <w:between w:val="nil"/>
        </w:pBdr>
        <w:spacing w:after="240"/>
        <w:rPr>
          <w:rFonts w:cs="Times New Roman"/>
          <w:b/>
          <w:bCs/>
          <w:color w:val="1F1F1F"/>
        </w:rPr>
      </w:pPr>
      <w:r w:rsidRPr="00E16F93">
        <w:rPr>
          <w:rFonts w:cs="Times New Roman"/>
          <w:b/>
          <w:bCs/>
          <w:color w:val="1F1F1F"/>
        </w:rPr>
        <w:lastRenderedPageBreak/>
        <w:t>Phase 2: Technical &amp; Vendor Convergence (6-12 months)</w:t>
      </w:r>
    </w:p>
    <w:p w14:paraId="7DDB6C2E" w14:textId="4E95B7E6" w:rsidR="00E16F93" w:rsidRPr="00E16F93" w:rsidRDefault="00E16F93" w:rsidP="00E16F93">
      <w:pPr>
        <w:pStyle w:val="ListParagraph"/>
        <w:numPr>
          <w:ilvl w:val="0"/>
          <w:numId w:val="21"/>
        </w:numPr>
        <w:pBdr>
          <w:top w:val="nil"/>
          <w:left w:val="nil"/>
          <w:bottom w:val="nil"/>
          <w:right w:val="nil"/>
          <w:between w:val="nil"/>
        </w:pBdr>
        <w:spacing w:after="240"/>
        <w:rPr>
          <w:rFonts w:cs="Times New Roman"/>
          <w:color w:val="1F1F1F"/>
        </w:rPr>
      </w:pPr>
      <w:r w:rsidRPr="007C7D12">
        <w:rPr>
          <w:rFonts w:cs="Times New Roman"/>
          <w:b/>
          <w:bCs/>
          <w:color w:val="1F1F1F"/>
        </w:rPr>
        <w:t>Internalisation Protocol:</w:t>
      </w:r>
      <w:r w:rsidRPr="00E16F93">
        <w:rPr>
          <w:rFonts w:cs="Times New Roman"/>
          <w:color w:val="1F1F1F"/>
        </w:rPr>
        <w:t xml:space="preserve"> </w:t>
      </w:r>
      <w:r w:rsidR="007C7D12" w:rsidRPr="007C7D12">
        <w:rPr>
          <w:rFonts w:cs="Times New Roman"/>
          <w:color w:val="1F1F1F"/>
        </w:rPr>
        <w:t>Rigorously audit</w:t>
      </w:r>
      <w:r w:rsidR="007C7D12">
        <w:rPr>
          <w:rFonts w:cs="Times New Roman"/>
          <w:color w:val="1F1F1F"/>
        </w:rPr>
        <w:t xml:space="preserve"> </w:t>
      </w:r>
      <w:r w:rsidRPr="00E16F93">
        <w:rPr>
          <w:rFonts w:cs="Times New Roman"/>
          <w:color w:val="1F1F1F"/>
        </w:rPr>
        <w:t>and review existing commercial contracts with cloud vendors. Ensure that the vendor-specific proprietary algorithmic logic and fundamental data governance framework are hosted securely on HSBC premises to protect IP and address extreme TCE risks.</w:t>
      </w:r>
    </w:p>
    <w:p w14:paraId="65D223C2" w14:textId="63CDB6BC" w:rsidR="00E16F93" w:rsidRPr="00E16F93" w:rsidRDefault="00E16F93" w:rsidP="00E16F93">
      <w:pPr>
        <w:pStyle w:val="ListParagraph"/>
        <w:numPr>
          <w:ilvl w:val="0"/>
          <w:numId w:val="21"/>
        </w:numPr>
        <w:pBdr>
          <w:top w:val="nil"/>
          <w:left w:val="nil"/>
          <w:bottom w:val="nil"/>
          <w:right w:val="nil"/>
          <w:between w:val="nil"/>
        </w:pBdr>
        <w:spacing w:after="240"/>
        <w:rPr>
          <w:rFonts w:cs="Times New Roman"/>
          <w:color w:val="1F1F1F"/>
        </w:rPr>
      </w:pPr>
      <w:r w:rsidRPr="007C7D12">
        <w:rPr>
          <w:rFonts w:cs="Times New Roman"/>
          <w:b/>
          <w:bCs/>
          <w:color w:val="1F1F1F"/>
        </w:rPr>
        <w:t>Ethics-by-Design Integration:</w:t>
      </w:r>
      <w:r w:rsidRPr="00E16F93">
        <w:rPr>
          <w:rFonts w:cs="Times New Roman"/>
          <w:color w:val="1F1F1F"/>
        </w:rPr>
        <w:t xml:space="preserve"> Reform the key Software Development Life Cycle (SDLC). Only allow algorithms to be implemented after serious testing for algorithmic bias, including verification for digital redlining signals in protected class groups, is approved by the AI Ethics Committee (</w:t>
      </w:r>
      <w:proofErr w:type="spellStart"/>
      <w:r w:rsidRPr="00E16F93">
        <w:rPr>
          <w:rFonts w:cs="Times New Roman"/>
          <w:color w:val="1F1F1F"/>
        </w:rPr>
        <w:t>Floridi</w:t>
      </w:r>
      <w:proofErr w:type="spellEnd"/>
      <w:r w:rsidR="007C7D12">
        <w:rPr>
          <w:rFonts w:cs="Times New Roman"/>
          <w:color w:val="1F1F1F"/>
        </w:rPr>
        <w:t>,</w:t>
      </w:r>
      <w:r w:rsidRPr="00E16F93">
        <w:rPr>
          <w:rFonts w:cs="Times New Roman"/>
          <w:color w:val="1F1F1F"/>
        </w:rPr>
        <w:t xml:space="preserve"> 2019).</w:t>
      </w:r>
    </w:p>
    <w:p w14:paraId="49B2BDD7" w14:textId="4C1CAB74" w:rsidR="00E16F93" w:rsidRPr="00E16F93" w:rsidRDefault="00E16F93" w:rsidP="00E16F93">
      <w:pPr>
        <w:pBdr>
          <w:top w:val="nil"/>
          <w:left w:val="nil"/>
          <w:bottom w:val="nil"/>
          <w:right w:val="nil"/>
          <w:between w:val="nil"/>
        </w:pBdr>
        <w:spacing w:after="240"/>
        <w:rPr>
          <w:rFonts w:cs="Times New Roman"/>
          <w:b/>
          <w:bCs/>
          <w:color w:val="1F1F1F"/>
        </w:rPr>
      </w:pPr>
      <w:r w:rsidRPr="00E16F93">
        <w:rPr>
          <w:rFonts w:cs="Times New Roman"/>
          <w:b/>
          <w:bCs/>
          <w:color w:val="1F1F1F"/>
        </w:rPr>
        <w:t>Phase 3: Social Change &amp; Reskilling (Months 12-24)</w:t>
      </w:r>
    </w:p>
    <w:p w14:paraId="6929BE50" w14:textId="02EA633A" w:rsidR="00E16F93" w:rsidRPr="00E16F93" w:rsidRDefault="00E16F93" w:rsidP="00E16F93">
      <w:pPr>
        <w:pStyle w:val="ListParagraph"/>
        <w:numPr>
          <w:ilvl w:val="0"/>
          <w:numId w:val="22"/>
        </w:numPr>
        <w:pBdr>
          <w:top w:val="nil"/>
          <w:left w:val="nil"/>
          <w:bottom w:val="nil"/>
          <w:right w:val="nil"/>
          <w:between w:val="nil"/>
        </w:pBdr>
        <w:spacing w:after="240"/>
        <w:rPr>
          <w:rFonts w:cs="Times New Roman"/>
          <w:color w:val="1F1F1F"/>
        </w:rPr>
      </w:pPr>
      <w:r w:rsidRPr="00E16F93">
        <w:rPr>
          <w:rFonts w:cs="Times New Roman"/>
          <w:b/>
          <w:bCs/>
          <w:color w:val="1F1F1F"/>
        </w:rPr>
        <w:t>Cost Estimates and The AI Academy:</w:t>
      </w:r>
      <w:r w:rsidRPr="00E16F93">
        <w:rPr>
          <w:rFonts w:cs="Times New Roman"/>
          <w:color w:val="1F1F1F"/>
        </w:rPr>
        <w:t xml:space="preserve"> Set up a well-funded "AI Academy" to anticipate and proactively retrain employees whose roles will be automated, thus facilitating their transition into critical human-in-the-loop (HITL) auditing functions. This highly targeted training program will cost a projected 50 million USD over the next two years - a highly targeted investment that will prevent the considerable costs of layoffs and the very difficult work shortage conditions for tech talent.</w:t>
      </w:r>
    </w:p>
    <w:p w14:paraId="017701C5" w14:textId="74ED52A0" w:rsidR="00E16F93" w:rsidRPr="00E16F93" w:rsidRDefault="00E16F93" w:rsidP="00E16F93">
      <w:pPr>
        <w:pStyle w:val="ListParagraph"/>
        <w:numPr>
          <w:ilvl w:val="0"/>
          <w:numId w:val="22"/>
        </w:numPr>
        <w:pBdr>
          <w:top w:val="nil"/>
          <w:left w:val="nil"/>
          <w:bottom w:val="nil"/>
          <w:right w:val="nil"/>
          <w:between w:val="nil"/>
        </w:pBdr>
        <w:spacing w:after="240"/>
        <w:rPr>
          <w:rFonts w:cs="Times New Roman"/>
          <w:color w:val="1F1F1F"/>
        </w:rPr>
      </w:pPr>
      <w:r w:rsidRPr="00E16F93">
        <w:rPr>
          <w:rFonts w:cs="Times New Roman"/>
          <w:b/>
          <w:bCs/>
          <w:color w:val="1F1F1F"/>
        </w:rPr>
        <w:t>Cross-Cultural Training:</w:t>
      </w:r>
      <w:r w:rsidRPr="00E16F93">
        <w:rPr>
          <w:rFonts w:cs="Times New Roman"/>
          <w:color w:val="1F1F1F"/>
        </w:rPr>
        <w:t xml:space="preserve"> Offer emotional intelligence-intensive workshops for the entire executive team, with a strong focus on capability to seamlessly integrate new automated technologies in high-context and high uncertainty avoidance cultures.</w:t>
      </w:r>
    </w:p>
    <w:p w14:paraId="4D8B9BF6" w14:textId="77777777" w:rsidR="00E16F93" w:rsidRPr="00E16F93" w:rsidRDefault="00E16F93" w:rsidP="00E16F93">
      <w:pPr>
        <w:pBdr>
          <w:top w:val="nil"/>
          <w:left w:val="nil"/>
          <w:bottom w:val="nil"/>
          <w:right w:val="nil"/>
          <w:between w:val="nil"/>
        </w:pBdr>
        <w:spacing w:after="240"/>
        <w:rPr>
          <w:rFonts w:cs="Times New Roman"/>
          <w:b/>
          <w:bCs/>
          <w:color w:val="1F1F1F"/>
        </w:rPr>
      </w:pPr>
      <w:r w:rsidRPr="00E16F93">
        <w:rPr>
          <w:rFonts w:cs="Times New Roman"/>
          <w:b/>
          <w:bCs/>
          <w:color w:val="1F1F1F"/>
        </w:rPr>
        <w:t>Risk Mitigation Matrix</w:t>
      </w:r>
    </w:p>
    <w:p w14:paraId="7FEB0B73"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A critical component of this transformation plan is a foolproof mitigation plan. If a value-added legacy credit risk assessment framework is found by the AI Ethics Committee to have irreparable, systemic biased internalised within it, and/or a new operationalised algorithm is detected to have critical "predictive drift" errors, the mitigation matrix mandates a system-wide "kill-switch" be activated. This process requires legal compliance with a complete return to human, non-algorithmic underwriting procedures until the entire algorithmic process can be removed and rebuilt, ensuring that the financial institution can never wholly depend on a non-compliant, non-explainable machine learning environment.</w:t>
      </w:r>
    </w:p>
    <w:p w14:paraId="77233355" w14:textId="77777777" w:rsidR="00E16F93" w:rsidRPr="00E16F93" w:rsidRDefault="00E16F93" w:rsidP="00E16F93">
      <w:pPr>
        <w:pStyle w:val="Heading1"/>
      </w:pPr>
      <w:bookmarkStart w:id="39" w:name="_Toc228202699"/>
      <w:bookmarkStart w:id="40" w:name="_Toc228204918"/>
      <w:r w:rsidRPr="00E16F93">
        <w:lastRenderedPageBreak/>
        <w:t>8. Conclusion and Final Recommendations</w:t>
      </w:r>
      <w:bookmarkEnd w:id="39"/>
      <w:bookmarkEnd w:id="40"/>
    </w:p>
    <w:p w14:paraId="1C754E20" w14:textId="77777777" w:rsidR="00E16F93" w:rsidRPr="00E16F93" w:rsidRDefault="00E16F93" w:rsidP="00E16F93">
      <w:pPr>
        <w:pBdr>
          <w:top w:val="nil"/>
          <w:left w:val="nil"/>
          <w:bottom w:val="nil"/>
          <w:right w:val="nil"/>
          <w:between w:val="nil"/>
        </w:pBdr>
        <w:spacing w:after="240"/>
        <w:rPr>
          <w:rFonts w:cs="Times New Roman"/>
          <w:color w:val="1F1F1F"/>
        </w:rPr>
      </w:pPr>
      <w:r w:rsidRPr="00E16F93">
        <w:rPr>
          <w:rFonts w:cs="Times New Roman"/>
          <w:color w:val="1F1F1F"/>
        </w:rPr>
        <w:t>HSBC is obliged to stick to a rapid and completely accountable approach in incorporating agentic AI technologies into its operations if it is to maintain its dominance in the stigmatised international finance industry. Believing artificial intelligence is merely a software upgrade blatantly overlooks the absolute risks of giant geopolitical, policy, ethical and human risks that have the capacity to cripple the business.</w:t>
      </w:r>
    </w:p>
    <w:p w14:paraId="00000082" w14:textId="5B42DA0B" w:rsidR="00FA4316" w:rsidRDefault="00E16F93" w:rsidP="00E16F93">
      <w:pPr>
        <w:pBdr>
          <w:top w:val="nil"/>
          <w:left w:val="nil"/>
          <w:bottom w:val="nil"/>
          <w:right w:val="nil"/>
          <w:between w:val="nil"/>
        </w:pBdr>
        <w:spacing w:after="240"/>
        <w:rPr>
          <w:rFonts w:cs="Times New Roman"/>
          <w:color w:val="1F1F1F"/>
        </w:rPr>
      </w:pPr>
      <w:proofErr w:type="gramStart"/>
      <w:r w:rsidRPr="00E16F93">
        <w:rPr>
          <w:rFonts w:cs="Times New Roman"/>
          <w:color w:val="1F1F1F"/>
        </w:rPr>
        <w:t>In order to</w:t>
      </w:r>
      <w:proofErr w:type="gramEnd"/>
      <w:r w:rsidRPr="00E16F93">
        <w:rPr>
          <w:rFonts w:cs="Times New Roman"/>
          <w:color w:val="1F1F1F"/>
        </w:rPr>
        <w:t xml:space="preserve"> effectively eliminate these globalization risks and establish an extremely competitive moat, the Board of Directors must immediately tighten the Phase 1 governance strategies. By self-imposing the demanding US NIST guidelines across </w:t>
      </w:r>
      <w:proofErr w:type="gramStart"/>
      <w:r w:rsidRPr="00E16F93">
        <w:rPr>
          <w:rFonts w:cs="Times New Roman"/>
          <w:color w:val="1F1F1F"/>
        </w:rPr>
        <w:t>all of</w:t>
      </w:r>
      <w:proofErr w:type="gramEnd"/>
      <w:r w:rsidRPr="00E16F93">
        <w:rPr>
          <w:rFonts w:cs="Times New Roman"/>
          <w:color w:val="1F1F1F"/>
        </w:rPr>
        <w:t xml:space="preserve"> its overseas branches to ensure normative isomorphism, significantly internalising prototype algorithmic logic to prevent vendor abuse and cloud computing addiction and utilising culturally sensitive change management to retrain traditional corporate employees, HSBC will decisively triumph over the human barriers to digital integration. By measuring artificial intelligence only in the context of strict corporate governance, in lieu of straightforward processing power, HSBC will protect the organisation from disastrous fines and cement itself as the global ultimate standard-bearer for reinstating absolute trust of key stakeholders.</w:t>
      </w:r>
    </w:p>
    <w:p w14:paraId="057FD3D2" w14:textId="13EDDE15" w:rsidR="00E16F93" w:rsidRPr="008F1357" w:rsidRDefault="00E16F93" w:rsidP="00E16F93">
      <w:pPr>
        <w:spacing w:line="240" w:lineRule="auto"/>
        <w:jc w:val="left"/>
        <w:rPr>
          <w:rFonts w:cs="Times New Roman"/>
          <w:color w:val="1F1F1F"/>
        </w:rPr>
      </w:pPr>
      <w:r>
        <w:rPr>
          <w:rFonts w:cs="Times New Roman"/>
          <w:color w:val="1F1F1F"/>
        </w:rPr>
        <w:br w:type="page"/>
      </w:r>
    </w:p>
    <w:p w14:paraId="00000083" w14:textId="77777777" w:rsidR="00FA4316" w:rsidRPr="008F1357" w:rsidRDefault="00000000" w:rsidP="00E16F93">
      <w:pPr>
        <w:pStyle w:val="Heading1"/>
      </w:pPr>
      <w:bookmarkStart w:id="41" w:name="_Toc228202700"/>
      <w:bookmarkStart w:id="42" w:name="_Toc228204919"/>
      <w:r w:rsidRPr="008F1357">
        <w:lastRenderedPageBreak/>
        <w:t>9. Bibliography</w:t>
      </w:r>
      <w:bookmarkEnd w:id="41"/>
      <w:bookmarkEnd w:id="42"/>
    </w:p>
    <w:p w14:paraId="7779EE19" w14:textId="3564BED7"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Abonamah</w:t>
      </w:r>
      <w:proofErr w:type="spellEnd"/>
      <w:r w:rsidRPr="008F1357">
        <w:rPr>
          <w:rFonts w:cs="Times New Roman"/>
          <w:color w:val="1F1F1F"/>
        </w:rPr>
        <w:t xml:space="preserve">, A. A. and Abdelhamid, N. (2024) 'Managerial insights for AI/ML implementation: a playbook for successful organizational integration', </w:t>
      </w:r>
      <w:r w:rsidRPr="008F1357">
        <w:rPr>
          <w:rFonts w:cs="Times New Roman"/>
          <w:i/>
          <w:iCs/>
          <w:color w:val="1F1F1F"/>
        </w:rPr>
        <w:t>Discover Artificial Intelligence</w:t>
      </w:r>
      <w:r w:rsidRPr="008F1357">
        <w:rPr>
          <w:rFonts w:cs="Times New Roman"/>
          <w:color w:val="1F1F1F"/>
        </w:rPr>
        <w:t xml:space="preserve">, 4. Available at: </w:t>
      </w:r>
      <w:hyperlink r:id="rId25" w:tgtFrame="_blank" w:history="1">
        <w:r w:rsidRPr="008F1357">
          <w:rPr>
            <w:rStyle w:val="Hyperlink"/>
            <w:rFonts w:cs="Times New Roman"/>
          </w:rPr>
          <w:t>https://doi.org/10.1007/s44163-023-00100-5</w:t>
        </w:r>
      </w:hyperlink>
      <w:r w:rsidRPr="008F1357">
        <w:rPr>
          <w:rFonts w:cs="Times New Roman"/>
          <w:color w:val="1F1F1F"/>
        </w:rPr>
        <w:t>.</w:t>
      </w:r>
    </w:p>
    <w:p w14:paraId="4E0250FE" w14:textId="4EF07FF5"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Alkire, S., Mishra, R., Selden, L. and Suppa, N. (2025) </w:t>
      </w:r>
      <w:r w:rsidRPr="008F1357">
        <w:rPr>
          <w:rFonts w:cs="Times New Roman"/>
          <w:i/>
          <w:iCs/>
          <w:color w:val="1F1F1F"/>
        </w:rPr>
        <w:t>Global Multidimensional Poverty Index 2025: Overlapping Hardships: Poverty and Climate Hazards</w:t>
      </w:r>
      <w:r w:rsidRPr="008F1357">
        <w:rPr>
          <w:rFonts w:cs="Times New Roman"/>
          <w:color w:val="1F1F1F"/>
        </w:rPr>
        <w:t xml:space="preserve">. Oxford Poverty and Human Development Initiative (OPHI) and United Nations Development Programme (UNDP). Available at: </w:t>
      </w:r>
      <w:hyperlink r:id="rId26" w:tgtFrame="_blank" w:history="1">
        <w:r w:rsidRPr="008F1357">
          <w:rPr>
            <w:rStyle w:val="Hyperlink"/>
            <w:rFonts w:cs="Times New Roman"/>
          </w:rPr>
          <w:t>https://ophi.org.uk/sites/default/files/2026-01/GMPI_2025_Overlapping_2.pdf</w:t>
        </w:r>
      </w:hyperlink>
      <w:r w:rsidRPr="008F1357">
        <w:rPr>
          <w:rFonts w:cs="Times New Roman"/>
          <w:color w:val="1F1F1F"/>
        </w:rPr>
        <w:t>.</w:t>
      </w:r>
    </w:p>
    <w:p w14:paraId="49EA0487" w14:textId="1ECEA489"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Anthony, R. N. (1965) </w:t>
      </w:r>
      <w:r w:rsidRPr="008F1357">
        <w:rPr>
          <w:rFonts w:cs="Times New Roman"/>
          <w:i/>
          <w:iCs/>
          <w:color w:val="1F1F1F"/>
        </w:rPr>
        <w:t>Planning and Control Systems: A Framework for Analysis</w:t>
      </w:r>
      <w:r w:rsidRPr="008F1357">
        <w:rPr>
          <w:rFonts w:cs="Times New Roman"/>
          <w:color w:val="1F1F1F"/>
        </w:rPr>
        <w:t>. Boston: Harvard Business School.</w:t>
      </w:r>
    </w:p>
    <w:p w14:paraId="31BC8A3B" w14:textId="30012483"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Articsledge</w:t>
      </w:r>
      <w:proofErr w:type="spellEnd"/>
      <w:r w:rsidRPr="008F1357">
        <w:rPr>
          <w:rFonts w:cs="Times New Roman"/>
          <w:color w:val="1F1F1F"/>
        </w:rPr>
        <w:t xml:space="preserve"> (2024) 'JPMorgan Chase AI implementation case study'.</w:t>
      </w:r>
    </w:p>
    <w:p w14:paraId="290FD572" w14:textId="6C67F125"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Barney, J. (1991) 'Firm resources and sustained competitive advantage', </w:t>
      </w:r>
      <w:r w:rsidRPr="008F1357">
        <w:rPr>
          <w:rFonts w:cs="Times New Roman"/>
          <w:i/>
          <w:iCs/>
          <w:color w:val="1F1F1F"/>
        </w:rPr>
        <w:t>Journal of Management</w:t>
      </w:r>
      <w:r w:rsidRPr="008F1357">
        <w:rPr>
          <w:rFonts w:cs="Times New Roman"/>
          <w:color w:val="1F1F1F"/>
        </w:rPr>
        <w:t>, 17(1), pp. 99-120.</w:t>
      </w:r>
    </w:p>
    <w:p w14:paraId="5F7C5259" w14:textId="6566E356"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Bartlett, C. A. and Ghoshal, S. (1990) </w:t>
      </w:r>
      <w:r w:rsidRPr="008F1357">
        <w:rPr>
          <w:rFonts w:cs="Times New Roman"/>
          <w:i/>
          <w:iCs/>
          <w:color w:val="1F1F1F"/>
        </w:rPr>
        <w:t>Managing Across Borders: The Transnational Solution</w:t>
      </w:r>
      <w:r w:rsidRPr="008F1357">
        <w:rPr>
          <w:rFonts w:cs="Times New Roman"/>
          <w:color w:val="1F1F1F"/>
        </w:rPr>
        <w:t>. London: Hutchinson Business Books.</w:t>
      </w:r>
    </w:p>
    <w:p w14:paraId="3F701BAA" w14:textId="78017E45"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Baye, M. (2017) </w:t>
      </w:r>
      <w:r w:rsidRPr="008F1357">
        <w:rPr>
          <w:rFonts w:cs="Times New Roman"/>
          <w:i/>
          <w:iCs/>
          <w:color w:val="1F1F1F"/>
        </w:rPr>
        <w:t>Managerial Economics &amp; Business Strategy</w:t>
      </w:r>
      <w:r w:rsidRPr="008F1357">
        <w:rPr>
          <w:rFonts w:cs="Times New Roman"/>
          <w:color w:val="1F1F1F"/>
        </w:rPr>
        <w:t xml:space="preserve">. 9th </w:t>
      </w:r>
      <w:proofErr w:type="spellStart"/>
      <w:r w:rsidRPr="008F1357">
        <w:rPr>
          <w:rFonts w:cs="Times New Roman"/>
          <w:color w:val="1F1F1F"/>
        </w:rPr>
        <w:t>edn</w:t>
      </w:r>
      <w:proofErr w:type="spellEnd"/>
      <w:r w:rsidRPr="008F1357">
        <w:rPr>
          <w:rFonts w:cs="Times New Roman"/>
          <w:color w:val="1F1F1F"/>
        </w:rPr>
        <w:t>. New York: McGraw-Hill Education.</w:t>
      </w:r>
    </w:p>
    <w:p w14:paraId="4AE221D9" w14:textId="1F401794"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Businesstats</w:t>
      </w:r>
      <w:proofErr w:type="spellEnd"/>
      <w:r w:rsidRPr="008F1357">
        <w:rPr>
          <w:rFonts w:cs="Times New Roman"/>
          <w:color w:val="1F1F1F"/>
        </w:rPr>
        <w:t xml:space="preserve"> (2026) </w:t>
      </w:r>
      <w:r w:rsidRPr="008F1357">
        <w:rPr>
          <w:rFonts w:cs="Times New Roman"/>
          <w:i/>
          <w:iCs/>
          <w:color w:val="1F1F1F"/>
        </w:rPr>
        <w:t>Artificial intelligence (AI) in finance — 2026 statistics, use cases &amp; market data</w:t>
      </w:r>
      <w:r w:rsidRPr="008F1357">
        <w:rPr>
          <w:rFonts w:cs="Times New Roman"/>
          <w:color w:val="1F1F1F"/>
        </w:rPr>
        <w:t xml:space="preserve">. Available at: </w:t>
      </w:r>
      <w:hyperlink r:id="rId27" w:tgtFrame="_blank" w:history="1">
        <w:r w:rsidRPr="008F1357">
          <w:rPr>
            <w:rStyle w:val="Hyperlink"/>
            <w:rFonts w:cs="Times New Roman"/>
          </w:rPr>
          <w:t>https://businesstats.com/ai-in-finance/</w:t>
        </w:r>
      </w:hyperlink>
      <w:r w:rsidRPr="008F1357">
        <w:rPr>
          <w:rFonts w:cs="Times New Roman"/>
          <w:color w:val="1F1F1F"/>
        </w:rPr>
        <w:t xml:space="preserve"> (Accessed: 23 March 2026).</w:t>
      </w:r>
    </w:p>
    <w:p w14:paraId="60395A8C" w14:textId="68F0C9E3"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Cadbury, A. (1992) </w:t>
      </w:r>
      <w:r w:rsidRPr="008F1357">
        <w:rPr>
          <w:rFonts w:cs="Times New Roman"/>
          <w:i/>
          <w:iCs/>
          <w:color w:val="1F1F1F"/>
        </w:rPr>
        <w:t>Report of the Committee on the Financial Aspects of Corporate Governance</w:t>
      </w:r>
      <w:r w:rsidRPr="008F1357">
        <w:rPr>
          <w:rFonts w:cs="Times New Roman"/>
          <w:color w:val="1F1F1F"/>
        </w:rPr>
        <w:t>. London: Gee.</w:t>
      </w:r>
    </w:p>
    <w:p w14:paraId="13538919" w14:textId="3C3D514F"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Chirino-</w:t>
      </w:r>
      <w:proofErr w:type="spellStart"/>
      <w:r w:rsidRPr="008F1357">
        <w:rPr>
          <w:rFonts w:cs="Times New Roman"/>
          <w:color w:val="1F1F1F"/>
        </w:rPr>
        <w:t>Klevans</w:t>
      </w:r>
      <w:proofErr w:type="spellEnd"/>
      <w:r w:rsidRPr="008F1357">
        <w:rPr>
          <w:rFonts w:cs="Times New Roman"/>
          <w:color w:val="1F1F1F"/>
        </w:rPr>
        <w:t xml:space="preserve">, I. (2014) </w:t>
      </w:r>
      <w:r w:rsidRPr="008F1357">
        <w:rPr>
          <w:rFonts w:cs="Times New Roman"/>
          <w:i/>
          <w:iCs/>
          <w:color w:val="1F1F1F"/>
        </w:rPr>
        <w:t>'When in China...': A Teaching Case in Global Leadership</w:t>
      </w:r>
      <w:r w:rsidRPr="008F1357">
        <w:rPr>
          <w:rFonts w:cs="Times New Roman"/>
          <w:color w:val="1F1F1F"/>
        </w:rPr>
        <w:t>. Kenan-Flagler Business School.</w:t>
      </w:r>
    </w:p>
    <w:p w14:paraId="06BF4E91" w14:textId="3F8CEFF2"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Croft, J., Vaid, S., Cheng, L. and Whillans, A. (2026) 'Where Senior Leaders Are Struggling with </w:t>
      </w:r>
      <w:r w:rsidRPr="008F1357">
        <w:rPr>
          <w:rFonts w:cs="Times New Roman"/>
          <w:color w:val="1F1F1F"/>
        </w:rPr>
        <w:lastRenderedPageBreak/>
        <w:t xml:space="preserve">AI Adoption, According to Research', </w:t>
      </w:r>
      <w:r w:rsidRPr="008F1357">
        <w:rPr>
          <w:rFonts w:cs="Times New Roman"/>
          <w:i/>
          <w:iCs/>
          <w:color w:val="1F1F1F"/>
        </w:rPr>
        <w:t>Harvard Business Review</w:t>
      </w:r>
      <w:r w:rsidRPr="008F1357">
        <w:rPr>
          <w:rFonts w:cs="Times New Roman"/>
          <w:color w:val="1F1F1F"/>
        </w:rPr>
        <w:t xml:space="preserve">, February. Available at: </w:t>
      </w:r>
      <w:hyperlink r:id="rId28" w:tgtFrame="_blank" w:history="1">
        <w:r w:rsidRPr="008F1357">
          <w:rPr>
            <w:rStyle w:val="Hyperlink"/>
            <w:rFonts w:cs="Times New Roman"/>
          </w:rPr>
          <w:t>https://hbr.org/2026/02/where-senior-leaders-are-struggling-with-ai-adoption-according-to-research</w:t>
        </w:r>
      </w:hyperlink>
      <w:r w:rsidRPr="008F1357">
        <w:rPr>
          <w:rFonts w:cs="Times New Roman"/>
          <w:color w:val="1F1F1F"/>
        </w:rPr>
        <w:t>.</w:t>
      </w:r>
    </w:p>
    <w:p w14:paraId="7435B2EA" w14:textId="42EF466D"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DiMaggio, P. J. and Powell, W. W. (1983) 'The iron cage revisited: Institutional isomorphism and collective rationality in organizational fields', </w:t>
      </w:r>
      <w:r w:rsidRPr="008F1357">
        <w:rPr>
          <w:rFonts w:cs="Times New Roman"/>
          <w:i/>
          <w:iCs/>
          <w:color w:val="1F1F1F"/>
        </w:rPr>
        <w:t>American Sociological Review</w:t>
      </w:r>
      <w:r w:rsidRPr="008F1357">
        <w:rPr>
          <w:rFonts w:cs="Times New Roman"/>
          <w:color w:val="1F1F1F"/>
        </w:rPr>
        <w:t xml:space="preserve">, 48(2), pp. 147-160. Available at: </w:t>
      </w:r>
      <w:hyperlink r:id="rId29" w:tgtFrame="_blank" w:history="1">
        <w:r w:rsidRPr="008F1357">
          <w:rPr>
            <w:rStyle w:val="Hyperlink"/>
            <w:rFonts w:cs="Times New Roman"/>
          </w:rPr>
          <w:t>https://doi.org/10.2307/2095101</w:t>
        </w:r>
      </w:hyperlink>
      <w:r w:rsidRPr="008F1357">
        <w:rPr>
          <w:rFonts w:cs="Times New Roman"/>
          <w:color w:val="1F1F1F"/>
        </w:rPr>
        <w:t>.</w:t>
      </w:r>
    </w:p>
    <w:p w14:paraId="6E03A4AB" w14:textId="78245759"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Elkington, J. (1994) 'Towards the sustainable corporation: Win-win-win business strategies for sustainable development', </w:t>
      </w:r>
      <w:r w:rsidRPr="008F1357">
        <w:rPr>
          <w:rFonts w:cs="Times New Roman"/>
          <w:i/>
          <w:iCs/>
          <w:color w:val="1F1F1F"/>
        </w:rPr>
        <w:t>California Management Review</w:t>
      </w:r>
      <w:r w:rsidRPr="008F1357">
        <w:rPr>
          <w:rFonts w:cs="Times New Roman"/>
          <w:color w:val="1F1F1F"/>
        </w:rPr>
        <w:t xml:space="preserve">, 36(2), pp. 90-100. Available at: </w:t>
      </w:r>
      <w:hyperlink r:id="rId30" w:tgtFrame="_blank" w:history="1">
        <w:r w:rsidRPr="008F1357">
          <w:rPr>
            <w:rStyle w:val="Hyperlink"/>
            <w:rFonts w:cs="Times New Roman"/>
          </w:rPr>
          <w:t>http://dx.doi.org/10.2307/41165746</w:t>
        </w:r>
      </w:hyperlink>
      <w:r w:rsidRPr="008F1357">
        <w:rPr>
          <w:rFonts w:cs="Times New Roman"/>
          <w:color w:val="1F1F1F"/>
        </w:rPr>
        <w:t>.</w:t>
      </w:r>
    </w:p>
    <w:p w14:paraId="1CD114A2" w14:textId="5D3DC04E"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FCA (2022) </w:t>
      </w:r>
      <w:r w:rsidRPr="008F1357">
        <w:rPr>
          <w:rFonts w:cs="Times New Roman"/>
          <w:i/>
          <w:iCs/>
          <w:color w:val="1F1F1F"/>
        </w:rPr>
        <w:t>'A new Consumer Duty'</w:t>
      </w:r>
      <w:r w:rsidRPr="008F1357">
        <w:rPr>
          <w:rFonts w:cs="Times New Roman"/>
          <w:color w:val="1F1F1F"/>
        </w:rPr>
        <w:t xml:space="preserve">, Financial Conduct Authority. Available at: </w:t>
      </w:r>
      <w:hyperlink r:id="rId31" w:tgtFrame="_blank" w:history="1">
        <w:r w:rsidRPr="008F1357">
          <w:rPr>
            <w:rStyle w:val="Hyperlink"/>
            <w:rFonts w:cs="Times New Roman"/>
          </w:rPr>
          <w:t>https://www.fca.org.uk/publications/policy-statements/ps22-9-new-consumer-duty</w:t>
        </w:r>
      </w:hyperlink>
      <w:r w:rsidRPr="008F1357">
        <w:rPr>
          <w:rFonts w:cs="Times New Roman"/>
          <w:color w:val="1F1F1F"/>
        </w:rPr>
        <w:t xml:space="preserve"> (Accessed: 25 March 2026).</w:t>
      </w:r>
    </w:p>
    <w:p w14:paraId="1C113C88" w14:textId="093BC9A5"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Floridi</w:t>
      </w:r>
      <w:proofErr w:type="spellEnd"/>
      <w:r w:rsidRPr="008F1357">
        <w:rPr>
          <w:rFonts w:cs="Times New Roman"/>
          <w:color w:val="1F1F1F"/>
        </w:rPr>
        <w:t xml:space="preserve">, L. (2019) 'Translating principles into practices of digital ethics: Five risks of being unethical', </w:t>
      </w:r>
      <w:r w:rsidRPr="008F1357">
        <w:rPr>
          <w:rFonts w:cs="Times New Roman"/>
          <w:i/>
          <w:iCs/>
          <w:color w:val="1F1F1F"/>
        </w:rPr>
        <w:t>Philosophy &amp; Technology</w:t>
      </w:r>
      <w:r w:rsidRPr="008F1357">
        <w:rPr>
          <w:rFonts w:cs="Times New Roman"/>
          <w:color w:val="1F1F1F"/>
        </w:rPr>
        <w:t xml:space="preserve">, 32(4), pp. 733-744. Available at: </w:t>
      </w:r>
      <w:hyperlink r:id="rId32" w:tgtFrame="_blank" w:history="1">
        <w:r w:rsidRPr="008F1357">
          <w:rPr>
            <w:rStyle w:val="Hyperlink"/>
            <w:rFonts w:cs="Times New Roman"/>
          </w:rPr>
          <w:t>https://doi.org/10.1007/s13347-019-00354-x</w:t>
        </w:r>
      </w:hyperlink>
      <w:r w:rsidRPr="008F1357">
        <w:rPr>
          <w:rFonts w:cs="Times New Roman"/>
          <w:color w:val="1F1F1F"/>
        </w:rPr>
        <w:t>.</w:t>
      </w:r>
    </w:p>
    <w:p w14:paraId="5C4BF14A" w14:textId="1954B8E4"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Freeman, R. E. (1984) </w:t>
      </w:r>
      <w:r w:rsidRPr="008F1357">
        <w:rPr>
          <w:rFonts w:cs="Times New Roman"/>
          <w:i/>
          <w:iCs/>
          <w:color w:val="1F1F1F"/>
        </w:rPr>
        <w:t>Strategic Management: A Stakeholder Approach</w:t>
      </w:r>
      <w:r w:rsidRPr="008F1357">
        <w:rPr>
          <w:rFonts w:cs="Times New Roman"/>
          <w:color w:val="1F1F1F"/>
        </w:rPr>
        <w:t>. Boston: Pitman.</w:t>
      </w:r>
    </w:p>
    <w:p w14:paraId="68749373" w14:textId="2539FB73"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Gitnux</w:t>
      </w:r>
      <w:proofErr w:type="spellEnd"/>
      <w:r w:rsidRPr="008F1357">
        <w:rPr>
          <w:rFonts w:cs="Times New Roman"/>
          <w:color w:val="1F1F1F"/>
        </w:rPr>
        <w:t xml:space="preserve"> (2023) </w:t>
      </w:r>
      <w:r w:rsidRPr="008F1357">
        <w:rPr>
          <w:rFonts w:cs="Times New Roman"/>
          <w:i/>
          <w:iCs/>
          <w:color w:val="1F1F1F"/>
        </w:rPr>
        <w:t xml:space="preserve">Ai </w:t>
      </w:r>
      <w:proofErr w:type="gramStart"/>
      <w:r w:rsidRPr="008F1357">
        <w:rPr>
          <w:rFonts w:cs="Times New Roman"/>
          <w:i/>
          <w:iCs/>
          <w:color w:val="1F1F1F"/>
        </w:rPr>
        <w:t>In</w:t>
      </w:r>
      <w:proofErr w:type="gramEnd"/>
      <w:r w:rsidRPr="008F1357">
        <w:rPr>
          <w:rFonts w:cs="Times New Roman"/>
          <w:i/>
          <w:iCs/>
          <w:color w:val="1F1F1F"/>
        </w:rPr>
        <w:t xml:space="preserve"> </w:t>
      </w:r>
      <w:proofErr w:type="gramStart"/>
      <w:r w:rsidRPr="008F1357">
        <w:rPr>
          <w:rFonts w:cs="Times New Roman"/>
          <w:i/>
          <w:iCs/>
          <w:color w:val="1F1F1F"/>
        </w:rPr>
        <w:t>The</w:t>
      </w:r>
      <w:proofErr w:type="gramEnd"/>
      <w:r w:rsidRPr="008F1357">
        <w:rPr>
          <w:rFonts w:cs="Times New Roman"/>
          <w:i/>
          <w:iCs/>
          <w:color w:val="1F1F1F"/>
        </w:rPr>
        <w:t xml:space="preserve"> Banking Industry Statistics | Fact-Checked 2026</w:t>
      </w:r>
      <w:r w:rsidRPr="008F1357">
        <w:rPr>
          <w:rFonts w:cs="Times New Roman"/>
          <w:color w:val="1F1F1F"/>
        </w:rPr>
        <w:t xml:space="preserve">. Available at: </w:t>
      </w:r>
      <w:hyperlink r:id="rId33" w:tgtFrame="_blank" w:history="1">
        <w:r w:rsidRPr="008F1357">
          <w:rPr>
            <w:rStyle w:val="Hyperlink"/>
            <w:rFonts w:cs="Times New Roman"/>
          </w:rPr>
          <w:t>https://gitnux.org/ai-in-the-banking-industry-statistics/</w:t>
        </w:r>
      </w:hyperlink>
      <w:r w:rsidRPr="008F1357">
        <w:rPr>
          <w:rFonts w:cs="Times New Roman"/>
          <w:color w:val="1F1F1F"/>
        </w:rPr>
        <w:t xml:space="preserve"> (Accessed: 24 March 2026).</w:t>
      </w:r>
    </w:p>
    <w:p w14:paraId="5B498E5F" w14:textId="2B6E6FAF"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Google Cloud (2023) </w:t>
      </w:r>
      <w:r w:rsidRPr="008F1357">
        <w:rPr>
          <w:rFonts w:cs="Times New Roman"/>
          <w:i/>
          <w:iCs/>
          <w:color w:val="1F1F1F"/>
        </w:rPr>
        <w:t xml:space="preserve">HSBC - </w:t>
      </w:r>
      <w:proofErr w:type="gramStart"/>
      <w:r w:rsidRPr="008F1357">
        <w:rPr>
          <w:rFonts w:cs="Times New Roman"/>
          <w:i/>
          <w:iCs/>
          <w:color w:val="1F1F1F"/>
        </w:rPr>
        <w:t>Opening up</w:t>
      </w:r>
      <w:proofErr w:type="gramEnd"/>
      <w:r w:rsidRPr="008F1357">
        <w:rPr>
          <w:rFonts w:cs="Times New Roman"/>
          <w:i/>
          <w:iCs/>
          <w:color w:val="1F1F1F"/>
        </w:rPr>
        <w:t xml:space="preserve"> a world of opportunity</w:t>
      </w:r>
      <w:r w:rsidRPr="008F1357">
        <w:rPr>
          <w:rFonts w:cs="Times New Roman"/>
          <w:color w:val="1F1F1F"/>
        </w:rPr>
        <w:t xml:space="preserve">. Available at: </w:t>
      </w:r>
      <w:hyperlink r:id="rId34" w:tgtFrame="_blank" w:history="1">
        <w:r w:rsidRPr="008F1357">
          <w:rPr>
            <w:rStyle w:val="Hyperlink"/>
            <w:rFonts w:cs="Times New Roman"/>
          </w:rPr>
          <w:t>https://cloud.google.com/customers/featured/hsbc</w:t>
        </w:r>
      </w:hyperlink>
      <w:r w:rsidRPr="008F1357">
        <w:rPr>
          <w:rFonts w:cs="Times New Roman"/>
          <w:color w:val="1F1F1F"/>
        </w:rPr>
        <w:t>.</w:t>
      </w:r>
    </w:p>
    <w:p w14:paraId="2FE7CC6C" w14:textId="2BBEEB21"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Griffin, R. and Pustay, M. (2015) </w:t>
      </w:r>
      <w:r w:rsidRPr="008F1357">
        <w:rPr>
          <w:rFonts w:cs="Times New Roman"/>
          <w:i/>
          <w:iCs/>
          <w:color w:val="1F1F1F"/>
        </w:rPr>
        <w:t>International Business</w:t>
      </w:r>
      <w:r w:rsidRPr="008F1357">
        <w:rPr>
          <w:rFonts w:cs="Times New Roman"/>
          <w:color w:val="1F1F1F"/>
        </w:rPr>
        <w:t>. Global Edition. Harlow: Pearson.</w:t>
      </w:r>
    </w:p>
    <w:p w14:paraId="6A9A1303" w14:textId="0EC451F4"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Griffiths, A. and Wall, A. (2011) </w:t>
      </w:r>
      <w:r w:rsidRPr="008F1357">
        <w:rPr>
          <w:rFonts w:cs="Times New Roman"/>
          <w:i/>
          <w:iCs/>
          <w:color w:val="1F1F1F"/>
        </w:rPr>
        <w:t>Economics for Business and Management</w:t>
      </w:r>
      <w:r w:rsidRPr="008F1357">
        <w:rPr>
          <w:rFonts w:cs="Times New Roman"/>
          <w:color w:val="1F1F1F"/>
        </w:rPr>
        <w:t>. Harlow: Pearson.</w:t>
      </w:r>
    </w:p>
    <w:p w14:paraId="33D85ABE" w14:textId="31BAB459"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Hamilton, L. and Webster, P. (2018) </w:t>
      </w:r>
      <w:r w:rsidRPr="008F1357">
        <w:rPr>
          <w:rFonts w:cs="Times New Roman"/>
          <w:i/>
          <w:iCs/>
          <w:color w:val="1F1F1F"/>
        </w:rPr>
        <w:t>The International Business Environment</w:t>
      </w:r>
      <w:r w:rsidRPr="008F1357">
        <w:rPr>
          <w:rFonts w:cs="Times New Roman"/>
          <w:color w:val="1F1F1F"/>
        </w:rPr>
        <w:t>. New York: Oxford University Press.</w:t>
      </w:r>
    </w:p>
    <w:p w14:paraId="2FF84C1B" w14:textId="26C01D70"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Hofstede, G. (1980) </w:t>
      </w:r>
      <w:r w:rsidRPr="008F1357">
        <w:rPr>
          <w:rFonts w:cs="Times New Roman"/>
          <w:i/>
          <w:iCs/>
          <w:color w:val="1F1F1F"/>
        </w:rPr>
        <w:t>Culture's Consequences: International Differences in Work-Related Values</w:t>
      </w:r>
      <w:r w:rsidRPr="008F1357">
        <w:rPr>
          <w:rFonts w:cs="Times New Roman"/>
          <w:color w:val="1F1F1F"/>
        </w:rPr>
        <w:t xml:space="preserve">. </w:t>
      </w:r>
      <w:r w:rsidRPr="008F1357">
        <w:rPr>
          <w:rFonts w:cs="Times New Roman"/>
          <w:color w:val="1F1F1F"/>
        </w:rPr>
        <w:lastRenderedPageBreak/>
        <w:t>Beverly Hills, CA: Sage Publications.</w:t>
      </w:r>
    </w:p>
    <w:p w14:paraId="638C7848" w14:textId="1742E44C"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Hofstede, G. (2011) '</w:t>
      </w:r>
      <w:proofErr w:type="spellStart"/>
      <w:r w:rsidRPr="008F1357">
        <w:rPr>
          <w:rFonts w:cs="Times New Roman"/>
          <w:color w:val="1F1F1F"/>
        </w:rPr>
        <w:t>Dimensionalizing</w:t>
      </w:r>
      <w:proofErr w:type="spellEnd"/>
      <w:r w:rsidRPr="008F1357">
        <w:rPr>
          <w:rFonts w:cs="Times New Roman"/>
          <w:color w:val="1F1F1F"/>
        </w:rPr>
        <w:t xml:space="preserve"> Cultures: The Hofstede Model in Context', </w:t>
      </w:r>
      <w:r w:rsidRPr="008F1357">
        <w:rPr>
          <w:rFonts w:cs="Times New Roman"/>
          <w:i/>
          <w:iCs/>
          <w:color w:val="1F1F1F"/>
        </w:rPr>
        <w:t>Online Readings in Psychology and Culture</w:t>
      </w:r>
      <w:r w:rsidRPr="008F1357">
        <w:rPr>
          <w:rFonts w:cs="Times New Roman"/>
          <w:color w:val="1F1F1F"/>
        </w:rPr>
        <w:t xml:space="preserve">, 2(1). Available at: </w:t>
      </w:r>
      <w:hyperlink r:id="rId35" w:tgtFrame="_blank" w:history="1">
        <w:r w:rsidRPr="008F1357">
          <w:rPr>
            <w:rStyle w:val="Hyperlink"/>
            <w:rFonts w:cs="Times New Roman"/>
          </w:rPr>
          <w:t>https://doi.org/10.9707/2307-0919.1014</w:t>
        </w:r>
      </w:hyperlink>
      <w:r w:rsidRPr="008F1357">
        <w:rPr>
          <w:rFonts w:cs="Times New Roman"/>
          <w:color w:val="1F1F1F"/>
        </w:rPr>
        <w:t>.</w:t>
      </w:r>
    </w:p>
    <w:p w14:paraId="1EEF3F25" w14:textId="62D2863B"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HSBC (2023) </w:t>
      </w:r>
      <w:r w:rsidRPr="008F1357">
        <w:rPr>
          <w:rFonts w:cs="Times New Roman"/>
          <w:i/>
          <w:iCs/>
          <w:color w:val="1F1F1F"/>
        </w:rPr>
        <w:t>Annual Report and Accounts 2023</w:t>
      </w:r>
      <w:r w:rsidRPr="008F1357">
        <w:rPr>
          <w:rFonts w:cs="Times New Roman"/>
          <w:color w:val="1F1F1F"/>
        </w:rPr>
        <w:t xml:space="preserve">. Available at: </w:t>
      </w:r>
      <w:hyperlink r:id="rId36" w:tgtFrame="_blank" w:history="1">
        <w:r w:rsidRPr="008F1357">
          <w:rPr>
            <w:rStyle w:val="Hyperlink"/>
            <w:rFonts w:cs="Times New Roman"/>
          </w:rPr>
          <w:t>https://www.hsbc.com/-/files/hsbc/investors/hsbc-results/2023/annual/pdfs/hsbc-holdings-plc/240226-annual-report-and-accounts-2023.pdf</w:t>
        </w:r>
      </w:hyperlink>
      <w:r w:rsidRPr="008F1357">
        <w:rPr>
          <w:rFonts w:cs="Times New Roman"/>
          <w:color w:val="1F1F1F"/>
        </w:rPr>
        <w:t>.</w:t>
      </w:r>
    </w:p>
    <w:p w14:paraId="5B5631E0" w14:textId="6BC90A82"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IBISWorld (2026) </w:t>
      </w:r>
      <w:r w:rsidRPr="008F1357">
        <w:rPr>
          <w:rFonts w:cs="Times New Roman"/>
          <w:i/>
          <w:iCs/>
          <w:color w:val="1F1F1F"/>
        </w:rPr>
        <w:t>Global Commercial Banking - Market Research Report</w:t>
      </w:r>
      <w:r w:rsidRPr="008F1357">
        <w:rPr>
          <w:rFonts w:cs="Times New Roman"/>
          <w:color w:val="1F1F1F"/>
        </w:rPr>
        <w:t xml:space="preserve">. Available at: </w:t>
      </w:r>
      <w:hyperlink r:id="rId37" w:tgtFrame="_blank" w:history="1">
        <w:r w:rsidRPr="008F1357">
          <w:rPr>
            <w:rStyle w:val="Hyperlink"/>
            <w:rFonts w:cs="Times New Roman"/>
          </w:rPr>
          <w:t>https://www.ibisworld.com/global/industry/global-commercial-banks/1750/</w:t>
        </w:r>
      </w:hyperlink>
      <w:r w:rsidRPr="008F1357">
        <w:rPr>
          <w:rFonts w:cs="Times New Roman"/>
          <w:color w:val="1F1F1F"/>
        </w:rPr>
        <w:t>.</w:t>
      </w:r>
    </w:p>
    <w:p w14:paraId="14C44A80" w14:textId="489E361A"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Johnson, G., Whittington, R., Regner, P., Scholes, K. and Angwin, D. (2020) </w:t>
      </w:r>
      <w:r w:rsidRPr="008F1357">
        <w:rPr>
          <w:rFonts w:cs="Times New Roman"/>
          <w:i/>
          <w:iCs/>
          <w:color w:val="1F1F1F"/>
        </w:rPr>
        <w:t>Exploring Strategy: Text &amp; Cases</w:t>
      </w:r>
      <w:r w:rsidRPr="008F1357">
        <w:rPr>
          <w:rFonts w:cs="Times New Roman"/>
          <w:color w:val="1F1F1F"/>
        </w:rPr>
        <w:t xml:space="preserve">. 12th </w:t>
      </w:r>
      <w:proofErr w:type="spellStart"/>
      <w:r w:rsidRPr="008F1357">
        <w:rPr>
          <w:rFonts w:cs="Times New Roman"/>
          <w:color w:val="1F1F1F"/>
        </w:rPr>
        <w:t>edn</w:t>
      </w:r>
      <w:proofErr w:type="spellEnd"/>
      <w:r w:rsidRPr="008F1357">
        <w:rPr>
          <w:rFonts w:cs="Times New Roman"/>
          <w:color w:val="1F1F1F"/>
        </w:rPr>
        <w:t>. Harlow: Pearson.</w:t>
      </w:r>
    </w:p>
    <w:p w14:paraId="208B3862" w14:textId="2639A4F2"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Kay, J. (2011) </w:t>
      </w:r>
      <w:r w:rsidRPr="008F1357">
        <w:rPr>
          <w:rFonts w:cs="Times New Roman"/>
          <w:i/>
          <w:iCs/>
          <w:color w:val="1F1F1F"/>
        </w:rPr>
        <w:t>Obliquity: Why our goals are best achieved indirectly</w:t>
      </w:r>
      <w:r w:rsidRPr="008F1357">
        <w:rPr>
          <w:rFonts w:cs="Times New Roman"/>
          <w:color w:val="1F1F1F"/>
        </w:rPr>
        <w:t>. London: Profile Books.</w:t>
      </w:r>
    </w:p>
    <w:p w14:paraId="22D19AA3" w14:textId="597F55AE"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Klassen, R. D., </w:t>
      </w:r>
      <w:proofErr w:type="spellStart"/>
      <w:r w:rsidRPr="008F1357">
        <w:rPr>
          <w:rFonts w:cs="Times New Roman"/>
          <w:color w:val="1F1F1F"/>
        </w:rPr>
        <w:t>Gualandris</w:t>
      </w:r>
      <w:proofErr w:type="spellEnd"/>
      <w:r w:rsidRPr="008F1357">
        <w:rPr>
          <w:rFonts w:cs="Times New Roman"/>
          <w:color w:val="1F1F1F"/>
        </w:rPr>
        <w:t xml:space="preserve">, J. and Diebel, W. (2020) 'More Sustainable Supply Chains: Is the Journey More Important than the Destination?', in Choi, T. Y. et al. (eds.) </w:t>
      </w:r>
      <w:r w:rsidRPr="008F1357">
        <w:rPr>
          <w:rFonts w:cs="Times New Roman"/>
          <w:i/>
          <w:iCs/>
          <w:color w:val="1F1F1F"/>
        </w:rPr>
        <w:t>The Oxford Handbook of Supply Chain Management</w:t>
      </w:r>
      <w:r w:rsidRPr="008F1357">
        <w:rPr>
          <w:rFonts w:cs="Times New Roman"/>
          <w:color w:val="1F1F1F"/>
        </w:rPr>
        <w:t>. Oxford: Oxford University Press, pp. 779-804.</w:t>
      </w:r>
    </w:p>
    <w:p w14:paraId="5E262918" w14:textId="1520D3E7"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Kossow, M. (2024) </w:t>
      </w:r>
      <w:r w:rsidRPr="008F1357">
        <w:rPr>
          <w:rFonts w:cs="Times New Roman"/>
          <w:i/>
          <w:iCs/>
          <w:color w:val="1F1F1F"/>
        </w:rPr>
        <w:t>Overview from the national culture, organizational culture, and internationalization perspective</w:t>
      </w:r>
      <w:r w:rsidRPr="008F1357">
        <w:rPr>
          <w:rFonts w:cs="Times New Roman"/>
          <w:color w:val="1F1F1F"/>
        </w:rPr>
        <w:t>. London: Routledge.</w:t>
      </w:r>
    </w:p>
    <w:p w14:paraId="79035B4D" w14:textId="7F195A38"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Kou, G. and Lu, Y. (2025) 'FinTech: a literature review of emerging financial technologies and applications', </w:t>
      </w:r>
      <w:r w:rsidRPr="008F1357">
        <w:rPr>
          <w:rFonts w:cs="Times New Roman"/>
          <w:i/>
          <w:iCs/>
          <w:color w:val="1F1F1F"/>
        </w:rPr>
        <w:t>Financial Innovation</w:t>
      </w:r>
      <w:r w:rsidRPr="008F1357">
        <w:rPr>
          <w:rFonts w:cs="Times New Roman"/>
          <w:color w:val="1F1F1F"/>
        </w:rPr>
        <w:t xml:space="preserve">, 11(1). Available at: </w:t>
      </w:r>
      <w:hyperlink r:id="rId38" w:tgtFrame="_blank" w:history="1">
        <w:r w:rsidRPr="008F1357">
          <w:rPr>
            <w:rStyle w:val="Hyperlink"/>
            <w:rFonts w:cs="Times New Roman"/>
          </w:rPr>
          <w:t>https://doi.org/10.1186/s40854-024-00668-6</w:t>
        </w:r>
      </w:hyperlink>
      <w:r w:rsidRPr="008F1357">
        <w:rPr>
          <w:rFonts w:cs="Times New Roman"/>
          <w:color w:val="1F1F1F"/>
        </w:rPr>
        <w:t>.</w:t>
      </w:r>
    </w:p>
    <w:p w14:paraId="798A8DAE" w14:textId="213DBDAD"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Levitt, S. D. and Dubner, S. J. (2007) </w:t>
      </w:r>
      <w:r w:rsidRPr="008F1357">
        <w:rPr>
          <w:rFonts w:cs="Times New Roman"/>
          <w:i/>
          <w:iCs/>
          <w:color w:val="1F1F1F"/>
        </w:rPr>
        <w:t>Freakonomics: A Rogue Economist Explores the Hidden Side of Everything</w:t>
      </w:r>
      <w:r w:rsidRPr="008F1357">
        <w:rPr>
          <w:rFonts w:cs="Times New Roman"/>
          <w:color w:val="1F1F1F"/>
        </w:rPr>
        <w:t>. London: Penguin.</w:t>
      </w:r>
    </w:p>
    <w:p w14:paraId="536A5388" w14:textId="2B73C918"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Madanchian, M. and </w:t>
      </w:r>
      <w:proofErr w:type="spellStart"/>
      <w:r w:rsidRPr="008F1357">
        <w:rPr>
          <w:rFonts w:cs="Times New Roman"/>
          <w:color w:val="1F1F1F"/>
        </w:rPr>
        <w:t>Taherdoost</w:t>
      </w:r>
      <w:proofErr w:type="spellEnd"/>
      <w:r w:rsidRPr="008F1357">
        <w:rPr>
          <w:rFonts w:cs="Times New Roman"/>
          <w:color w:val="1F1F1F"/>
        </w:rPr>
        <w:t xml:space="preserve">, H. (2025) 'Strategic execution of AI in global enterprises', </w:t>
      </w:r>
      <w:r w:rsidRPr="008F1357">
        <w:rPr>
          <w:rFonts w:cs="Times New Roman"/>
          <w:i/>
          <w:iCs/>
          <w:color w:val="1F1F1F"/>
        </w:rPr>
        <w:t>Journal of Digital Innovation</w:t>
      </w:r>
      <w:r w:rsidRPr="008F1357">
        <w:rPr>
          <w:rFonts w:cs="Times New Roman"/>
          <w:color w:val="1F1F1F"/>
        </w:rPr>
        <w:t>.</w:t>
      </w:r>
    </w:p>
    <w:p w14:paraId="3113640B" w14:textId="4EB80EFA"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McKinsey and Company (2026) </w:t>
      </w:r>
      <w:r w:rsidRPr="008F1357">
        <w:rPr>
          <w:rFonts w:cs="Times New Roman"/>
          <w:i/>
          <w:iCs/>
          <w:color w:val="1F1F1F"/>
        </w:rPr>
        <w:t>State of AI trust in 2026: Shifting to the agentic era</w:t>
      </w:r>
      <w:r w:rsidRPr="008F1357">
        <w:rPr>
          <w:rFonts w:cs="Times New Roman"/>
          <w:color w:val="1F1F1F"/>
        </w:rPr>
        <w:t xml:space="preserve">. Available at: </w:t>
      </w:r>
      <w:hyperlink r:id="rId39" w:tgtFrame="_blank" w:history="1">
        <w:r w:rsidRPr="008F1357">
          <w:rPr>
            <w:rStyle w:val="Hyperlink"/>
            <w:rFonts w:cs="Times New Roman"/>
          </w:rPr>
          <w:t>https://www.mckinsey.com/capabilities/tech-and-ai/our-insights/tech-forward/state-of-ai-trust-in-</w:t>
        </w:r>
        <w:r w:rsidRPr="008F1357">
          <w:rPr>
            <w:rStyle w:val="Hyperlink"/>
            <w:rFonts w:cs="Times New Roman"/>
          </w:rPr>
          <w:lastRenderedPageBreak/>
          <w:t>2026-shifting-to-the-agentic-era</w:t>
        </w:r>
      </w:hyperlink>
      <w:r w:rsidRPr="008F1357">
        <w:rPr>
          <w:rFonts w:cs="Times New Roman"/>
          <w:color w:val="1F1F1F"/>
        </w:rPr>
        <w:t xml:space="preserve"> (Accessed: 20 March 2026).</w:t>
      </w:r>
    </w:p>
    <w:p w14:paraId="4FF1D974" w14:textId="76C8BD5F"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MLQ AI (2026) </w:t>
      </w:r>
      <w:r w:rsidRPr="008F1357">
        <w:rPr>
          <w:rFonts w:cs="Times New Roman"/>
          <w:i/>
          <w:iCs/>
          <w:color w:val="1F1F1F"/>
        </w:rPr>
        <w:t>JPMorgan CEO Reveals AI-Driven Employee Redeployment Initiative</w:t>
      </w:r>
      <w:r w:rsidRPr="008F1357">
        <w:rPr>
          <w:rFonts w:cs="Times New Roman"/>
          <w:color w:val="1F1F1F"/>
        </w:rPr>
        <w:t xml:space="preserve">. Available at: </w:t>
      </w:r>
      <w:hyperlink r:id="rId40" w:tgtFrame="_blank" w:history="1">
        <w:r w:rsidRPr="008F1357">
          <w:rPr>
            <w:rStyle w:val="Hyperlink"/>
            <w:rFonts w:cs="Times New Roman"/>
          </w:rPr>
          <w:t>https://mlq.ai/news/jpmorgan-ceo-reveals-ai-driven-employee-redeployment-initiative/</w:t>
        </w:r>
      </w:hyperlink>
      <w:r w:rsidRPr="008F1357">
        <w:rPr>
          <w:rFonts w:cs="Times New Roman"/>
          <w:color w:val="1F1F1F"/>
        </w:rPr>
        <w:t>.</w:t>
      </w:r>
    </w:p>
    <w:p w14:paraId="0C3020B8" w14:textId="7BA659E8"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Morrison, J. (2020) </w:t>
      </w:r>
      <w:r w:rsidRPr="008F1357">
        <w:rPr>
          <w:rFonts w:cs="Times New Roman"/>
          <w:i/>
          <w:iCs/>
          <w:color w:val="1F1F1F"/>
        </w:rPr>
        <w:t>The Global Business Environment Towards Sustainability</w:t>
      </w:r>
      <w:r w:rsidRPr="008F1357">
        <w:rPr>
          <w:rFonts w:cs="Times New Roman"/>
          <w:color w:val="1F1F1F"/>
        </w:rPr>
        <w:t xml:space="preserve">. 5th </w:t>
      </w:r>
      <w:proofErr w:type="spellStart"/>
      <w:r w:rsidRPr="008F1357">
        <w:rPr>
          <w:rFonts w:cs="Times New Roman"/>
          <w:color w:val="1F1F1F"/>
        </w:rPr>
        <w:t>edn</w:t>
      </w:r>
      <w:proofErr w:type="spellEnd"/>
      <w:r w:rsidRPr="008F1357">
        <w:rPr>
          <w:rFonts w:cs="Times New Roman"/>
          <w:color w:val="1F1F1F"/>
        </w:rPr>
        <w:t>. London: Red Globe Press.</w:t>
      </w:r>
    </w:p>
    <w:p w14:paraId="2D63E3B3" w14:textId="5B597A83"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NIST (2023) </w:t>
      </w:r>
      <w:r w:rsidRPr="008F1357">
        <w:rPr>
          <w:rFonts w:cs="Times New Roman"/>
          <w:i/>
          <w:iCs/>
          <w:color w:val="1F1F1F"/>
        </w:rPr>
        <w:t>Artificial Intelligence Risk Management Framework (AI RMF 1.0)</w:t>
      </w:r>
      <w:r w:rsidRPr="008F1357">
        <w:rPr>
          <w:rFonts w:cs="Times New Roman"/>
          <w:color w:val="1F1F1F"/>
        </w:rPr>
        <w:t xml:space="preserve">. National Institute of Standards and Technology. Available at: </w:t>
      </w:r>
      <w:hyperlink r:id="rId41" w:tgtFrame="_blank" w:history="1">
        <w:r w:rsidRPr="008F1357">
          <w:rPr>
            <w:rStyle w:val="Hyperlink"/>
            <w:rFonts w:cs="Times New Roman"/>
          </w:rPr>
          <w:t>https://nvlpubs.nist.gov/nistpubs/ai/nist.ai.100-1.pdf</w:t>
        </w:r>
      </w:hyperlink>
      <w:r w:rsidRPr="008F1357">
        <w:rPr>
          <w:rFonts w:cs="Times New Roman"/>
          <w:color w:val="1F1F1F"/>
        </w:rPr>
        <w:t>.</w:t>
      </w:r>
    </w:p>
    <w:p w14:paraId="6C230DFC" w14:textId="6E5764E7"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Perrini, F., Russo, A. and </w:t>
      </w:r>
      <w:proofErr w:type="spellStart"/>
      <w:r w:rsidRPr="008F1357">
        <w:rPr>
          <w:rFonts w:cs="Times New Roman"/>
          <w:color w:val="1F1F1F"/>
        </w:rPr>
        <w:t>Tencati</w:t>
      </w:r>
      <w:proofErr w:type="spellEnd"/>
      <w:r w:rsidRPr="008F1357">
        <w:rPr>
          <w:rFonts w:cs="Times New Roman"/>
          <w:color w:val="1F1F1F"/>
        </w:rPr>
        <w:t xml:space="preserve">, A. (2007) 'CSR Strategies of SMEs and Large Firms, Evidence from Italy', </w:t>
      </w:r>
      <w:r w:rsidRPr="008F1357">
        <w:rPr>
          <w:rFonts w:cs="Times New Roman"/>
          <w:i/>
          <w:iCs/>
          <w:color w:val="1F1F1F"/>
        </w:rPr>
        <w:t>Journal of Business Ethics</w:t>
      </w:r>
      <w:r w:rsidRPr="008F1357">
        <w:rPr>
          <w:rFonts w:cs="Times New Roman"/>
          <w:color w:val="1F1F1F"/>
        </w:rPr>
        <w:t xml:space="preserve">, 74(3), pp. 285-300. Available at: </w:t>
      </w:r>
      <w:hyperlink r:id="rId42" w:tgtFrame="_blank" w:history="1">
        <w:r w:rsidRPr="008F1357">
          <w:rPr>
            <w:rStyle w:val="Hyperlink"/>
            <w:rFonts w:cs="Times New Roman"/>
          </w:rPr>
          <w:t>https://doi.org/10.1007/s10551-006-9235-x</w:t>
        </w:r>
      </w:hyperlink>
      <w:r w:rsidRPr="008F1357">
        <w:rPr>
          <w:rFonts w:cs="Times New Roman"/>
          <w:color w:val="1F1F1F"/>
        </w:rPr>
        <w:t>.</w:t>
      </w:r>
    </w:p>
    <w:p w14:paraId="17DC7316" w14:textId="08B23796"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Pew Research </w:t>
      </w:r>
      <w:proofErr w:type="spellStart"/>
      <w:r w:rsidRPr="008F1357">
        <w:rPr>
          <w:rFonts w:cs="Times New Roman"/>
          <w:color w:val="1F1F1F"/>
        </w:rPr>
        <w:t>Center</w:t>
      </w:r>
      <w:proofErr w:type="spellEnd"/>
      <w:r w:rsidRPr="008F1357">
        <w:rPr>
          <w:rFonts w:cs="Times New Roman"/>
          <w:color w:val="1F1F1F"/>
        </w:rPr>
        <w:t xml:space="preserve"> (2026) </w:t>
      </w:r>
      <w:r w:rsidRPr="008F1357">
        <w:rPr>
          <w:rFonts w:cs="Times New Roman"/>
          <w:i/>
          <w:iCs/>
          <w:color w:val="1F1F1F"/>
        </w:rPr>
        <w:t>Key findings about how Americans view artificial intelligence</w:t>
      </w:r>
      <w:r w:rsidRPr="008F1357">
        <w:rPr>
          <w:rFonts w:cs="Times New Roman"/>
          <w:color w:val="1F1F1F"/>
        </w:rPr>
        <w:t xml:space="preserve">. Available at: </w:t>
      </w:r>
      <w:hyperlink r:id="rId43" w:tgtFrame="_blank" w:history="1">
        <w:r w:rsidRPr="008F1357">
          <w:rPr>
            <w:rStyle w:val="Hyperlink"/>
            <w:rFonts w:cs="Times New Roman"/>
          </w:rPr>
          <w:t>https://www.pewresearch.org/short-reads/2026/03/12/key-findings-about-how-americans-view-artificial-intelligence/</w:t>
        </w:r>
      </w:hyperlink>
      <w:r w:rsidRPr="008F1357">
        <w:rPr>
          <w:rFonts w:cs="Times New Roman"/>
          <w:color w:val="1F1F1F"/>
        </w:rPr>
        <w:t>.</w:t>
      </w:r>
    </w:p>
    <w:p w14:paraId="7F37D440" w14:textId="04520F57"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Pimpa</w:t>
      </w:r>
      <w:proofErr w:type="spellEnd"/>
      <w:r w:rsidRPr="008F1357">
        <w:rPr>
          <w:rFonts w:cs="Times New Roman"/>
          <w:color w:val="1F1F1F"/>
        </w:rPr>
        <w:t xml:space="preserve">, N. (2011) 'Multinational Corporations: Corporate Social Responsibility and Poverty Alleviation in Thailand', in </w:t>
      </w:r>
      <w:proofErr w:type="gramStart"/>
      <w:r w:rsidRPr="008F1357">
        <w:rPr>
          <w:rFonts w:cs="Times New Roman"/>
          <w:i/>
          <w:iCs/>
          <w:color w:val="1F1F1F"/>
        </w:rPr>
        <w:t>The</w:t>
      </w:r>
      <w:proofErr w:type="gramEnd"/>
      <w:r w:rsidRPr="008F1357">
        <w:rPr>
          <w:rFonts w:cs="Times New Roman"/>
          <w:i/>
          <w:iCs/>
          <w:color w:val="1F1F1F"/>
        </w:rPr>
        <w:t xml:space="preserve"> first </w:t>
      </w:r>
      <w:proofErr w:type="gramStart"/>
      <w:r w:rsidRPr="008F1357">
        <w:rPr>
          <w:rFonts w:cs="Times New Roman"/>
          <w:i/>
          <w:iCs/>
          <w:color w:val="1F1F1F"/>
        </w:rPr>
        <w:t>International</w:t>
      </w:r>
      <w:proofErr w:type="gramEnd"/>
      <w:r w:rsidRPr="008F1357">
        <w:rPr>
          <w:rFonts w:cs="Times New Roman"/>
          <w:i/>
          <w:iCs/>
          <w:color w:val="1F1F1F"/>
        </w:rPr>
        <w:t xml:space="preserve"> conference on Interdisciplinary Research and Development</w:t>
      </w:r>
      <w:r w:rsidRPr="008F1357">
        <w:rPr>
          <w:rFonts w:cs="Times New Roman"/>
          <w:color w:val="1F1F1F"/>
        </w:rPr>
        <w:t>, pp. 1-8.</w:t>
      </w:r>
    </w:p>
    <w:p w14:paraId="1BD6A379" w14:textId="63D336F4"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Png</w:t>
      </w:r>
      <w:proofErr w:type="spellEnd"/>
      <w:r w:rsidRPr="008F1357">
        <w:rPr>
          <w:rFonts w:cs="Times New Roman"/>
          <w:color w:val="1F1F1F"/>
        </w:rPr>
        <w:t xml:space="preserve">, I. and Lehman, D. (2007) </w:t>
      </w:r>
      <w:r w:rsidRPr="008F1357">
        <w:rPr>
          <w:rFonts w:cs="Times New Roman"/>
          <w:i/>
          <w:iCs/>
          <w:color w:val="1F1F1F"/>
        </w:rPr>
        <w:t>Managerial Economics</w:t>
      </w:r>
      <w:r w:rsidRPr="008F1357">
        <w:rPr>
          <w:rFonts w:cs="Times New Roman"/>
          <w:color w:val="1F1F1F"/>
        </w:rPr>
        <w:t>. Oxford: Blackwell.</w:t>
      </w:r>
    </w:p>
    <w:p w14:paraId="791940FE" w14:textId="4BABC1D0"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Real World Data Science (2025) </w:t>
      </w:r>
      <w:r w:rsidRPr="008F1357">
        <w:rPr>
          <w:rFonts w:cs="Times New Roman"/>
          <w:i/>
          <w:iCs/>
          <w:color w:val="1F1F1F"/>
        </w:rPr>
        <w:t>Understanding and Addressing Algorithmic Bias: a Credit Scoring Case Study</w:t>
      </w:r>
      <w:r w:rsidRPr="008F1357">
        <w:rPr>
          <w:rFonts w:cs="Times New Roman"/>
          <w:color w:val="1F1F1F"/>
        </w:rPr>
        <w:t xml:space="preserve">. Available at: </w:t>
      </w:r>
      <w:hyperlink r:id="rId44" w:tgtFrame="_blank" w:history="1">
        <w:r w:rsidRPr="008F1357">
          <w:rPr>
            <w:rStyle w:val="Hyperlink"/>
            <w:rFonts w:cs="Times New Roman"/>
          </w:rPr>
          <w:t>https://realworlddatascience.net/applied-insights/case-studies/posts/2026/02/11/algorithmic_bias_credit_scoring.html</w:t>
        </w:r>
      </w:hyperlink>
      <w:r w:rsidRPr="008F1357">
        <w:rPr>
          <w:rFonts w:cs="Times New Roman"/>
          <w:color w:val="1F1F1F"/>
        </w:rPr>
        <w:t>.</w:t>
      </w:r>
    </w:p>
    <w:p w14:paraId="58DF3E58" w14:textId="0B503BBD"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Samuelson, W. F. and Marks, S. G. (2014) </w:t>
      </w:r>
      <w:r w:rsidRPr="008F1357">
        <w:rPr>
          <w:rFonts w:cs="Times New Roman"/>
          <w:i/>
          <w:iCs/>
          <w:color w:val="1F1F1F"/>
        </w:rPr>
        <w:t>Managerial Economics. Study Guide</w:t>
      </w:r>
      <w:r w:rsidRPr="008F1357">
        <w:rPr>
          <w:rFonts w:cs="Times New Roman"/>
          <w:color w:val="1F1F1F"/>
        </w:rPr>
        <w:t>. London: John Wiley &amp; Sons.</w:t>
      </w:r>
    </w:p>
    <w:p w14:paraId="0767895E" w14:textId="4FD79F18"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Schumpeter, J. A. (1942) </w:t>
      </w:r>
      <w:r w:rsidRPr="008F1357">
        <w:rPr>
          <w:rFonts w:cs="Times New Roman"/>
          <w:i/>
          <w:iCs/>
          <w:color w:val="1F1F1F"/>
        </w:rPr>
        <w:t>Capitalism, Socialism and Democracy</w:t>
      </w:r>
      <w:r w:rsidRPr="008F1357">
        <w:rPr>
          <w:rFonts w:cs="Times New Roman"/>
          <w:color w:val="1F1F1F"/>
        </w:rPr>
        <w:t>. New York: Harper &amp; Brothers.</w:t>
      </w:r>
    </w:p>
    <w:p w14:paraId="2A0D94FF" w14:textId="6EAFE869"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Sloman, J. and Jones, E. (2020) </w:t>
      </w:r>
      <w:r w:rsidRPr="008F1357">
        <w:rPr>
          <w:rFonts w:cs="Times New Roman"/>
          <w:i/>
          <w:iCs/>
          <w:color w:val="1F1F1F"/>
        </w:rPr>
        <w:t>Essential Economics for Business</w:t>
      </w:r>
      <w:r w:rsidRPr="008F1357">
        <w:rPr>
          <w:rFonts w:cs="Times New Roman"/>
          <w:color w:val="1F1F1F"/>
        </w:rPr>
        <w:t xml:space="preserve">. 6th </w:t>
      </w:r>
      <w:proofErr w:type="spellStart"/>
      <w:r w:rsidRPr="008F1357">
        <w:rPr>
          <w:rFonts w:cs="Times New Roman"/>
          <w:color w:val="1F1F1F"/>
        </w:rPr>
        <w:t>edn</w:t>
      </w:r>
      <w:proofErr w:type="spellEnd"/>
      <w:r w:rsidRPr="008F1357">
        <w:rPr>
          <w:rFonts w:cs="Times New Roman"/>
          <w:color w:val="1F1F1F"/>
        </w:rPr>
        <w:t>. London: Pearson.</w:t>
      </w:r>
    </w:p>
    <w:p w14:paraId="6619B6CD" w14:textId="522A6FDE"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lastRenderedPageBreak/>
        <w:t xml:space="preserve">Sloman, J., Wride, A. and Garratt, D. (2018) </w:t>
      </w:r>
      <w:r w:rsidRPr="008F1357">
        <w:rPr>
          <w:rFonts w:cs="Times New Roman"/>
          <w:i/>
          <w:iCs/>
          <w:color w:val="1F1F1F"/>
        </w:rPr>
        <w:t>Economics</w:t>
      </w:r>
      <w:r w:rsidRPr="008F1357">
        <w:rPr>
          <w:rFonts w:cs="Times New Roman"/>
          <w:color w:val="1F1F1F"/>
        </w:rPr>
        <w:t xml:space="preserve">. 10th </w:t>
      </w:r>
      <w:proofErr w:type="spellStart"/>
      <w:r w:rsidRPr="008F1357">
        <w:rPr>
          <w:rFonts w:cs="Times New Roman"/>
          <w:color w:val="1F1F1F"/>
        </w:rPr>
        <w:t>edn</w:t>
      </w:r>
      <w:proofErr w:type="spellEnd"/>
      <w:r w:rsidRPr="008F1357">
        <w:rPr>
          <w:rFonts w:cs="Times New Roman"/>
          <w:color w:val="1F1F1F"/>
        </w:rPr>
        <w:t>. London: Pearson.</w:t>
      </w:r>
    </w:p>
    <w:p w14:paraId="0386D136" w14:textId="27D633B1"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Smith, D., Allen, B., Weigelt, K. and Doherty, N. (2012) </w:t>
      </w:r>
      <w:r w:rsidRPr="008F1357">
        <w:rPr>
          <w:rFonts w:cs="Times New Roman"/>
          <w:i/>
          <w:iCs/>
          <w:color w:val="1F1F1F"/>
        </w:rPr>
        <w:t>Managerial Economics: Theory, Applications, and Cases</w:t>
      </w:r>
      <w:r w:rsidRPr="008F1357">
        <w:rPr>
          <w:rFonts w:cs="Times New Roman"/>
          <w:color w:val="1F1F1F"/>
        </w:rPr>
        <w:t>. New York: W. W. Norton &amp; Company.</w:t>
      </w:r>
    </w:p>
    <w:p w14:paraId="412FA1B0" w14:textId="67F1E88E"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SQ Magazine (2026) </w:t>
      </w:r>
      <w:r w:rsidRPr="008F1357">
        <w:rPr>
          <w:rFonts w:cs="Times New Roman"/>
          <w:i/>
          <w:iCs/>
          <w:color w:val="1F1F1F"/>
        </w:rPr>
        <w:t>EU AI Act Compliance Cost Statistics 2026: Key Trends Now</w:t>
      </w:r>
      <w:r w:rsidRPr="008F1357">
        <w:rPr>
          <w:rFonts w:cs="Times New Roman"/>
          <w:color w:val="1F1F1F"/>
        </w:rPr>
        <w:t xml:space="preserve">. Available at: </w:t>
      </w:r>
      <w:hyperlink r:id="rId45" w:tgtFrame="_blank" w:history="1">
        <w:r w:rsidRPr="008F1357">
          <w:rPr>
            <w:rStyle w:val="Hyperlink"/>
            <w:rFonts w:cs="Times New Roman"/>
          </w:rPr>
          <w:t>https://sqmagazine.co.uk/eu-ai-act-compliance-cost-statistics/</w:t>
        </w:r>
      </w:hyperlink>
      <w:r w:rsidRPr="008F1357">
        <w:rPr>
          <w:rFonts w:cs="Times New Roman"/>
          <w:color w:val="1F1F1F"/>
        </w:rPr>
        <w:t xml:space="preserve"> (Accessed: 25 March 2026).</w:t>
      </w:r>
    </w:p>
    <w:p w14:paraId="5B5AB62D" w14:textId="3307CCE3"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Statista (2026) </w:t>
      </w:r>
      <w:r w:rsidRPr="008F1357">
        <w:rPr>
          <w:rFonts w:cs="Times New Roman"/>
          <w:i/>
          <w:iCs/>
          <w:color w:val="1F1F1F"/>
        </w:rPr>
        <w:t>Chart: Few Americans Trust Institutions</w:t>
      </w:r>
      <w:r w:rsidRPr="008F1357">
        <w:rPr>
          <w:rFonts w:cs="Times New Roman"/>
          <w:color w:val="1F1F1F"/>
        </w:rPr>
        <w:t xml:space="preserve">. Available at: </w:t>
      </w:r>
      <w:hyperlink r:id="rId46" w:tgtFrame="_blank" w:history="1">
        <w:r w:rsidRPr="008F1357">
          <w:rPr>
            <w:rStyle w:val="Hyperlink"/>
            <w:rFonts w:cs="Times New Roman"/>
          </w:rPr>
          <w:t>https://www.statista.com/chart/33957/share-of-us-respondents-who-trust-institutions/</w:t>
        </w:r>
      </w:hyperlink>
      <w:r w:rsidRPr="008F1357">
        <w:rPr>
          <w:rFonts w:cs="Times New Roman"/>
          <w:color w:val="1F1F1F"/>
        </w:rPr>
        <w:t xml:space="preserve"> (Accessed: 22 March 2026).</w:t>
      </w:r>
    </w:p>
    <w:p w14:paraId="420BC300" w14:textId="12DD8585"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Steger, M. B. (2021) </w:t>
      </w:r>
      <w:r w:rsidRPr="008F1357">
        <w:rPr>
          <w:rFonts w:cs="Times New Roman"/>
          <w:i/>
          <w:iCs/>
          <w:color w:val="1F1F1F"/>
        </w:rPr>
        <w:t>Globalization: A Very Short Introduction</w:t>
      </w:r>
      <w:r w:rsidRPr="008F1357">
        <w:rPr>
          <w:rFonts w:cs="Times New Roman"/>
          <w:color w:val="1F1F1F"/>
        </w:rPr>
        <w:t xml:space="preserve">. 5th </w:t>
      </w:r>
      <w:proofErr w:type="spellStart"/>
      <w:r w:rsidRPr="008F1357">
        <w:rPr>
          <w:rFonts w:cs="Times New Roman"/>
          <w:color w:val="1F1F1F"/>
        </w:rPr>
        <w:t>edn</w:t>
      </w:r>
      <w:proofErr w:type="spellEnd"/>
      <w:r w:rsidRPr="008F1357">
        <w:rPr>
          <w:rFonts w:cs="Times New Roman"/>
          <w:color w:val="1F1F1F"/>
        </w:rPr>
        <w:t>. Oxford: Oxford University Press.</w:t>
      </w:r>
    </w:p>
    <w:p w14:paraId="5844AAFE" w14:textId="6A842E28"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Tallman, S. (2011) </w:t>
      </w:r>
      <w:r w:rsidRPr="008F1357">
        <w:rPr>
          <w:rFonts w:cs="Times New Roman"/>
          <w:i/>
          <w:iCs/>
          <w:color w:val="1F1F1F"/>
        </w:rPr>
        <w:t>Global Strategy: Global Dimensions of Strategy</w:t>
      </w:r>
      <w:r w:rsidRPr="008F1357">
        <w:rPr>
          <w:rFonts w:cs="Times New Roman"/>
          <w:color w:val="1F1F1F"/>
        </w:rPr>
        <w:t>. Chichester: John Wiley &amp; Sons.</w:t>
      </w:r>
    </w:p>
    <w:p w14:paraId="5D60C3DD" w14:textId="7D6DD40B"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Tan, T.H. (2024) 'E-Banking SAF: A TOGAF-NIST Aligned Security Architecture Framework for E-Banking Systems', </w:t>
      </w:r>
      <w:r w:rsidRPr="008F1357">
        <w:rPr>
          <w:rFonts w:cs="Times New Roman"/>
          <w:i/>
          <w:iCs/>
          <w:color w:val="1F1F1F"/>
        </w:rPr>
        <w:t>2024 The 7th International Conference on Information and Computer Technologies</w:t>
      </w:r>
      <w:r w:rsidRPr="008F1357">
        <w:rPr>
          <w:rFonts w:cs="Times New Roman"/>
          <w:color w:val="1F1F1F"/>
        </w:rPr>
        <w:t xml:space="preserve">. Available at: </w:t>
      </w:r>
      <w:hyperlink r:id="rId47" w:tgtFrame="_blank" w:history="1">
        <w:r w:rsidRPr="008F1357">
          <w:rPr>
            <w:rStyle w:val="Hyperlink"/>
            <w:rFonts w:cs="Times New Roman"/>
          </w:rPr>
          <w:t>https://doi.org/10.1109/ICICT62343.2024.00007</w:t>
        </w:r>
      </w:hyperlink>
      <w:r w:rsidRPr="008F1357">
        <w:rPr>
          <w:rFonts w:cs="Times New Roman"/>
          <w:color w:val="1F1F1F"/>
        </w:rPr>
        <w:t>.</w:t>
      </w:r>
    </w:p>
    <w:p w14:paraId="25DF71F0" w14:textId="760BEC14" w:rsidR="0083717F" w:rsidRPr="0083717F" w:rsidRDefault="0083717F" w:rsidP="0083717F">
      <w:pPr>
        <w:pBdr>
          <w:top w:val="nil"/>
          <w:left w:val="nil"/>
          <w:bottom w:val="nil"/>
          <w:right w:val="nil"/>
          <w:between w:val="nil"/>
        </w:pBdr>
        <w:spacing w:after="240"/>
        <w:rPr>
          <w:rFonts w:cs="Times New Roman"/>
          <w:color w:val="1F1F1F"/>
          <w:lang w:val="en-US"/>
        </w:rPr>
      </w:pPr>
      <w:r w:rsidRPr="0083717F">
        <w:rPr>
          <w:rFonts w:cs="Times New Roman"/>
          <w:color w:val="1F1F1F"/>
          <w:lang w:val="en-US"/>
        </w:rPr>
        <w:t xml:space="preserve">The Culture Factor Group (2026) </w:t>
      </w:r>
      <w:r w:rsidRPr="0083717F">
        <w:rPr>
          <w:rFonts w:cs="Times New Roman"/>
          <w:i/>
          <w:iCs/>
          <w:color w:val="1F1F1F"/>
          <w:lang w:val="en-US"/>
        </w:rPr>
        <w:t>Country comparison tool</w:t>
      </w:r>
      <w:r w:rsidRPr="0083717F">
        <w:rPr>
          <w:rFonts w:cs="Times New Roman"/>
          <w:color w:val="1F1F1F"/>
          <w:lang w:val="en-US"/>
        </w:rPr>
        <w:t xml:space="preserve">. Available at: </w:t>
      </w:r>
      <w:hyperlink r:id="rId48" w:history="1">
        <w:r w:rsidRPr="00520C70">
          <w:rPr>
            <w:rStyle w:val="Hyperlink"/>
            <w:rFonts w:cs="Times New Roman"/>
            <w:lang w:val="en-US"/>
          </w:rPr>
          <w:t>https://www.theculturefactor.com/country-comparison-tool?countries=hong+kong%2Cunited+kingdom%2Cunited+states</w:t>
        </w:r>
      </w:hyperlink>
      <w:r w:rsidRPr="0083717F">
        <w:rPr>
          <w:rFonts w:cs="Times New Roman"/>
          <w:color w:val="1F1F1F"/>
          <w:lang w:val="en-US"/>
        </w:rPr>
        <w:t xml:space="preserve"> (Accessed: 2</w:t>
      </w:r>
      <w:r>
        <w:rPr>
          <w:rFonts w:cs="Times New Roman"/>
          <w:color w:val="1F1F1F"/>
          <w:lang w:val="en-US"/>
        </w:rPr>
        <w:t>2</w:t>
      </w:r>
      <w:r w:rsidRPr="0083717F">
        <w:rPr>
          <w:rFonts w:cs="Times New Roman"/>
          <w:color w:val="1F1F1F"/>
          <w:lang w:val="en-US"/>
        </w:rPr>
        <w:t xml:space="preserve"> April 2026).</w:t>
      </w:r>
    </w:p>
    <w:p w14:paraId="6446DD35" w14:textId="13025A5B"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Townsend, P. (2006) </w:t>
      </w:r>
      <w:r w:rsidRPr="008F1357">
        <w:rPr>
          <w:rFonts w:cs="Times New Roman"/>
          <w:i/>
          <w:iCs/>
          <w:color w:val="1F1F1F"/>
        </w:rPr>
        <w:t>What is poverty? An historical perspective</w:t>
      </w:r>
      <w:r w:rsidRPr="008F1357">
        <w:rPr>
          <w:rFonts w:cs="Times New Roman"/>
          <w:color w:val="1F1F1F"/>
        </w:rPr>
        <w:t xml:space="preserve">. London: International Poverty </w:t>
      </w:r>
      <w:proofErr w:type="spellStart"/>
      <w:r w:rsidRPr="008F1357">
        <w:rPr>
          <w:rFonts w:cs="Times New Roman"/>
          <w:color w:val="1F1F1F"/>
        </w:rPr>
        <w:t>Center</w:t>
      </w:r>
      <w:proofErr w:type="spellEnd"/>
      <w:r w:rsidRPr="008F1357">
        <w:rPr>
          <w:rFonts w:cs="Times New Roman"/>
          <w:color w:val="1F1F1F"/>
        </w:rPr>
        <w:t>.</w:t>
      </w:r>
    </w:p>
    <w:p w14:paraId="0DA137FD" w14:textId="2126A484"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UK Government (2026) </w:t>
      </w:r>
      <w:r w:rsidRPr="008F1357">
        <w:rPr>
          <w:rFonts w:cs="Times New Roman"/>
          <w:i/>
          <w:iCs/>
          <w:color w:val="1F1F1F"/>
        </w:rPr>
        <w:t>Establishing a pro-innovation approach to regulating AI</w:t>
      </w:r>
      <w:r w:rsidRPr="008F1357">
        <w:rPr>
          <w:rFonts w:cs="Times New Roman"/>
          <w:color w:val="1F1F1F"/>
        </w:rPr>
        <w:t xml:space="preserve">. Available at: </w:t>
      </w:r>
      <w:hyperlink r:id="rId49" w:tgtFrame="_blank" w:history="1">
        <w:r w:rsidRPr="008F1357">
          <w:rPr>
            <w:rStyle w:val="Hyperlink"/>
            <w:rFonts w:cs="Times New Roman"/>
          </w:rPr>
          <w:t>https://www.gov.uk/government/publications/establishing-a-pro-innovation-approach-to-regulating-ai/establishing-a-pro-innovation-approach-to-regulating-ai-policy-statement</w:t>
        </w:r>
      </w:hyperlink>
      <w:r w:rsidRPr="008F1357">
        <w:rPr>
          <w:rFonts w:cs="Times New Roman"/>
          <w:color w:val="1F1F1F"/>
        </w:rPr>
        <w:t xml:space="preserve"> (Accessed: 27 March 2026).</w:t>
      </w:r>
    </w:p>
    <w:p w14:paraId="7CED9071" w14:textId="0E014C90" w:rsidR="00630874" w:rsidRPr="008F1357" w:rsidRDefault="00630874" w:rsidP="00630874">
      <w:pPr>
        <w:pBdr>
          <w:top w:val="nil"/>
          <w:left w:val="nil"/>
          <w:bottom w:val="nil"/>
          <w:right w:val="nil"/>
          <w:between w:val="nil"/>
        </w:pBdr>
        <w:spacing w:after="240"/>
        <w:rPr>
          <w:rFonts w:cs="Times New Roman"/>
          <w:color w:val="1F1F1F"/>
        </w:rPr>
      </w:pPr>
      <w:proofErr w:type="spellStart"/>
      <w:r w:rsidRPr="008F1357">
        <w:rPr>
          <w:rFonts w:cs="Times New Roman"/>
          <w:color w:val="1F1F1F"/>
        </w:rPr>
        <w:t>Usercentrics</w:t>
      </w:r>
      <w:proofErr w:type="spellEnd"/>
      <w:r w:rsidRPr="008F1357">
        <w:rPr>
          <w:rFonts w:cs="Times New Roman"/>
          <w:color w:val="1F1F1F"/>
        </w:rPr>
        <w:t xml:space="preserve"> (2026) </w:t>
      </w:r>
      <w:r w:rsidRPr="008F1357">
        <w:rPr>
          <w:rFonts w:cs="Times New Roman"/>
          <w:i/>
          <w:iCs/>
          <w:color w:val="1F1F1F"/>
        </w:rPr>
        <w:t>Over 150 data privacy statistics companies need to know about in 2026</w:t>
      </w:r>
      <w:r w:rsidRPr="008F1357">
        <w:rPr>
          <w:rFonts w:cs="Times New Roman"/>
          <w:color w:val="1F1F1F"/>
        </w:rPr>
        <w:t xml:space="preserve">. </w:t>
      </w:r>
      <w:r w:rsidRPr="008F1357">
        <w:rPr>
          <w:rFonts w:cs="Times New Roman"/>
          <w:color w:val="1F1F1F"/>
        </w:rPr>
        <w:lastRenderedPageBreak/>
        <w:t xml:space="preserve">Available at: </w:t>
      </w:r>
      <w:hyperlink r:id="rId50" w:tgtFrame="_blank" w:history="1">
        <w:r w:rsidRPr="008F1357">
          <w:rPr>
            <w:rStyle w:val="Hyperlink"/>
            <w:rFonts w:cs="Times New Roman"/>
          </w:rPr>
          <w:t>https://usercentrics.com/guides/data-privacy/data-privacy-statistics/</w:t>
        </w:r>
      </w:hyperlink>
      <w:r w:rsidRPr="008F1357">
        <w:rPr>
          <w:rFonts w:cs="Times New Roman"/>
          <w:color w:val="1F1F1F"/>
        </w:rPr>
        <w:t xml:space="preserve"> (Accessed: 24 March 2026).</w:t>
      </w:r>
    </w:p>
    <w:p w14:paraId="40CB2D58" w14:textId="4ABA65F7"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Waterman, R. H., Peters, T. J. and Phillips, J. R. (1980) 'Structure is not organization', </w:t>
      </w:r>
      <w:r w:rsidRPr="008F1357">
        <w:rPr>
          <w:rFonts w:cs="Times New Roman"/>
          <w:i/>
          <w:iCs/>
          <w:color w:val="1F1F1F"/>
        </w:rPr>
        <w:t>Business Horizons</w:t>
      </w:r>
      <w:r w:rsidRPr="008F1357">
        <w:rPr>
          <w:rFonts w:cs="Times New Roman"/>
          <w:color w:val="1F1F1F"/>
        </w:rPr>
        <w:t xml:space="preserve">, 23(3), pp. 14-26. Available at: </w:t>
      </w:r>
      <w:hyperlink r:id="rId51" w:tgtFrame="_blank" w:history="1">
        <w:r w:rsidRPr="008F1357">
          <w:rPr>
            <w:rStyle w:val="Hyperlink"/>
            <w:rFonts w:cs="Times New Roman"/>
          </w:rPr>
          <w:t>https://doi.org/10.1016/0007-6813(80)90027-0</w:t>
        </w:r>
      </w:hyperlink>
      <w:r w:rsidRPr="008F1357">
        <w:rPr>
          <w:rFonts w:cs="Times New Roman"/>
          <w:color w:val="1F1F1F"/>
        </w:rPr>
        <w:t>.</w:t>
      </w:r>
    </w:p>
    <w:p w14:paraId="4D977132" w14:textId="59862ED7"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Wen, Y. and Holweg, M. (2024) 'A phenomenological perspective on AI ethical failures: The case of facial recognition technology', </w:t>
      </w:r>
      <w:r w:rsidRPr="008F1357">
        <w:rPr>
          <w:rFonts w:cs="Times New Roman"/>
          <w:i/>
          <w:iCs/>
          <w:color w:val="1F1F1F"/>
        </w:rPr>
        <w:t>AI &amp; SOCIETY</w:t>
      </w:r>
      <w:r w:rsidRPr="008F1357">
        <w:rPr>
          <w:rFonts w:cs="Times New Roman"/>
          <w:color w:val="1F1F1F"/>
        </w:rPr>
        <w:t xml:space="preserve">, 39(4), pp. 1929-1946. Available at: </w:t>
      </w:r>
      <w:hyperlink r:id="rId52" w:tgtFrame="_blank" w:history="1">
        <w:r w:rsidRPr="008F1357">
          <w:rPr>
            <w:rStyle w:val="Hyperlink"/>
            <w:rFonts w:cs="Times New Roman"/>
          </w:rPr>
          <w:t>https://doi.org/10.1007/s00146-023-01648-7</w:t>
        </w:r>
      </w:hyperlink>
      <w:r w:rsidRPr="008F1357">
        <w:rPr>
          <w:rFonts w:cs="Times New Roman"/>
          <w:color w:val="1F1F1F"/>
        </w:rPr>
        <w:t>.</w:t>
      </w:r>
    </w:p>
    <w:p w14:paraId="45DE580A" w14:textId="1EF6A299"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Westover, J.H. (2025) 'Sustainable AI Transformation: A Critical Framework for Organizational Resilience and Long-Term Viability', </w:t>
      </w:r>
      <w:r w:rsidRPr="008F1357">
        <w:rPr>
          <w:rFonts w:cs="Times New Roman"/>
          <w:i/>
          <w:iCs/>
          <w:color w:val="1F1F1F"/>
        </w:rPr>
        <w:t>Sustainability</w:t>
      </w:r>
      <w:r w:rsidRPr="008F1357">
        <w:rPr>
          <w:rFonts w:cs="Times New Roman"/>
          <w:color w:val="1F1F1F"/>
        </w:rPr>
        <w:t xml:space="preserve">, 17(21), p. 9822. Available at: </w:t>
      </w:r>
      <w:hyperlink r:id="rId53" w:tgtFrame="_blank" w:history="1">
        <w:r w:rsidRPr="008F1357">
          <w:rPr>
            <w:rStyle w:val="Hyperlink"/>
            <w:rFonts w:cs="Times New Roman"/>
          </w:rPr>
          <w:t>https://doi.org/10.3390/su17219822</w:t>
        </w:r>
      </w:hyperlink>
      <w:r w:rsidRPr="008F1357">
        <w:rPr>
          <w:rFonts w:cs="Times New Roman"/>
          <w:color w:val="1F1F1F"/>
        </w:rPr>
        <w:t>.</w:t>
      </w:r>
    </w:p>
    <w:p w14:paraId="7DE45F68" w14:textId="522F0BC2"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Williamson, O. E. (1981) 'The Economics of Organization: The Transaction Cost Approach', </w:t>
      </w:r>
      <w:r w:rsidRPr="008F1357">
        <w:rPr>
          <w:rFonts w:cs="Times New Roman"/>
          <w:i/>
          <w:iCs/>
          <w:color w:val="1F1F1F"/>
        </w:rPr>
        <w:t>American Journal of Sociology</w:t>
      </w:r>
      <w:r w:rsidRPr="008F1357">
        <w:rPr>
          <w:rFonts w:cs="Times New Roman"/>
          <w:color w:val="1F1F1F"/>
        </w:rPr>
        <w:t xml:space="preserve">, 87(3), pp. 548-577. Available at: </w:t>
      </w:r>
      <w:hyperlink r:id="rId54" w:history="1">
        <w:r w:rsidR="00AF42A7" w:rsidRPr="00841F81">
          <w:rPr>
            <w:rStyle w:val="Hyperlink"/>
            <w:rFonts w:cs="Times New Roman"/>
          </w:rPr>
          <w:t>https://www.jstor.org/stable/2778934</w:t>
        </w:r>
      </w:hyperlink>
      <w:r w:rsidRPr="008F1357">
        <w:rPr>
          <w:rFonts w:cs="Times New Roman"/>
          <w:color w:val="1F1F1F"/>
        </w:rPr>
        <w:t>.</w:t>
      </w:r>
      <w:r w:rsidR="00AF42A7">
        <w:rPr>
          <w:rFonts w:cs="Times New Roman"/>
          <w:color w:val="1F1F1F"/>
        </w:rPr>
        <w:t xml:space="preserve"> </w:t>
      </w:r>
    </w:p>
    <w:p w14:paraId="3D2D0893" w14:textId="507CB13C"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World Economic Forum (2026) </w:t>
      </w:r>
      <w:r w:rsidRPr="008F1357">
        <w:rPr>
          <w:rFonts w:cs="Times New Roman"/>
          <w:i/>
          <w:iCs/>
          <w:color w:val="1F1F1F"/>
        </w:rPr>
        <w:t>Global Risks Report 2026</w:t>
      </w:r>
      <w:r w:rsidRPr="008F1357">
        <w:rPr>
          <w:rFonts w:cs="Times New Roman"/>
          <w:color w:val="1F1F1F"/>
        </w:rPr>
        <w:t xml:space="preserve">. Available at: </w:t>
      </w:r>
      <w:hyperlink r:id="rId55" w:tgtFrame="_blank" w:history="1">
        <w:r w:rsidRPr="008F1357">
          <w:rPr>
            <w:rStyle w:val="Hyperlink"/>
            <w:rFonts w:cs="Times New Roman"/>
          </w:rPr>
          <w:t>https://www.weforum.org/publications/global-risks-report-2026/</w:t>
        </w:r>
      </w:hyperlink>
      <w:r w:rsidRPr="008F1357">
        <w:rPr>
          <w:rFonts w:cs="Times New Roman"/>
          <w:color w:val="1F1F1F"/>
        </w:rPr>
        <w:t xml:space="preserve"> (Accessed: 26 March 2026).</w:t>
      </w:r>
    </w:p>
    <w:p w14:paraId="03AEC98C" w14:textId="18C7F645"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Xu, H., Niu, K., Lu, T. and Li, S. (2024) 'Leveraging artificial intelligence for enhanced risk management in financial services: Current applications and future prospects', </w:t>
      </w:r>
      <w:r w:rsidRPr="008F1357">
        <w:rPr>
          <w:rFonts w:cs="Times New Roman"/>
          <w:i/>
          <w:iCs/>
          <w:color w:val="1F1F1F"/>
        </w:rPr>
        <w:t>Engineering Science &amp; Technology Journal</w:t>
      </w:r>
      <w:r w:rsidRPr="008F1357">
        <w:rPr>
          <w:rFonts w:cs="Times New Roman"/>
          <w:color w:val="1F1F1F"/>
        </w:rPr>
        <w:t xml:space="preserve">, 5(8), p. 2402. Available at: </w:t>
      </w:r>
      <w:hyperlink r:id="rId56" w:tgtFrame="_blank" w:history="1">
        <w:r w:rsidRPr="008F1357">
          <w:rPr>
            <w:rStyle w:val="Hyperlink"/>
            <w:rFonts w:cs="Times New Roman"/>
          </w:rPr>
          <w:t>https://doi.org/10.51594/estj.v5i8.1363</w:t>
        </w:r>
      </w:hyperlink>
      <w:r w:rsidRPr="008F1357">
        <w:rPr>
          <w:rFonts w:cs="Times New Roman"/>
          <w:color w:val="1F1F1F"/>
        </w:rPr>
        <w:t>.</w:t>
      </w:r>
    </w:p>
    <w:p w14:paraId="6376A0AD" w14:textId="120CA30D"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Yang, B. and Li, M. (2025) 'Offshore Embeddedness Beyond the Wall: Data Governance Landscape', </w:t>
      </w:r>
      <w:r w:rsidRPr="008F1357">
        <w:rPr>
          <w:rFonts w:cs="Times New Roman"/>
          <w:i/>
          <w:iCs/>
          <w:color w:val="1F1F1F"/>
        </w:rPr>
        <w:t>Politics and Governance</w:t>
      </w:r>
      <w:r w:rsidRPr="008F1357">
        <w:rPr>
          <w:rFonts w:cs="Times New Roman"/>
          <w:color w:val="1F1F1F"/>
        </w:rPr>
        <w:t xml:space="preserve">, 13, p. 10437. Available at: </w:t>
      </w:r>
      <w:hyperlink r:id="rId57" w:tgtFrame="_blank" w:history="1">
        <w:r w:rsidRPr="008F1357">
          <w:rPr>
            <w:rStyle w:val="Hyperlink"/>
            <w:rFonts w:cs="Times New Roman"/>
          </w:rPr>
          <w:t>https://doi.org/10.17645/pag.10437</w:t>
        </w:r>
      </w:hyperlink>
      <w:r w:rsidRPr="008F1357">
        <w:rPr>
          <w:rFonts w:cs="Times New Roman"/>
          <w:color w:val="1F1F1F"/>
        </w:rPr>
        <w:t>.</w:t>
      </w:r>
    </w:p>
    <w:p w14:paraId="58FEFC1D" w14:textId="5D30441A"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Yang, Q. and Lee, Y.-C. (2024) 'Ethical AI in Financial Inclusion: The Role of Algorithmic Fairness on User Satisfaction and Recommendation', </w:t>
      </w:r>
      <w:r w:rsidRPr="008F1357">
        <w:rPr>
          <w:rFonts w:cs="Times New Roman"/>
          <w:i/>
          <w:iCs/>
          <w:color w:val="1F1F1F"/>
        </w:rPr>
        <w:t>Big Data and Cognitive Computing</w:t>
      </w:r>
      <w:r w:rsidRPr="008F1357">
        <w:rPr>
          <w:rFonts w:cs="Times New Roman"/>
          <w:color w:val="1F1F1F"/>
        </w:rPr>
        <w:t xml:space="preserve">, 8(9), p. 105. Available at: </w:t>
      </w:r>
      <w:hyperlink r:id="rId58" w:tgtFrame="_blank" w:history="1">
        <w:r w:rsidRPr="008F1357">
          <w:rPr>
            <w:rStyle w:val="Hyperlink"/>
            <w:rFonts w:cs="Times New Roman"/>
          </w:rPr>
          <w:t>https://doi.org/10.3390/bdcc8090105</w:t>
        </w:r>
      </w:hyperlink>
      <w:r w:rsidRPr="008F1357">
        <w:rPr>
          <w:rFonts w:cs="Times New Roman"/>
          <w:color w:val="1F1F1F"/>
        </w:rPr>
        <w:t>.</w:t>
      </w:r>
    </w:p>
    <w:p w14:paraId="491ADA9F" w14:textId="087FA11D"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Zhou, S., Tang, S., Li, D. and Tong, T. W. (2025) 'Multihoming: an internationalization strategy in a world of artificial intelligence ecosystems', </w:t>
      </w:r>
      <w:r w:rsidRPr="008F1357">
        <w:rPr>
          <w:rFonts w:cs="Times New Roman"/>
          <w:i/>
          <w:iCs/>
          <w:color w:val="1F1F1F"/>
        </w:rPr>
        <w:t>Journal of International Business Studies</w:t>
      </w:r>
      <w:r w:rsidRPr="008F1357">
        <w:rPr>
          <w:rFonts w:cs="Times New Roman"/>
          <w:color w:val="1F1F1F"/>
        </w:rPr>
        <w:t xml:space="preserve">, 56(9), </w:t>
      </w:r>
      <w:r w:rsidRPr="008F1357">
        <w:rPr>
          <w:rFonts w:cs="Times New Roman"/>
          <w:color w:val="1F1F1F"/>
        </w:rPr>
        <w:lastRenderedPageBreak/>
        <w:t xml:space="preserve">p. 1188. Available at: </w:t>
      </w:r>
      <w:hyperlink r:id="rId59" w:tgtFrame="_blank" w:history="1">
        <w:r w:rsidRPr="008F1357">
          <w:rPr>
            <w:rStyle w:val="Hyperlink"/>
            <w:rFonts w:cs="Times New Roman"/>
          </w:rPr>
          <w:t>https://doi.org/10.1057/s41267-025-00813-y</w:t>
        </w:r>
      </w:hyperlink>
      <w:r w:rsidRPr="008F1357">
        <w:rPr>
          <w:rFonts w:cs="Times New Roman"/>
          <w:color w:val="1F1F1F"/>
        </w:rPr>
        <w:t>.</w:t>
      </w:r>
    </w:p>
    <w:p w14:paraId="2641E9CB" w14:textId="56FFDACA" w:rsidR="00630874" w:rsidRPr="008F1357" w:rsidRDefault="00630874" w:rsidP="00630874">
      <w:pPr>
        <w:pBdr>
          <w:top w:val="nil"/>
          <w:left w:val="nil"/>
          <w:bottom w:val="nil"/>
          <w:right w:val="nil"/>
          <w:between w:val="nil"/>
        </w:pBdr>
        <w:spacing w:after="240"/>
        <w:rPr>
          <w:rFonts w:cs="Times New Roman"/>
          <w:color w:val="1F1F1F"/>
        </w:rPr>
      </w:pPr>
      <w:r w:rsidRPr="008F1357">
        <w:rPr>
          <w:rFonts w:cs="Times New Roman"/>
          <w:color w:val="1F1F1F"/>
        </w:rPr>
        <w:t xml:space="preserve">Zhou, X., Yang, Z., Hyman, M. R., Li, G. and Munim, Z. H. (2022) 'Guest editorial: Impact of artificial intelligence on business strategy in emerging markets: a conceptual framework and future research directions', </w:t>
      </w:r>
      <w:r w:rsidRPr="008F1357">
        <w:rPr>
          <w:rFonts w:cs="Times New Roman"/>
          <w:i/>
          <w:iCs/>
          <w:color w:val="1F1F1F"/>
        </w:rPr>
        <w:t>International Journal of Emerging Markets</w:t>
      </w:r>
      <w:r w:rsidRPr="008F1357">
        <w:rPr>
          <w:rFonts w:cs="Times New Roman"/>
          <w:color w:val="1F1F1F"/>
        </w:rPr>
        <w:t xml:space="preserve">, 17(10), pp. 917-929. Available at: </w:t>
      </w:r>
      <w:hyperlink r:id="rId60" w:tgtFrame="_blank" w:history="1">
        <w:r w:rsidRPr="008F1357">
          <w:rPr>
            <w:rStyle w:val="Hyperlink"/>
            <w:rFonts w:cs="Times New Roman"/>
          </w:rPr>
          <w:t>https://doi.org/10.1108/IJOEM-04-2022-995</w:t>
        </w:r>
      </w:hyperlink>
      <w:r w:rsidRPr="008F1357">
        <w:rPr>
          <w:rFonts w:cs="Times New Roman"/>
          <w:color w:val="1F1F1F"/>
        </w:rPr>
        <w:t>.</w:t>
      </w:r>
    </w:p>
    <w:p w14:paraId="3A20FA86" w14:textId="22CB9759" w:rsidR="00E93832" w:rsidRPr="00AE19DD" w:rsidRDefault="00E93832" w:rsidP="00630874">
      <w:pPr>
        <w:pBdr>
          <w:top w:val="nil"/>
          <w:left w:val="nil"/>
          <w:bottom w:val="nil"/>
          <w:right w:val="nil"/>
          <w:between w:val="nil"/>
        </w:pBdr>
        <w:spacing w:after="240"/>
        <w:rPr>
          <w:rFonts w:cs="Times New Roman"/>
          <w:color w:val="1F1F1F"/>
        </w:rPr>
      </w:pPr>
    </w:p>
    <w:sectPr w:rsidR="00E93832" w:rsidRPr="00AE19DD">
      <w:footerReference w:type="default" r:id="rId6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DF885" w14:textId="77777777" w:rsidR="00952900" w:rsidRPr="008F1357" w:rsidRDefault="00952900" w:rsidP="00AE19DD">
      <w:r w:rsidRPr="008F1357">
        <w:separator/>
      </w:r>
    </w:p>
  </w:endnote>
  <w:endnote w:type="continuationSeparator" w:id="0">
    <w:p w14:paraId="51FD682F" w14:textId="77777777" w:rsidR="00952900" w:rsidRPr="008F1357" w:rsidRDefault="00952900" w:rsidP="00AE19DD">
      <w:r w:rsidRPr="008F13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EF76E6DA-2F77-409F-ACA7-34C597F20AE4}"/>
  </w:font>
  <w:font w:name="Calibri">
    <w:panose1 w:val="020F0502020204030204"/>
    <w:charset w:val="00"/>
    <w:family w:val="swiss"/>
    <w:pitch w:val="variable"/>
    <w:sig w:usb0="E00002FF" w:usb1="4000ACFF" w:usb2="00000001" w:usb3="00000000" w:csb0="0000019F" w:csb1="00000000"/>
    <w:embedRegular r:id="rId2" w:fontKey="{82C3BB38-1A9F-456B-87A2-16D2DF31804D}"/>
  </w:font>
  <w:font w:name="Cambria">
    <w:panose1 w:val="02040503050406030204"/>
    <w:charset w:val="00"/>
    <w:family w:val="roman"/>
    <w:pitch w:val="variable"/>
    <w:sig w:usb0="E00002FF" w:usb1="400004FF" w:usb2="00000000" w:usb3="00000000" w:csb0="0000019F" w:csb1="00000000"/>
    <w:embedRegular r:id="rId3" w:fontKey="{37A19F3F-B757-4878-A075-AED512A14C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277690"/>
      <w:docPartObj>
        <w:docPartGallery w:val="Page Numbers (Bottom of Page)"/>
        <w:docPartUnique/>
      </w:docPartObj>
    </w:sdtPr>
    <w:sdtContent>
      <w:p w14:paraId="2D6D5D73" w14:textId="06B2C88B" w:rsidR="00AE19DD" w:rsidRPr="008F1357" w:rsidRDefault="00AE19DD">
        <w:pPr>
          <w:pStyle w:val="Footer"/>
          <w:jc w:val="right"/>
        </w:pPr>
        <w:r w:rsidRPr="008F1357">
          <w:fldChar w:fldCharType="begin"/>
        </w:r>
        <w:r w:rsidRPr="008F1357">
          <w:instrText xml:space="preserve"> PAGE   \* MERGEFORMAT </w:instrText>
        </w:r>
        <w:r w:rsidRPr="008F1357">
          <w:fldChar w:fldCharType="separate"/>
        </w:r>
        <w:r w:rsidRPr="008F1357">
          <w:t>2</w:t>
        </w:r>
        <w:r w:rsidRPr="008F1357">
          <w:fldChar w:fldCharType="end"/>
        </w:r>
      </w:p>
    </w:sdtContent>
  </w:sdt>
  <w:p w14:paraId="3FB2AF49" w14:textId="77777777" w:rsidR="00AE19DD" w:rsidRPr="008F1357" w:rsidRDefault="00AE1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69D5D" w14:textId="77777777" w:rsidR="00952900" w:rsidRPr="008F1357" w:rsidRDefault="00952900" w:rsidP="00AE19DD">
      <w:r w:rsidRPr="008F1357">
        <w:separator/>
      </w:r>
    </w:p>
  </w:footnote>
  <w:footnote w:type="continuationSeparator" w:id="0">
    <w:p w14:paraId="3CC8F7A0" w14:textId="77777777" w:rsidR="00952900" w:rsidRPr="008F1357" w:rsidRDefault="00952900" w:rsidP="00AE19DD">
      <w:r w:rsidRPr="008F135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2578"/>
    <w:multiLevelType w:val="multilevel"/>
    <w:tmpl w:val="441EA4C6"/>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7405577"/>
    <w:multiLevelType w:val="hybridMultilevel"/>
    <w:tmpl w:val="0DE8CA1E"/>
    <w:lvl w:ilvl="0" w:tplc="19A08D74">
      <w:numFmt w:val="bullet"/>
      <w:lvlText w:val=""/>
      <w:lvlJc w:val="left"/>
      <w:pPr>
        <w:ind w:left="730" w:hanging="37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1A55C8"/>
    <w:multiLevelType w:val="multilevel"/>
    <w:tmpl w:val="51C67B2E"/>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4C929FA"/>
    <w:multiLevelType w:val="hybridMultilevel"/>
    <w:tmpl w:val="539E4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C4953"/>
    <w:multiLevelType w:val="multilevel"/>
    <w:tmpl w:val="5ABC34D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18727DE1"/>
    <w:multiLevelType w:val="hybridMultilevel"/>
    <w:tmpl w:val="E2DC9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C7DE8"/>
    <w:multiLevelType w:val="multilevel"/>
    <w:tmpl w:val="EE248D26"/>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1DBC6770"/>
    <w:multiLevelType w:val="multilevel"/>
    <w:tmpl w:val="1446FDD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1DF61A5B"/>
    <w:multiLevelType w:val="hybridMultilevel"/>
    <w:tmpl w:val="9AE4A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3C381F"/>
    <w:multiLevelType w:val="multilevel"/>
    <w:tmpl w:val="57EA3F32"/>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259F09D5"/>
    <w:multiLevelType w:val="hybridMultilevel"/>
    <w:tmpl w:val="C0D09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8F0C26"/>
    <w:multiLevelType w:val="multilevel"/>
    <w:tmpl w:val="82A8F524"/>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33EA4680"/>
    <w:multiLevelType w:val="multilevel"/>
    <w:tmpl w:val="B0703AB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34B84329"/>
    <w:multiLevelType w:val="hybridMultilevel"/>
    <w:tmpl w:val="9D6E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F31E3E"/>
    <w:multiLevelType w:val="multilevel"/>
    <w:tmpl w:val="D29AEBC6"/>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525132AC"/>
    <w:multiLevelType w:val="multilevel"/>
    <w:tmpl w:val="55CE1C5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5695655A"/>
    <w:multiLevelType w:val="hybridMultilevel"/>
    <w:tmpl w:val="F42C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B836DCE"/>
    <w:multiLevelType w:val="multilevel"/>
    <w:tmpl w:val="92DC9FE0"/>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64987735"/>
    <w:multiLevelType w:val="multilevel"/>
    <w:tmpl w:val="178E2C0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65801E17"/>
    <w:multiLevelType w:val="multilevel"/>
    <w:tmpl w:val="287CA22C"/>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6D424CC8"/>
    <w:multiLevelType w:val="multilevel"/>
    <w:tmpl w:val="A0C67AF0"/>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7B694236"/>
    <w:multiLevelType w:val="multilevel"/>
    <w:tmpl w:val="BE0C4DEE"/>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649478735">
    <w:abstractNumId w:val="4"/>
  </w:num>
  <w:num w:numId="2" w16cid:durableId="1602683666">
    <w:abstractNumId w:val="20"/>
  </w:num>
  <w:num w:numId="3" w16cid:durableId="330566769">
    <w:abstractNumId w:val="9"/>
  </w:num>
  <w:num w:numId="4" w16cid:durableId="89619467">
    <w:abstractNumId w:val="0"/>
  </w:num>
  <w:num w:numId="5" w16cid:durableId="436678802">
    <w:abstractNumId w:val="18"/>
  </w:num>
  <w:num w:numId="6" w16cid:durableId="2081440493">
    <w:abstractNumId w:val="2"/>
  </w:num>
  <w:num w:numId="7" w16cid:durableId="177432514">
    <w:abstractNumId w:val="21"/>
  </w:num>
  <w:num w:numId="8" w16cid:durableId="658923721">
    <w:abstractNumId w:val="12"/>
  </w:num>
  <w:num w:numId="9" w16cid:durableId="1781408468">
    <w:abstractNumId w:val="11"/>
  </w:num>
  <w:num w:numId="10" w16cid:durableId="950434129">
    <w:abstractNumId w:val="14"/>
  </w:num>
  <w:num w:numId="11" w16cid:durableId="1173178152">
    <w:abstractNumId w:val="19"/>
  </w:num>
  <w:num w:numId="12" w16cid:durableId="1032220405">
    <w:abstractNumId w:val="7"/>
  </w:num>
  <w:num w:numId="13" w16cid:durableId="2017267765">
    <w:abstractNumId w:val="17"/>
  </w:num>
  <w:num w:numId="14" w16cid:durableId="162624955">
    <w:abstractNumId w:val="15"/>
  </w:num>
  <w:num w:numId="15" w16cid:durableId="1391922203">
    <w:abstractNumId w:val="6"/>
  </w:num>
  <w:num w:numId="16" w16cid:durableId="1953170662">
    <w:abstractNumId w:val="8"/>
  </w:num>
  <w:num w:numId="17" w16cid:durableId="368071752">
    <w:abstractNumId w:val="1"/>
  </w:num>
  <w:num w:numId="18" w16cid:durableId="581336843">
    <w:abstractNumId w:val="5"/>
  </w:num>
  <w:num w:numId="19" w16cid:durableId="1074352945">
    <w:abstractNumId w:val="16"/>
  </w:num>
  <w:num w:numId="20" w16cid:durableId="548806025">
    <w:abstractNumId w:val="13"/>
  </w:num>
  <w:num w:numId="21" w16cid:durableId="755320003">
    <w:abstractNumId w:val="10"/>
  </w:num>
  <w:num w:numId="22" w16cid:durableId="1370568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316"/>
    <w:rsid w:val="00020B48"/>
    <w:rsid w:val="002C5E2C"/>
    <w:rsid w:val="003E5BA6"/>
    <w:rsid w:val="00491406"/>
    <w:rsid w:val="005232EB"/>
    <w:rsid w:val="005A4665"/>
    <w:rsid w:val="00630874"/>
    <w:rsid w:val="006A20D3"/>
    <w:rsid w:val="006C3FC6"/>
    <w:rsid w:val="00711920"/>
    <w:rsid w:val="007C7D12"/>
    <w:rsid w:val="0083717F"/>
    <w:rsid w:val="008F1357"/>
    <w:rsid w:val="00952900"/>
    <w:rsid w:val="00A24A19"/>
    <w:rsid w:val="00AE19DD"/>
    <w:rsid w:val="00AF42A7"/>
    <w:rsid w:val="00B94E6E"/>
    <w:rsid w:val="00BA1CEC"/>
    <w:rsid w:val="00BD257F"/>
    <w:rsid w:val="00E029AA"/>
    <w:rsid w:val="00E16F93"/>
    <w:rsid w:val="00E93832"/>
    <w:rsid w:val="00FA4316"/>
    <w:rsid w:val="00FC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D9CCD"/>
  <w15:docId w15:val="{92497028-0599-4404-B4E2-443D1A5E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357"/>
    <w:pPr>
      <w:spacing w:line="360" w:lineRule="auto"/>
      <w:jc w:val="both"/>
    </w:pPr>
    <w:rPr>
      <w:rFonts w:ascii="Times New Roman" w:hAnsi="Times New Roman"/>
      <w:sz w:val="24"/>
      <w:lang w:val="en-GB"/>
    </w:rPr>
  </w:style>
  <w:style w:type="paragraph" w:styleId="Heading1">
    <w:name w:val="heading 1"/>
    <w:basedOn w:val="Normal"/>
    <w:next w:val="Normal"/>
    <w:autoRedefine/>
    <w:uiPriority w:val="9"/>
    <w:qFormat/>
    <w:rsid w:val="008F1357"/>
    <w:pPr>
      <w:pBdr>
        <w:top w:val="nil"/>
        <w:left w:val="nil"/>
        <w:bottom w:val="nil"/>
        <w:right w:val="nil"/>
        <w:between w:val="nil"/>
      </w:pBdr>
      <w:spacing w:before="240" w:after="240"/>
      <w:outlineLvl w:val="0"/>
    </w:pPr>
    <w:rPr>
      <w:b/>
      <w:bCs/>
      <w:sz w:val="32"/>
      <w:szCs w:val="48"/>
    </w:rPr>
  </w:style>
  <w:style w:type="paragraph" w:styleId="Heading2">
    <w:name w:val="heading 2"/>
    <w:basedOn w:val="Normal"/>
    <w:next w:val="Normal"/>
    <w:autoRedefine/>
    <w:uiPriority w:val="9"/>
    <w:unhideWhenUsed/>
    <w:qFormat/>
    <w:rsid w:val="008F1357"/>
    <w:pPr>
      <w:pBdr>
        <w:top w:val="nil"/>
        <w:left w:val="nil"/>
        <w:bottom w:val="nil"/>
        <w:right w:val="nil"/>
        <w:between w:val="nil"/>
      </w:pBdr>
      <w:spacing w:before="225" w:after="225"/>
      <w:outlineLvl w:val="1"/>
    </w:pPr>
    <w:rPr>
      <w:b/>
      <w:bCs/>
      <w:sz w:val="28"/>
      <w:szCs w:val="36"/>
    </w:rPr>
  </w:style>
  <w:style w:type="paragraph" w:styleId="Heading3">
    <w:name w:val="heading 3"/>
    <w:basedOn w:val="Normal"/>
    <w:next w:val="Normal"/>
    <w:autoRedefine/>
    <w:uiPriority w:val="9"/>
    <w:unhideWhenUsed/>
    <w:qFormat/>
    <w:rsid w:val="008F1357"/>
    <w:pPr>
      <w:pBdr>
        <w:top w:val="nil"/>
        <w:left w:val="nil"/>
        <w:bottom w:val="nil"/>
        <w:right w:val="nil"/>
        <w:between w:val="nil"/>
      </w:pBdr>
      <w:spacing w:before="240" w:after="240"/>
      <w:outlineLvl w:val="2"/>
    </w:pPr>
    <w:rPr>
      <w:b/>
      <w:bCs/>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AE19DD"/>
    <w:pPr>
      <w:tabs>
        <w:tab w:val="center" w:pos="4680"/>
        <w:tab w:val="right" w:pos="9360"/>
      </w:tabs>
    </w:pPr>
  </w:style>
  <w:style w:type="character" w:customStyle="1" w:styleId="HeaderChar">
    <w:name w:val="Header Char"/>
    <w:basedOn w:val="DefaultParagraphFont"/>
    <w:link w:val="Header"/>
    <w:uiPriority w:val="99"/>
    <w:rsid w:val="00AE19DD"/>
  </w:style>
  <w:style w:type="paragraph" w:styleId="Footer">
    <w:name w:val="footer"/>
    <w:basedOn w:val="Normal"/>
    <w:link w:val="FooterChar"/>
    <w:uiPriority w:val="99"/>
    <w:unhideWhenUsed/>
    <w:rsid w:val="00AE19DD"/>
    <w:pPr>
      <w:tabs>
        <w:tab w:val="center" w:pos="4680"/>
        <w:tab w:val="right" w:pos="9360"/>
      </w:tabs>
    </w:pPr>
  </w:style>
  <w:style w:type="character" w:customStyle="1" w:styleId="FooterChar">
    <w:name w:val="Footer Char"/>
    <w:basedOn w:val="DefaultParagraphFont"/>
    <w:link w:val="Footer"/>
    <w:uiPriority w:val="99"/>
    <w:rsid w:val="00AE19DD"/>
  </w:style>
  <w:style w:type="character" w:styleId="Hyperlink">
    <w:name w:val="Hyperlink"/>
    <w:basedOn w:val="DefaultParagraphFont"/>
    <w:uiPriority w:val="99"/>
    <w:unhideWhenUsed/>
    <w:rsid w:val="00AE19DD"/>
    <w:rPr>
      <w:color w:val="0000FF" w:themeColor="hyperlink"/>
      <w:u w:val="single"/>
    </w:rPr>
  </w:style>
  <w:style w:type="character" w:styleId="UnresolvedMention">
    <w:name w:val="Unresolved Mention"/>
    <w:basedOn w:val="DefaultParagraphFont"/>
    <w:uiPriority w:val="99"/>
    <w:semiHidden/>
    <w:unhideWhenUsed/>
    <w:rsid w:val="00AE19DD"/>
    <w:rPr>
      <w:color w:val="605E5C"/>
      <w:shd w:val="clear" w:color="auto" w:fill="E1DFDD"/>
    </w:rPr>
  </w:style>
  <w:style w:type="paragraph" w:styleId="Caption">
    <w:name w:val="caption"/>
    <w:basedOn w:val="Normal"/>
    <w:next w:val="Normal"/>
    <w:uiPriority w:val="35"/>
    <w:unhideWhenUsed/>
    <w:qFormat/>
    <w:rsid w:val="00E93832"/>
    <w:pPr>
      <w:spacing w:after="200"/>
    </w:pPr>
    <w:rPr>
      <w:i/>
      <w:iCs/>
      <w:color w:val="1F497D" w:themeColor="text2"/>
      <w:sz w:val="18"/>
      <w:szCs w:val="18"/>
    </w:rPr>
  </w:style>
  <w:style w:type="paragraph" w:styleId="ListParagraph">
    <w:name w:val="List Paragraph"/>
    <w:basedOn w:val="Normal"/>
    <w:uiPriority w:val="34"/>
    <w:qFormat/>
    <w:rsid w:val="00630874"/>
    <w:pPr>
      <w:ind w:left="720"/>
      <w:contextualSpacing/>
    </w:pPr>
  </w:style>
  <w:style w:type="paragraph" w:styleId="TOCHeading">
    <w:name w:val="TOC Heading"/>
    <w:basedOn w:val="Heading1"/>
    <w:next w:val="Normal"/>
    <w:uiPriority w:val="39"/>
    <w:unhideWhenUsed/>
    <w:qFormat/>
    <w:rsid w:val="0083717F"/>
    <w:pPr>
      <w:keepNext/>
      <w:keepLines/>
      <w:widowControl/>
      <w:pBdr>
        <w:top w:val="none" w:sz="0" w:space="0" w:color="auto"/>
        <w:left w:val="none" w:sz="0" w:space="0" w:color="auto"/>
        <w:bottom w:val="none" w:sz="0" w:space="0" w:color="auto"/>
        <w:right w:val="none" w:sz="0" w:space="0" w:color="auto"/>
        <w:between w:val="none" w:sz="0" w:space="0" w:color="auto"/>
      </w:pBdr>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83717F"/>
    <w:pPr>
      <w:spacing w:after="100"/>
    </w:pPr>
  </w:style>
  <w:style w:type="paragraph" w:styleId="TOC2">
    <w:name w:val="toc 2"/>
    <w:basedOn w:val="Normal"/>
    <w:next w:val="Normal"/>
    <w:autoRedefine/>
    <w:uiPriority w:val="39"/>
    <w:unhideWhenUsed/>
    <w:rsid w:val="0083717F"/>
    <w:pPr>
      <w:spacing w:after="100"/>
      <w:ind w:left="240"/>
    </w:pPr>
  </w:style>
  <w:style w:type="character" w:styleId="FollowedHyperlink">
    <w:name w:val="FollowedHyperlink"/>
    <w:basedOn w:val="DefaultParagraphFont"/>
    <w:uiPriority w:val="99"/>
    <w:semiHidden/>
    <w:unhideWhenUsed/>
    <w:rsid w:val="007C7D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ophi.org.uk/sites/default/files/2026-01/GMPI_2025_Overlapping_2.pdf" TargetMode="External"/><Relationship Id="rId39" Type="http://schemas.openxmlformats.org/officeDocument/2006/relationships/hyperlink" Target="https://www.mckinsey.com/capabilities/tech-and-ai/our-insights/tech-forward/state-of-ai-trust-in-2026-shifting-to-the-agentic-era" TargetMode="External"/><Relationship Id="rId21" Type="http://schemas.openxmlformats.org/officeDocument/2006/relationships/image" Target="media/image4.png"/><Relationship Id="rId34" Type="http://schemas.openxmlformats.org/officeDocument/2006/relationships/hyperlink" Target="https://cloud.google.com/customers/featured/hsbc" TargetMode="External"/><Relationship Id="rId42" Type="http://schemas.openxmlformats.org/officeDocument/2006/relationships/hyperlink" Target="https://doi.org/10.1007/s10551-006-9235-x" TargetMode="External"/><Relationship Id="rId47" Type="http://schemas.openxmlformats.org/officeDocument/2006/relationships/hyperlink" Target="https://doi.org/10.1109/ICICT62343.2024.00007" TargetMode="External"/><Relationship Id="rId50" Type="http://schemas.openxmlformats.org/officeDocument/2006/relationships/hyperlink" Target="https://usercentrics.com/guides/data-privacy/data-privacy-statistics/" TargetMode="External"/><Relationship Id="rId55" Type="http://schemas.openxmlformats.org/officeDocument/2006/relationships/hyperlink" Target="https://www.weforum.org/publications/global-risks-report-2026/"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9" Type="http://schemas.openxmlformats.org/officeDocument/2006/relationships/hyperlink" Target="https://doi.org/10.2307/2095101" TargetMode="External"/><Relationship Id="rId11" Type="http://schemas.openxmlformats.org/officeDocument/2006/relationships/diagramLayout" Target="diagrams/layout1.xml"/><Relationship Id="rId24" Type="http://schemas.openxmlformats.org/officeDocument/2006/relationships/image" Target="media/image7.png"/><Relationship Id="rId32" Type="http://schemas.openxmlformats.org/officeDocument/2006/relationships/hyperlink" Target="https://doi.org/10.1007/s13347-019-00354-x" TargetMode="External"/><Relationship Id="rId37" Type="http://schemas.openxmlformats.org/officeDocument/2006/relationships/hyperlink" Target="https://www.ibisworld.com/global/industry/global-commercial-banks/1750/" TargetMode="External"/><Relationship Id="rId40" Type="http://schemas.openxmlformats.org/officeDocument/2006/relationships/hyperlink" Target="https://mlq.ai/news/jpmorgan-ceo-reveals-ai-driven-employee-redeployment-initiative/" TargetMode="External"/><Relationship Id="rId45" Type="http://schemas.openxmlformats.org/officeDocument/2006/relationships/hyperlink" Target="https://sqmagazine.co.uk/eu-ai-act-compliance-cost-statistics/" TargetMode="External"/><Relationship Id="rId53" Type="http://schemas.openxmlformats.org/officeDocument/2006/relationships/hyperlink" Target="https://doi.org/10.3390/su17219822" TargetMode="External"/><Relationship Id="rId58" Type="http://schemas.openxmlformats.org/officeDocument/2006/relationships/hyperlink" Target="https://doi.org/10.3390/bdcc8090105" TargetMode="External"/><Relationship Id="rId5" Type="http://schemas.openxmlformats.org/officeDocument/2006/relationships/webSettings" Target="webSettings.xml"/><Relationship Id="rId61" Type="http://schemas.openxmlformats.org/officeDocument/2006/relationships/footer" Target="footer1.xm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image" Target="media/image5.png"/><Relationship Id="rId27" Type="http://schemas.openxmlformats.org/officeDocument/2006/relationships/hyperlink" Target="https://businesstats.com/ai-in-finance/" TargetMode="External"/><Relationship Id="rId30" Type="http://schemas.openxmlformats.org/officeDocument/2006/relationships/hyperlink" Target="http://dx.doi.org/10.2307/41165746" TargetMode="External"/><Relationship Id="rId35" Type="http://schemas.openxmlformats.org/officeDocument/2006/relationships/hyperlink" Target="https://doi.org/10.9707/2307-0919.1014" TargetMode="External"/><Relationship Id="rId43" Type="http://schemas.openxmlformats.org/officeDocument/2006/relationships/hyperlink" Target="https://www.pewresearch.org/short-reads/2026/03/12/key-findings-about-how-americans-view-artificial-intelligence/" TargetMode="External"/><Relationship Id="rId48" Type="http://schemas.openxmlformats.org/officeDocument/2006/relationships/hyperlink" Target="https://www.theculturefactor.com/country-comparison-tool?countries=hong+kong%2Cunited+kingdom%2Cunited+states" TargetMode="External"/><Relationship Id="rId56" Type="http://schemas.openxmlformats.org/officeDocument/2006/relationships/hyperlink" Target="https://doi.org/10.51594/estj.v5i8.1363" TargetMode="External"/><Relationship Id="rId8" Type="http://schemas.openxmlformats.org/officeDocument/2006/relationships/image" Target="media/image1.png"/><Relationship Id="rId51" Type="http://schemas.openxmlformats.org/officeDocument/2006/relationships/hyperlink" Target="https://doi.org/10.1016/0007-6813(80)90027-0"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doi.org/10.1007/s44163-023-00100-5" TargetMode="External"/><Relationship Id="rId33" Type="http://schemas.openxmlformats.org/officeDocument/2006/relationships/hyperlink" Target="https://gitnux.org/ai-in-the-banking-industry-statistics/" TargetMode="External"/><Relationship Id="rId38" Type="http://schemas.openxmlformats.org/officeDocument/2006/relationships/hyperlink" Target="https://doi.org/10.1186/s40854-024-00668-6" TargetMode="External"/><Relationship Id="rId46" Type="http://schemas.openxmlformats.org/officeDocument/2006/relationships/hyperlink" Target="https://www.statista.com/chart/33957/share-of-us-respondents-who-trust-institutions/" TargetMode="External"/><Relationship Id="rId59" Type="http://schemas.openxmlformats.org/officeDocument/2006/relationships/hyperlink" Target="https://doi.org/10.1057/s41267-025-00813-y" TargetMode="External"/><Relationship Id="rId20" Type="http://schemas.openxmlformats.org/officeDocument/2006/relationships/image" Target="media/image3.png"/><Relationship Id="rId41" Type="http://schemas.openxmlformats.org/officeDocument/2006/relationships/hyperlink" Target="https://nvlpubs.nist.gov/nistpubs/ai/nist.ai.100-1.pdf" TargetMode="External"/><Relationship Id="rId54" Type="http://schemas.openxmlformats.org/officeDocument/2006/relationships/hyperlink" Target="https://www.jstor.org/stable/2778934"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image" Target="media/image6.png"/><Relationship Id="rId28" Type="http://schemas.openxmlformats.org/officeDocument/2006/relationships/hyperlink" Target="https://hbr.org/2026/02/where-senior-leaders-are-struggling-with-ai-adoption-according-to-research" TargetMode="External"/><Relationship Id="rId36" Type="http://schemas.openxmlformats.org/officeDocument/2006/relationships/hyperlink" Target="https://www.hsbc.com/-/files/hsbc/investors/hsbc-results/2023/annual/pdfs/hsbc-holdings-plc/240226-annual-report-and-accounts-2023.pdf" TargetMode="External"/><Relationship Id="rId49" Type="http://schemas.openxmlformats.org/officeDocument/2006/relationships/hyperlink" Target="https://www.gov.uk/government/publications/establishing-a-pro-innovation-approach-to-regulating-ai/establishing-a-pro-innovation-approach-to-regulating-ai-policy-statement" TargetMode="External"/><Relationship Id="rId57" Type="http://schemas.openxmlformats.org/officeDocument/2006/relationships/hyperlink" Target="https://doi.org/10.17645/pag.10437" TargetMode="External"/><Relationship Id="rId10" Type="http://schemas.openxmlformats.org/officeDocument/2006/relationships/diagramData" Target="diagrams/data1.xml"/><Relationship Id="rId31" Type="http://schemas.openxmlformats.org/officeDocument/2006/relationships/hyperlink" Target="https://www.fca.org.uk/publications/policy-statements/ps22-9-new-consumer-duty" TargetMode="External"/><Relationship Id="rId44" Type="http://schemas.openxmlformats.org/officeDocument/2006/relationships/hyperlink" Target="https://realworlddatascience.net/applied-insights/case-studies/posts/2026/02/11/algorithmic_bias_credit_scoring.html" TargetMode="External"/><Relationship Id="rId52" Type="http://schemas.openxmlformats.org/officeDocument/2006/relationships/hyperlink" Target="https://doi.org/10.1007/s00146-023-01648-7" TargetMode="External"/><Relationship Id="rId60" Type="http://schemas.openxmlformats.org/officeDocument/2006/relationships/hyperlink" Target="https://doi.org/10.1108/IJOEM-04-2022-995" TargetMode="External"/><Relationship Id="rId4" Type="http://schemas.openxmlformats.org/officeDocument/2006/relationships/settings" Target="settings.xml"/><Relationship Id="rId9" Type="http://schemas.openxmlformats.org/officeDocument/2006/relationships/image" Target="media/image2.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570E4F-D1DF-46B2-A4F3-FBBF80E4F21A}" type="doc">
      <dgm:prSet loTypeId="urn:microsoft.com/office/officeart/2005/8/layout/vProcess5" loCatId="process" qsTypeId="urn:microsoft.com/office/officeart/2005/8/quickstyle/simple1" qsCatId="simple" csTypeId="urn:microsoft.com/office/officeart/2005/8/colors/colorful1" csCatId="colorful" phldr="1"/>
      <dgm:spPr/>
      <dgm:t>
        <a:bodyPr/>
        <a:lstStyle/>
        <a:p>
          <a:endParaRPr lang="en-US"/>
        </a:p>
      </dgm:t>
    </dgm:pt>
    <dgm:pt modelId="{9E3FDEB7-DFFD-4A92-B9BE-8B5CEB71547E}">
      <dgm:prSet phldrT="[Text]" custT="1"/>
      <dgm:spPr/>
      <dgm:t>
        <a:bodyPr/>
        <a:lstStyle/>
        <a:p>
          <a:pPr>
            <a:buNone/>
          </a:pPr>
          <a:r>
            <a:rPr lang="en-GB" sz="1050" b="1"/>
            <a:t>Govern:</a:t>
          </a:r>
          <a:endParaRPr lang="en-US" sz="1050"/>
        </a:p>
      </dgm:t>
    </dgm:pt>
    <dgm:pt modelId="{913AD4D1-B64F-49DD-A5EC-6608520BED49}" type="parTrans" cxnId="{B2421199-4C3B-496B-925F-C01AA6C13F94}">
      <dgm:prSet/>
      <dgm:spPr/>
      <dgm:t>
        <a:bodyPr/>
        <a:lstStyle/>
        <a:p>
          <a:endParaRPr lang="en-US" sz="2000"/>
        </a:p>
      </dgm:t>
    </dgm:pt>
    <dgm:pt modelId="{BEB1AD68-931A-46D4-A9DF-2C5D50846928}" type="sibTrans" cxnId="{B2421199-4C3B-496B-925F-C01AA6C13F94}">
      <dgm:prSet custT="1"/>
      <dgm:spPr/>
      <dgm:t>
        <a:bodyPr/>
        <a:lstStyle/>
        <a:p>
          <a:endParaRPr lang="en-US" sz="4000"/>
        </a:p>
      </dgm:t>
    </dgm:pt>
    <dgm:pt modelId="{5C47088B-27DF-4E56-8064-B7C88D819750}">
      <dgm:prSet custT="1"/>
      <dgm:spPr/>
      <dgm:t>
        <a:bodyPr/>
        <a:lstStyle/>
        <a:p>
          <a:pPr>
            <a:buNone/>
          </a:pPr>
          <a:r>
            <a:rPr lang="en-GB" sz="1050" b="1"/>
            <a:t>Map:</a:t>
          </a:r>
          <a:endParaRPr lang="en-US" sz="1050"/>
        </a:p>
      </dgm:t>
    </dgm:pt>
    <dgm:pt modelId="{12035177-CD3A-4744-891F-E23DA9C51CCE}" type="parTrans" cxnId="{7CF9AF27-2215-4B3B-8368-32A30C481226}">
      <dgm:prSet/>
      <dgm:spPr/>
      <dgm:t>
        <a:bodyPr/>
        <a:lstStyle/>
        <a:p>
          <a:endParaRPr lang="en-US" sz="2000"/>
        </a:p>
      </dgm:t>
    </dgm:pt>
    <dgm:pt modelId="{0D215190-3DAE-4DFF-971A-599AA41B0799}" type="sibTrans" cxnId="{7CF9AF27-2215-4B3B-8368-32A30C481226}">
      <dgm:prSet custT="1"/>
      <dgm:spPr/>
      <dgm:t>
        <a:bodyPr/>
        <a:lstStyle/>
        <a:p>
          <a:endParaRPr lang="en-US" sz="4000"/>
        </a:p>
      </dgm:t>
    </dgm:pt>
    <dgm:pt modelId="{6DA0F6D8-3777-466B-AA65-FB1F9C92DB3C}">
      <dgm:prSet custT="1"/>
      <dgm:spPr/>
      <dgm:t>
        <a:bodyPr/>
        <a:lstStyle/>
        <a:p>
          <a:pPr>
            <a:buNone/>
          </a:pPr>
          <a:r>
            <a:rPr lang="en-GB" sz="1050" b="1"/>
            <a:t>Measure:</a:t>
          </a:r>
          <a:endParaRPr lang="en-US" sz="1050"/>
        </a:p>
      </dgm:t>
    </dgm:pt>
    <dgm:pt modelId="{2E4028BE-F93E-4667-9C24-EDD0E01A6E7A}" type="parTrans" cxnId="{978BB6E7-2F5F-4F4F-B151-5886E36A0DB8}">
      <dgm:prSet/>
      <dgm:spPr/>
      <dgm:t>
        <a:bodyPr/>
        <a:lstStyle/>
        <a:p>
          <a:endParaRPr lang="en-US" sz="2000"/>
        </a:p>
      </dgm:t>
    </dgm:pt>
    <dgm:pt modelId="{59169215-74F6-4089-BBFA-10446D6A091B}" type="sibTrans" cxnId="{978BB6E7-2F5F-4F4F-B151-5886E36A0DB8}">
      <dgm:prSet custT="1"/>
      <dgm:spPr/>
      <dgm:t>
        <a:bodyPr/>
        <a:lstStyle/>
        <a:p>
          <a:endParaRPr lang="en-US" sz="4000"/>
        </a:p>
      </dgm:t>
    </dgm:pt>
    <dgm:pt modelId="{BDB4037F-2EDE-4A11-895D-8D8711D1B3CB}">
      <dgm:prSet custT="1"/>
      <dgm:spPr/>
      <dgm:t>
        <a:bodyPr/>
        <a:lstStyle/>
        <a:p>
          <a:pPr>
            <a:buNone/>
          </a:pPr>
          <a:r>
            <a:rPr lang="en-GB" sz="1050" b="1"/>
            <a:t>Manage:</a:t>
          </a:r>
          <a:endParaRPr lang="en-US" sz="1050"/>
        </a:p>
      </dgm:t>
    </dgm:pt>
    <dgm:pt modelId="{72B54B35-571A-4C58-8A7A-480818CC7F64}" type="parTrans" cxnId="{C032F686-CC3C-41A3-B486-1DC0FB5CFB69}">
      <dgm:prSet/>
      <dgm:spPr/>
      <dgm:t>
        <a:bodyPr/>
        <a:lstStyle/>
        <a:p>
          <a:endParaRPr lang="en-US" sz="2000"/>
        </a:p>
      </dgm:t>
    </dgm:pt>
    <dgm:pt modelId="{CD0AAE58-650A-4958-B451-5668A16FE12F}" type="sibTrans" cxnId="{C032F686-CC3C-41A3-B486-1DC0FB5CFB69}">
      <dgm:prSet/>
      <dgm:spPr/>
      <dgm:t>
        <a:bodyPr/>
        <a:lstStyle/>
        <a:p>
          <a:endParaRPr lang="en-US" sz="2000"/>
        </a:p>
      </dgm:t>
    </dgm:pt>
    <dgm:pt modelId="{4FF3199C-6628-4A60-A990-2DD1990E7384}">
      <dgm:prSet phldrT="[Text]" custT="1"/>
      <dgm:spPr/>
      <dgm:t>
        <a:bodyPr/>
        <a:lstStyle/>
        <a:p>
          <a:pPr>
            <a:buNone/>
          </a:pPr>
          <a:r>
            <a:rPr lang="en-GB" sz="900"/>
            <a:t>This essential element requires HSBC to establish robust governance lines to the Board. It preserves the legal liability for any AI missteps (such as discriminatory lending or data loss) with the C-suite. It cannot pass on any responsibility to entry-level data scientists or software providers.</a:t>
          </a:r>
          <a:endParaRPr lang="en-US" sz="900"/>
        </a:p>
      </dgm:t>
    </dgm:pt>
    <dgm:pt modelId="{C8CAFD27-C8EA-4473-AF4E-D696AC707FB2}" type="parTrans" cxnId="{57F6810A-FD38-4B93-B7F8-AB7224372221}">
      <dgm:prSet/>
      <dgm:spPr/>
      <dgm:t>
        <a:bodyPr/>
        <a:lstStyle/>
        <a:p>
          <a:endParaRPr lang="en-US" sz="2000"/>
        </a:p>
      </dgm:t>
    </dgm:pt>
    <dgm:pt modelId="{A093FDE7-6E0B-4C16-A986-1CA0B62CA57A}" type="sibTrans" cxnId="{57F6810A-FD38-4B93-B7F8-AB7224372221}">
      <dgm:prSet/>
      <dgm:spPr/>
      <dgm:t>
        <a:bodyPr/>
        <a:lstStyle/>
        <a:p>
          <a:endParaRPr lang="en-US" sz="2000"/>
        </a:p>
      </dgm:t>
    </dgm:pt>
    <dgm:pt modelId="{BC2FF557-F4A0-4C6A-BDD6-843B913DEA97}">
      <dgm:prSet custT="1"/>
      <dgm:spPr/>
      <dgm:t>
        <a:bodyPr/>
        <a:lstStyle/>
        <a:p>
          <a:pPr>
            <a:buNone/>
          </a:pPr>
          <a:r>
            <a:rPr lang="en-GB" sz="900"/>
            <a:t>This function dictates that HSBC must thoroughly map and audit each piece of data used to train its AI models. This means the bank must identify the origins, IP protections and permissions of all incoming data streams, ensuring it does not operate on defective, biased or illegally sourced information data sets.</a:t>
          </a:r>
          <a:endParaRPr lang="en-US" sz="900"/>
        </a:p>
      </dgm:t>
    </dgm:pt>
    <dgm:pt modelId="{EC029FCD-2FD5-458D-847F-CAC1C2B0B96A}" type="parTrans" cxnId="{328DC7CF-3DA9-4D43-BB2C-5C1FA2099364}">
      <dgm:prSet/>
      <dgm:spPr/>
      <dgm:t>
        <a:bodyPr/>
        <a:lstStyle/>
        <a:p>
          <a:endParaRPr lang="en-US" sz="2000"/>
        </a:p>
      </dgm:t>
    </dgm:pt>
    <dgm:pt modelId="{7A3746A4-094F-4C80-9222-371EA40E9481}" type="sibTrans" cxnId="{328DC7CF-3DA9-4D43-BB2C-5C1FA2099364}">
      <dgm:prSet/>
      <dgm:spPr/>
      <dgm:t>
        <a:bodyPr/>
        <a:lstStyle/>
        <a:p>
          <a:endParaRPr lang="en-US" sz="2000"/>
        </a:p>
      </dgm:t>
    </dgm:pt>
    <dgm:pt modelId="{E163CF60-6F4C-4600-A05E-6305DA89BBFC}">
      <dgm:prSet custT="1"/>
      <dgm:spPr/>
      <dgm:t>
        <a:bodyPr/>
        <a:lstStyle/>
        <a:p>
          <a:pPr>
            <a:buNone/>
          </a:pPr>
          <a:r>
            <a:rPr lang="en-GB" sz="900"/>
            <a:t>The most mathematical requirement, this compels the bank to define clear quantitative standards to evaluate its self-learning systems. For instance, HSBC needs to be continually vigilant for "algorithmic drift” and must monitor the decline in a financial model's performance as international economic conditions shift. But it also needs to calculate statistical differences among protected classes to ensure compliance with all anti-discrimination lending regulations.</a:t>
          </a:r>
          <a:endParaRPr lang="en-US" sz="900"/>
        </a:p>
      </dgm:t>
    </dgm:pt>
    <dgm:pt modelId="{EB5214A9-33AE-4FDA-9982-719BED71476E}" type="parTrans" cxnId="{2EB4E627-1DF9-4327-A19C-4E9A8D04F39E}">
      <dgm:prSet/>
      <dgm:spPr/>
      <dgm:t>
        <a:bodyPr/>
        <a:lstStyle/>
        <a:p>
          <a:endParaRPr lang="en-US" sz="2000"/>
        </a:p>
      </dgm:t>
    </dgm:pt>
    <dgm:pt modelId="{1CE3B27E-E2CF-49BD-BE81-A2703DF2A5CE}" type="sibTrans" cxnId="{2EB4E627-1DF9-4327-A19C-4E9A8D04F39E}">
      <dgm:prSet/>
      <dgm:spPr/>
      <dgm:t>
        <a:bodyPr/>
        <a:lstStyle/>
        <a:p>
          <a:endParaRPr lang="en-US" sz="2000"/>
        </a:p>
      </dgm:t>
    </dgm:pt>
    <dgm:pt modelId="{8E08D153-85C1-4B7E-ABBD-9E418007CCC7}">
      <dgm:prSet custT="1"/>
      <dgm:spPr/>
      <dgm:t>
        <a:bodyPr/>
        <a:lstStyle/>
        <a:p>
          <a:pPr>
            <a:buNone/>
          </a:pPr>
          <a:r>
            <a:rPr lang="en-GB" sz="900"/>
            <a:t>The last component of the function requires that robust monitoring procedures are in place to terminate legacy software. It guarantees a process to immediately quarantine and shut down the undiagnosable or faulty AI system without impacting trading markets and consumer access to banking.</a:t>
          </a:r>
          <a:endParaRPr lang="en-US" sz="900"/>
        </a:p>
      </dgm:t>
    </dgm:pt>
    <dgm:pt modelId="{5FAC7B4D-754B-4348-A182-6AFF80D91A2F}" type="parTrans" cxnId="{7ACBCF32-743B-4777-B0D7-A87710CF96BB}">
      <dgm:prSet/>
      <dgm:spPr/>
      <dgm:t>
        <a:bodyPr/>
        <a:lstStyle/>
        <a:p>
          <a:endParaRPr lang="en-US" sz="2000"/>
        </a:p>
      </dgm:t>
    </dgm:pt>
    <dgm:pt modelId="{86F380C4-D213-41D3-84EF-FB4DA01EE34E}" type="sibTrans" cxnId="{7ACBCF32-743B-4777-B0D7-A87710CF96BB}">
      <dgm:prSet/>
      <dgm:spPr/>
      <dgm:t>
        <a:bodyPr/>
        <a:lstStyle/>
        <a:p>
          <a:endParaRPr lang="en-US" sz="2000"/>
        </a:p>
      </dgm:t>
    </dgm:pt>
    <dgm:pt modelId="{FC05A1E9-8836-488C-92DD-E4DF08C5C95E}" type="pres">
      <dgm:prSet presAssocID="{5F570E4F-D1DF-46B2-A4F3-FBBF80E4F21A}" presName="outerComposite" presStyleCnt="0">
        <dgm:presLayoutVars>
          <dgm:chMax val="5"/>
          <dgm:dir/>
          <dgm:resizeHandles val="exact"/>
        </dgm:presLayoutVars>
      </dgm:prSet>
      <dgm:spPr/>
    </dgm:pt>
    <dgm:pt modelId="{9C5072C1-632C-4B03-9E40-2E509F1CCB4D}" type="pres">
      <dgm:prSet presAssocID="{5F570E4F-D1DF-46B2-A4F3-FBBF80E4F21A}" presName="dummyMaxCanvas" presStyleCnt="0">
        <dgm:presLayoutVars/>
      </dgm:prSet>
      <dgm:spPr/>
    </dgm:pt>
    <dgm:pt modelId="{30463ED7-1EFB-4E2C-A7A4-A4470EE7071B}" type="pres">
      <dgm:prSet presAssocID="{5F570E4F-D1DF-46B2-A4F3-FBBF80E4F21A}" presName="FourNodes_1" presStyleLbl="node1" presStyleIdx="0" presStyleCnt="4">
        <dgm:presLayoutVars>
          <dgm:bulletEnabled val="1"/>
        </dgm:presLayoutVars>
      </dgm:prSet>
      <dgm:spPr/>
    </dgm:pt>
    <dgm:pt modelId="{6C31395B-5BFC-42F7-B677-CBF74EC411E3}" type="pres">
      <dgm:prSet presAssocID="{5F570E4F-D1DF-46B2-A4F3-FBBF80E4F21A}" presName="FourNodes_2" presStyleLbl="node1" presStyleIdx="1" presStyleCnt="4">
        <dgm:presLayoutVars>
          <dgm:bulletEnabled val="1"/>
        </dgm:presLayoutVars>
      </dgm:prSet>
      <dgm:spPr/>
    </dgm:pt>
    <dgm:pt modelId="{720B1F7F-15FF-4175-BEFC-440813105867}" type="pres">
      <dgm:prSet presAssocID="{5F570E4F-D1DF-46B2-A4F3-FBBF80E4F21A}" presName="FourNodes_3" presStyleLbl="node1" presStyleIdx="2" presStyleCnt="4">
        <dgm:presLayoutVars>
          <dgm:bulletEnabled val="1"/>
        </dgm:presLayoutVars>
      </dgm:prSet>
      <dgm:spPr/>
    </dgm:pt>
    <dgm:pt modelId="{D729E10F-D33F-424C-9097-2388E3CDD193}" type="pres">
      <dgm:prSet presAssocID="{5F570E4F-D1DF-46B2-A4F3-FBBF80E4F21A}" presName="FourNodes_4" presStyleLbl="node1" presStyleIdx="3" presStyleCnt="4">
        <dgm:presLayoutVars>
          <dgm:bulletEnabled val="1"/>
        </dgm:presLayoutVars>
      </dgm:prSet>
      <dgm:spPr/>
    </dgm:pt>
    <dgm:pt modelId="{A73FB4D2-4745-415B-8FCB-8F57C6C43FC8}" type="pres">
      <dgm:prSet presAssocID="{5F570E4F-D1DF-46B2-A4F3-FBBF80E4F21A}" presName="FourConn_1-2" presStyleLbl="fgAccFollowNode1" presStyleIdx="0" presStyleCnt="3">
        <dgm:presLayoutVars>
          <dgm:bulletEnabled val="1"/>
        </dgm:presLayoutVars>
      </dgm:prSet>
      <dgm:spPr/>
    </dgm:pt>
    <dgm:pt modelId="{4B34D5B6-02BE-4E29-83E9-C8397F757FD0}" type="pres">
      <dgm:prSet presAssocID="{5F570E4F-D1DF-46B2-A4F3-FBBF80E4F21A}" presName="FourConn_2-3" presStyleLbl="fgAccFollowNode1" presStyleIdx="1" presStyleCnt="3">
        <dgm:presLayoutVars>
          <dgm:bulletEnabled val="1"/>
        </dgm:presLayoutVars>
      </dgm:prSet>
      <dgm:spPr/>
    </dgm:pt>
    <dgm:pt modelId="{72605A13-1A85-46EE-8F58-E5954E212D75}" type="pres">
      <dgm:prSet presAssocID="{5F570E4F-D1DF-46B2-A4F3-FBBF80E4F21A}" presName="FourConn_3-4" presStyleLbl="fgAccFollowNode1" presStyleIdx="2" presStyleCnt="3">
        <dgm:presLayoutVars>
          <dgm:bulletEnabled val="1"/>
        </dgm:presLayoutVars>
      </dgm:prSet>
      <dgm:spPr/>
    </dgm:pt>
    <dgm:pt modelId="{B79432A1-E38A-48C4-BC56-A9BDCF68FDF5}" type="pres">
      <dgm:prSet presAssocID="{5F570E4F-D1DF-46B2-A4F3-FBBF80E4F21A}" presName="FourNodes_1_text" presStyleLbl="node1" presStyleIdx="3" presStyleCnt="4">
        <dgm:presLayoutVars>
          <dgm:bulletEnabled val="1"/>
        </dgm:presLayoutVars>
      </dgm:prSet>
      <dgm:spPr/>
    </dgm:pt>
    <dgm:pt modelId="{6D31BF98-E627-41C5-8F5E-B160061A8264}" type="pres">
      <dgm:prSet presAssocID="{5F570E4F-D1DF-46B2-A4F3-FBBF80E4F21A}" presName="FourNodes_2_text" presStyleLbl="node1" presStyleIdx="3" presStyleCnt="4">
        <dgm:presLayoutVars>
          <dgm:bulletEnabled val="1"/>
        </dgm:presLayoutVars>
      </dgm:prSet>
      <dgm:spPr/>
    </dgm:pt>
    <dgm:pt modelId="{B36740B1-8E4E-45E3-A980-C335F29D3ED2}" type="pres">
      <dgm:prSet presAssocID="{5F570E4F-D1DF-46B2-A4F3-FBBF80E4F21A}" presName="FourNodes_3_text" presStyleLbl="node1" presStyleIdx="3" presStyleCnt="4">
        <dgm:presLayoutVars>
          <dgm:bulletEnabled val="1"/>
        </dgm:presLayoutVars>
      </dgm:prSet>
      <dgm:spPr/>
    </dgm:pt>
    <dgm:pt modelId="{0DFE0E7B-02AC-4AD4-AAD1-0E46E85BC905}" type="pres">
      <dgm:prSet presAssocID="{5F570E4F-D1DF-46B2-A4F3-FBBF80E4F21A}" presName="FourNodes_4_text" presStyleLbl="node1" presStyleIdx="3" presStyleCnt="4">
        <dgm:presLayoutVars>
          <dgm:bulletEnabled val="1"/>
        </dgm:presLayoutVars>
      </dgm:prSet>
      <dgm:spPr/>
    </dgm:pt>
  </dgm:ptLst>
  <dgm:cxnLst>
    <dgm:cxn modelId="{7CD14F01-2F4E-424C-AA53-0E971F3C2510}" type="presOf" srcId="{8E08D153-85C1-4B7E-ABBD-9E418007CCC7}" destId="{D729E10F-D33F-424C-9097-2388E3CDD193}" srcOrd="0" destOrd="1" presId="urn:microsoft.com/office/officeart/2005/8/layout/vProcess5"/>
    <dgm:cxn modelId="{57F6810A-FD38-4B93-B7F8-AB7224372221}" srcId="{9E3FDEB7-DFFD-4A92-B9BE-8B5CEB71547E}" destId="{4FF3199C-6628-4A60-A990-2DD1990E7384}" srcOrd="0" destOrd="0" parTransId="{C8CAFD27-C8EA-4473-AF4E-D696AC707FB2}" sibTransId="{A093FDE7-6E0B-4C16-A986-1CA0B62CA57A}"/>
    <dgm:cxn modelId="{92B1560F-76CF-4471-8A00-5D06F09AD4F5}" type="presOf" srcId="{BC2FF557-F4A0-4C6A-BDD6-843B913DEA97}" destId="{6C31395B-5BFC-42F7-B677-CBF74EC411E3}" srcOrd="0" destOrd="1" presId="urn:microsoft.com/office/officeart/2005/8/layout/vProcess5"/>
    <dgm:cxn modelId="{BD9E4317-60BA-44ED-B6EE-EFDFF169361E}" type="presOf" srcId="{BDB4037F-2EDE-4A11-895D-8D8711D1B3CB}" destId="{0DFE0E7B-02AC-4AD4-AAD1-0E46E85BC905}" srcOrd="1" destOrd="0" presId="urn:microsoft.com/office/officeart/2005/8/layout/vProcess5"/>
    <dgm:cxn modelId="{E1A4C71D-2B94-4CB7-B856-E11A517856CA}" type="presOf" srcId="{4FF3199C-6628-4A60-A990-2DD1990E7384}" destId="{30463ED7-1EFB-4E2C-A7A4-A4470EE7071B}" srcOrd="0" destOrd="1" presId="urn:microsoft.com/office/officeart/2005/8/layout/vProcess5"/>
    <dgm:cxn modelId="{0522C220-3EDA-4EF3-9C6D-3A29320BCC97}" type="presOf" srcId="{5C47088B-27DF-4E56-8064-B7C88D819750}" destId="{6D31BF98-E627-41C5-8F5E-B160061A8264}" srcOrd="1" destOrd="0" presId="urn:microsoft.com/office/officeart/2005/8/layout/vProcess5"/>
    <dgm:cxn modelId="{7CF9AF27-2215-4B3B-8368-32A30C481226}" srcId="{5F570E4F-D1DF-46B2-A4F3-FBBF80E4F21A}" destId="{5C47088B-27DF-4E56-8064-B7C88D819750}" srcOrd="1" destOrd="0" parTransId="{12035177-CD3A-4744-891F-E23DA9C51CCE}" sibTransId="{0D215190-3DAE-4DFF-971A-599AA41B0799}"/>
    <dgm:cxn modelId="{2EB4E627-1DF9-4327-A19C-4E9A8D04F39E}" srcId="{6DA0F6D8-3777-466B-AA65-FB1F9C92DB3C}" destId="{E163CF60-6F4C-4600-A05E-6305DA89BBFC}" srcOrd="0" destOrd="0" parTransId="{EB5214A9-33AE-4FDA-9982-719BED71476E}" sibTransId="{1CE3B27E-E2CF-49BD-BE81-A2703DF2A5CE}"/>
    <dgm:cxn modelId="{7ACBCF32-743B-4777-B0D7-A87710CF96BB}" srcId="{BDB4037F-2EDE-4A11-895D-8D8711D1B3CB}" destId="{8E08D153-85C1-4B7E-ABBD-9E418007CCC7}" srcOrd="0" destOrd="0" parTransId="{5FAC7B4D-754B-4348-A182-6AFF80D91A2F}" sibTransId="{86F380C4-D213-41D3-84EF-FB4DA01EE34E}"/>
    <dgm:cxn modelId="{14828635-7BED-4B1B-89EC-AD1A189D0D1B}" type="presOf" srcId="{6DA0F6D8-3777-466B-AA65-FB1F9C92DB3C}" destId="{720B1F7F-15FF-4175-BEFC-440813105867}" srcOrd="0" destOrd="0" presId="urn:microsoft.com/office/officeart/2005/8/layout/vProcess5"/>
    <dgm:cxn modelId="{6D5CBD65-1B69-461C-8F56-22C06902919D}" type="presOf" srcId="{9E3FDEB7-DFFD-4A92-B9BE-8B5CEB71547E}" destId="{30463ED7-1EFB-4E2C-A7A4-A4470EE7071B}" srcOrd="0" destOrd="0" presId="urn:microsoft.com/office/officeart/2005/8/layout/vProcess5"/>
    <dgm:cxn modelId="{9CA3316A-5A02-43E9-8F14-8BFAEB4B9F21}" type="presOf" srcId="{0D215190-3DAE-4DFF-971A-599AA41B0799}" destId="{4B34D5B6-02BE-4E29-83E9-C8397F757FD0}" srcOrd="0" destOrd="0" presId="urn:microsoft.com/office/officeart/2005/8/layout/vProcess5"/>
    <dgm:cxn modelId="{5144934A-A936-4D78-9EF7-D9425EDE8FD4}" type="presOf" srcId="{5C47088B-27DF-4E56-8064-B7C88D819750}" destId="{6C31395B-5BFC-42F7-B677-CBF74EC411E3}" srcOrd="0" destOrd="0" presId="urn:microsoft.com/office/officeart/2005/8/layout/vProcess5"/>
    <dgm:cxn modelId="{7F3AA76D-916F-48B8-8EB8-D3A6E2C6C50A}" type="presOf" srcId="{E163CF60-6F4C-4600-A05E-6305DA89BBFC}" destId="{B36740B1-8E4E-45E3-A980-C335F29D3ED2}" srcOrd="1" destOrd="1" presId="urn:microsoft.com/office/officeart/2005/8/layout/vProcess5"/>
    <dgm:cxn modelId="{E68D3B54-294F-46C0-AB9B-970021D0D788}" type="presOf" srcId="{5F570E4F-D1DF-46B2-A4F3-FBBF80E4F21A}" destId="{FC05A1E9-8836-488C-92DD-E4DF08C5C95E}" srcOrd="0" destOrd="0" presId="urn:microsoft.com/office/officeart/2005/8/layout/vProcess5"/>
    <dgm:cxn modelId="{C6972257-C21A-4534-8193-7923811E942E}" type="presOf" srcId="{4FF3199C-6628-4A60-A990-2DD1990E7384}" destId="{B79432A1-E38A-48C4-BC56-A9BDCF68FDF5}" srcOrd="1" destOrd="1" presId="urn:microsoft.com/office/officeart/2005/8/layout/vProcess5"/>
    <dgm:cxn modelId="{AFAD6785-DDE0-4AC1-B032-E2D1BC3665FC}" type="presOf" srcId="{BEB1AD68-931A-46D4-A9DF-2C5D50846928}" destId="{A73FB4D2-4745-415B-8FCB-8F57C6C43FC8}" srcOrd="0" destOrd="0" presId="urn:microsoft.com/office/officeart/2005/8/layout/vProcess5"/>
    <dgm:cxn modelId="{C032F686-CC3C-41A3-B486-1DC0FB5CFB69}" srcId="{5F570E4F-D1DF-46B2-A4F3-FBBF80E4F21A}" destId="{BDB4037F-2EDE-4A11-895D-8D8711D1B3CB}" srcOrd="3" destOrd="0" parTransId="{72B54B35-571A-4C58-8A7A-480818CC7F64}" sibTransId="{CD0AAE58-650A-4958-B451-5668A16FE12F}"/>
    <dgm:cxn modelId="{B2421199-4C3B-496B-925F-C01AA6C13F94}" srcId="{5F570E4F-D1DF-46B2-A4F3-FBBF80E4F21A}" destId="{9E3FDEB7-DFFD-4A92-B9BE-8B5CEB71547E}" srcOrd="0" destOrd="0" parTransId="{913AD4D1-B64F-49DD-A5EC-6608520BED49}" sibTransId="{BEB1AD68-931A-46D4-A9DF-2C5D50846928}"/>
    <dgm:cxn modelId="{59C727A2-4A0D-4F97-B671-23F9DA72E9FB}" type="presOf" srcId="{9E3FDEB7-DFFD-4A92-B9BE-8B5CEB71547E}" destId="{B79432A1-E38A-48C4-BC56-A9BDCF68FDF5}" srcOrd="1" destOrd="0" presId="urn:microsoft.com/office/officeart/2005/8/layout/vProcess5"/>
    <dgm:cxn modelId="{CD8212A5-AA26-458A-A96A-3EFA6275B7D2}" type="presOf" srcId="{8E08D153-85C1-4B7E-ABBD-9E418007CCC7}" destId="{0DFE0E7B-02AC-4AD4-AAD1-0E46E85BC905}" srcOrd="1" destOrd="1" presId="urn:microsoft.com/office/officeart/2005/8/layout/vProcess5"/>
    <dgm:cxn modelId="{B41B95BC-3E06-4D9C-AED7-509588E02F30}" type="presOf" srcId="{BC2FF557-F4A0-4C6A-BDD6-843B913DEA97}" destId="{6D31BF98-E627-41C5-8F5E-B160061A8264}" srcOrd="1" destOrd="1" presId="urn:microsoft.com/office/officeart/2005/8/layout/vProcess5"/>
    <dgm:cxn modelId="{D17C8EC9-7E81-4E51-9331-F0BC383DAF49}" type="presOf" srcId="{BDB4037F-2EDE-4A11-895D-8D8711D1B3CB}" destId="{D729E10F-D33F-424C-9097-2388E3CDD193}" srcOrd="0" destOrd="0" presId="urn:microsoft.com/office/officeart/2005/8/layout/vProcess5"/>
    <dgm:cxn modelId="{328DC7CF-3DA9-4D43-BB2C-5C1FA2099364}" srcId="{5C47088B-27DF-4E56-8064-B7C88D819750}" destId="{BC2FF557-F4A0-4C6A-BDD6-843B913DEA97}" srcOrd="0" destOrd="0" parTransId="{EC029FCD-2FD5-458D-847F-CAC1C2B0B96A}" sibTransId="{7A3746A4-094F-4C80-9222-371EA40E9481}"/>
    <dgm:cxn modelId="{6828FED2-68C5-4552-B0C0-5EA99AFA39AB}" type="presOf" srcId="{E163CF60-6F4C-4600-A05E-6305DA89BBFC}" destId="{720B1F7F-15FF-4175-BEFC-440813105867}" srcOrd="0" destOrd="1" presId="urn:microsoft.com/office/officeart/2005/8/layout/vProcess5"/>
    <dgm:cxn modelId="{BE260FDD-9E04-4AD3-B395-D20B49BAFC34}" type="presOf" srcId="{59169215-74F6-4089-BBFA-10446D6A091B}" destId="{72605A13-1A85-46EE-8F58-E5954E212D75}" srcOrd="0" destOrd="0" presId="urn:microsoft.com/office/officeart/2005/8/layout/vProcess5"/>
    <dgm:cxn modelId="{978BB6E7-2F5F-4F4F-B151-5886E36A0DB8}" srcId="{5F570E4F-D1DF-46B2-A4F3-FBBF80E4F21A}" destId="{6DA0F6D8-3777-466B-AA65-FB1F9C92DB3C}" srcOrd="2" destOrd="0" parTransId="{2E4028BE-F93E-4667-9C24-EDD0E01A6E7A}" sibTransId="{59169215-74F6-4089-BBFA-10446D6A091B}"/>
    <dgm:cxn modelId="{2D12E8EB-6EC4-4692-8E59-CE2C2284192B}" type="presOf" srcId="{6DA0F6D8-3777-466B-AA65-FB1F9C92DB3C}" destId="{B36740B1-8E4E-45E3-A980-C335F29D3ED2}" srcOrd="1" destOrd="0" presId="urn:microsoft.com/office/officeart/2005/8/layout/vProcess5"/>
    <dgm:cxn modelId="{A46B18B4-0F00-455E-9B82-1051E4F1C555}" type="presParOf" srcId="{FC05A1E9-8836-488C-92DD-E4DF08C5C95E}" destId="{9C5072C1-632C-4B03-9E40-2E509F1CCB4D}" srcOrd="0" destOrd="0" presId="urn:microsoft.com/office/officeart/2005/8/layout/vProcess5"/>
    <dgm:cxn modelId="{24DFD801-C8C8-421F-875F-724AC8981C1D}" type="presParOf" srcId="{FC05A1E9-8836-488C-92DD-E4DF08C5C95E}" destId="{30463ED7-1EFB-4E2C-A7A4-A4470EE7071B}" srcOrd="1" destOrd="0" presId="urn:microsoft.com/office/officeart/2005/8/layout/vProcess5"/>
    <dgm:cxn modelId="{1CA78074-ED11-4193-BF69-74D7B11C9980}" type="presParOf" srcId="{FC05A1E9-8836-488C-92DD-E4DF08C5C95E}" destId="{6C31395B-5BFC-42F7-B677-CBF74EC411E3}" srcOrd="2" destOrd="0" presId="urn:microsoft.com/office/officeart/2005/8/layout/vProcess5"/>
    <dgm:cxn modelId="{603F4164-0F84-4BBE-A16E-88C9FD24EDCF}" type="presParOf" srcId="{FC05A1E9-8836-488C-92DD-E4DF08C5C95E}" destId="{720B1F7F-15FF-4175-BEFC-440813105867}" srcOrd="3" destOrd="0" presId="urn:microsoft.com/office/officeart/2005/8/layout/vProcess5"/>
    <dgm:cxn modelId="{4BDD5B9F-8C31-4793-99BD-5ACF00D2AE64}" type="presParOf" srcId="{FC05A1E9-8836-488C-92DD-E4DF08C5C95E}" destId="{D729E10F-D33F-424C-9097-2388E3CDD193}" srcOrd="4" destOrd="0" presId="urn:microsoft.com/office/officeart/2005/8/layout/vProcess5"/>
    <dgm:cxn modelId="{2DBF6619-1D08-4C14-B646-2459ADB72752}" type="presParOf" srcId="{FC05A1E9-8836-488C-92DD-E4DF08C5C95E}" destId="{A73FB4D2-4745-415B-8FCB-8F57C6C43FC8}" srcOrd="5" destOrd="0" presId="urn:microsoft.com/office/officeart/2005/8/layout/vProcess5"/>
    <dgm:cxn modelId="{BF19B705-AC09-4283-A478-E4910035B5F8}" type="presParOf" srcId="{FC05A1E9-8836-488C-92DD-E4DF08C5C95E}" destId="{4B34D5B6-02BE-4E29-83E9-C8397F757FD0}" srcOrd="6" destOrd="0" presId="urn:microsoft.com/office/officeart/2005/8/layout/vProcess5"/>
    <dgm:cxn modelId="{87F00976-41EA-48F4-9FF8-ADD6AFAD68FA}" type="presParOf" srcId="{FC05A1E9-8836-488C-92DD-E4DF08C5C95E}" destId="{72605A13-1A85-46EE-8F58-E5954E212D75}" srcOrd="7" destOrd="0" presId="urn:microsoft.com/office/officeart/2005/8/layout/vProcess5"/>
    <dgm:cxn modelId="{60705947-14C5-4895-97F7-CF70D3BC664C}" type="presParOf" srcId="{FC05A1E9-8836-488C-92DD-E4DF08C5C95E}" destId="{B79432A1-E38A-48C4-BC56-A9BDCF68FDF5}" srcOrd="8" destOrd="0" presId="urn:microsoft.com/office/officeart/2005/8/layout/vProcess5"/>
    <dgm:cxn modelId="{BCBCF359-9B61-48B1-A02E-F91B8A8D2422}" type="presParOf" srcId="{FC05A1E9-8836-488C-92DD-E4DF08C5C95E}" destId="{6D31BF98-E627-41C5-8F5E-B160061A8264}" srcOrd="9" destOrd="0" presId="urn:microsoft.com/office/officeart/2005/8/layout/vProcess5"/>
    <dgm:cxn modelId="{BBB2FB91-5030-4205-B279-6DCABD8D684C}" type="presParOf" srcId="{FC05A1E9-8836-488C-92DD-E4DF08C5C95E}" destId="{B36740B1-8E4E-45E3-A980-C335F29D3ED2}" srcOrd="10" destOrd="0" presId="urn:microsoft.com/office/officeart/2005/8/layout/vProcess5"/>
    <dgm:cxn modelId="{66397D0B-77D8-43C8-AF4C-A7159E8C804B}" type="presParOf" srcId="{FC05A1E9-8836-488C-92DD-E4DF08C5C95E}" destId="{0DFE0E7B-02AC-4AD4-AAD1-0E46E85BC905}" srcOrd="11" destOrd="0" presId="urn:microsoft.com/office/officeart/2005/8/layout/v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01DDC1-5A48-49D7-9F73-E58E3827EA9D}" type="doc">
      <dgm:prSet loTypeId="urn:microsoft.com/office/officeart/2009/3/layout/PieProcess" loCatId="list" qsTypeId="urn:microsoft.com/office/officeart/2005/8/quickstyle/simple1" qsCatId="simple" csTypeId="urn:microsoft.com/office/officeart/2005/8/colors/colorful1" csCatId="colorful" phldr="1"/>
      <dgm:spPr/>
      <dgm:t>
        <a:bodyPr/>
        <a:lstStyle/>
        <a:p>
          <a:endParaRPr lang="en-US"/>
        </a:p>
      </dgm:t>
    </dgm:pt>
    <dgm:pt modelId="{F97C6BBD-ECC0-4669-8227-B90CFA4017B6}">
      <dgm:prSet phldrT="[Text]"/>
      <dgm:spPr/>
      <dgm:t>
        <a:bodyPr/>
        <a:lstStyle/>
        <a:p>
          <a:pPr>
            <a:buNone/>
          </a:pPr>
          <a:r>
            <a:rPr lang="en-GB" b="1"/>
            <a:t>1. Bounded Rationality</a:t>
          </a:r>
          <a:endParaRPr lang="en-US"/>
        </a:p>
      </dgm:t>
    </dgm:pt>
    <dgm:pt modelId="{53094D66-CFA2-46B4-A62E-4D3585461F9E}" type="parTrans" cxnId="{063D84FA-BF2A-4E7C-8E16-07B76A9D8FBC}">
      <dgm:prSet/>
      <dgm:spPr/>
      <dgm:t>
        <a:bodyPr/>
        <a:lstStyle/>
        <a:p>
          <a:endParaRPr lang="en-US"/>
        </a:p>
      </dgm:t>
    </dgm:pt>
    <dgm:pt modelId="{DE3B31A1-3AE3-4094-A0EB-A22053EE479A}" type="sibTrans" cxnId="{063D84FA-BF2A-4E7C-8E16-07B76A9D8FBC}">
      <dgm:prSet/>
      <dgm:spPr/>
      <dgm:t>
        <a:bodyPr/>
        <a:lstStyle/>
        <a:p>
          <a:endParaRPr lang="en-US"/>
        </a:p>
      </dgm:t>
    </dgm:pt>
    <dgm:pt modelId="{4F3E1EAE-5FA2-4CCC-93D2-1DA8AFF34BEC}">
      <dgm:prSet/>
      <dgm:spPr/>
      <dgm:t>
        <a:bodyPr/>
        <a:lstStyle/>
        <a:p>
          <a:pPr>
            <a:buNone/>
          </a:pPr>
          <a:r>
            <a:rPr lang="en-GB" b="1"/>
            <a:t>2. Opportunism</a:t>
          </a:r>
          <a:endParaRPr lang="en-US"/>
        </a:p>
      </dgm:t>
    </dgm:pt>
    <dgm:pt modelId="{BF4E620D-29E1-419B-99A9-98144DED2276}" type="parTrans" cxnId="{4B557A8E-FA78-4792-8AF1-6BF389503B9F}">
      <dgm:prSet/>
      <dgm:spPr/>
      <dgm:t>
        <a:bodyPr/>
        <a:lstStyle/>
        <a:p>
          <a:endParaRPr lang="en-US"/>
        </a:p>
      </dgm:t>
    </dgm:pt>
    <dgm:pt modelId="{BB730CF2-6066-4873-8159-CFE5F291ACCC}" type="sibTrans" cxnId="{4B557A8E-FA78-4792-8AF1-6BF389503B9F}">
      <dgm:prSet/>
      <dgm:spPr/>
      <dgm:t>
        <a:bodyPr/>
        <a:lstStyle/>
        <a:p>
          <a:endParaRPr lang="en-US"/>
        </a:p>
      </dgm:t>
    </dgm:pt>
    <dgm:pt modelId="{E481F281-866A-4536-B931-84E0F0CED8B7}">
      <dgm:prSet/>
      <dgm:spPr/>
      <dgm:t>
        <a:bodyPr/>
        <a:lstStyle/>
        <a:p>
          <a:pPr>
            <a:buNone/>
          </a:pPr>
          <a:r>
            <a:rPr lang="en-GB" b="1"/>
            <a:t>3. Asset Specificity</a:t>
          </a:r>
          <a:endParaRPr lang="en-US"/>
        </a:p>
      </dgm:t>
    </dgm:pt>
    <dgm:pt modelId="{B97E1530-0C72-4A6B-8DC8-2C8A81047529}" type="parTrans" cxnId="{0081A39D-3919-4580-94CE-F5DB8AD36C07}">
      <dgm:prSet/>
      <dgm:spPr/>
      <dgm:t>
        <a:bodyPr/>
        <a:lstStyle/>
        <a:p>
          <a:endParaRPr lang="en-US"/>
        </a:p>
      </dgm:t>
    </dgm:pt>
    <dgm:pt modelId="{4E6D4607-158A-4B84-B0A9-FDA27A9AAEA7}" type="sibTrans" cxnId="{0081A39D-3919-4580-94CE-F5DB8AD36C07}">
      <dgm:prSet/>
      <dgm:spPr/>
      <dgm:t>
        <a:bodyPr/>
        <a:lstStyle/>
        <a:p>
          <a:endParaRPr lang="en-US"/>
        </a:p>
      </dgm:t>
    </dgm:pt>
    <dgm:pt modelId="{896BE504-58ED-4155-895E-4CF45FF24143}">
      <dgm:prSet/>
      <dgm:spPr/>
      <dgm:t>
        <a:bodyPr/>
        <a:lstStyle/>
        <a:p>
          <a:pPr>
            <a:buNone/>
          </a:pPr>
          <a:r>
            <a:rPr lang="en-GB"/>
            <a:t>This is a term that refers to investments that are highly specific to a particular transaction and have little to no value when applied elsewhere. The bespoke machine learning pipelines (MLPs) that communicate with the specific architecture of Google's servers have such specific assets.</a:t>
          </a:r>
          <a:endParaRPr lang="en-US"/>
        </a:p>
      </dgm:t>
    </dgm:pt>
    <dgm:pt modelId="{F339992A-3887-4894-98D4-740ED1C1C618}" type="parTrans" cxnId="{DCE7573B-F3A0-4E73-86BD-C6F038C4474F}">
      <dgm:prSet/>
      <dgm:spPr/>
      <dgm:t>
        <a:bodyPr/>
        <a:lstStyle/>
        <a:p>
          <a:endParaRPr lang="en-US"/>
        </a:p>
      </dgm:t>
    </dgm:pt>
    <dgm:pt modelId="{17F6F2CE-7616-443C-892A-B6F1371B8B89}" type="sibTrans" cxnId="{DCE7573B-F3A0-4E73-86BD-C6F038C4474F}">
      <dgm:prSet/>
      <dgm:spPr/>
      <dgm:t>
        <a:bodyPr/>
        <a:lstStyle/>
        <a:p>
          <a:endParaRPr lang="en-US"/>
        </a:p>
      </dgm:t>
    </dgm:pt>
    <dgm:pt modelId="{90B7C3CD-CD19-4CA5-AF91-4D0E24CA25D2}">
      <dgm:prSet/>
      <dgm:spPr/>
      <dgm:t>
        <a:bodyPr/>
        <a:lstStyle/>
        <a:p>
          <a:pPr>
            <a:buNone/>
          </a:pPr>
          <a:r>
            <a:rPr lang="en-GB"/>
            <a:t>This relates to the potential for industry partners to seek to benefit themselves through a fraudulent course of action. Examples of opportunism in today's digital supply chains could be as simple as a cloud service provider covertly using bank data to fine-tune their own ARTICLE technologies, or as nefarious as endlessly delaying data access by imposing hefty and unexpected charges on a institution.</a:t>
          </a:r>
          <a:endParaRPr lang="en-US"/>
        </a:p>
      </dgm:t>
    </dgm:pt>
    <dgm:pt modelId="{257EC46D-4713-4AC3-B2F3-522B44E58F1E}" type="parTrans" cxnId="{E9524AD9-0D3A-4F08-990A-D15D011CA174}">
      <dgm:prSet/>
      <dgm:spPr/>
      <dgm:t>
        <a:bodyPr/>
        <a:lstStyle/>
        <a:p>
          <a:endParaRPr lang="en-US"/>
        </a:p>
      </dgm:t>
    </dgm:pt>
    <dgm:pt modelId="{D66FBA05-A809-4554-A5C4-774E40CD9085}" type="sibTrans" cxnId="{E9524AD9-0D3A-4F08-990A-D15D011CA174}">
      <dgm:prSet/>
      <dgm:spPr/>
      <dgm:t>
        <a:bodyPr/>
        <a:lstStyle/>
        <a:p>
          <a:endParaRPr lang="en-US"/>
        </a:p>
      </dgm:t>
    </dgm:pt>
    <dgm:pt modelId="{9060B205-E878-4D8A-A5F6-9F52EA114D85}">
      <dgm:prSet phldrT="[Text]"/>
      <dgm:spPr/>
      <dgm:t>
        <a:bodyPr/>
        <a:lstStyle/>
        <a:p>
          <a:pPr>
            <a:buNone/>
          </a:pPr>
          <a:r>
            <a:rPr lang="en-GB"/>
            <a:t>This is the difficulty in using human foresight in negotiating long-term, complex business agreements. HSBC procurement legal teams are unable to predict the highly variable future laws, technologies and international wars when signing into a multi-year relationship with a cloud computing service provider.</a:t>
          </a:r>
          <a:endParaRPr lang="en-US"/>
        </a:p>
      </dgm:t>
    </dgm:pt>
    <dgm:pt modelId="{11F0992D-DC3C-4E82-AF98-241981F7AA7F}" type="parTrans" cxnId="{40B32408-7A69-422D-8716-9957D4E0DBEB}">
      <dgm:prSet/>
      <dgm:spPr/>
      <dgm:t>
        <a:bodyPr/>
        <a:lstStyle/>
        <a:p>
          <a:endParaRPr lang="en-US"/>
        </a:p>
      </dgm:t>
    </dgm:pt>
    <dgm:pt modelId="{52B7BDCB-EEF7-492D-8C79-C6441BD18175}" type="sibTrans" cxnId="{40B32408-7A69-422D-8716-9957D4E0DBEB}">
      <dgm:prSet/>
      <dgm:spPr/>
      <dgm:t>
        <a:bodyPr/>
        <a:lstStyle/>
        <a:p>
          <a:endParaRPr lang="en-US"/>
        </a:p>
      </dgm:t>
    </dgm:pt>
    <dgm:pt modelId="{F742771F-4305-403A-A081-300B4286D57B}" type="pres">
      <dgm:prSet presAssocID="{1A01DDC1-5A48-49D7-9F73-E58E3827EA9D}" presName="Name0" presStyleCnt="0">
        <dgm:presLayoutVars>
          <dgm:chMax val="7"/>
          <dgm:chPref val="7"/>
          <dgm:dir/>
          <dgm:animOne val="branch"/>
          <dgm:animLvl val="lvl"/>
        </dgm:presLayoutVars>
      </dgm:prSet>
      <dgm:spPr/>
    </dgm:pt>
    <dgm:pt modelId="{4D0DF5EA-F5F9-48E6-ACFD-E0896B0BC6A4}" type="pres">
      <dgm:prSet presAssocID="{F97C6BBD-ECC0-4669-8227-B90CFA4017B6}" presName="ParentComposite" presStyleCnt="0"/>
      <dgm:spPr/>
    </dgm:pt>
    <dgm:pt modelId="{4DC44741-BF4E-417D-ADEE-2E07663AFF3F}" type="pres">
      <dgm:prSet presAssocID="{F97C6BBD-ECC0-4669-8227-B90CFA4017B6}" presName="Chord" presStyleLbl="bgShp" presStyleIdx="0" presStyleCnt="3"/>
      <dgm:spPr/>
    </dgm:pt>
    <dgm:pt modelId="{3EB468D5-7C1E-4AE5-BDB9-80E2DB564FB3}" type="pres">
      <dgm:prSet presAssocID="{F97C6BBD-ECC0-4669-8227-B90CFA4017B6}" presName="Pie" presStyleLbl="alignNode1" presStyleIdx="0" presStyleCnt="3"/>
      <dgm:spPr/>
    </dgm:pt>
    <dgm:pt modelId="{42F5D8E8-9D82-49D4-9D8E-50ACA4288F50}" type="pres">
      <dgm:prSet presAssocID="{F97C6BBD-ECC0-4669-8227-B90CFA4017B6}" presName="Parent" presStyleLbl="revTx" presStyleIdx="0" presStyleCnt="6">
        <dgm:presLayoutVars>
          <dgm:chMax val="1"/>
          <dgm:chPref val="1"/>
          <dgm:bulletEnabled val="1"/>
        </dgm:presLayoutVars>
      </dgm:prSet>
      <dgm:spPr/>
    </dgm:pt>
    <dgm:pt modelId="{DD197792-869C-4DDD-B567-BB8835C5EE51}" type="pres">
      <dgm:prSet presAssocID="{52B7BDCB-EEF7-492D-8C79-C6441BD18175}" presName="negSibTrans" presStyleCnt="0"/>
      <dgm:spPr/>
    </dgm:pt>
    <dgm:pt modelId="{60E12FD6-FE78-47C7-B3E0-6EDAD6B1C551}" type="pres">
      <dgm:prSet presAssocID="{F97C6BBD-ECC0-4669-8227-B90CFA4017B6}" presName="composite" presStyleCnt="0"/>
      <dgm:spPr/>
    </dgm:pt>
    <dgm:pt modelId="{3B88672D-9DA5-43F6-B858-5B40F54C35A5}" type="pres">
      <dgm:prSet presAssocID="{F97C6BBD-ECC0-4669-8227-B90CFA4017B6}" presName="Child" presStyleLbl="revTx" presStyleIdx="1" presStyleCnt="6">
        <dgm:presLayoutVars>
          <dgm:chMax val="0"/>
          <dgm:chPref val="0"/>
          <dgm:bulletEnabled val="1"/>
        </dgm:presLayoutVars>
      </dgm:prSet>
      <dgm:spPr/>
    </dgm:pt>
    <dgm:pt modelId="{115825F2-AC69-4AF7-B404-865CB26D2704}" type="pres">
      <dgm:prSet presAssocID="{DE3B31A1-3AE3-4094-A0EB-A22053EE479A}" presName="sibTrans" presStyleCnt="0"/>
      <dgm:spPr/>
    </dgm:pt>
    <dgm:pt modelId="{3234E366-F9DB-4074-9F12-4ECBC2233196}" type="pres">
      <dgm:prSet presAssocID="{4F3E1EAE-5FA2-4CCC-93D2-1DA8AFF34BEC}" presName="ParentComposite" presStyleCnt="0"/>
      <dgm:spPr/>
    </dgm:pt>
    <dgm:pt modelId="{6846A195-07D3-4F23-ADE2-9F344C4D86B6}" type="pres">
      <dgm:prSet presAssocID="{4F3E1EAE-5FA2-4CCC-93D2-1DA8AFF34BEC}" presName="Chord" presStyleLbl="bgShp" presStyleIdx="1" presStyleCnt="3"/>
      <dgm:spPr/>
    </dgm:pt>
    <dgm:pt modelId="{0C3BF80C-7F3F-424D-A67D-9FF1D9EFF3F8}" type="pres">
      <dgm:prSet presAssocID="{4F3E1EAE-5FA2-4CCC-93D2-1DA8AFF34BEC}" presName="Pie" presStyleLbl="alignNode1" presStyleIdx="1" presStyleCnt="3"/>
      <dgm:spPr/>
    </dgm:pt>
    <dgm:pt modelId="{05941876-564D-41FE-BD7D-5E1882340BA6}" type="pres">
      <dgm:prSet presAssocID="{4F3E1EAE-5FA2-4CCC-93D2-1DA8AFF34BEC}" presName="Parent" presStyleLbl="revTx" presStyleIdx="2" presStyleCnt="6">
        <dgm:presLayoutVars>
          <dgm:chMax val="1"/>
          <dgm:chPref val="1"/>
          <dgm:bulletEnabled val="1"/>
        </dgm:presLayoutVars>
      </dgm:prSet>
      <dgm:spPr/>
    </dgm:pt>
    <dgm:pt modelId="{7A4482CA-00D0-4901-AF85-9CE519870DDD}" type="pres">
      <dgm:prSet presAssocID="{D66FBA05-A809-4554-A5C4-774E40CD9085}" presName="negSibTrans" presStyleCnt="0"/>
      <dgm:spPr/>
    </dgm:pt>
    <dgm:pt modelId="{D5374E44-28C4-47D7-AFDD-EBA839351A7E}" type="pres">
      <dgm:prSet presAssocID="{4F3E1EAE-5FA2-4CCC-93D2-1DA8AFF34BEC}" presName="composite" presStyleCnt="0"/>
      <dgm:spPr/>
    </dgm:pt>
    <dgm:pt modelId="{59FC3890-DD1F-4EF9-820D-C6A2EE5C469C}" type="pres">
      <dgm:prSet presAssocID="{4F3E1EAE-5FA2-4CCC-93D2-1DA8AFF34BEC}" presName="Child" presStyleLbl="revTx" presStyleIdx="3" presStyleCnt="6">
        <dgm:presLayoutVars>
          <dgm:chMax val="0"/>
          <dgm:chPref val="0"/>
          <dgm:bulletEnabled val="1"/>
        </dgm:presLayoutVars>
      </dgm:prSet>
      <dgm:spPr/>
    </dgm:pt>
    <dgm:pt modelId="{E0B8E30B-24DC-4B57-BC8B-C77A6DFCC401}" type="pres">
      <dgm:prSet presAssocID="{BB730CF2-6066-4873-8159-CFE5F291ACCC}" presName="sibTrans" presStyleCnt="0"/>
      <dgm:spPr/>
    </dgm:pt>
    <dgm:pt modelId="{28AA0B59-3D60-4F03-8B2E-6A52B9777DB1}" type="pres">
      <dgm:prSet presAssocID="{E481F281-866A-4536-B931-84E0F0CED8B7}" presName="ParentComposite" presStyleCnt="0"/>
      <dgm:spPr/>
    </dgm:pt>
    <dgm:pt modelId="{8114DD22-6EA9-4695-A7DC-C87573A1E7C8}" type="pres">
      <dgm:prSet presAssocID="{E481F281-866A-4536-B931-84E0F0CED8B7}" presName="Chord" presStyleLbl="bgShp" presStyleIdx="2" presStyleCnt="3"/>
      <dgm:spPr/>
    </dgm:pt>
    <dgm:pt modelId="{C18E4E93-EB29-4438-9E51-70F8D45F5F79}" type="pres">
      <dgm:prSet presAssocID="{E481F281-866A-4536-B931-84E0F0CED8B7}" presName="Pie" presStyleLbl="alignNode1" presStyleIdx="2" presStyleCnt="3"/>
      <dgm:spPr/>
    </dgm:pt>
    <dgm:pt modelId="{D4F0BF0F-B5B3-4A14-A4DE-E8683B9912AC}" type="pres">
      <dgm:prSet presAssocID="{E481F281-866A-4536-B931-84E0F0CED8B7}" presName="Parent" presStyleLbl="revTx" presStyleIdx="4" presStyleCnt="6">
        <dgm:presLayoutVars>
          <dgm:chMax val="1"/>
          <dgm:chPref val="1"/>
          <dgm:bulletEnabled val="1"/>
        </dgm:presLayoutVars>
      </dgm:prSet>
      <dgm:spPr/>
    </dgm:pt>
    <dgm:pt modelId="{C7C0BA37-B518-46FE-8FED-9051E6F39368}" type="pres">
      <dgm:prSet presAssocID="{17F6F2CE-7616-443C-892A-B6F1371B8B89}" presName="negSibTrans" presStyleCnt="0"/>
      <dgm:spPr/>
    </dgm:pt>
    <dgm:pt modelId="{89F9C6DF-7DD6-4D46-A004-298838D2D66D}" type="pres">
      <dgm:prSet presAssocID="{E481F281-866A-4536-B931-84E0F0CED8B7}" presName="composite" presStyleCnt="0"/>
      <dgm:spPr/>
    </dgm:pt>
    <dgm:pt modelId="{74A0E95E-8C51-4BFA-AF35-B8DEFD214DA6}" type="pres">
      <dgm:prSet presAssocID="{E481F281-866A-4536-B931-84E0F0CED8B7}" presName="Child" presStyleLbl="revTx" presStyleIdx="5" presStyleCnt="6">
        <dgm:presLayoutVars>
          <dgm:chMax val="0"/>
          <dgm:chPref val="0"/>
          <dgm:bulletEnabled val="1"/>
        </dgm:presLayoutVars>
      </dgm:prSet>
      <dgm:spPr/>
    </dgm:pt>
  </dgm:ptLst>
  <dgm:cxnLst>
    <dgm:cxn modelId="{95102304-8336-4A6E-AB2F-B726CE52A633}" type="presOf" srcId="{4F3E1EAE-5FA2-4CCC-93D2-1DA8AFF34BEC}" destId="{05941876-564D-41FE-BD7D-5E1882340BA6}" srcOrd="0" destOrd="0" presId="urn:microsoft.com/office/officeart/2009/3/layout/PieProcess"/>
    <dgm:cxn modelId="{40B32408-7A69-422D-8716-9957D4E0DBEB}" srcId="{F97C6BBD-ECC0-4669-8227-B90CFA4017B6}" destId="{9060B205-E878-4D8A-A5F6-9F52EA114D85}" srcOrd="0" destOrd="0" parTransId="{11F0992D-DC3C-4E82-AF98-241981F7AA7F}" sibTransId="{52B7BDCB-EEF7-492D-8C79-C6441BD18175}"/>
    <dgm:cxn modelId="{2B2F762E-BC0C-4EB2-8D94-83FFC1F13DB9}" type="presOf" srcId="{E481F281-866A-4536-B931-84E0F0CED8B7}" destId="{D4F0BF0F-B5B3-4A14-A4DE-E8683B9912AC}" srcOrd="0" destOrd="0" presId="urn:microsoft.com/office/officeart/2009/3/layout/PieProcess"/>
    <dgm:cxn modelId="{DCE7573B-F3A0-4E73-86BD-C6F038C4474F}" srcId="{E481F281-866A-4536-B931-84E0F0CED8B7}" destId="{896BE504-58ED-4155-895E-4CF45FF24143}" srcOrd="0" destOrd="0" parTransId="{F339992A-3887-4894-98D4-740ED1C1C618}" sibTransId="{17F6F2CE-7616-443C-892A-B6F1371B8B89}"/>
    <dgm:cxn modelId="{C692B45D-044C-4BCB-8A4D-CB336682BF8F}" type="presOf" srcId="{1A01DDC1-5A48-49D7-9F73-E58E3827EA9D}" destId="{F742771F-4305-403A-A081-300B4286D57B}" srcOrd="0" destOrd="0" presId="urn:microsoft.com/office/officeart/2009/3/layout/PieProcess"/>
    <dgm:cxn modelId="{2FFA1A6C-1675-4E3E-B3E7-BAC40AE866FC}" type="presOf" srcId="{F97C6BBD-ECC0-4669-8227-B90CFA4017B6}" destId="{42F5D8E8-9D82-49D4-9D8E-50ACA4288F50}" srcOrd="0" destOrd="0" presId="urn:microsoft.com/office/officeart/2009/3/layout/PieProcess"/>
    <dgm:cxn modelId="{4B557A8E-FA78-4792-8AF1-6BF389503B9F}" srcId="{1A01DDC1-5A48-49D7-9F73-E58E3827EA9D}" destId="{4F3E1EAE-5FA2-4CCC-93D2-1DA8AFF34BEC}" srcOrd="1" destOrd="0" parTransId="{BF4E620D-29E1-419B-99A9-98144DED2276}" sibTransId="{BB730CF2-6066-4873-8159-CFE5F291ACCC}"/>
    <dgm:cxn modelId="{0081A39D-3919-4580-94CE-F5DB8AD36C07}" srcId="{1A01DDC1-5A48-49D7-9F73-E58E3827EA9D}" destId="{E481F281-866A-4536-B931-84E0F0CED8B7}" srcOrd="2" destOrd="0" parTransId="{B97E1530-0C72-4A6B-8DC8-2C8A81047529}" sibTransId="{4E6D4607-158A-4B84-B0A9-FDA27A9AAEA7}"/>
    <dgm:cxn modelId="{4DFCD89F-9463-4972-BAA7-2290DFCD7E59}" type="presOf" srcId="{896BE504-58ED-4155-895E-4CF45FF24143}" destId="{74A0E95E-8C51-4BFA-AF35-B8DEFD214DA6}" srcOrd="0" destOrd="0" presId="urn:microsoft.com/office/officeart/2009/3/layout/PieProcess"/>
    <dgm:cxn modelId="{D5A2F7AC-249C-490C-8DE6-2B80AD3A4B1E}" type="presOf" srcId="{9060B205-E878-4D8A-A5F6-9F52EA114D85}" destId="{3B88672D-9DA5-43F6-B858-5B40F54C35A5}" srcOrd="0" destOrd="0" presId="urn:microsoft.com/office/officeart/2009/3/layout/PieProcess"/>
    <dgm:cxn modelId="{E20306B2-1FE8-405D-9A87-69EFA71D5BFE}" type="presOf" srcId="{90B7C3CD-CD19-4CA5-AF91-4D0E24CA25D2}" destId="{59FC3890-DD1F-4EF9-820D-C6A2EE5C469C}" srcOrd="0" destOrd="0" presId="urn:microsoft.com/office/officeart/2009/3/layout/PieProcess"/>
    <dgm:cxn modelId="{E9524AD9-0D3A-4F08-990A-D15D011CA174}" srcId="{4F3E1EAE-5FA2-4CCC-93D2-1DA8AFF34BEC}" destId="{90B7C3CD-CD19-4CA5-AF91-4D0E24CA25D2}" srcOrd="0" destOrd="0" parTransId="{257EC46D-4713-4AC3-B2F3-522B44E58F1E}" sibTransId="{D66FBA05-A809-4554-A5C4-774E40CD9085}"/>
    <dgm:cxn modelId="{063D84FA-BF2A-4E7C-8E16-07B76A9D8FBC}" srcId="{1A01DDC1-5A48-49D7-9F73-E58E3827EA9D}" destId="{F97C6BBD-ECC0-4669-8227-B90CFA4017B6}" srcOrd="0" destOrd="0" parTransId="{53094D66-CFA2-46B4-A62E-4D3585461F9E}" sibTransId="{DE3B31A1-3AE3-4094-A0EB-A22053EE479A}"/>
    <dgm:cxn modelId="{FBD7C743-91CD-4753-AD5F-58CF1C9F1D9E}" type="presParOf" srcId="{F742771F-4305-403A-A081-300B4286D57B}" destId="{4D0DF5EA-F5F9-48E6-ACFD-E0896B0BC6A4}" srcOrd="0" destOrd="0" presId="urn:microsoft.com/office/officeart/2009/3/layout/PieProcess"/>
    <dgm:cxn modelId="{51577144-B210-432F-83D3-ACC52D3EADED}" type="presParOf" srcId="{4D0DF5EA-F5F9-48E6-ACFD-E0896B0BC6A4}" destId="{4DC44741-BF4E-417D-ADEE-2E07663AFF3F}" srcOrd="0" destOrd="0" presId="urn:microsoft.com/office/officeart/2009/3/layout/PieProcess"/>
    <dgm:cxn modelId="{CFAE0124-5FFF-49CD-AFC0-59DA88F4516A}" type="presParOf" srcId="{4D0DF5EA-F5F9-48E6-ACFD-E0896B0BC6A4}" destId="{3EB468D5-7C1E-4AE5-BDB9-80E2DB564FB3}" srcOrd="1" destOrd="0" presId="urn:microsoft.com/office/officeart/2009/3/layout/PieProcess"/>
    <dgm:cxn modelId="{A77FBB33-B000-4D73-85ED-377A480AC1A6}" type="presParOf" srcId="{4D0DF5EA-F5F9-48E6-ACFD-E0896B0BC6A4}" destId="{42F5D8E8-9D82-49D4-9D8E-50ACA4288F50}" srcOrd="2" destOrd="0" presId="urn:microsoft.com/office/officeart/2009/3/layout/PieProcess"/>
    <dgm:cxn modelId="{369EADDC-2B7E-4C24-8397-1AA734C3BC37}" type="presParOf" srcId="{F742771F-4305-403A-A081-300B4286D57B}" destId="{DD197792-869C-4DDD-B567-BB8835C5EE51}" srcOrd="1" destOrd="0" presId="urn:microsoft.com/office/officeart/2009/3/layout/PieProcess"/>
    <dgm:cxn modelId="{AFD483AF-FD50-4D8C-8324-C20F6F6975EB}" type="presParOf" srcId="{F742771F-4305-403A-A081-300B4286D57B}" destId="{60E12FD6-FE78-47C7-B3E0-6EDAD6B1C551}" srcOrd="2" destOrd="0" presId="urn:microsoft.com/office/officeart/2009/3/layout/PieProcess"/>
    <dgm:cxn modelId="{D5212652-3544-4CF1-8085-32D86F5A372D}" type="presParOf" srcId="{60E12FD6-FE78-47C7-B3E0-6EDAD6B1C551}" destId="{3B88672D-9DA5-43F6-B858-5B40F54C35A5}" srcOrd="0" destOrd="0" presId="urn:microsoft.com/office/officeart/2009/3/layout/PieProcess"/>
    <dgm:cxn modelId="{88538888-894B-4715-9C6F-28556E6480AE}" type="presParOf" srcId="{F742771F-4305-403A-A081-300B4286D57B}" destId="{115825F2-AC69-4AF7-B404-865CB26D2704}" srcOrd="3" destOrd="0" presId="urn:microsoft.com/office/officeart/2009/3/layout/PieProcess"/>
    <dgm:cxn modelId="{57C48230-F1E6-42DB-90BD-AF99465CBD91}" type="presParOf" srcId="{F742771F-4305-403A-A081-300B4286D57B}" destId="{3234E366-F9DB-4074-9F12-4ECBC2233196}" srcOrd="4" destOrd="0" presId="urn:microsoft.com/office/officeart/2009/3/layout/PieProcess"/>
    <dgm:cxn modelId="{66AFF4E2-56D6-41D7-AB65-44B15259FCE5}" type="presParOf" srcId="{3234E366-F9DB-4074-9F12-4ECBC2233196}" destId="{6846A195-07D3-4F23-ADE2-9F344C4D86B6}" srcOrd="0" destOrd="0" presId="urn:microsoft.com/office/officeart/2009/3/layout/PieProcess"/>
    <dgm:cxn modelId="{FCD68D48-DA20-417B-AFCD-1094588BDDD0}" type="presParOf" srcId="{3234E366-F9DB-4074-9F12-4ECBC2233196}" destId="{0C3BF80C-7F3F-424D-A67D-9FF1D9EFF3F8}" srcOrd="1" destOrd="0" presId="urn:microsoft.com/office/officeart/2009/3/layout/PieProcess"/>
    <dgm:cxn modelId="{AA899075-23A6-42E9-AA52-8B17EEA10DFC}" type="presParOf" srcId="{3234E366-F9DB-4074-9F12-4ECBC2233196}" destId="{05941876-564D-41FE-BD7D-5E1882340BA6}" srcOrd="2" destOrd="0" presId="urn:microsoft.com/office/officeart/2009/3/layout/PieProcess"/>
    <dgm:cxn modelId="{A73389BA-059A-4D59-A44E-3D5572283297}" type="presParOf" srcId="{F742771F-4305-403A-A081-300B4286D57B}" destId="{7A4482CA-00D0-4901-AF85-9CE519870DDD}" srcOrd="5" destOrd="0" presId="urn:microsoft.com/office/officeart/2009/3/layout/PieProcess"/>
    <dgm:cxn modelId="{C954FC92-F18A-427D-9E7D-2207957781E0}" type="presParOf" srcId="{F742771F-4305-403A-A081-300B4286D57B}" destId="{D5374E44-28C4-47D7-AFDD-EBA839351A7E}" srcOrd="6" destOrd="0" presId="urn:microsoft.com/office/officeart/2009/3/layout/PieProcess"/>
    <dgm:cxn modelId="{3481750E-3AD4-4C13-8EE5-9A8716C02483}" type="presParOf" srcId="{D5374E44-28C4-47D7-AFDD-EBA839351A7E}" destId="{59FC3890-DD1F-4EF9-820D-C6A2EE5C469C}" srcOrd="0" destOrd="0" presId="urn:microsoft.com/office/officeart/2009/3/layout/PieProcess"/>
    <dgm:cxn modelId="{C8643862-9783-4712-B917-5303E5FB1AF9}" type="presParOf" srcId="{F742771F-4305-403A-A081-300B4286D57B}" destId="{E0B8E30B-24DC-4B57-BC8B-C77A6DFCC401}" srcOrd="7" destOrd="0" presId="urn:microsoft.com/office/officeart/2009/3/layout/PieProcess"/>
    <dgm:cxn modelId="{9044876B-CE83-400B-A09A-697F080D49B2}" type="presParOf" srcId="{F742771F-4305-403A-A081-300B4286D57B}" destId="{28AA0B59-3D60-4F03-8B2E-6A52B9777DB1}" srcOrd="8" destOrd="0" presId="urn:microsoft.com/office/officeart/2009/3/layout/PieProcess"/>
    <dgm:cxn modelId="{9509EB52-2E8D-4D92-980B-BD8FA6A637E3}" type="presParOf" srcId="{28AA0B59-3D60-4F03-8B2E-6A52B9777DB1}" destId="{8114DD22-6EA9-4695-A7DC-C87573A1E7C8}" srcOrd="0" destOrd="0" presId="urn:microsoft.com/office/officeart/2009/3/layout/PieProcess"/>
    <dgm:cxn modelId="{0DEA8975-5086-4700-9B84-08EDEC3621BA}" type="presParOf" srcId="{28AA0B59-3D60-4F03-8B2E-6A52B9777DB1}" destId="{C18E4E93-EB29-4438-9E51-70F8D45F5F79}" srcOrd="1" destOrd="0" presId="urn:microsoft.com/office/officeart/2009/3/layout/PieProcess"/>
    <dgm:cxn modelId="{A48DD4A7-9880-4402-8FD7-716358C6146B}" type="presParOf" srcId="{28AA0B59-3D60-4F03-8B2E-6A52B9777DB1}" destId="{D4F0BF0F-B5B3-4A14-A4DE-E8683B9912AC}" srcOrd="2" destOrd="0" presId="urn:microsoft.com/office/officeart/2009/3/layout/PieProcess"/>
    <dgm:cxn modelId="{5F34629C-61FE-4142-BBA0-6171C4C72950}" type="presParOf" srcId="{F742771F-4305-403A-A081-300B4286D57B}" destId="{C7C0BA37-B518-46FE-8FED-9051E6F39368}" srcOrd="9" destOrd="0" presId="urn:microsoft.com/office/officeart/2009/3/layout/PieProcess"/>
    <dgm:cxn modelId="{56DDDE64-4792-4426-B219-BDDF071CC9F9}" type="presParOf" srcId="{F742771F-4305-403A-A081-300B4286D57B}" destId="{89F9C6DF-7DD6-4D46-A004-298838D2D66D}" srcOrd="10" destOrd="0" presId="urn:microsoft.com/office/officeart/2009/3/layout/PieProcess"/>
    <dgm:cxn modelId="{C22D1E6B-E46B-4D76-B750-C6E434C1EA2C}" type="presParOf" srcId="{89F9C6DF-7DD6-4D46-A004-298838D2D66D}" destId="{74A0E95E-8C51-4BFA-AF35-B8DEFD214DA6}" srcOrd="0" destOrd="0" presId="urn:microsoft.com/office/officeart/2009/3/layout/Pie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463ED7-1EFB-4E2C-A7A4-A4470EE7071B}">
      <dsp:nvSpPr>
        <dsp:cNvPr id="0" name=""/>
        <dsp:cNvSpPr/>
      </dsp:nvSpPr>
      <dsp:spPr>
        <a:xfrm>
          <a:off x="0" y="0"/>
          <a:ext cx="5196839" cy="984885"/>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n-GB" sz="1050" b="1" kern="1200"/>
            <a:t>Govern:</a:t>
          </a:r>
          <a:endParaRPr lang="en-US" sz="1050" kern="1200"/>
        </a:p>
        <a:p>
          <a:pPr marL="57150" lvl="1" indent="-57150" algn="l" defTabSz="400050">
            <a:lnSpc>
              <a:spcPct val="90000"/>
            </a:lnSpc>
            <a:spcBef>
              <a:spcPct val="0"/>
            </a:spcBef>
            <a:spcAft>
              <a:spcPct val="15000"/>
            </a:spcAft>
            <a:buNone/>
          </a:pPr>
          <a:r>
            <a:rPr lang="en-GB" sz="900" kern="1200"/>
            <a:t>This essential element requires HSBC to establish robust governance lines to the Board. It preserves the legal liability for any AI missteps (such as discriminatory lending or data loss) with the C-suite. It cannot pass on any responsibility to entry-level data scientists or software providers.</a:t>
          </a:r>
          <a:endParaRPr lang="en-US" sz="900" kern="1200"/>
        </a:p>
      </dsp:txBody>
      <dsp:txXfrm>
        <a:off x="28846" y="28846"/>
        <a:ext cx="4050850" cy="927193"/>
      </dsp:txXfrm>
    </dsp:sp>
    <dsp:sp modelId="{6C31395B-5BFC-42F7-B677-CBF74EC411E3}">
      <dsp:nvSpPr>
        <dsp:cNvPr id="0" name=""/>
        <dsp:cNvSpPr/>
      </dsp:nvSpPr>
      <dsp:spPr>
        <a:xfrm>
          <a:off x="435235" y="1163955"/>
          <a:ext cx="5196839" cy="984885"/>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n-GB" sz="1050" b="1" kern="1200"/>
            <a:t>Map:</a:t>
          </a:r>
          <a:endParaRPr lang="en-US" sz="1050" kern="1200"/>
        </a:p>
        <a:p>
          <a:pPr marL="57150" lvl="1" indent="-57150" algn="l" defTabSz="400050">
            <a:lnSpc>
              <a:spcPct val="90000"/>
            </a:lnSpc>
            <a:spcBef>
              <a:spcPct val="0"/>
            </a:spcBef>
            <a:spcAft>
              <a:spcPct val="15000"/>
            </a:spcAft>
            <a:buNone/>
          </a:pPr>
          <a:r>
            <a:rPr lang="en-GB" sz="900" kern="1200"/>
            <a:t>This function dictates that HSBC must thoroughly map and audit each piece of data used to train its AI models. This means the bank must identify the origins, IP protections and permissions of all incoming data streams, ensuring it does not operate on defective, biased or illegally sourced information data sets.</a:t>
          </a:r>
          <a:endParaRPr lang="en-US" sz="900" kern="1200"/>
        </a:p>
      </dsp:txBody>
      <dsp:txXfrm>
        <a:off x="464081" y="1192801"/>
        <a:ext cx="4063737" cy="927193"/>
      </dsp:txXfrm>
    </dsp:sp>
    <dsp:sp modelId="{720B1F7F-15FF-4175-BEFC-440813105867}">
      <dsp:nvSpPr>
        <dsp:cNvPr id="0" name=""/>
        <dsp:cNvSpPr/>
      </dsp:nvSpPr>
      <dsp:spPr>
        <a:xfrm>
          <a:off x="863974" y="2327910"/>
          <a:ext cx="5196839" cy="984885"/>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n-GB" sz="1050" b="1" kern="1200"/>
            <a:t>Measure:</a:t>
          </a:r>
          <a:endParaRPr lang="en-US" sz="1050" kern="1200"/>
        </a:p>
        <a:p>
          <a:pPr marL="57150" lvl="1" indent="-57150" algn="l" defTabSz="400050">
            <a:lnSpc>
              <a:spcPct val="90000"/>
            </a:lnSpc>
            <a:spcBef>
              <a:spcPct val="0"/>
            </a:spcBef>
            <a:spcAft>
              <a:spcPct val="15000"/>
            </a:spcAft>
            <a:buNone/>
          </a:pPr>
          <a:r>
            <a:rPr lang="en-GB" sz="900" kern="1200"/>
            <a:t>The most mathematical requirement, this compels the bank to define clear quantitative standards to evaluate its self-learning systems. For instance, HSBC needs to be continually vigilant for "algorithmic drift” and must monitor the decline in a financial model's performance as international economic conditions shift. But it also needs to calculate statistical differences among protected classes to ensure compliance with all anti-discrimination lending regulations.</a:t>
          </a:r>
          <a:endParaRPr lang="en-US" sz="900" kern="1200"/>
        </a:p>
      </dsp:txBody>
      <dsp:txXfrm>
        <a:off x="892820" y="2356756"/>
        <a:ext cx="4070233" cy="927193"/>
      </dsp:txXfrm>
    </dsp:sp>
    <dsp:sp modelId="{D729E10F-D33F-424C-9097-2388E3CDD193}">
      <dsp:nvSpPr>
        <dsp:cNvPr id="0" name=""/>
        <dsp:cNvSpPr/>
      </dsp:nvSpPr>
      <dsp:spPr>
        <a:xfrm>
          <a:off x="1299210" y="3491865"/>
          <a:ext cx="5196839" cy="984885"/>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n-GB" sz="1050" b="1" kern="1200"/>
            <a:t>Manage:</a:t>
          </a:r>
          <a:endParaRPr lang="en-US" sz="1050" kern="1200"/>
        </a:p>
        <a:p>
          <a:pPr marL="57150" lvl="1" indent="-57150" algn="l" defTabSz="400050">
            <a:lnSpc>
              <a:spcPct val="90000"/>
            </a:lnSpc>
            <a:spcBef>
              <a:spcPct val="0"/>
            </a:spcBef>
            <a:spcAft>
              <a:spcPct val="15000"/>
            </a:spcAft>
            <a:buNone/>
          </a:pPr>
          <a:r>
            <a:rPr lang="en-GB" sz="900" kern="1200"/>
            <a:t>The last component of the function requires that robust monitoring procedures are in place to terminate legacy software. It guarantees a process to immediately quarantine and shut down the undiagnosable or faulty AI system without impacting trading markets and consumer access to banking.</a:t>
          </a:r>
          <a:endParaRPr lang="en-US" sz="900" kern="1200"/>
        </a:p>
      </dsp:txBody>
      <dsp:txXfrm>
        <a:off x="1328056" y="3520711"/>
        <a:ext cx="4063737" cy="927193"/>
      </dsp:txXfrm>
    </dsp:sp>
    <dsp:sp modelId="{A73FB4D2-4745-415B-8FCB-8F57C6C43FC8}">
      <dsp:nvSpPr>
        <dsp:cNvPr id="0" name=""/>
        <dsp:cNvSpPr/>
      </dsp:nvSpPr>
      <dsp:spPr>
        <a:xfrm>
          <a:off x="4556664" y="754332"/>
          <a:ext cx="640175" cy="64017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0" tIns="50800" rIns="50800" bIns="50800" numCol="1" spcCol="1270" anchor="ctr" anchorCtr="0">
          <a:noAutofit/>
        </a:bodyPr>
        <a:lstStyle/>
        <a:p>
          <a:pPr marL="0" lvl="0" indent="0" algn="ctr" defTabSz="1778000">
            <a:lnSpc>
              <a:spcPct val="90000"/>
            </a:lnSpc>
            <a:spcBef>
              <a:spcPct val="0"/>
            </a:spcBef>
            <a:spcAft>
              <a:spcPct val="35000"/>
            </a:spcAft>
            <a:buNone/>
          </a:pPr>
          <a:endParaRPr lang="en-US" sz="4000" kern="1200"/>
        </a:p>
      </dsp:txBody>
      <dsp:txXfrm>
        <a:off x="4700703" y="754332"/>
        <a:ext cx="352097" cy="481732"/>
      </dsp:txXfrm>
    </dsp:sp>
    <dsp:sp modelId="{4B34D5B6-02BE-4E29-83E9-C8397F757FD0}">
      <dsp:nvSpPr>
        <dsp:cNvPr id="0" name=""/>
        <dsp:cNvSpPr/>
      </dsp:nvSpPr>
      <dsp:spPr>
        <a:xfrm>
          <a:off x="4991900" y="1918287"/>
          <a:ext cx="640175" cy="64017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0" tIns="50800" rIns="50800" bIns="50800" numCol="1" spcCol="1270" anchor="ctr" anchorCtr="0">
          <a:noAutofit/>
        </a:bodyPr>
        <a:lstStyle/>
        <a:p>
          <a:pPr marL="0" lvl="0" indent="0" algn="ctr" defTabSz="1778000">
            <a:lnSpc>
              <a:spcPct val="90000"/>
            </a:lnSpc>
            <a:spcBef>
              <a:spcPct val="0"/>
            </a:spcBef>
            <a:spcAft>
              <a:spcPct val="35000"/>
            </a:spcAft>
            <a:buNone/>
          </a:pPr>
          <a:endParaRPr lang="en-US" sz="4000" kern="1200"/>
        </a:p>
      </dsp:txBody>
      <dsp:txXfrm>
        <a:off x="5135939" y="1918287"/>
        <a:ext cx="352097" cy="481732"/>
      </dsp:txXfrm>
    </dsp:sp>
    <dsp:sp modelId="{72605A13-1A85-46EE-8F58-E5954E212D75}">
      <dsp:nvSpPr>
        <dsp:cNvPr id="0" name=""/>
        <dsp:cNvSpPr/>
      </dsp:nvSpPr>
      <dsp:spPr>
        <a:xfrm>
          <a:off x="5420639" y="3082242"/>
          <a:ext cx="640175" cy="64017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0" tIns="50800" rIns="50800" bIns="50800" numCol="1" spcCol="1270" anchor="ctr" anchorCtr="0">
          <a:noAutofit/>
        </a:bodyPr>
        <a:lstStyle/>
        <a:p>
          <a:pPr marL="0" lvl="0" indent="0" algn="ctr" defTabSz="1778000">
            <a:lnSpc>
              <a:spcPct val="90000"/>
            </a:lnSpc>
            <a:spcBef>
              <a:spcPct val="0"/>
            </a:spcBef>
            <a:spcAft>
              <a:spcPct val="35000"/>
            </a:spcAft>
            <a:buNone/>
          </a:pPr>
          <a:endParaRPr lang="en-US" sz="4000" kern="1200"/>
        </a:p>
      </dsp:txBody>
      <dsp:txXfrm>
        <a:off x="5564678" y="3082242"/>
        <a:ext cx="352097" cy="4817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C44741-BF4E-417D-ADEE-2E07663AFF3F}">
      <dsp:nvSpPr>
        <dsp:cNvPr id="0" name=""/>
        <dsp:cNvSpPr/>
      </dsp:nvSpPr>
      <dsp:spPr>
        <a:xfrm>
          <a:off x="629" y="99482"/>
          <a:ext cx="688446" cy="688446"/>
        </a:xfrm>
        <a:prstGeom prst="chord">
          <a:avLst>
            <a:gd name="adj1" fmla="val 4800000"/>
            <a:gd name="adj2" fmla="val 1680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EB468D5-7C1E-4AE5-BDB9-80E2DB564FB3}">
      <dsp:nvSpPr>
        <dsp:cNvPr id="0" name=""/>
        <dsp:cNvSpPr/>
      </dsp:nvSpPr>
      <dsp:spPr>
        <a:xfrm>
          <a:off x="69474" y="168326"/>
          <a:ext cx="550757" cy="550757"/>
        </a:xfrm>
        <a:prstGeom prst="pie">
          <a:avLst>
            <a:gd name="adj1" fmla="val 12600000"/>
            <a:gd name="adj2" fmla="val 16200000"/>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F5D8E8-9D82-49D4-9D8E-50ACA4288F50}">
      <dsp:nvSpPr>
        <dsp:cNvPr id="0" name=""/>
        <dsp:cNvSpPr/>
      </dsp:nvSpPr>
      <dsp:spPr>
        <a:xfrm rot="16200000">
          <a:off x="-791083" y="1648486"/>
          <a:ext cx="1996494" cy="4130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666750">
            <a:lnSpc>
              <a:spcPct val="90000"/>
            </a:lnSpc>
            <a:spcBef>
              <a:spcPct val="0"/>
            </a:spcBef>
            <a:spcAft>
              <a:spcPct val="35000"/>
            </a:spcAft>
            <a:buNone/>
          </a:pPr>
          <a:r>
            <a:rPr lang="en-GB" sz="1500" b="1" kern="1200"/>
            <a:t>1. Bounded Rationality</a:t>
          </a:r>
          <a:endParaRPr lang="en-US" sz="1500" kern="1200"/>
        </a:p>
      </dsp:txBody>
      <dsp:txXfrm>
        <a:off x="-791083" y="1648486"/>
        <a:ext cx="1996494" cy="413067"/>
      </dsp:txXfrm>
    </dsp:sp>
    <dsp:sp modelId="{3B88672D-9DA5-43F6-B858-5B40F54C35A5}">
      <dsp:nvSpPr>
        <dsp:cNvPr id="0" name=""/>
        <dsp:cNvSpPr/>
      </dsp:nvSpPr>
      <dsp:spPr>
        <a:xfrm>
          <a:off x="482542" y="99482"/>
          <a:ext cx="1376892" cy="2753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444500">
            <a:lnSpc>
              <a:spcPct val="90000"/>
            </a:lnSpc>
            <a:spcBef>
              <a:spcPct val="0"/>
            </a:spcBef>
            <a:spcAft>
              <a:spcPct val="35000"/>
            </a:spcAft>
            <a:buNone/>
          </a:pPr>
          <a:r>
            <a:rPr lang="en-GB" sz="1000" kern="1200"/>
            <a:t>This is the difficulty in using human foresight in negotiating long-term, complex business agreements. HSBC procurement legal teams are unable to predict the highly variable future laws, technologies and international wars when signing into a multi-year relationship with a cloud computing service provider.</a:t>
          </a:r>
          <a:endParaRPr lang="en-US" sz="1000" kern="1200"/>
        </a:p>
      </dsp:txBody>
      <dsp:txXfrm>
        <a:off x="482542" y="99482"/>
        <a:ext cx="1376892" cy="2753785"/>
      </dsp:txXfrm>
    </dsp:sp>
    <dsp:sp modelId="{6846A195-07D3-4F23-ADE2-9F344C4D86B6}">
      <dsp:nvSpPr>
        <dsp:cNvPr id="0" name=""/>
        <dsp:cNvSpPr/>
      </dsp:nvSpPr>
      <dsp:spPr>
        <a:xfrm>
          <a:off x="2099547" y="99482"/>
          <a:ext cx="688446" cy="688446"/>
        </a:xfrm>
        <a:prstGeom prst="chord">
          <a:avLst>
            <a:gd name="adj1" fmla="val 4800000"/>
            <a:gd name="adj2" fmla="val 1680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3BF80C-7F3F-424D-A67D-9FF1D9EFF3F8}">
      <dsp:nvSpPr>
        <dsp:cNvPr id="0" name=""/>
        <dsp:cNvSpPr/>
      </dsp:nvSpPr>
      <dsp:spPr>
        <a:xfrm>
          <a:off x="2168392" y="168326"/>
          <a:ext cx="550757" cy="550757"/>
        </a:xfrm>
        <a:prstGeom prst="pie">
          <a:avLst>
            <a:gd name="adj1" fmla="val 9000000"/>
            <a:gd name="adj2" fmla="val 1620000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5941876-564D-41FE-BD7D-5E1882340BA6}">
      <dsp:nvSpPr>
        <dsp:cNvPr id="0" name=""/>
        <dsp:cNvSpPr/>
      </dsp:nvSpPr>
      <dsp:spPr>
        <a:xfrm rot="16200000">
          <a:off x="1307834" y="1648486"/>
          <a:ext cx="1996494" cy="4130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666750">
            <a:lnSpc>
              <a:spcPct val="90000"/>
            </a:lnSpc>
            <a:spcBef>
              <a:spcPct val="0"/>
            </a:spcBef>
            <a:spcAft>
              <a:spcPct val="35000"/>
            </a:spcAft>
            <a:buNone/>
          </a:pPr>
          <a:r>
            <a:rPr lang="en-GB" sz="1500" b="1" kern="1200"/>
            <a:t>2. Opportunism</a:t>
          </a:r>
          <a:endParaRPr lang="en-US" sz="1500" kern="1200"/>
        </a:p>
      </dsp:txBody>
      <dsp:txXfrm>
        <a:off x="1307834" y="1648486"/>
        <a:ext cx="1996494" cy="413067"/>
      </dsp:txXfrm>
    </dsp:sp>
    <dsp:sp modelId="{59FC3890-DD1F-4EF9-820D-C6A2EE5C469C}">
      <dsp:nvSpPr>
        <dsp:cNvPr id="0" name=""/>
        <dsp:cNvSpPr/>
      </dsp:nvSpPr>
      <dsp:spPr>
        <a:xfrm>
          <a:off x="2581459" y="99482"/>
          <a:ext cx="1376892" cy="2753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444500">
            <a:lnSpc>
              <a:spcPct val="90000"/>
            </a:lnSpc>
            <a:spcBef>
              <a:spcPct val="0"/>
            </a:spcBef>
            <a:spcAft>
              <a:spcPct val="35000"/>
            </a:spcAft>
            <a:buNone/>
          </a:pPr>
          <a:r>
            <a:rPr lang="en-GB" sz="1000" kern="1200"/>
            <a:t>This relates to the potential for industry partners to seek to benefit themselves through a fraudulent course of action. Examples of opportunism in today's digital supply chains could be as simple as a cloud service provider covertly using bank data to fine-tune their own ARTICLE technologies, or as nefarious as endlessly delaying data access by imposing hefty and unexpected charges on a institution.</a:t>
          </a:r>
          <a:endParaRPr lang="en-US" sz="1000" kern="1200"/>
        </a:p>
      </dsp:txBody>
      <dsp:txXfrm>
        <a:off x="2581459" y="99482"/>
        <a:ext cx="1376892" cy="2753785"/>
      </dsp:txXfrm>
    </dsp:sp>
    <dsp:sp modelId="{8114DD22-6EA9-4695-A7DC-C87573A1E7C8}">
      <dsp:nvSpPr>
        <dsp:cNvPr id="0" name=""/>
        <dsp:cNvSpPr/>
      </dsp:nvSpPr>
      <dsp:spPr>
        <a:xfrm>
          <a:off x="4198464" y="99482"/>
          <a:ext cx="688446" cy="688446"/>
        </a:xfrm>
        <a:prstGeom prst="chord">
          <a:avLst>
            <a:gd name="adj1" fmla="val 4800000"/>
            <a:gd name="adj2" fmla="val 1680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18E4E93-EB29-4438-9E51-70F8D45F5F79}">
      <dsp:nvSpPr>
        <dsp:cNvPr id="0" name=""/>
        <dsp:cNvSpPr/>
      </dsp:nvSpPr>
      <dsp:spPr>
        <a:xfrm>
          <a:off x="4267309" y="168326"/>
          <a:ext cx="550757" cy="550757"/>
        </a:xfrm>
        <a:prstGeom prst="pie">
          <a:avLst>
            <a:gd name="adj1" fmla="val 5400000"/>
            <a:gd name="adj2" fmla="val 16200000"/>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F0BF0F-B5B3-4A14-A4DE-E8683B9912AC}">
      <dsp:nvSpPr>
        <dsp:cNvPr id="0" name=""/>
        <dsp:cNvSpPr/>
      </dsp:nvSpPr>
      <dsp:spPr>
        <a:xfrm rot="16200000">
          <a:off x="3406751" y="1648486"/>
          <a:ext cx="1996494" cy="4130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b" anchorCtr="0">
          <a:noAutofit/>
        </a:bodyPr>
        <a:lstStyle/>
        <a:p>
          <a:pPr marL="0" lvl="0" indent="0" algn="r" defTabSz="666750">
            <a:lnSpc>
              <a:spcPct val="90000"/>
            </a:lnSpc>
            <a:spcBef>
              <a:spcPct val="0"/>
            </a:spcBef>
            <a:spcAft>
              <a:spcPct val="35000"/>
            </a:spcAft>
            <a:buNone/>
          </a:pPr>
          <a:r>
            <a:rPr lang="en-GB" sz="1500" b="1" kern="1200"/>
            <a:t>3. Asset Specificity</a:t>
          </a:r>
          <a:endParaRPr lang="en-US" sz="1500" kern="1200"/>
        </a:p>
      </dsp:txBody>
      <dsp:txXfrm>
        <a:off x="3406751" y="1648486"/>
        <a:ext cx="1996494" cy="413067"/>
      </dsp:txXfrm>
    </dsp:sp>
    <dsp:sp modelId="{74A0E95E-8C51-4BFA-AF35-B8DEFD214DA6}">
      <dsp:nvSpPr>
        <dsp:cNvPr id="0" name=""/>
        <dsp:cNvSpPr/>
      </dsp:nvSpPr>
      <dsp:spPr>
        <a:xfrm>
          <a:off x="4680377" y="99482"/>
          <a:ext cx="1376892" cy="2753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444500">
            <a:lnSpc>
              <a:spcPct val="90000"/>
            </a:lnSpc>
            <a:spcBef>
              <a:spcPct val="0"/>
            </a:spcBef>
            <a:spcAft>
              <a:spcPct val="35000"/>
            </a:spcAft>
            <a:buNone/>
          </a:pPr>
          <a:r>
            <a:rPr lang="en-GB" sz="1000" kern="1200"/>
            <a:t>This is a term that refers to investments that are highly specific to a particular transaction and have little to no value when applied elsewhere. The bespoke machine learning pipelines (MLPs) that communicate with the specific architecture of Google's servers have such specific assets.</a:t>
          </a:r>
          <a:endParaRPr lang="en-US" sz="1000" kern="1200"/>
        </a:p>
      </dsp:txBody>
      <dsp:txXfrm>
        <a:off x="4680377" y="99482"/>
        <a:ext cx="1376892" cy="2753785"/>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9/3/layout/PieProcess">
  <dgm:title val=""/>
  <dgm:desc val=""/>
  <dgm:catLst>
    <dgm:cat type="list" pri="8600"/>
    <dgm:cat type="process" pri="4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One val="branch"/>
      <dgm:animLvl val="lvl"/>
    </dgm:varLst>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constrLst>
      <dgm:constr type="primFontSz" for="des" forName="Parent" val="65"/>
      <dgm:constr type="primFontSz" for="des" forName="Child" refType="primFontSz" refFor="des" refForName="Parent" op="lte"/>
      <dgm:constr type="w" for="ch" forName="composite" refType="w"/>
      <dgm:constr type="h" for="ch" forName="composite" refType="h"/>
      <dgm:constr type="w" for="ch" forName="ParentComposite" refType="w" fact="0.5"/>
      <dgm:constr type="h" for="ch" forName="ParentComposite" refType="h"/>
      <dgm:constr type="w" for="ch" forName="negSibTrans" refType="h" refFor="ch" refForName="composite" fact="-0.075"/>
      <dgm:constr type="w" for="ch" forName="sibTrans" refType="w" refFor="ch" refForName="composite" fact="0.0425"/>
    </dgm:constrLst>
    <dgm:forEach name="nodesForEach" axis="ch" ptType="node" cnt="7">
      <dgm:layoutNode name="ParentComposite">
        <dgm:alg type="composite">
          <dgm:param type="ar" val="0.2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275"/>
              <dgm:constr type="w" for="ch" forName="Parent" refType="w" fact="0.6"/>
              <dgm:constr type="h" for="ch" forName="Parent" refType="h" fact="0.725"/>
              <dgm:constr type="l" for="ch" forName="Chord" refType="w" fact="0"/>
              <dgm:constr type="t" for="ch" forName="Chord" refType="h" fact="0"/>
              <dgm:constr type="w" for="ch" forName="Chord" refType="w"/>
              <dgm:constr type="h" for="ch" forName="Chord" refType="h" fact="0.25"/>
              <dgm:constr type="l" for="ch" forName="Pie" refType="w" fact="0.1"/>
              <dgm:constr type="t" for="ch" forName="Pie" refType="h" fact="0.025"/>
              <dgm:constr type="w" for="ch" forName="Pie" refType="w" fact="0.8"/>
              <dgm:constr type="h" for="ch" forName="Pie" refType="h" fact="0.2"/>
            </dgm:constrLst>
          </dgm:if>
          <dgm:else name="Name6">
            <dgm:constrLst>
              <dgm:constr type="r" for="ch" forName="Parent" refType="w"/>
              <dgm:constr type="t" for="ch" forName="Parent" refType="h" fact="0.275"/>
              <dgm:constr type="w" for="ch" forName="Parent" refType="w" fact="0.6"/>
              <dgm:constr type="h" for="ch" forName="Parent" refType="h" fact="0.725"/>
              <dgm:constr type="r" for="ch" forName="Chord" refType="w"/>
              <dgm:constr type="t" for="ch" forName="Chord" refType="h" fact="0"/>
              <dgm:constr type="w" for="ch" forName="Chord" refType="w"/>
              <dgm:constr type="h" for="ch" forName="Chord" refType="h" fact="0.25"/>
              <dgm:constr type="r" for="ch" forName="Pie" refType="w" fact="0.9"/>
              <dgm:constr type="t" for="ch" forName="Pie" refType="h" fact="0.025"/>
              <dgm:constr type="w" for="ch" forName="Pie" refType="w" fact="0.8"/>
              <dgm:constr type="h" for="ch" forName="Pie" refType="h" fact="0.2"/>
            </dgm:constrLst>
          </dgm:else>
        </dgm:choose>
        <dgm:layoutNode name="Chord" styleLbl="bgShp">
          <dgm:alg type="sp"/>
          <dgm:choose name="Name7">
            <dgm:if name="Name8" func="var" arg="dir" op="equ" val="norm">
              <dgm:shape xmlns:r="http://schemas.openxmlformats.org/officeDocument/2006/relationships" type="chord" r:blip="">
                <dgm:adjLst>
                  <dgm:adj idx="1" val="80"/>
                  <dgm:adj idx="2" val="-80"/>
                </dgm:adjLst>
              </dgm:shape>
            </dgm:if>
            <dgm:else name="Name9">
              <dgm:shape xmlns:r="http://schemas.openxmlformats.org/officeDocument/2006/relationships" rot="180" type="chord" r:blip="">
                <dgm:adjLst>
                  <dgm:adj idx="1" val="80"/>
                  <dgm:adj idx="2" val="-80"/>
                </dgm:adjLst>
              </dgm:shape>
            </dgm:else>
          </dgm:choose>
          <dgm:presOf/>
        </dgm:layoutNode>
        <dgm:layoutNode name="Pie" styleLbl="alignNode1">
          <dgm:alg type="sp"/>
          <dgm:choose name="Name10">
            <dgm:if name="Name11" func="var" arg="dir" op="equ" val="norm">
              <dgm:choose name="Name12">
                <dgm:if name="Name13" axis="precedSib" ptType="node" func="cnt" op="equ" val="0">
                  <dgm:choose name="Name14">
                    <dgm:if name="Name15" axis="followSib" ptType="node" func="cnt" op="equ" val="0">
                      <dgm:shape xmlns:r="http://schemas.openxmlformats.org/officeDocument/2006/relationships" type="pie" r:blip="">
                        <dgm:adjLst>
                          <dgm:adj idx="1" val="90"/>
                          <dgm:adj idx="2" val="-90"/>
                        </dgm:adjLst>
                      </dgm:shape>
                    </dgm:if>
                    <dgm:if name="Name16" axis="followSib" ptType="node" func="cnt" op="equ" val="1">
                      <dgm:shape xmlns:r="http://schemas.openxmlformats.org/officeDocument/2006/relationships" type="pie" r:blip="">
                        <dgm:adjLst>
                          <dgm:adj idx="1" val="180"/>
                          <dgm:adj idx="2" val="-90"/>
                        </dgm:adjLst>
                      </dgm:shape>
                    </dgm:if>
                    <dgm:if name="Name17" axis="followSib" ptType="node" func="cnt" op="equ" val="2">
                      <dgm:shape xmlns:r="http://schemas.openxmlformats.org/officeDocument/2006/relationships" type="pie" r:blip="">
                        <dgm:adjLst>
                          <dgm:adj idx="1" val="-150"/>
                          <dgm:adj idx="2" val="-90"/>
                        </dgm:adjLst>
                      </dgm:shape>
                    </dgm:if>
                    <dgm:if name="Name18" axis="followSib" ptType="node" func="cnt" op="equ" val="3">
                      <dgm:shape xmlns:r="http://schemas.openxmlformats.org/officeDocument/2006/relationships" type="pie" r:blip="">
                        <dgm:adjLst>
                          <dgm:adj idx="1" val="-135"/>
                          <dgm:adj idx="2" val="-90"/>
                        </dgm:adjLst>
                      </dgm:shape>
                    </dgm:if>
                    <dgm:if name="Name19" axis="followSib" ptType="node" func="cnt" op="equ" val="4">
                      <dgm:shape xmlns:r="http://schemas.openxmlformats.org/officeDocument/2006/relationships" type="pie" r:blip="">
                        <dgm:adjLst>
                          <dgm:adj idx="1" val="-126"/>
                          <dgm:adj idx="2" val="-90"/>
                        </dgm:adjLst>
                      </dgm:shape>
                    </dgm:if>
                    <dgm:if name="Name20" axis="followSib" ptType="node" func="cnt" op="equ" val="5">
                      <dgm:shape xmlns:r="http://schemas.openxmlformats.org/officeDocument/2006/relationships" type="pie" r:blip="">
                        <dgm:adjLst>
                          <dgm:adj idx="1" val="-120"/>
                          <dgm:adj idx="2" val="-90"/>
                        </dgm:adjLst>
                      </dgm:shape>
                    </dgm:if>
                    <dgm:else name="Name21">
                      <dgm:shape xmlns:r="http://schemas.openxmlformats.org/officeDocument/2006/relationships" type="pie" r:blip="">
                        <dgm:adjLst>
                          <dgm:adj idx="1" val="-115.7143"/>
                          <dgm:adj idx="2" val="-90"/>
                        </dgm:adjLst>
                      </dgm:shape>
                    </dgm:else>
                  </dgm:choose>
                </dgm:if>
                <dgm:if name="Name22" axis="precedSib" ptType="node" func="cnt" op="equ" val="1">
                  <dgm:choose name="Name23">
                    <dgm:if name="Name24" axis="followSib" ptType="node" func="cnt" op="equ" val="0">
                      <dgm:shape xmlns:r="http://schemas.openxmlformats.org/officeDocument/2006/relationships" type="pie" r:blip="">
                        <dgm:adjLst>
                          <dgm:adj idx="1" val="90"/>
                          <dgm:adj idx="2" val="-90"/>
                        </dgm:adjLst>
                      </dgm:shape>
                    </dgm:if>
                    <dgm:if name="Name25" axis="followSib" ptType="node" func="cnt" op="equ" val="1">
                      <dgm:shape xmlns:r="http://schemas.openxmlformats.org/officeDocument/2006/relationships" type="pie" r:blip="">
                        <dgm:adjLst>
                          <dgm:adj idx="1" val="150"/>
                          <dgm:adj idx="2" val="-90"/>
                        </dgm:adjLst>
                      </dgm:shape>
                    </dgm:if>
                    <dgm:if name="Name26" axis="followSib" ptType="node" func="cnt" op="equ" val="2">
                      <dgm:shape xmlns:r="http://schemas.openxmlformats.org/officeDocument/2006/relationships" type="pie" r:blip="">
                        <dgm:adjLst>
                          <dgm:adj idx="1" val="180"/>
                          <dgm:adj idx="2" val="-90"/>
                        </dgm:adjLst>
                      </dgm:shape>
                    </dgm:if>
                    <dgm:if name="Name27" axis="followSib" ptType="node" func="cnt" op="equ" val="3">
                      <dgm:shape xmlns:r="http://schemas.openxmlformats.org/officeDocument/2006/relationships" type="pie" r:blip="">
                        <dgm:adjLst>
                          <dgm:adj idx="1" val="-162"/>
                          <dgm:adj idx="2" val="-90"/>
                        </dgm:adjLst>
                      </dgm:shape>
                    </dgm:if>
                    <dgm:if name="Name28" axis="followSib" ptType="node" func="cnt" op="equ" val="4">
                      <dgm:shape xmlns:r="http://schemas.openxmlformats.org/officeDocument/2006/relationships" type="pie" r:blip="">
                        <dgm:adjLst>
                          <dgm:adj idx="1" val="-150"/>
                          <dgm:adj idx="2" val="-90"/>
                        </dgm:adjLst>
                      </dgm:shape>
                    </dgm:if>
                    <dgm:else name="Name29">
                      <dgm:shape xmlns:r="http://schemas.openxmlformats.org/officeDocument/2006/relationships" type="pie" r:blip="">
                        <dgm:adjLst>
                          <dgm:adj idx="1" val="-141.4286"/>
                          <dgm:adj idx="2" val="-90"/>
                        </dgm:adjLst>
                      </dgm:shape>
                    </dgm:else>
                  </dgm:choose>
                </dgm:if>
                <dgm:if name="Name30" axis="precedSib" ptType="node" func="cnt" op="equ" val="2">
                  <dgm:choose name="Name31">
                    <dgm:if name="Name32" axis="followSib" ptType="node" func="cnt" op="equ" val="0">
                      <dgm:shape xmlns:r="http://schemas.openxmlformats.org/officeDocument/2006/relationships" type="pie" r:blip="">
                        <dgm:adjLst>
                          <dgm:adj idx="1" val="90"/>
                          <dgm:adj idx="2" val="-90"/>
                        </dgm:adjLst>
                      </dgm:shape>
                    </dgm:if>
                    <dgm:if name="Name33" axis="followSib" ptType="node" func="cnt" op="equ" val="1">
                      <dgm:shape xmlns:r="http://schemas.openxmlformats.org/officeDocument/2006/relationships" type="pie" r:blip="">
                        <dgm:adjLst>
                          <dgm:adj idx="1" val="135"/>
                          <dgm:adj idx="2" val="-90"/>
                        </dgm:adjLst>
                      </dgm:shape>
                    </dgm:if>
                    <dgm:if name="Name34" axis="followSib" ptType="node" func="cnt" op="equ" val="2">
                      <dgm:shape xmlns:r="http://schemas.openxmlformats.org/officeDocument/2006/relationships" type="pie" r:blip="">
                        <dgm:adjLst>
                          <dgm:adj idx="1" val="162"/>
                          <dgm:adj idx="2" val="-90"/>
                        </dgm:adjLst>
                      </dgm:shape>
                    </dgm:if>
                    <dgm:if name="Name35" axis="followSib" ptType="node" func="cnt" op="equ" val="3">
                      <dgm:shape xmlns:r="http://schemas.openxmlformats.org/officeDocument/2006/relationships" type="pie" r:blip="">
                        <dgm:adjLst>
                          <dgm:adj idx="1" val="180"/>
                          <dgm:adj idx="2" val="-90"/>
                        </dgm:adjLst>
                      </dgm:shape>
                    </dgm:if>
                    <dgm:else name="Name36">
                      <dgm:shape xmlns:r="http://schemas.openxmlformats.org/officeDocument/2006/relationships" type="pie" r:blip="">
                        <dgm:adjLst>
                          <dgm:adj idx="1" val="-167.1429"/>
                          <dgm:adj idx="2" val="-90"/>
                        </dgm:adjLst>
                      </dgm:shape>
                    </dgm:else>
                  </dgm:choose>
                </dgm:if>
                <dgm:if name="Name37" axis="precedSib" ptType="node" func="cnt" op="equ" val="3">
                  <dgm:choose name="Name38">
                    <dgm:if name="Name39" axis="followSib" ptType="node" func="cnt" op="equ" val="0">
                      <dgm:shape xmlns:r="http://schemas.openxmlformats.org/officeDocument/2006/relationships" type="pie" r:blip="">
                        <dgm:adjLst>
                          <dgm:adj idx="1" val="90"/>
                          <dgm:adj idx="2" val="-90"/>
                        </dgm:adjLst>
                      </dgm:shape>
                    </dgm:if>
                    <dgm:if name="Name40" axis="followSib" ptType="node" func="cnt" op="equ" val="1">
                      <dgm:shape xmlns:r="http://schemas.openxmlformats.org/officeDocument/2006/relationships" type="pie" r:blip="">
                        <dgm:adjLst>
                          <dgm:adj idx="1" val="126"/>
                          <dgm:adj idx="2" val="-90"/>
                        </dgm:adjLst>
                      </dgm:shape>
                    </dgm:if>
                    <dgm:if name="Name41" axis="followSib" ptType="node" func="cnt" op="equ" val="2">
                      <dgm:shape xmlns:r="http://schemas.openxmlformats.org/officeDocument/2006/relationships" type="pie" r:blip="">
                        <dgm:adjLst>
                          <dgm:adj idx="1" val="150"/>
                          <dgm:adj idx="2" val="-90"/>
                        </dgm:adjLst>
                      </dgm:shape>
                    </dgm:if>
                    <dgm:else name="Name42">
                      <dgm:shape xmlns:r="http://schemas.openxmlformats.org/officeDocument/2006/relationships" type="pie" r:blip="">
                        <dgm:adjLst>
                          <dgm:adj idx="1" val="167.1429"/>
                          <dgm:adj idx="2" val="-90"/>
                        </dgm:adjLst>
                      </dgm:shape>
                    </dgm:else>
                  </dgm:choose>
                </dgm:if>
                <dgm:if name="Name43" axis="precedSib" ptType="node" func="cnt" op="equ" val="4">
                  <dgm:choose name="Name44">
                    <dgm:if name="Name45" axis="followSib" ptType="node" func="cnt" op="equ" val="0">
                      <dgm:shape xmlns:r="http://schemas.openxmlformats.org/officeDocument/2006/relationships" type="pie" r:blip="">
                        <dgm:adjLst>
                          <dgm:adj idx="1" val="90"/>
                          <dgm:adj idx="2" val="-90"/>
                        </dgm:adjLst>
                      </dgm:shape>
                    </dgm:if>
                    <dgm:if name="Name46" axis="followSib" ptType="node" func="cnt" op="equ" val="1">
                      <dgm:shape xmlns:r="http://schemas.openxmlformats.org/officeDocument/2006/relationships" type="pie" r:blip="">
                        <dgm:adjLst>
                          <dgm:adj idx="1" val="120"/>
                          <dgm:adj idx="2" val="-90"/>
                        </dgm:adjLst>
                      </dgm:shape>
                    </dgm:if>
                    <dgm:else name="Name47">
                      <dgm:shape xmlns:r="http://schemas.openxmlformats.org/officeDocument/2006/relationships" type="pie" r:blip="">
                        <dgm:adjLst>
                          <dgm:adj idx="1" val="141.4286"/>
                          <dgm:adj idx="2" val="-90"/>
                        </dgm:adjLst>
                      </dgm:shape>
                    </dgm:else>
                  </dgm:choose>
                </dgm:if>
                <dgm:if name="Name48" axis="precedSib" ptType="node" func="cnt" op="equ" val="5">
                  <dgm:choose name="Name49">
                    <dgm:if name="Name50" axis="followSib" ptType="node" func="cnt" op="equ" val="0">
                      <dgm:shape xmlns:r="http://schemas.openxmlformats.org/officeDocument/2006/relationships" type="pie" r:blip="">
                        <dgm:adjLst>
                          <dgm:adj idx="1" val="90"/>
                          <dgm:adj idx="2" val="-90"/>
                        </dgm:adjLst>
                      </dgm:shape>
                    </dgm:if>
                    <dgm:else name="Name51">
                      <dgm:shape xmlns:r="http://schemas.openxmlformats.org/officeDocument/2006/relationships" type="pie" r:blip="">
                        <dgm:adjLst>
                          <dgm:adj idx="1" val="115.7143"/>
                          <dgm:adj idx="2" val="-90"/>
                        </dgm:adjLst>
                      </dgm:shape>
                    </dgm:else>
                  </dgm:choose>
                </dgm:if>
                <dgm:else name="Name52">
                  <dgm:shape xmlns:r="http://schemas.openxmlformats.org/officeDocument/2006/relationships" type="pie" r:blip="">
                    <dgm:adjLst>
                      <dgm:adj idx="1" val="90"/>
                      <dgm:adj idx="2" val="-90"/>
                    </dgm:adjLst>
                  </dgm:shape>
                </dgm:else>
              </dgm:choose>
            </dgm:if>
            <dgm:else name="Name53">
              <dgm:choose name="Name54">
                <dgm:if name="Name55" axis="precedSib" ptType="node" func="cnt" op="equ" val="0">
                  <dgm:choose name="Name56">
                    <dgm:if name="Name57" axis="followSib" ptType="node" func="cnt" op="equ" val="0">
                      <dgm:shape xmlns:r="http://schemas.openxmlformats.org/officeDocument/2006/relationships" rot="180" type="pie" r:blip="">
                        <dgm:adjLst>
                          <dgm:adj idx="1" val="90"/>
                          <dgm:adj idx="2" val="-90"/>
                        </dgm:adjLst>
                      </dgm:shape>
                    </dgm:if>
                    <dgm:if name="Name58" axis="followSib" ptType="node" func="cnt" op="equ" val="1">
                      <dgm:shape xmlns:r="http://schemas.openxmlformats.org/officeDocument/2006/relationships" rot="180" type="pie" r:blip="">
                        <dgm:adjLst>
                          <dgm:adj idx="1" val="90"/>
                          <dgm:adj idx="2" val="180"/>
                        </dgm:adjLst>
                      </dgm:shape>
                    </dgm:if>
                    <dgm:if name="Name59" axis="followSib" ptType="node" func="cnt" op="equ" val="2">
                      <dgm:shape xmlns:r="http://schemas.openxmlformats.org/officeDocument/2006/relationships" rot="180" type="pie" r:blip="">
                        <dgm:adjLst>
                          <dgm:adj idx="1" val="90"/>
                          <dgm:adj idx="2" val="150"/>
                        </dgm:adjLst>
                      </dgm:shape>
                    </dgm:if>
                    <dgm:if name="Name60" axis="followSib" ptType="node" func="cnt" op="equ" val="3">
                      <dgm:shape xmlns:r="http://schemas.openxmlformats.org/officeDocument/2006/relationships" rot="180" type="pie" r:blip="">
                        <dgm:adjLst>
                          <dgm:adj idx="1" val="90"/>
                          <dgm:adj idx="2" val="135"/>
                        </dgm:adjLst>
                      </dgm:shape>
                    </dgm:if>
                    <dgm:if name="Name61" axis="followSib" ptType="node" func="cnt" op="equ" val="4">
                      <dgm:shape xmlns:r="http://schemas.openxmlformats.org/officeDocument/2006/relationships" rot="180" type="pie" r:blip="">
                        <dgm:adjLst>
                          <dgm:adj idx="1" val="90"/>
                          <dgm:adj idx="2" val="126"/>
                        </dgm:adjLst>
                      </dgm:shape>
                    </dgm:if>
                    <dgm:if name="Name62" axis="followSib" ptType="node" func="cnt" op="equ" val="5">
                      <dgm:shape xmlns:r="http://schemas.openxmlformats.org/officeDocument/2006/relationships" rot="180" type="pie" r:blip="">
                        <dgm:adjLst>
                          <dgm:adj idx="1" val="90"/>
                          <dgm:adj idx="2" val="120"/>
                        </dgm:adjLst>
                      </dgm:shape>
                    </dgm:if>
                    <dgm:else name="Name63">
                      <dgm:shape xmlns:r="http://schemas.openxmlformats.org/officeDocument/2006/relationships" rot="180" type="pie" r:blip="">
                        <dgm:adjLst>
                          <dgm:adj idx="1" val="90"/>
                          <dgm:adj idx="2" val="115.7143"/>
                        </dgm:adjLst>
                      </dgm:shape>
                    </dgm:else>
                  </dgm:choose>
                </dgm:if>
                <dgm:if name="Name64" axis="precedSib" ptType="node" func="cnt" op="equ" val="1">
                  <dgm:choose name="Name65">
                    <dgm:if name="Name66" axis="followSib" ptType="node" func="cnt" op="equ" val="0">
                      <dgm:shape xmlns:r="http://schemas.openxmlformats.org/officeDocument/2006/relationships" rot="180" type="pie" r:blip="">
                        <dgm:adjLst>
                          <dgm:adj idx="1" val="90"/>
                          <dgm:adj idx="2" val="-90"/>
                        </dgm:adjLst>
                      </dgm:shape>
                    </dgm:if>
                    <dgm:if name="Name67" axis="followSib" ptType="node" func="cnt" op="equ" val="1">
                      <dgm:shape xmlns:r="http://schemas.openxmlformats.org/officeDocument/2006/relationships" rot="180" type="pie" r:blip="">
                        <dgm:adjLst>
                          <dgm:adj idx="1" val="90"/>
                          <dgm:adj idx="2" val="-150"/>
                        </dgm:adjLst>
                      </dgm:shape>
                    </dgm:if>
                    <dgm:if name="Name68" axis="followSib" ptType="node" func="cnt" op="equ" val="2">
                      <dgm:shape xmlns:r="http://schemas.openxmlformats.org/officeDocument/2006/relationships" rot="180" type="pie" r:blip="">
                        <dgm:adjLst>
                          <dgm:adj idx="1" val="90"/>
                          <dgm:adj idx="2" val="180"/>
                        </dgm:adjLst>
                      </dgm:shape>
                    </dgm:if>
                    <dgm:if name="Name69" axis="followSib" ptType="node" func="cnt" op="equ" val="3">
                      <dgm:shape xmlns:r="http://schemas.openxmlformats.org/officeDocument/2006/relationships" rot="180" type="pie" r:blip="">
                        <dgm:adjLst>
                          <dgm:adj idx="1" val="90"/>
                          <dgm:adj idx="2" val="162"/>
                        </dgm:adjLst>
                      </dgm:shape>
                    </dgm:if>
                    <dgm:if name="Name70" axis="followSib" ptType="node" func="cnt" op="equ" val="4">
                      <dgm:shape xmlns:r="http://schemas.openxmlformats.org/officeDocument/2006/relationships" rot="180" type="pie" r:blip="">
                        <dgm:adjLst>
                          <dgm:adj idx="1" val="90"/>
                          <dgm:adj idx="2" val="150"/>
                        </dgm:adjLst>
                      </dgm:shape>
                    </dgm:if>
                    <dgm:else name="Name71">
                      <dgm:shape xmlns:r="http://schemas.openxmlformats.org/officeDocument/2006/relationships" rot="180" type="pie" r:blip="">
                        <dgm:adjLst>
                          <dgm:adj idx="1" val="90"/>
                          <dgm:adj idx="2" val="141.4286"/>
                        </dgm:adjLst>
                      </dgm:shape>
                    </dgm:else>
                  </dgm:choose>
                </dgm:if>
                <dgm:if name="Name72" axis="precedSib" ptType="node" func="cnt" op="equ" val="2">
                  <dgm:choose name="Name73">
                    <dgm:if name="Name74" axis="followSib" ptType="node" func="cnt" op="equ" val="0">
                      <dgm:shape xmlns:r="http://schemas.openxmlformats.org/officeDocument/2006/relationships" rot="180" type="pie" r:blip="">
                        <dgm:adjLst>
                          <dgm:adj idx="1" val="90"/>
                          <dgm:adj idx="2" val="-90"/>
                        </dgm:adjLst>
                      </dgm:shape>
                    </dgm:if>
                    <dgm:if name="Name75" axis="followSib" ptType="node" func="cnt" op="equ" val="1">
                      <dgm:shape xmlns:r="http://schemas.openxmlformats.org/officeDocument/2006/relationships" rot="180" type="pie" r:blip="">
                        <dgm:adjLst>
                          <dgm:adj idx="1" val="90"/>
                          <dgm:adj idx="2" val="-135"/>
                        </dgm:adjLst>
                      </dgm:shape>
                    </dgm:if>
                    <dgm:if name="Name76" axis="followSib" ptType="node" func="cnt" op="equ" val="2">
                      <dgm:shape xmlns:r="http://schemas.openxmlformats.org/officeDocument/2006/relationships" rot="180" type="pie" r:blip="">
                        <dgm:adjLst>
                          <dgm:adj idx="1" val="90"/>
                          <dgm:adj idx="2" val="-162"/>
                        </dgm:adjLst>
                      </dgm:shape>
                    </dgm:if>
                    <dgm:if name="Name77" axis="followSib" ptType="node" func="cnt" op="equ" val="3">
                      <dgm:shape xmlns:r="http://schemas.openxmlformats.org/officeDocument/2006/relationships" rot="180" type="pie" r:blip="">
                        <dgm:adjLst>
                          <dgm:adj idx="1" val="90"/>
                          <dgm:adj idx="2" val="180"/>
                        </dgm:adjLst>
                      </dgm:shape>
                    </dgm:if>
                    <dgm:else name="Name78">
                      <dgm:shape xmlns:r="http://schemas.openxmlformats.org/officeDocument/2006/relationships" rot="180" type="pie" r:blip="">
                        <dgm:adjLst>
                          <dgm:adj idx="1" val="90"/>
                          <dgm:adj idx="2" val="167.1429"/>
                        </dgm:adjLst>
                      </dgm:shape>
                    </dgm:else>
                  </dgm:choose>
                </dgm:if>
                <dgm:if name="Name79" axis="precedSib" ptType="node" func="cnt" op="equ" val="3">
                  <dgm:choose name="Name80">
                    <dgm:if name="Name81" axis="followSib" ptType="node" func="cnt" op="equ" val="0">
                      <dgm:shape xmlns:r="http://schemas.openxmlformats.org/officeDocument/2006/relationships" rot="180" type="pie" r:blip="">
                        <dgm:adjLst>
                          <dgm:adj idx="1" val="90"/>
                          <dgm:adj idx="2" val="-90"/>
                        </dgm:adjLst>
                      </dgm:shape>
                    </dgm:if>
                    <dgm:if name="Name82" axis="followSib" ptType="node" func="cnt" op="equ" val="1">
                      <dgm:shape xmlns:r="http://schemas.openxmlformats.org/officeDocument/2006/relationships" rot="180" type="pie" r:blip="">
                        <dgm:adjLst>
                          <dgm:adj idx="1" val="90"/>
                          <dgm:adj idx="2" val="-126"/>
                        </dgm:adjLst>
                      </dgm:shape>
                    </dgm:if>
                    <dgm:if name="Name83" axis="followSib" ptType="node" func="cnt" op="equ" val="2">
                      <dgm:shape xmlns:r="http://schemas.openxmlformats.org/officeDocument/2006/relationships" rot="180" type="pie" r:blip="">
                        <dgm:adjLst>
                          <dgm:adj idx="1" val="90"/>
                          <dgm:adj idx="2" val="-150"/>
                        </dgm:adjLst>
                      </dgm:shape>
                    </dgm:if>
                    <dgm:else name="Name84">
                      <dgm:shape xmlns:r="http://schemas.openxmlformats.org/officeDocument/2006/relationships" rot="180" type="pie" r:blip="">
                        <dgm:adjLst>
                          <dgm:adj idx="1" val="90"/>
                          <dgm:adj idx="2" val="-167.1429"/>
                        </dgm:adjLst>
                      </dgm:shape>
                    </dgm:else>
                  </dgm:choose>
                </dgm:if>
                <dgm:if name="Name85" axis="precedSib" ptType="node" func="cnt" op="equ" val="4">
                  <dgm:choose name="Name86">
                    <dgm:if name="Name87" axis="followSib" ptType="node" func="cnt" op="equ" val="0">
                      <dgm:shape xmlns:r="http://schemas.openxmlformats.org/officeDocument/2006/relationships" rot="180" type="pie" r:blip="">
                        <dgm:adjLst>
                          <dgm:adj idx="1" val="90"/>
                          <dgm:adj idx="2" val="-90"/>
                        </dgm:adjLst>
                      </dgm:shape>
                    </dgm:if>
                    <dgm:if name="Name88" axis="followSib" ptType="node" func="cnt" op="equ" val="1">
                      <dgm:shape xmlns:r="http://schemas.openxmlformats.org/officeDocument/2006/relationships" rot="180" type="pie" r:blip="">
                        <dgm:adjLst>
                          <dgm:adj idx="1" val="90"/>
                          <dgm:adj idx="2" val="-120"/>
                        </dgm:adjLst>
                      </dgm:shape>
                    </dgm:if>
                    <dgm:else name="Name89">
                      <dgm:shape xmlns:r="http://schemas.openxmlformats.org/officeDocument/2006/relationships" rot="180" type="pie" r:blip="">
                        <dgm:adjLst>
                          <dgm:adj idx="1" val="90"/>
                          <dgm:adj idx="2" val="-141.4286"/>
                        </dgm:adjLst>
                      </dgm:shape>
                    </dgm:else>
                  </dgm:choose>
                </dgm:if>
                <dgm:if name="Name90" axis="precedSib" ptType="node" func="cnt" op="equ" val="5">
                  <dgm:choose name="Name91">
                    <dgm:if name="Name92" axis="followSib" ptType="node" func="cnt" op="equ" val="0">
                      <dgm:shape xmlns:r="http://schemas.openxmlformats.org/officeDocument/2006/relationships" rot="180" type="pie" r:blip="">
                        <dgm:adjLst>
                          <dgm:adj idx="1" val="90"/>
                          <dgm:adj idx="2" val="-90"/>
                        </dgm:adjLst>
                      </dgm:shape>
                    </dgm:if>
                    <dgm:else name="Name93">
                      <dgm:shape xmlns:r="http://schemas.openxmlformats.org/officeDocument/2006/relationships" rot="180" type="pie" r:blip="">
                        <dgm:adjLst>
                          <dgm:adj idx="1" val="90"/>
                          <dgm:adj idx="2" val="-115.7143"/>
                        </dgm:adjLst>
                      </dgm:shape>
                    </dgm:else>
                  </dgm:choose>
                </dgm:if>
                <dgm:else name="Name94">
                  <dgm:shape xmlns:r="http://schemas.openxmlformats.org/officeDocument/2006/relationships" rot="180" type="pie" r:blip="">
                    <dgm:adjLst>
                      <dgm:adj idx="1" val="90"/>
                      <dgm:adj idx="2" val="-90"/>
                    </dgm:adjLst>
                  </dgm:shape>
                </dgm:else>
              </dgm:choose>
            </dgm:else>
          </dgm:choose>
          <dgm:presOf/>
        </dgm:layoutNode>
        <dgm:layoutNode name="Parent" styleLbl="revTx">
          <dgm:varLst>
            <dgm:chMax val="1"/>
            <dgm:chPref val="1"/>
            <dgm:bulletEnabled val="1"/>
          </dgm:varLst>
          <dgm:choose name="Name95">
            <dgm:if name="Name96" func="var" arg="dir" op="equ" val="norm">
              <dgm:alg type="tx">
                <dgm:param type="parTxLTRAlign" val="r"/>
                <dgm:param type="parTxRTLAlign" val="r"/>
                <dgm:param type="shpTxLTRAlignCh" val="r"/>
                <dgm:param type="shpTxRTLAlignCh" val="r"/>
                <dgm:param type="txAnchorVert" val="b"/>
                <dgm:param type="autoTxRot" val="grav"/>
              </dgm:alg>
            </dgm:if>
            <dgm:else name="Name97">
              <dgm:alg type="tx">
                <dgm:param type="parTxLTRAlign" val="l"/>
                <dgm:param type="parTxRTLAlign" val="l"/>
                <dgm:param type="shpTxLTRAlignCh" val="l"/>
                <dgm:param type="shpTxRTLAlignCh" val="l"/>
                <dgm:param type="txAnchorVert" val="b"/>
                <dgm:param type="autoTxRot" val="grav"/>
              </dgm:alg>
            </dgm:else>
          </dgm:choose>
          <dgm:choose name="Name98">
            <dgm:if name="Name99" func="var" arg="dir" op="equ" val="norm">
              <dgm:shape xmlns:r="http://schemas.openxmlformats.org/officeDocument/2006/relationships" rot="-90" type="rect" r:blip="">
                <dgm:adjLst/>
              </dgm:shape>
            </dgm:if>
            <dgm:else name="Name100">
              <dgm:shape xmlns:r="http://schemas.openxmlformats.org/officeDocument/2006/relationships" rot="90" type="rect" r:blip="">
                <dgm:adjLst/>
              </dgm:shape>
            </dgm:else>
          </dgm:choose>
          <dgm:presOf axis="self"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choose name="Name101">
        <dgm:if name="Name102" axis="ch" ptType="node" func="cnt" op="gte" val="1">
          <dgm:forEach name="negSibTransForEach" axis="ch" ptType="sibTrans" hideLastTrans="0" cnt="1">
            <dgm:layoutNode name="negSibTrans">
              <dgm:alg type="sp"/>
              <dgm:shape xmlns:r="http://schemas.openxmlformats.org/officeDocument/2006/relationships" r:blip="">
                <dgm:adjLst/>
              </dgm:shape>
            </dgm:layoutNode>
          </dgm:forEach>
          <dgm:layoutNode name="composite">
            <dgm:alg type="composite">
              <dgm:param type="ar" val="0.5"/>
            </dgm:alg>
            <dgm:shape xmlns:r="http://schemas.openxmlformats.org/officeDocument/2006/relationships" r:blip="">
              <dgm:adjLst/>
            </dgm:shape>
            <dgm:choose name="Name103">
              <dgm:if name="Name104" func="var" arg="dir" op="equ" val="norm">
                <dgm:constrLst>
                  <dgm:constr type="l" for="ch" forName="Child" refType="w" fact="0"/>
                  <dgm:constr type="t" for="ch" forName="Child" refType="h" fact="0"/>
                  <dgm:constr type="w" for="ch" forName="Child" refType="w"/>
                  <dgm:constr type="h" for="ch" forName="Child" refType="h"/>
                </dgm:constrLst>
              </dgm:if>
              <dgm:else name="Name105">
                <dgm:constrLst>
                  <dgm:constr type="r" for="ch" forName="Child" refType="w"/>
                  <dgm:constr type="t" for="ch" forName="Child" refType="h" fact="0"/>
                  <dgm:constr type="w" for="ch" forName="Child" refType="w"/>
                  <dgm:constr type="h" for="ch" forName="Child" refType="h"/>
                </dgm:constrLst>
              </dgm:else>
            </dgm:choose>
            <dgm:ruleLst/>
            <dgm:layoutNode name="Child" styleLbl="revTx">
              <dgm:varLst>
                <dgm:chMax val="0"/>
                <dgm:chPref val="0"/>
                <dgm:bulletEnabled val="1"/>
              </dgm:varLst>
              <dgm:choose name="Name106">
                <dgm:if name="Name107" func="var" arg="dir" op="equ" val="norm">
                  <dgm:alg type="tx">
                    <dgm:param type="parTxLTRAlign" val="l"/>
                    <dgm:param type="parTxRTLAlign" val="r"/>
                    <dgm:param type="txAnchorVert" val="t"/>
                  </dgm:alg>
                </dgm:if>
                <dgm:else name="Name108">
                  <dgm:alg type="tx">
                    <dgm:param type="parTxLTRAlign" val="r"/>
                    <dgm:param type="parTxRTLAlign" val="l"/>
                    <dgm:param type="txAnchorVert" val="t"/>
                  </dgm:alg>
                </dgm:else>
              </dgm:choose>
              <dgm:shape xmlns:r="http://schemas.openxmlformats.org/officeDocument/2006/relationships" type="rect" r:blip="">
                <dgm:adjLst/>
              </dgm:shape>
              <dgm:presOf axis="des" ptType="node"/>
              <dgm:constrLst>
                <dgm:constr type="lMarg" refType="primFontSz" fact="0"/>
                <dgm:constr type="rMarg" refType="primFontSz" fact="0"/>
                <dgm:constr type="tMarg" refType="primFontSz" fact="0"/>
                <dgm:constr type="bMarg" refType="primFontSz" fact="0"/>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if>
        <dgm:else name="Name10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3365CB-9C9B-497B-AD3E-DB16436A6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30</Pages>
  <Words>8674</Words>
  <Characters>49448</Characters>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2026-04-27T10:50:00Z</dcterms:created>
  <dcterms:modified xsi:type="dcterms:W3CDTF">2026-04-27T16:54:00Z</dcterms:modified>
</cp:coreProperties>
</file>