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1F15F200" w14:textId="66CF9F5B" w:rsidR="008C2932" w:rsidRDefault="00ED4AF4">
      <w:r>
        <w:t>T</w:t>
      </w:r>
      <w:r w:rsidR="00F56FE9">
        <w:t>he subject of Roman economics has been discussed and analysed by scholars from a variet</w:t>
      </w:r>
      <w:r>
        <w:t xml:space="preserve">y of backgrounds, with an even larger range of approaches and methodology applied to the information and data we have. </w:t>
      </w:r>
      <w:r w:rsidR="000D6E5A">
        <w:t>In recent years, scholars have begun to look outward from the Mediterranean, to look at the impacts of the eastern world on the Roman Empire. One such approach to this is the discussion of the effects of importation of luxury goods via the Indian Ocean. This essay will be discussing the positive and negative impacts of the Indian Ocean trade on the Roman economy</w:t>
      </w:r>
      <w:r w:rsidR="00F52B3B">
        <w:t>, specifically analysing the arguments that the Roman Empire lost a large portion of coinage per year to Indian and</w:t>
      </w:r>
      <w:r w:rsidR="00496E0C">
        <w:t xml:space="preserve"> the</w:t>
      </w:r>
      <w:r w:rsidR="00F52B3B">
        <w:t xml:space="preserve"> east, and that </w:t>
      </w:r>
      <w:r w:rsidR="005C6CD8">
        <w:t>the</w:t>
      </w:r>
      <w:r w:rsidR="00F52B3B">
        <w:t xml:space="preserve"> importation of luxury</w:t>
      </w:r>
      <w:r w:rsidR="005C6CD8">
        <w:t xml:space="preserve"> goods negatively impacted the elite classes</w:t>
      </w:r>
      <w:r w:rsidR="00F52B3B">
        <w:t xml:space="preserve">. </w:t>
      </w:r>
      <w:r w:rsidR="005C6CD8">
        <w:t>The main argument of this paper will be that the trade of luxury goods via the Indian Ocean, whilst having some negative social impacts such as the over indulgence of the elite, did not harm the empire’s economy, but rather bolstered it.</w:t>
      </w:r>
    </w:p>
    <w:p w14:paraId="5BC4E5EE" w14:textId="6B008DF0" w:rsidR="009C0A73" w:rsidRDefault="009C0A73" w:rsidP="009C0A73">
      <w:r>
        <w:t>Firstly, in any discussion about economics, we must first discuss our sources. There seems to be three prominent sources used by scholarship to discuss trade in the Indian Ocean and</w:t>
      </w:r>
      <w:r w:rsidR="005C614E">
        <w:t xml:space="preserve"> thus</w:t>
      </w:r>
      <w:r>
        <w:t xml:space="preserve"> the effect </w:t>
      </w:r>
      <w:r w:rsidR="005C614E">
        <w:t xml:space="preserve">it had </w:t>
      </w:r>
      <w:r>
        <w:t xml:space="preserve">on the Roman economy, and those are; </w:t>
      </w:r>
      <w:r w:rsidRPr="00F44338">
        <w:t xml:space="preserve">The Periplus Maris </w:t>
      </w:r>
      <w:proofErr w:type="spellStart"/>
      <w:r w:rsidRPr="00F44338">
        <w:t>Erythraei</w:t>
      </w:r>
      <w:proofErr w:type="spellEnd"/>
      <w:r>
        <w:t xml:space="preserve">, Pliny the Elder’s </w:t>
      </w:r>
      <w:r>
        <w:rPr>
          <w:i/>
        </w:rPr>
        <w:t xml:space="preserve">Natural History </w:t>
      </w:r>
      <w:r>
        <w:t xml:space="preserve">and the </w:t>
      </w:r>
      <w:proofErr w:type="spellStart"/>
      <w:r>
        <w:t>Murziris</w:t>
      </w:r>
      <w:proofErr w:type="spellEnd"/>
      <w:r>
        <w:t xml:space="preserve"> Papyrus. The first of our main sources, </w:t>
      </w:r>
      <w:r w:rsidRPr="00F44338">
        <w:t xml:space="preserve">The Periplus Maris </w:t>
      </w:r>
      <w:proofErr w:type="spellStart"/>
      <w:r w:rsidRPr="00F44338">
        <w:t>Erythraei</w:t>
      </w:r>
      <w:proofErr w:type="spellEnd"/>
      <w:r>
        <w:t xml:space="preserve">, is a </w:t>
      </w:r>
      <w:r w:rsidR="005C614E">
        <w:t>merchant handbook for trading on the Indian Ocean written between A.D 30 and A.D. 230</w:t>
      </w:r>
      <w:r>
        <w:t>.</w:t>
      </w:r>
      <w:r>
        <w:rPr>
          <w:rStyle w:val="FootnoteReference"/>
        </w:rPr>
        <w:footnoteReference w:id="1"/>
      </w:r>
      <w:r>
        <w:t xml:space="preserve"> </w:t>
      </w:r>
      <w:r w:rsidR="005C614E">
        <w:t>H</w:t>
      </w:r>
      <w:r>
        <w:t xml:space="preserve">owever, </w:t>
      </w:r>
      <w:proofErr w:type="spellStart"/>
      <w:r>
        <w:t>Casson</w:t>
      </w:r>
      <w:proofErr w:type="spellEnd"/>
      <w:r>
        <w:t xml:space="preserve"> argues that due to the chronology of a set of ki</w:t>
      </w:r>
      <w:r w:rsidR="005C614E">
        <w:t>n</w:t>
      </w:r>
      <w:r>
        <w:t>gs that appears in the work, we should firmly date the work to the middle of the first century A.D..</w:t>
      </w:r>
      <w:r>
        <w:rPr>
          <w:rStyle w:val="FootnoteReference"/>
        </w:rPr>
        <w:footnoteReference w:id="2"/>
      </w:r>
      <w:r>
        <w:t xml:space="preserve"> This dating would fit perfectly in with the</w:t>
      </w:r>
      <w:r w:rsidR="005C614E">
        <w:t xml:space="preserve"> increased demand of goods from the East</w:t>
      </w:r>
      <w:r w:rsidR="00496E0C">
        <w:t xml:space="preserve"> during that time</w:t>
      </w:r>
      <w:r w:rsidR="005C614E">
        <w:t>, however, we must still be wary of fixing an ultimate date to the work.</w:t>
      </w:r>
    </w:p>
    <w:p w14:paraId="6A85C9D0" w14:textId="307104BF" w:rsidR="009C0A73" w:rsidRDefault="009C0A73" w:rsidP="009C0A73">
      <w:r>
        <w:t xml:space="preserve">The second of our main sources is Pliny the Elder’s </w:t>
      </w:r>
      <w:r>
        <w:rPr>
          <w:i/>
        </w:rPr>
        <w:t>Natural History</w:t>
      </w:r>
      <w:r w:rsidR="00496E0C">
        <w:t>, o</w:t>
      </w:r>
      <w:r>
        <w:t>ne of the most prominent and well-known authors in the classical world</w:t>
      </w:r>
      <w:r w:rsidR="00496E0C">
        <w:t xml:space="preserve">. </w:t>
      </w:r>
      <w:r w:rsidR="005C614E">
        <w:t>Pliny’s</w:t>
      </w:r>
      <w:r>
        <w:t xml:space="preserve"> encyclopaedic work covers everything from cosmology to the description of different soils. Pliny has a moralising stance of trade in the Indian Ocean, as he believes that the import and consumption of luxury goods by the elite, such as those used in religious offerings, are just as shows of wealth and status, and will </w:t>
      </w:r>
      <w:r w:rsidR="00E9719D">
        <w:t xml:space="preserve">be </w:t>
      </w:r>
      <w:r>
        <w:t>the downfall of traditional Roman values.</w:t>
      </w:r>
      <w:r>
        <w:rPr>
          <w:rStyle w:val="FootnoteReference"/>
        </w:rPr>
        <w:footnoteReference w:id="3"/>
      </w:r>
      <w:r>
        <w:t xml:space="preserve"> </w:t>
      </w:r>
      <w:r w:rsidR="001C6666">
        <w:t>However, he does present us with a range of figures that scholars have used to try and quantify the overall amount of trade that Rom</w:t>
      </w:r>
      <w:r w:rsidR="00E9719D">
        <w:t>e</w:t>
      </w:r>
      <w:r w:rsidR="001C6666">
        <w:t xml:space="preserve"> conducted with the East.</w:t>
      </w:r>
    </w:p>
    <w:p w14:paraId="1FD6C550" w14:textId="657FA190" w:rsidR="009C0A73" w:rsidRDefault="009C0A73" w:rsidP="009C0A73">
      <w:r>
        <w:t xml:space="preserve">Our final source is the </w:t>
      </w:r>
      <w:proofErr w:type="spellStart"/>
      <w:r>
        <w:t>Murziris</w:t>
      </w:r>
      <w:proofErr w:type="spellEnd"/>
      <w:r>
        <w:t xml:space="preserve"> Papyrus, a fragmented loan agreement dated to the second century A.D.</w:t>
      </w:r>
      <w:r>
        <w:rPr>
          <w:rStyle w:val="FootnoteReference"/>
        </w:rPr>
        <w:footnoteReference w:id="4"/>
      </w:r>
      <w:r>
        <w:t xml:space="preserve"> The document provides in detail information about the logistics of mercantile trade specifically between </w:t>
      </w:r>
      <w:proofErr w:type="spellStart"/>
      <w:r>
        <w:t>Berenike</w:t>
      </w:r>
      <w:proofErr w:type="spellEnd"/>
      <w:r>
        <w:t xml:space="preserve"> and </w:t>
      </w:r>
      <w:proofErr w:type="spellStart"/>
      <w:r>
        <w:t>Muziris</w:t>
      </w:r>
      <w:proofErr w:type="spellEnd"/>
      <w:r>
        <w:t>. Additionally, it provides us with information about transporting goods overland using routes from the Red Sea to Alexandria.</w:t>
      </w:r>
      <w:r>
        <w:rPr>
          <w:rStyle w:val="FootnoteReference"/>
        </w:rPr>
        <w:footnoteReference w:id="5"/>
      </w:r>
      <w:r>
        <w:t xml:space="preserve"> Scholars have used this papyrus to attempt to reconstruct the process </w:t>
      </w:r>
      <w:r w:rsidR="00496E0C">
        <w:t xml:space="preserve">of </w:t>
      </w:r>
      <w:r>
        <w:t>which trade was conducted in the Indian Ocean, the problems of which will be discussed later in the essay.</w:t>
      </w:r>
    </w:p>
    <w:p w14:paraId="26636C5E" w14:textId="77777777" w:rsidR="00222BE0" w:rsidRDefault="009C0A73">
      <w:r>
        <w:t>By the first century A.D., with the conquest of Egypt and the consolidation of the provinces under Augustus, there was previously unseen levels of peace and security within the Roman Empire.</w:t>
      </w:r>
      <w:r w:rsidR="005C614E">
        <w:rPr>
          <w:rStyle w:val="FootnoteReference"/>
        </w:rPr>
        <w:footnoteReference w:id="6"/>
      </w:r>
      <w:r w:rsidR="001C6666">
        <w:t xml:space="preserve"> </w:t>
      </w:r>
      <w:r>
        <w:t xml:space="preserve">Coincidently during this time, there was </w:t>
      </w:r>
      <w:r w:rsidR="001C6666">
        <w:t>also an</w:t>
      </w:r>
      <w:r>
        <w:t xml:space="preserve"> unprecedented increase in the demand for goods from the East, such as those from the Arabian </w:t>
      </w:r>
      <w:proofErr w:type="spellStart"/>
      <w:r>
        <w:t>Penninsula</w:t>
      </w:r>
      <w:proofErr w:type="spellEnd"/>
      <w:r>
        <w:t xml:space="preserve"> and India.</w:t>
      </w:r>
      <w:r>
        <w:rPr>
          <w:rStyle w:val="FootnoteReference"/>
        </w:rPr>
        <w:footnoteReference w:id="7"/>
      </w:r>
      <w:r>
        <w:t xml:space="preserve"> Parker theorises that one of the major contributing factors of the increase </w:t>
      </w:r>
      <w:r w:rsidR="00553125">
        <w:t>in demand</w:t>
      </w:r>
      <w:r>
        <w:t xml:space="preserve"> was that</w:t>
      </w:r>
      <w:r w:rsidR="00553125">
        <w:t>,</w:t>
      </w:r>
      <w:r>
        <w:t xml:space="preserve"> having already sampled </w:t>
      </w:r>
      <w:r w:rsidR="00553125">
        <w:t>items such as spices</w:t>
      </w:r>
      <w:r w:rsidR="001C6666">
        <w:t xml:space="preserve"> when on campaign</w:t>
      </w:r>
      <w:r>
        <w:t xml:space="preserve">, soldiers returning from the eastern provinces wished to have access to </w:t>
      </w:r>
      <w:r>
        <w:lastRenderedPageBreak/>
        <w:t>more of the same type of goods</w:t>
      </w:r>
      <w:r w:rsidR="001C6666">
        <w:t xml:space="preserve"> when they returned home</w:t>
      </w:r>
      <w:r>
        <w:t>.</w:t>
      </w:r>
      <w:r>
        <w:rPr>
          <w:rStyle w:val="FootnoteReference"/>
        </w:rPr>
        <w:footnoteReference w:id="8"/>
      </w:r>
      <w:r w:rsidR="005C614E">
        <w:t xml:space="preserve"> Whilst it may be contributing factor, the evidence suggests that</w:t>
      </w:r>
      <w:r w:rsidR="00553125">
        <w:t xml:space="preserve"> the tastes of returning solider </w:t>
      </w:r>
      <w:r w:rsidR="005C614E">
        <w:t xml:space="preserve">was only one of a myriad of reasons for the increase in demand. </w:t>
      </w:r>
    </w:p>
    <w:p w14:paraId="528C1B0D" w14:textId="0D05E564" w:rsidR="001C6666" w:rsidRDefault="005C614E">
      <w:r>
        <w:t xml:space="preserve">One such reason is that due to the </w:t>
      </w:r>
      <w:r w:rsidR="001C6666">
        <w:t>new-found</w:t>
      </w:r>
      <w:r>
        <w:t xml:space="preserve"> peace and security within the empire</w:t>
      </w:r>
      <w:r w:rsidR="00553125">
        <w:t xml:space="preserve">, </w:t>
      </w:r>
      <w:r w:rsidR="00D848CB">
        <w:t>m</w:t>
      </w:r>
      <w:r>
        <w:t>erchants</w:t>
      </w:r>
      <w:r w:rsidR="00D848CB">
        <w:t xml:space="preserve"> had a </w:t>
      </w:r>
      <w:r w:rsidR="00B50E37">
        <w:t>renewed</w:t>
      </w:r>
      <w:r w:rsidR="00D848CB">
        <w:t xml:space="preserve"> confidence and begun </w:t>
      </w:r>
      <w:r w:rsidR="00B50E37">
        <w:t xml:space="preserve">to </w:t>
      </w:r>
      <w:r w:rsidR="00553125">
        <w:t xml:space="preserve">invest more capital in long-distance trade, </w:t>
      </w:r>
      <w:r w:rsidR="0015542F">
        <w:t>causing</w:t>
      </w:r>
      <w:r w:rsidR="00553125">
        <w:t xml:space="preserve"> an increase in the </w:t>
      </w:r>
      <w:r w:rsidR="00D848CB">
        <w:t>import various luxury goods such as silk, spices and other high value items.</w:t>
      </w:r>
      <w:r w:rsidR="00553125">
        <w:rPr>
          <w:rStyle w:val="FootnoteReference"/>
        </w:rPr>
        <w:footnoteReference w:id="9"/>
      </w:r>
      <w:r w:rsidR="00C4447D">
        <w:t xml:space="preserve"> The trading of spice</w:t>
      </w:r>
      <w:r w:rsidR="001B47BE">
        <w:t>s</w:t>
      </w:r>
      <w:r w:rsidR="00C4447D">
        <w:t xml:space="preserve"> was </w:t>
      </w:r>
      <w:r w:rsidR="00222BE0">
        <w:t>one</w:t>
      </w:r>
      <w:r w:rsidR="00C4447D">
        <w:t xml:space="preserve"> of the key aspects of trade on the Indian Ocean, with it being a major contributor to the </w:t>
      </w:r>
      <w:r w:rsidR="001B27B1">
        <w:t>incoming goods from the East.</w:t>
      </w:r>
      <w:r w:rsidR="001B27B1">
        <w:rPr>
          <w:rStyle w:val="FootnoteReference"/>
        </w:rPr>
        <w:footnoteReference w:id="10"/>
      </w:r>
      <w:r w:rsidR="00C4447D">
        <w:t xml:space="preserve"> </w:t>
      </w:r>
      <w:r w:rsidR="001B27B1">
        <w:t xml:space="preserve">This trade was so prominent that the different types of imported spices were listed in Justinian’s </w:t>
      </w:r>
      <w:r w:rsidR="001B27B1">
        <w:rPr>
          <w:i/>
        </w:rPr>
        <w:t>Edicts</w:t>
      </w:r>
      <w:r w:rsidR="001B27B1">
        <w:t xml:space="preserve"> as liable to the </w:t>
      </w:r>
      <w:proofErr w:type="spellStart"/>
      <w:r w:rsidR="001B27B1">
        <w:rPr>
          <w:i/>
        </w:rPr>
        <w:t>vectigal</w:t>
      </w:r>
      <w:proofErr w:type="spellEnd"/>
      <w:r w:rsidR="001B27B1">
        <w:t xml:space="preserve"> or tax, these were:</w:t>
      </w:r>
    </w:p>
    <w:p w14:paraId="63BF4FC4" w14:textId="7A9850BD" w:rsidR="001B27B1" w:rsidRDefault="00877E82">
      <w:r>
        <w:t>“</w:t>
      </w:r>
      <w:r w:rsidR="001B27B1">
        <w:t xml:space="preserve">cinnamon; long pepper; white pepper; </w:t>
      </w:r>
      <w:proofErr w:type="spellStart"/>
      <w:r w:rsidR="001B27B1">
        <w:t>pentasphaerum</w:t>
      </w:r>
      <w:proofErr w:type="spellEnd"/>
      <w:r w:rsidR="001B27B1">
        <w:t xml:space="preserve"> leaf; barbary leaf; </w:t>
      </w:r>
      <w:proofErr w:type="spellStart"/>
      <w:r w:rsidR="001B27B1">
        <w:t>costum</w:t>
      </w:r>
      <w:proofErr w:type="spellEnd"/>
      <w:r w:rsidR="001B27B1">
        <w:t xml:space="preserve">; </w:t>
      </w:r>
      <w:proofErr w:type="spellStart"/>
      <w:r w:rsidR="001B27B1">
        <w:t>costamomum</w:t>
      </w:r>
      <w:proofErr w:type="spellEnd"/>
      <w:r w:rsidR="001B27B1">
        <w:t xml:space="preserve">; nard; </w:t>
      </w:r>
      <w:proofErr w:type="spellStart"/>
      <w:r w:rsidR="001B27B1">
        <w:t>stachys</w:t>
      </w:r>
      <w:proofErr w:type="spellEnd"/>
      <w:r w:rsidR="001B27B1">
        <w:t xml:space="preserve">; Tyrian </w:t>
      </w:r>
      <w:proofErr w:type="spellStart"/>
      <w:r w:rsidR="001B27B1">
        <w:t>casia</w:t>
      </w:r>
      <w:proofErr w:type="spellEnd"/>
      <w:r w:rsidR="001B27B1">
        <w:t xml:space="preserve">; </w:t>
      </w:r>
      <w:proofErr w:type="spellStart"/>
      <w:r w:rsidR="001B27B1">
        <w:t>casia</w:t>
      </w:r>
      <w:proofErr w:type="spellEnd"/>
      <w:r w:rsidR="001B27B1">
        <w:t xml:space="preserve">-wood; myrrh; amomum; ginger; </w:t>
      </w:r>
      <w:proofErr w:type="spellStart"/>
      <w:r w:rsidR="001B27B1">
        <w:t>malabrathrum</w:t>
      </w:r>
      <w:proofErr w:type="spellEnd"/>
      <w:r w:rsidR="001B27B1">
        <w:t xml:space="preserve">; Indic spice; </w:t>
      </w:r>
      <w:proofErr w:type="spellStart"/>
      <w:r w:rsidR="001B27B1">
        <w:t>galbanurn</w:t>
      </w:r>
      <w:proofErr w:type="spellEnd"/>
      <w:r w:rsidR="001B27B1">
        <w:t xml:space="preserve">; asafoetida juice; aloe; </w:t>
      </w:r>
      <w:proofErr w:type="spellStart"/>
      <w:r w:rsidR="001B27B1">
        <w:t>lycium</w:t>
      </w:r>
      <w:proofErr w:type="spellEnd"/>
      <w:r w:rsidR="001B27B1">
        <w:t xml:space="preserve">; Persian gum; Arabian onyx; </w:t>
      </w:r>
      <w:proofErr w:type="spellStart"/>
      <w:r w:rsidR="001B27B1">
        <w:t>cardamonurn</w:t>
      </w:r>
      <w:proofErr w:type="spellEnd"/>
      <w:r w:rsidR="001B27B1">
        <w:t>; cinnamon-wood</w:t>
      </w:r>
      <w:r>
        <w:t>”</w:t>
      </w:r>
      <w:r w:rsidR="001B27B1">
        <w:t xml:space="preserve"> (Just.Dig.39.16.7)</w:t>
      </w:r>
    </w:p>
    <w:p w14:paraId="108D7B46" w14:textId="057DCC30" w:rsidR="001A0F3D" w:rsidRDefault="00222BE0">
      <w:r>
        <w:t>How integral these spices were to Roman</w:t>
      </w:r>
      <w:r w:rsidR="00251E5C">
        <w:t xml:space="preserve"> life</w:t>
      </w:r>
      <w:r>
        <w:t xml:space="preserve"> is a topic </w:t>
      </w:r>
      <w:r w:rsidR="00DC4B45">
        <w:t>that has been covered far better in other works than this essay could</w:t>
      </w:r>
      <w:r>
        <w:t xml:space="preserve">, </w:t>
      </w:r>
      <w:r w:rsidR="0015542F">
        <w:t xml:space="preserve">however, </w:t>
      </w:r>
      <w:r>
        <w:t xml:space="preserve">for those </w:t>
      </w:r>
      <w:r w:rsidR="001B47BE">
        <w:t>who</w:t>
      </w:r>
      <w:r>
        <w:t xml:space="preserve"> could afford them, such as the Roman elite, they enjoyed these spices in copious amounts to flavour foods</w:t>
      </w:r>
      <w:r w:rsidR="00877E82">
        <w:t>,</w:t>
      </w:r>
      <w:r>
        <w:t xml:space="preserve"> wine</w:t>
      </w:r>
      <w:r w:rsidR="00877E82">
        <w:t>, to make perfumes, and incense</w:t>
      </w:r>
      <w:r>
        <w:t>.</w:t>
      </w:r>
      <w:r w:rsidR="00DC4B45">
        <w:rPr>
          <w:rStyle w:val="FootnoteReference"/>
        </w:rPr>
        <w:footnoteReference w:id="11"/>
      </w:r>
      <w:r>
        <w:t xml:space="preserve"> </w:t>
      </w:r>
      <w:r w:rsidR="00F13A83">
        <w:t>We can see th</w:t>
      </w:r>
      <w:r w:rsidR="00877E82">
        <w:t>e elite’s taste for spices</w:t>
      </w:r>
      <w:r w:rsidR="00F13A83">
        <w:t xml:space="preserve"> in </w:t>
      </w:r>
      <w:proofErr w:type="spellStart"/>
      <w:r w:rsidR="00F13A83">
        <w:t>Apicius</w:t>
      </w:r>
      <w:proofErr w:type="spellEnd"/>
      <w:r w:rsidR="00F13A83">
        <w:t xml:space="preserve">’ </w:t>
      </w:r>
      <w:r w:rsidR="00F13A83" w:rsidRPr="00F13A83">
        <w:rPr>
          <w:i/>
        </w:rPr>
        <w:t xml:space="preserve">De re </w:t>
      </w:r>
      <w:proofErr w:type="spellStart"/>
      <w:r w:rsidR="00F13A83" w:rsidRPr="00F13A83">
        <w:rPr>
          <w:i/>
        </w:rPr>
        <w:t>coquinaria</w:t>
      </w:r>
      <w:proofErr w:type="spellEnd"/>
      <w:r w:rsidR="00F13A83">
        <w:t>, a fourth century A.D. text on cooking,</w:t>
      </w:r>
      <w:r w:rsidR="00877E82">
        <w:t xml:space="preserve"> where </w:t>
      </w:r>
      <w:r w:rsidR="00152256">
        <w:t xml:space="preserve">eastern spices feature heavily, </w:t>
      </w:r>
      <w:r w:rsidR="00877E82">
        <w:t>in particular</w:t>
      </w:r>
      <w:r w:rsidR="00152256">
        <w:t xml:space="preserve"> pepper</w:t>
      </w:r>
      <w:r w:rsidR="001B47BE">
        <w:t>,</w:t>
      </w:r>
      <w:r w:rsidR="00152256">
        <w:t xml:space="preserve"> which appears in almost ever</w:t>
      </w:r>
      <w:r w:rsidR="00251E5C">
        <w:t>y</w:t>
      </w:r>
      <w:r w:rsidR="00152256">
        <w:t xml:space="preserve"> </w:t>
      </w:r>
      <w:r w:rsidR="00251E5C">
        <w:t>recipe</w:t>
      </w:r>
      <w:r w:rsidR="00152256">
        <w:t xml:space="preserve">. This text </w:t>
      </w:r>
      <w:r w:rsidR="00877E82">
        <w:t>is thought to be a collection of</w:t>
      </w:r>
      <w:r w:rsidR="00152256">
        <w:t xml:space="preserve"> </w:t>
      </w:r>
      <w:r w:rsidR="00251E5C">
        <w:t>recipes</w:t>
      </w:r>
      <w:r w:rsidR="00152256">
        <w:t xml:space="preserve"> </w:t>
      </w:r>
      <w:r w:rsidR="00877E82">
        <w:t xml:space="preserve">from a variety of authors, however, it </w:t>
      </w:r>
      <w:r w:rsidR="0091115F">
        <w:t>thought that it</w:t>
      </w:r>
      <w:r w:rsidR="00877E82">
        <w:t xml:space="preserve"> includes those </w:t>
      </w:r>
      <w:r w:rsidR="00152256">
        <w:t xml:space="preserve">from a first century gourmet by the name of </w:t>
      </w:r>
      <w:r w:rsidR="00152256" w:rsidRPr="00152256">
        <w:t xml:space="preserve">Marcus </w:t>
      </w:r>
      <w:proofErr w:type="spellStart"/>
      <w:r w:rsidR="00152256" w:rsidRPr="00152256">
        <w:t>Gavius</w:t>
      </w:r>
      <w:proofErr w:type="spellEnd"/>
      <w:r w:rsidR="00152256">
        <w:t xml:space="preserve"> </w:t>
      </w:r>
      <w:proofErr w:type="spellStart"/>
      <w:r w:rsidR="00152256">
        <w:t>Acitivus</w:t>
      </w:r>
      <w:proofErr w:type="spellEnd"/>
      <w:r w:rsidR="00152256">
        <w:t>, whom was notorious for his luxurious living</w:t>
      </w:r>
      <w:r w:rsidR="00251E5C">
        <w:t>.</w:t>
      </w:r>
      <w:r w:rsidR="00251E5C">
        <w:rPr>
          <w:rStyle w:val="FootnoteReference"/>
        </w:rPr>
        <w:footnoteReference w:id="12"/>
      </w:r>
      <w:r w:rsidR="00152256">
        <w:t xml:space="preserve"> </w:t>
      </w:r>
      <w:r w:rsidR="00877E82">
        <w:t>It is clear from this text that for the elite</w:t>
      </w:r>
      <w:r w:rsidR="0015542F">
        <w:t xml:space="preserve">, </w:t>
      </w:r>
      <w:r w:rsidR="00877E82">
        <w:t xml:space="preserve">there is a connection between the consumption of these spices and luxurious living, which may have fuelled the increase in demand for them. However, not all succumbed to the popularity of pepper, as Pliny is very dismissive of the spice, </w:t>
      </w:r>
      <w:r w:rsidR="0015542F">
        <w:t xml:space="preserve">dismissing </w:t>
      </w:r>
      <w:r w:rsidR="00877E82">
        <w:t>it as “</w:t>
      </w:r>
      <w:r w:rsidR="00877E82" w:rsidRPr="00877E82">
        <w:t>its only desirable quality being a certain pungency</w:t>
      </w:r>
      <w:r w:rsidR="00877E82">
        <w:t>”.</w:t>
      </w:r>
      <w:r w:rsidR="00877E82">
        <w:rPr>
          <w:rStyle w:val="FootnoteReference"/>
        </w:rPr>
        <w:footnoteReference w:id="13"/>
      </w:r>
      <w:r w:rsidR="00877E82">
        <w:t xml:space="preserve"> Whilst this may have been </w:t>
      </w:r>
      <w:r w:rsidR="00E97644">
        <w:t xml:space="preserve">Pliny’s attempt to downplay the </w:t>
      </w:r>
      <w:r w:rsidR="00DC4B45">
        <w:t>popularity</w:t>
      </w:r>
      <w:r w:rsidR="00E97644">
        <w:t xml:space="preserve"> of pepper and impose his moral Roman values, we can take away from this that </w:t>
      </w:r>
      <w:r w:rsidR="00DC4B45">
        <w:t>the popularity and demand for these spices was so prevalent in the elite, that Pliny deemed it necessary to comment on it.</w:t>
      </w:r>
      <w:r w:rsidR="00E97644">
        <w:t xml:space="preserve"> </w:t>
      </w:r>
    </w:p>
    <w:p w14:paraId="2687BFDD" w14:textId="77777777" w:rsidR="004A2CAC" w:rsidRDefault="00A52019">
      <w:r>
        <w:t xml:space="preserve">Furthermore, Pliny not </w:t>
      </w:r>
      <w:r w:rsidR="00496E0C">
        <w:t xml:space="preserve">only </w:t>
      </w:r>
      <w:r>
        <w:t xml:space="preserve">questions the morality of the </w:t>
      </w:r>
      <w:r w:rsidR="00496E0C">
        <w:t>influx of these luxury goods</w:t>
      </w:r>
      <w:r>
        <w:t>, he also comments on the amount of money that is being lost from the empire</w:t>
      </w:r>
      <w:r w:rsidR="00496E0C">
        <w:t xml:space="preserve"> each year because of them</w:t>
      </w:r>
      <w:r>
        <w:t xml:space="preserve">. </w:t>
      </w:r>
      <w:r w:rsidR="005945D4">
        <w:t xml:space="preserve">According to Pliny, each year the </w:t>
      </w:r>
      <w:r w:rsidR="00704CAF">
        <w:t xml:space="preserve">Rome </w:t>
      </w:r>
      <w:r w:rsidR="005945D4">
        <w:t xml:space="preserve">loses one hundred million sesterces to the Arabian Peninsula, </w:t>
      </w:r>
      <w:r w:rsidR="00704CAF">
        <w:t xml:space="preserve">India and the </w:t>
      </w:r>
      <w:proofErr w:type="spellStart"/>
      <w:r w:rsidR="00704CAF">
        <w:t>Seres</w:t>
      </w:r>
      <w:proofErr w:type="spellEnd"/>
      <w:r w:rsidR="00704CAF">
        <w:t>, due to the amount of luxury goods that are being imported.</w:t>
      </w:r>
      <w:r w:rsidR="00704CAF">
        <w:rPr>
          <w:rStyle w:val="FootnoteReference"/>
        </w:rPr>
        <w:footnoteReference w:id="14"/>
      </w:r>
      <w:r w:rsidR="00704CAF">
        <w:t xml:space="preserve"> </w:t>
      </w:r>
      <w:r w:rsidR="001B47BE">
        <w:t>This figure has been used by scholars in recent years as a basis to quantify the scale of trade between Rome and the east. However, attempting to utilise this figure presents a plethora of issues.</w:t>
      </w:r>
      <w:r w:rsidR="000B678E">
        <w:t xml:space="preserve"> </w:t>
      </w:r>
    </w:p>
    <w:p w14:paraId="106C5666" w14:textId="37B1591B" w:rsidR="008C2053" w:rsidRDefault="000B678E">
      <w:r>
        <w:t xml:space="preserve">The first issue </w:t>
      </w:r>
      <w:r w:rsidR="004A2CAC">
        <w:t xml:space="preserve">with </w:t>
      </w:r>
      <w:r>
        <w:t>Pliny</w:t>
      </w:r>
      <w:r w:rsidR="004A2CAC">
        <w:t>’s figure is that he</w:t>
      </w:r>
      <w:r>
        <w:t xml:space="preserve"> does not give any evidence of where he attains this information from</w:t>
      </w:r>
      <w:r w:rsidR="00F51B1B">
        <w:t xml:space="preserve">. It can be interpreted that because of this, his number could </w:t>
      </w:r>
      <w:r>
        <w:t>have been a form of moralistic exaggeration</w:t>
      </w:r>
      <w:r w:rsidR="00F51B1B">
        <w:t xml:space="preserve">, </w:t>
      </w:r>
      <w:r w:rsidR="00D96BA1">
        <w:t>to</w:t>
      </w:r>
      <w:r w:rsidR="00F51B1B">
        <w:t xml:space="preserve"> show the figurative burden that the trade had on the empire</w:t>
      </w:r>
      <w:r>
        <w:t>.</w:t>
      </w:r>
      <w:r w:rsidR="00D96BA1">
        <w:t xml:space="preserve"> </w:t>
      </w:r>
      <w:r>
        <w:t xml:space="preserve">However, coupled with the complaints of </w:t>
      </w:r>
      <w:proofErr w:type="spellStart"/>
      <w:r>
        <w:t>Tactius</w:t>
      </w:r>
      <w:proofErr w:type="spellEnd"/>
      <w:r>
        <w:t xml:space="preserve">, we can see that there could have been a genuine concern </w:t>
      </w:r>
      <w:r>
        <w:lastRenderedPageBreak/>
        <w:t>amongst the Roman elite regarding the outflow of coinage to the east.</w:t>
      </w:r>
      <w:r>
        <w:rPr>
          <w:rStyle w:val="FootnoteReference"/>
        </w:rPr>
        <w:footnoteReference w:id="15"/>
      </w:r>
      <w:r w:rsidR="002D7D87">
        <w:t xml:space="preserve"> </w:t>
      </w:r>
      <w:r w:rsidR="00F51B1B">
        <w:t>However,</w:t>
      </w:r>
      <w:r w:rsidR="002D7D87">
        <w:t xml:space="preserve"> from archaeological evidence</w:t>
      </w:r>
      <w:r w:rsidR="00F51B1B">
        <w:t xml:space="preserve"> found in south India and Sri Lanka</w:t>
      </w:r>
      <w:r w:rsidR="002D7D87">
        <w:t xml:space="preserve"> that there were</w:t>
      </w:r>
      <w:r w:rsidR="004A2CAC">
        <w:t xml:space="preserve"> in fact</w:t>
      </w:r>
      <w:r w:rsidR="002D7D87">
        <w:t xml:space="preserve"> relatively large quantities of coinage being exported to India</w:t>
      </w:r>
      <w:r w:rsidR="00F51B1B">
        <w:t>, or at least ended up there</w:t>
      </w:r>
      <w:r w:rsidR="002D7D87">
        <w:t>.</w:t>
      </w:r>
      <w:r w:rsidR="00F51B1B">
        <w:t xml:space="preserve"> In Sri Lanka alone, there have been approximately between 50000 and 60000 coins found amongst various hoards.</w:t>
      </w:r>
      <w:r w:rsidR="00F51B1B">
        <w:rPr>
          <w:rStyle w:val="FootnoteReference"/>
        </w:rPr>
        <w:footnoteReference w:id="16"/>
      </w:r>
      <w:r w:rsidR="00F51B1B">
        <w:t xml:space="preserve"> The major of evidence however, comes from the south of India, where coin hoards are more prevalent. Turner </w:t>
      </w:r>
      <w:r w:rsidR="008C2053">
        <w:t xml:space="preserve">states that </w:t>
      </w:r>
      <w:proofErr w:type="gramStart"/>
      <w:r w:rsidR="008C2053">
        <w:t>the majority of</w:t>
      </w:r>
      <w:proofErr w:type="gramEnd"/>
      <w:r w:rsidR="008C2053">
        <w:t xml:space="preserve"> this coinage is from the reigns of Augustus and Tiberius, coinciding with the increase in trade on the Indian Ocean.</w:t>
      </w:r>
      <w:r w:rsidR="008C2053">
        <w:rPr>
          <w:rStyle w:val="FootnoteReference"/>
        </w:rPr>
        <w:footnoteReference w:id="17"/>
      </w:r>
      <w:r w:rsidR="00195A4C">
        <w:t xml:space="preserve"> However, in comparison to the coinage hoards found in Germany and Dacia, the hoards found in India are a fraction of the size and so would not necessarily be a significant drain on coinage from the empire. Furthermore, it is entirely possible that </w:t>
      </w:r>
      <w:proofErr w:type="gramStart"/>
      <w:r w:rsidR="00195A4C">
        <w:t>the majority of</w:t>
      </w:r>
      <w:proofErr w:type="gramEnd"/>
      <w:r w:rsidR="00195A4C">
        <w:t xml:space="preserve"> trade conducted in the east used an in-kind system, where goods produced in the east were traded directly for goods produced in the Roman empire and it is only India that was anomalous in preferring trade to be conducted in coinage and bullion.</w:t>
      </w:r>
      <w:r w:rsidR="00195A4C">
        <w:rPr>
          <w:rStyle w:val="FootnoteReference"/>
        </w:rPr>
        <w:footnoteReference w:id="18"/>
      </w:r>
      <w:r w:rsidR="00195A4C">
        <w:t xml:space="preserve"> </w:t>
      </w:r>
    </w:p>
    <w:p w14:paraId="11CC6DF9" w14:textId="3EA9BAB4" w:rsidR="00D96BA1" w:rsidRDefault="001A0F3D">
      <w:r>
        <w:t>The increase in the demand for spices and other eastern goods by the Roman elite, created a mutually beneficial relationship between the Roman state and the merchants that traded across the Indian Ocean. Wilson attributes on of the key aspects of the development of Indian Ocean trade to the creation of overland trade routes between the Red sea and the Nile.</w:t>
      </w:r>
      <w:r>
        <w:rPr>
          <w:rStyle w:val="FootnoteReference"/>
        </w:rPr>
        <w:footnoteReference w:id="19"/>
      </w:r>
      <w:r>
        <w:t xml:space="preserve"> Whilst the evidence suggests that </w:t>
      </w:r>
      <w:r w:rsidR="00BE77E6">
        <w:t xml:space="preserve">trade routes between the Nile and the Red sea had always existed in one form or another, with the increase in incoming goods from the Indian Ocean in the first century, the Roman state began to invest heavily in infrastructure along these trade routes, such as building roads, </w:t>
      </w:r>
      <w:r w:rsidR="00A52019">
        <w:t>caravan stations and installing a military presence</w:t>
      </w:r>
      <w:r w:rsidR="00496E0C">
        <w:t xml:space="preserve"> for protection</w:t>
      </w:r>
      <w:r w:rsidR="00D96BA1">
        <w:t>.</w:t>
      </w:r>
      <w:r w:rsidR="00496E0C">
        <w:rPr>
          <w:rStyle w:val="FootnoteReference"/>
        </w:rPr>
        <w:footnoteReference w:id="20"/>
      </w:r>
      <w:r w:rsidR="00A52019">
        <w:t xml:space="preserve"> </w:t>
      </w:r>
    </w:p>
    <w:p w14:paraId="64269DCB" w14:textId="77777777" w:rsidR="00DF1246" w:rsidRDefault="00D96BA1">
      <w:r>
        <w:t xml:space="preserve">The trade with the East must have cost the Roman population an exceptional amount of money, whether it be from </w:t>
      </w:r>
      <w:proofErr w:type="gramStart"/>
      <w:r>
        <w:t>actually buying</w:t>
      </w:r>
      <w:proofErr w:type="gramEnd"/>
      <w:r>
        <w:t xml:space="preserve"> these good from the East to import into the empire, or the cost of upkeep of the infrastructure as mentioned above. However, even if conducting business along these routes cost a large amount of money, the state seemed to be more than happy to keep engaging with trade in the Indian Ocean. The main reason for this is quite possible the introduction of the </w:t>
      </w:r>
      <w:proofErr w:type="spellStart"/>
      <w:r w:rsidRPr="00D96BA1">
        <w:rPr>
          <w:i/>
        </w:rPr>
        <w:t>tetarte</w:t>
      </w:r>
      <w:proofErr w:type="spellEnd"/>
      <w:r>
        <w:t xml:space="preserve">, a 25 percent tax on </w:t>
      </w:r>
      <w:r w:rsidR="00450FCA">
        <w:t>goods being brought into the empire from the east.</w:t>
      </w:r>
      <w:r w:rsidR="00450FCA">
        <w:rPr>
          <w:rStyle w:val="FootnoteReference"/>
        </w:rPr>
        <w:footnoteReference w:id="21"/>
      </w:r>
      <w:r w:rsidR="00450FCA">
        <w:t xml:space="preserve"> According to Young, this tax was levied at key points along the eastern trade routes, such as Alexandria, Antioch, and potentially </w:t>
      </w:r>
      <w:proofErr w:type="spellStart"/>
      <w:r w:rsidR="00450FCA">
        <w:t>Leukekome</w:t>
      </w:r>
      <w:proofErr w:type="spellEnd"/>
      <w:r w:rsidR="00450FCA">
        <w:t>.</w:t>
      </w:r>
      <w:r w:rsidR="00450FCA">
        <w:rPr>
          <w:rStyle w:val="FootnoteReference"/>
        </w:rPr>
        <w:footnoteReference w:id="22"/>
      </w:r>
      <w:r w:rsidR="00450FCA">
        <w:t xml:space="preserve"> Each of these places are key entry points for the inflow eastern goods into the empire, and so it must have been expected that the goods would pass through here </w:t>
      </w:r>
      <w:r w:rsidR="00DF1246">
        <w:t>to</w:t>
      </w:r>
      <w:r w:rsidR="00450FCA">
        <w:t xml:space="preserve"> collect the tax.</w:t>
      </w:r>
      <w:r w:rsidR="00450FCA">
        <w:rPr>
          <w:rStyle w:val="FootnoteReference"/>
        </w:rPr>
        <w:footnoteReference w:id="23"/>
      </w:r>
      <w:r w:rsidR="00DF1246">
        <w:t xml:space="preserve"> </w:t>
      </w:r>
    </w:p>
    <w:p w14:paraId="5E5B5F6E" w14:textId="77777777" w:rsidR="008A2486" w:rsidRDefault="00DF1246">
      <w:r>
        <w:t xml:space="preserve">How lucrative this tax was to the empire is a question that is still debated amongst scholars, purely due to the lack of evidence. However, there have been attempts to quantify the amount of tax that would be received </w:t>
      </w:r>
      <w:r w:rsidR="006A24E0">
        <w:t xml:space="preserve">through trade in the Indian Ocean. One of the main resources for this is the </w:t>
      </w:r>
      <w:proofErr w:type="spellStart"/>
      <w:r w:rsidR="006A24E0">
        <w:t>Muziris</w:t>
      </w:r>
      <w:proofErr w:type="spellEnd"/>
      <w:r w:rsidR="006A24E0">
        <w:t xml:space="preserve"> Papyrus. In this fragmented papyrus, there is a description of a cargo being imported from India at an equivalent value of 6,911,852 HS, however, this valuation was taken after the </w:t>
      </w:r>
      <w:proofErr w:type="spellStart"/>
      <w:r w:rsidR="006A24E0" w:rsidRPr="00D96BA1">
        <w:rPr>
          <w:i/>
        </w:rPr>
        <w:t>tetarte</w:t>
      </w:r>
      <w:proofErr w:type="spellEnd"/>
      <w:r w:rsidR="006A24E0">
        <w:rPr>
          <w:i/>
        </w:rPr>
        <w:t xml:space="preserve"> </w:t>
      </w:r>
      <w:r w:rsidR="006A24E0">
        <w:t xml:space="preserve">had been levied, implying that the overall value of the cargo was 9,215,803 HS, providing </w:t>
      </w:r>
      <w:proofErr w:type="gramStart"/>
      <w:r w:rsidR="006A24E0">
        <w:t>a customs</w:t>
      </w:r>
      <w:proofErr w:type="gramEnd"/>
      <w:r w:rsidR="006A24E0">
        <w:t xml:space="preserve"> due of 2,303,951 HS.</w:t>
      </w:r>
      <w:r w:rsidR="006A24E0">
        <w:rPr>
          <w:rStyle w:val="FootnoteReference"/>
        </w:rPr>
        <w:footnoteReference w:id="24"/>
      </w:r>
      <w:r w:rsidR="006A24E0">
        <w:t xml:space="preserve"> Strabo states that 120 ships sail from </w:t>
      </w:r>
      <w:r w:rsidR="006A24E0" w:rsidRPr="006A24E0">
        <w:t>Myos-hormos</w:t>
      </w:r>
      <w:r w:rsidR="006A24E0">
        <w:t xml:space="preserve">, and so if each of those had </w:t>
      </w:r>
      <w:r w:rsidR="006A24E0">
        <w:lastRenderedPageBreak/>
        <w:t xml:space="preserve">an equivalent value of cargo as that in the </w:t>
      </w:r>
      <w:proofErr w:type="spellStart"/>
      <w:r w:rsidR="006A24E0">
        <w:t>Muziris</w:t>
      </w:r>
      <w:proofErr w:type="spellEnd"/>
      <w:r w:rsidR="006A24E0">
        <w:t xml:space="preserve"> Papyrus, the total tax revenue for those ships would be 276,474,120 HS.</w:t>
      </w:r>
      <w:r w:rsidR="006A24E0">
        <w:rPr>
          <w:rStyle w:val="FootnoteReference"/>
        </w:rPr>
        <w:footnoteReference w:id="25"/>
      </w:r>
      <w:r w:rsidR="0006462D">
        <w:t xml:space="preserve"> Attempting to quantify the overall amount of tax income from the   </w:t>
      </w:r>
      <w:proofErr w:type="spellStart"/>
      <w:r w:rsidR="0006462D" w:rsidRPr="00D96BA1">
        <w:rPr>
          <w:i/>
        </w:rPr>
        <w:t>tetarte</w:t>
      </w:r>
      <w:proofErr w:type="spellEnd"/>
      <w:r w:rsidR="0006462D">
        <w:rPr>
          <w:i/>
        </w:rPr>
        <w:t xml:space="preserve"> </w:t>
      </w:r>
      <w:r w:rsidR="0006462D">
        <w:t xml:space="preserve">using this calculation, as some scholars attempted to do in one form or another would be  problematic for multiple reasons. One such reason is, the </w:t>
      </w:r>
      <w:proofErr w:type="spellStart"/>
      <w:r w:rsidR="0006462D">
        <w:t>Muriris</w:t>
      </w:r>
      <w:proofErr w:type="spellEnd"/>
      <w:r w:rsidR="0006462D">
        <w:t xml:space="preserve"> papyrus is a fragmented document about a specific cargo at a specific time, this calculation is an over-generalisation and does not represent the mean values of different cargos leaving Myos-hormos, nor does it </w:t>
      </w:r>
      <w:proofErr w:type="gramStart"/>
      <w:r w:rsidR="0006462D">
        <w:t>take into account</w:t>
      </w:r>
      <w:proofErr w:type="gramEnd"/>
      <w:r w:rsidR="0006462D">
        <w:t xml:space="preserve"> the fluctuation of market prices for such goods. The second issue is that</w:t>
      </w:r>
      <w:r w:rsidR="008C2053">
        <w:t xml:space="preserve"> there is a high possibility that due to the large values of tax that is being extracted from these shipments, that the taxes were not paid in coin but rather were paid in kind.</w:t>
      </w:r>
      <w:r w:rsidR="008C2053">
        <w:rPr>
          <w:rStyle w:val="FootnoteReference"/>
        </w:rPr>
        <w:footnoteReference w:id="26"/>
      </w:r>
      <w:r w:rsidR="008C2053">
        <w:t xml:space="preserve"> If this were the case, then the state would become one of the most prominent traders of luxury goods within the empire, and so it would be entirely possible that the state made considerable profits on these goods</w:t>
      </w:r>
      <w:r w:rsidR="00950212">
        <w:t xml:space="preserve"> by selling them wholesale in places such as Alexandria</w:t>
      </w:r>
      <w:r w:rsidR="008C2053">
        <w:t xml:space="preserve">. </w:t>
      </w:r>
    </w:p>
    <w:p w14:paraId="0471E262" w14:textId="2FE71512" w:rsidR="00950212" w:rsidRPr="008A2486" w:rsidRDefault="008C2053">
      <w:r>
        <w:t xml:space="preserve">It is unclear however, if the state took direct control of the collection of this tax </w:t>
      </w:r>
      <w:r w:rsidR="006411EA">
        <w:t xml:space="preserve">or whether the contract was framed out </w:t>
      </w:r>
      <w:r w:rsidR="00950212">
        <w:t xml:space="preserve">to </w:t>
      </w:r>
      <w:proofErr w:type="spellStart"/>
      <w:r w:rsidR="00950212">
        <w:rPr>
          <w:i/>
        </w:rPr>
        <w:t>publicanus</w:t>
      </w:r>
      <w:proofErr w:type="spellEnd"/>
      <w:r w:rsidR="00950212">
        <w:t xml:space="preserve"> or tax collectors. Potential evidence for this can be found in the Anni, a prominent and well-connected family based in Berenice.</w:t>
      </w:r>
      <w:r w:rsidR="00950212">
        <w:rPr>
          <w:rStyle w:val="FootnoteReference"/>
        </w:rPr>
        <w:footnoteReference w:id="27"/>
      </w:r>
      <w:r w:rsidR="00950212">
        <w:t xml:space="preserve"> </w:t>
      </w:r>
      <w:proofErr w:type="spellStart"/>
      <w:r w:rsidR="00950212">
        <w:t>Annius</w:t>
      </w:r>
      <w:proofErr w:type="spellEnd"/>
      <w:r w:rsidR="00950212">
        <w:t xml:space="preserve"> </w:t>
      </w:r>
      <w:proofErr w:type="spellStart"/>
      <w:r w:rsidR="00950212">
        <w:t>Plocamus</w:t>
      </w:r>
      <w:proofErr w:type="spellEnd"/>
      <w:r w:rsidR="00950212">
        <w:t xml:space="preserve"> was a well-known tax collector for the </w:t>
      </w:r>
      <w:proofErr w:type="spellStart"/>
      <w:r w:rsidR="00950212" w:rsidRPr="00D96BA1">
        <w:rPr>
          <w:i/>
        </w:rPr>
        <w:t>tetarte</w:t>
      </w:r>
      <w:proofErr w:type="spellEnd"/>
      <w:r w:rsidR="00950212">
        <w:rPr>
          <w:i/>
        </w:rPr>
        <w:t xml:space="preserve">, </w:t>
      </w:r>
      <w:r w:rsidR="00950212">
        <w:t xml:space="preserve">and Pliny states that “[he] </w:t>
      </w:r>
      <w:r w:rsidR="00950212" w:rsidRPr="00950212">
        <w:t>farmed from the treasury the revenues arising from the Red Sea</w:t>
      </w:r>
      <w:r w:rsidR="00950212">
        <w:t>”.</w:t>
      </w:r>
      <w:r w:rsidR="00950212">
        <w:rPr>
          <w:rStyle w:val="FootnoteReference"/>
        </w:rPr>
        <w:footnoteReference w:id="28"/>
      </w:r>
      <w:r w:rsidR="008A2486">
        <w:t xml:space="preserve"> An interpretation of this could be that </w:t>
      </w:r>
      <w:proofErr w:type="spellStart"/>
      <w:r w:rsidR="008A2486">
        <w:t>Annius</w:t>
      </w:r>
      <w:proofErr w:type="spellEnd"/>
      <w:r w:rsidR="008A2486">
        <w:t xml:space="preserve"> </w:t>
      </w:r>
      <w:proofErr w:type="spellStart"/>
      <w:r w:rsidR="008A2486">
        <w:t>Plocamus</w:t>
      </w:r>
      <w:proofErr w:type="spellEnd"/>
      <w:r w:rsidR="008A2486">
        <w:t xml:space="preserve"> had bought the contract from the state to collect the </w:t>
      </w:r>
      <w:proofErr w:type="spellStart"/>
      <w:r w:rsidR="008A2486" w:rsidRPr="00D96BA1">
        <w:rPr>
          <w:i/>
        </w:rPr>
        <w:t>tetarte</w:t>
      </w:r>
      <w:proofErr w:type="spellEnd"/>
      <w:r w:rsidR="008A2486">
        <w:rPr>
          <w:i/>
        </w:rPr>
        <w:t xml:space="preserve"> </w:t>
      </w:r>
      <w:r w:rsidR="008A2486">
        <w:t>from incoming goods, and so would have made himself considerably wealthy. It is not unknown that throughout Roman history for the state to farm out tax collecting contracts to the highest bidder, and that person to become incredibly wealthy, and so wouldn’t be so far to assume that something similar happened here.</w:t>
      </w:r>
    </w:p>
    <w:p w14:paraId="4B89FA5C" w14:textId="51359C4A" w:rsidR="001C6666" w:rsidRDefault="00195A4C">
      <w:r>
        <w:t xml:space="preserve">In conclusion, the increased demand for luxury goods from the east by the Roman elite </w:t>
      </w:r>
      <w:proofErr w:type="gramStart"/>
      <w:r>
        <w:t>opened up</w:t>
      </w:r>
      <w:proofErr w:type="gramEnd"/>
      <w:r>
        <w:t xml:space="preserve"> a whole new dynamic of trading between the Roman empire and the east through the Indian Ocean. The ancient authors that have been looked at take an increasingly moralistic stance on the trade with the east, considering it a folly and of no more purpose than to show off wealth and status through excessive consumption. However, they inadvertently provided us with a wealth of information on the size of the trade conducted with the east. </w:t>
      </w:r>
    </w:p>
    <w:p w14:paraId="68125CAB" w14:textId="77777777" w:rsidR="00AC3B09" w:rsidRDefault="00195A4C">
      <w:r>
        <w:t xml:space="preserve">Whilst this trade may have cost a substantial amount of money, whether it be from the merchants and investors buying the goods from the east, or the states investment in the infrastructure of the trade routes, providing well provisioned roads </w:t>
      </w:r>
      <w:r w:rsidR="00AC3B09">
        <w:t xml:space="preserve">and security. It entirely possible that the state’s participation in this system was not to influence the way the trade was conducted or to favour a trade route over the other, as this would </w:t>
      </w:r>
      <w:proofErr w:type="gramStart"/>
      <w:r w:rsidR="00AC3B09">
        <w:t>of</w:t>
      </w:r>
      <w:proofErr w:type="gramEnd"/>
      <w:r w:rsidR="00AC3B09">
        <w:t xml:space="preserve"> come in the form of an economic policy that we do not have evidence for, but rather, their aim was to simply provide a safe and efficient environment in order to collect the </w:t>
      </w:r>
      <w:proofErr w:type="spellStart"/>
      <w:r w:rsidR="00AC3B09" w:rsidRPr="00D96BA1">
        <w:rPr>
          <w:i/>
        </w:rPr>
        <w:t>tetarte</w:t>
      </w:r>
      <w:proofErr w:type="spellEnd"/>
      <w:r w:rsidR="00AC3B09">
        <w:rPr>
          <w:i/>
        </w:rPr>
        <w:t>,</w:t>
      </w:r>
      <w:r w:rsidR="00AC3B09">
        <w:t xml:space="preserve"> a very lucrative tax that provided a substantial amount of income to the state. </w:t>
      </w:r>
    </w:p>
    <w:p w14:paraId="601ADF41" w14:textId="68B806D4" w:rsidR="00B6751C" w:rsidRPr="0053271B" w:rsidRDefault="00AC3B09">
      <w:r>
        <w:t xml:space="preserve">After analysing the evidence and various argument presented by scholars, I do not believe that trade via the Indian Ocean was detrimental to the economy of the Roman Empire. Even though it did have some negative aspects, such as the excessive consumption of the elite and the loss of coinage to India, the positive aspects far outweigh the negative. The Indian Ocean trade provided a substantial and regular income to the state, and for the private citizens that engaged with it, there were also large profits to be made. </w:t>
      </w:r>
      <w:bookmarkStart w:id="0" w:name="_GoBack"/>
      <w:bookmarkEnd w:id="0"/>
    </w:p>
    <w:sectPr w:rsidR="00B6751C" w:rsidRPr="005327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26E5EF" w14:textId="77777777" w:rsidR="00303DA2" w:rsidRDefault="00303DA2" w:rsidP="0053271B">
      <w:pPr>
        <w:spacing w:after="0" w:line="240" w:lineRule="auto"/>
      </w:pPr>
      <w:r>
        <w:separator/>
      </w:r>
    </w:p>
  </w:endnote>
  <w:endnote w:type="continuationSeparator" w:id="0">
    <w:p w14:paraId="4387AF2D" w14:textId="77777777" w:rsidR="00303DA2" w:rsidRDefault="00303DA2" w:rsidP="005327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6BF43E" w14:textId="77777777" w:rsidR="00303DA2" w:rsidRDefault="00303DA2" w:rsidP="0053271B">
      <w:pPr>
        <w:spacing w:after="0" w:line="240" w:lineRule="auto"/>
      </w:pPr>
      <w:r>
        <w:separator/>
      </w:r>
    </w:p>
  </w:footnote>
  <w:footnote w:type="continuationSeparator" w:id="0">
    <w:p w14:paraId="5F49750A" w14:textId="77777777" w:rsidR="00303DA2" w:rsidRDefault="00303DA2" w:rsidP="0053271B">
      <w:pPr>
        <w:spacing w:after="0" w:line="240" w:lineRule="auto"/>
      </w:pPr>
      <w:r>
        <w:continuationSeparator/>
      </w:r>
    </w:p>
  </w:footnote>
  <w:footnote w:id="1">
    <w:p w14:paraId="0D5C4BA8" w14:textId="77777777" w:rsidR="00303DA2" w:rsidRDefault="00303DA2" w:rsidP="009C0A73">
      <w:pPr>
        <w:pStyle w:val="FootnoteText"/>
      </w:pPr>
      <w:r>
        <w:rPr>
          <w:rStyle w:val="FootnoteReference"/>
        </w:rPr>
        <w:footnoteRef/>
      </w:r>
      <w:r>
        <w:t xml:space="preserve"> </w:t>
      </w:r>
      <w:proofErr w:type="spellStart"/>
      <w:r>
        <w:t>Crasson</w:t>
      </w:r>
      <w:proofErr w:type="spellEnd"/>
      <w:r>
        <w:t>. 1989: 7</w:t>
      </w:r>
    </w:p>
  </w:footnote>
  <w:footnote w:id="2">
    <w:p w14:paraId="28CF2B59" w14:textId="77777777" w:rsidR="00303DA2" w:rsidRDefault="00303DA2" w:rsidP="009C0A73">
      <w:pPr>
        <w:pStyle w:val="FootnoteText"/>
      </w:pPr>
      <w:r>
        <w:rPr>
          <w:rStyle w:val="FootnoteReference"/>
        </w:rPr>
        <w:footnoteRef/>
      </w:r>
      <w:r>
        <w:t xml:space="preserve"> </w:t>
      </w:r>
      <w:proofErr w:type="spellStart"/>
      <w:r>
        <w:t>Crasson</w:t>
      </w:r>
      <w:proofErr w:type="spellEnd"/>
      <w:r>
        <w:t>. 1989: 8</w:t>
      </w:r>
    </w:p>
  </w:footnote>
  <w:footnote w:id="3">
    <w:p w14:paraId="2EBEBB77" w14:textId="77777777" w:rsidR="00303DA2" w:rsidRDefault="00303DA2" w:rsidP="009C0A73">
      <w:pPr>
        <w:pStyle w:val="FootnoteText"/>
      </w:pPr>
      <w:r>
        <w:rPr>
          <w:rStyle w:val="FootnoteReference"/>
        </w:rPr>
        <w:footnoteRef/>
      </w:r>
      <w:r>
        <w:t xml:space="preserve"> Cobb, M. 2013: 144</w:t>
      </w:r>
    </w:p>
  </w:footnote>
  <w:footnote w:id="4">
    <w:p w14:paraId="662A9EAB" w14:textId="77777777" w:rsidR="00303DA2" w:rsidRDefault="00303DA2" w:rsidP="009C0A73">
      <w:pPr>
        <w:pStyle w:val="FootnoteText"/>
      </w:pPr>
      <w:r>
        <w:rPr>
          <w:rStyle w:val="FootnoteReference"/>
        </w:rPr>
        <w:footnoteRef/>
      </w:r>
      <w:r>
        <w:t xml:space="preserve"> </w:t>
      </w:r>
      <w:proofErr w:type="spellStart"/>
      <w:r>
        <w:t>Gurukkal</w:t>
      </w:r>
      <w:proofErr w:type="spellEnd"/>
      <w:r>
        <w:t>, R. 2013: 186</w:t>
      </w:r>
    </w:p>
  </w:footnote>
  <w:footnote w:id="5">
    <w:p w14:paraId="0C15E92E" w14:textId="77777777" w:rsidR="00303DA2" w:rsidRDefault="00303DA2" w:rsidP="009C0A73">
      <w:pPr>
        <w:pStyle w:val="FootnoteText"/>
      </w:pPr>
      <w:r>
        <w:rPr>
          <w:rStyle w:val="FootnoteReference"/>
        </w:rPr>
        <w:footnoteRef/>
      </w:r>
      <w:r>
        <w:t xml:space="preserve"> </w:t>
      </w:r>
      <w:proofErr w:type="spellStart"/>
      <w:r>
        <w:t>Gurukkal</w:t>
      </w:r>
      <w:proofErr w:type="spellEnd"/>
      <w:r>
        <w:t>, R. 2013: 186</w:t>
      </w:r>
    </w:p>
  </w:footnote>
  <w:footnote w:id="6">
    <w:p w14:paraId="1CBEC444" w14:textId="713DA7A8" w:rsidR="00303DA2" w:rsidRDefault="00303DA2">
      <w:pPr>
        <w:pStyle w:val="FootnoteText"/>
      </w:pPr>
      <w:r>
        <w:rPr>
          <w:rStyle w:val="FootnoteReference"/>
        </w:rPr>
        <w:footnoteRef/>
      </w:r>
      <w:r>
        <w:t xml:space="preserve"> Wilson, A. 2015: 13</w:t>
      </w:r>
    </w:p>
  </w:footnote>
  <w:footnote w:id="7">
    <w:p w14:paraId="7EC48DB6" w14:textId="60597FB0" w:rsidR="00303DA2" w:rsidRDefault="00303DA2" w:rsidP="009C0A73">
      <w:pPr>
        <w:pStyle w:val="FootnoteText"/>
      </w:pPr>
      <w:r>
        <w:rPr>
          <w:rStyle w:val="FootnoteReference"/>
        </w:rPr>
        <w:footnoteRef/>
      </w:r>
      <w:r>
        <w:t xml:space="preserve"> </w:t>
      </w:r>
      <w:proofErr w:type="spellStart"/>
      <w:r>
        <w:t>Sch</w:t>
      </w:r>
      <w:r>
        <w:rPr>
          <w:rFonts w:cstheme="minorHAnsi"/>
        </w:rPr>
        <w:t>ö</w:t>
      </w:r>
      <w:r>
        <w:t>rle</w:t>
      </w:r>
      <w:proofErr w:type="spellEnd"/>
      <w:r>
        <w:t>, K. 2015: 43</w:t>
      </w:r>
    </w:p>
  </w:footnote>
  <w:footnote w:id="8">
    <w:p w14:paraId="12F58C46" w14:textId="6D34507D" w:rsidR="00303DA2" w:rsidRDefault="00303DA2">
      <w:pPr>
        <w:pStyle w:val="FootnoteText"/>
      </w:pPr>
      <w:r>
        <w:rPr>
          <w:rStyle w:val="FootnoteReference"/>
        </w:rPr>
        <w:footnoteRef/>
      </w:r>
      <w:r>
        <w:t xml:space="preserve"> Parker, G. 2002: 57</w:t>
      </w:r>
    </w:p>
  </w:footnote>
  <w:footnote w:id="9">
    <w:p w14:paraId="5B22850E" w14:textId="7D5631A5" w:rsidR="00303DA2" w:rsidRDefault="00303DA2">
      <w:pPr>
        <w:pStyle w:val="FootnoteText"/>
      </w:pPr>
      <w:r>
        <w:rPr>
          <w:rStyle w:val="FootnoteReference"/>
        </w:rPr>
        <w:footnoteRef/>
      </w:r>
      <w:r>
        <w:t xml:space="preserve"> </w:t>
      </w:r>
      <w:proofErr w:type="spellStart"/>
      <w:r>
        <w:t>Sch</w:t>
      </w:r>
      <w:r>
        <w:rPr>
          <w:rFonts w:cstheme="minorHAnsi"/>
        </w:rPr>
        <w:t>ö</w:t>
      </w:r>
      <w:r>
        <w:t>rle</w:t>
      </w:r>
      <w:proofErr w:type="spellEnd"/>
      <w:r>
        <w:t>, K. 2015: 43</w:t>
      </w:r>
    </w:p>
  </w:footnote>
  <w:footnote w:id="10">
    <w:p w14:paraId="16DC523A" w14:textId="19CD1D93" w:rsidR="00303DA2" w:rsidRDefault="00303DA2">
      <w:pPr>
        <w:pStyle w:val="FootnoteText"/>
      </w:pPr>
      <w:r>
        <w:rPr>
          <w:rStyle w:val="FootnoteReference"/>
        </w:rPr>
        <w:footnoteRef/>
      </w:r>
      <w:r>
        <w:t xml:space="preserve"> Parker, G. 2002: 42</w:t>
      </w:r>
    </w:p>
  </w:footnote>
  <w:footnote w:id="11">
    <w:p w14:paraId="3A89FFEF" w14:textId="4F3411A8" w:rsidR="00DC4B45" w:rsidRDefault="00DC4B45">
      <w:pPr>
        <w:pStyle w:val="FootnoteText"/>
      </w:pPr>
      <w:r>
        <w:rPr>
          <w:rStyle w:val="FootnoteReference"/>
        </w:rPr>
        <w:footnoteRef/>
      </w:r>
      <w:r>
        <w:t xml:space="preserve"> For luxury vs necessity see: Parker, G. 2002: 74; </w:t>
      </w:r>
      <w:proofErr w:type="spellStart"/>
      <w:r>
        <w:t>Sidebotham</w:t>
      </w:r>
      <w:proofErr w:type="spellEnd"/>
      <w:r>
        <w:t>. 1986: 45-176; Cobb, M. 2013: 137</w:t>
      </w:r>
    </w:p>
  </w:footnote>
  <w:footnote w:id="12">
    <w:p w14:paraId="7E60B343" w14:textId="2A8B18C6" w:rsidR="00251E5C" w:rsidRDefault="00251E5C">
      <w:pPr>
        <w:pStyle w:val="FootnoteText"/>
      </w:pPr>
      <w:r>
        <w:rPr>
          <w:rStyle w:val="FootnoteReference"/>
        </w:rPr>
        <w:footnoteRef/>
      </w:r>
      <w:r>
        <w:t xml:space="preserve"> </w:t>
      </w:r>
      <w:r w:rsidRPr="00251E5C">
        <w:t>Schmitt-</w:t>
      </w:r>
      <w:proofErr w:type="spellStart"/>
      <w:r w:rsidRPr="00251E5C">
        <w:t>Pantel</w:t>
      </w:r>
      <w:proofErr w:type="spellEnd"/>
      <w:r w:rsidRPr="00251E5C">
        <w:t>, P</w:t>
      </w:r>
      <w:r>
        <w:t xml:space="preserve">. </w:t>
      </w:r>
      <w:r w:rsidRPr="00251E5C">
        <w:t>2006</w:t>
      </w:r>
      <w:r>
        <w:t>: ‘</w:t>
      </w:r>
      <w:proofErr w:type="spellStart"/>
      <w:r w:rsidRPr="00251E5C">
        <w:t>Caelius</w:t>
      </w:r>
      <w:proofErr w:type="spellEnd"/>
      <w:r>
        <w:t>’</w:t>
      </w:r>
    </w:p>
  </w:footnote>
  <w:footnote w:id="13">
    <w:p w14:paraId="18C7F0CF" w14:textId="3506E36B" w:rsidR="00877E82" w:rsidRDefault="00877E82">
      <w:pPr>
        <w:pStyle w:val="FootnoteText"/>
      </w:pPr>
      <w:r>
        <w:rPr>
          <w:rStyle w:val="FootnoteReference"/>
        </w:rPr>
        <w:footnoteRef/>
      </w:r>
      <w:r>
        <w:t xml:space="preserve"> </w:t>
      </w:r>
      <w:proofErr w:type="spellStart"/>
      <w:r w:rsidRPr="00877E82">
        <w:t>Plin</w:t>
      </w:r>
      <w:proofErr w:type="spellEnd"/>
      <w:r w:rsidRPr="00877E82">
        <w:t>. Nat. 12.14</w:t>
      </w:r>
    </w:p>
  </w:footnote>
  <w:footnote w:id="14">
    <w:p w14:paraId="0B21174A" w14:textId="6407DBC7" w:rsidR="00704CAF" w:rsidRDefault="00704CAF">
      <w:pPr>
        <w:pStyle w:val="FootnoteText"/>
      </w:pPr>
      <w:r>
        <w:rPr>
          <w:rStyle w:val="FootnoteReference"/>
        </w:rPr>
        <w:footnoteRef/>
      </w:r>
      <w:r>
        <w:t xml:space="preserve"> </w:t>
      </w:r>
      <w:proofErr w:type="spellStart"/>
      <w:r w:rsidRPr="00704CAF">
        <w:t>Plin</w:t>
      </w:r>
      <w:proofErr w:type="spellEnd"/>
      <w:r w:rsidRPr="00704CAF">
        <w:t>. Nat. 12.41</w:t>
      </w:r>
    </w:p>
  </w:footnote>
  <w:footnote w:id="15">
    <w:p w14:paraId="3595AE53" w14:textId="38BDE4D8" w:rsidR="000B678E" w:rsidRDefault="000B678E">
      <w:pPr>
        <w:pStyle w:val="FootnoteText"/>
      </w:pPr>
      <w:r>
        <w:rPr>
          <w:rStyle w:val="FootnoteReference"/>
        </w:rPr>
        <w:footnoteRef/>
      </w:r>
      <w:r>
        <w:t xml:space="preserve"> Young, G.K. 2003: 182; Tacit</w:t>
      </w:r>
      <w:r w:rsidR="002D7D87">
        <w:t>us.Ann.3.53</w:t>
      </w:r>
    </w:p>
  </w:footnote>
  <w:footnote w:id="16">
    <w:p w14:paraId="3A514652" w14:textId="3E31A685" w:rsidR="00F51B1B" w:rsidRDefault="00F51B1B">
      <w:pPr>
        <w:pStyle w:val="FootnoteText"/>
      </w:pPr>
      <w:r>
        <w:rPr>
          <w:rStyle w:val="FootnoteReference"/>
        </w:rPr>
        <w:footnoteRef/>
      </w:r>
      <w:r>
        <w:t xml:space="preserve"> </w:t>
      </w:r>
      <w:r>
        <w:t>Parker, G. 2002: 67</w:t>
      </w:r>
    </w:p>
  </w:footnote>
  <w:footnote w:id="17">
    <w:p w14:paraId="161CA1F6" w14:textId="11A38F23" w:rsidR="008C2053" w:rsidRDefault="008C2053">
      <w:pPr>
        <w:pStyle w:val="FootnoteText"/>
      </w:pPr>
      <w:r>
        <w:rPr>
          <w:rStyle w:val="FootnoteReference"/>
        </w:rPr>
        <w:footnoteRef/>
      </w:r>
      <w:r>
        <w:t xml:space="preserve"> </w:t>
      </w:r>
      <w:r>
        <w:t>Turner, P. 2016</w:t>
      </w:r>
    </w:p>
  </w:footnote>
  <w:footnote w:id="18">
    <w:p w14:paraId="5CE94A94" w14:textId="2EE4324C" w:rsidR="00195A4C" w:rsidRDefault="00195A4C">
      <w:pPr>
        <w:pStyle w:val="FootnoteText"/>
      </w:pPr>
      <w:r>
        <w:rPr>
          <w:rStyle w:val="FootnoteReference"/>
        </w:rPr>
        <w:footnoteRef/>
      </w:r>
      <w:r>
        <w:t xml:space="preserve"> Young, G. 2003: 183</w:t>
      </w:r>
      <w:r w:rsidR="00AC3B09">
        <w:t xml:space="preserve">; </w:t>
      </w:r>
      <w:proofErr w:type="spellStart"/>
      <w:r w:rsidR="00AC3B09">
        <w:t>Casson</w:t>
      </w:r>
      <w:proofErr w:type="spellEnd"/>
      <w:r w:rsidR="00AC3B09">
        <w:t>, L. 1989</w:t>
      </w:r>
      <w:r w:rsidR="00AC3B09">
        <w:t>: 29-31</w:t>
      </w:r>
    </w:p>
  </w:footnote>
  <w:footnote w:id="19">
    <w:p w14:paraId="6CCBF4DE" w14:textId="0369304D" w:rsidR="001A0F3D" w:rsidRDefault="001A0F3D">
      <w:pPr>
        <w:pStyle w:val="FootnoteText"/>
      </w:pPr>
      <w:r>
        <w:rPr>
          <w:rStyle w:val="FootnoteReference"/>
        </w:rPr>
        <w:footnoteRef/>
      </w:r>
      <w:r>
        <w:t xml:space="preserve"> Wilson, A. 2015: 13</w:t>
      </w:r>
    </w:p>
  </w:footnote>
  <w:footnote w:id="20">
    <w:p w14:paraId="0B30F6A4" w14:textId="738D9A3A" w:rsidR="00496E0C" w:rsidRDefault="00496E0C">
      <w:pPr>
        <w:pStyle w:val="FootnoteText"/>
      </w:pPr>
      <w:r>
        <w:rPr>
          <w:rStyle w:val="FootnoteReference"/>
        </w:rPr>
        <w:footnoteRef/>
      </w:r>
      <w:r>
        <w:t xml:space="preserve"> Young, G.K. 2003: 182</w:t>
      </w:r>
    </w:p>
  </w:footnote>
  <w:footnote w:id="21">
    <w:p w14:paraId="4260B370" w14:textId="088B155E" w:rsidR="00450FCA" w:rsidRDefault="00450FCA">
      <w:pPr>
        <w:pStyle w:val="FootnoteText"/>
      </w:pPr>
      <w:r>
        <w:rPr>
          <w:rStyle w:val="FootnoteReference"/>
        </w:rPr>
        <w:footnoteRef/>
      </w:r>
      <w:r>
        <w:t xml:space="preserve"> </w:t>
      </w:r>
      <w:r>
        <w:t>Duncan-Jones, R. 2006</w:t>
      </w:r>
      <w:r>
        <w:t>: 4; Wilson, A. 2015: 22</w:t>
      </w:r>
    </w:p>
  </w:footnote>
  <w:footnote w:id="22">
    <w:p w14:paraId="53888572" w14:textId="3E82F9B1" w:rsidR="00450FCA" w:rsidRDefault="00450FCA">
      <w:pPr>
        <w:pStyle w:val="FootnoteText"/>
      </w:pPr>
      <w:r>
        <w:rPr>
          <w:rStyle w:val="FootnoteReference"/>
        </w:rPr>
        <w:footnoteRef/>
      </w:r>
      <w:r>
        <w:t xml:space="preserve"> Young, G. 2003: 187</w:t>
      </w:r>
    </w:p>
  </w:footnote>
  <w:footnote w:id="23">
    <w:p w14:paraId="471A2111" w14:textId="5419B99C" w:rsidR="00450FCA" w:rsidRDefault="00450FCA">
      <w:pPr>
        <w:pStyle w:val="FootnoteText"/>
      </w:pPr>
      <w:r>
        <w:rPr>
          <w:rStyle w:val="FootnoteReference"/>
        </w:rPr>
        <w:footnoteRef/>
      </w:r>
      <w:r>
        <w:t xml:space="preserve"> Young, G. 2003: 187</w:t>
      </w:r>
    </w:p>
  </w:footnote>
  <w:footnote w:id="24">
    <w:p w14:paraId="22E1B25B" w14:textId="6D2393DC" w:rsidR="006A24E0" w:rsidRDefault="006A24E0">
      <w:pPr>
        <w:pStyle w:val="FootnoteText"/>
      </w:pPr>
      <w:r>
        <w:rPr>
          <w:rStyle w:val="FootnoteReference"/>
        </w:rPr>
        <w:footnoteRef/>
      </w:r>
      <w:r>
        <w:t xml:space="preserve"> Wilson, A. 2015: 22</w:t>
      </w:r>
    </w:p>
  </w:footnote>
  <w:footnote w:id="25">
    <w:p w14:paraId="3E64C007" w14:textId="22350171" w:rsidR="006A24E0" w:rsidRDefault="006A24E0">
      <w:pPr>
        <w:pStyle w:val="FootnoteText"/>
      </w:pPr>
      <w:r>
        <w:rPr>
          <w:rStyle w:val="FootnoteReference"/>
        </w:rPr>
        <w:footnoteRef/>
      </w:r>
      <w:r>
        <w:t xml:space="preserve"> </w:t>
      </w:r>
      <w:proofErr w:type="spellStart"/>
      <w:r w:rsidRPr="006A24E0">
        <w:t>Strab</w:t>
      </w:r>
      <w:proofErr w:type="spellEnd"/>
      <w:r w:rsidRPr="006A24E0">
        <w:t>. 2.5</w:t>
      </w:r>
      <w:r>
        <w:t>.12</w:t>
      </w:r>
    </w:p>
  </w:footnote>
  <w:footnote w:id="26">
    <w:p w14:paraId="5745352C" w14:textId="1503E4D4" w:rsidR="008C2053" w:rsidRDefault="008C2053">
      <w:pPr>
        <w:pStyle w:val="FootnoteText"/>
      </w:pPr>
      <w:r>
        <w:rPr>
          <w:rStyle w:val="FootnoteReference"/>
        </w:rPr>
        <w:footnoteRef/>
      </w:r>
      <w:r>
        <w:t xml:space="preserve"> Rathbone. 2000: 43</w:t>
      </w:r>
    </w:p>
  </w:footnote>
  <w:footnote w:id="27">
    <w:p w14:paraId="6F437A28" w14:textId="38490299" w:rsidR="00950212" w:rsidRDefault="00950212">
      <w:pPr>
        <w:pStyle w:val="FootnoteText"/>
      </w:pPr>
      <w:r>
        <w:rPr>
          <w:rStyle w:val="FootnoteReference"/>
        </w:rPr>
        <w:footnoteRef/>
      </w:r>
      <w:r>
        <w:t xml:space="preserve"> </w:t>
      </w:r>
      <w:proofErr w:type="spellStart"/>
      <w:r>
        <w:t>Sch</w:t>
      </w:r>
      <w:r>
        <w:rPr>
          <w:rFonts w:cstheme="minorHAnsi"/>
        </w:rPr>
        <w:t>ö</w:t>
      </w:r>
      <w:r>
        <w:t>rle</w:t>
      </w:r>
      <w:proofErr w:type="spellEnd"/>
      <w:r>
        <w:t xml:space="preserve">, K. 2015: </w:t>
      </w:r>
      <w:r>
        <w:t>50</w:t>
      </w:r>
    </w:p>
  </w:footnote>
  <w:footnote w:id="28">
    <w:p w14:paraId="6F4FF051" w14:textId="2E6D00DB" w:rsidR="00950212" w:rsidRDefault="00950212">
      <w:pPr>
        <w:pStyle w:val="FootnoteText"/>
      </w:pPr>
      <w:r>
        <w:rPr>
          <w:rStyle w:val="FootnoteReference"/>
        </w:rPr>
        <w:footnoteRef/>
      </w:r>
      <w:r>
        <w:t xml:space="preserve"> </w:t>
      </w:r>
      <w:proofErr w:type="spellStart"/>
      <w:r w:rsidRPr="00950212">
        <w:t>Plin</w:t>
      </w:r>
      <w:proofErr w:type="spellEnd"/>
      <w:r w:rsidRPr="00950212">
        <w:t>. Nat. 6.24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4C3122"/>
    <w:multiLevelType w:val="hybridMultilevel"/>
    <w:tmpl w:val="D9842ECE"/>
    <w:lvl w:ilvl="0" w:tplc="246206E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AE22BE"/>
    <w:multiLevelType w:val="hybridMultilevel"/>
    <w:tmpl w:val="93EA1C9A"/>
    <w:lvl w:ilvl="0" w:tplc="E9B2D936">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FE9"/>
    <w:rsid w:val="0006462D"/>
    <w:rsid w:val="000B678E"/>
    <w:rsid w:val="000D6E5A"/>
    <w:rsid w:val="000D7AA7"/>
    <w:rsid w:val="000E537D"/>
    <w:rsid w:val="00152256"/>
    <w:rsid w:val="0015542F"/>
    <w:rsid w:val="00195A4C"/>
    <w:rsid w:val="001A0F3D"/>
    <w:rsid w:val="001B27B1"/>
    <w:rsid w:val="001B47BE"/>
    <w:rsid w:val="001C6666"/>
    <w:rsid w:val="001D648E"/>
    <w:rsid w:val="00222BE0"/>
    <w:rsid w:val="00251E5C"/>
    <w:rsid w:val="002649FA"/>
    <w:rsid w:val="002902E2"/>
    <w:rsid w:val="002D7D87"/>
    <w:rsid w:val="00303DA2"/>
    <w:rsid w:val="00312746"/>
    <w:rsid w:val="00352261"/>
    <w:rsid w:val="003929F7"/>
    <w:rsid w:val="00450FCA"/>
    <w:rsid w:val="00471C10"/>
    <w:rsid w:val="00496E0C"/>
    <w:rsid w:val="004A2CAC"/>
    <w:rsid w:val="0053271B"/>
    <w:rsid w:val="00552041"/>
    <w:rsid w:val="00553125"/>
    <w:rsid w:val="005945D4"/>
    <w:rsid w:val="005C614E"/>
    <w:rsid w:val="005C6CD8"/>
    <w:rsid w:val="006411EA"/>
    <w:rsid w:val="006451CA"/>
    <w:rsid w:val="006661E4"/>
    <w:rsid w:val="006A24E0"/>
    <w:rsid w:val="006F67D8"/>
    <w:rsid w:val="00704CAF"/>
    <w:rsid w:val="00877E82"/>
    <w:rsid w:val="008A2486"/>
    <w:rsid w:val="008C2053"/>
    <w:rsid w:val="008C2932"/>
    <w:rsid w:val="0091115F"/>
    <w:rsid w:val="00915CE2"/>
    <w:rsid w:val="00950212"/>
    <w:rsid w:val="009C0A73"/>
    <w:rsid w:val="00A52019"/>
    <w:rsid w:val="00A72732"/>
    <w:rsid w:val="00AA38A1"/>
    <w:rsid w:val="00AC3B09"/>
    <w:rsid w:val="00B50E37"/>
    <w:rsid w:val="00B6751C"/>
    <w:rsid w:val="00BE77E6"/>
    <w:rsid w:val="00C4447D"/>
    <w:rsid w:val="00CF5BB8"/>
    <w:rsid w:val="00D447D6"/>
    <w:rsid w:val="00D73F37"/>
    <w:rsid w:val="00D848CB"/>
    <w:rsid w:val="00D87BAB"/>
    <w:rsid w:val="00D96BA1"/>
    <w:rsid w:val="00DC35F8"/>
    <w:rsid w:val="00DC4B45"/>
    <w:rsid w:val="00DF1246"/>
    <w:rsid w:val="00DF1910"/>
    <w:rsid w:val="00E9719D"/>
    <w:rsid w:val="00E97644"/>
    <w:rsid w:val="00ED4AF4"/>
    <w:rsid w:val="00F05A86"/>
    <w:rsid w:val="00F13A83"/>
    <w:rsid w:val="00F44338"/>
    <w:rsid w:val="00F51B1B"/>
    <w:rsid w:val="00F52B3B"/>
    <w:rsid w:val="00F56FE9"/>
    <w:rsid w:val="00F83407"/>
    <w:rsid w:val="00F93944"/>
    <w:rsid w:val="00FB693E"/>
    <w:rsid w:val="00FD09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3212]"/>
    </o:shapedefaults>
    <o:shapelayout v:ext="edit">
      <o:idmap v:ext="edit" data="1"/>
    </o:shapelayout>
  </w:shapeDefaults>
  <w:decimalSymbol w:val="."/>
  <w:listSeparator w:val=","/>
  <w14:docId w14:val="25CD6BA3"/>
  <w15:chartTrackingRefBased/>
  <w15:docId w15:val="{EDBF897B-0579-4DB4-83C7-765FE9820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3271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3271B"/>
    <w:rPr>
      <w:sz w:val="20"/>
      <w:szCs w:val="20"/>
    </w:rPr>
  </w:style>
  <w:style w:type="character" w:styleId="FootnoteReference">
    <w:name w:val="footnote reference"/>
    <w:basedOn w:val="DefaultParagraphFont"/>
    <w:uiPriority w:val="99"/>
    <w:semiHidden/>
    <w:unhideWhenUsed/>
    <w:rsid w:val="0053271B"/>
    <w:rPr>
      <w:vertAlign w:val="superscript"/>
    </w:rPr>
  </w:style>
  <w:style w:type="character" w:styleId="CommentReference">
    <w:name w:val="annotation reference"/>
    <w:basedOn w:val="DefaultParagraphFont"/>
    <w:uiPriority w:val="99"/>
    <w:semiHidden/>
    <w:unhideWhenUsed/>
    <w:rsid w:val="00E9719D"/>
    <w:rPr>
      <w:sz w:val="16"/>
      <w:szCs w:val="16"/>
    </w:rPr>
  </w:style>
  <w:style w:type="paragraph" w:styleId="CommentText">
    <w:name w:val="annotation text"/>
    <w:basedOn w:val="Normal"/>
    <w:link w:val="CommentTextChar"/>
    <w:uiPriority w:val="99"/>
    <w:semiHidden/>
    <w:unhideWhenUsed/>
    <w:rsid w:val="00E9719D"/>
    <w:pPr>
      <w:spacing w:line="240" w:lineRule="auto"/>
    </w:pPr>
    <w:rPr>
      <w:sz w:val="20"/>
      <w:szCs w:val="20"/>
    </w:rPr>
  </w:style>
  <w:style w:type="character" w:customStyle="1" w:styleId="CommentTextChar">
    <w:name w:val="Comment Text Char"/>
    <w:basedOn w:val="DefaultParagraphFont"/>
    <w:link w:val="CommentText"/>
    <w:uiPriority w:val="99"/>
    <w:semiHidden/>
    <w:rsid w:val="00E9719D"/>
    <w:rPr>
      <w:sz w:val="20"/>
      <w:szCs w:val="20"/>
    </w:rPr>
  </w:style>
  <w:style w:type="paragraph" w:styleId="CommentSubject">
    <w:name w:val="annotation subject"/>
    <w:basedOn w:val="CommentText"/>
    <w:next w:val="CommentText"/>
    <w:link w:val="CommentSubjectChar"/>
    <w:uiPriority w:val="99"/>
    <w:semiHidden/>
    <w:unhideWhenUsed/>
    <w:rsid w:val="00E9719D"/>
    <w:rPr>
      <w:b/>
      <w:bCs/>
    </w:rPr>
  </w:style>
  <w:style w:type="character" w:customStyle="1" w:styleId="CommentSubjectChar">
    <w:name w:val="Comment Subject Char"/>
    <w:basedOn w:val="CommentTextChar"/>
    <w:link w:val="CommentSubject"/>
    <w:uiPriority w:val="99"/>
    <w:semiHidden/>
    <w:rsid w:val="00E9719D"/>
    <w:rPr>
      <w:b/>
      <w:bCs/>
      <w:sz w:val="20"/>
      <w:szCs w:val="20"/>
    </w:rPr>
  </w:style>
  <w:style w:type="paragraph" w:styleId="BalloonText">
    <w:name w:val="Balloon Text"/>
    <w:basedOn w:val="Normal"/>
    <w:link w:val="BalloonTextChar"/>
    <w:uiPriority w:val="99"/>
    <w:semiHidden/>
    <w:unhideWhenUsed/>
    <w:rsid w:val="00E9719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9719D"/>
    <w:rPr>
      <w:rFonts w:ascii="Segoe UI" w:hAnsi="Segoe UI" w:cs="Segoe UI"/>
      <w:sz w:val="18"/>
      <w:szCs w:val="18"/>
    </w:rPr>
  </w:style>
  <w:style w:type="paragraph" w:styleId="ListParagraph">
    <w:name w:val="List Paragraph"/>
    <w:basedOn w:val="Normal"/>
    <w:uiPriority w:val="34"/>
    <w:qFormat/>
    <w:rsid w:val="00D848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6737919">
      <w:bodyDiv w:val="1"/>
      <w:marLeft w:val="0"/>
      <w:marRight w:val="0"/>
      <w:marTop w:val="0"/>
      <w:marBottom w:val="0"/>
      <w:divBdr>
        <w:top w:val="none" w:sz="0" w:space="0" w:color="auto"/>
        <w:left w:val="none" w:sz="0" w:space="0" w:color="auto"/>
        <w:bottom w:val="none" w:sz="0" w:space="0" w:color="auto"/>
        <w:right w:val="none" w:sz="0" w:space="0" w:color="auto"/>
      </w:divBdr>
    </w:div>
    <w:div w:id="2001884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F5CE8C-F74F-461A-8EAE-8901A4EF8E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2290</TotalTime>
  <Pages>4</Pages>
  <Words>2128</Words>
  <Characters>12130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Northover</dc:creator>
  <cp:keywords/>
  <dc:description/>
  <cp:lastModifiedBy>David Northover</cp:lastModifiedBy>
  <cp:revision>15</cp:revision>
  <dcterms:created xsi:type="dcterms:W3CDTF">2017-12-12T20:35:00Z</dcterms:created>
  <dcterms:modified xsi:type="dcterms:W3CDTF">2017-12-17T17:09:00Z</dcterms:modified>
</cp:coreProperties>
</file>