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sz w:val="30"/>
          <w:szCs w:val="30"/>
          <w:lang w:val="en-US" w:eastAsia="zh-CN"/>
        </w:rPr>
      </w:pPr>
      <w:r>
        <w:rPr>
          <w:rFonts w:hint="default"/>
          <w:sz w:val="30"/>
          <w:szCs w:val="30"/>
          <w:lang w:val="en-US" w:eastAsia="zh-CN"/>
        </w:rPr>
        <w:t xml:space="preserve">From Texts to Attitudes: Exploring </w:t>
      </w:r>
      <w:r>
        <w:rPr>
          <w:rFonts w:hint="eastAsia"/>
          <w:sz w:val="30"/>
          <w:szCs w:val="30"/>
          <w:lang w:val="en-US" w:eastAsia="zh-CN"/>
        </w:rPr>
        <w:t>Genera</w:t>
      </w:r>
      <w:r>
        <w:rPr>
          <w:rFonts w:hint="default"/>
          <w:sz w:val="30"/>
          <w:szCs w:val="30"/>
          <w:lang w:val="en-US" w:eastAsia="zh-CN"/>
        </w:rPr>
        <w:t>tive AI in English as a Foreign Language (EFL) Writing</w:t>
      </w:r>
    </w:p>
    <w:p>
      <w:pPr>
        <w:jc w:val="left"/>
        <w:rPr>
          <w:rFonts w:hint="default" w:ascii="Calibri Bold" w:hAnsi="Calibri Bold" w:cs="Calibri Bold"/>
          <w:b/>
          <w:bCs/>
          <w:u w:val="single"/>
          <w:lang w:val="en-US" w:eastAsia="zh-CN"/>
        </w:rPr>
      </w:pPr>
      <w:r>
        <w:rPr>
          <w:rFonts w:hint="default" w:ascii="Calibri Bold" w:hAnsi="Calibri Bold" w:cs="Calibri Bold"/>
          <w:b/>
          <w:bCs/>
          <w:u w:val="single"/>
          <w:lang w:val="en-US" w:eastAsia="zh-CN"/>
        </w:rPr>
        <w:t>Introduction</w:t>
      </w:r>
    </w:p>
    <w:p>
      <w:pPr>
        <w:jc w:val="left"/>
        <w:rPr>
          <w:rFonts w:hint="default" w:ascii="Calibri Bold" w:hAnsi="Calibri Bold" w:cs="Calibri Bold"/>
          <w:b/>
          <w:bCs/>
          <w:u w:val="single"/>
          <w:lang w:val="en-US" w:eastAsia="zh-CN"/>
        </w:rPr>
      </w:pPr>
    </w:p>
    <w:p>
      <w:pPr>
        <w:jc w:val="both"/>
        <w:rPr>
          <w:rFonts w:hint="default" w:cstheme="minorHAnsi"/>
          <w:sz w:val="20"/>
          <w:szCs w:val="20"/>
          <w:lang w:val="en-US"/>
        </w:rPr>
      </w:pPr>
      <w:r>
        <w:rPr>
          <w:rFonts w:hint="default" w:cstheme="minorHAnsi"/>
          <w:sz w:val="20"/>
          <w:szCs w:val="20"/>
          <w:lang w:val="en-US"/>
        </w:rPr>
        <w:t xml:space="preserve">The introduction of ChatGPT 3.5 in November 2022 has generated significant interest in the educational sector, highlighting its potential to support students’ writing through its text-generation abilities. Generative AI not only assists students in generating ideas and constructing frameworks but also excels at providing instant feedback for language proofreading and polishing. Existing studies on the role of </w:t>
      </w:r>
      <w:r>
        <w:rPr>
          <w:rFonts w:hint="eastAsia" w:cstheme="minorHAnsi"/>
          <w:sz w:val="20"/>
          <w:szCs w:val="20"/>
          <w:lang w:val="en-US" w:eastAsia="zh-CN"/>
        </w:rPr>
        <w:t>g</w:t>
      </w:r>
      <w:r>
        <w:rPr>
          <w:rFonts w:hint="default" w:cstheme="minorHAnsi"/>
          <w:sz w:val="20"/>
          <w:szCs w:val="20"/>
          <w:lang w:val="en-US"/>
        </w:rPr>
        <w:t>enerative AI in writing mainly emphasise its potentials and challenges (</w:t>
      </w:r>
      <w:r>
        <w:rPr>
          <w:rFonts w:hint="default" w:cstheme="minorHAnsi"/>
          <w:sz w:val="20"/>
          <w:szCs w:val="20"/>
          <w:highlight w:val="none"/>
          <w:lang w:val="en-US"/>
        </w:rPr>
        <w:t xml:space="preserve">Barrot, 2023; Wang and Dang, 2024; </w:t>
      </w:r>
      <w:r>
        <w:rPr>
          <w:rFonts w:hint="default" w:cstheme="minorHAnsi"/>
          <w:sz w:val="20"/>
          <w:szCs w:val="20"/>
          <w:highlight w:val="none"/>
          <w:lang w:val="en-GB" w:eastAsia="en-GB"/>
        </w:rPr>
        <w:t>Stewart</w:t>
      </w:r>
      <w:r>
        <w:rPr>
          <w:rFonts w:hint="default" w:cstheme="minorHAnsi"/>
          <w:sz w:val="20"/>
          <w:szCs w:val="20"/>
          <w:highlight w:val="none"/>
          <w:lang w:val="en-US" w:eastAsia="en-GB"/>
        </w:rPr>
        <w:t>,</w:t>
      </w:r>
      <w:r>
        <w:rPr>
          <w:rFonts w:hint="default" w:cstheme="minorHAnsi"/>
          <w:sz w:val="20"/>
          <w:szCs w:val="20"/>
          <w:highlight w:val="none"/>
          <w:lang w:val="en-GB" w:eastAsia="en-GB"/>
        </w:rPr>
        <w:t xml:space="preserve"> 2023; Teng</w:t>
      </w:r>
      <w:r>
        <w:rPr>
          <w:rFonts w:hint="default" w:cstheme="minorHAnsi"/>
          <w:sz w:val="20"/>
          <w:szCs w:val="20"/>
          <w:highlight w:val="none"/>
          <w:lang w:val="en-US" w:eastAsia="en-GB"/>
        </w:rPr>
        <w:t xml:space="preserve">, </w:t>
      </w:r>
      <w:r>
        <w:rPr>
          <w:rFonts w:hint="default" w:cstheme="minorHAnsi"/>
          <w:sz w:val="20"/>
          <w:szCs w:val="20"/>
          <w:highlight w:val="none"/>
          <w:lang w:val="en-GB" w:eastAsia="en-GB"/>
        </w:rPr>
        <w:t>2023</w:t>
      </w:r>
      <w:r>
        <w:rPr>
          <w:rFonts w:hint="default" w:cstheme="minorHAnsi"/>
          <w:sz w:val="20"/>
          <w:szCs w:val="20"/>
          <w:lang w:val="en-US" w:eastAsia="en-GB"/>
        </w:rPr>
        <w:t>)</w:t>
      </w:r>
      <w:r>
        <w:rPr>
          <w:rFonts w:hint="default" w:cstheme="minorHAnsi"/>
          <w:sz w:val="20"/>
          <w:szCs w:val="20"/>
          <w:lang w:val="en-US"/>
        </w:rPr>
        <w:t xml:space="preserve">, as well as its application within and beyond classroom settings </w:t>
      </w:r>
      <w:r>
        <w:rPr>
          <w:rFonts w:hint="default" w:cstheme="minorHAnsi"/>
          <w:sz w:val="20"/>
          <w:szCs w:val="20"/>
          <w:highlight w:val="none"/>
          <w:lang w:val="en-US"/>
        </w:rPr>
        <w:t>(</w:t>
      </w:r>
      <w:r>
        <w:rPr>
          <w:rFonts w:hint="default" w:cstheme="minorHAnsi"/>
          <w:sz w:val="20"/>
          <w:szCs w:val="20"/>
          <w:highlight w:val="none"/>
          <w:lang w:val="en-GB" w:eastAsia="en-GB"/>
        </w:rPr>
        <w:t xml:space="preserve">Chen </w:t>
      </w:r>
      <w:r>
        <w:rPr>
          <w:rFonts w:hint="default" w:ascii="Calibri Italic" w:hAnsi="Calibri Italic" w:cs="Calibri Italic"/>
          <w:i/>
          <w:iCs/>
          <w:sz w:val="20"/>
          <w:szCs w:val="20"/>
          <w:highlight w:val="none"/>
          <w:lang w:val="en-GB" w:eastAsia="en-GB"/>
        </w:rPr>
        <w:t>et al.</w:t>
      </w:r>
      <w:r>
        <w:rPr>
          <w:rFonts w:hint="default" w:ascii="Calibri Italic" w:hAnsi="Calibri Italic" w:cs="Calibri Italic"/>
          <w:i/>
          <w:iCs/>
          <w:sz w:val="20"/>
          <w:szCs w:val="20"/>
          <w:highlight w:val="none"/>
          <w:lang w:val="en-US" w:eastAsia="en-GB"/>
        </w:rPr>
        <w:t>,</w:t>
      </w:r>
      <w:r>
        <w:rPr>
          <w:rFonts w:hint="default" w:ascii="Calibri Italic" w:hAnsi="Calibri Italic" w:cs="Calibri Italic"/>
          <w:i/>
          <w:iCs/>
          <w:sz w:val="20"/>
          <w:szCs w:val="20"/>
          <w:highlight w:val="none"/>
          <w:lang w:val="en-GB" w:eastAsia="en-GB"/>
        </w:rPr>
        <w:t xml:space="preserve"> </w:t>
      </w:r>
      <w:r>
        <w:rPr>
          <w:rFonts w:hint="default" w:cstheme="minorHAnsi"/>
          <w:sz w:val="20"/>
          <w:szCs w:val="20"/>
          <w:highlight w:val="none"/>
          <w:lang w:val="en-GB" w:eastAsia="en-GB"/>
        </w:rPr>
        <w:t>2023</w:t>
      </w:r>
      <w:r>
        <w:rPr>
          <w:rFonts w:hint="default" w:cstheme="minorHAnsi"/>
          <w:sz w:val="20"/>
          <w:szCs w:val="20"/>
          <w:highlight w:val="none"/>
          <w:lang w:val="en-US" w:eastAsia="en-GB"/>
        </w:rPr>
        <w:t xml:space="preserve">; </w:t>
      </w:r>
      <w:r>
        <w:rPr>
          <w:rFonts w:hint="default" w:cstheme="minorHAnsi"/>
          <w:sz w:val="20"/>
          <w:szCs w:val="20"/>
          <w:highlight w:val="none"/>
          <w:lang w:val="en-GB" w:eastAsia="en-GB"/>
        </w:rPr>
        <w:t>Wang, Li and Bonk</w:t>
      </w:r>
      <w:r>
        <w:rPr>
          <w:rFonts w:hint="default" w:cstheme="minorHAnsi"/>
          <w:sz w:val="20"/>
          <w:szCs w:val="20"/>
          <w:highlight w:val="none"/>
          <w:lang w:val="en-US" w:eastAsia="en-GB"/>
        </w:rPr>
        <w:t>, 2024)</w:t>
      </w:r>
      <w:r>
        <w:rPr>
          <w:rFonts w:hint="default" w:cstheme="minorHAnsi"/>
          <w:sz w:val="20"/>
          <w:szCs w:val="20"/>
          <w:lang w:val="en-US"/>
        </w:rPr>
        <w:t xml:space="preserve">. </w:t>
      </w:r>
    </w:p>
    <w:p>
      <w:pPr>
        <w:jc w:val="both"/>
        <w:rPr>
          <w:rFonts w:hint="default" w:cstheme="minorHAnsi"/>
          <w:sz w:val="20"/>
          <w:szCs w:val="20"/>
          <w:lang w:val="en-US"/>
        </w:rPr>
      </w:pPr>
    </w:p>
    <w:p>
      <w:pPr>
        <w:jc w:val="both"/>
        <w:rPr>
          <w:rFonts w:hint="default" w:cstheme="minorHAnsi"/>
          <w:sz w:val="20"/>
          <w:szCs w:val="20"/>
          <w:lang w:val="en-US"/>
        </w:rPr>
      </w:pPr>
      <w:r>
        <w:rPr>
          <w:rFonts w:hint="default" w:cstheme="minorHAnsi"/>
          <w:sz w:val="20"/>
          <w:szCs w:val="20"/>
          <w:lang w:val="en-US"/>
        </w:rPr>
        <w:t xml:space="preserve">However, little attention has been paid to practice-based studies that investigate the linguistic features of EFL learners’ </w:t>
      </w:r>
      <w:r>
        <w:rPr>
          <w:rFonts w:hint="eastAsia" w:cstheme="minorHAnsi"/>
          <w:sz w:val="20"/>
          <w:szCs w:val="20"/>
          <w:lang w:val="en-US" w:eastAsia="zh-CN"/>
        </w:rPr>
        <w:t>g</w:t>
      </w:r>
      <w:r>
        <w:rPr>
          <w:rFonts w:hint="default" w:cstheme="minorHAnsi"/>
          <w:sz w:val="20"/>
          <w:szCs w:val="20"/>
          <w:lang w:val="en-US"/>
        </w:rPr>
        <w:t xml:space="preserve">enerative AI-assisted writing texts. Additionally, there are limited empirical studies comparing generative AI-assisted writing with traditional writing to explore differences in linguistic features and overall writing quality. How EFL students perceive generative AI tools during the writing process is also worth further exploration, as it can offer insights for optimising its application in EFL educational practices. </w:t>
      </w:r>
    </w:p>
    <w:p>
      <w:pPr>
        <w:jc w:val="both"/>
        <w:rPr>
          <w:rFonts w:hint="default" w:cstheme="minorHAnsi"/>
          <w:sz w:val="20"/>
          <w:szCs w:val="20"/>
          <w:lang w:val="en-US"/>
        </w:rPr>
      </w:pPr>
    </w:p>
    <w:p>
      <w:pPr>
        <w:jc w:val="both"/>
        <w:rPr>
          <w:rFonts w:hint="default" w:cstheme="minorHAnsi"/>
          <w:sz w:val="20"/>
          <w:szCs w:val="20"/>
          <w:lang w:val="en-US" w:eastAsia="zh-CN"/>
        </w:rPr>
      </w:pPr>
      <w:r>
        <w:rPr>
          <w:rFonts w:hint="default" w:cstheme="minorHAnsi"/>
          <w:sz w:val="20"/>
          <w:szCs w:val="20"/>
          <w:lang w:val="en-US"/>
        </w:rPr>
        <w:t xml:space="preserve">Therefore, this study seeks to examine the role of generative AI in EFL students’ writing by implementing a comparative writing task to evaluate its effects on linguistic features and conducting follow-up interviews to understand students’ perspectives and experiences during the AI-supported writing process. </w:t>
      </w:r>
    </w:p>
    <w:p>
      <w:pPr>
        <w:jc w:val="left"/>
        <w:rPr>
          <w:rFonts w:hint="default" w:ascii="Calibri Bold" w:hAnsi="Calibri Bold" w:cs="Calibri Bold"/>
          <w:b/>
          <w:bCs/>
          <w:u w:val="single"/>
          <w:lang w:val="en-US" w:eastAsia="zh-CN"/>
        </w:rPr>
      </w:pPr>
    </w:p>
    <w:p>
      <w:pPr>
        <w:jc w:val="left"/>
        <w:rPr>
          <w:rFonts w:hint="default" w:ascii="Calibri Bold" w:hAnsi="Calibri Bold" w:cs="Calibri Bold"/>
          <w:b/>
          <w:bCs/>
          <w:u w:val="single"/>
          <w:lang w:val="en-US" w:eastAsia="zh-CN"/>
        </w:rPr>
      </w:pPr>
      <w:r>
        <w:rPr>
          <w:rFonts w:hint="default" w:ascii="Calibri Bold" w:hAnsi="Calibri Bold" w:cs="Calibri Bold"/>
          <w:b/>
          <w:bCs/>
          <w:u w:val="single"/>
          <w:lang w:val="en-US" w:eastAsia="zh-CN"/>
        </w:rPr>
        <w:t>Chosen Method</w:t>
      </w:r>
    </w:p>
    <w:p>
      <w:pPr>
        <w:jc w:val="left"/>
        <w:rPr>
          <w:rFonts w:hint="default" w:ascii="Calibri Bold" w:hAnsi="Calibri Bold" w:cs="Calibri Bold"/>
          <w:b/>
          <w:bCs/>
          <w:u w:val="single"/>
          <w:lang w:val="en-US" w:eastAsia="zh-CN"/>
        </w:rPr>
      </w:pPr>
    </w:p>
    <w:p>
      <w:pPr>
        <w:numPr>
          <w:ilvl w:val="0"/>
          <w:numId w:val="1"/>
        </w:numPr>
        <w:ind w:left="420" w:leftChars="0" w:hanging="420" w:firstLineChars="0"/>
        <w:jc w:val="both"/>
        <w:rPr>
          <w:rFonts w:hint="default" w:cstheme="minorHAnsi"/>
          <w:sz w:val="20"/>
          <w:szCs w:val="20"/>
          <w:lang w:val="en-US" w:eastAsia="zh-CN"/>
        </w:rPr>
      </w:pPr>
      <w:r>
        <w:rPr>
          <w:rFonts w:hint="default" w:cstheme="minorHAnsi"/>
          <w:sz w:val="20"/>
          <w:szCs w:val="20"/>
          <w:lang w:val="en-US" w:eastAsia="zh-CN"/>
        </w:rPr>
        <w:t>Philosophical Foundation:</w:t>
      </w:r>
      <w:r>
        <w:rPr>
          <w:rFonts w:hint="default" w:cstheme="minorHAnsi"/>
          <w:sz w:val="20"/>
          <w:szCs w:val="20"/>
          <w:highlight w:val="none"/>
          <w:lang w:val="en-US" w:eastAsia="zh-CN"/>
        </w:rPr>
        <w:t xml:space="preserve"> Pragmatism</w:t>
      </w:r>
    </w:p>
    <w:p>
      <w:pPr>
        <w:jc w:val="both"/>
        <w:rPr>
          <w:rFonts w:hint="default" w:cstheme="minorHAnsi"/>
          <w:sz w:val="20"/>
          <w:szCs w:val="20"/>
          <w:highlight w:val="none"/>
          <w:lang w:val="en-US" w:eastAsia="zh-CN"/>
        </w:rPr>
      </w:pPr>
      <w:r>
        <w:rPr>
          <w:rFonts w:hint="default" w:cstheme="minorHAnsi"/>
          <w:sz w:val="20"/>
          <w:szCs w:val="20"/>
          <w:lang w:val="en-US" w:eastAsia="zh-CN"/>
        </w:rPr>
        <w:t xml:space="preserve">Every research rests on a philosophical foundation, requiring researchers to reflect on the assumptions they make about how knowledge is acquired and understood; these core assumptions guide the research process and impact the selection of methodologies(Creswell and Plato Clark, 2018). </w:t>
      </w:r>
      <w:r>
        <w:rPr>
          <w:rFonts w:hint="eastAsia" w:cstheme="minorHAnsi"/>
          <w:sz w:val="20"/>
          <w:szCs w:val="20"/>
          <w:lang w:val="en-US" w:eastAsia="zh-CN"/>
        </w:rPr>
        <w:t>Th</w:t>
      </w:r>
      <w:r>
        <w:rPr>
          <w:rFonts w:hint="default" w:cstheme="minorHAnsi"/>
          <w:sz w:val="20"/>
          <w:szCs w:val="20"/>
          <w:lang w:val="en-US" w:eastAsia="zh-CN"/>
        </w:rPr>
        <w:t xml:space="preserve">e choice of a research philosophy is determined by the type of the knowledge being investigated </w:t>
      </w:r>
      <w:r>
        <w:rPr>
          <w:rFonts w:hint="default" w:cstheme="minorHAnsi"/>
          <w:sz w:val="20"/>
          <w:szCs w:val="20"/>
          <w:highlight w:val="none"/>
          <w:lang w:val="en-US" w:eastAsia="zh-CN"/>
        </w:rPr>
        <w:t xml:space="preserve">(May, 2011). </w:t>
      </w:r>
    </w:p>
    <w:p>
      <w:pPr>
        <w:jc w:val="both"/>
        <w:rPr>
          <w:rFonts w:hint="default" w:cstheme="minorHAnsi"/>
          <w:sz w:val="20"/>
          <w:szCs w:val="20"/>
          <w:highlight w:val="none"/>
          <w:lang w:val="en-US" w:eastAsia="zh-CN"/>
        </w:rPr>
      </w:pPr>
    </w:p>
    <w:p>
      <w:pPr>
        <w:jc w:val="both"/>
        <w:rPr>
          <w:rFonts w:hint="default" w:cstheme="minorHAnsi"/>
          <w:sz w:val="20"/>
          <w:szCs w:val="20"/>
          <w:highlight w:val="none"/>
          <w:lang w:val="en-US" w:eastAsia="zh-CN"/>
        </w:rPr>
      </w:pPr>
      <w:r>
        <w:rPr>
          <w:rFonts w:hint="default" w:cstheme="minorHAnsi"/>
          <w:sz w:val="20"/>
          <w:szCs w:val="20"/>
          <w:highlight w:val="none"/>
          <w:lang w:val="en-US" w:eastAsia="zh-CN"/>
        </w:rPr>
        <w:t xml:space="preserve">This study aims to explore the role generative AI plays in EFL students’ writing by addressing the following two key questions: </w:t>
      </w:r>
    </w:p>
    <w:p>
      <w:pPr>
        <w:numPr>
          <w:ilvl w:val="0"/>
          <w:numId w:val="2"/>
        </w:numPr>
        <w:ind w:leftChars="0"/>
        <w:jc w:val="both"/>
        <w:rPr>
          <w:rFonts w:hint="default" w:cstheme="minorHAnsi"/>
          <w:sz w:val="20"/>
          <w:szCs w:val="20"/>
          <w:highlight w:val="none"/>
          <w:lang w:val="en-US" w:eastAsia="zh-CN"/>
        </w:rPr>
      </w:pPr>
      <w:r>
        <w:rPr>
          <w:rFonts w:hint="default" w:ascii="Calibri" w:hAnsi="Calibri" w:cs="Calibri"/>
          <w:i w:val="0"/>
          <w:iCs w:val="0"/>
          <w:sz w:val="20"/>
          <w:szCs w:val="20"/>
          <w:highlight w:val="none"/>
          <w:lang w:val="en-US" w:eastAsia="zh-CN"/>
        </w:rPr>
        <w:t>How do generative AI tools impact the writing of EFL university students?</w:t>
      </w:r>
      <w:r>
        <w:rPr>
          <w:rFonts w:hint="default" w:cstheme="minorHAnsi"/>
          <w:sz w:val="20"/>
          <w:szCs w:val="20"/>
          <w:highlight w:val="none"/>
          <w:lang w:val="en-US" w:eastAsia="zh-CN"/>
        </w:rPr>
        <w:t xml:space="preserve"> </w:t>
      </w:r>
    </w:p>
    <w:p>
      <w:pPr>
        <w:numPr>
          <w:ilvl w:val="0"/>
          <w:numId w:val="2"/>
        </w:numPr>
        <w:ind w:left="0" w:leftChars="0" w:firstLine="0" w:firstLineChars="0"/>
        <w:jc w:val="both"/>
        <w:rPr>
          <w:rFonts w:hint="default" w:ascii="Calibri" w:hAnsi="Calibri" w:cs="Calibri"/>
          <w:i w:val="0"/>
          <w:iCs w:val="0"/>
          <w:sz w:val="20"/>
          <w:szCs w:val="20"/>
          <w:highlight w:val="none"/>
          <w:lang w:val="en-US" w:eastAsia="zh-CN"/>
        </w:rPr>
      </w:pPr>
      <w:r>
        <w:rPr>
          <w:rFonts w:hint="default" w:ascii="Calibri" w:hAnsi="Calibri" w:cs="Calibri"/>
          <w:i w:val="0"/>
          <w:iCs w:val="0"/>
          <w:sz w:val="20"/>
          <w:szCs w:val="20"/>
          <w:highlight w:val="none"/>
          <w:lang w:val="en-US" w:eastAsia="zh-CN"/>
        </w:rPr>
        <w:t xml:space="preserve">What are EFL university students’ attitudes toward the role of generative AI in writing? </w:t>
      </w:r>
    </w:p>
    <w:p>
      <w:pPr>
        <w:numPr>
          <w:ilvl w:val="0"/>
          <w:numId w:val="0"/>
        </w:numPr>
        <w:ind w:leftChars="0"/>
        <w:jc w:val="both"/>
        <w:rPr>
          <w:rFonts w:hint="default" w:ascii="Calibri" w:hAnsi="Calibri" w:cs="Calibri"/>
          <w:i w:val="0"/>
          <w:iCs w:val="0"/>
          <w:sz w:val="20"/>
          <w:szCs w:val="20"/>
          <w:highlight w:val="none"/>
          <w:lang w:val="en-US" w:eastAsia="zh-CN"/>
        </w:rPr>
      </w:pPr>
    </w:p>
    <w:p>
      <w:pPr>
        <w:jc w:val="both"/>
        <w:rPr>
          <w:rFonts w:hint="default" w:cstheme="minorHAnsi"/>
          <w:sz w:val="20"/>
          <w:szCs w:val="20"/>
          <w:highlight w:val="none"/>
          <w:lang w:val="en-US" w:eastAsia="zh-CN"/>
        </w:rPr>
      </w:pPr>
      <w:r>
        <w:rPr>
          <w:rFonts w:hint="default" w:ascii="Calibri" w:hAnsi="Calibri" w:cs="Calibri"/>
          <w:i w:val="0"/>
          <w:iCs w:val="0"/>
          <w:sz w:val="20"/>
          <w:szCs w:val="20"/>
          <w:highlight w:val="none"/>
          <w:lang w:val="en-US" w:eastAsia="zh-CN"/>
        </w:rPr>
        <w:t>The nature of</w:t>
      </w:r>
      <w:r>
        <w:rPr>
          <w:rFonts w:hint="default" w:ascii="Calibri Italic" w:hAnsi="Calibri Italic" w:cs="Calibri Italic"/>
          <w:i w:val="0"/>
          <w:iCs w:val="0"/>
          <w:sz w:val="20"/>
          <w:szCs w:val="20"/>
          <w:highlight w:val="none"/>
          <w:lang w:val="en-US" w:eastAsia="zh-CN"/>
        </w:rPr>
        <w:t xml:space="preserve"> </w:t>
      </w:r>
      <w:r>
        <w:rPr>
          <w:rFonts w:hint="default" w:ascii="Calibri" w:hAnsi="Calibri" w:cs="Calibri"/>
          <w:i w:val="0"/>
          <w:iCs w:val="0"/>
          <w:sz w:val="20"/>
          <w:szCs w:val="20"/>
          <w:highlight w:val="none"/>
          <w:lang w:val="en-US" w:eastAsia="zh-CN"/>
        </w:rPr>
        <w:t>these research questions requires a combination of methodologies (quantitative and qualitative) and a cross-disciplinary approach(linguistics and education). The study focuses on exploring how generative AI impact the</w:t>
      </w:r>
      <w:r>
        <w:rPr>
          <w:rFonts w:hint="default" w:cstheme="minorHAnsi"/>
          <w:sz w:val="20"/>
          <w:szCs w:val="20"/>
          <w:highlight w:val="none"/>
          <w:lang w:val="en-US" w:eastAsia="zh-CN"/>
        </w:rPr>
        <w:t xml:space="preserve"> language features in EFL learners’ writing and understanding their personal experiences with these tools during the writing process. To address both aspects, a research philosophy needs to balance both objective and subjective dimensions. Such a philosophy mush be flexible enough to combine different methods and provide practical recommendations for improving teaching practices in the future. </w:t>
      </w:r>
    </w:p>
    <w:p>
      <w:pPr>
        <w:jc w:val="both"/>
        <w:rPr>
          <w:rFonts w:hint="default" w:cstheme="minorHAnsi"/>
          <w:sz w:val="20"/>
          <w:szCs w:val="20"/>
          <w:highlight w:val="none"/>
          <w:lang w:val="en-US" w:eastAsia="zh-CN"/>
        </w:rPr>
      </w:pPr>
    </w:p>
    <w:p>
      <w:pPr>
        <w:jc w:val="both"/>
        <w:rPr>
          <w:rFonts w:hint="default" w:cstheme="minorHAnsi"/>
          <w:sz w:val="20"/>
          <w:szCs w:val="20"/>
          <w:lang w:val="en-US" w:eastAsia="zh-CN"/>
        </w:rPr>
      </w:pPr>
      <w:r>
        <w:rPr>
          <w:rFonts w:hint="default" w:cstheme="minorHAnsi"/>
          <w:sz w:val="20"/>
          <w:szCs w:val="20"/>
          <w:highlight w:val="none"/>
          <w:lang w:val="en-US" w:eastAsia="zh-CN"/>
        </w:rPr>
        <w:t>Pragmatism is a key philosophical foundation of mixed method research. As Denscombe(2010a, p. 128) explains, ‘Pragmatism has come to be regarded as the philosophical partner for the mixed method approach’. It moves beyond the philosophical disputes among positivism, interpretivism and critical realism(</w:t>
      </w:r>
      <w:r>
        <w:rPr>
          <w:rFonts w:hint="default"/>
          <w:lang w:val="en-US"/>
        </w:rPr>
        <w:t>Denscombe, 2010a, p128) and emphasises</w:t>
      </w:r>
      <w:r>
        <w:rPr>
          <w:rFonts w:hint="default" w:cstheme="minorHAnsi"/>
          <w:sz w:val="20"/>
          <w:szCs w:val="20"/>
          <w:highlight w:val="none"/>
          <w:lang w:val="en-US" w:eastAsia="zh-CN"/>
        </w:rPr>
        <w:t xml:space="preserve"> practical outcomes, the significance of the research questions, and supports the use of diverse data collection methods to thoroughly explore the issue under investigation (</w:t>
      </w:r>
      <w:r>
        <w:rPr>
          <w:rFonts w:hint="default" w:cstheme="minorHAnsi"/>
          <w:sz w:val="20"/>
          <w:szCs w:val="20"/>
          <w:lang w:val="en-US" w:eastAsia="zh-CN"/>
        </w:rPr>
        <w:t xml:space="preserve">Creswell and Plato Clark, 2018, p.88). </w:t>
      </w:r>
    </w:p>
    <w:p>
      <w:pPr>
        <w:jc w:val="both"/>
        <w:rPr>
          <w:rFonts w:hint="default" w:cstheme="minorHAnsi"/>
          <w:sz w:val="20"/>
          <w:szCs w:val="20"/>
          <w:lang w:val="en-US" w:eastAsia="zh-CN"/>
        </w:rPr>
      </w:pPr>
    </w:p>
    <w:p>
      <w:pPr>
        <w:jc w:val="both"/>
        <w:rPr>
          <w:rFonts w:hint="default" w:cstheme="minorHAnsi"/>
          <w:sz w:val="20"/>
          <w:szCs w:val="20"/>
          <w:highlight w:val="none"/>
          <w:lang w:val="en-US" w:eastAsia="zh-CN"/>
        </w:rPr>
      </w:pPr>
      <w:r>
        <w:rPr>
          <w:rFonts w:hint="default" w:cstheme="minorHAnsi"/>
          <w:sz w:val="20"/>
          <w:szCs w:val="20"/>
          <w:lang w:val="en-US" w:eastAsia="zh-CN"/>
        </w:rPr>
        <w:t>This philosophical foundation fits closely with the aims of this study.</w:t>
      </w:r>
      <w:r>
        <w:rPr>
          <w:rFonts w:hint="default" w:cstheme="minorHAnsi"/>
          <w:sz w:val="20"/>
          <w:szCs w:val="20"/>
          <w:highlight w:val="none"/>
          <w:lang w:val="en-US" w:eastAsia="zh-CN"/>
        </w:rPr>
        <w:t xml:space="preserve"> By combining both quantitative and qualitative methods, the study examines the role of generative AI in EFL writing without being constrained by a single epistemological or ontological stance. This flexibility ensures that both linguistic features and learners’ perceptions are thoroughly explored. Pragmatism’s problem-driven nature perfectly matches the study’s goal of generating findings that could have practical applications in educational contexts, particularly for improving the use of generative AI tools in EFL writing instruction. </w:t>
      </w:r>
    </w:p>
    <w:p>
      <w:pPr>
        <w:jc w:val="both"/>
        <w:rPr>
          <w:rFonts w:hint="default" w:cstheme="minorHAnsi"/>
          <w:sz w:val="20"/>
          <w:szCs w:val="20"/>
          <w:highlight w:val="none"/>
          <w:lang w:val="en-US" w:eastAsia="zh-CN"/>
        </w:rPr>
      </w:pPr>
    </w:p>
    <w:p>
      <w:pPr>
        <w:numPr>
          <w:ilvl w:val="0"/>
          <w:numId w:val="1"/>
        </w:numPr>
        <w:ind w:left="420" w:leftChars="0" w:hanging="420" w:firstLineChars="0"/>
        <w:jc w:val="left"/>
        <w:rPr>
          <w:rFonts w:hint="default" w:cstheme="minorHAnsi"/>
          <w:sz w:val="20"/>
          <w:szCs w:val="20"/>
          <w:highlight w:val="none"/>
          <w:lang w:val="en-US" w:eastAsia="zh-CN"/>
        </w:rPr>
      </w:pPr>
      <w:r>
        <w:rPr>
          <w:rFonts w:hint="default" w:cstheme="minorHAnsi"/>
          <w:sz w:val="20"/>
          <w:szCs w:val="20"/>
          <w:highlight w:val="none"/>
          <w:lang w:val="en-US" w:eastAsia="zh-CN"/>
        </w:rPr>
        <w:t>Methodology: Mixed Methods Approach</w:t>
      </w:r>
    </w:p>
    <w:p>
      <w:pPr>
        <w:numPr>
          <w:ilvl w:val="0"/>
          <w:numId w:val="0"/>
        </w:numPr>
        <w:ind w:leftChars="0"/>
        <w:jc w:val="both"/>
        <w:rPr>
          <w:rFonts w:hint="default" w:cstheme="minorHAnsi"/>
          <w:sz w:val="20"/>
          <w:szCs w:val="20"/>
          <w:lang w:val="en-US" w:eastAsia="zh-CN"/>
        </w:rPr>
      </w:pPr>
      <w:r>
        <w:rPr>
          <w:rFonts w:hint="eastAsia" w:cstheme="minorHAnsi"/>
          <w:sz w:val="20"/>
          <w:szCs w:val="20"/>
          <w:lang w:val="en-US" w:eastAsia="zh-CN"/>
        </w:rPr>
        <w:t>Mix</w:t>
      </w:r>
      <w:r>
        <w:rPr>
          <w:rFonts w:hint="default" w:cstheme="minorHAnsi"/>
          <w:sz w:val="20"/>
          <w:szCs w:val="20"/>
          <w:lang w:val="en-US" w:eastAsia="zh-CN"/>
        </w:rPr>
        <w:t>ed methods research(MMR), often referred to as ‘the third research community’</w:t>
      </w:r>
      <w:r>
        <w:rPr>
          <w:rFonts w:hint="default" w:cstheme="minorHAnsi"/>
          <w:sz w:val="20"/>
          <w:szCs w:val="20"/>
          <w:highlight w:val="none"/>
          <w:lang w:val="en-US" w:eastAsia="zh-CN"/>
        </w:rPr>
        <w:t>(Tashakkori &amp; Teddlie, 2009, p.3</w:t>
      </w:r>
      <w:r>
        <w:rPr>
          <w:rFonts w:hint="default" w:cstheme="minorHAnsi"/>
          <w:sz w:val="20"/>
          <w:szCs w:val="20"/>
          <w:lang w:val="en-US" w:eastAsia="zh-CN"/>
        </w:rPr>
        <w:t>) after quantitative and qualitative research, is characterised by the rigorous integration of quantitative and qualitative data to address research questions(</w:t>
      </w:r>
      <w:r>
        <w:rPr>
          <w:rFonts w:hint="default" w:cstheme="minorHAnsi"/>
          <w:sz w:val="20"/>
          <w:szCs w:val="20"/>
          <w:highlight w:val="none"/>
          <w:lang w:val="en-US" w:eastAsia="zh-CN"/>
        </w:rPr>
        <w:t>Creswell and Plano Clark, 2018)</w:t>
      </w:r>
      <w:r>
        <w:rPr>
          <w:rFonts w:hint="default" w:cstheme="minorHAnsi"/>
          <w:sz w:val="20"/>
          <w:szCs w:val="20"/>
          <w:lang w:val="en-US" w:eastAsia="zh-CN"/>
        </w:rPr>
        <w:t>. This approach connects numeric data with rich contextual insights, providing a valuable framework for addressing complex and multifaceted research problems. By combining the strengths of both approaches, MMR provides a deeper and more holistic understanding of complex phenomenon compared to relying on a single approach(</w:t>
      </w:r>
      <w:r>
        <w:rPr>
          <w:rFonts w:hint="default" w:cstheme="minorHAnsi"/>
          <w:sz w:val="20"/>
          <w:szCs w:val="20"/>
          <w:highlight w:val="none"/>
          <w:lang w:val="en-US" w:eastAsia="zh-CN"/>
        </w:rPr>
        <w:t>Denscombe, 2010b, p.156</w:t>
      </w:r>
      <w:r>
        <w:rPr>
          <w:rFonts w:hint="default" w:cstheme="minorHAnsi"/>
          <w:sz w:val="20"/>
          <w:szCs w:val="20"/>
          <w:lang w:val="en-US" w:eastAsia="zh-CN"/>
        </w:rPr>
        <w:t>).</w:t>
      </w:r>
    </w:p>
    <w:p>
      <w:pPr>
        <w:numPr>
          <w:ilvl w:val="0"/>
          <w:numId w:val="0"/>
        </w:numPr>
        <w:ind w:leftChars="0"/>
        <w:jc w:val="left"/>
        <w:rPr>
          <w:rFonts w:hint="default" w:cstheme="minorHAnsi"/>
          <w:sz w:val="20"/>
          <w:szCs w:val="20"/>
          <w:lang w:val="en-US" w:eastAsia="zh-CN"/>
        </w:rPr>
      </w:pPr>
    </w:p>
    <w:p>
      <w:pPr>
        <w:numPr>
          <w:ilvl w:val="0"/>
          <w:numId w:val="0"/>
        </w:numPr>
        <w:ind w:leftChars="0"/>
        <w:jc w:val="both"/>
        <w:rPr>
          <w:rFonts w:hint="default" w:cstheme="minorHAnsi"/>
          <w:sz w:val="20"/>
          <w:szCs w:val="20"/>
          <w:lang w:val="en-US" w:eastAsia="zh-CN"/>
        </w:rPr>
      </w:pPr>
      <w:r>
        <w:rPr>
          <w:rFonts w:hint="default" w:ascii="Calibri" w:hAnsi="Calibri" w:cs="Calibri"/>
          <w:i w:val="0"/>
          <w:iCs w:val="0"/>
          <w:sz w:val="20"/>
          <w:szCs w:val="20"/>
          <w:highlight w:val="none"/>
          <w:lang w:val="en-US" w:eastAsia="zh-CN"/>
        </w:rPr>
        <w:t xml:space="preserve">Rooted in pragmatism’s emphasis on practical and problem-driven research, MMR is designed to tackle research problems that require multiple perspectives and methodologies. As </w:t>
      </w:r>
      <w:r>
        <w:rPr>
          <w:rFonts w:hint="default" w:cstheme="minorHAnsi"/>
          <w:sz w:val="20"/>
          <w:szCs w:val="20"/>
          <w:highlight w:val="none"/>
          <w:lang w:val="en-US" w:eastAsia="zh-CN"/>
        </w:rPr>
        <w:t>Cohen, Manion and Morrison(2018, p.62) argue, ‘i</w:t>
      </w:r>
      <w:r>
        <w:rPr>
          <w:rFonts w:hint="default" w:ascii="Calibri" w:hAnsi="Calibri" w:cs="Calibri"/>
          <w:i w:val="0"/>
          <w:iCs w:val="0"/>
          <w:sz w:val="20"/>
          <w:szCs w:val="20"/>
          <w:highlight w:val="none"/>
          <w:lang w:val="en-US" w:eastAsia="zh-CN"/>
        </w:rPr>
        <w:t>t is the research question that is central and critical in the design of the MMR and the research problem often requires plural methodologies, cross-disciplinary approaches’.</w:t>
      </w:r>
      <w:r>
        <w:rPr>
          <w:rFonts w:hint="default" w:cstheme="minorHAnsi"/>
          <w:sz w:val="20"/>
          <w:szCs w:val="20"/>
          <w:lang w:val="en-US" w:eastAsia="zh-CN"/>
        </w:rPr>
        <w:t xml:space="preserve"> A sequential mixed methods approach (</w:t>
      </w:r>
      <w:r>
        <w:rPr>
          <w:rFonts w:hint="default" w:cstheme="minorHAnsi"/>
          <w:sz w:val="20"/>
          <w:szCs w:val="20"/>
          <w:highlight w:val="none"/>
          <w:lang w:val="en-US" w:eastAsia="zh-CN"/>
        </w:rPr>
        <w:t xml:space="preserve">Cohen, Manion and Morrison, 2018) </w:t>
      </w:r>
      <w:r>
        <w:rPr>
          <w:rFonts w:hint="default" w:cstheme="minorHAnsi"/>
          <w:sz w:val="20"/>
          <w:szCs w:val="20"/>
          <w:lang w:val="en-US" w:eastAsia="zh-CN"/>
        </w:rPr>
        <w:t xml:space="preserve">is particularly suitable for this study, as it first examines linguistic features quantitatively, laying a foundation for exploring learners’ subjective experiences qualitatively. </w:t>
      </w:r>
    </w:p>
    <w:p>
      <w:pPr>
        <w:numPr>
          <w:ilvl w:val="0"/>
          <w:numId w:val="0"/>
        </w:numPr>
        <w:ind w:leftChars="0"/>
        <w:jc w:val="both"/>
        <w:rPr>
          <w:rFonts w:hint="default" w:cstheme="minorHAnsi"/>
          <w:sz w:val="20"/>
          <w:szCs w:val="20"/>
          <w:lang w:val="en-US" w:eastAsia="zh-CN"/>
        </w:rPr>
      </w:pPr>
    </w:p>
    <w:p>
      <w:pPr>
        <w:numPr>
          <w:ilvl w:val="0"/>
          <w:numId w:val="0"/>
        </w:numPr>
        <w:ind w:leftChars="0"/>
        <w:jc w:val="both"/>
        <w:rPr>
          <w:rFonts w:hint="default" w:cstheme="minorHAnsi"/>
          <w:sz w:val="20"/>
          <w:szCs w:val="20"/>
          <w:lang w:val="en-US" w:eastAsia="zh-CN"/>
        </w:rPr>
      </w:pPr>
      <w:r>
        <w:rPr>
          <w:rFonts w:hint="default" w:cstheme="minorHAnsi"/>
          <w:sz w:val="20"/>
          <w:szCs w:val="20"/>
          <w:lang w:val="en-US" w:eastAsia="zh-CN"/>
        </w:rPr>
        <w:t xml:space="preserve">Writing is a complex cognitive and social activity, and this complexity is further intensified when utilising generative AI tools. In this study, participants engaging in AI-assisted writing must not only meet the traditional demands of writing, such as accuracy and coherence, but also interact with generative AI tools. These interactions influence their decision-making, feedback interpretation, and revision strategies. To fully explore this multifaceted phenomenon, a methodological approach is needed that captures both measurable linguistic impacts and learners’ subjective experiences, aligning with the principles of mixed methods research. </w:t>
      </w:r>
    </w:p>
    <w:p>
      <w:pPr>
        <w:numPr>
          <w:ilvl w:val="0"/>
          <w:numId w:val="0"/>
        </w:numPr>
        <w:ind w:leftChars="0"/>
        <w:jc w:val="both"/>
        <w:rPr>
          <w:rFonts w:hint="default" w:cstheme="minorHAnsi"/>
          <w:sz w:val="20"/>
          <w:szCs w:val="20"/>
          <w:lang w:val="en-US" w:eastAsia="zh-CN"/>
        </w:rPr>
      </w:pPr>
    </w:p>
    <w:p>
      <w:pPr>
        <w:numPr>
          <w:ilvl w:val="0"/>
          <w:numId w:val="0"/>
        </w:numPr>
        <w:ind w:leftChars="0"/>
        <w:jc w:val="both"/>
        <w:rPr>
          <w:rFonts w:hint="default" w:cstheme="minorHAnsi"/>
          <w:sz w:val="20"/>
          <w:szCs w:val="20"/>
          <w:lang w:val="en-US" w:eastAsia="zh-CN"/>
        </w:rPr>
      </w:pPr>
      <w:r>
        <w:rPr>
          <w:rFonts w:hint="default" w:cstheme="minorHAnsi"/>
          <w:sz w:val="20"/>
          <w:szCs w:val="20"/>
          <w:lang w:val="en-US" w:eastAsia="zh-CN"/>
        </w:rPr>
        <w:t xml:space="preserve">The quantitative component of this study provides objective data through linguistic analysis tools, examining how generative AI influences grammar, vocabulary and syntax. However, writing is more than just language and its linguistic features, and linguistic analysis alone cannot provide the complete story of writing. There may even be instances where linguistic features identified through analysis are inconsistent with teachers’ manual evaluations. These inconsistencies may arise because teachers place greater emphasis on aspects that quantitative linguistic tools cannot measure, such as creativity, organisation of ideas, and logical arguments. The qualitative component of the study, namely interviews, helps uncover whether and how students use generative AI tools to improve these deeper aspects of writing during the process. </w:t>
      </w:r>
    </w:p>
    <w:p>
      <w:pPr>
        <w:numPr>
          <w:ilvl w:val="0"/>
          <w:numId w:val="0"/>
        </w:numPr>
        <w:ind w:leftChars="0"/>
        <w:jc w:val="both"/>
        <w:rPr>
          <w:rFonts w:hint="default" w:cstheme="minorHAnsi"/>
          <w:sz w:val="20"/>
          <w:szCs w:val="20"/>
          <w:lang w:val="en-US" w:eastAsia="zh-CN"/>
        </w:rPr>
      </w:pPr>
    </w:p>
    <w:p>
      <w:pPr>
        <w:numPr>
          <w:ilvl w:val="0"/>
          <w:numId w:val="0"/>
        </w:numPr>
        <w:ind w:leftChars="0"/>
        <w:jc w:val="both"/>
        <w:rPr>
          <w:rFonts w:hint="default" w:cstheme="minorHAnsi"/>
          <w:sz w:val="20"/>
          <w:szCs w:val="20"/>
          <w:lang w:val="en-US" w:eastAsia="zh-CN"/>
        </w:rPr>
      </w:pPr>
      <w:r>
        <w:rPr>
          <w:rFonts w:hint="default" w:cstheme="minorHAnsi"/>
          <w:sz w:val="20"/>
          <w:szCs w:val="20"/>
          <w:lang w:val="en-US" w:eastAsia="zh-CN"/>
        </w:rPr>
        <w:t>The two components in this study are complementary, each contributing to answering the research questions. Text analysis, conducted through linguistic analysis tools, provides objective data on grammar accuracy, lexical complexity, and syntactic complexity. Tea</w:t>
      </w:r>
      <w:r>
        <w:rPr>
          <w:rFonts w:hint="eastAsia" w:cstheme="minorHAnsi"/>
          <w:sz w:val="20"/>
          <w:szCs w:val="20"/>
          <w:lang w:val="en-US" w:eastAsia="zh-CN"/>
        </w:rPr>
        <w:t>chers</w:t>
      </w:r>
      <w:r>
        <w:rPr>
          <w:rFonts w:hint="default" w:cstheme="minorHAnsi"/>
          <w:sz w:val="20"/>
          <w:szCs w:val="20"/>
          <w:lang w:val="en-US" w:eastAsia="zh-CN"/>
        </w:rPr>
        <w:t xml:space="preserve">’ evaluations, based on structured scoring criteria, quantify the overall quality of students’ writing. These quantitative components are enriched by qualitative data from semi-structured interviews, which explore students’ perceptions, challenges, and decision-making processes during the writing task, offering contextual insights into the observed linguistic outcomes. Together, they provide a broader and deeper understanding of the research problem.    </w:t>
      </w:r>
    </w:p>
    <w:p>
      <w:pPr>
        <w:jc w:val="both"/>
        <w:rPr>
          <w:rFonts w:hint="default" w:cstheme="minorHAnsi"/>
          <w:sz w:val="20"/>
          <w:szCs w:val="20"/>
          <w:lang w:val="en-US" w:eastAsia="zh-CN"/>
        </w:rPr>
      </w:pPr>
    </w:p>
    <w:p>
      <w:pPr>
        <w:jc w:val="left"/>
        <w:rPr>
          <w:rFonts w:hint="default" w:ascii="Calibri Bold" w:hAnsi="Calibri Bold" w:cs="Calibri Bold"/>
          <w:b/>
          <w:bCs/>
          <w:u w:val="single"/>
          <w:lang w:val="en-US" w:eastAsia="zh-CN"/>
        </w:rPr>
      </w:pPr>
      <w:r>
        <w:rPr>
          <w:rFonts w:hint="default" w:ascii="Calibri Bold" w:hAnsi="Calibri Bold" w:cs="Calibri Bold"/>
          <w:b/>
          <w:bCs/>
          <w:u w:val="single"/>
          <w:lang w:val="en-US" w:eastAsia="zh-CN"/>
        </w:rPr>
        <w:t>Sampling</w:t>
      </w:r>
    </w:p>
    <w:p>
      <w:pPr>
        <w:jc w:val="left"/>
        <w:rPr>
          <w:rFonts w:hint="default" w:ascii="Calibri Bold" w:hAnsi="Calibri Bold" w:cs="Calibri Bold"/>
          <w:b/>
          <w:bCs/>
          <w:u w:val="single"/>
          <w:lang w:val="en-US" w:eastAsia="zh-CN"/>
        </w:rPr>
      </w:pPr>
    </w:p>
    <w:p>
      <w:pPr>
        <w:numPr>
          <w:ilvl w:val="0"/>
          <w:numId w:val="3"/>
        </w:numPr>
        <w:jc w:val="left"/>
        <w:rPr>
          <w:rFonts w:hint="default" w:cstheme="minorHAnsi"/>
          <w:sz w:val="20"/>
          <w:szCs w:val="20"/>
          <w:lang w:val="en-US" w:eastAsia="zh-CN"/>
        </w:rPr>
      </w:pPr>
      <w:r>
        <w:rPr>
          <w:rFonts w:hint="default" w:cstheme="minorHAnsi"/>
          <w:sz w:val="20"/>
          <w:szCs w:val="20"/>
          <w:lang w:val="en-US" w:eastAsia="zh-CN"/>
        </w:rPr>
        <w:t>The Sample size</w:t>
      </w:r>
    </w:p>
    <w:p>
      <w:pPr>
        <w:widowControl w:val="0"/>
        <w:numPr>
          <w:ilvl w:val="0"/>
          <w:numId w:val="0"/>
        </w:numPr>
        <w:jc w:val="both"/>
        <w:rPr>
          <w:rFonts w:hint="default" w:cstheme="minorHAnsi"/>
          <w:sz w:val="20"/>
          <w:szCs w:val="20"/>
          <w:lang w:val="en-US" w:eastAsia="zh-CN"/>
        </w:rPr>
      </w:pPr>
      <w:r>
        <w:rPr>
          <w:rFonts w:hint="default" w:cstheme="minorHAnsi"/>
          <w:sz w:val="20"/>
          <w:szCs w:val="20"/>
          <w:lang w:val="en-US" w:eastAsia="zh-CN"/>
        </w:rPr>
        <w:t>This study is exploratory in nature, aiming to examine the use of generative AI tools in a concrete EFL students’ writing context, with no intention of generalising the findings to larger populations. To ensure time and resource efficiency, the sample size is minimised. However, as many researchers recommend a minimum sample size of 30 for statistical analysis(</w:t>
      </w:r>
      <w:r>
        <w:rPr>
          <w:rFonts w:hint="default" w:cstheme="minorHAnsi"/>
          <w:sz w:val="20"/>
          <w:szCs w:val="20"/>
          <w:highlight w:val="none"/>
          <w:lang w:val="en-US" w:eastAsia="zh-CN"/>
        </w:rPr>
        <w:t>Cohen, Manion and Morrison, 2018, p. 203</w:t>
      </w:r>
      <w:r>
        <w:rPr>
          <w:rFonts w:hint="default" w:cstheme="minorHAnsi"/>
          <w:sz w:val="20"/>
          <w:szCs w:val="20"/>
          <w:lang w:val="en-US" w:eastAsia="zh-CN"/>
        </w:rPr>
        <w:t xml:space="preserve">) and since the quantitative component is carried out as the first phase of this mixed-methods study, the sample size for this study is set at 60 participants, with 30 in each group. </w:t>
      </w:r>
    </w:p>
    <w:p>
      <w:pPr>
        <w:widowControl w:val="0"/>
        <w:numPr>
          <w:ilvl w:val="0"/>
          <w:numId w:val="0"/>
        </w:numPr>
        <w:jc w:val="left"/>
        <w:rPr>
          <w:rFonts w:hint="default" w:cstheme="minorHAnsi"/>
          <w:sz w:val="20"/>
          <w:szCs w:val="20"/>
          <w:lang w:val="en-US" w:eastAsia="zh-CN"/>
        </w:rPr>
      </w:pPr>
    </w:p>
    <w:p>
      <w:pPr>
        <w:numPr>
          <w:ilvl w:val="0"/>
          <w:numId w:val="3"/>
        </w:numPr>
        <w:ind w:left="0" w:leftChars="0" w:firstLine="0" w:firstLineChars="0"/>
        <w:jc w:val="both"/>
        <w:rPr>
          <w:rFonts w:hint="default" w:cstheme="minorHAnsi"/>
          <w:sz w:val="20"/>
          <w:szCs w:val="20"/>
          <w:lang w:val="en-US" w:eastAsia="zh-CN"/>
        </w:rPr>
      </w:pPr>
      <w:r>
        <w:rPr>
          <w:rFonts w:hint="default" w:cstheme="minorHAnsi"/>
          <w:sz w:val="20"/>
          <w:szCs w:val="20"/>
          <w:lang w:val="en-US" w:eastAsia="zh-CN"/>
        </w:rPr>
        <w:t>Sampling Strategy</w:t>
      </w:r>
    </w:p>
    <w:p>
      <w:pPr>
        <w:numPr>
          <w:ilvl w:val="0"/>
          <w:numId w:val="0"/>
        </w:numPr>
        <w:jc w:val="both"/>
        <w:rPr>
          <w:rFonts w:hint="default" w:cstheme="minorHAnsi"/>
          <w:sz w:val="20"/>
          <w:szCs w:val="20"/>
          <w:highlight w:val="none"/>
          <w:lang w:val="en-US" w:eastAsia="zh-CN"/>
        </w:rPr>
      </w:pPr>
      <w:r>
        <w:rPr>
          <w:rFonts w:hint="default" w:cstheme="minorHAnsi"/>
          <w:sz w:val="20"/>
          <w:szCs w:val="20"/>
          <w:lang w:val="en-US" w:eastAsia="zh-CN"/>
        </w:rPr>
        <w:t>Sampling in mixed methods research commonly involves more than one kind of sample and samples of different sizes(Teddlie and Yu, 2007). In sequential mixed methods sampling, one type of sample comes before another and affects the subsequent sample(</w:t>
      </w:r>
      <w:r>
        <w:rPr>
          <w:rFonts w:hint="default" w:cstheme="minorHAnsi"/>
          <w:sz w:val="20"/>
          <w:szCs w:val="20"/>
          <w:highlight w:val="none"/>
          <w:lang w:val="en-US" w:eastAsia="zh-CN"/>
        </w:rPr>
        <w:t xml:space="preserve">Cohen, Manion and Morrison, 2018, p. 253). </w:t>
      </w:r>
    </w:p>
    <w:p>
      <w:pPr>
        <w:numPr>
          <w:ilvl w:val="0"/>
          <w:numId w:val="0"/>
        </w:numPr>
        <w:jc w:val="both"/>
        <w:rPr>
          <w:rFonts w:hint="default" w:cstheme="minorHAnsi"/>
          <w:sz w:val="20"/>
          <w:szCs w:val="20"/>
          <w:highlight w:val="none"/>
          <w:lang w:val="en-US" w:eastAsia="zh-CN"/>
        </w:rPr>
      </w:pPr>
    </w:p>
    <w:p>
      <w:pPr>
        <w:numPr>
          <w:ilvl w:val="0"/>
          <w:numId w:val="0"/>
        </w:numPr>
        <w:jc w:val="both"/>
        <w:rPr>
          <w:rFonts w:hint="default" w:cstheme="minorHAnsi"/>
          <w:sz w:val="20"/>
          <w:szCs w:val="20"/>
          <w:lang w:val="en-US" w:eastAsia="zh-CN"/>
        </w:rPr>
      </w:pPr>
      <w:r>
        <w:rPr>
          <w:rFonts w:hint="default" w:cstheme="minorHAnsi"/>
          <w:sz w:val="20"/>
          <w:szCs w:val="20"/>
          <w:lang w:val="en-US" w:eastAsia="zh-CN"/>
        </w:rPr>
        <w:t>For the first stage of the study, a probability sampling strategy is adopted, and volunteer sampling is used to recruit students who are interested in generative AI-assisted writing. Participants will be recruited through a poster at the researcher’s university. To minimise the differences in writing performance caused by varying language proficiency, participant</w:t>
      </w:r>
      <w:r>
        <w:rPr>
          <w:rFonts w:hint="eastAsia" w:cstheme="minorHAnsi"/>
          <w:sz w:val="20"/>
          <w:szCs w:val="20"/>
          <w:lang w:val="en-US" w:eastAsia="zh-CN"/>
        </w:rPr>
        <w:t>s</w:t>
      </w:r>
      <w:r>
        <w:rPr>
          <w:rFonts w:hint="default" w:cstheme="minorHAnsi"/>
          <w:sz w:val="20"/>
          <w:szCs w:val="20"/>
          <w:lang w:val="en-US" w:eastAsia="zh-CN"/>
        </w:rPr>
        <w:t xml:space="preserve"> are required to meet a language criterion: a TEM 4 certificate for English majors or a CET 6 certificate for non-English majors. If the number of eligible candidates exceeds the intended sample size of 60, participants will be randomly selected using a random number generator to ensure fairness and avoid selection bias. The 60 participants will then be randomly assigned to two groups using a random number generator again to ensure unbiased allocation. They will be placed in either Group A (AI-enabled) or Group B (Non-AI Group), with each group comprising 30 participants. To maintain confidentiality, each participant will be labelled as A1, A2, A3...A30 for Group A and B1, B2, B3...B30 for Group B. </w:t>
      </w:r>
    </w:p>
    <w:p>
      <w:pPr>
        <w:numPr>
          <w:ilvl w:val="0"/>
          <w:numId w:val="0"/>
        </w:numPr>
        <w:jc w:val="both"/>
        <w:rPr>
          <w:rFonts w:hint="default" w:cstheme="minorHAnsi"/>
          <w:sz w:val="20"/>
          <w:szCs w:val="20"/>
          <w:lang w:val="en-US" w:eastAsia="zh-CN"/>
        </w:rPr>
      </w:pPr>
    </w:p>
    <w:p>
      <w:pPr>
        <w:numPr>
          <w:ilvl w:val="0"/>
          <w:numId w:val="0"/>
        </w:numPr>
        <w:jc w:val="both"/>
        <w:rPr>
          <w:rFonts w:hint="default" w:cstheme="minorHAnsi"/>
          <w:sz w:val="20"/>
          <w:szCs w:val="20"/>
          <w:lang w:val="en-US" w:eastAsia="zh-CN"/>
        </w:rPr>
      </w:pPr>
      <w:r>
        <w:rPr>
          <w:rFonts w:hint="eastAsia" w:cstheme="minorHAnsi"/>
          <w:sz w:val="20"/>
          <w:szCs w:val="20"/>
          <w:lang w:val="en-US" w:eastAsia="zh-CN"/>
        </w:rPr>
        <w:t xml:space="preserve">In </w:t>
      </w:r>
      <w:r>
        <w:rPr>
          <w:rFonts w:hint="default" w:cstheme="minorHAnsi"/>
          <w:sz w:val="20"/>
          <w:szCs w:val="20"/>
          <w:lang w:val="en-US" w:eastAsia="zh-CN"/>
        </w:rPr>
        <w:t xml:space="preserve">a mixed methods approach, data obtained from one method can serve as the foundation for selecting participants for another, contrasting method of research(Denscombe 2010b, p. 158). In the second part of the study, a non-probability sampling strategy is adopted, with purposeful sampling used to select participants. Participants from Group A will be selected for semi-structured interviews. Since the study focuses on experiences with generative AI tools in writing, Group B participants, who does not use these tools in the task, will not be interviewed to ensure the efficient use of time and resources. </w:t>
      </w:r>
    </w:p>
    <w:p>
      <w:pPr>
        <w:numPr>
          <w:ilvl w:val="0"/>
          <w:numId w:val="0"/>
        </w:numPr>
        <w:jc w:val="both"/>
        <w:rPr>
          <w:rFonts w:hint="default" w:cstheme="minorHAnsi"/>
          <w:sz w:val="20"/>
          <w:szCs w:val="20"/>
          <w:lang w:val="en-US" w:eastAsia="zh-CN"/>
        </w:rPr>
      </w:pPr>
    </w:p>
    <w:p>
      <w:pPr>
        <w:numPr>
          <w:ilvl w:val="0"/>
          <w:numId w:val="3"/>
        </w:numPr>
        <w:ind w:left="0" w:leftChars="0" w:firstLine="0" w:firstLineChars="0"/>
        <w:jc w:val="both"/>
        <w:rPr>
          <w:rFonts w:hint="default" w:cstheme="minorHAnsi"/>
          <w:sz w:val="20"/>
          <w:szCs w:val="20"/>
          <w:lang w:val="en-US" w:eastAsia="zh-CN"/>
        </w:rPr>
      </w:pPr>
      <w:r>
        <w:rPr>
          <w:rFonts w:hint="default" w:cstheme="minorHAnsi"/>
          <w:sz w:val="20"/>
          <w:szCs w:val="20"/>
          <w:lang w:val="en-US" w:eastAsia="zh-CN"/>
        </w:rPr>
        <w:t>Sampling Challenges in This Study</w:t>
      </w:r>
    </w:p>
    <w:p>
      <w:pPr>
        <w:numPr>
          <w:ilvl w:val="0"/>
          <w:numId w:val="0"/>
        </w:numPr>
        <w:ind w:leftChars="0"/>
        <w:jc w:val="both"/>
        <w:rPr>
          <w:rFonts w:hint="default" w:cstheme="minorHAnsi"/>
          <w:sz w:val="20"/>
          <w:szCs w:val="20"/>
          <w:lang w:val="en-US" w:eastAsia="zh-CN"/>
        </w:rPr>
      </w:pPr>
      <w:r>
        <w:rPr>
          <w:rFonts w:hint="default" w:cstheme="minorHAnsi"/>
          <w:sz w:val="20"/>
          <w:szCs w:val="20"/>
          <w:lang w:val="en-US" w:eastAsia="zh-CN"/>
        </w:rPr>
        <w:t xml:space="preserve">There are a few challenges in the sampling process. The first challenge is balancing the number of participants in the two groups assigned for the writing experiment. Unequal sample sizes could affect the validity of subsequent quantitative analysis. Preventive measures will be used to cope with potential circumstances that may lead to imbalance. Additional participants will be recruited as backups to ensure each group has enough participants during the experiment. While participants have the right to withdraw at any time, measures will be taken to minimise dropouts. For example, small gifts will be provided as incentives to encourage participants to complete the experiment. </w:t>
      </w:r>
    </w:p>
    <w:p>
      <w:pPr>
        <w:numPr>
          <w:ilvl w:val="0"/>
          <w:numId w:val="0"/>
        </w:numPr>
        <w:ind w:leftChars="0"/>
        <w:jc w:val="both"/>
        <w:rPr>
          <w:rFonts w:hint="default" w:cstheme="minorHAnsi"/>
          <w:sz w:val="20"/>
          <w:szCs w:val="20"/>
          <w:lang w:val="en-US" w:eastAsia="zh-CN"/>
        </w:rPr>
      </w:pPr>
    </w:p>
    <w:p>
      <w:pPr>
        <w:numPr>
          <w:ilvl w:val="0"/>
          <w:numId w:val="0"/>
        </w:numPr>
        <w:ind w:leftChars="0"/>
        <w:jc w:val="both"/>
        <w:rPr>
          <w:rFonts w:hint="default" w:cstheme="minorHAnsi"/>
          <w:sz w:val="20"/>
          <w:szCs w:val="20"/>
          <w:lang w:val="en-US" w:eastAsia="zh-CN"/>
        </w:rPr>
      </w:pPr>
      <w:r>
        <w:rPr>
          <w:rFonts w:hint="default" w:cstheme="minorHAnsi"/>
          <w:sz w:val="20"/>
          <w:szCs w:val="20"/>
          <w:lang w:val="en-US" w:eastAsia="zh-CN"/>
        </w:rPr>
        <w:t xml:space="preserve">The second challenge involves the different sample sizes for the quantitative and qualitative components. It arises because the two data types are collected for different purposes. While the quantitative analysis requires a relatively larger sample to ensure reliability, the qualitative component involves purposefully selected participants to gain deeper insights. Therefore, careful management of data integration is essential to ensure coherence in the study’s findings. </w:t>
      </w:r>
    </w:p>
    <w:p>
      <w:pPr>
        <w:numPr>
          <w:ilvl w:val="0"/>
          <w:numId w:val="0"/>
        </w:numPr>
        <w:ind w:leftChars="0"/>
        <w:jc w:val="both"/>
        <w:rPr>
          <w:rFonts w:hint="default" w:cstheme="minorHAnsi"/>
          <w:sz w:val="20"/>
          <w:szCs w:val="20"/>
          <w:lang w:val="en-US" w:eastAsia="zh-CN"/>
        </w:rPr>
      </w:pPr>
    </w:p>
    <w:p>
      <w:pPr>
        <w:jc w:val="left"/>
        <w:rPr>
          <w:rFonts w:hint="default" w:ascii="Calibri Bold" w:hAnsi="Calibri Bold" w:cs="Calibri Bold"/>
          <w:b/>
          <w:bCs/>
          <w:u w:val="single"/>
          <w:lang w:val="en-US" w:eastAsia="zh-CN"/>
        </w:rPr>
      </w:pPr>
    </w:p>
    <w:p>
      <w:pPr>
        <w:jc w:val="left"/>
        <w:rPr>
          <w:rFonts w:hint="default" w:ascii="Calibri Bold" w:hAnsi="Calibri Bold" w:cs="Calibri Bold"/>
          <w:b/>
          <w:bCs/>
          <w:u w:val="single"/>
          <w:lang w:val="en-US" w:eastAsia="zh-CN"/>
        </w:rPr>
      </w:pPr>
      <w:r>
        <w:rPr>
          <w:rFonts w:hint="default" w:ascii="Calibri Bold" w:hAnsi="Calibri Bold" w:cs="Calibri Bold"/>
          <w:b/>
          <w:bCs/>
          <w:u w:val="single"/>
          <w:lang w:val="en-US" w:eastAsia="zh-CN"/>
        </w:rPr>
        <w:t>Ethics</w:t>
      </w:r>
    </w:p>
    <w:p>
      <w:pPr>
        <w:jc w:val="left"/>
        <w:rPr>
          <w:rFonts w:hint="eastAsia" w:ascii="Calibri Bold" w:hAnsi="Calibri Bold" w:cs="Calibri Bold"/>
          <w:b/>
          <w:bCs/>
          <w:u w:val="single"/>
          <w:lang w:val="en-US" w:eastAsia="zh-CN"/>
        </w:rPr>
      </w:pPr>
    </w:p>
    <w:p>
      <w:pPr>
        <w:jc w:val="both"/>
        <w:rPr>
          <w:rFonts w:hint="default"/>
          <w:lang w:val="en-US" w:eastAsia="zh-CN"/>
        </w:rPr>
      </w:pPr>
      <w:r>
        <w:rPr>
          <w:rFonts w:hint="eastAsia"/>
          <w:lang w:val="en-US" w:eastAsia="zh-CN"/>
        </w:rPr>
        <w:t xml:space="preserve">Ethical considerations are essential </w:t>
      </w:r>
      <w:r>
        <w:rPr>
          <w:rFonts w:hint="default"/>
          <w:lang w:val="en-US" w:eastAsia="zh-CN"/>
        </w:rPr>
        <w:t xml:space="preserve">for maintaining honest and transparent research conducted with integrity. This study will follow the British Educational Research Association (BERA) guidelines (2024) and the University of Wales Trinity Saint David (UWTSD) Research Ethics &amp; Integrity Code of Practice (2022). As stated in the UWTSD guidelines, ‘researchers are expected    to maintain the highest ethical standards and to foster values of honesty, rigour, openness, care and respect’(UWTSD, 2022, p. 3). By carefully integrating these ethical principles into the research process and carrying out the research within the framework of these guidelines, the study seeks to ensure research quality while meeting high ethical standards. </w:t>
      </w:r>
    </w:p>
    <w:p>
      <w:pPr>
        <w:jc w:val="both"/>
        <w:rPr>
          <w:rFonts w:hint="default"/>
          <w:lang w:val="en-US" w:eastAsia="zh-CN"/>
        </w:rPr>
      </w:pPr>
    </w:p>
    <w:p>
      <w:pPr>
        <w:jc w:val="both"/>
        <w:rPr>
          <w:rFonts w:hint="default"/>
          <w:lang w:val="en-US" w:eastAsia="zh-CN"/>
        </w:rPr>
      </w:pPr>
      <w:r>
        <w:rPr>
          <w:rFonts w:hint="default"/>
          <w:lang w:val="en-US" w:eastAsia="zh-CN"/>
        </w:rPr>
        <w:t>In relation to this study, the key ethical considerations include the following aspects:</w:t>
      </w:r>
    </w:p>
    <w:p>
      <w:pPr>
        <w:numPr>
          <w:ilvl w:val="0"/>
          <w:numId w:val="4"/>
        </w:numPr>
        <w:jc w:val="both"/>
        <w:rPr>
          <w:rFonts w:hint="default"/>
          <w:lang w:val="en-US" w:eastAsia="zh-CN"/>
        </w:rPr>
      </w:pPr>
      <w:r>
        <w:rPr>
          <w:rFonts w:hint="eastAsia"/>
          <w:lang w:val="en-US" w:eastAsia="zh-CN"/>
        </w:rPr>
        <w:t xml:space="preserve">The </w:t>
      </w:r>
      <w:r>
        <w:rPr>
          <w:rFonts w:hint="default"/>
          <w:lang w:val="en-US" w:eastAsia="zh-CN"/>
        </w:rPr>
        <w:t>Use of AI Platforms</w:t>
      </w:r>
    </w:p>
    <w:p>
      <w:pPr>
        <w:numPr>
          <w:ilvl w:val="0"/>
          <w:numId w:val="0"/>
        </w:numPr>
        <w:jc w:val="both"/>
        <w:rPr>
          <w:rFonts w:hint="default"/>
          <w:lang w:val="en-US" w:eastAsia="zh-CN"/>
        </w:rPr>
      </w:pPr>
      <w:r>
        <w:rPr>
          <w:rFonts w:hint="default"/>
          <w:lang w:val="en-US" w:eastAsia="zh-CN"/>
        </w:rPr>
        <w:t xml:space="preserve">As highlighted in the BERA guidelines (2024), AI is a rapidly evolving field, and established conventions for ethical practices are less defined compare to other fields. Nevertheless, the guidelines emphasise that the fundamental principles of ethical research still apply (BERA, 2024, p. 12). While this study intends to use AI platforms to assist students with their writing tasks, rigorous measures will be taken to ensure data security and privacy protection. Participants will not be restricted in their choice of AI platforms and may use generative AI tools that do not require registration or login to complete their writing tasks. The data collected for this part will be their writing samples in Microsoft Word document format and will not involve data from the AI platform used.  </w:t>
      </w:r>
    </w:p>
    <w:p>
      <w:pPr>
        <w:numPr>
          <w:ilvl w:val="0"/>
          <w:numId w:val="0"/>
        </w:numPr>
        <w:jc w:val="both"/>
        <w:rPr>
          <w:rFonts w:hint="default"/>
          <w:lang w:val="en-US" w:eastAsia="zh-CN"/>
        </w:rPr>
      </w:pPr>
    </w:p>
    <w:p>
      <w:pPr>
        <w:numPr>
          <w:ilvl w:val="0"/>
          <w:numId w:val="4"/>
        </w:numPr>
        <w:ind w:left="0" w:leftChars="0" w:firstLine="0" w:firstLineChars="0"/>
        <w:jc w:val="left"/>
        <w:rPr>
          <w:rFonts w:hint="default"/>
          <w:lang w:val="en-US" w:eastAsia="zh-CN"/>
        </w:rPr>
      </w:pPr>
      <w:r>
        <w:rPr>
          <w:rFonts w:hint="default"/>
          <w:lang w:val="en-US" w:eastAsia="zh-CN"/>
        </w:rPr>
        <w:t>Grouping and Comparison</w:t>
      </w:r>
    </w:p>
    <w:p>
      <w:pPr>
        <w:numPr>
          <w:ilvl w:val="0"/>
          <w:numId w:val="0"/>
        </w:numPr>
        <w:ind w:leftChars="0"/>
        <w:jc w:val="both"/>
        <w:rPr>
          <w:rFonts w:hint="default"/>
          <w:lang w:val="en-US" w:eastAsia="zh-CN"/>
        </w:rPr>
      </w:pPr>
      <w:r>
        <w:rPr>
          <w:rFonts w:hint="default"/>
          <w:lang w:val="en-US" w:eastAsia="zh-CN"/>
        </w:rPr>
        <w:t xml:space="preserve">According to BERA (2024), ‘some benefits to certain parties may be compromised in order to achieve other goals, but these compromises should be justifiable and, where possible, explicitly accounted for’ (BERA, 2024, p. 13) In this study, the participants are divided randomly into two groups: AI-enabled and Non-AI groups, to compare the effects of generative AI tools on EFL learners’ writing tasks. Consequently, the participants assigned to the Non-AI group may not experience the potential benefits of AI tools during the task, which could lead to feelings of disadvantage, increased pressure, and discomfort during the writing process. However, the group-based comparison is essential for this study as it examines whether generative AI tools can provide advantages in linguistic features and lead to higher scores in human evaluations. </w:t>
      </w:r>
    </w:p>
    <w:p>
      <w:pPr>
        <w:numPr>
          <w:ilvl w:val="0"/>
          <w:numId w:val="0"/>
        </w:numPr>
        <w:ind w:leftChars="0"/>
        <w:jc w:val="both"/>
        <w:rPr>
          <w:rFonts w:hint="default"/>
          <w:lang w:val="en-US" w:eastAsia="zh-CN"/>
        </w:rPr>
      </w:pPr>
    </w:p>
    <w:p>
      <w:pPr>
        <w:numPr>
          <w:ilvl w:val="0"/>
          <w:numId w:val="0"/>
        </w:numPr>
        <w:ind w:leftChars="0"/>
        <w:jc w:val="both"/>
        <w:rPr>
          <w:rFonts w:hint="default"/>
          <w:lang w:val="en-US" w:eastAsia="zh-CN"/>
        </w:rPr>
      </w:pPr>
      <w:r>
        <w:rPr>
          <w:rFonts w:hint="default"/>
          <w:lang w:val="en-US" w:eastAsia="zh-CN"/>
        </w:rPr>
        <w:t>To address potential harm arising from participation in the research, BERA (2024) suggests ‘researchers should minimise the effects of research designs that advantage or are perceived to advantage one group of participants over others’(BERA, 2024, p. 21). Participants in the Non-AI group will receive the same feedback as all participants, including insights into the research findings and effective strategies for using generative AI tools in writing. Additionally, Non-AI group participants will be offered opportunities to explore and practice using generative AI tools for writing tasks after the study concludes. This measure aims to reduce any perceived disadvantages during the study and ensure equal benefits for all participants.</w:t>
      </w:r>
    </w:p>
    <w:p>
      <w:pPr>
        <w:numPr>
          <w:ilvl w:val="0"/>
          <w:numId w:val="0"/>
        </w:numPr>
        <w:ind w:leftChars="0"/>
        <w:jc w:val="both"/>
        <w:rPr>
          <w:rFonts w:hint="default"/>
          <w:lang w:val="en-US" w:eastAsia="zh-CN"/>
        </w:rPr>
      </w:pPr>
      <w:r>
        <w:rPr>
          <w:rFonts w:hint="default"/>
          <w:lang w:val="en-US" w:eastAsia="zh-CN"/>
        </w:rPr>
        <w:t xml:space="preserve"> </w:t>
      </w:r>
    </w:p>
    <w:p>
      <w:pPr>
        <w:numPr>
          <w:ilvl w:val="0"/>
          <w:numId w:val="4"/>
        </w:numPr>
        <w:ind w:left="0" w:leftChars="0" w:firstLine="0" w:firstLineChars="0"/>
        <w:jc w:val="both"/>
        <w:rPr>
          <w:rFonts w:hint="default"/>
          <w:lang w:val="en-US" w:eastAsia="zh-CN"/>
        </w:rPr>
      </w:pPr>
      <w:r>
        <w:rPr>
          <w:rFonts w:hint="default"/>
          <w:lang w:val="en-US" w:eastAsia="zh-CN"/>
        </w:rPr>
        <w:t>Consent and Data Collection</w:t>
      </w:r>
    </w:p>
    <w:p>
      <w:pPr>
        <w:jc w:val="both"/>
        <w:rPr>
          <w:rFonts w:hint="default"/>
          <w:lang w:val="en-US" w:eastAsia="zh-CN"/>
        </w:rPr>
      </w:pPr>
      <w:r>
        <w:rPr>
          <w:rFonts w:hint="default"/>
          <w:lang w:val="en-US" w:eastAsia="zh-CN"/>
        </w:rPr>
        <w:t xml:space="preserve">‘Appropriate treatment of participants’ data is essential to ensure ethical conduct of research’(BERA, 2024, p. 22). Data collection will proceed after participants have been transparently and clearly informed about the research and have signed informed consent forms. The data collection process of this study involves collecting writing samples, screen recordings, and interview audio files. To ensure confidentiality, codes will be assigned to replace participants’ real names during data analysis and reporting. Screen recordings will not capture any personally identifying information. The storage and use of data will strictly follow GDPR regulations. All data will be securely stored on a UWTSD university-recognised platform, with access restricted to the researcher’s account and protected by authentication. </w:t>
      </w:r>
    </w:p>
    <w:p>
      <w:pPr>
        <w:jc w:val="left"/>
        <w:rPr>
          <w:rFonts w:hint="default" w:ascii="Calibri Bold" w:hAnsi="Calibri Bold" w:cs="Calibri Bold"/>
          <w:b/>
          <w:bCs/>
          <w:u w:val="single"/>
          <w:lang w:val="en-US" w:eastAsia="zh-CN"/>
        </w:rPr>
      </w:pPr>
    </w:p>
    <w:p>
      <w:pPr>
        <w:jc w:val="left"/>
        <w:rPr>
          <w:rFonts w:hint="default"/>
          <w:lang w:val="en-US" w:eastAsia="zh-CN"/>
        </w:rPr>
      </w:pPr>
      <w:r>
        <w:rPr>
          <w:rFonts w:hint="default" w:ascii="Calibri Bold" w:hAnsi="Calibri Bold" w:cs="Calibri Bold"/>
          <w:b/>
          <w:bCs/>
          <w:u w:val="single"/>
          <w:lang w:val="en-US" w:eastAsia="zh-CN"/>
        </w:rPr>
        <w:t>Research tools</w:t>
      </w:r>
    </w:p>
    <w:p>
      <w:pPr>
        <w:numPr>
          <w:ilvl w:val="0"/>
          <w:numId w:val="0"/>
        </w:numPr>
        <w:jc w:val="both"/>
        <w:rPr>
          <w:rFonts w:hint="default" w:cstheme="minorHAnsi"/>
          <w:sz w:val="20"/>
          <w:szCs w:val="20"/>
          <w:highlight w:val="none"/>
          <w:lang w:val="en-US" w:eastAsia="zh-CN"/>
        </w:rPr>
      </w:pPr>
      <w:r>
        <w:rPr>
          <w:rFonts w:hint="default" w:cstheme="minorHAnsi"/>
          <w:sz w:val="20"/>
          <w:szCs w:val="20"/>
          <w:lang w:val="en-US" w:eastAsia="zh-CN"/>
        </w:rPr>
        <w:t>A mixed methods study requires a thorough and systematic approach to both qualitative and quantitative research, particularly in the data collection process(</w:t>
      </w:r>
      <w:r>
        <w:rPr>
          <w:rFonts w:hint="default" w:cstheme="minorHAnsi"/>
          <w:sz w:val="20"/>
          <w:szCs w:val="20"/>
          <w:highlight w:val="none"/>
          <w:lang w:val="en-US" w:eastAsia="zh-CN"/>
        </w:rPr>
        <w:t xml:space="preserve">Creswell and Plano Clark, 2018, p. 261). This study adopts an explanatory sequential design(Creswell and Plano Clark, 2018, p. 282), beginning with a quantitative phase followed by a qualitative phase informed by the initial findings. </w:t>
      </w:r>
    </w:p>
    <w:p>
      <w:pPr>
        <w:numPr>
          <w:ilvl w:val="0"/>
          <w:numId w:val="0"/>
        </w:numPr>
        <w:jc w:val="both"/>
        <w:rPr>
          <w:rFonts w:hint="default" w:cstheme="minorHAnsi"/>
          <w:sz w:val="20"/>
          <w:szCs w:val="20"/>
          <w:highlight w:val="none"/>
          <w:lang w:val="en-US" w:eastAsia="zh-CN"/>
        </w:rPr>
      </w:pPr>
    </w:p>
    <w:p>
      <w:pPr>
        <w:numPr>
          <w:ilvl w:val="0"/>
          <w:numId w:val="0"/>
        </w:numPr>
        <w:jc w:val="both"/>
        <w:rPr>
          <w:rFonts w:hint="default" w:cstheme="minorHAnsi"/>
          <w:sz w:val="20"/>
          <w:szCs w:val="20"/>
          <w:highlight w:val="none"/>
          <w:lang w:val="en-US" w:eastAsia="zh-CN"/>
        </w:rPr>
      </w:pPr>
      <w:r>
        <w:rPr>
          <w:rFonts w:hint="default" w:cstheme="minorHAnsi"/>
          <w:sz w:val="20"/>
          <w:szCs w:val="20"/>
          <w:highlight w:val="none"/>
          <w:lang w:val="en-US" w:eastAsia="zh-CN"/>
        </w:rPr>
        <w:t>In the quantitative phase, linguistic data will be collected and analysed from participants’ writings to assess the measurable impacts of generative AI on linguistic features. Subsequently, teachers will evaluate the writings using structured scoring criteria, providing a second set of quantitative data that reflects the overall quality of the writings. The qualitative phase consists of semi-structured interviews to explore participants’ perceptions, challenges, and experiences with AI-assisted writing tools. The two phases are interrelated rather than independent.</w:t>
      </w:r>
    </w:p>
    <w:p>
      <w:pPr>
        <w:numPr>
          <w:ilvl w:val="0"/>
          <w:numId w:val="0"/>
        </w:numPr>
        <w:jc w:val="both"/>
        <w:rPr>
          <w:rFonts w:hint="default" w:cstheme="minorHAnsi"/>
          <w:sz w:val="20"/>
          <w:szCs w:val="20"/>
          <w:highlight w:val="none"/>
          <w:lang w:val="en-US" w:eastAsia="zh-CN"/>
        </w:rPr>
      </w:pPr>
    </w:p>
    <w:p>
      <w:pPr>
        <w:numPr>
          <w:ilvl w:val="0"/>
          <w:numId w:val="0"/>
        </w:numPr>
        <w:jc w:val="both"/>
        <w:rPr>
          <w:rFonts w:hint="default" w:cstheme="minorHAnsi"/>
          <w:sz w:val="20"/>
          <w:szCs w:val="20"/>
          <w:lang w:val="en-US" w:eastAsia="zh-CN"/>
        </w:rPr>
      </w:pPr>
      <w:r>
        <w:rPr>
          <w:rFonts w:hint="default" w:cstheme="minorHAnsi"/>
          <w:sz w:val="20"/>
          <w:szCs w:val="20"/>
          <w:lang w:val="en-US" w:eastAsia="zh-CN"/>
        </w:rPr>
        <w:t>1)Experimental Design</w:t>
      </w:r>
    </w:p>
    <w:p>
      <w:pPr>
        <w:numPr>
          <w:ilvl w:val="0"/>
          <w:numId w:val="0"/>
        </w:numPr>
        <w:jc w:val="both"/>
        <w:rPr>
          <w:rFonts w:hint="default" w:cstheme="minorHAnsi"/>
          <w:sz w:val="20"/>
          <w:szCs w:val="20"/>
          <w:lang w:val="en-US" w:eastAsia="zh-CN"/>
        </w:rPr>
      </w:pPr>
      <w:r>
        <w:rPr>
          <w:rFonts w:hint="default" w:cstheme="minorHAnsi"/>
          <w:sz w:val="20"/>
          <w:szCs w:val="20"/>
          <w:lang w:val="en-US" w:eastAsia="zh-CN"/>
        </w:rPr>
        <w:t xml:space="preserve">The first phase of the study involves an exploratory experiment designed to examine the effects of generative AI tools on EFL students’ topic-based writing tasks. As defined by Denscombe(2010b, p. 80), an experiment is a systematic investigation conducted under controlled conditions to explore the characteristics of and relationships between specific variables. The goal of an experiment is to isolate particular variables and assess their impact in detail(Denscombe, 2010b). In this study, the experiment ‘deliberately controls and manipulates’ (Cohen, Manion and Morrison, p. 391) the specific conditions -- namely, the different types of resources participants can access -- to explore the differences generative AI can make to students’ writing texts. </w:t>
      </w:r>
    </w:p>
    <w:p>
      <w:pPr>
        <w:numPr>
          <w:ilvl w:val="0"/>
          <w:numId w:val="0"/>
        </w:numPr>
        <w:jc w:val="both"/>
        <w:rPr>
          <w:rFonts w:hint="default" w:cstheme="minorHAnsi"/>
          <w:sz w:val="20"/>
          <w:szCs w:val="20"/>
          <w:lang w:val="en-US" w:eastAsia="zh-CN"/>
        </w:rPr>
      </w:pPr>
    </w:p>
    <w:p>
      <w:pPr>
        <w:numPr>
          <w:ilvl w:val="0"/>
          <w:numId w:val="0"/>
        </w:numPr>
        <w:jc w:val="both"/>
        <w:rPr>
          <w:rFonts w:hint="default"/>
          <w:lang w:val="en-US" w:eastAsia="zh-CN"/>
        </w:rPr>
      </w:pPr>
      <w:r>
        <w:rPr>
          <w:rFonts w:hint="default" w:cstheme="minorHAnsi"/>
          <w:sz w:val="20"/>
          <w:szCs w:val="20"/>
          <w:lang w:val="en-US" w:eastAsia="zh-CN"/>
        </w:rPr>
        <w:t>The use of control and experiment groups is a common practice in experimental research to examine the effects of specific interventions. By comparing the writing samples between participants using generative AI tools and those who do not, the data can reveal whether the tools have a positive impact on grammar, vocabulary, syntax and overall quality. Sixty participants for the study will be recruited, volunteering students who are interested in AI-assisted writing research. Basic information, including willingness to participate and current English proficiency level will be collected via Microsoft Forms. TEM 4</w:t>
      </w:r>
      <w:r>
        <w:rPr>
          <w:rFonts w:hint="default" w:eastAsiaTheme="minorEastAsia" w:cstheme="minorHAnsi"/>
          <w:sz w:val="20"/>
          <w:szCs w:val="20"/>
          <w:vertAlign w:val="superscript"/>
          <w:lang w:val="en-US" w:eastAsia="zh-CN"/>
        </w:rPr>
        <w:t>+</w:t>
      </w:r>
      <w:r>
        <w:rPr>
          <w:rFonts w:hint="default" w:cstheme="minorHAnsi"/>
          <w:sz w:val="20"/>
          <w:szCs w:val="20"/>
          <w:lang w:val="en-US" w:eastAsia="zh-CN"/>
        </w:rPr>
        <w:t xml:space="preserve"> for English </w:t>
      </w:r>
      <w:r>
        <w:rPr>
          <w:rFonts w:hint="default"/>
          <w:lang w:val="en-US" w:eastAsia="zh-CN"/>
        </w:rPr>
        <w:t>majors and CET 6</w:t>
      </w:r>
      <w:r>
        <w:rPr>
          <w:rFonts w:hint="default" w:eastAsiaTheme="minorEastAsia"/>
          <w:sz w:val="21"/>
          <w:vertAlign w:val="superscript"/>
          <w:lang w:val="en-US" w:eastAsia="zh-CN"/>
        </w:rPr>
        <w:t>+</w:t>
      </w:r>
      <w:r>
        <w:rPr>
          <w:rFonts w:hint="default"/>
          <w:lang w:val="en-US" w:eastAsia="zh-CN"/>
        </w:rPr>
        <w:t xml:space="preserve"> for non-English majors are required as the minimum English proficiency level, ensuring participants have a similar level of English proficiency. This </w:t>
      </w:r>
      <w:r>
        <w:rPr>
          <w:rFonts w:hint="eastAsia"/>
          <w:lang w:val="en-US" w:eastAsia="zh-CN"/>
        </w:rPr>
        <w:t>languag</w:t>
      </w:r>
      <w:r>
        <w:rPr>
          <w:rFonts w:hint="default"/>
          <w:lang w:val="en-US" w:eastAsia="zh-CN"/>
        </w:rPr>
        <w:t>e requirement ensures that participants have similar proficiency levels, avoiding differences in writing performance caused by varying language abilities. The participants are then divided into two groups: the AI-enabled group, which is allowed to use both generative AI and web-resources, and the Non-AI group which is only allowed to access web resources without using any AI tools.</w:t>
      </w:r>
    </w:p>
    <w:p>
      <w:pPr>
        <w:jc w:val="left"/>
        <w:rPr>
          <w:rFonts w:hint="default"/>
          <w:lang w:val="en-US" w:eastAsia="zh-CN"/>
        </w:rPr>
      </w:pPr>
    </w:p>
    <w:p>
      <w:pPr>
        <w:jc w:val="both"/>
        <w:rPr>
          <w:rFonts w:hint="default"/>
          <w:lang w:val="en-US" w:eastAsia="zh-CN"/>
        </w:rPr>
      </w:pPr>
      <w:r>
        <w:rPr>
          <w:rFonts w:hint="default"/>
          <w:lang w:val="en-US" w:eastAsia="zh-CN"/>
        </w:rPr>
        <w:t xml:space="preserve">The 60 selected participants will be randomly divided into Group A (AI-enabled) and Group B (Non-AI). Both groups are assigned the same topic and tasked with writing a 400-word speech within 1.5 hours. Task instructions will be provided to participants, including specific steps, guidelines on AI usage (for Group A), background information on the topic, and scoring criteria. The criteria cover four dimensions -- task response, coherence and cohesion, lexical resource, and grammatical range and accuracy -- adapted from the IELTS Writing Task 2 framework. Three English teachers will be invited to manually assess the students’ writing. </w:t>
      </w:r>
    </w:p>
    <w:p>
      <w:pPr>
        <w:jc w:val="left"/>
        <w:rPr>
          <w:rFonts w:hint="default"/>
          <w:lang w:val="en-US" w:eastAsia="zh-CN"/>
        </w:rPr>
      </w:pPr>
    </w:p>
    <w:p>
      <w:pPr>
        <w:jc w:val="both"/>
        <w:rPr>
          <w:rFonts w:hint="default"/>
          <w:lang w:val="en-US" w:eastAsia="zh-CN"/>
        </w:rPr>
      </w:pPr>
      <w:r>
        <w:rPr>
          <w:rFonts w:hint="default"/>
          <w:lang w:val="en-US" w:eastAsia="zh-CN"/>
        </w:rPr>
        <w:t xml:space="preserve">With participants’ consent, screen recording software will be used for a full-screen recording during the writing process. On one hand, the recordings help the researcher ensure that participants adhere to the group-specific rules regarding the use of AI tools. On the other hand, the participants’ interactions with AI during the writing process are preserved as qualitative data. However, this portion of the data will not be used in the current study because it does not align with the research questions we aim to answer. Instead, it may serve as valuable materials for future exploration of human-AI interaction strategies in writing tasks. </w:t>
      </w:r>
    </w:p>
    <w:p>
      <w:pPr>
        <w:jc w:val="both"/>
        <w:rPr>
          <w:rFonts w:hint="default"/>
          <w:lang w:val="en-US" w:eastAsia="zh-CN"/>
        </w:rPr>
      </w:pPr>
    </w:p>
    <w:p>
      <w:pPr>
        <w:jc w:val="both"/>
        <w:rPr>
          <w:rFonts w:hint="default"/>
          <w:lang w:val="en-US" w:eastAsia="zh-CN"/>
        </w:rPr>
      </w:pPr>
      <w:r>
        <w:rPr>
          <w:rFonts w:hint="default"/>
          <w:lang w:val="en-US" w:eastAsia="zh-CN"/>
        </w:rPr>
        <w:t xml:space="preserve">Therefore, the data collected during this experimental stage consists of two types: the participants’ written texts and the manual scores assessed by teachers. The written texts are considered quantitative data here because they will be numerically analysed through linguistic analysis tools. The data will be analysed using comparative and statistical methods to assess the quantitative effects of generative AI tools on EFL learners’ writing performance. The results then inform the development of follow-up interview questions, allowing a deeper exploration of students’ experiences and perspectives. </w:t>
      </w:r>
    </w:p>
    <w:p>
      <w:pPr>
        <w:jc w:val="both"/>
        <w:rPr>
          <w:rFonts w:hint="default"/>
          <w:lang w:val="en-US" w:eastAsia="zh-CN"/>
        </w:rPr>
      </w:pPr>
    </w:p>
    <w:p>
      <w:pPr>
        <w:numPr>
          <w:ilvl w:val="0"/>
          <w:numId w:val="0"/>
        </w:numPr>
        <w:ind w:leftChars="0"/>
        <w:jc w:val="both"/>
        <w:rPr>
          <w:rFonts w:hint="default"/>
          <w:lang w:val="en-US" w:eastAsia="zh-CN"/>
        </w:rPr>
      </w:pPr>
      <w:r>
        <w:rPr>
          <w:rFonts w:hint="default"/>
          <w:lang w:val="en-US" w:eastAsia="zh-CN"/>
        </w:rPr>
        <w:t xml:space="preserve">While the study makes efforts to ensure the validity of the experimental design, several limitations should be acknowledged. First, the representativeness of the participants presents a challenge. As they are voluntarily recruited from one university, they may not fully reflect the diversity of the broader EFL learners population. Additionally, the experiment does not account for participants’ prior experience with generative AI tools. Differences in familiarity and proficiency with these tools are not considered as variables, which could influence the outcomes. </w:t>
      </w:r>
    </w:p>
    <w:p>
      <w:pPr>
        <w:numPr>
          <w:ilvl w:val="0"/>
          <w:numId w:val="0"/>
        </w:numPr>
        <w:ind w:leftChars="0"/>
        <w:jc w:val="both"/>
        <w:rPr>
          <w:rFonts w:hint="default"/>
          <w:lang w:val="en-US" w:eastAsia="zh-CN"/>
        </w:rPr>
      </w:pPr>
    </w:p>
    <w:p>
      <w:pPr>
        <w:numPr>
          <w:ilvl w:val="0"/>
          <w:numId w:val="0"/>
        </w:numPr>
        <w:ind w:leftChars="0"/>
        <w:jc w:val="both"/>
        <w:rPr>
          <w:rFonts w:hint="default"/>
          <w:lang w:val="en-US" w:eastAsia="zh-CN"/>
        </w:rPr>
      </w:pPr>
      <w:r>
        <w:rPr>
          <w:rFonts w:hint="default"/>
          <w:lang w:val="en-US" w:eastAsia="zh-CN"/>
        </w:rPr>
        <w:t>2)Semi-structured Interviews</w:t>
      </w:r>
    </w:p>
    <w:p>
      <w:pPr>
        <w:numPr>
          <w:ilvl w:val="0"/>
          <w:numId w:val="0"/>
        </w:numPr>
        <w:ind w:leftChars="0"/>
        <w:jc w:val="both"/>
        <w:rPr>
          <w:rFonts w:hint="default"/>
          <w:lang w:val="en-US" w:eastAsia="zh-CN"/>
        </w:rPr>
      </w:pPr>
      <w:r>
        <w:rPr>
          <w:rFonts w:hint="default"/>
          <w:lang w:val="en-US" w:eastAsia="zh-CN"/>
        </w:rPr>
        <w:t xml:space="preserve">When the goal is to understand people’s thoughts, feelings, and experiences, interviews are often the most appropriate method(Denscombe, 2010b, p. 188). In this study, semi-structured interviews are conducted in the second phase to gather deeper insights into students’ perceptions and experiences with generative AI tools during their writing tasks. This method offers flexibility for students to share their thoughts while allowing the researcher to ask follow-up questions to explore their challenges, attitudes, and strategies more closely. This interactive method creates a comfortable space for conversation(Lambert, 2019), encouraging participants to share their genuine experiences. </w:t>
      </w:r>
    </w:p>
    <w:p>
      <w:pPr>
        <w:numPr>
          <w:ilvl w:val="0"/>
          <w:numId w:val="0"/>
        </w:numPr>
        <w:ind w:leftChars="0"/>
        <w:jc w:val="both"/>
        <w:rPr>
          <w:rFonts w:hint="default"/>
          <w:lang w:val="en-US" w:eastAsia="zh-CN"/>
        </w:rPr>
      </w:pPr>
    </w:p>
    <w:p>
      <w:pPr>
        <w:jc w:val="both"/>
        <w:rPr>
          <w:rFonts w:hint="default"/>
          <w:lang w:val="en-US" w:eastAsia="zh-CN"/>
        </w:rPr>
      </w:pPr>
      <w:r>
        <w:rPr>
          <w:rFonts w:hint="default"/>
          <w:lang w:val="en-US" w:eastAsia="zh-CN"/>
        </w:rPr>
        <w:t xml:space="preserve">All students in the AI-enabled group will participate in the semi-structured interviews. Kvale(1996, p. 10) emphasises that the number of participants should be sufficient to provide meaningful data. As 30 interviews are considered manageable, I decided to include everyone in Group A to avoid bias from selective sampling and ensure a fuller understanding of their writing process. </w:t>
      </w:r>
    </w:p>
    <w:p>
      <w:pPr>
        <w:jc w:val="both"/>
        <w:rPr>
          <w:rFonts w:hint="default"/>
          <w:lang w:val="en-US" w:eastAsia="zh-CN"/>
        </w:rPr>
      </w:pPr>
    </w:p>
    <w:p>
      <w:pPr>
        <w:jc w:val="both"/>
        <w:rPr>
          <w:rFonts w:hint="default"/>
          <w:lang w:val="en-US" w:eastAsia="zh-CN"/>
        </w:rPr>
      </w:pPr>
      <w:r>
        <w:rPr>
          <w:rFonts w:hint="default"/>
          <w:lang w:val="en-US" w:eastAsia="zh-CN"/>
        </w:rPr>
        <w:t xml:space="preserve">The interviews will take place one-on-one in a designated classroom and will be audio-recorded with the participants’ consent. The qualitative data from the interviews will be transcribed and systematically coded for analysis. A thematic analysis will then be conducted to uncover key themes, including participants’ perceptions, challenges, and strategies relating to their experiences with generative AI-assisted writing. One potential challenge for interviews is that the researcher’s interview skills could impact the quality of the interviews and the depth of the information obtained. Therefore, a semi-structured interview guide will be prepared to ensure that the key areas are explored. </w:t>
      </w:r>
    </w:p>
    <w:p>
      <w:pPr>
        <w:jc w:val="both"/>
        <w:rPr>
          <w:rFonts w:hint="default"/>
          <w:lang w:val="en-US" w:eastAsia="zh-CN"/>
        </w:rPr>
      </w:pPr>
    </w:p>
    <w:p>
      <w:pPr>
        <w:jc w:val="left"/>
        <w:rPr>
          <w:rFonts w:hint="default" w:ascii="Calibri Bold" w:hAnsi="Calibri Bold" w:cs="Calibri Bold"/>
          <w:b/>
          <w:bCs/>
          <w:u w:val="single"/>
          <w:lang w:val="en-US" w:eastAsia="zh-CN"/>
        </w:rPr>
      </w:pPr>
      <w:r>
        <w:rPr>
          <w:rFonts w:hint="default" w:ascii="Calibri Bold" w:hAnsi="Calibri Bold" w:cs="Calibri Bold"/>
          <w:b/>
          <w:bCs/>
          <w:u w:val="single"/>
          <w:lang w:val="en-US" w:eastAsia="zh-CN"/>
        </w:rPr>
        <w:t>Data Analysis Methods</w:t>
      </w:r>
    </w:p>
    <w:p>
      <w:pPr>
        <w:jc w:val="both"/>
        <w:rPr>
          <w:rFonts w:hint="default"/>
          <w:lang w:val="en-US" w:eastAsia="zh-CN"/>
        </w:rPr>
      </w:pPr>
      <w:r>
        <w:rPr>
          <w:rFonts w:hint="default"/>
          <w:lang w:val="en-US" w:eastAsia="zh-CN"/>
        </w:rPr>
        <w:t>Data analysis in this study follows the mixed methods design, where quantitative analysis is conducted first, followed by qualitative analysis. As highlighted in mixed methods research, the process involves not only analysing these data sets separately but also integrating them to address the research questions comprehensively(Creswell and Plano C</w:t>
      </w:r>
      <w:r>
        <w:rPr>
          <w:rFonts w:hint="eastAsia"/>
          <w:lang w:val="en-US" w:eastAsia="zh-CN"/>
        </w:rPr>
        <w:t>lark</w:t>
      </w:r>
      <w:r>
        <w:rPr>
          <w:rFonts w:hint="default"/>
          <w:lang w:val="en-US" w:eastAsia="zh-CN"/>
        </w:rPr>
        <w:t>, 2018, p. 308).</w:t>
      </w:r>
    </w:p>
    <w:p>
      <w:pPr>
        <w:jc w:val="both"/>
        <w:rPr>
          <w:rFonts w:hint="default"/>
          <w:lang w:val="en-US" w:eastAsia="zh-CN"/>
        </w:rPr>
      </w:pPr>
      <w:bookmarkStart w:id="0" w:name="_GoBack"/>
      <w:bookmarkEnd w:id="0"/>
    </w:p>
    <w:p>
      <w:pPr>
        <w:numPr>
          <w:ilvl w:val="0"/>
          <w:numId w:val="5"/>
        </w:numPr>
        <w:ind w:left="420" w:leftChars="0" w:hanging="420" w:firstLineChars="0"/>
        <w:jc w:val="both"/>
        <w:rPr>
          <w:rFonts w:hint="default"/>
          <w:lang w:val="en-US" w:eastAsia="zh-CN"/>
        </w:rPr>
      </w:pPr>
      <w:r>
        <w:rPr>
          <w:rFonts w:hint="default"/>
          <w:lang w:val="en-US" w:eastAsia="zh-CN"/>
        </w:rPr>
        <w:t>Quantitative Data Analysis</w:t>
      </w:r>
    </w:p>
    <w:p>
      <w:pPr>
        <w:numPr>
          <w:ilvl w:val="0"/>
          <w:numId w:val="6"/>
        </w:numPr>
        <w:ind w:leftChars="0"/>
        <w:jc w:val="both"/>
        <w:rPr>
          <w:rFonts w:hint="default"/>
          <w:lang w:val="en-US" w:eastAsia="zh-CN"/>
        </w:rPr>
      </w:pPr>
      <w:r>
        <w:rPr>
          <w:rFonts w:hint="default"/>
          <w:lang w:val="en-US" w:eastAsia="zh-CN"/>
        </w:rPr>
        <w:t xml:space="preserve">Linguistic analysis </w:t>
      </w:r>
    </w:p>
    <w:p>
      <w:pPr>
        <w:numPr>
          <w:ilvl w:val="0"/>
          <w:numId w:val="0"/>
        </w:numPr>
        <w:ind w:leftChars="0"/>
        <w:jc w:val="both"/>
        <w:rPr>
          <w:rFonts w:hint="default"/>
          <w:lang w:val="en-US" w:eastAsia="zh-CN"/>
        </w:rPr>
      </w:pPr>
      <w:r>
        <w:rPr>
          <w:rFonts w:hint="default"/>
          <w:lang w:val="en-US" w:eastAsia="zh-CN"/>
        </w:rPr>
        <w:t xml:space="preserve">Linguistic analysis will be conducted using linguistic tools (Grammarly and Languagedata) on the participants’ writing samples to examine specific linguistic features including grammar accuracy, lexical complexity, and syntactic complexity. The results will provide numerical data for each participant. Descriptive statistics, such as means and standard deviations, will be calculated for both Group A and Group B. Independent samples t-tests will be conducted to determine if there are statistically significant differences between the two groups in these linguistic features. </w:t>
      </w:r>
    </w:p>
    <w:p>
      <w:pPr>
        <w:numPr>
          <w:ilvl w:val="0"/>
          <w:numId w:val="0"/>
        </w:numPr>
        <w:ind w:leftChars="0"/>
        <w:jc w:val="both"/>
        <w:rPr>
          <w:rFonts w:hint="default"/>
          <w:lang w:val="en-US" w:eastAsia="zh-CN"/>
        </w:rPr>
      </w:pPr>
    </w:p>
    <w:p>
      <w:pPr>
        <w:numPr>
          <w:ilvl w:val="0"/>
          <w:numId w:val="6"/>
        </w:numPr>
        <w:ind w:left="0" w:leftChars="0" w:firstLine="0" w:firstLineChars="0"/>
        <w:jc w:val="left"/>
        <w:rPr>
          <w:rFonts w:hint="default"/>
          <w:lang w:val="en-US" w:eastAsia="zh-CN"/>
        </w:rPr>
      </w:pPr>
      <w:r>
        <w:rPr>
          <w:rFonts w:hint="default"/>
          <w:lang w:val="en-US" w:eastAsia="zh-CN"/>
        </w:rPr>
        <w:t>Manual Scores</w:t>
      </w:r>
    </w:p>
    <w:p>
      <w:pPr>
        <w:numPr>
          <w:ilvl w:val="0"/>
          <w:numId w:val="0"/>
        </w:numPr>
        <w:ind w:leftChars="0"/>
        <w:jc w:val="both"/>
        <w:rPr>
          <w:rFonts w:hint="default"/>
          <w:lang w:val="en-US" w:eastAsia="zh-CN"/>
        </w:rPr>
      </w:pPr>
      <w:r>
        <w:rPr>
          <w:rFonts w:hint="default"/>
          <w:lang w:val="en-US" w:eastAsia="zh-CN"/>
        </w:rPr>
        <w:t xml:space="preserve">The scores given by the three teachers will be averaged to calculate a single final score for each participant. Descriptive statistics will be used to examine the overall writing performance of the two groups, and an independent samples t-test will be conducted to determine whether the difference between the AI-enabled and Non-AI groups is statistically significant. </w:t>
      </w:r>
    </w:p>
    <w:p>
      <w:pPr>
        <w:numPr>
          <w:ilvl w:val="0"/>
          <w:numId w:val="0"/>
        </w:numPr>
        <w:ind w:leftChars="0"/>
        <w:jc w:val="both"/>
        <w:rPr>
          <w:rFonts w:hint="default"/>
          <w:lang w:val="en-US" w:eastAsia="zh-CN"/>
        </w:rPr>
      </w:pPr>
    </w:p>
    <w:p>
      <w:pPr>
        <w:numPr>
          <w:ilvl w:val="0"/>
          <w:numId w:val="0"/>
        </w:numPr>
        <w:ind w:leftChars="0"/>
        <w:jc w:val="both"/>
        <w:rPr>
          <w:rFonts w:hint="default"/>
          <w:lang w:val="en-US" w:eastAsia="zh-CN"/>
        </w:rPr>
      </w:pPr>
      <w:r>
        <w:rPr>
          <w:rFonts w:hint="default"/>
          <w:lang w:val="en-US" w:eastAsia="zh-CN"/>
        </w:rPr>
        <w:t>The reason for analyzing these two sets of data separately is that linguistic analysis focuses on whether generative AI tools impact specific language elements of writing, while the manual scores evaluate the overall quality of writing, which goes beyond individual linguistic features.</w:t>
      </w:r>
    </w:p>
    <w:p>
      <w:pPr>
        <w:numPr>
          <w:ilvl w:val="0"/>
          <w:numId w:val="0"/>
        </w:numPr>
        <w:ind w:leftChars="0"/>
        <w:jc w:val="both"/>
        <w:rPr>
          <w:rFonts w:hint="default"/>
          <w:lang w:val="en-US" w:eastAsia="zh-CN"/>
        </w:rPr>
      </w:pPr>
      <w:r>
        <w:rPr>
          <w:rFonts w:hint="default"/>
          <w:lang w:val="en-US" w:eastAsia="zh-CN"/>
        </w:rPr>
        <w:t xml:space="preserve">  </w:t>
      </w:r>
    </w:p>
    <w:p>
      <w:pPr>
        <w:numPr>
          <w:ilvl w:val="0"/>
          <w:numId w:val="5"/>
        </w:numPr>
        <w:ind w:left="420" w:leftChars="0" w:hanging="420" w:firstLineChars="0"/>
        <w:jc w:val="left"/>
        <w:rPr>
          <w:rFonts w:hint="default"/>
          <w:lang w:val="en-US" w:eastAsia="zh-CN"/>
        </w:rPr>
      </w:pPr>
      <w:r>
        <w:rPr>
          <w:rFonts w:hint="default"/>
          <w:lang w:val="en-US" w:eastAsia="zh-CN"/>
        </w:rPr>
        <w:t>Q</w:t>
      </w:r>
      <w:r>
        <w:rPr>
          <w:rFonts w:hint="eastAsia"/>
          <w:lang w:val="en-US" w:eastAsia="zh-CN"/>
        </w:rPr>
        <w:t>ua</w:t>
      </w:r>
      <w:r>
        <w:rPr>
          <w:rFonts w:hint="default"/>
          <w:lang w:val="en-US" w:eastAsia="zh-CN"/>
        </w:rPr>
        <w:t>litative D</w:t>
      </w:r>
      <w:r>
        <w:rPr>
          <w:rFonts w:hint="eastAsia"/>
          <w:lang w:val="en-US" w:eastAsia="zh-CN"/>
        </w:rPr>
        <w:t>ata</w:t>
      </w:r>
      <w:r>
        <w:rPr>
          <w:rFonts w:hint="default"/>
          <w:lang w:val="en-US" w:eastAsia="zh-CN"/>
        </w:rPr>
        <w:t xml:space="preserve"> Analysis</w:t>
      </w:r>
    </w:p>
    <w:p>
      <w:pPr>
        <w:numPr>
          <w:ilvl w:val="0"/>
          <w:numId w:val="0"/>
        </w:numPr>
        <w:ind w:leftChars="0"/>
        <w:jc w:val="both"/>
        <w:rPr>
          <w:rFonts w:hint="default"/>
          <w:lang w:val="en-US" w:eastAsia="zh-CN"/>
        </w:rPr>
      </w:pPr>
      <w:r>
        <w:rPr>
          <w:rFonts w:hint="default"/>
          <w:lang w:val="en-US" w:eastAsia="zh-CN"/>
        </w:rPr>
        <w:t xml:space="preserve">Since the study aims to explore students’ perceptions of their AI-assisted writing experiences alongside its impact on language, quantitative analysis alone is not sufficient to capture their subjective perspectives. Therefore, follow-up interviews are conducted to complement the quantitative findings, offering interpretive insights from non-numerical data, thereby improving the study’s validity and reliability. </w:t>
      </w:r>
    </w:p>
    <w:p>
      <w:pPr>
        <w:numPr>
          <w:ilvl w:val="0"/>
          <w:numId w:val="0"/>
        </w:numPr>
        <w:ind w:leftChars="0"/>
        <w:jc w:val="both"/>
        <w:rPr>
          <w:rFonts w:hint="default"/>
          <w:lang w:val="en-US" w:eastAsia="zh-CN"/>
        </w:rPr>
      </w:pPr>
    </w:p>
    <w:p>
      <w:pPr>
        <w:numPr>
          <w:ilvl w:val="0"/>
          <w:numId w:val="0"/>
        </w:numPr>
        <w:ind w:leftChars="0"/>
        <w:jc w:val="both"/>
        <w:rPr>
          <w:rFonts w:hint="default"/>
          <w:lang w:val="en-US" w:eastAsia="zh-CN"/>
        </w:rPr>
      </w:pPr>
      <w:r>
        <w:rPr>
          <w:rFonts w:hint="default"/>
          <w:lang w:val="en-US" w:eastAsia="zh-CN"/>
        </w:rPr>
        <w:t xml:space="preserve">To analyse the qualitative data from students’ semi-structured interviews, thematic analysis will be employed as it offers a structured method for ‘identifying, analysing and reporting patterns (themes) within data’(Braun and Clarke, 2006, p. 79 ). This method is flexible and not tied to any specific theoretical framework (Braun and Clarke, 2006), making it well aligned with the pragmatic philosophy supporting this study. </w:t>
      </w:r>
    </w:p>
    <w:p>
      <w:pPr>
        <w:numPr>
          <w:ilvl w:val="0"/>
          <w:numId w:val="0"/>
        </w:numPr>
        <w:ind w:leftChars="0"/>
        <w:jc w:val="both"/>
        <w:rPr>
          <w:rFonts w:hint="default"/>
          <w:lang w:val="en-US" w:eastAsia="zh-CN"/>
        </w:rPr>
      </w:pPr>
    </w:p>
    <w:p>
      <w:pPr>
        <w:numPr>
          <w:ilvl w:val="0"/>
          <w:numId w:val="0"/>
        </w:numPr>
        <w:ind w:leftChars="0"/>
        <w:jc w:val="both"/>
        <w:rPr>
          <w:rFonts w:hint="default"/>
          <w:lang w:val="en-US" w:eastAsia="zh-CN"/>
        </w:rPr>
      </w:pPr>
      <w:r>
        <w:rPr>
          <w:rFonts w:hint="default"/>
          <w:lang w:val="en-US" w:eastAsia="zh-CN"/>
        </w:rPr>
        <w:t xml:space="preserve">As my study is primarily exploratory, and thematic analysis is typically inductive, </w:t>
      </w:r>
      <w:r>
        <w:rPr>
          <w:rFonts w:hint="eastAsia"/>
          <w:lang w:val="en-US" w:eastAsia="zh-CN"/>
        </w:rPr>
        <w:t>t</w:t>
      </w:r>
      <w:r>
        <w:rPr>
          <w:rFonts w:hint="default"/>
          <w:lang w:val="en-US" w:eastAsia="zh-CN"/>
        </w:rPr>
        <w:t xml:space="preserve">hemes will not be predefined; instead, they will be identified through systematic coding of qualitative data, allowing the findings to reflect participants’ authentic experiences. However, based on the research focus, aspects such as challenges, decision-making strategies, and perceptions of generative AI tools will serve as areas of interest and starting points but will not be limited to these aspects. </w:t>
      </w:r>
    </w:p>
    <w:p>
      <w:pPr>
        <w:numPr>
          <w:ilvl w:val="0"/>
          <w:numId w:val="0"/>
        </w:numPr>
        <w:ind w:leftChars="0"/>
        <w:jc w:val="both"/>
        <w:rPr>
          <w:rFonts w:hint="default"/>
          <w:lang w:val="en-US" w:eastAsia="zh-CN"/>
        </w:rPr>
      </w:pPr>
    </w:p>
    <w:p>
      <w:pPr>
        <w:numPr>
          <w:ilvl w:val="0"/>
          <w:numId w:val="0"/>
        </w:numPr>
        <w:ind w:leftChars="0"/>
        <w:jc w:val="both"/>
        <w:rPr>
          <w:rFonts w:hint="default"/>
          <w:lang w:val="en-US" w:eastAsia="zh-CN"/>
        </w:rPr>
      </w:pPr>
      <w:r>
        <w:rPr>
          <w:rFonts w:hint="default"/>
          <w:lang w:val="en-US" w:eastAsia="zh-CN"/>
        </w:rPr>
        <w:t xml:space="preserve">In mixed methods research, the data analysis process is iterative. For this study, while the quantitative analysis serves as the foundation and is conducted first, followed by qualitative thematic analysis, the process involves comparing and integrating findings from both phases. The comparison determines whether the qualitative insights align with, support, or extend the quantitative results, ensuring a comprehensive understanding of the research questions. </w:t>
      </w:r>
    </w:p>
    <w:p>
      <w:pPr>
        <w:jc w:val="left"/>
        <w:rPr>
          <w:rFonts w:hint="default" w:ascii="Calibri Bold" w:hAnsi="Calibri Bold" w:cs="Calibri Bold"/>
          <w:b/>
          <w:bCs/>
          <w:u w:val="single"/>
          <w:lang w:val="en-US" w:eastAsia="zh-CN"/>
        </w:rPr>
      </w:pPr>
    </w:p>
    <w:p>
      <w:pPr>
        <w:jc w:val="both"/>
        <w:rPr>
          <w:rFonts w:hint="default" w:ascii="Calibri Bold" w:hAnsi="Calibri Bold" w:cs="Calibri Bold"/>
          <w:b/>
          <w:bCs/>
          <w:highlight w:val="none"/>
          <w:u w:val="single"/>
          <w:lang w:val="en-US" w:eastAsia="zh-CN"/>
        </w:rPr>
      </w:pPr>
      <w:r>
        <w:rPr>
          <w:rFonts w:hint="default" w:ascii="Calibri Bold" w:hAnsi="Calibri Bold" w:cs="Calibri Bold"/>
          <w:b/>
          <w:bCs/>
          <w:highlight w:val="none"/>
          <w:u w:val="single"/>
          <w:lang w:val="en-US" w:eastAsia="zh-CN"/>
        </w:rPr>
        <w:t>Conclusion</w:t>
      </w:r>
    </w:p>
    <w:p>
      <w:pPr>
        <w:jc w:val="both"/>
        <w:rPr>
          <w:rFonts w:hint="default" w:ascii="Calibri Bold" w:hAnsi="Calibri Bold" w:cs="Calibri Bold"/>
          <w:b/>
          <w:bCs/>
          <w:u w:val="single"/>
          <w:lang w:val="en-US" w:eastAsia="zh-CN"/>
        </w:rPr>
      </w:pPr>
    </w:p>
    <w:p>
      <w:pPr>
        <w:jc w:val="both"/>
        <w:rPr>
          <w:rFonts w:hint="default" w:ascii="Calibri Bold" w:hAnsi="Calibri Bold" w:cs="Calibri Bold"/>
          <w:b/>
          <w:bCs/>
          <w:u w:val="single"/>
          <w:lang w:val="en-US" w:eastAsia="zh-CN"/>
        </w:rPr>
      </w:pPr>
      <w:r>
        <w:rPr>
          <w:rFonts w:hint="default"/>
          <w:lang w:val="en-US" w:eastAsia="zh-CN"/>
        </w:rPr>
        <w:t xml:space="preserve">Guided by pragmatism, this study adopts a sequential mixed methods approach to explore the role of generative AI in EFL writing. It combines quantitative analysis of language features from a writing task experiment with qualitative interviews to understand participants’ experiences. The study aims to integrate rapidly advancing AI technologies into foreign language education to improve EFL writing instruction in classrooms. </w:t>
      </w:r>
    </w:p>
    <w:p>
      <w:pPr>
        <w:jc w:val="left"/>
        <w:rPr>
          <w:rFonts w:hint="default" w:ascii="Calibri Bold" w:hAnsi="Calibri Bold" w:cs="Calibri Bold"/>
          <w:b/>
          <w:bCs/>
          <w:u w:val="single"/>
          <w:lang w:val="en-US" w:eastAsia="zh-CN"/>
        </w:rPr>
      </w:pPr>
    </w:p>
    <w:p>
      <w:pPr>
        <w:jc w:val="left"/>
        <w:rPr>
          <w:rFonts w:hint="default" w:ascii="Calibri Bold" w:hAnsi="Calibri Bold" w:cs="Calibri Bold"/>
          <w:b/>
          <w:bCs/>
          <w:u w:val="single"/>
          <w:lang w:val="en-US" w:eastAsia="zh-CN"/>
        </w:rPr>
      </w:pPr>
      <w:r>
        <w:rPr>
          <w:rFonts w:hint="default" w:ascii="Calibri Bold" w:hAnsi="Calibri Bold" w:cs="Calibri Bold"/>
          <w:b/>
          <w:bCs/>
          <w:u w:val="single"/>
          <w:lang w:val="en-US" w:eastAsia="zh-CN"/>
        </w:rPr>
        <w:t>Reference</w:t>
      </w:r>
    </w:p>
    <w:p>
      <w:pPr>
        <w:jc w:val="left"/>
        <w:rPr>
          <w:rFonts w:hint="default" w:ascii="Calibri Bold" w:hAnsi="Calibri Bold" w:cs="Calibri Bold"/>
          <w:b/>
          <w:bCs/>
          <w:u w:val="single"/>
          <w:lang w:val="en-US" w:eastAsia="zh-CN"/>
        </w:rPr>
      </w:pPr>
    </w:p>
    <w:p>
      <w:pPr>
        <w:rPr>
          <w:rFonts w:hint="default"/>
          <w:lang w:val="en-US"/>
        </w:rPr>
      </w:pPr>
      <w:r>
        <w:rPr>
          <w:rFonts w:hint="default"/>
          <w:lang w:val="en-US"/>
        </w:rPr>
        <w:t>Barrot,</w:t>
      </w:r>
      <w:r>
        <w:rPr>
          <w:rFonts w:hint="eastAsia"/>
          <w:lang w:val="en-US" w:eastAsia="zh-CN"/>
        </w:rPr>
        <w:t xml:space="preserve"> </w:t>
      </w:r>
      <w:r>
        <w:rPr>
          <w:rFonts w:hint="default"/>
          <w:lang w:val="en-US"/>
        </w:rPr>
        <w:t xml:space="preserve">J.S. (2023) ‘Using ChatGPT for second language writing: pitfalls and potentials’, </w:t>
      </w:r>
      <w:r>
        <w:rPr>
          <w:rFonts w:hint="default" w:ascii="Calibri Italic" w:hAnsi="Calibri Italic" w:cs="Calibri Italic"/>
          <w:i/>
          <w:iCs/>
          <w:lang w:val="en-US"/>
        </w:rPr>
        <w:t>Assessing Writing</w:t>
      </w:r>
      <w:r>
        <w:rPr>
          <w:rFonts w:hint="default"/>
          <w:lang w:val="en-US"/>
        </w:rPr>
        <w:t xml:space="preserve">, 57, article 100745. Available at: </w:t>
      </w:r>
      <w:r>
        <w:rPr>
          <w:rFonts w:hint="default"/>
          <w:lang w:val="en-US"/>
        </w:rPr>
        <w:fldChar w:fldCharType="begin"/>
      </w:r>
      <w:r>
        <w:rPr>
          <w:rFonts w:hint="default"/>
          <w:lang w:val="en-US"/>
        </w:rPr>
        <w:instrText xml:space="preserve"> HYPERLINK "https://doi.org/10.1016/j.asw.2023.100745" </w:instrText>
      </w:r>
      <w:r>
        <w:rPr>
          <w:rFonts w:hint="default"/>
          <w:lang w:val="en-US"/>
        </w:rPr>
        <w:fldChar w:fldCharType="separate"/>
      </w:r>
      <w:r>
        <w:rPr>
          <w:rStyle w:val="6"/>
          <w:rFonts w:hint="default"/>
          <w:lang w:val="en-US"/>
        </w:rPr>
        <w:t>https://doi.org/10.1016/j.asw.2023.100745</w:t>
      </w:r>
      <w:r>
        <w:rPr>
          <w:rFonts w:hint="default"/>
          <w:lang w:val="en-US"/>
        </w:rPr>
        <w:fldChar w:fldCharType="end"/>
      </w:r>
      <w:r>
        <w:rPr>
          <w:rFonts w:hint="eastAsia"/>
          <w:lang w:val="en-US" w:eastAsia="zh-CN"/>
        </w:rPr>
        <w:t xml:space="preserve"> </w:t>
      </w:r>
      <w:r>
        <w:rPr>
          <w:rFonts w:hint="default"/>
          <w:lang w:val="en-US"/>
        </w:rPr>
        <w:t xml:space="preserve"> </w:t>
      </w:r>
    </w:p>
    <w:p>
      <w:pPr>
        <w:rPr>
          <w:rFonts w:hint="default"/>
          <w:lang w:val="en-US"/>
        </w:rPr>
      </w:pPr>
    </w:p>
    <w:p>
      <w:pPr>
        <w:jc w:val="left"/>
        <w:rPr>
          <w:rFonts w:hint="default"/>
          <w:lang w:val="en-US" w:eastAsia="zh-CN"/>
        </w:rPr>
      </w:pPr>
      <w:r>
        <w:rPr>
          <w:rFonts w:hint="eastAsia"/>
          <w:lang w:val="en-US" w:eastAsia="zh-CN"/>
        </w:rPr>
        <w:t xml:space="preserve">Braun, V. and Clarke, V. (2006) </w:t>
      </w:r>
      <w:r>
        <w:rPr>
          <w:rFonts w:hint="default"/>
          <w:lang w:val="en-US" w:eastAsia="zh-CN"/>
        </w:rPr>
        <w:t>‘</w:t>
      </w:r>
      <w:r>
        <w:rPr>
          <w:rFonts w:hint="eastAsia"/>
          <w:lang w:val="en-US" w:eastAsia="zh-CN"/>
        </w:rPr>
        <w:t>Using thematic analysis in psychology</w:t>
      </w:r>
      <w:r>
        <w:rPr>
          <w:rFonts w:hint="default"/>
          <w:lang w:val="en-US" w:eastAsia="zh-CN"/>
        </w:rPr>
        <w:t>’</w:t>
      </w:r>
      <w:r>
        <w:rPr>
          <w:rFonts w:hint="eastAsia"/>
          <w:lang w:val="en-US" w:eastAsia="zh-CN"/>
        </w:rPr>
        <w:t xml:space="preserve">, </w:t>
      </w:r>
      <w:r>
        <w:rPr>
          <w:rFonts w:hint="default" w:ascii="Calibri Italic" w:hAnsi="Calibri Italic" w:cs="Calibri Italic"/>
          <w:i/>
          <w:iCs/>
          <w:lang w:val="en-US" w:eastAsia="zh-CN"/>
        </w:rPr>
        <w:t>Qualitative Research in Psychology</w:t>
      </w:r>
      <w:r>
        <w:rPr>
          <w:rFonts w:hint="eastAsia"/>
          <w:lang w:val="en-US" w:eastAsia="zh-CN"/>
        </w:rPr>
        <w:t xml:space="preserve">, 3(2), pp. 77–101. Available at: </w:t>
      </w:r>
      <w:r>
        <w:rPr>
          <w:rFonts w:hint="eastAsia"/>
          <w:lang w:val="en-US" w:eastAsia="zh-CN"/>
        </w:rPr>
        <w:fldChar w:fldCharType="begin"/>
      </w:r>
      <w:r>
        <w:rPr>
          <w:rFonts w:hint="eastAsia"/>
          <w:lang w:val="en-US" w:eastAsia="zh-CN"/>
        </w:rPr>
        <w:instrText xml:space="preserve"> HYPERLINK "https://doi.org/10.1191/1478088706qp063oa" </w:instrText>
      </w:r>
      <w:r>
        <w:rPr>
          <w:rFonts w:hint="eastAsia"/>
          <w:lang w:val="en-US" w:eastAsia="zh-CN"/>
        </w:rPr>
        <w:fldChar w:fldCharType="separate"/>
      </w:r>
      <w:r>
        <w:rPr>
          <w:rStyle w:val="6"/>
          <w:rFonts w:hint="eastAsia"/>
          <w:lang w:val="en-US" w:eastAsia="zh-CN"/>
        </w:rPr>
        <w:t>https://doi.org/10.1191/1478088706qp063oa</w:t>
      </w:r>
      <w:r>
        <w:rPr>
          <w:rFonts w:hint="eastAsia"/>
          <w:lang w:val="en-US" w:eastAsia="zh-CN"/>
        </w:rPr>
        <w:fldChar w:fldCharType="end"/>
      </w:r>
      <w:r>
        <w:rPr>
          <w:rFonts w:hint="default"/>
          <w:lang w:val="en-US" w:eastAsia="zh-CN"/>
        </w:rPr>
        <w:t xml:space="preserve"> </w:t>
      </w:r>
    </w:p>
    <w:p>
      <w:pPr>
        <w:jc w:val="left"/>
        <w:rPr>
          <w:rFonts w:hint="default"/>
          <w:lang w:val="en-US" w:eastAsia="zh-CN"/>
        </w:rPr>
      </w:pPr>
    </w:p>
    <w:p>
      <w:pPr>
        <w:jc w:val="left"/>
        <w:rPr>
          <w:rFonts w:hint="default"/>
          <w:lang w:val="en-US" w:eastAsia="zh-CN"/>
        </w:rPr>
      </w:pPr>
      <w:r>
        <w:rPr>
          <w:rFonts w:hint="default"/>
          <w:lang w:val="en-US" w:eastAsia="zh-CN"/>
        </w:rPr>
        <w:t xml:space="preserve">British Educational Research Association [BERA] (2024) </w:t>
      </w:r>
      <w:r>
        <w:rPr>
          <w:rFonts w:hint="default" w:ascii="Calibri Italic" w:hAnsi="Calibri Italic" w:cs="Calibri Italic"/>
          <w:i/>
          <w:iCs/>
          <w:lang w:val="en-US" w:eastAsia="zh-CN"/>
        </w:rPr>
        <w:t>Ethical guidelines for educational research</w:t>
      </w:r>
      <w:r>
        <w:rPr>
          <w:rFonts w:hint="default"/>
          <w:lang w:val="en-US" w:eastAsia="zh-CN"/>
        </w:rPr>
        <w:t>. 5th edn. Available at</w:t>
      </w:r>
      <w:r>
        <w:rPr>
          <w:rFonts w:hint="eastAsia"/>
          <w:lang w:val="en-US" w:eastAsia="zh-CN"/>
        </w:rPr>
        <w:t xml:space="preserve">: </w:t>
      </w:r>
      <w:r>
        <w:rPr>
          <w:rFonts w:hint="default"/>
          <w:lang w:val="en-US" w:eastAsia="zh-CN"/>
        </w:rPr>
        <w:t xml:space="preserve"> </w:t>
      </w:r>
      <w:r>
        <w:rPr>
          <w:rFonts w:hint="default"/>
          <w:lang w:val="en-US" w:eastAsia="zh-CN"/>
        </w:rPr>
        <w:fldChar w:fldCharType="begin"/>
      </w:r>
      <w:r>
        <w:rPr>
          <w:rFonts w:hint="default"/>
          <w:lang w:val="en-US" w:eastAsia="zh-CN"/>
        </w:rPr>
        <w:instrText xml:space="preserve"> HYPERLINK "http://www.bera.ac.uk/publication/ethicalguidelines-for-educational-research-2024" </w:instrText>
      </w:r>
      <w:r>
        <w:rPr>
          <w:rFonts w:hint="default"/>
          <w:lang w:val="en-US" w:eastAsia="zh-CN"/>
        </w:rPr>
        <w:fldChar w:fldCharType="separate"/>
      </w:r>
      <w:r>
        <w:rPr>
          <w:rStyle w:val="6"/>
          <w:rFonts w:hint="default"/>
          <w:lang w:val="en-US" w:eastAsia="zh-CN"/>
        </w:rPr>
        <w:t>www.bera.ac.uk/publication/ethicalguidelines-for-educational-research-2024</w:t>
      </w:r>
      <w:r>
        <w:rPr>
          <w:rFonts w:hint="default"/>
          <w:lang w:val="en-US" w:eastAsia="zh-CN"/>
        </w:rPr>
        <w:fldChar w:fldCharType="end"/>
      </w:r>
      <w:r>
        <w:rPr>
          <w:rFonts w:hint="default"/>
          <w:lang w:val="en-US" w:eastAsia="zh-CN"/>
        </w:rPr>
        <w:t xml:space="preserve"> (Accessed at 16 February 2024).</w:t>
      </w:r>
    </w:p>
    <w:p>
      <w:pPr>
        <w:jc w:val="left"/>
        <w:rPr>
          <w:rFonts w:hint="default"/>
          <w:lang w:val="en-US" w:eastAsia="zh-CN"/>
        </w:rPr>
      </w:pPr>
    </w:p>
    <w:p>
      <w:pPr>
        <w:rPr>
          <w:rFonts w:hint="default"/>
          <w:lang w:val="en-US"/>
        </w:rPr>
      </w:pPr>
      <w:r>
        <w:rPr>
          <w:rFonts w:hint="default"/>
          <w:lang w:val="en-US"/>
        </w:rPr>
        <w:t>Chen,</w:t>
      </w:r>
      <w:r>
        <w:rPr>
          <w:rFonts w:hint="eastAsia"/>
          <w:lang w:val="en-US" w:eastAsia="zh-CN"/>
        </w:rPr>
        <w:t xml:space="preserve"> </w:t>
      </w:r>
      <w:r>
        <w:rPr>
          <w:rFonts w:hint="default"/>
          <w:lang w:val="en-US"/>
        </w:rPr>
        <w:t xml:space="preserve">Y. </w:t>
      </w:r>
      <w:r>
        <w:rPr>
          <w:rFonts w:hint="default" w:ascii="Calibri Italic" w:hAnsi="Calibri Italic" w:cs="Calibri Italic"/>
          <w:i/>
          <w:iCs/>
          <w:lang w:val="en-US"/>
        </w:rPr>
        <w:t>et al</w:t>
      </w:r>
      <w:r>
        <w:rPr>
          <w:rFonts w:hint="default"/>
          <w:lang w:val="en-US"/>
        </w:rPr>
        <w:t xml:space="preserve">. (2022) ‘Artificial intelligence (AI) student assistants in the classroom: designing chatbots to support student success’, </w:t>
      </w:r>
      <w:r>
        <w:rPr>
          <w:rFonts w:hint="default" w:ascii="Calibri Italic" w:hAnsi="Calibri Italic" w:cs="Calibri Italic"/>
          <w:i/>
          <w:iCs/>
          <w:lang w:val="en-US"/>
        </w:rPr>
        <w:t>Information Systems Frontiers</w:t>
      </w:r>
      <w:r>
        <w:rPr>
          <w:rFonts w:hint="default"/>
          <w:lang w:val="en-US"/>
        </w:rPr>
        <w:t xml:space="preserve">, 25, pp. 161–182. Available at: </w:t>
      </w:r>
      <w:r>
        <w:rPr>
          <w:rFonts w:hint="default"/>
          <w:lang w:val="en-US"/>
        </w:rPr>
        <w:fldChar w:fldCharType="begin"/>
      </w:r>
      <w:r>
        <w:rPr>
          <w:rFonts w:hint="default"/>
          <w:lang w:val="en-US"/>
        </w:rPr>
        <w:instrText xml:space="preserve"> HYPERLINK "https://doi.org/10.1007/s10796-022-10291-4" </w:instrText>
      </w:r>
      <w:r>
        <w:rPr>
          <w:rFonts w:hint="default"/>
          <w:lang w:val="en-US"/>
        </w:rPr>
        <w:fldChar w:fldCharType="separate"/>
      </w:r>
      <w:r>
        <w:rPr>
          <w:rStyle w:val="5"/>
          <w:rFonts w:hint="default"/>
          <w:lang w:val="en-US"/>
        </w:rPr>
        <w:t>https://doi.org/10.1007/s10796-022-10291-4</w:t>
      </w:r>
      <w:r>
        <w:rPr>
          <w:rFonts w:hint="default"/>
          <w:lang w:val="en-US"/>
        </w:rPr>
        <w:fldChar w:fldCharType="end"/>
      </w:r>
      <w:r>
        <w:rPr>
          <w:rFonts w:hint="eastAsia"/>
          <w:lang w:val="en-US" w:eastAsia="zh-CN"/>
        </w:rPr>
        <w:t xml:space="preserve"> </w:t>
      </w:r>
      <w:r>
        <w:rPr>
          <w:rFonts w:hint="default"/>
          <w:lang w:val="en-US"/>
        </w:rPr>
        <w:t xml:space="preserve"> </w:t>
      </w:r>
    </w:p>
    <w:p>
      <w:pPr>
        <w:rPr>
          <w:rFonts w:hint="default"/>
          <w:lang w:val="en-US"/>
        </w:rPr>
      </w:pPr>
    </w:p>
    <w:p>
      <w:pPr>
        <w:jc w:val="left"/>
        <w:rPr>
          <w:rFonts w:hint="default"/>
          <w:lang w:val="en-US"/>
        </w:rPr>
      </w:pPr>
      <w:r>
        <w:rPr>
          <w:rFonts w:hint="default"/>
          <w:lang w:val="en-US"/>
        </w:rPr>
        <w:t xml:space="preserve">Cohen, L., Manion, L. and Morrison, K. (2018) </w:t>
      </w:r>
      <w:r>
        <w:rPr>
          <w:rFonts w:hint="default" w:ascii="Calibri Italic" w:hAnsi="Calibri Italic" w:cs="Calibri Italic"/>
          <w:i/>
          <w:iCs/>
          <w:lang w:val="en-US"/>
        </w:rPr>
        <w:t>Research methods in education.</w:t>
      </w:r>
      <w:r>
        <w:rPr>
          <w:rFonts w:hint="default"/>
          <w:lang w:val="en-US"/>
        </w:rPr>
        <w:t xml:space="preserve"> 8th edn. Abingdon, Oxon: Routledge.</w:t>
      </w:r>
    </w:p>
    <w:p>
      <w:pPr>
        <w:rPr>
          <w:rFonts w:hint="default"/>
          <w:lang w:val="en-US"/>
        </w:rPr>
      </w:pPr>
    </w:p>
    <w:p>
      <w:pPr>
        <w:rPr>
          <w:rFonts w:hint="default"/>
          <w:lang w:val="en-US"/>
        </w:rPr>
      </w:pPr>
      <w:r>
        <w:rPr>
          <w:rFonts w:hint="default"/>
          <w:lang w:val="en-US"/>
        </w:rPr>
        <w:t xml:space="preserve">Creswell, J.W. and Piano Clark, V.L. (2018) </w:t>
      </w:r>
      <w:r>
        <w:rPr>
          <w:rFonts w:hint="default" w:ascii="Calibri Italic" w:hAnsi="Calibri Italic" w:cs="Calibri Italic"/>
          <w:i/>
          <w:iCs/>
          <w:lang w:val="en-US"/>
        </w:rPr>
        <w:t xml:space="preserve">Designing and conducting mixed methods research. </w:t>
      </w:r>
      <w:r>
        <w:rPr>
          <w:rFonts w:hint="default"/>
          <w:lang w:val="en-US"/>
        </w:rPr>
        <w:t>3</w:t>
      </w:r>
      <w:r>
        <w:rPr>
          <w:rFonts w:hint="eastAsia"/>
          <w:lang w:val="en-US" w:eastAsia="zh-CN"/>
        </w:rPr>
        <w:t>rd</w:t>
      </w:r>
      <w:r>
        <w:rPr>
          <w:rFonts w:hint="default"/>
          <w:lang w:val="en-US" w:eastAsia="zh-CN"/>
        </w:rPr>
        <w:t xml:space="preserve"> </w:t>
      </w:r>
      <w:r>
        <w:rPr>
          <w:rFonts w:hint="default"/>
          <w:lang w:val="en-US"/>
        </w:rPr>
        <w:t xml:space="preserve">edn. Thousand Oaks: SAGE. </w:t>
      </w:r>
      <w:r>
        <w:rPr>
          <w:rFonts w:hint="default" w:ascii="Calibri Italic" w:hAnsi="Calibri Italic" w:cs="Calibri Italic"/>
          <w:i/>
          <w:iCs/>
          <w:lang w:val="en-US"/>
        </w:rPr>
        <w:t xml:space="preserve"> </w:t>
      </w:r>
    </w:p>
    <w:p>
      <w:pPr>
        <w:rPr>
          <w:rFonts w:hint="default"/>
          <w:lang w:val="en-US"/>
        </w:rPr>
      </w:pPr>
    </w:p>
    <w:p>
      <w:pPr>
        <w:jc w:val="left"/>
        <w:rPr>
          <w:rFonts w:hint="default"/>
          <w:lang w:val="en-US"/>
        </w:rPr>
      </w:pPr>
      <w:r>
        <w:rPr>
          <w:rFonts w:hint="default"/>
          <w:lang w:val="en-US"/>
        </w:rPr>
        <w:t xml:space="preserve">Denscombe, M. (2010a) </w:t>
      </w:r>
      <w:r>
        <w:rPr>
          <w:rFonts w:hint="default" w:ascii="Calibri Italic" w:hAnsi="Calibri Italic" w:cs="Calibri Italic"/>
          <w:i/>
          <w:iCs/>
          <w:lang w:val="en-US"/>
        </w:rPr>
        <w:t>Ground rules for social research: Guidelines for good practice.</w:t>
      </w:r>
      <w:r>
        <w:rPr>
          <w:rFonts w:hint="default"/>
          <w:lang w:val="en-US"/>
        </w:rPr>
        <w:t xml:space="preserve"> 2nd edn. Maidenhead: Open University Press.</w:t>
      </w:r>
    </w:p>
    <w:p>
      <w:pPr>
        <w:jc w:val="left"/>
        <w:rPr>
          <w:rFonts w:hint="default"/>
          <w:lang w:val="en-US"/>
        </w:rPr>
      </w:pPr>
    </w:p>
    <w:p>
      <w:pPr>
        <w:jc w:val="left"/>
        <w:rPr>
          <w:rFonts w:hint="default"/>
          <w:lang w:val="en-US"/>
        </w:rPr>
      </w:pPr>
      <w:r>
        <w:rPr>
          <w:rFonts w:hint="default"/>
          <w:lang w:val="en-US"/>
        </w:rPr>
        <w:t xml:space="preserve">Denscombe, M. (2010b) </w:t>
      </w:r>
      <w:r>
        <w:rPr>
          <w:rFonts w:hint="default" w:ascii="Calibri Italic" w:hAnsi="Calibri Italic" w:cs="Calibri Italic"/>
          <w:i/>
          <w:iCs/>
          <w:lang w:val="en-US"/>
        </w:rPr>
        <w:t>The good research guide for small-scale social research projects</w:t>
      </w:r>
      <w:r>
        <w:rPr>
          <w:rFonts w:hint="default"/>
          <w:lang w:val="en-US"/>
        </w:rPr>
        <w:t>. 4th edn. Maidenhead: Open University Press.</w:t>
      </w:r>
    </w:p>
    <w:p>
      <w:pPr>
        <w:jc w:val="left"/>
        <w:rPr>
          <w:rFonts w:hint="default"/>
          <w:lang w:val="en-US"/>
        </w:rPr>
      </w:pPr>
    </w:p>
    <w:p>
      <w:pPr>
        <w:jc w:val="left"/>
        <w:rPr>
          <w:rFonts w:hint="default"/>
          <w:lang w:val="en-US"/>
        </w:rPr>
      </w:pPr>
      <w:r>
        <w:rPr>
          <w:rFonts w:hint="default"/>
          <w:lang w:val="en-US"/>
        </w:rPr>
        <w:t xml:space="preserve">Kvale, S. (1994) </w:t>
      </w:r>
      <w:r>
        <w:rPr>
          <w:rFonts w:hint="default" w:ascii="Calibri Italic" w:hAnsi="Calibri Italic" w:cs="Calibri Italic"/>
          <w:i/>
          <w:iCs/>
          <w:lang w:val="en-US"/>
        </w:rPr>
        <w:t>Interviews: an introduction to qualitative research interviewing</w:t>
      </w:r>
      <w:r>
        <w:rPr>
          <w:rFonts w:hint="default"/>
          <w:lang w:val="en-US"/>
        </w:rPr>
        <w:t xml:space="preserve">. Thousand Oaks: Sage. </w:t>
      </w:r>
    </w:p>
    <w:p>
      <w:pPr>
        <w:jc w:val="left"/>
        <w:rPr>
          <w:rFonts w:hint="default"/>
          <w:lang w:val="en-US"/>
        </w:rPr>
      </w:pPr>
      <w:r>
        <w:rPr>
          <w:rFonts w:hint="default"/>
          <w:lang w:val="en-US"/>
        </w:rPr>
        <w:t xml:space="preserve">Lambert, M.(2019) </w:t>
      </w:r>
      <w:r>
        <w:rPr>
          <w:rFonts w:hint="default" w:ascii="Calibri Italic" w:hAnsi="Calibri Italic" w:cs="Calibri Italic"/>
          <w:i/>
          <w:iCs/>
          <w:lang w:val="en-US"/>
        </w:rPr>
        <w:t>Practical research methods in education: an early researcher’s critical guide</w:t>
      </w:r>
      <w:r>
        <w:rPr>
          <w:rFonts w:hint="default"/>
          <w:lang w:val="en-US"/>
        </w:rPr>
        <w:t>. Abingdon, Oxon: Routledge.</w:t>
      </w:r>
    </w:p>
    <w:p>
      <w:pPr>
        <w:jc w:val="left"/>
        <w:rPr>
          <w:rFonts w:hint="default"/>
          <w:lang w:val="en-US"/>
        </w:rPr>
      </w:pPr>
    </w:p>
    <w:p>
      <w:pPr>
        <w:jc w:val="left"/>
        <w:rPr>
          <w:rFonts w:hint="default"/>
          <w:lang w:val="en-US"/>
        </w:rPr>
      </w:pPr>
      <w:r>
        <w:rPr>
          <w:rFonts w:hint="default"/>
          <w:lang w:val="en-US"/>
        </w:rPr>
        <w:t xml:space="preserve">May, T. (2011) </w:t>
      </w:r>
      <w:r>
        <w:rPr>
          <w:rFonts w:hint="default" w:ascii="Calibri Italic" w:hAnsi="Calibri Italic" w:cs="Calibri Italic"/>
          <w:i/>
          <w:iCs/>
          <w:lang w:val="en-US"/>
        </w:rPr>
        <w:t>Social research: Issues, methods and research.</w:t>
      </w:r>
      <w:r>
        <w:rPr>
          <w:rFonts w:hint="default"/>
          <w:lang w:val="en-US"/>
        </w:rPr>
        <w:t xml:space="preserve"> 4th edn. Maidenhead: Open University Press.</w:t>
      </w:r>
    </w:p>
    <w:p>
      <w:pPr>
        <w:jc w:val="left"/>
        <w:rPr>
          <w:rFonts w:hint="default"/>
          <w:lang w:val="en-US"/>
        </w:rPr>
      </w:pPr>
    </w:p>
    <w:p>
      <w:pPr>
        <w:jc w:val="left"/>
        <w:rPr>
          <w:rFonts w:hint="default"/>
          <w:lang w:val="en-US"/>
        </w:rPr>
      </w:pPr>
      <w:r>
        <w:rPr>
          <w:rFonts w:hint="default"/>
          <w:lang w:val="en-US"/>
        </w:rPr>
        <w:t>Stewart, J. (2023) ‘</w:t>
      </w:r>
      <w:r>
        <w:rPr>
          <w:rFonts w:hint="default" w:ascii="Calibri" w:hAnsi="Calibri" w:cs="Calibri"/>
          <w:b w:val="0"/>
          <w:bCs w:val="0"/>
          <w:i w:val="0"/>
          <w:iCs w:val="0"/>
          <w:lang w:val="en-US"/>
        </w:rPr>
        <w:t>Noam Chomsky says ChatGPT is a form of ‘high-tech plagiarism’</w:t>
      </w:r>
      <w:r>
        <w:rPr>
          <w:rFonts w:hint="default"/>
          <w:lang w:val="en-US"/>
        </w:rPr>
        <w:t xml:space="preserve">, </w:t>
      </w:r>
      <w:r>
        <w:rPr>
          <w:rFonts w:hint="default" w:ascii="Calibri Italic" w:hAnsi="Calibri Italic" w:cs="Calibri Italic"/>
          <w:i/>
          <w:iCs/>
          <w:lang w:val="en-US"/>
        </w:rPr>
        <w:t>My Modern Met,</w:t>
      </w:r>
      <w:r>
        <w:rPr>
          <w:rFonts w:hint="default" w:ascii="Calibri" w:hAnsi="Calibri" w:cs="Calibri"/>
          <w:i w:val="0"/>
          <w:iCs w:val="0"/>
          <w:lang w:val="en-US"/>
        </w:rPr>
        <w:t xml:space="preserve"> 17 February.</w:t>
      </w:r>
      <w:r>
        <w:rPr>
          <w:rFonts w:hint="default"/>
          <w:lang w:val="en-US"/>
        </w:rPr>
        <w:t xml:space="preserve"> Available at: </w:t>
      </w:r>
      <w:r>
        <w:rPr>
          <w:rFonts w:hint="default"/>
          <w:lang w:val="en-US"/>
        </w:rPr>
        <w:fldChar w:fldCharType="begin"/>
      </w:r>
      <w:r>
        <w:rPr>
          <w:rFonts w:hint="default"/>
          <w:lang w:val="en-US"/>
        </w:rPr>
        <w:instrText xml:space="preserve"> HYPERLINK "https://mymodernmet.com/noam-chomsky-chat-gpt/" </w:instrText>
      </w:r>
      <w:r>
        <w:rPr>
          <w:rFonts w:hint="default"/>
          <w:lang w:val="en-US"/>
        </w:rPr>
        <w:fldChar w:fldCharType="separate"/>
      </w:r>
      <w:r>
        <w:rPr>
          <w:rStyle w:val="5"/>
          <w:rFonts w:hint="default"/>
          <w:lang w:val="en-US"/>
        </w:rPr>
        <w:t>https://mymodernmet.com/noam-chomsky-chat-gpt/</w:t>
      </w:r>
      <w:r>
        <w:rPr>
          <w:rFonts w:hint="default"/>
          <w:lang w:val="en-US"/>
        </w:rPr>
        <w:fldChar w:fldCharType="end"/>
      </w:r>
      <w:r>
        <w:rPr>
          <w:rFonts w:hint="default"/>
          <w:lang w:val="en-US"/>
        </w:rPr>
        <w:t xml:space="preserve"> (Accessed: 6 November 2024).</w:t>
      </w:r>
    </w:p>
    <w:p>
      <w:pPr>
        <w:jc w:val="left"/>
        <w:rPr>
          <w:rFonts w:hint="default"/>
          <w:lang w:val="en-US"/>
        </w:rPr>
      </w:pPr>
    </w:p>
    <w:p>
      <w:pPr>
        <w:jc w:val="left"/>
        <w:rPr>
          <w:rFonts w:hint="default"/>
          <w:lang w:val="en-US"/>
        </w:rPr>
      </w:pPr>
      <w:r>
        <w:rPr>
          <w:rFonts w:hint="default"/>
          <w:lang w:val="en-US"/>
        </w:rPr>
        <w:t xml:space="preserve">Teddie , C and Tashakkori, A. (2009) </w:t>
      </w:r>
      <w:r>
        <w:rPr>
          <w:rFonts w:hint="default" w:ascii="Calibri Italic" w:hAnsi="Calibri Italic" w:cs="Calibri Italic"/>
          <w:i/>
          <w:iCs/>
          <w:lang w:val="en-US"/>
        </w:rPr>
        <w:t>Foundations of mixed methods research: Integrating quantitative and qualitative approaches in the social and behavioral science.</w:t>
      </w:r>
      <w:r>
        <w:rPr>
          <w:rFonts w:hint="default"/>
          <w:lang w:val="en-US"/>
        </w:rPr>
        <w:t xml:space="preserve"> Thousand Oaks: Sage.</w:t>
      </w:r>
    </w:p>
    <w:p>
      <w:pPr>
        <w:jc w:val="left"/>
        <w:rPr>
          <w:rFonts w:hint="default"/>
          <w:lang w:val="en-US"/>
        </w:rPr>
      </w:pPr>
    </w:p>
    <w:p>
      <w:pPr>
        <w:jc w:val="left"/>
        <w:rPr>
          <w:rFonts w:hint="default"/>
          <w:lang w:val="en-US"/>
        </w:rPr>
      </w:pPr>
      <w:r>
        <w:rPr>
          <w:rFonts w:hint="default"/>
          <w:lang w:val="en-US"/>
        </w:rPr>
        <w:t xml:space="preserve">Teddlie, C. and Yu, F. (2007) ‘Mixed methods sampling: a typology with examples’, </w:t>
      </w:r>
      <w:r>
        <w:rPr>
          <w:rFonts w:hint="default" w:ascii="Calibri Italic" w:hAnsi="Calibri Italic" w:cs="Calibri Italic"/>
          <w:i/>
          <w:iCs/>
          <w:lang w:val="en-US"/>
        </w:rPr>
        <w:t>Journal of Mixed Methods Research</w:t>
      </w:r>
      <w:r>
        <w:rPr>
          <w:rFonts w:hint="default"/>
          <w:lang w:val="en-US"/>
        </w:rPr>
        <w:t xml:space="preserve">, 1(1), pp. 77–100. Available at: </w:t>
      </w:r>
      <w:r>
        <w:rPr>
          <w:rFonts w:hint="default"/>
          <w:lang w:val="en-US"/>
        </w:rPr>
        <w:fldChar w:fldCharType="begin"/>
      </w:r>
      <w:r>
        <w:rPr>
          <w:rFonts w:hint="default"/>
          <w:lang w:val="en-US"/>
        </w:rPr>
        <w:instrText xml:space="preserve"> HYPERLINK "https://doi.org/10.1177/1558689806292430" </w:instrText>
      </w:r>
      <w:r>
        <w:rPr>
          <w:rFonts w:hint="default"/>
          <w:lang w:val="en-US"/>
        </w:rPr>
        <w:fldChar w:fldCharType="separate"/>
      </w:r>
      <w:r>
        <w:rPr>
          <w:rStyle w:val="6"/>
          <w:rFonts w:hint="default"/>
          <w:lang w:val="en-US"/>
        </w:rPr>
        <w:t>https://doi.org/10.1177/1558689806292430</w:t>
      </w:r>
      <w:r>
        <w:rPr>
          <w:rFonts w:hint="default"/>
          <w:lang w:val="en-US"/>
        </w:rPr>
        <w:fldChar w:fldCharType="end"/>
      </w:r>
      <w:r>
        <w:rPr>
          <w:rFonts w:hint="default"/>
          <w:lang w:val="en-US"/>
        </w:rPr>
        <w:t xml:space="preserve"> </w:t>
      </w:r>
    </w:p>
    <w:p>
      <w:pPr>
        <w:jc w:val="left"/>
        <w:rPr>
          <w:rFonts w:hint="default"/>
          <w:lang w:val="en-US"/>
        </w:rPr>
      </w:pPr>
    </w:p>
    <w:p>
      <w:pPr>
        <w:jc w:val="left"/>
        <w:rPr>
          <w:rFonts w:hint="default"/>
          <w:lang w:val="en-US"/>
        </w:rPr>
      </w:pPr>
      <w:r>
        <w:rPr>
          <w:rFonts w:hint="default"/>
          <w:lang w:val="en-US"/>
        </w:rPr>
        <w:t xml:space="preserve">Teng, M.F. (2023) ‘Scientific writing, reviewing, and editing for open-access TESOL journals: the role of ChatGPT’, </w:t>
      </w:r>
      <w:r>
        <w:rPr>
          <w:rFonts w:hint="default" w:ascii="Calibri Italic" w:hAnsi="Calibri Italic" w:cs="Calibri Italic"/>
          <w:i/>
          <w:iCs/>
          <w:lang w:val="en-US"/>
        </w:rPr>
        <w:t>International Journal of TESOL Studies</w:t>
      </w:r>
      <w:r>
        <w:rPr>
          <w:rFonts w:hint="default"/>
          <w:lang w:val="en-US"/>
        </w:rPr>
        <w:t xml:space="preserve">. Available at: </w:t>
      </w:r>
      <w:r>
        <w:rPr>
          <w:rFonts w:hint="default"/>
          <w:lang w:val="en-US"/>
        </w:rPr>
        <w:fldChar w:fldCharType="begin"/>
      </w:r>
      <w:r>
        <w:rPr>
          <w:rFonts w:hint="default"/>
          <w:lang w:val="en-US"/>
        </w:rPr>
        <w:instrText xml:space="preserve"> HYPERLINK "https://doi.org/10.58304/ijts.20230107" </w:instrText>
      </w:r>
      <w:r>
        <w:rPr>
          <w:rFonts w:hint="default"/>
          <w:lang w:val="en-US"/>
        </w:rPr>
        <w:fldChar w:fldCharType="separate"/>
      </w:r>
      <w:r>
        <w:rPr>
          <w:rStyle w:val="6"/>
          <w:rFonts w:hint="default"/>
          <w:lang w:val="en-US"/>
        </w:rPr>
        <w:t>https://doi.org/10.58304/ijts.20230107</w:t>
      </w:r>
      <w:r>
        <w:rPr>
          <w:rFonts w:hint="default"/>
          <w:lang w:val="en-US"/>
        </w:rPr>
        <w:fldChar w:fldCharType="end"/>
      </w:r>
      <w:r>
        <w:rPr>
          <w:rFonts w:hint="eastAsia"/>
          <w:lang w:val="en-US" w:eastAsia="zh-CN"/>
        </w:rPr>
        <w:t xml:space="preserve"> </w:t>
      </w:r>
      <w:r>
        <w:rPr>
          <w:rFonts w:hint="default"/>
          <w:lang w:val="en-US"/>
        </w:rPr>
        <w:t xml:space="preserve"> </w:t>
      </w:r>
    </w:p>
    <w:p>
      <w:pPr>
        <w:jc w:val="left"/>
        <w:rPr>
          <w:rFonts w:hint="eastAsia"/>
          <w:lang w:val="en-US" w:eastAsia="zh-CN"/>
        </w:rPr>
      </w:pPr>
    </w:p>
    <w:p>
      <w:pPr>
        <w:jc w:val="left"/>
        <w:rPr>
          <w:rFonts w:hint="default"/>
          <w:lang w:val="en-US" w:eastAsia="zh-CN"/>
        </w:rPr>
      </w:pPr>
      <w:r>
        <w:rPr>
          <w:rFonts w:hint="default"/>
          <w:lang w:val="en-US" w:eastAsia="zh-CN"/>
        </w:rPr>
        <w:t xml:space="preserve">University of Wales Trinity Saint David [UWTSD](2022) </w:t>
      </w:r>
      <w:r>
        <w:rPr>
          <w:rFonts w:hint="default" w:ascii="Calibri Italic" w:hAnsi="Calibri Italic" w:cs="Calibri Italic"/>
          <w:i/>
          <w:iCs/>
          <w:lang w:val="en-US" w:eastAsia="zh-CN"/>
        </w:rPr>
        <w:t>Research ethics and integrity code of practice.</w:t>
      </w:r>
      <w:r>
        <w:rPr>
          <w:rFonts w:hint="default"/>
          <w:lang w:val="en-US" w:eastAsia="zh-CN"/>
        </w:rPr>
        <w:t xml:space="preserve"> Available at: </w:t>
      </w:r>
      <w:r>
        <w:rPr>
          <w:rFonts w:hint="default"/>
          <w:lang w:val="en-US" w:eastAsia="zh-CN"/>
        </w:rPr>
        <w:fldChar w:fldCharType="begin"/>
      </w:r>
      <w:r>
        <w:rPr>
          <w:rFonts w:hint="default"/>
          <w:lang w:val="en-US" w:eastAsia="zh-CN"/>
        </w:rPr>
        <w:instrText xml:space="preserve"> HYPERLINK "https://www.uwtsd.ac.uk/research/research-integrity-and-ethics" </w:instrText>
      </w:r>
      <w:r>
        <w:rPr>
          <w:rFonts w:hint="default"/>
          <w:lang w:val="en-US" w:eastAsia="zh-CN"/>
        </w:rPr>
        <w:fldChar w:fldCharType="separate"/>
      </w:r>
      <w:r>
        <w:rPr>
          <w:rStyle w:val="6"/>
          <w:rFonts w:hint="default"/>
          <w:lang w:val="en-US" w:eastAsia="zh-CN"/>
        </w:rPr>
        <w:t>https://www.uwtsd.ac.uk/research/research-integrity-and-ethics</w:t>
      </w:r>
      <w:r>
        <w:rPr>
          <w:rFonts w:hint="default"/>
          <w:lang w:val="en-US" w:eastAsia="zh-CN"/>
        </w:rPr>
        <w:fldChar w:fldCharType="end"/>
      </w:r>
      <w:r>
        <w:rPr>
          <w:rFonts w:hint="default"/>
          <w:lang w:val="en-US" w:eastAsia="zh-CN"/>
        </w:rPr>
        <w:t xml:space="preserve"> (Accessed at 16 February 2024).</w:t>
      </w:r>
    </w:p>
    <w:p>
      <w:pPr>
        <w:jc w:val="left"/>
        <w:rPr>
          <w:rFonts w:hint="default"/>
          <w:lang w:val="en-US" w:eastAsia="zh-CN"/>
        </w:rPr>
      </w:pPr>
    </w:p>
    <w:p>
      <w:pPr>
        <w:jc w:val="left"/>
        <w:rPr>
          <w:rFonts w:hint="eastAsia"/>
          <w:lang w:val="en-US" w:eastAsia="zh-CN"/>
        </w:rPr>
      </w:pPr>
      <w:r>
        <w:rPr>
          <w:rFonts w:hint="eastAsia"/>
          <w:lang w:val="en-US" w:eastAsia="zh-CN"/>
        </w:rPr>
        <w:t xml:space="preserve">Wang, C., Li, Z. and Bonk, C. (2024) </w:t>
      </w:r>
      <w:r>
        <w:rPr>
          <w:rFonts w:hint="default"/>
          <w:lang w:val="en-US" w:eastAsia="zh-CN"/>
        </w:rPr>
        <w:t>‘</w:t>
      </w:r>
      <w:r>
        <w:rPr>
          <w:rFonts w:hint="eastAsia"/>
          <w:lang w:val="en-US" w:eastAsia="zh-CN"/>
        </w:rPr>
        <w:t>Understanding self-directed learning in AI-</w:t>
      </w:r>
      <w:r>
        <w:rPr>
          <w:rFonts w:hint="default"/>
          <w:lang w:val="en-US" w:eastAsia="zh-CN"/>
        </w:rPr>
        <w:t>a</w:t>
      </w:r>
      <w:r>
        <w:rPr>
          <w:rFonts w:hint="eastAsia"/>
          <w:lang w:val="en-US" w:eastAsia="zh-CN"/>
        </w:rPr>
        <w:t>ssisted writing: A mixed methods study of postsecondary learners</w:t>
      </w:r>
      <w:r>
        <w:rPr>
          <w:rFonts w:hint="default"/>
          <w:lang w:val="en-US" w:eastAsia="zh-CN"/>
        </w:rPr>
        <w:t>’</w:t>
      </w:r>
      <w:r>
        <w:rPr>
          <w:rFonts w:hint="eastAsia"/>
          <w:lang w:val="en-US" w:eastAsia="zh-CN"/>
        </w:rPr>
        <w:t xml:space="preserve">, </w:t>
      </w:r>
      <w:r>
        <w:rPr>
          <w:rFonts w:hint="default" w:ascii="Calibri Italic" w:hAnsi="Calibri Italic" w:cs="Calibri Italic"/>
          <w:i/>
          <w:iCs/>
          <w:lang w:val="en-US" w:eastAsia="zh-CN"/>
        </w:rPr>
        <w:t>Computers and Education: Artificial Intelligence</w:t>
      </w:r>
      <w:r>
        <w:rPr>
          <w:rFonts w:hint="eastAsia"/>
          <w:lang w:val="en-US" w:eastAsia="zh-CN"/>
        </w:rPr>
        <w:t xml:space="preserve">, 6, article 100247. Available at: </w:t>
      </w:r>
      <w:r>
        <w:rPr>
          <w:rFonts w:hint="eastAsia"/>
          <w:lang w:val="en-US" w:eastAsia="zh-CN"/>
        </w:rPr>
        <w:fldChar w:fldCharType="begin"/>
      </w:r>
      <w:r>
        <w:rPr>
          <w:rFonts w:hint="eastAsia"/>
          <w:lang w:val="en-US" w:eastAsia="zh-CN"/>
        </w:rPr>
        <w:instrText xml:space="preserve"> HYPERLINK "https://doi.org/10.1016/j.caeai.2024.100247" </w:instrText>
      </w:r>
      <w:r>
        <w:rPr>
          <w:rFonts w:hint="eastAsia"/>
          <w:lang w:val="en-US" w:eastAsia="zh-CN"/>
        </w:rPr>
        <w:fldChar w:fldCharType="separate"/>
      </w:r>
      <w:r>
        <w:rPr>
          <w:rStyle w:val="6"/>
          <w:rFonts w:hint="eastAsia"/>
          <w:lang w:val="en-US" w:eastAsia="zh-CN"/>
        </w:rPr>
        <w:t>https://doi.org/10.1016/j.caeai.2024.100247</w:t>
      </w:r>
      <w:r>
        <w:rPr>
          <w:rFonts w:hint="eastAsia"/>
          <w:lang w:val="en-US" w:eastAsia="zh-CN"/>
        </w:rPr>
        <w:fldChar w:fldCharType="end"/>
      </w:r>
      <w:r>
        <w:rPr>
          <w:rFonts w:hint="eastAsia"/>
          <w:lang w:val="en-US" w:eastAsia="zh-CN"/>
        </w:rPr>
        <w:t xml:space="preserve">  </w:t>
      </w:r>
    </w:p>
    <w:p>
      <w:pPr>
        <w:jc w:val="left"/>
        <w:rPr>
          <w:rFonts w:hint="default"/>
          <w:lang w:val="en-US" w:eastAsia="zh-CN"/>
        </w:rPr>
      </w:pPr>
    </w:p>
    <w:p>
      <w:pPr>
        <w:jc w:val="left"/>
        <w:rPr>
          <w:rFonts w:hint="eastAsia"/>
          <w:lang w:val="en-US" w:eastAsia="zh-CN"/>
        </w:rPr>
      </w:pPr>
      <w:r>
        <w:rPr>
          <w:rFonts w:hint="default"/>
          <w:lang w:val="en-US"/>
        </w:rPr>
        <w:t xml:space="preserve">Wang, H. and Dang, A. (2024) ‘Enhancing L2 writing with generative AI: A systematic review of pedagogical integration and outcomes’. Available at: </w:t>
      </w:r>
      <w:r>
        <w:rPr>
          <w:rFonts w:hint="default"/>
          <w:lang w:val="en-US"/>
        </w:rPr>
        <w:fldChar w:fldCharType="begin"/>
      </w:r>
      <w:r>
        <w:rPr>
          <w:rFonts w:hint="default"/>
          <w:lang w:val="en-US"/>
        </w:rPr>
        <w:instrText xml:space="preserve"> HYPERLINK "https://doi.org/10.13140/RG.2.2.19572.16005" </w:instrText>
      </w:r>
      <w:r>
        <w:rPr>
          <w:rFonts w:hint="default"/>
          <w:lang w:val="en-US"/>
        </w:rPr>
        <w:fldChar w:fldCharType="separate"/>
      </w:r>
      <w:r>
        <w:rPr>
          <w:rStyle w:val="6"/>
          <w:rFonts w:hint="default"/>
          <w:lang w:val="en-US"/>
        </w:rPr>
        <w:t>https://doi.org/10.13140/RG.2.2.19572.16005</w:t>
      </w:r>
      <w:r>
        <w:rPr>
          <w:rFonts w:hint="default"/>
          <w:lang w:val="en-US"/>
        </w:rPr>
        <w:fldChar w:fldCharType="end"/>
      </w:r>
      <w:r>
        <w:rPr>
          <w:rFonts w:hint="eastAsia"/>
          <w:lang w:val="en-US" w:eastAsia="zh-CN"/>
        </w:rPr>
        <w:t xml:space="preserve">  </w:t>
      </w:r>
    </w:p>
    <w:p>
      <w:pPr>
        <w:jc w:val="left"/>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7030605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30204"/>
    <w:charset w:val="00"/>
    <w:family w:val="swiss"/>
    <w:pitch w:val="default"/>
    <w:sig w:usb0="E10002FF" w:usb1="4000ACFF" w:usb2="00000009" w:usb3="00000000" w:csb0="2000019F" w:csb1="00000000"/>
  </w:font>
  <w:font w:name="Calibri Bold">
    <w:panose1 w:val="020F0702030404030204"/>
    <w:charset w:val="00"/>
    <w:family w:val="auto"/>
    <w:pitch w:val="default"/>
    <w:sig w:usb0="E10002FF" w:usb1="4000ACFF" w:usb2="00000009" w:usb3="00000000" w:csb0="2000019F" w:csb1="00000000"/>
  </w:font>
  <w:font w:name="Calibri Italic">
    <w:panose1 w:val="020F0702030404030204"/>
    <w:charset w:val="00"/>
    <w:family w:val="auto"/>
    <w:pitch w:val="default"/>
    <w:sig w:usb0="E10002FF" w:usb1="4000ACFF" w:usb2="00000009" w:usb3="00000000" w:csb0="2000019F"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8ED9F5"/>
    <w:multiLevelType w:val="singleLevel"/>
    <w:tmpl w:val="B98ED9F5"/>
    <w:lvl w:ilvl="0" w:tentative="0">
      <w:start w:val="1"/>
      <w:numFmt w:val="decimal"/>
      <w:suff w:val="space"/>
      <w:lvlText w:val="%1)"/>
      <w:lvlJc w:val="left"/>
    </w:lvl>
  </w:abstractNum>
  <w:abstractNum w:abstractNumId="1">
    <w:nsid w:val="DFEE8325"/>
    <w:multiLevelType w:val="singleLevel"/>
    <w:tmpl w:val="DFEE8325"/>
    <w:lvl w:ilvl="0" w:tentative="0">
      <w:start w:val="1"/>
      <w:numFmt w:val="bullet"/>
      <w:lvlText w:val=""/>
      <w:lvlJc w:val="left"/>
      <w:pPr>
        <w:ind w:left="420" w:hanging="420"/>
      </w:pPr>
      <w:rPr>
        <w:rFonts w:hint="default" w:ascii="Wingdings" w:hAnsi="Wingdings"/>
      </w:rPr>
    </w:lvl>
  </w:abstractNum>
  <w:abstractNum w:abstractNumId="2">
    <w:nsid w:val="DFFEABBA"/>
    <w:multiLevelType w:val="singleLevel"/>
    <w:tmpl w:val="DFFEABBA"/>
    <w:lvl w:ilvl="0" w:tentative="0">
      <w:start w:val="1"/>
      <w:numFmt w:val="decimal"/>
      <w:suff w:val="space"/>
      <w:lvlText w:val="%1)"/>
      <w:lvlJc w:val="left"/>
    </w:lvl>
  </w:abstractNum>
  <w:abstractNum w:abstractNumId="3">
    <w:nsid w:val="F7DFC838"/>
    <w:multiLevelType w:val="singleLevel"/>
    <w:tmpl w:val="F7DFC838"/>
    <w:lvl w:ilvl="0" w:tentative="0">
      <w:start w:val="1"/>
      <w:numFmt w:val="decimal"/>
      <w:suff w:val="space"/>
      <w:lvlText w:val="%1)"/>
      <w:lvlJc w:val="left"/>
    </w:lvl>
  </w:abstractNum>
  <w:abstractNum w:abstractNumId="4">
    <w:nsid w:val="FFBE0451"/>
    <w:multiLevelType w:val="singleLevel"/>
    <w:tmpl w:val="FFBE0451"/>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5">
    <w:nsid w:val="753F356D"/>
    <w:multiLevelType w:val="singleLevel"/>
    <w:tmpl w:val="753F356D"/>
    <w:lvl w:ilvl="0" w:tentative="0">
      <w:start w:val="1"/>
      <w:numFmt w:val="decimal"/>
      <w:suff w:val="space"/>
      <w:lvlText w:val="%1)"/>
      <w:lvlJc w:val="left"/>
    </w:lvl>
  </w:abstractNum>
  <w:num w:numId="1">
    <w:abstractNumId w:val="4"/>
  </w:num>
  <w:num w:numId="2">
    <w:abstractNumId w:val="3"/>
  </w:num>
  <w:num w:numId="3">
    <w:abstractNumId w:val="0"/>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7BEC8D"/>
    <w:rsid w:val="0CCBE4C8"/>
    <w:rsid w:val="0D3F81A7"/>
    <w:rsid w:val="27ED0C10"/>
    <w:rsid w:val="362523F6"/>
    <w:rsid w:val="37EBEF4E"/>
    <w:rsid w:val="3DD396C4"/>
    <w:rsid w:val="3EFEB13D"/>
    <w:rsid w:val="55FD8736"/>
    <w:rsid w:val="59BFA988"/>
    <w:rsid w:val="59FE30AB"/>
    <w:rsid w:val="5C1D2FA6"/>
    <w:rsid w:val="61B79196"/>
    <w:rsid w:val="62F7F291"/>
    <w:rsid w:val="6DFEF4F2"/>
    <w:rsid w:val="6FA72025"/>
    <w:rsid w:val="6FF28623"/>
    <w:rsid w:val="70F7923B"/>
    <w:rsid w:val="756F4B33"/>
    <w:rsid w:val="75DC8A61"/>
    <w:rsid w:val="7644485B"/>
    <w:rsid w:val="777FD456"/>
    <w:rsid w:val="78F597D1"/>
    <w:rsid w:val="7B67F2AA"/>
    <w:rsid w:val="7BFBF2E4"/>
    <w:rsid w:val="7D7264F6"/>
    <w:rsid w:val="7DFDE97A"/>
    <w:rsid w:val="7E6BF8FE"/>
    <w:rsid w:val="7E6EC512"/>
    <w:rsid w:val="7E9B7C18"/>
    <w:rsid w:val="7F72040B"/>
    <w:rsid w:val="7F7BEC8D"/>
    <w:rsid w:val="7FAC705E"/>
    <w:rsid w:val="7FBDDCE7"/>
    <w:rsid w:val="7FFEEA43"/>
    <w:rsid w:val="AADF075A"/>
    <w:rsid w:val="ABC7F91C"/>
    <w:rsid w:val="BBDFBCD6"/>
    <w:rsid w:val="BDCCCD41"/>
    <w:rsid w:val="CFD7A076"/>
    <w:rsid w:val="D7CA8624"/>
    <w:rsid w:val="D7CFE737"/>
    <w:rsid w:val="DEFF8DB1"/>
    <w:rsid w:val="DFBFF598"/>
    <w:rsid w:val="DFCB5C59"/>
    <w:rsid w:val="EBDECD13"/>
    <w:rsid w:val="ECFE28F7"/>
    <w:rsid w:val="EFFF3BD3"/>
    <w:rsid w:val="F39784B6"/>
    <w:rsid w:val="F3AEAC7F"/>
    <w:rsid w:val="F5FF381B"/>
    <w:rsid w:val="F67E4D7E"/>
    <w:rsid w:val="F7F5461F"/>
    <w:rsid w:val="F93E232B"/>
    <w:rsid w:val="FB7BD604"/>
    <w:rsid w:val="FD8E83F3"/>
    <w:rsid w:val="FDBFEA23"/>
    <w:rsid w:val="FE55F2EC"/>
    <w:rsid w:val="FE6FE27A"/>
    <w:rsid w:val="FE7FCB5A"/>
    <w:rsid w:val="FED58164"/>
    <w:rsid w:val="FF6F2BBA"/>
    <w:rsid w:val="FF7DFC1F"/>
    <w:rsid w:val="FFA32C55"/>
    <w:rsid w:val="FFFB56D5"/>
    <w:rsid w:val="FFFE99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iPriority="99"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semiHidden/>
    <w:unhideWhenUsed/>
    <w:uiPriority w:val="99"/>
    <w:pPr>
      <w:spacing w:before="100" w:beforeAutospacing="1" w:after="100" w:afterAutospacing="1"/>
    </w:pPr>
    <w:rPr>
      <w:rFonts w:ascii="Times New Roman" w:hAnsi="Times New Roman"/>
      <w:sz w:val="24"/>
      <w:szCs w:val="24"/>
    </w:rPr>
  </w:style>
  <w:style w:type="character" w:styleId="5">
    <w:name w:val="FollowedHyperlink"/>
    <w:basedOn w:val="4"/>
    <w:uiPriority w:val="0"/>
    <w:rPr>
      <w:color w:val="800080"/>
      <w:u w:val="single"/>
    </w:rPr>
  </w:style>
  <w:style w:type="character" w:styleId="6">
    <w:name w:val="Hyperlink"/>
    <w:basedOn w:val="4"/>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10</Pages>
  <Words>0</Words>
  <Characters>0</Characters>
  <Lines>0</Lines>
  <Paragraphs>0</Paragraphs>
  <TotalTime>105</TotalTime>
  <ScaleCrop>false</ScaleCrop>
  <LinksUpToDate>false</LinksUpToDate>
  <CharactersWithSpaces>0</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2024-10-19T05:05:00Z</dcterms:created>
  <dc:creator>anne</dc:creator>
  <cp:lastModifiedBy>anne</cp:lastModifiedBy>
  <dcterms:modified xsi:type="dcterms:W3CDTF">2025-01-05T12:25:25Z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2052-6.7.1.8828</vt:lpwstr>
  </property>
  <property fmtid="{D5CDD505-2E9C-101B-9397-08002B2CF9AE}" pid="3" name="ICV">
    <vt:lpwstr>2D18BB2D4C0220BF60B11267E34111D2_41</vt:lpwstr>
  </property>
</Properties>
</file>