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B2E23" w14:textId="7B7E136B" w:rsidR="00760A8A" w:rsidRPr="00760A8A" w:rsidRDefault="00760A8A" w:rsidP="00760A8A">
      <w:pPr>
        <w:spacing w:before="120" w:after="120"/>
        <w:jc w:val="center"/>
        <w:rPr>
          <w:rFonts w:asciiTheme="minorHAnsi" w:eastAsia="Calibri" w:hAnsiTheme="minorHAnsi" w:cstheme="minorHAnsi"/>
          <w:b/>
          <w:bCs/>
          <w:sz w:val="44"/>
          <w:szCs w:val="44"/>
          <w:u w:val="single"/>
          <w:lang w:eastAsia="en-US"/>
        </w:rPr>
      </w:pPr>
      <w:r w:rsidRPr="00760A8A">
        <w:rPr>
          <w:rFonts w:asciiTheme="minorHAnsi" w:eastAsia="Arial" w:hAnsiTheme="minorHAnsi" w:cstheme="minorHAnsi"/>
          <w:b/>
          <w:bCs/>
          <w:sz w:val="44"/>
          <w:szCs w:val="44"/>
          <w:u w:val="single"/>
        </w:rPr>
        <w:t>Operational Policing Practice 3</w:t>
      </w:r>
    </w:p>
    <w:p w14:paraId="47CE8274" w14:textId="77777777" w:rsidR="00760A8A" w:rsidRPr="00760A8A" w:rsidRDefault="00760A8A" w:rsidP="00760A8A">
      <w:pPr>
        <w:spacing w:before="120" w:after="120"/>
        <w:jc w:val="center"/>
        <w:rPr>
          <w:rFonts w:asciiTheme="minorHAnsi" w:eastAsia="Calibri" w:hAnsiTheme="minorHAnsi" w:cstheme="minorHAnsi"/>
          <w:b/>
          <w:bCs/>
          <w:sz w:val="44"/>
          <w:szCs w:val="44"/>
          <w:u w:val="single"/>
          <w:lang w:eastAsia="en-US"/>
        </w:rPr>
      </w:pPr>
    </w:p>
    <w:p w14:paraId="6E6C761C" w14:textId="2EBBF9BE" w:rsidR="00760A8A" w:rsidRPr="00760A8A" w:rsidRDefault="00760A8A" w:rsidP="00760A8A">
      <w:pPr>
        <w:spacing w:before="120" w:after="120"/>
        <w:jc w:val="center"/>
        <w:rPr>
          <w:rFonts w:asciiTheme="minorHAnsi" w:eastAsia="Calibri" w:hAnsiTheme="minorHAnsi" w:cstheme="minorHAnsi"/>
          <w:b/>
          <w:bCs/>
          <w:sz w:val="44"/>
          <w:szCs w:val="44"/>
          <w:u w:val="single"/>
          <w:lang w:eastAsia="en-US"/>
        </w:rPr>
      </w:pPr>
      <w:r w:rsidRPr="00760A8A">
        <w:rPr>
          <w:rFonts w:asciiTheme="minorHAnsi" w:eastAsia="Calibri" w:hAnsiTheme="minorHAnsi" w:cstheme="minorHAnsi"/>
          <w:b/>
          <w:bCs/>
          <w:sz w:val="44"/>
          <w:szCs w:val="44"/>
          <w:u w:val="single"/>
          <w:lang w:eastAsia="en-US"/>
        </w:rPr>
        <w:t>BMP6002D</w:t>
      </w:r>
    </w:p>
    <w:p w14:paraId="7C68A9E3" w14:textId="564A6EB0" w:rsidR="00760A8A" w:rsidRPr="00760A8A" w:rsidRDefault="00760A8A" w:rsidP="00760A8A">
      <w:pPr>
        <w:spacing w:before="120" w:after="120"/>
        <w:jc w:val="center"/>
        <w:rPr>
          <w:rFonts w:asciiTheme="minorHAnsi" w:eastAsia="Calibri" w:hAnsiTheme="minorHAnsi" w:cstheme="minorHAnsi"/>
          <w:b/>
          <w:bCs/>
          <w:sz w:val="44"/>
          <w:szCs w:val="44"/>
          <w:u w:val="single"/>
          <w:lang w:eastAsia="en-US"/>
        </w:rPr>
      </w:pPr>
    </w:p>
    <w:p w14:paraId="00852E48" w14:textId="34C16039" w:rsidR="00760A8A" w:rsidRPr="00760A8A" w:rsidRDefault="00760A8A" w:rsidP="00760A8A">
      <w:pPr>
        <w:spacing w:before="120" w:after="120"/>
        <w:jc w:val="center"/>
        <w:rPr>
          <w:rFonts w:asciiTheme="minorHAnsi" w:eastAsia="Calibri" w:hAnsiTheme="minorHAnsi" w:cstheme="minorHAnsi"/>
          <w:b/>
          <w:bCs/>
          <w:sz w:val="44"/>
          <w:szCs w:val="44"/>
          <w:u w:val="single"/>
          <w:lang w:eastAsia="en-US"/>
        </w:rPr>
      </w:pPr>
      <w:r w:rsidRPr="00760A8A">
        <w:rPr>
          <w:rFonts w:asciiTheme="minorHAnsi" w:eastAsia="Calibri" w:hAnsiTheme="minorHAnsi" w:cstheme="minorHAnsi"/>
          <w:b/>
          <w:bCs/>
          <w:sz w:val="44"/>
          <w:szCs w:val="44"/>
          <w:u w:val="single"/>
          <w:lang w:eastAsia="en-US"/>
        </w:rPr>
        <w:t>Emily GIBSON - 1920608</w:t>
      </w:r>
    </w:p>
    <w:p w14:paraId="704973CF" w14:textId="504514A0" w:rsidR="00615C28" w:rsidRDefault="005058BC" w:rsidP="00760A8A">
      <w:pPr>
        <w:jc w:val="center"/>
        <w:rPr>
          <w:rFonts w:asciiTheme="minorHAnsi" w:hAnsiTheme="minorHAnsi" w:cstheme="minorHAnsi"/>
          <w:sz w:val="44"/>
          <w:szCs w:val="44"/>
          <w:u w:val="single"/>
        </w:rPr>
      </w:pPr>
    </w:p>
    <w:p w14:paraId="05350F47" w14:textId="5F97BF67" w:rsidR="00FE5912" w:rsidRDefault="00FE5912" w:rsidP="00760A8A">
      <w:pPr>
        <w:jc w:val="center"/>
        <w:rPr>
          <w:rFonts w:asciiTheme="minorHAnsi" w:hAnsiTheme="minorHAnsi" w:cstheme="minorHAnsi"/>
          <w:sz w:val="44"/>
          <w:szCs w:val="44"/>
          <w:u w:val="single"/>
        </w:rPr>
      </w:pPr>
    </w:p>
    <w:p w14:paraId="5B96BD7D" w14:textId="40F053E7" w:rsidR="00FE5912" w:rsidRDefault="00FE5912" w:rsidP="00760A8A">
      <w:pPr>
        <w:jc w:val="center"/>
        <w:rPr>
          <w:rFonts w:asciiTheme="minorHAnsi" w:hAnsiTheme="minorHAnsi" w:cstheme="minorHAnsi"/>
          <w:sz w:val="44"/>
          <w:szCs w:val="44"/>
          <w:u w:val="single"/>
        </w:rPr>
      </w:pPr>
    </w:p>
    <w:p w14:paraId="5ECFA98C" w14:textId="5FA83786" w:rsidR="00FE5912" w:rsidRDefault="00FE5912" w:rsidP="00760A8A">
      <w:pPr>
        <w:jc w:val="center"/>
        <w:rPr>
          <w:rFonts w:asciiTheme="minorHAnsi" w:hAnsiTheme="minorHAnsi" w:cstheme="minorHAnsi"/>
          <w:sz w:val="44"/>
          <w:szCs w:val="44"/>
          <w:u w:val="single"/>
        </w:rPr>
      </w:pPr>
    </w:p>
    <w:p w14:paraId="5366FD73" w14:textId="31160297" w:rsidR="00FE5912" w:rsidRDefault="00FE5912" w:rsidP="00760A8A">
      <w:pPr>
        <w:jc w:val="center"/>
        <w:rPr>
          <w:rFonts w:asciiTheme="minorHAnsi" w:hAnsiTheme="minorHAnsi" w:cstheme="minorHAnsi"/>
          <w:sz w:val="44"/>
          <w:szCs w:val="44"/>
          <w:u w:val="single"/>
        </w:rPr>
      </w:pPr>
    </w:p>
    <w:p w14:paraId="346E1E38" w14:textId="7F8A0921" w:rsidR="00FE5912" w:rsidRDefault="00FE5912" w:rsidP="00760A8A">
      <w:pPr>
        <w:jc w:val="center"/>
        <w:rPr>
          <w:rFonts w:asciiTheme="minorHAnsi" w:hAnsiTheme="minorHAnsi" w:cstheme="minorHAnsi"/>
          <w:sz w:val="44"/>
          <w:szCs w:val="44"/>
          <w:u w:val="single"/>
        </w:rPr>
      </w:pPr>
    </w:p>
    <w:p w14:paraId="6D8D3F6E" w14:textId="5EC75652" w:rsidR="00FE5912" w:rsidRDefault="00FE5912" w:rsidP="00760A8A">
      <w:pPr>
        <w:jc w:val="center"/>
        <w:rPr>
          <w:rFonts w:asciiTheme="minorHAnsi" w:hAnsiTheme="minorHAnsi" w:cstheme="minorHAnsi"/>
          <w:sz w:val="44"/>
          <w:szCs w:val="44"/>
          <w:u w:val="single"/>
        </w:rPr>
      </w:pPr>
    </w:p>
    <w:p w14:paraId="20476F44" w14:textId="6F84579F" w:rsidR="00FE5912" w:rsidRDefault="00FE5912" w:rsidP="00760A8A">
      <w:pPr>
        <w:jc w:val="center"/>
        <w:rPr>
          <w:rFonts w:asciiTheme="minorHAnsi" w:hAnsiTheme="minorHAnsi" w:cstheme="minorHAnsi"/>
          <w:sz w:val="44"/>
          <w:szCs w:val="44"/>
          <w:u w:val="single"/>
        </w:rPr>
      </w:pPr>
    </w:p>
    <w:p w14:paraId="43225963" w14:textId="17CBF0BA" w:rsidR="00FE5912" w:rsidRDefault="00FE5912" w:rsidP="00760A8A">
      <w:pPr>
        <w:jc w:val="center"/>
        <w:rPr>
          <w:rFonts w:asciiTheme="minorHAnsi" w:hAnsiTheme="minorHAnsi" w:cstheme="minorHAnsi"/>
          <w:sz w:val="44"/>
          <w:szCs w:val="44"/>
          <w:u w:val="single"/>
        </w:rPr>
      </w:pPr>
    </w:p>
    <w:p w14:paraId="05DEC72C" w14:textId="4E8B8DEB" w:rsidR="00FE5912" w:rsidRDefault="00FE5912" w:rsidP="00760A8A">
      <w:pPr>
        <w:jc w:val="center"/>
        <w:rPr>
          <w:rFonts w:asciiTheme="minorHAnsi" w:hAnsiTheme="minorHAnsi" w:cstheme="minorHAnsi"/>
          <w:sz w:val="44"/>
          <w:szCs w:val="44"/>
          <w:u w:val="single"/>
        </w:rPr>
      </w:pPr>
    </w:p>
    <w:p w14:paraId="5AD04D48" w14:textId="0431A5FE" w:rsidR="00FE5912" w:rsidRDefault="00FE5912" w:rsidP="00760A8A">
      <w:pPr>
        <w:jc w:val="center"/>
        <w:rPr>
          <w:rFonts w:asciiTheme="minorHAnsi" w:hAnsiTheme="minorHAnsi" w:cstheme="minorHAnsi"/>
          <w:sz w:val="44"/>
          <w:szCs w:val="44"/>
          <w:u w:val="single"/>
        </w:rPr>
      </w:pPr>
    </w:p>
    <w:p w14:paraId="7FB9A4C9" w14:textId="0FF3B6F9" w:rsidR="00FE5912" w:rsidRDefault="00FE5912" w:rsidP="00760A8A">
      <w:pPr>
        <w:jc w:val="center"/>
        <w:rPr>
          <w:rFonts w:asciiTheme="minorHAnsi" w:hAnsiTheme="minorHAnsi" w:cstheme="minorHAnsi"/>
          <w:sz w:val="44"/>
          <w:szCs w:val="44"/>
          <w:u w:val="single"/>
        </w:rPr>
      </w:pPr>
    </w:p>
    <w:p w14:paraId="13BF1CFE" w14:textId="25C7E809" w:rsidR="00FE5912" w:rsidRDefault="00FE5912" w:rsidP="00760A8A">
      <w:pPr>
        <w:jc w:val="center"/>
        <w:rPr>
          <w:rFonts w:asciiTheme="minorHAnsi" w:hAnsiTheme="minorHAnsi" w:cstheme="minorHAnsi"/>
          <w:sz w:val="44"/>
          <w:szCs w:val="44"/>
          <w:u w:val="single"/>
        </w:rPr>
      </w:pPr>
    </w:p>
    <w:p w14:paraId="011D57BF" w14:textId="5DBBEFE2" w:rsidR="00FE5912" w:rsidRDefault="00FE5912" w:rsidP="00760A8A">
      <w:pPr>
        <w:jc w:val="center"/>
        <w:rPr>
          <w:rFonts w:asciiTheme="minorHAnsi" w:hAnsiTheme="minorHAnsi" w:cstheme="minorHAnsi"/>
          <w:sz w:val="44"/>
          <w:szCs w:val="44"/>
          <w:u w:val="single"/>
        </w:rPr>
      </w:pPr>
    </w:p>
    <w:p w14:paraId="0DEEA578" w14:textId="174EAEE8" w:rsidR="00FE5912" w:rsidRDefault="00FE5912" w:rsidP="00760A8A">
      <w:pPr>
        <w:jc w:val="center"/>
        <w:rPr>
          <w:rFonts w:asciiTheme="minorHAnsi" w:hAnsiTheme="minorHAnsi" w:cstheme="minorHAnsi"/>
          <w:sz w:val="44"/>
          <w:szCs w:val="44"/>
          <w:u w:val="single"/>
        </w:rPr>
      </w:pPr>
    </w:p>
    <w:p w14:paraId="4098CA9B" w14:textId="40A16B5C" w:rsidR="00FE5912" w:rsidRDefault="00FE5912" w:rsidP="00760A8A">
      <w:pPr>
        <w:jc w:val="center"/>
        <w:rPr>
          <w:rFonts w:asciiTheme="minorHAnsi" w:hAnsiTheme="minorHAnsi" w:cstheme="minorHAnsi"/>
          <w:sz w:val="44"/>
          <w:szCs w:val="44"/>
          <w:u w:val="single"/>
        </w:rPr>
      </w:pPr>
    </w:p>
    <w:p w14:paraId="0BA0741A" w14:textId="2592CE75" w:rsidR="00FE5912" w:rsidRDefault="00FE5912" w:rsidP="00760A8A">
      <w:pPr>
        <w:jc w:val="center"/>
        <w:rPr>
          <w:rFonts w:asciiTheme="minorHAnsi" w:hAnsiTheme="minorHAnsi" w:cstheme="minorHAnsi"/>
          <w:sz w:val="44"/>
          <w:szCs w:val="44"/>
          <w:u w:val="single"/>
        </w:rPr>
      </w:pPr>
    </w:p>
    <w:p w14:paraId="0C071D26" w14:textId="07F5E897" w:rsidR="00FE5912" w:rsidRDefault="00FE5912" w:rsidP="00760A8A">
      <w:pPr>
        <w:jc w:val="center"/>
        <w:rPr>
          <w:rFonts w:asciiTheme="minorHAnsi" w:hAnsiTheme="minorHAnsi" w:cstheme="minorHAnsi"/>
          <w:sz w:val="44"/>
          <w:szCs w:val="44"/>
          <w:u w:val="single"/>
        </w:rPr>
      </w:pPr>
    </w:p>
    <w:p w14:paraId="7158F3D6" w14:textId="77777777" w:rsidR="00E70A92" w:rsidRDefault="00E70A92" w:rsidP="00FE5912">
      <w:pPr>
        <w:spacing w:line="256" w:lineRule="auto"/>
        <w:rPr>
          <w:rFonts w:asciiTheme="minorHAnsi" w:hAnsiTheme="minorHAnsi" w:cstheme="minorHAnsi"/>
          <w:sz w:val="44"/>
          <w:szCs w:val="44"/>
          <w:u w:val="single"/>
        </w:rPr>
      </w:pPr>
    </w:p>
    <w:p w14:paraId="3DFF38FF" w14:textId="5E36A4B1" w:rsidR="00FE5912" w:rsidRPr="00E70A92" w:rsidRDefault="00FE5912" w:rsidP="00FE5912">
      <w:pPr>
        <w:spacing w:line="256" w:lineRule="auto"/>
        <w:rPr>
          <w:rFonts w:ascii="Calibri" w:eastAsia="Calibri" w:hAnsi="Calibri" w:cs="Calibri"/>
          <w:b/>
          <w:bCs/>
          <w:sz w:val="28"/>
          <w:szCs w:val="28"/>
        </w:rPr>
      </w:pPr>
      <w:r w:rsidRPr="00E70A92">
        <w:rPr>
          <w:rFonts w:ascii="Calibri" w:eastAsia="Calibri" w:hAnsi="Calibri" w:cs="Calibri"/>
          <w:b/>
          <w:bCs/>
          <w:sz w:val="28"/>
          <w:szCs w:val="28"/>
        </w:rPr>
        <w:lastRenderedPageBreak/>
        <w:t>1000 words - Understanding the role of Constable/Maintaining Professional Standards</w:t>
      </w:r>
    </w:p>
    <w:p w14:paraId="3DDF68F5" w14:textId="644C1222" w:rsidR="00CC6700" w:rsidRPr="00E70A92" w:rsidRDefault="00CC6700" w:rsidP="00CC6700">
      <w:pPr>
        <w:spacing w:line="256" w:lineRule="auto"/>
        <w:rPr>
          <w:rFonts w:ascii="Calibri" w:eastAsia="Calibri" w:hAnsi="Calibri" w:cs="Calibri"/>
          <w:sz w:val="28"/>
          <w:szCs w:val="28"/>
        </w:rPr>
      </w:pPr>
      <w:r w:rsidRPr="00E70A92">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5D2EEF42" w14:textId="6C9DA45F" w:rsidR="00E70A92" w:rsidRDefault="00E70A92" w:rsidP="00CC6700">
      <w:pPr>
        <w:spacing w:line="256" w:lineRule="auto"/>
        <w:rPr>
          <w:rFonts w:ascii="Calibri" w:eastAsia="Calibri" w:hAnsi="Calibri" w:cs="Calibri"/>
          <w:sz w:val="28"/>
          <w:szCs w:val="28"/>
        </w:rPr>
      </w:pPr>
    </w:p>
    <w:p w14:paraId="7D207D65" w14:textId="77777777" w:rsidR="00E70A92" w:rsidRP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In this essay, I will describe what is meant by ‘professionalism of the police service’, and then I will go on to critically explore what that means to both the public and the officers who deliver the service.  Whilst doing so I will consider how the strategic drivers of maintaining professional standards, ethics and inclusivity, and coaching and mentoring concepts contribute to this.  I will also critically analyse the notion of integrity in the professional policing context and link this to public perception of the police service.</w:t>
      </w:r>
    </w:p>
    <w:p w14:paraId="62778188" w14:textId="411E9BAD"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 xml:space="preserve">A key turning point in what we now know as modern-day policing came about almost 200 years ago when Sir Robert Peel, the then Home Secretary, introduced the ‘Metropolitan Police Force’.  As part of this, the </w:t>
      </w:r>
      <w:proofErr w:type="spellStart"/>
      <w:r w:rsidRPr="00E70A92">
        <w:rPr>
          <w:rFonts w:asciiTheme="minorHAnsi" w:hAnsiTheme="minorHAnsi" w:cstheme="minorHAnsi"/>
          <w:sz w:val="24"/>
          <w:szCs w:val="24"/>
        </w:rPr>
        <w:t>Peelian</w:t>
      </w:r>
      <w:proofErr w:type="spellEnd"/>
      <w:r w:rsidRPr="00E70A92">
        <w:rPr>
          <w:rFonts w:asciiTheme="minorHAnsi" w:hAnsiTheme="minorHAnsi" w:cstheme="minorHAnsi"/>
          <w:sz w:val="24"/>
          <w:szCs w:val="24"/>
        </w:rPr>
        <w:t xml:space="preserve"> Principles were devised to define this new ethical police force. These principles commonly encompass the notion of ‘policing by consent’ which establishes the idea that police gain approval and co-operation from the public, not through fear or aggressive control, but “almost exclusively from public co-operation…which secures and maintains for them the approval, respect and affection of the public” (</w:t>
      </w:r>
      <w:hyperlink r:id="rId7" w:history="1">
        <w:r w:rsidRPr="00E70A92">
          <w:rPr>
            <w:rStyle w:val="Hyperlink"/>
            <w:rFonts w:asciiTheme="minorHAnsi" w:hAnsiTheme="minorHAnsi" w:cstheme="minorHAnsi"/>
            <w:color w:val="auto"/>
            <w:sz w:val="24"/>
            <w:szCs w:val="24"/>
            <w:u w:val="none"/>
          </w:rPr>
          <w:t>Gov.uk</w:t>
        </w:r>
      </w:hyperlink>
      <w:r w:rsidRPr="00E70A92">
        <w:rPr>
          <w:rFonts w:asciiTheme="minorHAnsi" w:hAnsiTheme="minorHAnsi" w:cstheme="minorHAnsi"/>
          <w:sz w:val="24"/>
          <w:szCs w:val="24"/>
        </w:rPr>
        <w:t>, 2012).</w:t>
      </w:r>
    </w:p>
    <w:p w14:paraId="4E470D85" w14:textId="77777777" w:rsidR="00E70A92" w:rsidRPr="00E70A92" w:rsidRDefault="00E70A92" w:rsidP="00E70A92">
      <w:pPr>
        <w:rPr>
          <w:rFonts w:asciiTheme="minorHAnsi" w:hAnsiTheme="minorHAnsi" w:cstheme="minorHAnsi"/>
          <w:sz w:val="24"/>
          <w:szCs w:val="24"/>
        </w:rPr>
      </w:pPr>
    </w:p>
    <w:p w14:paraId="1DB13BC4" w14:textId="16DE97B6"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Professional standards of behaviour are an essential part of how a police officer behaves towards the members of the public that they are serving and therefore it is essential that these standards are set nationally, are maintained at all times. These standards are laid out in the policing Code of Ethics which “sets and defines the exemplary standards of behaviour for everyone who works in policing” (</w:t>
      </w:r>
      <w:hyperlink r:id="rId8" w:history="1">
        <w:r w:rsidRPr="00E70A92">
          <w:rPr>
            <w:rStyle w:val="Hyperlink"/>
            <w:rFonts w:asciiTheme="minorHAnsi" w:hAnsiTheme="minorHAnsi" w:cstheme="minorHAnsi"/>
            <w:color w:val="auto"/>
            <w:sz w:val="24"/>
            <w:szCs w:val="24"/>
            <w:u w:val="none"/>
          </w:rPr>
          <w:t>College</w:t>
        </w:r>
      </w:hyperlink>
      <w:r w:rsidRPr="00E70A92">
        <w:rPr>
          <w:rStyle w:val="Hyperlink"/>
          <w:rFonts w:asciiTheme="minorHAnsi" w:hAnsiTheme="minorHAnsi" w:cstheme="minorHAnsi"/>
          <w:color w:val="auto"/>
          <w:sz w:val="24"/>
          <w:szCs w:val="24"/>
          <w:u w:val="none"/>
        </w:rPr>
        <w:t xml:space="preserve"> of Policing</w:t>
      </w:r>
      <w:r w:rsidRPr="00E70A92">
        <w:rPr>
          <w:rFonts w:asciiTheme="minorHAnsi" w:hAnsiTheme="minorHAnsi" w:cstheme="minorHAnsi"/>
          <w:sz w:val="24"/>
          <w:szCs w:val="24"/>
        </w:rPr>
        <w:t>, 2021).  These standards must be adhered to both during an officer’s tour of duty but also in their personal lives outside of the workplace.  At times, these standards can be hard to maintain, and there have been several well-known publicised instances of officers falling short of these standards, with ‘</w:t>
      </w:r>
      <w:proofErr w:type="spellStart"/>
      <w:r w:rsidRPr="00E70A92">
        <w:rPr>
          <w:rFonts w:asciiTheme="minorHAnsi" w:hAnsiTheme="minorHAnsi" w:cstheme="minorHAnsi"/>
          <w:sz w:val="24"/>
          <w:szCs w:val="24"/>
        </w:rPr>
        <w:t>plebgate</w:t>
      </w:r>
      <w:proofErr w:type="spellEnd"/>
      <w:r w:rsidRPr="00E70A92">
        <w:rPr>
          <w:rFonts w:asciiTheme="minorHAnsi" w:hAnsiTheme="minorHAnsi" w:cstheme="minorHAnsi"/>
          <w:sz w:val="24"/>
          <w:szCs w:val="24"/>
        </w:rPr>
        <w:t xml:space="preserve">’ being an example of this.  Occasionally officers do make mistakes, and this can have repercussions on the force as a whole and can consequently undermine the public confidence that they strive so hard to preserve.  That said, there is a small minority of the public who do not accept the law and who do not consent to being policed.  These are the people that officers contend with every day, and in these instances, officers need to be particularly mindful that they act within the Code of Ethics, and that they continue to uphold these nationally set standards of professional policing. Officers need to ensure that they are accountable for all their actions, using the National Decision Model (NDM) to justify their decision-making. </w:t>
      </w:r>
    </w:p>
    <w:p w14:paraId="746EE646" w14:textId="77777777" w:rsidR="00E70A92" w:rsidRPr="00E70A92" w:rsidRDefault="00E70A92" w:rsidP="00E70A92">
      <w:pPr>
        <w:rPr>
          <w:rFonts w:asciiTheme="minorHAnsi" w:hAnsiTheme="minorHAnsi" w:cstheme="minorHAnsi"/>
          <w:sz w:val="24"/>
          <w:szCs w:val="24"/>
        </w:rPr>
      </w:pPr>
    </w:p>
    <w:p w14:paraId="334E7D42" w14:textId="5D84FE5E"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With communities locally and nationally becoming more diverse and more complex, it is essential that local and national police forces encompass ethical and inclusive standards in line with those changing and evolving communities. In the Policing Vision 2025, which sets out the plan for national policing over the next 10 years, it has stated that by 2025 policing will be a profession that has a more representative workforce that will strive to: “align the right skills, powers and experience to meet challenging requirements” (</w:t>
      </w:r>
      <w:hyperlink r:id="rId9" w:history="1">
        <w:r w:rsidRPr="00E70A92">
          <w:rPr>
            <w:rStyle w:val="Hyperlink"/>
            <w:rFonts w:asciiTheme="minorHAnsi" w:hAnsiTheme="minorHAnsi" w:cstheme="minorHAnsi"/>
            <w:sz w:val="24"/>
            <w:szCs w:val="24"/>
          </w:rPr>
          <w:t>Npcc.police.uk</w:t>
        </w:r>
      </w:hyperlink>
      <w:r w:rsidRPr="00E70A92">
        <w:rPr>
          <w:rFonts w:asciiTheme="minorHAnsi" w:hAnsiTheme="minorHAnsi" w:cstheme="minorHAnsi"/>
          <w:sz w:val="24"/>
          <w:szCs w:val="24"/>
        </w:rPr>
        <w:t xml:space="preserve">, no date).  This ensures that officers are tooled with the right skills and competencies that are </w:t>
      </w:r>
      <w:r w:rsidRPr="00E70A92">
        <w:rPr>
          <w:rFonts w:asciiTheme="minorHAnsi" w:hAnsiTheme="minorHAnsi" w:cstheme="minorHAnsi"/>
          <w:sz w:val="24"/>
          <w:szCs w:val="24"/>
        </w:rPr>
        <w:lastRenderedPageBreak/>
        <w:t>essential for successfully policing in the 21</w:t>
      </w:r>
      <w:r w:rsidRPr="00E70A92">
        <w:rPr>
          <w:rFonts w:asciiTheme="minorHAnsi" w:hAnsiTheme="minorHAnsi" w:cstheme="minorHAnsi"/>
          <w:sz w:val="24"/>
          <w:szCs w:val="24"/>
          <w:vertAlign w:val="superscript"/>
        </w:rPr>
        <w:t>st</w:t>
      </w:r>
      <w:r w:rsidRPr="00E70A92">
        <w:rPr>
          <w:rFonts w:asciiTheme="minorHAnsi" w:hAnsiTheme="minorHAnsi" w:cstheme="minorHAnsi"/>
          <w:sz w:val="24"/>
          <w:szCs w:val="24"/>
        </w:rPr>
        <w:t xml:space="preserve"> century.  There is however a long way to go.  As of the 31</w:t>
      </w:r>
      <w:r w:rsidRPr="00E70A92">
        <w:rPr>
          <w:rFonts w:asciiTheme="minorHAnsi" w:hAnsiTheme="minorHAnsi" w:cstheme="minorHAnsi"/>
          <w:sz w:val="24"/>
          <w:szCs w:val="24"/>
          <w:vertAlign w:val="superscript"/>
        </w:rPr>
        <w:t>st</w:t>
      </w:r>
      <w:r w:rsidRPr="00E70A92">
        <w:rPr>
          <w:rFonts w:asciiTheme="minorHAnsi" w:hAnsiTheme="minorHAnsi" w:cstheme="minorHAnsi"/>
          <w:sz w:val="24"/>
          <w:szCs w:val="24"/>
        </w:rPr>
        <w:t xml:space="preserve"> March 2020, 7% of police officers identified as being from an ethnic minority.  This was an increase of 3% from 2007, however it still remains substantially lower than the proportion of the national population who identified as being from ethnic minority backgrounds (16%) ( </w:t>
      </w:r>
      <w:hyperlink r:id="rId10" w:history="1">
        <w:r w:rsidRPr="00E70A92">
          <w:rPr>
            <w:rStyle w:val="Hyperlink"/>
            <w:rFonts w:asciiTheme="minorHAnsi" w:hAnsiTheme="minorHAnsi" w:cstheme="minorHAnsi"/>
            <w:sz w:val="24"/>
            <w:szCs w:val="24"/>
          </w:rPr>
          <w:t>Politics.co.uk</w:t>
        </w:r>
      </w:hyperlink>
      <w:r w:rsidRPr="00E70A92">
        <w:rPr>
          <w:rFonts w:asciiTheme="minorHAnsi" w:hAnsiTheme="minorHAnsi" w:cstheme="minorHAnsi"/>
          <w:sz w:val="24"/>
          <w:szCs w:val="24"/>
        </w:rPr>
        <w:t>, 2021).</w:t>
      </w:r>
    </w:p>
    <w:p w14:paraId="521F4E90" w14:textId="77777777" w:rsidR="00E70A92" w:rsidRPr="00E70A92" w:rsidRDefault="00E70A92" w:rsidP="00E70A92">
      <w:pPr>
        <w:rPr>
          <w:rFonts w:asciiTheme="minorHAnsi" w:hAnsiTheme="minorHAnsi" w:cstheme="minorHAnsi"/>
          <w:sz w:val="24"/>
          <w:szCs w:val="24"/>
        </w:rPr>
      </w:pPr>
    </w:p>
    <w:p w14:paraId="65282983" w14:textId="1615D22A"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When it comes to coaching and mentoring, this is an essential process in the learning and development of a new constable.  After many months in the classroom, as officers are keen to get out into the communities that they serve, their first experience of this will be with their tutor, for at least the initial 12 weeks.  The tutor will help new officers to develop the skills and abilities that are required for the role and it is therefore imperative that they display the professional standards themselves as a gold model of demonstrating how officers should conduct themselves.  Coaching is another essential element in developing an officer’s reflective practice and problem-solving skills.  Reflective practice can be described as “one of the critical thinking skills required of modern policing” (Bryant &amp; Bryant, 2019), this reflection can enhance an officers professionalism in many areas and inform their future actions, which in turn will strengthen the trust and co-operation from the public.  Professional reflection should not only occur at the start of an officer’s career, but it should be a consistent practice throughout.  Coaching and mentoring are founded on the relationship between both parties and if this is not achieved this could lead to problems in the effectiveness of the learning by the person being tutored.</w:t>
      </w:r>
    </w:p>
    <w:p w14:paraId="5E2C65A8" w14:textId="77777777" w:rsidR="00E70A92" w:rsidRPr="00E70A92" w:rsidRDefault="00E70A92" w:rsidP="00E70A92">
      <w:pPr>
        <w:rPr>
          <w:rFonts w:asciiTheme="minorHAnsi" w:hAnsiTheme="minorHAnsi" w:cstheme="minorHAnsi"/>
          <w:sz w:val="24"/>
          <w:szCs w:val="24"/>
        </w:rPr>
      </w:pPr>
    </w:p>
    <w:p w14:paraId="50CD6CF1" w14:textId="6844B40C"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 xml:space="preserve">Trust and confidence are essential elements in modern-day policing, and it is what the national police force strives to achieve.  Integrity is one of the key standards of professional behaviours within the policing Code of Ethics, and upholding this standard within a policing context is imperative: “police departments must adhere to the principles of integrity and professionalism as cornerstones of community trust-building (wsupolice.wordpress.com, 1997).  Integrity ensures that officers behave with honesty and accountability and that they do not abuse or compromise their positions in society.  When officers behave in this way, it fosters trust and instils confidence from the public in which they serve, which in turn strengthens the consent that they require from the public to do their job.  Again, police officers are human beings who can sometimes make mistakes.  It is the ability to reflect on mistakes, to take accountability and to act with honesty and integrity that ensures that officers work in the best service for the public. </w:t>
      </w:r>
    </w:p>
    <w:p w14:paraId="2EBC1E48" w14:textId="77777777" w:rsidR="00E70A92" w:rsidRPr="00E70A92" w:rsidRDefault="00E70A92" w:rsidP="00E70A92">
      <w:pPr>
        <w:rPr>
          <w:rFonts w:asciiTheme="minorHAnsi" w:hAnsiTheme="minorHAnsi" w:cstheme="minorHAnsi"/>
          <w:sz w:val="24"/>
          <w:szCs w:val="24"/>
        </w:rPr>
      </w:pPr>
    </w:p>
    <w:p w14:paraId="67BE3CF0" w14:textId="5AC1F9D9" w:rsidR="00E70A92" w:rsidRDefault="00E70A92" w:rsidP="00E70A92">
      <w:pPr>
        <w:rPr>
          <w:rFonts w:asciiTheme="minorHAnsi" w:hAnsiTheme="minorHAnsi" w:cstheme="minorHAnsi"/>
          <w:sz w:val="24"/>
          <w:szCs w:val="24"/>
        </w:rPr>
      </w:pPr>
      <w:r w:rsidRPr="00E70A92">
        <w:rPr>
          <w:rFonts w:asciiTheme="minorHAnsi" w:hAnsiTheme="minorHAnsi" w:cstheme="minorHAnsi"/>
          <w:sz w:val="24"/>
          <w:szCs w:val="24"/>
        </w:rPr>
        <w:t xml:space="preserve">The points that I have raised in this essay are all relevant to the policing strategies that are in force today.  They are all part of the national Policing Vision of 2025, with the central aim of professionalising the police service to make communities safer, upholding the law, preventing crime and anti-social behaviour, keeping the peace, protecting and reassuring communities, investigating crime, and bringing offenders to justice.  In order to achieve any of those things, a police officer must maintain their professional standards.  They must be ethical and inclusive and should take personal responsibility for their own reflective learning practices.  It is imperative to learn from the more experienced officers who display those characteristics and who can act as mentors on a day-to-day basis. </w:t>
      </w:r>
    </w:p>
    <w:p w14:paraId="22AD29BB" w14:textId="77777777" w:rsidR="00E70A92" w:rsidRDefault="00E70A92" w:rsidP="00E70A92">
      <w:pPr>
        <w:jc w:val="right"/>
        <w:rPr>
          <w:rFonts w:asciiTheme="minorHAnsi" w:hAnsiTheme="minorHAnsi" w:cstheme="minorHAnsi"/>
          <w:sz w:val="24"/>
          <w:szCs w:val="24"/>
        </w:rPr>
      </w:pPr>
    </w:p>
    <w:p w14:paraId="2CBA7244" w14:textId="77777777" w:rsidR="00E70A92" w:rsidRDefault="00E70A92" w:rsidP="00E70A92">
      <w:pPr>
        <w:rPr>
          <w:rFonts w:asciiTheme="minorHAnsi" w:hAnsiTheme="minorHAnsi" w:cstheme="minorHAnsi"/>
          <w:sz w:val="24"/>
          <w:szCs w:val="24"/>
        </w:rPr>
      </w:pPr>
    </w:p>
    <w:p w14:paraId="0A648BDA" w14:textId="77777777" w:rsidR="003871D7" w:rsidRDefault="00E70A92" w:rsidP="003871D7">
      <w:pPr>
        <w:rPr>
          <w:rFonts w:asciiTheme="minorHAnsi" w:hAnsiTheme="minorHAnsi" w:cstheme="minorHAnsi"/>
          <w:sz w:val="24"/>
          <w:szCs w:val="24"/>
        </w:rPr>
      </w:pPr>
      <w:r w:rsidRPr="00E70A92">
        <w:rPr>
          <w:rFonts w:asciiTheme="minorHAnsi" w:hAnsiTheme="minorHAnsi" w:cstheme="minorHAnsi"/>
          <w:sz w:val="24"/>
          <w:szCs w:val="24"/>
        </w:rPr>
        <w:t xml:space="preserve">1089 words </w:t>
      </w:r>
    </w:p>
    <w:p w14:paraId="3B938E45" w14:textId="6DE5225F" w:rsidR="00CC6700" w:rsidRPr="003871D7" w:rsidRDefault="00CC6700" w:rsidP="003871D7">
      <w:pPr>
        <w:rPr>
          <w:rFonts w:asciiTheme="minorHAnsi" w:hAnsiTheme="minorHAnsi" w:cstheme="minorHAnsi"/>
          <w:sz w:val="24"/>
          <w:szCs w:val="24"/>
        </w:rPr>
      </w:pPr>
      <w:r>
        <w:rPr>
          <w:rFonts w:ascii="Calibri" w:eastAsia="Calibri" w:hAnsi="Calibri" w:cs="Calibri"/>
          <w:b/>
          <w:bCs/>
          <w:sz w:val="28"/>
          <w:szCs w:val="28"/>
        </w:rPr>
        <w:lastRenderedPageBreak/>
        <w:t>1000 words - Community/Response Policing/Policing roads/Conducting Investigations /Digital Policing</w:t>
      </w:r>
    </w:p>
    <w:p w14:paraId="71D2D801" w14:textId="741B86E5" w:rsidR="00CC6700" w:rsidRDefault="00CC6700" w:rsidP="00CC6700">
      <w:pPr>
        <w:spacing w:line="256" w:lineRule="auto"/>
        <w:rPr>
          <w:rFonts w:ascii="Calibri" w:hAnsi="Calibri" w:cs="Calibri"/>
          <w:sz w:val="28"/>
          <w:szCs w:val="28"/>
        </w:rPr>
      </w:pPr>
      <w:r>
        <w:rPr>
          <w:rFonts w:ascii="Calibri" w:eastAsia="Calibri" w:hAnsi="Calibri" w:cs="Calibri"/>
          <w:sz w:val="28"/>
          <w:szCs w:val="28"/>
        </w:rPr>
        <w:t>Critically evaluate the role of the police in:</w:t>
      </w:r>
    </w:p>
    <w:p w14:paraId="40B589D0" w14:textId="4E55EF0E" w:rsidR="00CC6700" w:rsidRPr="003871D7" w:rsidRDefault="00CC6700" w:rsidP="00CC6700">
      <w:pPr>
        <w:numPr>
          <w:ilvl w:val="0"/>
          <w:numId w:val="1"/>
        </w:numPr>
        <w:spacing w:line="256" w:lineRule="auto"/>
        <w:contextualSpacing/>
        <w:rPr>
          <w:rFonts w:ascii="Calibri" w:hAnsi="Calibri" w:cs="Calibri"/>
          <w:sz w:val="28"/>
          <w:szCs w:val="28"/>
        </w:rPr>
      </w:pPr>
      <w:r>
        <w:rPr>
          <w:rFonts w:ascii="Calibri" w:eastAsia="Arial" w:hAnsi="Calibri" w:cs="Calibri"/>
          <w:sz w:val="28"/>
          <w:szCs w:val="28"/>
        </w:rPr>
        <w:t>Community policing (strategies and incentives)</w:t>
      </w:r>
    </w:p>
    <w:p w14:paraId="51C0C327" w14:textId="6B0B8B8D" w:rsidR="003871D7" w:rsidRDefault="003871D7" w:rsidP="003871D7">
      <w:pPr>
        <w:spacing w:line="256" w:lineRule="auto"/>
        <w:contextualSpacing/>
        <w:rPr>
          <w:rFonts w:ascii="Calibri" w:eastAsia="Arial" w:hAnsi="Calibri" w:cs="Calibri"/>
          <w:sz w:val="28"/>
          <w:szCs w:val="28"/>
        </w:rPr>
      </w:pPr>
    </w:p>
    <w:p w14:paraId="4DE1A9BA" w14:textId="53CF029D" w:rsid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 xml:space="preserve">In this essay, I intend to discuss community policing, looking at the historical context of what is also known as Neighbourhood Policing.  I will critically explore the relevant strategies and initiatives to help deliver effective community policing.  I will then highlight what these strategies mean to residents, and in turn how this might influence the public’s perception of the police force, and their levels of co-operation and trust.  I will also discuss the drawbacks and barriers to effective community policing strategies. </w:t>
      </w:r>
    </w:p>
    <w:p w14:paraId="47A434E0" w14:textId="77777777" w:rsidR="003871D7" w:rsidRPr="003871D7" w:rsidRDefault="003871D7" w:rsidP="003871D7">
      <w:pPr>
        <w:rPr>
          <w:rFonts w:asciiTheme="minorHAnsi" w:hAnsiTheme="minorHAnsi" w:cstheme="minorHAnsi"/>
          <w:sz w:val="24"/>
          <w:szCs w:val="24"/>
        </w:rPr>
      </w:pPr>
    </w:p>
    <w:p w14:paraId="65391F88"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Community policing is not a new strategy, it can be dated back to the middle ages even before a more formal police force was established.  Before the 16</w:t>
      </w:r>
      <w:r w:rsidRPr="003871D7">
        <w:rPr>
          <w:rFonts w:asciiTheme="minorHAnsi" w:hAnsiTheme="minorHAnsi" w:cstheme="minorHAnsi"/>
          <w:sz w:val="24"/>
          <w:szCs w:val="24"/>
          <w:vertAlign w:val="superscript"/>
        </w:rPr>
        <w:t>th</w:t>
      </w:r>
      <w:r w:rsidRPr="003871D7">
        <w:rPr>
          <w:rFonts w:asciiTheme="minorHAnsi" w:hAnsiTheme="minorHAnsi" w:cstheme="minorHAnsi"/>
          <w:sz w:val="24"/>
          <w:szCs w:val="24"/>
        </w:rPr>
        <w:t xml:space="preserve"> century, it was the responsibility of the victim and the local community to find the criminal themselves.  It was expected that “communities would be responsible for policing and combatting crime” (</w:t>
      </w:r>
      <w:hyperlink r:id="rId11" w:history="1">
        <w:r w:rsidRPr="003871D7">
          <w:rPr>
            <w:rStyle w:val="Hyperlink"/>
            <w:rFonts w:asciiTheme="minorHAnsi" w:hAnsiTheme="minorHAnsi" w:cstheme="minorHAnsi"/>
            <w:sz w:val="24"/>
            <w:szCs w:val="24"/>
          </w:rPr>
          <w:t>bbc.co.uk</w:t>
        </w:r>
      </w:hyperlink>
      <w:r w:rsidRPr="003871D7">
        <w:rPr>
          <w:rFonts w:asciiTheme="minorHAnsi" w:hAnsiTheme="minorHAnsi" w:cstheme="minorHAnsi"/>
          <w:sz w:val="24"/>
          <w:szCs w:val="24"/>
        </w:rPr>
        <w:t xml:space="preserve">, 2021), thus communities were working together.  In more recent times however, there has been an increasingly distant relationship between the public and the police, specifically concerning this notion of the public policing their own communities.  Some serious consequences of the police failing to work with communities was seen the 1970’s and 1980’s, with the miner’s strikes and inner-city riots, like the Brixton Riots in April of 1981.  By the late 1990’s, there was then an increasing demand from the public for a more accessible and visible police force, and in 2015, the College of Policing published a report that stressed the need for the police to work in partnership with communities. </w:t>
      </w:r>
    </w:p>
    <w:p w14:paraId="5B7B91E0"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 xml:space="preserve">Community engagement is vitally important when it comes to effective neighbourhood policing and working in partnership with the community.  The College of Policing has stated that “without the cooperation of the public, policing of developed democracies would become essentially unworkable” (College of Policing, 2013).  The benefits of community engagement are numerous, and they include, but are not limited to, an increase in public confidence and trust in the police force.  The force can strengthen its legitimacy through fair decision making from officers on ground level and positive interactions with the public.  Members of the public may feel an increased sense of safety, as more neighbourhood police officers are visible and available to speak with them regarding neighbourhood issues (in a way that response officers do not necessarily have the time to do).  This visible presence can lead to a reduction in anti-social behaviour and other kinds of disorders.  This sense of engagement has huge impacts for members of the public, for the above reasons.  However, it can also cascade to individual officers who may feel a greater level of job satisfaction as they are more able to see the impact of their interactions with the public, and promotes the sense that they are really making a difference in the communities that they serve.  In a research paper written by Brody, DeMarco and </w:t>
      </w:r>
      <w:proofErr w:type="spellStart"/>
      <w:r w:rsidRPr="003871D7">
        <w:rPr>
          <w:rFonts w:asciiTheme="minorHAnsi" w:hAnsiTheme="minorHAnsi" w:cstheme="minorHAnsi"/>
          <w:sz w:val="24"/>
          <w:szCs w:val="24"/>
        </w:rPr>
        <w:t>Lovrich</w:t>
      </w:r>
      <w:proofErr w:type="spellEnd"/>
      <w:r w:rsidRPr="003871D7">
        <w:rPr>
          <w:rFonts w:asciiTheme="minorHAnsi" w:hAnsiTheme="minorHAnsi" w:cstheme="minorHAnsi"/>
          <w:sz w:val="24"/>
          <w:szCs w:val="24"/>
        </w:rPr>
        <w:t xml:space="preserve"> (2002), following surveys and archival data, they reported that “police personnel in high community oriented policing implementation agencies report higher job satisfaction than police personnel in other agencies”.</w:t>
      </w:r>
    </w:p>
    <w:p w14:paraId="2E9826AD" w14:textId="77777777" w:rsidR="003871D7" w:rsidRPr="003871D7" w:rsidRDefault="003871D7" w:rsidP="003871D7">
      <w:pPr>
        <w:rPr>
          <w:rFonts w:asciiTheme="minorHAnsi" w:hAnsiTheme="minorHAnsi" w:cstheme="minorHAnsi"/>
          <w:sz w:val="24"/>
          <w:szCs w:val="24"/>
        </w:rPr>
      </w:pPr>
    </w:p>
    <w:p w14:paraId="1E108EB2" w14:textId="018D482D" w:rsid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 xml:space="preserve">An important phrase when working in this way with the public is that of ‘collaboration’.  A key strategy in community policing is the idea that the police collaborate with members of </w:t>
      </w:r>
      <w:r w:rsidRPr="003871D7">
        <w:rPr>
          <w:rFonts w:asciiTheme="minorHAnsi" w:hAnsiTheme="minorHAnsi" w:cstheme="minorHAnsi"/>
          <w:sz w:val="24"/>
          <w:szCs w:val="24"/>
        </w:rPr>
        <w:lastRenderedPageBreak/>
        <w:t>the local community with the aim of problem solving collaboratively to reduce perceived levels of crime and therefore building trust and legitimacy in the police force.  There are several models of problem-solving which officers can apply when working with individuals in the community, including for example the Problem Analysis Triangle (PAT).  The PAT model regards three main points of analysis, namely victim, location and offender, and then solutions to the problem are found by addressing one or more of those three points.  This might be seen as a simplistic model however it does “provide a rationale for responding to problems and collecting the information needed to find solutions” (Bryant, R &amp; Bryant, S, 2019).  The SARA process then takes this one stage further and involves the continuing re-evaluation of decision making with the aim of improving solutions and working practices.  The key stages of this model are:</w:t>
      </w:r>
    </w:p>
    <w:p w14:paraId="24168ED0" w14:textId="77777777" w:rsidR="003871D7" w:rsidRPr="003871D7" w:rsidRDefault="003871D7" w:rsidP="003871D7">
      <w:pPr>
        <w:rPr>
          <w:rFonts w:asciiTheme="minorHAnsi" w:hAnsiTheme="minorHAnsi" w:cstheme="minorHAnsi"/>
          <w:sz w:val="24"/>
          <w:szCs w:val="24"/>
        </w:rPr>
      </w:pPr>
    </w:p>
    <w:p w14:paraId="7C3EFFF4"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b/>
          <w:sz w:val="24"/>
          <w:szCs w:val="24"/>
        </w:rPr>
        <w:t>Scanning:</w:t>
      </w:r>
      <w:r w:rsidRPr="003871D7">
        <w:rPr>
          <w:rFonts w:asciiTheme="minorHAnsi" w:hAnsiTheme="minorHAnsi" w:cstheme="minorHAnsi"/>
          <w:sz w:val="24"/>
          <w:szCs w:val="24"/>
        </w:rPr>
        <w:t xml:space="preserve"> identifying a problem or a crime;</w:t>
      </w:r>
    </w:p>
    <w:p w14:paraId="17EE23D0"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b/>
          <w:sz w:val="24"/>
          <w:szCs w:val="24"/>
        </w:rPr>
        <w:t>Analysis:</w:t>
      </w:r>
      <w:r w:rsidRPr="003871D7">
        <w:rPr>
          <w:rFonts w:asciiTheme="minorHAnsi" w:hAnsiTheme="minorHAnsi" w:cstheme="minorHAnsi"/>
          <w:sz w:val="24"/>
          <w:szCs w:val="24"/>
        </w:rPr>
        <w:t xml:space="preserve"> assessment of all the available local information pertaining to the issue;</w:t>
      </w:r>
    </w:p>
    <w:p w14:paraId="25E092E5"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b/>
          <w:sz w:val="24"/>
          <w:szCs w:val="24"/>
        </w:rPr>
        <w:t>Response:</w:t>
      </w:r>
      <w:r w:rsidRPr="003871D7">
        <w:rPr>
          <w:rFonts w:asciiTheme="minorHAnsi" w:hAnsiTheme="minorHAnsi" w:cstheme="minorHAnsi"/>
          <w:sz w:val="24"/>
          <w:szCs w:val="24"/>
        </w:rPr>
        <w:t xml:space="preserve"> the strategy chosen to deal with the issue;</w:t>
      </w:r>
    </w:p>
    <w:p w14:paraId="337014BD" w14:textId="10717857" w:rsidR="003871D7" w:rsidRDefault="003871D7" w:rsidP="003871D7">
      <w:pPr>
        <w:rPr>
          <w:rFonts w:asciiTheme="minorHAnsi" w:hAnsiTheme="minorHAnsi" w:cstheme="minorHAnsi"/>
          <w:sz w:val="24"/>
          <w:szCs w:val="24"/>
        </w:rPr>
      </w:pPr>
      <w:r w:rsidRPr="003871D7">
        <w:rPr>
          <w:rFonts w:asciiTheme="minorHAnsi" w:hAnsiTheme="minorHAnsi" w:cstheme="minorHAnsi"/>
          <w:b/>
          <w:sz w:val="24"/>
          <w:szCs w:val="24"/>
        </w:rPr>
        <w:t>Assessment:</w:t>
      </w:r>
      <w:r w:rsidRPr="003871D7">
        <w:rPr>
          <w:rFonts w:asciiTheme="minorHAnsi" w:hAnsiTheme="minorHAnsi" w:cstheme="minorHAnsi"/>
          <w:sz w:val="24"/>
          <w:szCs w:val="24"/>
        </w:rPr>
        <w:t xml:space="preserve"> review and evaluating the effectiveness of the intervention and/or the impact on the community.</w:t>
      </w:r>
    </w:p>
    <w:p w14:paraId="6C22581D" w14:textId="77777777" w:rsidR="003871D7" w:rsidRPr="003871D7" w:rsidRDefault="003871D7" w:rsidP="003871D7">
      <w:pPr>
        <w:rPr>
          <w:rFonts w:asciiTheme="minorHAnsi" w:hAnsiTheme="minorHAnsi" w:cstheme="minorHAnsi"/>
          <w:sz w:val="24"/>
          <w:szCs w:val="24"/>
        </w:rPr>
      </w:pPr>
    </w:p>
    <w:p w14:paraId="6DD85D51" w14:textId="7C9B430F" w:rsid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 xml:space="preserve">These two models may not suit every officer or indeed every neighbourhood.  An individual officer may take one thing from one model and adapt it with another.  It is a flexible and adaptable approach to working with neighbourhood issues, which is one of the benefits of this model.  </w:t>
      </w:r>
    </w:p>
    <w:p w14:paraId="6B689C0B" w14:textId="77777777" w:rsidR="003871D7" w:rsidRPr="003871D7" w:rsidRDefault="003871D7" w:rsidP="003871D7">
      <w:pPr>
        <w:rPr>
          <w:rFonts w:asciiTheme="minorHAnsi" w:hAnsiTheme="minorHAnsi" w:cstheme="minorHAnsi"/>
          <w:sz w:val="24"/>
          <w:szCs w:val="24"/>
        </w:rPr>
      </w:pPr>
    </w:p>
    <w:p w14:paraId="2080D148"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As discussed throughout this essay, neighbourhood policing is about collaboration with the public and working in partnership with other agencies as necessary, for example health and social services, education and children’s services amongst others.  Unfortunately, however, some communities and neighbourhoods might be hostile to the police if they have known negative histories with the law.  These hostilities can then hinder productive partnerships, which is a drawback of the neighbourhood policing model.  In addition an increase in a police officer’s autonomous decision making could lead to greater incidences of corruption and also “resistance within the police organisation can hamper community policing’s successful implementation” (</w:t>
      </w:r>
      <w:hyperlink r:id="rId12" w:history="1">
        <w:r w:rsidRPr="003871D7">
          <w:rPr>
            <w:rStyle w:val="Hyperlink"/>
            <w:rFonts w:asciiTheme="minorHAnsi" w:hAnsiTheme="minorHAnsi" w:cstheme="minorHAnsi"/>
            <w:sz w:val="24"/>
            <w:szCs w:val="24"/>
          </w:rPr>
          <w:t>law.jrank.org</w:t>
        </w:r>
      </w:hyperlink>
      <w:r w:rsidRPr="003871D7">
        <w:rPr>
          <w:rFonts w:asciiTheme="minorHAnsi" w:hAnsiTheme="minorHAnsi" w:cstheme="minorHAnsi"/>
          <w:sz w:val="24"/>
          <w:szCs w:val="24"/>
        </w:rPr>
        <w:t>, 2021).  There may also be communication barriers in some communities that might also hinder effective understanding and collaboration.  As police officers serve more diverse and complex neighbourhoods, both in language and culture “the differences in values, cultures and beliefs can be a source of misunderstanding, which hampers effective communication by creating confusion” (</w:t>
      </w:r>
      <w:hyperlink r:id="rId13" w:history="1">
        <w:r w:rsidRPr="003871D7">
          <w:rPr>
            <w:rStyle w:val="Hyperlink"/>
            <w:rFonts w:asciiTheme="minorHAnsi" w:hAnsiTheme="minorHAnsi" w:cstheme="minorHAnsi"/>
            <w:sz w:val="24"/>
            <w:szCs w:val="24"/>
          </w:rPr>
          <w:t>uniquewritersbay.com</w:t>
        </w:r>
      </w:hyperlink>
      <w:r w:rsidRPr="003871D7">
        <w:rPr>
          <w:rFonts w:asciiTheme="minorHAnsi" w:hAnsiTheme="minorHAnsi" w:cstheme="minorHAnsi"/>
          <w:sz w:val="24"/>
          <w:szCs w:val="24"/>
        </w:rPr>
        <w:t xml:space="preserve">, 2020).  This highlights some of the challenges that community policing faces.  However, this is a long-term strategy that really focuses on police officers getting to know their neighbourhoods, addressing issues directly and collaboratively with the public, and building confidence and trust which is so important when working within the </w:t>
      </w:r>
      <w:proofErr w:type="spellStart"/>
      <w:r w:rsidRPr="003871D7">
        <w:rPr>
          <w:rFonts w:asciiTheme="minorHAnsi" w:hAnsiTheme="minorHAnsi" w:cstheme="minorHAnsi"/>
          <w:sz w:val="24"/>
          <w:szCs w:val="24"/>
        </w:rPr>
        <w:t>Peelian</w:t>
      </w:r>
      <w:proofErr w:type="spellEnd"/>
      <w:r w:rsidRPr="003871D7">
        <w:rPr>
          <w:rFonts w:asciiTheme="minorHAnsi" w:hAnsiTheme="minorHAnsi" w:cstheme="minorHAnsi"/>
          <w:sz w:val="24"/>
          <w:szCs w:val="24"/>
        </w:rPr>
        <w:t xml:space="preserve"> principle of policing by consent. </w:t>
      </w:r>
    </w:p>
    <w:p w14:paraId="08E97D85" w14:textId="77777777" w:rsidR="003871D7" w:rsidRPr="003871D7" w:rsidRDefault="003871D7" w:rsidP="003871D7">
      <w:pPr>
        <w:rPr>
          <w:rFonts w:asciiTheme="minorHAnsi" w:hAnsiTheme="minorHAnsi" w:cstheme="minorHAnsi"/>
          <w:sz w:val="24"/>
          <w:szCs w:val="24"/>
        </w:rPr>
      </w:pPr>
    </w:p>
    <w:p w14:paraId="0080F9F0" w14:textId="77777777" w:rsidR="003871D7" w:rsidRPr="003871D7" w:rsidRDefault="003871D7" w:rsidP="003871D7">
      <w:pPr>
        <w:rPr>
          <w:rFonts w:asciiTheme="minorHAnsi" w:hAnsiTheme="minorHAnsi" w:cstheme="minorHAnsi"/>
          <w:sz w:val="24"/>
          <w:szCs w:val="24"/>
        </w:rPr>
      </w:pPr>
      <w:r w:rsidRPr="003871D7">
        <w:rPr>
          <w:rFonts w:asciiTheme="minorHAnsi" w:hAnsiTheme="minorHAnsi" w:cstheme="minorHAnsi"/>
          <w:sz w:val="24"/>
          <w:szCs w:val="24"/>
        </w:rPr>
        <w:t>982 words</w:t>
      </w:r>
    </w:p>
    <w:p w14:paraId="34F59F01" w14:textId="77777777" w:rsidR="003871D7" w:rsidRDefault="003871D7" w:rsidP="003871D7">
      <w:pPr>
        <w:spacing w:line="256" w:lineRule="auto"/>
        <w:contextualSpacing/>
        <w:rPr>
          <w:rFonts w:ascii="Calibri" w:hAnsi="Calibri" w:cs="Calibri"/>
          <w:sz w:val="28"/>
          <w:szCs w:val="28"/>
        </w:rPr>
      </w:pPr>
    </w:p>
    <w:p w14:paraId="39019F90" w14:textId="3A8B7575" w:rsidR="00CC6700" w:rsidRDefault="00CC6700" w:rsidP="00FE5912">
      <w:pPr>
        <w:spacing w:line="256" w:lineRule="auto"/>
        <w:rPr>
          <w:rFonts w:ascii="Calibri" w:hAnsi="Calibri" w:cs="Calibri"/>
          <w:sz w:val="28"/>
          <w:szCs w:val="28"/>
        </w:rPr>
      </w:pPr>
    </w:p>
    <w:p w14:paraId="3C3C979C" w14:textId="77777777" w:rsidR="004F0483" w:rsidRDefault="004F0483" w:rsidP="00CC6700">
      <w:pPr>
        <w:spacing w:line="256" w:lineRule="auto"/>
        <w:rPr>
          <w:rFonts w:ascii="Calibri" w:hAnsi="Calibri" w:cs="Calibri"/>
          <w:sz w:val="28"/>
          <w:szCs w:val="28"/>
        </w:rPr>
      </w:pPr>
    </w:p>
    <w:p w14:paraId="7A10DF4C" w14:textId="1B6CE93D" w:rsidR="00CC6700" w:rsidRDefault="00CC6700" w:rsidP="00CC6700">
      <w:pPr>
        <w:spacing w:line="256" w:lineRule="auto"/>
        <w:rPr>
          <w:rFonts w:ascii="Calibri" w:hAnsi="Calibri" w:cs="Calibri"/>
          <w:sz w:val="28"/>
          <w:szCs w:val="28"/>
        </w:rPr>
      </w:pPr>
      <w:r>
        <w:rPr>
          <w:rFonts w:ascii="Calibri" w:eastAsia="Calibri" w:hAnsi="Calibri" w:cs="Calibri"/>
          <w:b/>
          <w:bCs/>
          <w:sz w:val="28"/>
          <w:szCs w:val="28"/>
        </w:rPr>
        <w:lastRenderedPageBreak/>
        <w:t>1000 words - Information and Intelligence/Communication Skills</w:t>
      </w:r>
    </w:p>
    <w:p w14:paraId="39828BB3" w14:textId="7B911C53" w:rsidR="00CC6700" w:rsidRDefault="00CC6700" w:rsidP="00CC6700">
      <w:pPr>
        <w:spacing w:line="256" w:lineRule="auto"/>
        <w:rPr>
          <w:rFonts w:ascii="Calibri" w:eastAsia="Calibri" w:hAnsi="Calibri" w:cs="Calibri"/>
          <w:sz w:val="28"/>
          <w:szCs w:val="28"/>
        </w:rPr>
      </w:pPr>
      <w:r>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08F8A87F" w14:textId="4664CBDB" w:rsidR="004F0483" w:rsidRDefault="004F0483" w:rsidP="00CC6700">
      <w:pPr>
        <w:spacing w:line="256" w:lineRule="auto"/>
        <w:rPr>
          <w:rFonts w:ascii="Calibri" w:eastAsia="Calibri" w:hAnsi="Calibri" w:cs="Calibri"/>
          <w:sz w:val="28"/>
          <w:szCs w:val="28"/>
        </w:rPr>
      </w:pPr>
    </w:p>
    <w:p w14:paraId="0A182384" w14:textId="32EE3BA1"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In this essay I intend to discuss the methods that are used by police officers to gather information and intelligence, and I will then go on to critically evaluate them.  I will also explore how information can contribute to the tasking and coordinating process.  Finally, I will evaluate how information and intelligence is communicated both inside and outside the force.</w:t>
      </w:r>
    </w:p>
    <w:p w14:paraId="78726EB8" w14:textId="77777777" w:rsidR="004F0483" w:rsidRPr="004F0483" w:rsidRDefault="004F0483" w:rsidP="004F0483">
      <w:pPr>
        <w:rPr>
          <w:rFonts w:asciiTheme="minorHAnsi" w:hAnsiTheme="minorHAnsi" w:cstheme="minorHAnsi"/>
          <w:sz w:val="24"/>
          <w:szCs w:val="24"/>
        </w:rPr>
      </w:pPr>
    </w:p>
    <w:p w14:paraId="5B1743A9" w14:textId="590E83E0"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The police service receives information and intelligence in multiple ways.  It can be as simply as a person calling through to the control room to report an incident, through to the more complex methods such as interception of communications all the way through to intrusive surveillance methods.  All information which is received is recorded, graded and evaluated, in order for intelligence to be extracted.  Any investigative technique used to gather information and intelligence are permitted under the Regulation of Investigative Powers Act 2000 (RIPA), which provides a structure to ensure that all of the techniques used are ‘compatible with the Article 8 right to respect for private and family life, enshrined in the European Convention on Human Rights (ECHR)’ (</w:t>
      </w:r>
      <w:hyperlink r:id="rId14" w:history="1">
        <w:r w:rsidRPr="004F0483">
          <w:rPr>
            <w:rStyle w:val="Hyperlink"/>
            <w:rFonts w:asciiTheme="minorHAnsi" w:hAnsiTheme="minorHAnsi" w:cstheme="minorHAnsi"/>
            <w:sz w:val="24"/>
            <w:szCs w:val="24"/>
          </w:rPr>
          <w:t>gov.uk</w:t>
        </w:r>
      </w:hyperlink>
      <w:r w:rsidRPr="004F0483">
        <w:rPr>
          <w:rFonts w:asciiTheme="minorHAnsi" w:hAnsiTheme="minorHAnsi" w:cstheme="minorHAnsi"/>
          <w:sz w:val="24"/>
          <w:szCs w:val="24"/>
        </w:rPr>
        <w:t>, 2020).</w:t>
      </w:r>
    </w:p>
    <w:p w14:paraId="1CE60C1B" w14:textId="77777777" w:rsidR="004F0483" w:rsidRPr="004F0483" w:rsidRDefault="004F0483" w:rsidP="004F0483">
      <w:pPr>
        <w:rPr>
          <w:rFonts w:asciiTheme="minorHAnsi" w:hAnsiTheme="minorHAnsi" w:cstheme="minorHAnsi"/>
          <w:sz w:val="24"/>
          <w:szCs w:val="24"/>
        </w:rPr>
      </w:pPr>
    </w:p>
    <w:p w14:paraId="268B99E4" w14:textId="406B3895"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Some of the principle methods for gathering intelligence are the use of Covert Human Intelligence Sources, otherwise known as ‘CHIS’.  A CHIS is defined as ‘a person who establishes or maintains a personal or other relationship with another person for the covert purpose of facilitating anything that…obtains or provides access to information to another person, or…discloses information as a consequence of the existence of such a relationship’ (</w:t>
      </w:r>
      <w:hyperlink r:id="rId15" w:history="1">
        <w:r w:rsidRPr="004F0483">
          <w:rPr>
            <w:rStyle w:val="Hyperlink"/>
            <w:rFonts w:asciiTheme="minorHAnsi" w:hAnsiTheme="minorHAnsi" w:cstheme="minorHAnsi"/>
            <w:sz w:val="24"/>
            <w:szCs w:val="24"/>
          </w:rPr>
          <w:t>moray.gov.uk</w:t>
        </w:r>
      </w:hyperlink>
      <w:r w:rsidRPr="004F0483">
        <w:rPr>
          <w:rFonts w:asciiTheme="minorHAnsi" w:hAnsiTheme="minorHAnsi" w:cstheme="minorHAnsi"/>
          <w:sz w:val="24"/>
          <w:szCs w:val="24"/>
        </w:rPr>
        <w:t>, no date).  Undercover officers may undertake direct, or covert surveillance, whereby an individual would be monitored, observed or listened to.  They may also initiate more intrusive surveillance techniques, such as placing a listening device in a car for example.  The interception of communications such as emails or telephone calls are also permitted under RIPA, as is equipment interfering and the gathering of communications data.  Communications data can be described as ‘the who, when, where, how of a communication but not it’s content’ (</w:t>
      </w:r>
      <w:hyperlink r:id="rId16" w:history="1">
        <w:r w:rsidRPr="004F0483">
          <w:rPr>
            <w:rStyle w:val="Hyperlink"/>
            <w:rFonts w:asciiTheme="minorHAnsi" w:hAnsiTheme="minorHAnsi" w:cstheme="minorHAnsi"/>
            <w:sz w:val="24"/>
            <w:szCs w:val="24"/>
          </w:rPr>
          <w:t>gov.uk</w:t>
        </w:r>
      </w:hyperlink>
      <w:r w:rsidRPr="004F0483">
        <w:rPr>
          <w:rFonts w:asciiTheme="minorHAnsi" w:hAnsiTheme="minorHAnsi" w:cstheme="minorHAnsi"/>
          <w:sz w:val="24"/>
          <w:szCs w:val="24"/>
        </w:rPr>
        <w:t>, 2015).</w:t>
      </w:r>
    </w:p>
    <w:p w14:paraId="6C667E9F" w14:textId="77777777" w:rsidR="004F0483" w:rsidRPr="004F0483" w:rsidRDefault="004F0483" w:rsidP="004F0483">
      <w:pPr>
        <w:rPr>
          <w:rFonts w:asciiTheme="minorHAnsi" w:hAnsiTheme="minorHAnsi" w:cstheme="minorHAnsi"/>
          <w:sz w:val="24"/>
          <w:szCs w:val="24"/>
        </w:rPr>
      </w:pPr>
    </w:p>
    <w:p w14:paraId="549B7E18" w14:textId="112AA8BD"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Whilst these methods support police objectives, and there are many advantages in them, they unfortunately come with a certain element of risk.  For example, when working with CHIS operators, a police handler needs to be acutely aware of safety issues, for both themselves and the CHIS so as not to blow either of their covers and potentially place them in danger.  Police officers can be trained to penetrate a group of criminals, as such they may enter dangerous situations, and they may put themselves and their families at risk if their cover is blown.  There are also some examples of the misuse of undercover operatives in relation to their decision-making, namely in the case of Stephen Lawrence which led to an independent review entitled: ‘</w:t>
      </w:r>
      <w:r w:rsidRPr="004F0483">
        <w:rPr>
          <w:rFonts w:asciiTheme="minorHAnsi" w:hAnsiTheme="minorHAnsi" w:cstheme="minorHAnsi"/>
          <w:i/>
          <w:sz w:val="24"/>
          <w:szCs w:val="24"/>
        </w:rPr>
        <w:t>Possible corruption and the role of undercover policing in the Stephen Lawrence case’</w:t>
      </w:r>
      <w:r w:rsidRPr="004F0483">
        <w:rPr>
          <w:rFonts w:asciiTheme="minorHAnsi" w:hAnsiTheme="minorHAnsi" w:cstheme="minorHAnsi"/>
          <w:sz w:val="24"/>
          <w:szCs w:val="24"/>
        </w:rPr>
        <w:t xml:space="preserve"> (Bryant &amp; Bryant, 2006).</w:t>
      </w:r>
    </w:p>
    <w:p w14:paraId="2C98187A" w14:textId="77777777" w:rsidR="005058BC" w:rsidRPr="004F0483" w:rsidRDefault="005058BC" w:rsidP="004F0483">
      <w:pPr>
        <w:rPr>
          <w:rFonts w:asciiTheme="minorHAnsi" w:hAnsiTheme="minorHAnsi" w:cstheme="minorHAnsi"/>
          <w:sz w:val="24"/>
          <w:szCs w:val="24"/>
        </w:rPr>
      </w:pPr>
    </w:p>
    <w:p w14:paraId="6C413662" w14:textId="33149971"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lastRenderedPageBreak/>
        <w:t xml:space="preserve">As well as information and intelligence being used to infiltrate organised crime groups or to disrupt criminal activity, it can also be used to determine key priorities for policing.  In 2000 the National Intelligence Model (NIM) was developed.  The model has many uses, it is not only used for crime and criminals, but in addition it can also </w:t>
      </w:r>
      <w:proofErr w:type="spellStart"/>
      <w:r w:rsidRPr="004F0483">
        <w:rPr>
          <w:rFonts w:asciiTheme="minorHAnsi" w:hAnsiTheme="minorHAnsi" w:cstheme="minorHAnsi"/>
          <w:sz w:val="24"/>
          <w:szCs w:val="24"/>
        </w:rPr>
        <w:t>used</w:t>
      </w:r>
      <w:proofErr w:type="spellEnd"/>
      <w:r w:rsidRPr="004F0483">
        <w:rPr>
          <w:rFonts w:asciiTheme="minorHAnsi" w:hAnsiTheme="minorHAnsi" w:cstheme="minorHAnsi"/>
          <w:sz w:val="24"/>
          <w:szCs w:val="24"/>
        </w:rPr>
        <w:t xml:space="preserve"> for all law enforcement needs from organised crime through to road safety.  This model can be used in relation to ‘new or emerging problems within a force or operational command unit; to provide the strategic and operational focus to force, organisation or local command business unit planning’ (</w:t>
      </w:r>
      <w:hyperlink r:id="rId17" w:history="1">
        <w:r w:rsidRPr="004F0483">
          <w:rPr>
            <w:rStyle w:val="Hyperlink"/>
            <w:rFonts w:asciiTheme="minorHAnsi" w:hAnsiTheme="minorHAnsi" w:cstheme="minorHAnsi"/>
            <w:sz w:val="24"/>
            <w:szCs w:val="24"/>
          </w:rPr>
          <w:t>intelligenceanalysis.net</w:t>
        </w:r>
      </w:hyperlink>
      <w:r w:rsidRPr="004F0483">
        <w:rPr>
          <w:rFonts w:asciiTheme="minorHAnsi" w:hAnsiTheme="minorHAnsi" w:cstheme="minorHAnsi"/>
          <w:sz w:val="24"/>
          <w:szCs w:val="24"/>
        </w:rPr>
        <w:t>, 2000).</w:t>
      </w:r>
    </w:p>
    <w:p w14:paraId="384F4B4F" w14:textId="77777777" w:rsidR="004F0483" w:rsidRPr="004F0483" w:rsidRDefault="004F0483" w:rsidP="004F0483">
      <w:pPr>
        <w:rPr>
          <w:rFonts w:asciiTheme="minorHAnsi" w:hAnsiTheme="minorHAnsi" w:cstheme="minorHAnsi"/>
          <w:sz w:val="24"/>
          <w:szCs w:val="24"/>
        </w:rPr>
      </w:pPr>
    </w:p>
    <w:p w14:paraId="1CD03B60" w14:textId="5508E592" w:rsid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Once information and intelligence has been gathered, it is then managed, processed and analysed so that it can be used productively and legally by the police and other agencies.  Intelligence is graded by officers using the 3x5x2 aspect of the NIM, and it is graded in terms of the source evaluation, the intelligence evaluation and the dissemination.  The grading of intelligence in this way allows for the ‘quick and easy expression of this risk assessment of a source of intelligence, as well as allowing for sanitisation to take place to protect that source’ (intelligencewithsteve.com, 2020).  This is then filtered through to managers through the tasking and coordination process which provides them with a mechanism for operational decision making at strategic and tactical levels.  This in turn leads to Strategic Tasking and Coordinating (ST&amp;C) which is part of police governance and planning. The ST&amp;C process ‘enables senior managers, through a strategic tasking and coordination group (ST&amp;CG), to consider and agree strategic direction and align resources to priorities’ (</w:t>
      </w:r>
      <w:hyperlink r:id="rId18" w:history="1">
        <w:r w:rsidRPr="004F0483">
          <w:rPr>
            <w:rStyle w:val="Hyperlink"/>
            <w:rFonts w:asciiTheme="minorHAnsi" w:hAnsiTheme="minorHAnsi" w:cstheme="minorHAnsi"/>
            <w:sz w:val="24"/>
            <w:szCs w:val="24"/>
          </w:rPr>
          <w:t>app.college.police.uk</w:t>
        </w:r>
      </w:hyperlink>
      <w:r w:rsidRPr="004F0483">
        <w:rPr>
          <w:rFonts w:asciiTheme="minorHAnsi" w:hAnsiTheme="minorHAnsi" w:cstheme="minorHAnsi"/>
          <w:sz w:val="24"/>
          <w:szCs w:val="24"/>
        </w:rPr>
        <w:t xml:space="preserve">, 2015).  Strategic issues on a force level are discussed with operational police officers and support services making up this group, along with partner and community agencies.  This is then filtered down to the Tactical Tasking and Coordination Groups (TC&amp;CG) which take place every two weeks at BCU level.  This group will consider local crime trends and any specific patterns of crime, and they might then identify what particular information needs to be collected in order to develop the intelligence.  This group holds senior supervisory officers and support services from the local area, and they also work to apply the planned response to the control strategy, review any progress so far, and make changes or amendments to plans as they see necessary.  Both of these groups are intelligence led which is why the process of gathering information, assessing and analysing it is so important as it effects the way in which the intelligence is taken forward and acted upon.  At BCU level supervisors attend a Daily Management Meeting (DMM), which serves to monitor and direct any daily activities for police work in that area.  Police officers, such as myself, therefore undertake most of their non-reactive work at the direction of the T&amp;CG.  Intelligence can also be shared outside the force and with the public in general if it would be of benefit to the local community, for example in tackling anti-social behaviour or theft from vehicles. </w:t>
      </w:r>
    </w:p>
    <w:p w14:paraId="515C0401" w14:textId="77777777" w:rsidR="004F0483" w:rsidRPr="004F0483" w:rsidRDefault="004F0483" w:rsidP="004F0483">
      <w:pPr>
        <w:rPr>
          <w:rFonts w:asciiTheme="minorHAnsi" w:hAnsiTheme="minorHAnsi" w:cstheme="minorHAnsi"/>
          <w:sz w:val="24"/>
          <w:szCs w:val="24"/>
        </w:rPr>
      </w:pPr>
    </w:p>
    <w:p w14:paraId="7B828965" w14:textId="77777777" w:rsidR="004F0483" w:rsidRP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In this essay I have outlined the methods used by police to gather information and then process and analyse it in a way that it can be used as intelligence.  This can then be incorporated into an intelligence-led system of policing which can attempt to ‘identify potential victims, and potential repeat offenders, then works in partnership with the community to provide offenders with the opportunity to change their behaviour’ (</w:t>
      </w:r>
      <w:hyperlink r:id="rId19" w:history="1">
        <w:r w:rsidRPr="004F0483">
          <w:rPr>
            <w:rStyle w:val="Hyperlink"/>
            <w:rFonts w:asciiTheme="minorHAnsi" w:hAnsiTheme="minorHAnsi" w:cstheme="minorHAnsi"/>
            <w:sz w:val="24"/>
            <w:szCs w:val="24"/>
          </w:rPr>
          <w:t>policechiefmagazine.org</w:t>
        </w:r>
      </w:hyperlink>
      <w:r w:rsidRPr="004F0483">
        <w:rPr>
          <w:rFonts w:asciiTheme="minorHAnsi" w:hAnsiTheme="minorHAnsi" w:cstheme="minorHAnsi"/>
          <w:sz w:val="24"/>
          <w:szCs w:val="24"/>
        </w:rPr>
        <w:t xml:space="preserve">, 2021).  This is all done through the communication of the intelligence through the regular tactical tasking and coordination group meetings. </w:t>
      </w:r>
    </w:p>
    <w:p w14:paraId="0B2F1150" w14:textId="52127EC4" w:rsidR="004F0483" w:rsidRPr="004F0483" w:rsidRDefault="004F0483" w:rsidP="004F0483">
      <w:pPr>
        <w:rPr>
          <w:rFonts w:asciiTheme="minorHAnsi" w:hAnsiTheme="minorHAnsi" w:cstheme="minorHAnsi"/>
          <w:sz w:val="24"/>
          <w:szCs w:val="24"/>
        </w:rPr>
      </w:pPr>
      <w:r w:rsidRPr="004F0483">
        <w:rPr>
          <w:rFonts w:asciiTheme="minorHAnsi" w:hAnsiTheme="minorHAnsi" w:cstheme="minorHAnsi"/>
          <w:sz w:val="24"/>
          <w:szCs w:val="24"/>
        </w:rPr>
        <w:t>1072 words</w:t>
      </w:r>
    </w:p>
    <w:p w14:paraId="4AF4F357" w14:textId="77777777" w:rsidR="00F50BF8" w:rsidRDefault="00F50BF8" w:rsidP="00CC6700">
      <w:pPr>
        <w:spacing w:line="256" w:lineRule="auto"/>
        <w:rPr>
          <w:rFonts w:ascii="Calibri" w:hAnsi="Calibri" w:cs="Calibri"/>
          <w:sz w:val="28"/>
          <w:szCs w:val="28"/>
        </w:rPr>
      </w:pPr>
    </w:p>
    <w:p w14:paraId="112D13B2" w14:textId="5342F66F" w:rsidR="00CC6700" w:rsidRDefault="00CC6700" w:rsidP="00CC6700">
      <w:pPr>
        <w:spacing w:line="256" w:lineRule="auto"/>
        <w:rPr>
          <w:rFonts w:ascii="Calibri" w:hAnsi="Calibri" w:cs="Calibri"/>
          <w:sz w:val="28"/>
          <w:szCs w:val="28"/>
        </w:rPr>
      </w:pPr>
      <w:r>
        <w:rPr>
          <w:rFonts w:ascii="Calibri" w:eastAsia="Calibri" w:hAnsi="Calibri" w:cs="Calibri"/>
          <w:b/>
          <w:bCs/>
          <w:sz w:val="28"/>
          <w:szCs w:val="28"/>
        </w:rPr>
        <w:t>1000 words - Public Protection</w:t>
      </w:r>
    </w:p>
    <w:p w14:paraId="3AED0C6C" w14:textId="14E915CE" w:rsidR="00CC6700" w:rsidRDefault="00CC6700" w:rsidP="00CC6700">
      <w:pPr>
        <w:spacing w:line="256" w:lineRule="auto"/>
        <w:rPr>
          <w:rFonts w:ascii="Calibri" w:eastAsia="Calibri" w:hAnsi="Calibri" w:cs="Calibri"/>
          <w:sz w:val="28"/>
          <w:szCs w:val="28"/>
        </w:rPr>
      </w:pPr>
      <w:r>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FD14862" w14:textId="5AD2A587" w:rsidR="002D535B" w:rsidRDefault="002D535B" w:rsidP="00CC6700">
      <w:pPr>
        <w:spacing w:line="256" w:lineRule="auto"/>
        <w:rPr>
          <w:rFonts w:ascii="Calibri" w:eastAsia="Calibri" w:hAnsi="Calibri" w:cs="Calibri"/>
          <w:sz w:val="28"/>
          <w:szCs w:val="28"/>
        </w:rPr>
      </w:pPr>
    </w:p>
    <w:p w14:paraId="4CD586FB" w14:textId="07364842" w:rsid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In this essay, I intend to assess the impact of abuse on victims, and the strategies that we as police officers have to deal with the impact of our own personal attitudes and values upon the investigative process.  I will review the links between Serious and Organised Crime groups and public protection issues.  Finally, I will critically evaluate police strategies for dealing with public protection issues.</w:t>
      </w:r>
    </w:p>
    <w:p w14:paraId="487EAFDE" w14:textId="77777777" w:rsidR="002D535B" w:rsidRPr="002D535B" w:rsidRDefault="002D535B" w:rsidP="002D535B">
      <w:pPr>
        <w:rPr>
          <w:rFonts w:asciiTheme="minorHAnsi" w:hAnsiTheme="minorHAnsi" w:cstheme="minorHAnsi"/>
          <w:sz w:val="24"/>
          <w:szCs w:val="24"/>
        </w:rPr>
      </w:pPr>
    </w:p>
    <w:p w14:paraId="36A82A91" w14:textId="3F2DB1B6" w:rsid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Under the policing Codes of Practice for Victims of Crime, a ‘victim’ is described as someone who ‘has been harmed, physically, mentally, emotionally or finically by a crime…’ (</w:t>
      </w:r>
      <w:hyperlink r:id="rId20" w:history="1">
        <w:r w:rsidRPr="002D535B">
          <w:rPr>
            <w:rStyle w:val="Hyperlink"/>
            <w:rFonts w:asciiTheme="minorHAnsi" w:hAnsiTheme="minorHAnsi" w:cstheme="minorHAnsi"/>
            <w:sz w:val="24"/>
            <w:szCs w:val="24"/>
          </w:rPr>
          <w:t>south-wales.police.uk</w:t>
        </w:r>
      </w:hyperlink>
      <w:r w:rsidRPr="002D535B">
        <w:rPr>
          <w:rFonts w:asciiTheme="minorHAnsi" w:hAnsiTheme="minorHAnsi" w:cstheme="minorHAnsi"/>
          <w:sz w:val="24"/>
          <w:szCs w:val="24"/>
        </w:rPr>
        <w:t>, 2021). The impact of this on them will be discussed below, however the purpose of Public Protection Units within the police force, are to safeguard the most vulnerable people in the community from serious and complex crime, and from repeat offenders.</w:t>
      </w:r>
    </w:p>
    <w:p w14:paraId="570779B1" w14:textId="77777777" w:rsidR="002D535B" w:rsidRPr="002D535B" w:rsidRDefault="002D535B" w:rsidP="002D535B">
      <w:pPr>
        <w:rPr>
          <w:rFonts w:asciiTheme="minorHAnsi" w:hAnsiTheme="minorHAnsi" w:cstheme="minorHAnsi"/>
          <w:sz w:val="24"/>
          <w:szCs w:val="24"/>
        </w:rPr>
      </w:pPr>
    </w:p>
    <w:p w14:paraId="6C75DF47"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The impact of abuse on a victim will vary from one person to another, and it will depend upon the perceived seriousness of the abuse from the viewpoint of the victim.  The repercussions of abuse may affect all areas of a victim’s life, for example their physical and emotional states, relationships and employment prospects etc...   In addition, the intensity of the impact may change over time.  For example, in the short term, it may evoke feelings of shock, surprise, fear, anxiety, sleeplessness, guilt, mingled feelings of confusion and denial, the list unfortunately goes on…  Abuse can go on to leave a long-term impression on the victim including feelings of depression and withdrawal from others, aggression, sleep disorders and nightmares, Post Traumatic Stress Disorder (PTSD), suicidal ideation and self-harm, substance abuse, mistrust of others, difficulties with performance at school or work, and in some cases clinging to the abuser, thus forming a trauma bond.  A trauma bond is described as the ‘connection between an abusive person and the individual they abuse.  It typically occurs when the abused person begins to develop sympathy or affection for the abuser’ (</w:t>
      </w:r>
      <w:hyperlink r:id="rId21" w:history="1">
        <w:r w:rsidRPr="002D535B">
          <w:rPr>
            <w:rStyle w:val="Hyperlink"/>
            <w:rFonts w:asciiTheme="minorHAnsi" w:hAnsiTheme="minorHAnsi" w:cstheme="minorHAnsi"/>
            <w:sz w:val="24"/>
            <w:szCs w:val="24"/>
          </w:rPr>
          <w:t>medicalnewstoday.com</w:t>
        </w:r>
      </w:hyperlink>
      <w:r w:rsidRPr="002D535B">
        <w:rPr>
          <w:rFonts w:asciiTheme="minorHAnsi" w:hAnsiTheme="minorHAnsi" w:cstheme="minorHAnsi"/>
          <w:sz w:val="24"/>
          <w:szCs w:val="24"/>
        </w:rPr>
        <w:t xml:space="preserve">, 2020).  Stockholm Syndrome is a typical example of this.  </w:t>
      </w:r>
    </w:p>
    <w:p w14:paraId="0103A87F" w14:textId="54D46EB0" w:rsid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It is important that in our role as police officers we are mindful of our own biases, and our individual values and attitudes towards victims, and the effects that this may have on the victim themselves and the investigative process as a whole.  In 1986 Nils Christie coined the term ‘ideal victim’ and described the concept as ‘a person or a category of individuals who – when hit by crime – most readily are given the complete and legitimate status of being a victim’ (</w:t>
      </w:r>
      <w:hyperlink r:id="rId22" w:history="1">
        <w:r w:rsidRPr="002D535B">
          <w:rPr>
            <w:rStyle w:val="Hyperlink"/>
            <w:rFonts w:asciiTheme="minorHAnsi" w:hAnsiTheme="minorHAnsi" w:cstheme="minorHAnsi"/>
            <w:sz w:val="24"/>
            <w:szCs w:val="24"/>
          </w:rPr>
          <w:t>studymode.com</w:t>
        </w:r>
      </w:hyperlink>
      <w:r w:rsidRPr="002D535B">
        <w:rPr>
          <w:rFonts w:asciiTheme="minorHAnsi" w:hAnsiTheme="minorHAnsi" w:cstheme="minorHAnsi"/>
          <w:sz w:val="24"/>
          <w:szCs w:val="24"/>
        </w:rPr>
        <w:t>, 2013), this questions whether some people are more deserving of the label of ‘victim’ than others.  Research has questioned whether ‘those from a socially deprived background or ethnic minorities appear to be less deriving of the label victim even though the clearly satisfy…Christie’s theory’ (</w:t>
      </w:r>
      <w:hyperlink r:id="rId23" w:history="1">
        <w:r w:rsidRPr="002D535B">
          <w:rPr>
            <w:rStyle w:val="Hyperlink"/>
            <w:rFonts w:asciiTheme="minorHAnsi" w:hAnsiTheme="minorHAnsi" w:cstheme="minorHAnsi"/>
            <w:sz w:val="24"/>
            <w:szCs w:val="24"/>
          </w:rPr>
          <w:t>customwritings.co</w:t>
        </w:r>
      </w:hyperlink>
      <w:r w:rsidRPr="002D535B">
        <w:rPr>
          <w:rFonts w:asciiTheme="minorHAnsi" w:hAnsiTheme="minorHAnsi" w:cstheme="minorHAnsi"/>
          <w:sz w:val="24"/>
          <w:szCs w:val="24"/>
        </w:rPr>
        <w:t xml:space="preserve">, 2021).   Police officers need to treat every victim of crime with the same professional approach.  Officers should refer to the Victim’s Code for Policing, the new Code came into force in April 2021.  This Code sets </w:t>
      </w:r>
      <w:r w:rsidRPr="002D535B">
        <w:rPr>
          <w:rFonts w:asciiTheme="minorHAnsi" w:hAnsiTheme="minorHAnsi" w:cstheme="minorHAnsi"/>
          <w:sz w:val="24"/>
          <w:szCs w:val="24"/>
        </w:rPr>
        <w:lastRenderedPageBreak/>
        <w:t>out standards of behaviours for how police officers and staff should treat the victims of crime, namely that they should all be treated with ‘respect, dignity, sensitivity, compassion and courtesy…make informed choices…have their privacy respected…have services provided to assist them and their family to understand and engage with the criminal justice process…’ (</w:t>
      </w:r>
      <w:hyperlink r:id="rId24" w:history="1">
        <w:r w:rsidRPr="002D535B">
          <w:rPr>
            <w:rStyle w:val="Hyperlink"/>
            <w:rFonts w:asciiTheme="minorHAnsi" w:hAnsiTheme="minorHAnsi" w:cstheme="minorHAnsi"/>
            <w:sz w:val="24"/>
            <w:szCs w:val="24"/>
          </w:rPr>
          <w:t>college.police.uk</w:t>
        </w:r>
      </w:hyperlink>
      <w:r w:rsidRPr="002D535B">
        <w:rPr>
          <w:rFonts w:asciiTheme="minorHAnsi" w:hAnsiTheme="minorHAnsi" w:cstheme="minorHAnsi"/>
          <w:sz w:val="24"/>
          <w:szCs w:val="24"/>
        </w:rPr>
        <w:t>, 2021).</w:t>
      </w:r>
    </w:p>
    <w:p w14:paraId="74A74BA6" w14:textId="77777777" w:rsidR="002D535B" w:rsidRPr="002D535B" w:rsidRDefault="002D535B" w:rsidP="002D535B">
      <w:pPr>
        <w:rPr>
          <w:rFonts w:asciiTheme="minorHAnsi" w:hAnsiTheme="minorHAnsi" w:cstheme="minorHAnsi"/>
          <w:sz w:val="24"/>
          <w:szCs w:val="24"/>
        </w:rPr>
      </w:pPr>
    </w:p>
    <w:p w14:paraId="0463D3CD" w14:textId="510E06DB" w:rsid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It is reported that in the UK there are more than 4500 serious and organised crime groups in operation, and in the years 2015-16 a total of £2.9 billion pounds was the governments estimated total expenditure on tackling the problem (</w:t>
      </w:r>
      <w:hyperlink r:id="rId25" w:history="1">
        <w:r w:rsidRPr="002D535B">
          <w:rPr>
            <w:rStyle w:val="Hyperlink"/>
            <w:rFonts w:asciiTheme="minorHAnsi" w:hAnsiTheme="minorHAnsi" w:cstheme="minorHAnsi"/>
            <w:sz w:val="24"/>
            <w:szCs w:val="24"/>
          </w:rPr>
          <w:t>nao.org.uk</w:t>
        </w:r>
      </w:hyperlink>
      <w:r w:rsidRPr="002D535B">
        <w:rPr>
          <w:rFonts w:asciiTheme="minorHAnsi" w:hAnsiTheme="minorHAnsi" w:cstheme="minorHAnsi"/>
          <w:sz w:val="24"/>
          <w:szCs w:val="24"/>
        </w:rPr>
        <w:t>, 2019).   The Home Secretary, Sajid Javid, has stated that: ‘Serious and organised criminals operating in the UK sexually exploit children and ruthlessly target the most vulnerable, ruining lives and blighting communities.  Their activities cost us at least £37 billion each year’ (assets.publishing.service.gov.uk, 2018).  The most serious and organised crimes include, and are not limited to, modern slavery and human trafficking, immigration crime, child sexual exploitation and abuse, money laundering, fraud, cyber-crime, illegal firearms and illegal drugs.  In 2018 the Serious and Organised Crime Strategy was established to provide a strategic framework, and developed a ‘4P’ approach: Prevent, Prepare, Pursue and Protect, with the aim of protecting the public and the most vulnerable within it from becoming victims of these types of crime.  With a further view of protecting the public, sections 325 to 327B of the Criminal Justice Act of 2003 set up multi-agency public protection arrangements (MAPPA), comprising the police, probation and prison services, along with social services, children’s services, and local housing authorities among other agencies.  It is imperative that these agencies all work together in a cohesive manner in order to protect the public from these high-risk offenders.  These MAPPA  arrangements are ‘considered by many organisations as key to the successful management of violent and sexual offenders (Bryant &amp; Bryant, 2006) and are thus fundamental in protecting the public from harm.  MAPPA strategies assess an offender’s risk level on three tiers, and offenders can move up and down these levels as deemed appropriate:</w:t>
      </w:r>
    </w:p>
    <w:p w14:paraId="2229DA99" w14:textId="77777777" w:rsidR="002D535B" w:rsidRPr="002D535B" w:rsidRDefault="002D535B" w:rsidP="002D535B">
      <w:pPr>
        <w:rPr>
          <w:rFonts w:asciiTheme="minorHAnsi" w:hAnsiTheme="minorHAnsi" w:cstheme="minorHAnsi"/>
          <w:sz w:val="24"/>
          <w:szCs w:val="24"/>
        </w:rPr>
      </w:pPr>
    </w:p>
    <w:p w14:paraId="04C113C7"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 xml:space="preserve">Level 1 </w:t>
      </w:r>
      <w:r w:rsidRPr="002D535B">
        <w:rPr>
          <w:rFonts w:asciiTheme="minorHAnsi" w:hAnsiTheme="minorHAnsi" w:cstheme="minorHAnsi"/>
          <w:sz w:val="24"/>
          <w:szCs w:val="24"/>
        </w:rPr>
        <w:t>– being ordinary management, whereby offenders are managed by whichever agency is supervising them;</w:t>
      </w:r>
    </w:p>
    <w:p w14:paraId="7E207005"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Level 2</w:t>
      </w:r>
      <w:r w:rsidRPr="002D535B">
        <w:rPr>
          <w:rFonts w:asciiTheme="minorHAnsi" w:hAnsiTheme="minorHAnsi" w:cstheme="minorHAnsi"/>
          <w:sz w:val="24"/>
          <w:szCs w:val="24"/>
        </w:rPr>
        <w:t xml:space="preserve"> – is Active Multi-Agency Management: due to the level of risk, these offenders need more active involvement from several agencies through regular MAPPA meetings:</w:t>
      </w:r>
    </w:p>
    <w:p w14:paraId="3D766F9F" w14:textId="3AB3EDA8" w:rsid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Level 3</w:t>
      </w:r>
      <w:r w:rsidRPr="002D535B">
        <w:rPr>
          <w:rFonts w:asciiTheme="minorHAnsi" w:hAnsiTheme="minorHAnsi" w:cstheme="minorHAnsi"/>
          <w:sz w:val="24"/>
          <w:szCs w:val="24"/>
        </w:rPr>
        <w:t xml:space="preserve"> – this is the same as Level 2 however, it involves senior officers authorising the use of specialist equipment or services e.g. police surveillance or specialised accommodation.</w:t>
      </w:r>
    </w:p>
    <w:p w14:paraId="23B12A36" w14:textId="77777777" w:rsidR="002D535B" w:rsidRPr="002D535B" w:rsidRDefault="002D535B" w:rsidP="002D535B">
      <w:pPr>
        <w:rPr>
          <w:rFonts w:asciiTheme="minorHAnsi" w:hAnsiTheme="minorHAnsi" w:cstheme="minorHAnsi"/>
          <w:sz w:val="24"/>
          <w:szCs w:val="24"/>
        </w:rPr>
      </w:pPr>
    </w:p>
    <w:p w14:paraId="03A4FC42" w14:textId="5EAD2DD6" w:rsid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Each MAPPA offender is then categorised as such:</w:t>
      </w:r>
    </w:p>
    <w:p w14:paraId="34C44AE0" w14:textId="77777777" w:rsidR="002D535B" w:rsidRPr="002D535B" w:rsidRDefault="002D535B" w:rsidP="002D535B">
      <w:pPr>
        <w:rPr>
          <w:rFonts w:asciiTheme="minorHAnsi" w:hAnsiTheme="minorHAnsi" w:cstheme="minorHAnsi"/>
          <w:sz w:val="24"/>
          <w:szCs w:val="24"/>
        </w:rPr>
      </w:pPr>
    </w:p>
    <w:p w14:paraId="6B6E2D1E"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 xml:space="preserve">Category 1 - </w:t>
      </w:r>
      <w:r w:rsidRPr="002D535B">
        <w:rPr>
          <w:rFonts w:asciiTheme="minorHAnsi" w:hAnsiTheme="minorHAnsi" w:cstheme="minorHAnsi"/>
          <w:sz w:val="24"/>
          <w:szCs w:val="24"/>
        </w:rPr>
        <w:t>Registered sexual offender</w:t>
      </w:r>
    </w:p>
    <w:p w14:paraId="7CC5BA20"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 xml:space="preserve">Category 2 - </w:t>
      </w:r>
      <w:r w:rsidRPr="002D535B">
        <w:rPr>
          <w:rFonts w:asciiTheme="minorHAnsi" w:hAnsiTheme="minorHAnsi" w:cstheme="minorHAnsi"/>
          <w:sz w:val="24"/>
          <w:szCs w:val="24"/>
        </w:rPr>
        <w:t>Violent offenders sentenced to 12 months imprisonment or more;</w:t>
      </w:r>
    </w:p>
    <w:p w14:paraId="488262EC" w14:textId="69794EEF" w:rsidR="002D535B" w:rsidRDefault="002D535B" w:rsidP="002D535B">
      <w:pPr>
        <w:rPr>
          <w:rFonts w:asciiTheme="minorHAnsi" w:hAnsiTheme="minorHAnsi" w:cstheme="minorHAnsi"/>
          <w:sz w:val="24"/>
          <w:szCs w:val="24"/>
        </w:rPr>
      </w:pPr>
      <w:r w:rsidRPr="002D535B">
        <w:rPr>
          <w:rFonts w:asciiTheme="minorHAnsi" w:hAnsiTheme="minorHAnsi" w:cstheme="minorHAnsi"/>
          <w:b/>
          <w:sz w:val="24"/>
          <w:szCs w:val="24"/>
        </w:rPr>
        <w:t xml:space="preserve">Category 3 - </w:t>
      </w:r>
      <w:r w:rsidRPr="002D535B">
        <w:rPr>
          <w:rFonts w:asciiTheme="minorHAnsi" w:hAnsiTheme="minorHAnsi" w:cstheme="minorHAnsi"/>
          <w:sz w:val="24"/>
          <w:szCs w:val="24"/>
        </w:rPr>
        <w:t>Other dangerous offenders who pose a risk of harm to the public.</w:t>
      </w:r>
    </w:p>
    <w:p w14:paraId="6DD625AD" w14:textId="77777777" w:rsidR="002D535B" w:rsidRPr="002D535B" w:rsidRDefault="002D535B" w:rsidP="002D535B">
      <w:pPr>
        <w:rPr>
          <w:rFonts w:asciiTheme="minorHAnsi" w:hAnsiTheme="minorHAnsi" w:cstheme="minorHAnsi"/>
          <w:sz w:val="24"/>
          <w:szCs w:val="24"/>
        </w:rPr>
      </w:pPr>
    </w:p>
    <w:p w14:paraId="4D19D6F8"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It is the responsibility of the police to manage the notification requirements of sexual offenders in Category 1, and they must therefore ‘ensure that all breaches of notification requirements are promptly followed up and appropriate action taken’ (</w:t>
      </w:r>
      <w:hyperlink r:id="rId26" w:history="1">
        <w:r w:rsidRPr="002D535B">
          <w:rPr>
            <w:rStyle w:val="Hyperlink"/>
            <w:rFonts w:asciiTheme="minorHAnsi" w:hAnsiTheme="minorHAnsi" w:cstheme="minorHAnsi"/>
            <w:sz w:val="24"/>
            <w:szCs w:val="24"/>
          </w:rPr>
          <w:t>app.college.police.uk</w:t>
        </w:r>
      </w:hyperlink>
      <w:r w:rsidRPr="002D535B">
        <w:rPr>
          <w:rFonts w:asciiTheme="minorHAnsi" w:hAnsiTheme="minorHAnsi" w:cstheme="minorHAnsi"/>
          <w:sz w:val="24"/>
          <w:szCs w:val="24"/>
        </w:rPr>
        <w:t xml:space="preserve">, 2021).  Whilst data suggests that MAPPA is effective in managing offenders at risk of re-offending behaviours, reviews which have been conducted have </w:t>
      </w:r>
      <w:r w:rsidRPr="002D535B">
        <w:rPr>
          <w:rFonts w:asciiTheme="minorHAnsi" w:hAnsiTheme="minorHAnsi" w:cstheme="minorHAnsi"/>
          <w:sz w:val="24"/>
          <w:szCs w:val="24"/>
        </w:rPr>
        <w:lastRenderedPageBreak/>
        <w:t>highlighted some failings and some recommendations have been made to ‘improve the flow of information and intelligence between the MAPPA agencies’ (Buckland &amp; Patel, 2020).</w:t>
      </w:r>
    </w:p>
    <w:p w14:paraId="7358BCC3"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In this essay, I have critically evaluated police strategies in dealing with public protection issues.  I have also considered the impact if abuse on victims, and the impact that personal attitudes and values may have on the investigative process, along with the association between Serious and Organised Crime groups and public protection issues.</w:t>
      </w:r>
    </w:p>
    <w:p w14:paraId="2E4E686C" w14:textId="77777777" w:rsidR="002D535B" w:rsidRPr="002D535B" w:rsidRDefault="002D535B" w:rsidP="002D535B">
      <w:pPr>
        <w:rPr>
          <w:rFonts w:asciiTheme="minorHAnsi" w:hAnsiTheme="minorHAnsi" w:cstheme="minorHAnsi"/>
          <w:sz w:val="24"/>
          <w:szCs w:val="24"/>
        </w:rPr>
      </w:pPr>
    </w:p>
    <w:p w14:paraId="1108BA26" w14:textId="77777777" w:rsidR="002D535B" w:rsidRPr="002D535B" w:rsidRDefault="002D535B" w:rsidP="002D535B">
      <w:pPr>
        <w:rPr>
          <w:rFonts w:asciiTheme="minorHAnsi" w:hAnsiTheme="minorHAnsi" w:cstheme="minorHAnsi"/>
          <w:sz w:val="24"/>
          <w:szCs w:val="24"/>
        </w:rPr>
      </w:pPr>
      <w:r w:rsidRPr="002D535B">
        <w:rPr>
          <w:rFonts w:asciiTheme="minorHAnsi" w:hAnsiTheme="minorHAnsi" w:cstheme="minorHAnsi"/>
          <w:sz w:val="24"/>
          <w:szCs w:val="24"/>
        </w:rPr>
        <w:t>1084 words</w:t>
      </w:r>
    </w:p>
    <w:p w14:paraId="5E250249" w14:textId="77777777" w:rsidR="002D535B" w:rsidRDefault="002D535B" w:rsidP="00CC6700">
      <w:pPr>
        <w:spacing w:line="256" w:lineRule="auto"/>
        <w:rPr>
          <w:rFonts w:ascii="Calibri" w:hAnsi="Calibri" w:cs="Calibri"/>
          <w:sz w:val="28"/>
          <w:szCs w:val="28"/>
        </w:rPr>
      </w:pPr>
    </w:p>
    <w:p w14:paraId="031C2A34" w14:textId="05CE2AB4" w:rsidR="00CC6700" w:rsidRDefault="00CC6700" w:rsidP="00FE5912">
      <w:pPr>
        <w:spacing w:line="256" w:lineRule="auto"/>
        <w:rPr>
          <w:rFonts w:ascii="Calibri" w:hAnsi="Calibri" w:cs="Calibri"/>
          <w:sz w:val="28"/>
          <w:szCs w:val="28"/>
        </w:rPr>
      </w:pPr>
    </w:p>
    <w:p w14:paraId="5148F323" w14:textId="76A464F2" w:rsidR="00CC6700" w:rsidRDefault="00CC6700" w:rsidP="00FE5912">
      <w:pPr>
        <w:spacing w:line="256" w:lineRule="auto"/>
        <w:rPr>
          <w:rFonts w:ascii="Calibri" w:hAnsi="Calibri" w:cs="Calibri"/>
          <w:sz w:val="28"/>
          <w:szCs w:val="28"/>
        </w:rPr>
      </w:pPr>
    </w:p>
    <w:p w14:paraId="1BC192F3" w14:textId="6C2F31A4" w:rsidR="00CC6700" w:rsidRDefault="00CC6700" w:rsidP="00FE5912">
      <w:pPr>
        <w:spacing w:line="256" w:lineRule="auto"/>
        <w:rPr>
          <w:rFonts w:ascii="Calibri" w:hAnsi="Calibri" w:cs="Calibri"/>
          <w:sz w:val="28"/>
          <w:szCs w:val="28"/>
        </w:rPr>
      </w:pPr>
    </w:p>
    <w:p w14:paraId="699057B6" w14:textId="6181DA20" w:rsidR="00CC6700" w:rsidRDefault="00CC6700" w:rsidP="00FE5912">
      <w:pPr>
        <w:spacing w:line="256" w:lineRule="auto"/>
        <w:rPr>
          <w:rFonts w:ascii="Calibri" w:hAnsi="Calibri" w:cs="Calibri"/>
          <w:sz w:val="28"/>
          <w:szCs w:val="28"/>
        </w:rPr>
      </w:pPr>
    </w:p>
    <w:p w14:paraId="4D99E4E0" w14:textId="23EE4AC1" w:rsidR="00CC6700" w:rsidRDefault="00CC6700" w:rsidP="00FE5912">
      <w:pPr>
        <w:spacing w:line="256" w:lineRule="auto"/>
        <w:rPr>
          <w:rFonts w:ascii="Calibri" w:hAnsi="Calibri" w:cs="Calibri"/>
          <w:sz w:val="28"/>
          <w:szCs w:val="28"/>
        </w:rPr>
      </w:pPr>
    </w:p>
    <w:p w14:paraId="07B69EBD" w14:textId="03F47D39" w:rsidR="00CC6700" w:rsidRDefault="00CC6700" w:rsidP="00FE5912">
      <w:pPr>
        <w:spacing w:line="256" w:lineRule="auto"/>
        <w:rPr>
          <w:rFonts w:ascii="Calibri" w:hAnsi="Calibri" w:cs="Calibri"/>
          <w:sz w:val="28"/>
          <w:szCs w:val="28"/>
        </w:rPr>
      </w:pPr>
    </w:p>
    <w:p w14:paraId="5574AEE6" w14:textId="78669A6C" w:rsidR="00CC6700" w:rsidRDefault="00CC6700" w:rsidP="00FE5912">
      <w:pPr>
        <w:spacing w:line="256" w:lineRule="auto"/>
        <w:rPr>
          <w:rFonts w:ascii="Calibri" w:hAnsi="Calibri" w:cs="Calibri"/>
          <w:sz w:val="28"/>
          <w:szCs w:val="28"/>
        </w:rPr>
      </w:pPr>
    </w:p>
    <w:p w14:paraId="133F1E84" w14:textId="77827C66" w:rsidR="00CC6700" w:rsidRDefault="00CC6700" w:rsidP="00FE5912">
      <w:pPr>
        <w:spacing w:line="256" w:lineRule="auto"/>
        <w:rPr>
          <w:rFonts w:ascii="Calibri" w:hAnsi="Calibri" w:cs="Calibri"/>
          <w:sz w:val="28"/>
          <w:szCs w:val="28"/>
        </w:rPr>
      </w:pPr>
    </w:p>
    <w:p w14:paraId="63EB5C13" w14:textId="57382B07" w:rsidR="00CC6700" w:rsidRDefault="00CC6700" w:rsidP="00FE5912">
      <w:pPr>
        <w:spacing w:line="256" w:lineRule="auto"/>
        <w:rPr>
          <w:rFonts w:ascii="Calibri" w:hAnsi="Calibri" w:cs="Calibri"/>
          <w:sz w:val="28"/>
          <w:szCs w:val="28"/>
        </w:rPr>
      </w:pPr>
    </w:p>
    <w:p w14:paraId="20D79B7D" w14:textId="0A74CC20" w:rsidR="00CC6700" w:rsidRDefault="00CC6700" w:rsidP="00FE5912">
      <w:pPr>
        <w:spacing w:line="256" w:lineRule="auto"/>
        <w:rPr>
          <w:rFonts w:ascii="Calibri" w:hAnsi="Calibri" w:cs="Calibri"/>
          <w:sz w:val="28"/>
          <w:szCs w:val="28"/>
        </w:rPr>
      </w:pPr>
    </w:p>
    <w:p w14:paraId="3DC7A691" w14:textId="2F4DD255" w:rsidR="00CC6700" w:rsidRDefault="00CC6700" w:rsidP="00FE5912">
      <w:pPr>
        <w:spacing w:line="256" w:lineRule="auto"/>
        <w:rPr>
          <w:rFonts w:ascii="Calibri" w:hAnsi="Calibri" w:cs="Calibri"/>
          <w:sz w:val="28"/>
          <w:szCs w:val="28"/>
        </w:rPr>
      </w:pPr>
    </w:p>
    <w:p w14:paraId="578ACF8F" w14:textId="03498223" w:rsidR="00CC6700" w:rsidRDefault="00CC6700" w:rsidP="00FE5912">
      <w:pPr>
        <w:spacing w:line="256" w:lineRule="auto"/>
        <w:rPr>
          <w:rFonts w:ascii="Calibri" w:hAnsi="Calibri" w:cs="Calibri"/>
          <w:sz w:val="28"/>
          <w:szCs w:val="28"/>
        </w:rPr>
      </w:pPr>
    </w:p>
    <w:p w14:paraId="36121C62" w14:textId="6FD7A0C3" w:rsidR="00CC6700" w:rsidRDefault="00CC6700" w:rsidP="00FE5912">
      <w:pPr>
        <w:spacing w:line="256" w:lineRule="auto"/>
        <w:rPr>
          <w:rFonts w:ascii="Calibri" w:hAnsi="Calibri" w:cs="Calibri"/>
          <w:sz w:val="28"/>
          <w:szCs w:val="28"/>
        </w:rPr>
      </w:pPr>
    </w:p>
    <w:p w14:paraId="3E3F3C6C" w14:textId="1AFDBE26" w:rsidR="00CC6700" w:rsidRDefault="00CC6700" w:rsidP="00FE5912">
      <w:pPr>
        <w:spacing w:line="256" w:lineRule="auto"/>
        <w:rPr>
          <w:rFonts w:ascii="Calibri" w:hAnsi="Calibri" w:cs="Calibri"/>
          <w:sz w:val="28"/>
          <w:szCs w:val="28"/>
        </w:rPr>
      </w:pPr>
    </w:p>
    <w:p w14:paraId="13747327" w14:textId="75724D3F" w:rsidR="00CC6700" w:rsidRDefault="00CC6700" w:rsidP="00FE5912">
      <w:pPr>
        <w:spacing w:line="256" w:lineRule="auto"/>
        <w:rPr>
          <w:rFonts w:ascii="Calibri" w:hAnsi="Calibri" w:cs="Calibri"/>
          <w:sz w:val="28"/>
          <w:szCs w:val="28"/>
        </w:rPr>
      </w:pPr>
    </w:p>
    <w:p w14:paraId="3D0A5EED" w14:textId="51E87972" w:rsidR="00CC6700" w:rsidRDefault="00CC6700" w:rsidP="00FE5912">
      <w:pPr>
        <w:spacing w:line="256" w:lineRule="auto"/>
        <w:rPr>
          <w:rFonts w:ascii="Calibri" w:hAnsi="Calibri" w:cs="Calibri"/>
          <w:sz w:val="28"/>
          <w:szCs w:val="28"/>
        </w:rPr>
      </w:pPr>
    </w:p>
    <w:p w14:paraId="5E87F1F7" w14:textId="205A6B9F" w:rsidR="00CC6700" w:rsidRDefault="00CC6700" w:rsidP="00FE5912">
      <w:pPr>
        <w:spacing w:line="256" w:lineRule="auto"/>
        <w:rPr>
          <w:rFonts w:ascii="Calibri" w:hAnsi="Calibri" w:cs="Calibri"/>
          <w:sz w:val="28"/>
          <w:szCs w:val="28"/>
        </w:rPr>
      </w:pPr>
    </w:p>
    <w:p w14:paraId="47DF72E6" w14:textId="6247CDF9" w:rsidR="00CC6700" w:rsidRDefault="00CC6700" w:rsidP="00FE5912">
      <w:pPr>
        <w:spacing w:line="256" w:lineRule="auto"/>
        <w:rPr>
          <w:rFonts w:ascii="Calibri" w:hAnsi="Calibri" w:cs="Calibri"/>
          <w:sz w:val="28"/>
          <w:szCs w:val="28"/>
        </w:rPr>
      </w:pPr>
    </w:p>
    <w:p w14:paraId="77B5C34A" w14:textId="1311D510" w:rsidR="00CC6700" w:rsidRDefault="00CC6700" w:rsidP="00FE5912">
      <w:pPr>
        <w:spacing w:line="256" w:lineRule="auto"/>
        <w:rPr>
          <w:rFonts w:ascii="Calibri" w:hAnsi="Calibri" w:cs="Calibri"/>
          <w:sz w:val="28"/>
          <w:szCs w:val="28"/>
        </w:rPr>
      </w:pPr>
    </w:p>
    <w:p w14:paraId="2E277EEF" w14:textId="3C3D7289" w:rsidR="00CC6700" w:rsidRDefault="00CC6700" w:rsidP="00FE5912">
      <w:pPr>
        <w:spacing w:line="256" w:lineRule="auto"/>
        <w:rPr>
          <w:rFonts w:ascii="Calibri" w:hAnsi="Calibri" w:cs="Calibri"/>
          <w:sz w:val="28"/>
          <w:szCs w:val="28"/>
        </w:rPr>
      </w:pPr>
    </w:p>
    <w:p w14:paraId="1C5FD833" w14:textId="23F5DB9E" w:rsidR="00CC6700" w:rsidRDefault="00CC6700" w:rsidP="00FE5912">
      <w:pPr>
        <w:spacing w:line="256" w:lineRule="auto"/>
        <w:rPr>
          <w:rFonts w:ascii="Calibri" w:hAnsi="Calibri" w:cs="Calibri"/>
          <w:sz w:val="28"/>
          <w:szCs w:val="28"/>
        </w:rPr>
      </w:pPr>
    </w:p>
    <w:p w14:paraId="29F713FE" w14:textId="06C6B7B7" w:rsidR="00CC6700" w:rsidRDefault="00CC6700" w:rsidP="00FE5912">
      <w:pPr>
        <w:spacing w:line="256" w:lineRule="auto"/>
        <w:rPr>
          <w:rFonts w:ascii="Calibri" w:hAnsi="Calibri" w:cs="Calibri"/>
          <w:sz w:val="28"/>
          <w:szCs w:val="28"/>
        </w:rPr>
      </w:pPr>
    </w:p>
    <w:p w14:paraId="1082A30D" w14:textId="7EB5ECB4" w:rsidR="00CC6700" w:rsidRDefault="00CC6700" w:rsidP="00FE5912">
      <w:pPr>
        <w:spacing w:line="256" w:lineRule="auto"/>
        <w:rPr>
          <w:rFonts w:ascii="Calibri" w:hAnsi="Calibri" w:cs="Calibri"/>
          <w:sz w:val="28"/>
          <w:szCs w:val="28"/>
        </w:rPr>
      </w:pPr>
    </w:p>
    <w:p w14:paraId="2446C46E" w14:textId="49EA805C" w:rsidR="00CC6700" w:rsidRDefault="00CC6700" w:rsidP="00FE5912">
      <w:pPr>
        <w:spacing w:line="256" w:lineRule="auto"/>
        <w:rPr>
          <w:rFonts w:ascii="Calibri" w:hAnsi="Calibri" w:cs="Calibri"/>
          <w:sz w:val="28"/>
          <w:szCs w:val="28"/>
        </w:rPr>
      </w:pPr>
    </w:p>
    <w:p w14:paraId="444B1F71" w14:textId="1101F99C" w:rsidR="00CC6700" w:rsidRDefault="00CC6700" w:rsidP="00FE5912">
      <w:pPr>
        <w:spacing w:line="256" w:lineRule="auto"/>
        <w:rPr>
          <w:rFonts w:ascii="Calibri" w:hAnsi="Calibri" w:cs="Calibri"/>
          <w:sz w:val="28"/>
          <w:szCs w:val="28"/>
        </w:rPr>
      </w:pPr>
    </w:p>
    <w:p w14:paraId="13D19B0F" w14:textId="6B364991" w:rsidR="00CC6700" w:rsidRDefault="00CC6700" w:rsidP="00FE5912">
      <w:pPr>
        <w:spacing w:line="256" w:lineRule="auto"/>
        <w:rPr>
          <w:rFonts w:ascii="Calibri" w:hAnsi="Calibri" w:cs="Calibri"/>
          <w:sz w:val="28"/>
          <w:szCs w:val="28"/>
        </w:rPr>
      </w:pPr>
    </w:p>
    <w:p w14:paraId="1CB12595" w14:textId="52FB79CD" w:rsidR="00CC6700" w:rsidRDefault="00CC6700" w:rsidP="00FE5912">
      <w:pPr>
        <w:spacing w:line="256" w:lineRule="auto"/>
        <w:rPr>
          <w:rFonts w:ascii="Calibri" w:hAnsi="Calibri" w:cs="Calibri"/>
          <w:sz w:val="28"/>
          <w:szCs w:val="28"/>
        </w:rPr>
      </w:pPr>
    </w:p>
    <w:p w14:paraId="147CA1EA" w14:textId="0C5C4BD4" w:rsidR="00CC6700" w:rsidRDefault="00CC6700" w:rsidP="00FE5912">
      <w:pPr>
        <w:spacing w:line="256" w:lineRule="auto"/>
        <w:rPr>
          <w:rFonts w:ascii="Calibri" w:hAnsi="Calibri" w:cs="Calibri"/>
          <w:sz w:val="28"/>
          <w:szCs w:val="28"/>
        </w:rPr>
      </w:pPr>
    </w:p>
    <w:p w14:paraId="2E0EEA57" w14:textId="77777777" w:rsidR="002D535B" w:rsidRDefault="002D535B" w:rsidP="00CC6700">
      <w:pPr>
        <w:spacing w:line="256" w:lineRule="auto"/>
        <w:rPr>
          <w:rFonts w:ascii="Calibri" w:hAnsi="Calibri" w:cs="Calibri"/>
          <w:sz w:val="28"/>
          <w:szCs w:val="28"/>
        </w:rPr>
      </w:pPr>
    </w:p>
    <w:p w14:paraId="08A253F0" w14:textId="4B704B8B" w:rsidR="00CC6700" w:rsidRDefault="00CC6700" w:rsidP="00CC6700">
      <w:pPr>
        <w:spacing w:line="256" w:lineRule="auto"/>
        <w:rPr>
          <w:rFonts w:ascii="Calibri" w:hAnsi="Calibri" w:cs="Calibri"/>
          <w:sz w:val="28"/>
          <w:szCs w:val="28"/>
        </w:rPr>
      </w:pPr>
      <w:r>
        <w:rPr>
          <w:rFonts w:ascii="Calibri" w:eastAsia="Calibri" w:hAnsi="Calibri" w:cs="Calibri"/>
          <w:b/>
          <w:bCs/>
          <w:sz w:val="28"/>
          <w:szCs w:val="28"/>
        </w:rPr>
        <w:lastRenderedPageBreak/>
        <w:t>1000 words - Evidence based policing/criminology and crime prevention/criminal Justice</w:t>
      </w:r>
    </w:p>
    <w:p w14:paraId="567AD509" w14:textId="21786C1A" w:rsidR="00CC6700" w:rsidRDefault="00CC6700" w:rsidP="00CC6700">
      <w:pPr>
        <w:spacing w:line="256" w:lineRule="auto"/>
        <w:rPr>
          <w:rFonts w:ascii="Calibri" w:eastAsia="Calibri" w:hAnsi="Calibri" w:cs="Calibri"/>
          <w:sz w:val="22"/>
          <w:szCs w:val="22"/>
        </w:rPr>
      </w:pPr>
      <w:r>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Pr>
          <w:rFonts w:ascii="Calibri" w:eastAsia="Calibri" w:hAnsi="Calibri" w:cs="Calibri"/>
          <w:sz w:val="22"/>
          <w:szCs w:val="22"/>
        </w:rPr>
        <w:t xml:space="preserve">. </w:t>
      </w:r>
    </w:p>
    <w:p w14:paraId="23D7D96B" w14:textId="2ABCABA6" w:rsidR="00A22AE7" w:rsidRDefault="00A22AE7" w:rsidP="00CC6700">
      <w:pPr>
        <w:spacing w:line="256" w:lineRule="auto"/>
        <w:rPr>
          <w:rFonts w:ascii="Calibri" w:eastAsia="Calibri" w:hAnsi="Calibri" w:cs="Calibri"/>
          <w:sz w:val="22"/>
          <w:szCs w:val="22"/>
        </w:rPr>
      </w:pPr>
    </w:p>
    <w:p w14:paraId="2311C79D" w14:textId="5F8A6324" w:rsidR="00A22AE7" w:rsidRPr="00A22AE7" w:rsidRDefault="00A22AE7" w:rsidP="00CC6700">
      <w:pPr>
        <w:spacing w:line="256" w:lineRule="auto"/>
        <w:rPr>
          <w:rFonts w:asciiTheme="minorHAnsi" w:hAnsiTheme="minorHAnsi" w:cstheme="minorHAnsi"/>
          <w:sz w:val="24"/>
          <w:szCs w:val="24"/>
        </w:rPr>
      </w:pPr>
    </w:p>
    <w:p w14:paraId="323924BE" w14:textId="417B16FF" w:rsidR="00A22AE7" w:rsidRDefault="00A22AE7" w:rsidP="00A22AE7">
      <w:pPr>
        <w:rPr>
          <w:rFonts w:asciiTheme="minorHAnsi" w:hAnsiTheme="minorHAnsi" w:cstheme="minorHAnsi"/>
          <w:sz w:val="24"/>
          <w:szCs w:val="24"/>
        </w:rPr>
      </w:pPr>
      <w:r w:rsidRPr="00A22AE7">
        <w:rPr>
          <w:rFonts w:asciiTheme="minorHAnsi" w:hAnsiTheme="minorHAnsi" w:cstheme="minorHAnsi"/>
          <w:sz w:val="24"/>
          <w:szCs w:val="24"/>
        </w:rPr>
        <w:t>The College of Policing has described evidence-based policing (EBP) as an approach in which: ‘police officers, staff and volunteers create, review and use the best available evidence to inform and challenge policies, practices and decisions’ (whatworks.college.police.uk, 2021).  The concept of evidence-based policing was first developed in 1998 by criminologist Lawrence Sherman who formed his ideas from evidence-based medical models.  Sherman suggested that ‘police practice should be based on scientific evidence about what works best’ (Police Foundation, 1998), as it does in medical practices.  As a result of this the police service developed the ‘ATLAS’ model, which is designed to encourage police officers to:</w:t>
      </w:r>
    </w:p>
    <w:p w14:paraId="2A2E1658" w14:textId="77777777" w:rsidR="00A22AE7" w:rsidRPr="00A22AE7" w:rsidRDefault="00A22AE7" w:rsidP="00A22AE7">
      <w:pPr>
        <w:rPr>
          <w:rFonts w:asciiTheme="minorHAnsi" w:hAnsiTheme="minorHAnsi" w:cstheme="minorHAnsi"/>
          <w:sz w:val="24"/>
          <w:szCs w:val="24"/>
        </w:rPr>
      </w:pPr>
    </w:p>
    <w:p w14:paraId="554356E7" w14:textId="77777777" w:rsidR="00A22AE7" w:rsidRPr="00A22AE7" w:rsidRDefault="00A22AE7" w:rsidP="00A22AE7">
      <w:pPr>
        <w:rPr>
          <w:rFonts w:asciiTheme="minorHAnsi" w:hAnsiTheme="minorHAnsi" w:cstheme="minorHAnsi"/>
          <w:sz w:val="24"/>
          <w:szCs w:val="24"/>
        </w:rPr>
      </w:pPr>
      <w:r w:rsidRPr="00A22AE7">
        <w:rPr>
          <w:rFonts w:asciiTheme="minorHAnsi" w:hAnsiTheme="minorHAnsi" w:cstheme="minorHAnsi"/>
          <w:b/>
          <w:bCs/>
          <w:sz w:val="24"/>
          <w:szCs w:val="24"/>
        </w:rPr>
        <w:t xml:space="preserve">A </w:t>
      </w:r>
      <w:r w:rsidRPr="00A22AE7">
        <w:rPr>
          <w:rFonts w:asciiTheme="minorHAnsi" w:hAnsiTheme="minorHAnsi" w:cstheme="minorHAnsi"/>
          <w:sz w:val="24"/>
          <w:szCs w:val="24"/>
        </w:rPr>
        <w:t>– Ask questions that challenge accepted practices;</w:t>
      </w:r>
    </w:p>
    <w:p w14:paraId="1369B982" w14:textId="77777777" w:rsidR="00A22AE7" w:rsidRPr="00A22AE7" w:rsidRDefault="00A22AE7" w:rsidP="00A22AE7">
      <w:pPr>
        <w:rPr>
          <w:rFonts w:asciiTheme="minorHAnsi" w:hAnsiTheme="minorHAnsi" w:cstheme="minorHAnsi"/>
          <w:sz w:val="24"/>
          <w:szCs w:val="24"/>
        </w:rPr>
      </w:pPr>
      <w:r w:rsidRPr="00A22AE7">
        <w:rPr>
          <w:rFonts w:asciiTheme="minorHAnsi" w:hAnsiTheme="minorHAnsi" w:cstheme="minorHAnsi"/>
          <w:b/>
          <w:bCs/>
          <w:sz w:val="24"/>
          <w:szCs w:val="24"/>
        </w:rPr>
        <w:t>T</w:t>
      </w:r>
      <w:r w:rsidRPr="00A22AE7">
        <w:rPr>
          <w:rFonts w:asciiTheme="minorHAnsi" w:hAnsiTheme="minorHAnsi" w:cstheme="minorHAnsi"/>
          <w:sz w:val="24"/>
          <w:szCs w:val="24"/>
        </w:rPr>
        <w:t xml:space="preserve"> – Test, and critically evaluate research, adding new ideas;</w:t>
      </w:r>
    </w:p>
    <w:p w14:paraId="59FE5EAE" w14:textId="77777777" w:rsidR="00A22AE7" w:rsidRPr="00A22AE7" w:rsidRDefault="00A22AE7" w:rsidP="00A22AE7">
      <w:pPr>
        <w:rPr>
          <w:rFonts w:asciiTheme="minorHAnsi" w:hAnsiTheme="minorHAnsi" w:cstheme="minorHAnsi"/>
          <w:sz w:val="24"/>
          <w:szCs w:val="24"/>
        </w:rPr>
      </w:pPr>
      <w:r w:rsidRPr="00A22AE7">
        <w:rPr>
          <w:rFonts w:asciiTheme="minorHAnsi" w:hAnsiTheme="minorHAnsi" w:cstheme="minorHAnsi"/>
          <w:b/>
          <w:bCs/>
          <w:sz w:val="24"/>
          <w:szCs w:val="24"/>
        </w:rPr>
        <w:t>L</w:t>
      </w:r>
      <w:r w:rsidRPr="00A22AE7">
        <w:rPr>
          <w:rFonts w:asciiTheme="minorHAnsi" w:hAnsiTheme="minorHAnsi" w:cstheme="minorHAnsi"/>
          <w:sz w:val="24"/>
          <w:szCs w:val="24"/>
        </w:rPr>
        <w:t xml:space="preserve"> – Learn from existing approaches and new ideas whilst also considering how they work in workplace practices;</w:t>
      </w:r>
    </w:p>
    <w:p w14:paraId="0E832ABB" w14:textId="77777777" w:rsidR="00A22AE7" w:rsidRPr="00A22AE7" w:rsidRDefault="00A22AE7" w:rsidP="00A22AE7">
      <w:pPr>
        <w:rPr>
          <w:rFonts w:asciiTheme="minorHAnsi" w:hAnsiTheme="minorHAnsi" w:cstheme="minorHAnsi"/>
          <w:sz w:val="24"/>
          <w:szCs w:val="24"/>
        </w:rPr>
      </w:pPr>
      <w:r w:rsidRPr="00A22AE7">
        <w:rPr>
          <w:rFonts w:asciiTheme="minorHAnsi" w:hAnsiTheme="minorHAnsi" w:cstheme="minorHAnsi"/>
          <w:b/>
          <w:bCs/>
          <w:sz w:val="24"/>
          <w:szCs w:val="24"/>
        </w:rPr>
        <w:t xml:space="preserve">A </w:t>
      </w:r>
      <w:r w:rsidRPr="00A22AE7">
        <w:rPr>
          <w:rFonts w:asciiTheme="minorHAnsi" w:hAnsiTheme="minorHAnsi" w:cstheme="minorHAnsi"/>
          <w:sz w:val="24"/>
          <w:szCs w:val="24"/>
        </w:rPr>
        <w:t>– Adapt practices and policies using the best evidence available;</w:t>
      </w:r>
    </w:p>
    <w:p w14:paraId="590B0287" w14:textId="451C026A" w:rsidR="00A22AE7" w:rsidRDefault="00A22AE7" w:rsidP="00A22AE7">
      <w:pPr>
        <w:rPr>
          <w:rFonts w:asciiTheme="minorHAnsi" w:hAnsiTheme="minorHAnsi" w:cstheme="minorHAnsi"/>
          <w:sz w:val="24"/>
          <w:szCs w:val="24"/>
        </w:rPr>
      </w:pPr>
      <w:r w:rsidRPr="00A22AE7">
        <w:rPr>
          <w:rFonts w:asciiTheme="minorHAnsi" w:hAnsiTheme="minorHAnsi" w:cstheme="minorHAnsi"/>
          <w:b/>
          <w:bCs/>
          <w:sz w:val="24"/>
          <w:szCs w:val="24"/>
        </w:rPr>
        <w:t>S</w:t>
      </w:r>
      <w:r w:rsidRPr="00A22AE7">
        <w:rPr>
          <w:rFonts w:asciiTheme="minorHAnsi" w:hAnsiTheme="minorHAnsi" w:cstheme="minorHAnsi"/>
          <w:sz w:val="24"/>
          <w:szCs w:val="24"/>
        </w:rPr>
        <w:t xml:space="preserve"> – Share the outcomes across the service (Pepper, Rogers &amp; Martin, 2020)</w:t>
      </w:r>
    </w:p>
    <w:p w14:paraId="5E956B2E" w14:textId="77777777" w:rsidR="00A22AE7" w:rsidRPr="00A22AE7" w:rsidRDefault="00A22AE7" w:rsidP="00A22AE7">
      <w:pPr>
        <w:rPr>
          <w:rFonts w:asciiTheme="minorHAnsi" w:hAnsiTheme="minorHAnsi" w:cstheme="minorHAnsi"/>
          <w:sz w:val="24"/>
          <w:szCs w:val="24"/>
        </w:rPr>
      </w:pPr>
    </w:p>
    <w:p w14:paraId="166CD089" w14:textId="253DB946" w:rsidR="00A22AE7" w:rsidRDefault="00A22AE7" w:rsidP="00A22AE7">
      <w:pPr>
        <w:rPr>
          <w:rFonts w:asciiTheme="minorHAnsi" w:hAnsiTheme="minorHAnsi" w:cstheme="minorHAnsi"/>
          <w:sz w:val="24"/>
          <w:szCs w:val="24"/>
        </w:rPr>
      </w:pPr>
      <w:r w:rsidRPr="00A22AE7">
        <w:rPr>
          <w:rFonts w:asciiTheme="minorHAnsi" w:hAnsiTheme="minorHAnsi" w:cstheme="minorHAnsi"/>
          <w:sz w:val="24"/>
          <w:szCs w:val="24"/>
        </w:rPr>
        <w:t xml:space="preserve">This approach is strongly research based, the purpose of which is to understand what works and what does not work in policing, thus alerting decision makers to examine the causes of this.  The Maryland Scale, often referred to as the Ladder of Evidence, indicates the different levels of study analysis that can be initiated to ‘inform an evaluation where we want to know what impact our activity has had’ (College of Policing, 2020), for example, reducing crime in an area or reducing re-offending.  There has been some criticism of the evidence based approach, and for me the issue that stands out the most is that when looking at what works best, it does not appear to take into account an officers own knowledge, proficiency and life skills, that influence their decision making in how best to serve the public that they deal with on a day-to-day basis.  Neither does it account for the knowledge that an officer has of an area and its community from a ground level perspective, rather than through the pages of a research paper.  </w:t>
      </w:r>
    </w:p>
    <w:p w14:paraId="4BF98C0B" w14:textId="77777777" w:rsidR="00A22AE7" w:rsidRPr="00A22AE7" w:rsidRDefault="00A22AE7" w:rsidP="00A22AE7">
      <w:pPr>
        <w:rPr>
          <w:rFonts w:asciiTheme="minorHAnsi" w:hAnsiTheme="minorHAnsi" w:cstheme="minorHAnsi"/>
          <w:sz w:val="24"/>
          <w:szCs w:val="24"/>
        </w:rPr>
      </w:pPr>
    </w:p>
    <w:p w14:paraId="6788C2ED" w14:textId="3F7E6520" w:rsidR="00A22AE7" w:rsidRDefault="00A22AE7" w:rsidP="00A22AE7">
      <w:pPr>
        <w:rPr>
          <w:rFonts w:asciiTheme="minorHAnsi" w:hAnsiTheme="minorHAnsi" w:cstheme="minorHAnsi"/>
          <w:sz w:val="24"/>
          <w:szCs w:val="24"/>
        </w:rPr>
      </w:pPr>
      <w:r w:rsidRPr="00A22AE7">
        <w:rPr>
          <w:rFonts w:asciiTheme="minorHAnsi" w:hAnsiTheme="minorHAnsi" w:cstheme="minorHAnsi"/>
          <w:sz w:val="24"/>
          <w:szCs w:val="24"/>
        </w:rPr>
        <w:t xml:space="preserve">The role of a police officer is not only about responding to incidents of crime and then the ensuing investigation process, crime prevention is also an important policing priority.  The United Nations Office on Drugs and Crime have described crime prevention as compromising: ‘strategies and measures that seek to reduce the risk of crimes occurring, and their potential harmful effects on individuals and society, including fear of crime, by intervening to influence their multiple causes’ (UNODC, 2020).  The way in which police officers can integrate this in their day to day duties is to ‘continually anticipate, recognise, and asses the risk of criminal activity’ (Bryant &amp; Bryant, 2006).  In 2016, the Home Office </w:t>
      </w:r>
      <w:r w:rsidRPr="00A22AE7">
        <w:rPr>
          <w:rFonts w:asciiTheme="minorHAnsi" w:hAnsiTheme="minorHAnsi" w:cstheme="minorHAnsi"/>
          <w:sz w:val="24"/>
          <w:szCs w:val="24"/>
        </w:rPr>
        <w:lastRenderedPageBreak/>
        <w:t>developed a Modern Crime Prevention Strategy paper in which it listed 6 key drivers of crime:</w:t>
      </w:r>
    </w:p>
    <w:p w14:paraId="6EFA6260" w14:textId="77777777" w:rsidR="00A22AE7" w:rsidRPr="00A22AE7" w:rsidRDefault="00A22AE7" w:rsidP="00A22AE7">
      <w:pPr>
        <w:rPr>
          <w:rFonts w:asciiTheme="minorHAnsi" w:hAnsiTheme="minorHAnsi" w:cstheme="minorHAnsi"/>
          <w:sz w:val="24"/>
          <w:szCs w:val="24"/>
        </w:rPr>
      </w:pPr>
    </w:p>
    <w:p w14:paraId="04AAEFEB"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1- Opportunity</w:t>
      </w:r>
    </w:p>
    <w:p w14:paraId="2CC2BA7A"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2 – Character</w:t>
      </w:r>
    </w:p>
    <w:p w14:paraId="4578A553"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 xml:space="preserve">3 – Effectiveness of the Criminal Justice System </w:t>
      </w:r>
    </w:p>
    <w:p w14:paraId="406B342C"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4 – Profit</w:t>
      </w:r>
    </w:p>
    <w:p w14:paraId="6BBD5FB6"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5 – Drugs</w:t>
      </w:r>
    </w:p>
    <w:p w14:paraId="5B0DC040"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6 – Alcohol (Home office, 2016)</w:t>
      </w:r>
    </w:p>
    <w:p w14:paraId="39955043" w14:textId="77777777" w:rsidR="00A22AE7" w:rsidRPr="00A22AE7" w:rsidRDefault="00A22AE7" w:rsidP="00A22AE7">
      <w:pPr>
        <w:spacing w:after="40"/>
        <w:rPr>
          <w:rFonts w:asciiTheme="minorHAnsi" w:hAnsiTheme="minorHAnsi" w:cstheme="minorHAnsi"/>
          <w:sz w:val="24"/>
          <w:szCs w:val="24"/>
        </w:rPr>
      </w:pPr>
    </w:p>
    <w:p w14:paraId="3034DB3B"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Along with working with partner agencies in a community and working in conjunction with an evidence-based approach, police officers can look at these components individually or as a whole to ascertain which strategies for crime prevention fit best within an area.  It could be that several of these drivers need interventions to achieve the desired outcome.  In addition to these strategies, the police have also identified 10 principles of crime prevention:</w:t>
      </w:r>
    </w:p>
    <w:p w14:paraId="76CB2572" w14:textId="77777777" w:rsidR="00A22AE7" w:rsidRPr="00A22AE7" w:rsidRDefault="00A22AE7" w:rsidP="00A22AE7">
      <w:pPr>
        <w:spacing w:after="40"/>
        <w:rPr>
          <w:rFonts w:asciiTheme="minorHAnsi" w:hAnsiTheme="minorHAnsi" w:cstheme="minorHAnsi"/>
          <w:sz w:val="24"/>
          <w:szCs w:val="24"/>
        </w:rPr>
      </w:pPr>
    </w:p>
    <w:p w14:paraId="6A687D66"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1 - Target hardening</w:t>
      </w:r>
    </w:p>
    <w:p w14:paraId="459F9CFA"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 xml:space="preserve">2 – Target removal </w:t>
      </w:r>
    </w:p>
    <w:p w14:paraId="17560461"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3 – Removing the means (to commit crime)</w:t>
      </w:r>
    </w:p>
    <w:p w14:paraId="59F2C3BF"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4 – Reducing the pay-off</w:t>
      </w:r>
    </w:p>
    <w:p w14:paraId="514C4D4E"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5 – Access control</w:t>
      </w:r>
    </w:p>
    <w:p w14:paraId="773E77C8"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6 – Surveillance</w:t>
      </w:r>
    </w:p>
    <w:p w14:paraId="32863AAE"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7 – Environmental change</w:t>
      </w:r>
    </w:p>
    <w:p w14:paraId="6285E4F9"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8 – Rule setting</w:t>
      </w:r>
    </w:p>
    <w:p w14:paraId="45AE1466"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9 – Increase the chances of being caught</w:t>
      </w:r>
    </w:p>
    <w:p w14:paraId="42517521"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10 – Deflecting offenders (The Crime Prevention website, 2012-2021)</w:t>
      </w:r>
    </w:p>
    <w:p w14:paraId="4A07584B" w14:textId="77777777" w:rsidR="00A22AE7" w:rsidRPr="00A22AE7" w:rsidRDefault="00A22AE7" w:rsidP="00A22AE7">
      <w:pPr>
        <w:spacing w:after="40"/>
        <w:rPr>
          <w:rFonts w:asciiTheme="minorHAnsi" w:hAnsiTheme="minorHAnsi" w:cstheme="minorHAnsi"/>
          <w:sz w:val="24"/>
          <w:szCs w:val="24"/>
        </w:rPr>
      </w:pPr>
    </w:p>
    <w:p w14:paraId="16D2FEE7"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 xml:space="preserve">The idea here is that by making crime less accessible, more difficult to commit, and with more risk of being caught, that these strategies will be enough to significantly reduce crime in a given area.  There are theories to explain crime, through the study of Criminology, and multiple theories as to why people commit crime.  Some theories of crime include Routine Activity Theory (RAT) which proposes that to prevent crime it is necessary to alter at least one of the following elements, either the offender, the target or the presence of capable guardians. Rational Choice Theory (RCT) is another approach which rationalises an offender’s preference to carry out a crime which is easy, rewarding and safe.  Broken Windows Theory is another.  It is important to note here that these are just theories, they do not in any way look at the root causes of crime or criminal behaviour and they are more situational in terms of what physical interventions can help to reduce crime.  </w:t>
      </w:r>
    </w:p>
    <w:p w14:paraId="3789AC99" w14:textId="77777777" w:rsidR="00A22AE7" w:rsidRPr="00A22AE7" w:rsidRDefault="00A22AE7" w:rsidP="00A22AE7">
      <w:pPr>
        <w:spacing w:after="40"/>
        <w:rPr>
          <w:rFonts w:asciiTheme="minorHAnsi" w:hAnsiTheme="minorHAnsi" w:cstheme="minorHAnsi"/>
          <w:sz w:val="24"/>
          <w:szCs w:val="24"/>
        </w:rPr>
      </w:pPr>
    </w:p>
    <w:p w14:paraId="37AF4AC4" w14:textId="77777777"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 xml:space="preserve">This links to the final part of this essay which focuses on what can be done to reduce re-offending.  Re-offending costs the UK £18.1 billion every year which is a phenomenal amount of money.  Partnership working is key to reducing re-offending behaviour.  It is not just a policing responsibility to do this alone, probation services, NHS, voluntary sectors, and </w:t>
      </w:r>
      <w:r w:rsidRPr="00A22AE7">
        <w:rPr>
          <w:rFonts w:asciiTheme="minorHAnsi" w:hAnsiTheme="minorHAnsi" w:cstheme="minorHAnsi"/>
          <w:sz w:val="24"/>
          <w:szCs w:val="24"/>
        </w:rPr>
        <w:lastRenderedPageBreak/>
        <w:t xml:space="preserve">other local services need to work in conjunction with each other to support the offender in undertaking rehabilitation programmes for example.  This was demonstrated in the ‘Checkpoint’ initiative by Durham constabulary which offered a rehabilitation programme focusing on mental health and substance misuse issues. It found that of the 2,660 offenders who took part in the scheme only 6% have reoffended (The Guardian, 2020), thus demonstrating a positive outcome for offenders and their communities.  Many young offenders have been victim’s themselves at one point or another, a paper by </w:t>
      </w:r>
      <w:proofErr w:type="spellStart"/>
      <w:r w:rsidRPr="00A22AE7">
        <w:rPr>
          <w:rFonts w:asciiTheme="minorHAnsi" w:hAnsiTheme="minorHAnsi" w:cstheme="minorHAnsi"/>
          <w:sz w:val="24"/>
          <w:szCs w:val="24"/>
        </w:rPr>
        <w:t>Baglivio</w:t>
      </w:r>
      <w:proofErr w:type="spellEnd"/>
      <w:r w:rsidRPr="00A22AE7">
        <w:rPr>
          <w:rFonts w:asciiTheme="minorHAnsi" w:hAnsiTheme="minorHAnsi" w:cstheme="minorHAnsi"/>
          <w:sz w:val="24"/>
          <w:szCs w:val="24"/>
        </w:rPr>
        <w:t xml:space="preserve"> et al. in 2015 stated that ‘adverse childhood experiences have been identified as a risk factor for offending…’, and therefore the need for safeguarding, public protection, early intervention and prevention must go hand-in-hand when considering crime prevention strategies.  In my opinion rehabilitation is key to reducing reoffending.  Offenders often face challenges in their lives such as drug misuse or educational difficulties that may have an influence on their reoffending, so by addressing these issues through rehabilitation programmes offenders may find the motivation they need to engage and participate in such programmes which could as a consequence be key to their success in reducing their offending behaviour. </w:t>
      </w:r>
    </w:p>
    <w:p w14:paraId="1DBD1000" w14:textId="77777777" w:rsidR="00A22AE7" w:rsidRDefault="00A22AE7" w:rsidP="00A22AE7">
      <w:pPr>
        <w:spacing w:after="40"/>
        <w:rPr>
          <w:rFonts w:asciiTheme="minorHAnsi" w:hAnsiTheme="minorHAnsi" w:cstheme="minorHAnsi"/>
          <w:sz w:val="24"/>
          <w:szCs w:val="24"/>
        </w:rPr>
      </w:pPr>
    </w:p>
    <w:p w14:paraId="320AF46A" w14:textId="77777777" w:rsidR="00A22AE7" w:rsidRDefault="00A22AE7" w:rsidP="00A22AE7">
      <w:pPr>
        <w:spacing w:after="40"/>
        <w:rPr>
          <w:rFonts w:asciiTheme="minorHAnsi" w:hAnsiTheme="minorHAnsi" w:cstheme="minorHAnsi"/>
          <w:sz w:val="24"/>
          <w:szCs w:val="24"/>
        </w:rPr>
      </w:pPr>
    </w:p>
    <w:p w14:paraId="5AD40B3B" w14:textId="791B9408" w:rsidR="00A22AE7" w:rsidRPr="00A22AE7" w:rsidRDefault="00A22AE7" w:rsidP="00A22AE7">
      <w:pPr>
        <w:spacing w:after="40"/>
        <w:rPr>
          <w:rFonts w:asciiTheme="minorHAnsi" w:hAnsiTheme="minorHAnsi" w:cstheme="minorHAnsi"/>
          <w:sz w:val="24"/>
          <w:szCs w:val="24"/>
        </w:rPr>
      </w:pPr>
      <w:r w:rsidRPr="00A22AE7">
        <w:rPr>
          <w:rFonts w:asciiTheme="minorHAnsi" w:hAnsiTheme="minorHAnsi" w:cstheme="minorHAnsi"/>
          <w:sz w:val="24"/>
          <w:szCs w:val="24"/>
        </w:rPr>
        <w:t>1019 Words</w:t>
      </w:r>
    </w:p>
    <w:p w14:paraId="5B0A38FD" w14:textId="77777777" w:rsidR="00A22AE7" w:rsidRDefault="00A22AE7" w:rsidP="00CC6700">
      <w:pPr>
        <w:spacing w:line="256" w:lineRule="auto"/>
        <w:rPr>
          <w:rFonts w:ascii="Calibri" w:hAnsi="Calibri" w:cs="Calibri"/>
          <w:sz w:val="22"/>
          <w:szCs w:val="22"/>
        </w:rPr>
      </w:pPr>
    </w:p>
    <w:p w14:paraId="3105860B" w14:textId="55E83D0B" w:rsidR="00CC6700" w:rsidRDefault="00CC6700" w:rsidP="00FE5912">
      <w:pPr>
        <w:spacing w:line="256" w:lineRule="auto"/>
        <w:rPr>
          <w:rFonts w:ascii="Calibri" w:hAnsi="Calibri" w:cs="Calibri"/>
          <w:sz w:val="28"/>
          <w:szCs w:val="28"/>
        </w:rPr>
      </w:pPr>
    </w:p>
    <w:p w14:paraId="497ABC17" w14:textId="048EAA2E" w:rsidR="00CC6700" w:rsidRDefault="00CC6700" w:rsidP="00FE5912">
      <w:pPr>
        <w:spacing w:line="256" w:lineRule="auto"/>
        <w:rPr>
          <w:rFonts w:ascii="Calibri" w:hAnsi="Calibri" w:cs="Calibri"/>
          <w:sz w:val="28"/>
          <w:szCs w:val="28"/>
        </w:rPr>
      </w:pPr>
    </w:p>
    <w:p w14:paraId="702368CC" w14:textId="77777777" w:rsidR="00CC6700" w:rsidRDefault="00CC6700" w:rsidP="00FE5912">
      <w:pPr>
        <w:spacing w:line="256" w:lineRule="auto"/>
        <w:rPr>
          <w:rFonts w:ascii="Calibri" w:hAnsi="Calibri" w:cs="Calibri"/>
          <w:sz w:val="28"/>
          <w:szCs w:val="28"/>
        </w:rPr>
      </w:pPr>
    </w:p>
    <w:p w14:paraId="03E0FAAB" w14:textId="52B9898F" w:rsidR="00FE5912" w:rsidRDefault="00FE5912" w:rsidP="00760A8A">
      <w:pPr>
        <w:jc w:val="center"/>
        <w:rPr>
          <w:rFonts w:asciiTheme="minorHAnsi" w:hAnsiTheme="minorHAnsi" w:cstheme="minorHAnsi"/>
          <w:sz w:val="44"/>
          <w:szCs w:val="44"/>
          <w:u w:val="single"/>
        </w:rPr>
      </w:pPr>
    </w:p>
    <w:p w14:paraId="32DF0A3E" w14:textId="694F4392" w:rsidR="00FE5912" w:rsidRDefault="00FE5912" w:rsidP="00FE5912">
      <w:pPr>
        <w:rPr>
          <w:rFonts w:asciiTheme="minorHAnsi" w:hAnsiTheme="minorHAnsi" w:cstheme="minorHAnsi"/>
          <w:sz w:val="22"/>
          <w:szCs w:val="22"/>
        </w:rPr>
      </w:pPr>
    </w:p>
    <w:p w14:paraId="20E039AB" w14:textId="551111BD" w:rsidR="00A22AE7" w:rsidRDefault="00A22AE7" w:rsidP="00FE5912">
      <w:pPr>
        <w:rPr>
          <w:rFonts w:asciiTheme="minorHAnsi" w:hAnsiTheme="minorHAnsi" w:cstheme="minorHAnsi"/>
          <w:sz w:val="22"/>
          <w:szCs w:val="22"/>
        </w:rPr>
      </w:pPr>
    </w:p>
    <w:p w14:paraId="0AE2577B" w14:textId="2842B8AA" w:rsidR="00A22AE7" w:rsidRDefault="00A22AE7" w:rsidP="00FE5912">
      <w:pPr>
        <w:rPr>
          <w:rFonts w:asciiTheme="minorHAnsi" w:hAnsiTheme="minorHAnsi" w:cstheme="minorHAnsi"/>
          <w:sz w:val="22"/>
          <w:szCs w:val="22"/>
        </w:rPr>
      </w:pPr>
    </w:p>
    <w:p w14:paraId="22B32754" w14:textId="4DF885A0" w:rsidR="00A22AE7" w:rsidRDefault="00A22AE7" w:rsidP="00FE5912">
      <w:pPr>
        <w:rPr>
          <w:rFonts w:asciiTheme="minorHAnsi" w:hAnsiTheme="minorHAnsi" w:cstheme="minorHAnsi"/>
          <w:sz w:val="22"/>
          <w:szCs w:val="22"/>
        </w:rPr>
      </w:pPr>
    </w:p>
    <w:p w14:paraId="522B293C" w14:textId="5CD9C208" w:rsidR="00A22AE7" w:rsidRDefault="00A22AE7" w:rsidP="00FE5912">
      <w:pPr>
        <w:rPr>
          <w:rFonts w:asciiTheme="minorHAnsi" w:hAnsiTheme="minorHAnsi" w:cstheme="minorHAnsi"/>
          <w:sz w:val="22"/>
          <w:szCs w:val="22"/>
        </w:rPr>
      </w:pPr>
    </w:p>
    <w:p w14:paraId="28F58194" w14:textId="6D78C7FB" w:rsidR="00A22AE7" w:rsidRDefault="00A22AE7" w:rsidP="00FE5912">
      <w:pPr>
        <w:rPr>
          <w:rFonts w:asciiTheme="minorHAnsi" w:hAnsiTheme="minorHAnsi" w:cstheme="minorHAnsi"/>
          <w:sz w:val="22"/>
          <w:szCs w:val="22"/>
        </w:rPr>
      </w:pPr>
    </w:p>
    <w:p w14:paraId="4D9CD162" w14:textId="14197758" w:rsidR="00A22AE7" w:rsidRDefault="00A22AE7" w:rsidP="00FE5912">
      <w:pPr>
        <w:rPr>
          <w:rFonts w:asciiTheme="minorHAnsi" w:hAnsiTheme="minorHAnsi" w:cstheme="minorHAnsi"/>
          <w:sz w:val="22"/>
          <w:szCs w:val="22"/>
        </w:rPr>
      </w:pPr>
    </w:p>
    <w:p w14:paraId="30041D2C" w14:textId="28DFEF49" w:rsidR="00A22AE7" w:rsidRDefault="00A22AE7" w:rsidP="00FE5912">
      <w:pPr>
        <w:rPr>
          <w:rFonts w:asciiTheme="minorHAnsi" w:hAnsiTheme="minorHAnsi" w:cstheme="minorHAnsi"/>
          <w:sz w:val="22"/>
          <w:szCs w:val="22"/>
        </w:rPr>
      </w:pPr>
    </w:p>
    <w:p w14:paraId="31EB963E" w14:textId="35EF9061" w:rsidR="00A22AE7" w:rsidRDefault="00A22AE7" w:rsidP="00FE5912">
      <w:pPr>
        <w:rPr>
          <w:rFonts w:asciiTheme="minorHAnsi" w:hAnsiTheme="minorHAnsi" w:cstheme="minorHAnsi"/>
          <w:sz w:val="22"/>
          <w:szCs w:val="22"/>
        </w:rPr>
      </w:pPr>
    </w:p>
    <w:p w14:paraId="4282BA7F" w14:textId="2C396B23" w:rsidR="00A22AE7" w:rsidRDefault="00A22AE7" w:rsidP="00FE5912">
      <w:pPr>
        <w:rPr>
          <w:rFonts w:asciiTheme="minorHAnsi" w:hAnsiTheme="minorHAnsi" w:cstheme="minorHAnsi"/>
          <w:sz w:val="22"/>
          <w:szCs w:val="22"/>
        </w:rPr>
      </w:pPr>
    </w:p>
    <w:p w14:paraId="31CFDEC1" w14:textId="0EA15F11" w:rsidR="00A22AE7" w:rsidRDefault="00A22AE7" w:rsidP="00FE5912">
      <w:pPr>
        <w:rPr>
          <w:rFonts w:asciiTheme="minorHAnsi" w:hAnsiTheme="minorHAnsi" w:cstheme="minorHAnsi"/>
          <w:sz w:val="22"/>
          <w:szCs w:val="22"/>
        </w:rPr>
      </w:pPr>
    </w:p>
    <w:p w14:paraId="5FC8D78E" w14:textId="37024E42" w:rsidR="00A22AE7" w:rsidRDefault="00A22AE7" w:rsidP="00FE5912">
      <w:pPr>
        <w:rPr>
          <w:rFonts w:asciiTheme="minorHAnsi" w:hAnsiTheme="minorHAnsi" w:cstheme="minorHAnsi"/>
          <w:sz w:val="22"/>
          <w:szCs w:val="22"/>
        </w:rPr>
      </w:pPr>
    </w:p>
    <w:p w14:paraId="6E81147D" w14:textId="68FBE96E" w:rsidR="00A22AE7" w:rsidRDefault="00A22AE7" w:rsidP="00FE5912">
      <w:pPr>
        <w:rPr>
          <w:rFonts w:asciiTheme="minorHAnsi" w:hAnsiTheme="minorHAnsi" w:cstheme="minorHAnsi"/>
          <w:sz w:val="22"/>
          <w:szCs w:val="22"/>
        </w:rPr>
      </w:pPr>
    </w:p>
    <w:p w14:paraId="23372211" w14:textId="15229861" w:rsidR="00A22AE7" w:rsidRDefault="00A22AE7" w:rsidP="00FE5912">
      <w:pPr>
        <w:rPr>
          <w:rFonts w:asciiTheme="minorHAnsi" w:hAnsiTheme="minorHAnsi" w:cstheme="minorHAnsi"/>
          <w:sz w:val="22"/>
          <w:szCs w:val="22"/>
        </w:rPr>
      </w:pPr>
    </w:p>
    <w:p w14:paraId="6B3C8F89" w14:textId="0D5B73DB" w:rsidR="00A22AE7" w:rsidRDefault="00A22AE7" w:rsidP="00FE5912">
      <w:pPr>
        <w:rPr>
          <w:rFonts w:asciiTheme="minorHAnsi" w:hAnsiTheme="minorHAnsi" w:cstheme="minorHAnsi"/>
          <w:sz w:val="22"/>
          <w:szCs w:val="22"/>
        </w:rPr>
      </w:pPr>
    </w:p>
    <w:p w14:paraId="0878606B" w14:textId="0D17A3C5" w:rsidR="00A22AE7" w:rsidRDefault="00A22AE7" w:rsidP="00FE5912">
      <w:pPr>
        <w:rPr>
          <w:rFonts w:asciiTheme="minorHAnsi" w:hAnsiTheme="minorHAnsi" w:cstheme="minorHAnsi"/>
          <w:sz w:val="22"/>
          <w:szCs w:val="22"/>
        </w:rPr>
      </w:pPr>
    </w:p>
    <w:p w14:paraId="5EF26733" w14:textId="146DF6EE" w:rsidR="00A22AE7" w:rsidRDefault="00A22AE7" w:rsidP="00FE5912">
      <w:pPr>
        <w:rPr>
          <w:rFonts w:asciiTheme="minorHAnsi" w:hAnsiTheme="minorHAnsi" w:cstheme="minorHAnsi"/>
          <w:sz w:val="22"/>
          <w:szCs w:val="22"/>
        </w:rPr>
      </w:pPr>
    </w:p>
    <w:p w14:paraId="59A6D569" w14:textId="70560BE3" w:rsidR="00A22AE7" w:rsidRDefault="00A22AE7" w:rsidP="00FE5912">
      <w:pPr>
        <w:rPr>
          <w:rFonts w:asciiTheme="minorHAnsi" w:hAnsiTheme="minorHAnsi" w:cstheme="minorHAnsi"/>
          <w:sz w:val="22"/>
          <w:szCs w:val="22"/>
        </w:rPr>
      </w:pPr>
    </w:p>
    <w:p w14:paraId="3012EF23" w14:textId="616CEC4D" w:rsidR="00A22AE7" w:rsidRDefault="00A22AE7" w:rsidP="00FE5912">
      <w:pPr>
        <w:rPr>
          <w:rFonts w:asciiTheme="minorHAnsi" w:hAnsiTheme="minorHAnsi" w:cstheme="minorHAnsi"/>
          <w:sz w:val="22"/>
          <w:szCs w:val="22"/>
        </w:rPr>
      </w:pPr>
    </w:p>
    <w:p w14:paraId="2AB236F7" w14:textId="11F37847" w:rsidR="00A22AE7" w:rsidRDefault="00A22AE7" w:rsidP="00FE5912">
      <w:pPr>
        <w:rPr>
          <w:rFonts w:asciiTheme="minorHAnsi" w:hAnsiTheme="minorHAnsi" w:cstheme="minorHAnsi"/>
          <w:sz w:val="22"/>
          <w:szCs w:val="22"/>
        </w:rPr>
      </w:pPr>
    </w:p>
    <w:p w14:paraId="4459E767" w14:textId="480F2951" w:rsidR="00A22AE7" w:rsidRDefault="00A22AE7" w:rsidP="00FE5912">
      <w:pPr>
        <w:rPr>
          <w:rFonts w:asciiTheme="minorHAnsi" w:hAnsiTheme="minorHAnsi" w:cstheme="minorHAnsi"/>
          <w:sz w:val="22"/>
          <w:szCs w:val="22"/>
        </w:rPr>
      </w:pPr>
    </w:p>
    <w:p w14:paraId="08B0EC89" w14:textId="066EEAA9" w:rsidR="00A22AE7" w:rsidRDefault="00A22AE7" w:rsidP="00FE5912">
      <w:pPr>
        <w:rPr>
          <w:rFonts w:asciiTheme="minorHAnsi" w:hAnsiTheme="minorHAnsi" w:cstheme="minorHAnsi"/>
          <w:sz w:val="22"/>
          <w:szCs w:val="22"/>
        </w:rPr>
      </w:pPr>
    </w:p>
    <w:p w14:paraId="682D1348" w14:textId="2449B2B6" w:rsidR="00A22AE7" w:rsidRDefault="00A22AE7" w:rsidP="00FE5912">
      <w:pPr>
        <w:rPr>
          <w:rFonts w:asciiTheme="minorHAnsi" w:hAnsiTheme="minorHAnsi" w:cstheme="minorHAnsi"/>
          <w:sz w:val="22"/>
          <w:szCs w:val="22"/>
        </w:rPr>
      </w:pPr>
    </w:p>
    <w:p w14:paraId="3A59A5C4" w14:textId="1C392C25" w:rsidR="00A22AE7" w:rsidRDefault="00A22AE7" w:rsidP="00FE5912">
      <w:pPr>
        <w:rPr>
          <w:rFonts w:asciiTheme="minorHAnsi" w:hAnsiTheme="minorHAnsi" w:cstheme="minorHAnsi"/>
          <w:sz w:val="22"/>
          <w:szCs w:val="22"/>
        </w:rPr>
      </w:pPr>
    </w:p>
    <w:p w14:paraId="50774E24" w14:textId="77777777" w:rsidR="00A22AE7" w:rsidRPr="00A22AE7" w:rsidRDefault="00A22AE7" w:rsidP="00A22AE7">
      <w:pPr>
        <w:spacing w:after="160" w:line="259" w:lineRule="auto"/>
        <w:rPr>
          <w:rFonts w:asciiTheme="minorHAnsi" w:eastAsiaTheme="minorHAnsi" w:hAnsiTheme="minorHAnsi" w:cstheme="minorBidi"/>
          <w:b/>
          <w:bCs/>
          <w:sz w:val="32"/>
          <w:szCs w:val="32"/>
          <w:u w:val="single"/>
          <w:lang w:eastAsia="en-US"/>
        </w:rPr>
      </w:pPr>
      <w:r w:rsidRPr="00A22AE7">
        <w:rPr>
          <w:rFonts w:asciiTheme="minorHAnsi" w:eastAsiaTheme="minorHAnsi" w:hAnsiTheme="minorHAnsi" w:cstheme="minorBidi"/>
          <w:b/>
          <w:bCs/>
          <w:sz w:val="32"/>
          <w:szCs w:val="32"/>
          <w:u w:val="single"/>
          <w:lang w:eastAsia="en-US"/>
        </w:rPr>
        <w:lastRenderedPageBreak/>
        <w:t>References:</w:t>
      </w:r>
    </w:p>
    <w:p w14:paraId="48B99244" w14:textId="77777777" w:rsidR="005058BC" w:rsidRDefault="005058BC" w:rsidP="00A22AE7">
      <w:pPr>
        <w:spacing w:after="40" w:line="259" w:lineRule="auto"/>
        <w:rPr>
          <w:rFonts w:asciiTheme="minorHAnsi" w:eastAsiaTheme="minorHAnsi" w:hAnsiTheme="minorHAnsi" w:cstheme="minorBidi"/>
          <w:b/>
          <w:bCs/>
          <w:sz w:val="48"/>
          <w:szCs w:val="48"/>
          <w:u w:val="single"/>
          <w:lang w:eastAsia="en-US"/>
        </w:rPr>
      </w:pPr>
    </w:p>
    <w:p w14:paraId="1B9CDDA8" w14:textId="61EFD48A" w:rsidR="00A22AE7" w:rsidRPr="00A22AE7" w:rsidRDefault="00A22AE7" w:rsidP="00A22AE7">
      <w:pPr>
        <w:spacing w:after="40" w:line="259" w:lineRule="auto"/>
        <w:rPr>
          <w:rFonts w:asciiTheme="minorHAnsi" w:eastAsiaTheme="minorHAnsi" w:hAnsiTheme="minorHAnsi" w:cstheme="minorBidi"/>
          <w:sz w:val="22"/>
          <w:szCs w:val="22"/>
          <w:lang w:eastAsia="en-US"/>
        </w:rPr>
      </w:pPr>
      <w:bookmarkStart w:id="0" w:name="_GoBack"/>
      <w:bookmarkEnd w:id="0"/>
      <w:proofErr w:type="spellStart"/>
      <w:r w:rsidRPr="00A22AE7">
        <w:rPr>
          <w:rFonts w:asciiTheme="minorHAnsi" w:eastAsiaTheme="minorHAnsi" w:hAnsiTheme="minorHAnsi" w:cstheme="minorBidi"/>
          <w:sz w:val="22"/>
          <w:szCs w:val="22"/>
          <w:lang w:eastAsia="en-US"/>
        </w:rPr>
        <w:t>Baglivio</w:t>
      </w:r>
      <w:proofErr w:type="spellEnd"/>
      <w:r w:rsidRPr="00A22AE7">
        <w:rPr>
          <w:rFonts w:asciiTheme="minorHAnsi" w:eastAsiaTheme="minorHAnsi" w:hAnsiTheme="minorHAnsi" w:cstheme="minorBidi"/>
          <w:sz w:val="22"/>
          <w:szCs w:val="22"/>
          <w:lang w:eastAsia="en-US"/>
        </w:rPr>
        <w:t xml:space="preserve"> et al., (2015) ‘The Relationship between Adverse Childhood Experiences (ACE) and Juvenile Offending Trajectories in a Juvenile Offender Sample’, </w:t>
      </w:r>
      <w:r w:rsidRPr="00A22AE7">
        <w:rPr>
          <w:rFonts w:asciiTheme="minorHAnsi" w:eastAsiaTheme="minorHAnsi" w:hAnsiTheme="minorHAnsi" w:cstheme="minorBidi"/>
          <w:i/>
          <w:iCs/>
          <w:sz w:val="22"/>
          <w:szCs w:val="22"/>
          <w:lang w:eastAsia="en-US"/>
        </w:rPr>
        <w:t xml:space="preserve">Journal of Criminal Justice, </w:t>
      </w:r>
      <w:r w:rsidRPr="00A22AE7">
        <w:rPr>
          <w:rFonts w:asciiTheme="minorHAnsi" w:eastAsiaTheme="minorHAnsi" w:hAnsiTheme="minorHAnsi" w:cstheme="minorBidi"/>
          <w:sz w:val="22"/>
          <w:szCs w:val="22"/>
          <w:lang w:eastAsia="en-US"/>
        </w:rPr>
        <w:t>43 (3), pp. 229-241. Doi:10/1016/j.jcrimjus.2015.04.012</w:t>
      </w:r>
    </w:p>
    <w:p w14:paraId="6BF0315F"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p>
    <w:p w14:paraId="78A30451" w14:textId="77777777" w:rsidR="00A22AE7" w:rsidRPr="00A22AE7" w:rsidRDefault="00A22AE7" w:rsidP="00A22AE7">
      <w:pPr>
        <w:rPr>
          <w:rFonts w:asciiTheme="minorHAnsi" w:eastAsiaTheme="minorHAnsi" w:hAnsiTheme="minorHAnsi" w:cstheme="minorBidi"/>
          <w:sz w:val="22"/>
          <w:szCs w:val="22"/>
          <w:lang w:eastAsia="en-US"/>
        </w:rPr>
      </w:pPr>
    </w:p>
    <w:p w14:paraId="20E98C8A"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BBC Bitesize (2021): </w:t>
      </w:r>
      <w:r w:rsidRPr="00A22AE7">
        <w:rPr>
          <w:rFonts w:asciiTheme="minorHAnsi" w:eastAsiaTheme="minorHAnsi" w:hAnsiTheme="minorHAnsi" w:cstheme="minorBidi"/>
          <w:i/>
          <w:sz w:val="22"/>
          <w:szCs w:val="22"/>
          <w:lang w:eastAsia="en-US"/>
        </w:rPr>
        <w:t>Enforcing Law &amp; Order</w:t>
      </w:r>
      <w:r w:rsidRPr="00A22AE7">
        <w:rPr>
          <w:rFonts w:asciiTheme="minorHAnsi" w:eastAsiaTheme="minorHAnsi" w:hAnsiTheme="minorHAnsi" w:cstheme="minorBidi"/>
          <w:sz w:val="22"/>
          <w:szCs w:val="22"/>
          <w:lang w:eastAsia="en-US"/>
        </w:rPr>
        <w:t xml:space="preserve"> </w:t>
      </w:r>
    </w:p>
    <w:p w14:paraId="3AC16060"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27" w:history="1">
        <w:r w:rsidRPr="00A22AE7">
          <w:rPr>
            <w:rFonts w:asciiTheme="minorHAnsi" w:eastAsiaTheme="minorHAnsi" w:hAnsiTheme="minorHAnsi" w:cstheme="minorBidi"/>
            <w:sz w:val="22"/>
            <w:szCs w:val="22"/>
            <w:u w:val="single"/>
            <w:lang w:eastAsia="en-US"/>
          </w:rPr>
          <w:t>Enforcing law and order before the 16th century - Enforcing law and order – WJEC - GCSE History Revision - WJEC - BBC Bitesize</w:t>
        </w:r>
      </w:hyperlink>
    </w:p>
    <w:p w14:paraId="279B1F57"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8</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050E05A1" w14:textId="77777777" w:rsidR="00A22AE7" w:rsidRPr="00A22AE7" w:rsidRDefault="00A22AE7" w:rsidP="00A22AE7">
      <w:pPr>
        <w:rPr>
          <w:rFonts w:asciiTheme="minorHAnsi" w:eastAsiaTheme="minorHAnsi" w:hAnsiTheme="minorHAnsi" w:cstheme="minorBidi"/>
          <w:sz w:val="22"/>
          <w:szCs w:val="22"/>
          <w:lang w:eastAsia="en-US"/>
        </w:rPr>
      </w:pPr>
    </w:p>
    <w:p w14:paraId="05FAADBC" w14:textId="77777777" w:rsidR="00A22AE7" w:rsidRPr="00A22AE7" w:rsidRDefault="00A22AE7" w:rsidP="00A22AE7">
      <w:pPr>
        <w:rPr>
          <w:rFonts w:asciiTheme="minorHAnsi" w:eastAsiaTheme="minorHAnsi" w:hAnsiTheme="minorHAnsi" w:cstheme="minorBidi"/>
          <w:sz w:val="22"/>
          <w:szCs w:val="22"/>
          <w:lang w:eastAsia="en-US"/>
        </w:rPr>
      </w:pPr>
    </w:p>
    <w:p w14:paraId="7CE7BA45" w14:textId="77777777" w:rsidR="00A22AE7" w:rsidRPr="00A22AE7" w:rsidRDefault="00A22AE7" w:rsidP="00A22AE7">
      <w:pPr>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Brody, D.C, DeMarco, C, and </w:t>
      </w:r>
      <w:proofErr w:type="spellStart"/>
      <w:r w:rsidRPr="00A22AE7">
        <w:rPr>
          <w:rFonts w:asciiTheme="minorHAnsi" w:eastAsiaTheme="minorHAnsi" w:hAnsiTheme="minorHAnsi" w:cstheme="minorBidi"/>
          <w:sz w:val="22"/>
          <w:szCs w:val="22"/>
          <w:lang w:eastAsia="en-US"/>
        </w:rPr>
        <w:t>Lovrich</w:t>
      </w:r>
      <w:proofErr w:type="spellEnd"/>
      <w:r w:rsidRPr="00A22AE7">
        <w:rPr>
          <w:rFonts w:asciiTheme="minorHAnsi" w:eastAsiaTheme="minorHAnsi" w:hAnsiTheme="minorHAnsi" w:cstheme="minorBidi"/>
          <w:sz w:val="22"/>
          <w:szCs w:val="22"/>
          <w:lang w:eastAsia="en-US"/>
        </w:rPr>
        <w:t xml:space="preserve">, N.P (2002): </w:t>
      </w:r>
      <w:r w:rsidRPr="00A22AE7">
        <w:rPr>
          <w:rFonts w:asciiTheme="minorHAnsi" w:eastAsiaTheme="minorHAnsi" w:hAnsiTheme="minorHAnsi" w:cstheme="minorBidi"/>
          <w:i/>
          <w:sz w:val="22"/>
          <w:szCs w:val="22"/>
          <w:lang w:eastAsia="en-US"/>
        </w:rPr>
        <w:t xml:space="preserve">Community Policing &amp; Job Satisfaction: Suggestive </w:t>
      </w:r>
      <w:proofErr w:type="spellStart"/>
      <w:r w:rsidRPr="00A22AE7">
        <w:rPr>
          <w:rFonts w:asciiTheme="minorHAnsi" w:eastAsiaTheme="minorHAnsi" w:hAnsiTheme="minorHAnsi" w:cstheme="minorBidi"/>
          <w:i/>
          <w:sz w:val="22"/>
          <w:szCs w:val="22"/>
          <w:lang w:eastAsia="en-US"/>
        </w:rPr>
        <w:t>Evidenceof</w:t>
      </w:r>
      <w:proofErr w:type="spellEnd"/>
      <w:r w:rsidRPr="00A22AE7">
        <w:rPr>
          <w:rFonts w:asciiTheme="minorHAnsi" w:eastAsiaTheme="minorHAnsi" w:hAnsiTheme="minorHAnsi" w:cstheme="minorBidi"/>
          <w:i/>
          <w:sz w:val="22"/>
          <w:szCs w:val="22"/>
          <w:lang w:eastAsia="en-US"/>
        </w:rPr>
        <w:t xml:space="preserve"> Positive Workforce Effects from a Multijurisdictional Comparison in Washington State.</w:t>
      </w:r>
    </w:p>
    <w:p w14:paraId="60E1D303"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Available at: journals.sagepub.com</w:t>
      </w:r>
    </w:p>
    <w:p w14:paraId="5269144C"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13</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243C8B44" w14:textId="77777777" w:rsidR="00A22AE7" w:rsidRPr="00A22AE7" w:rsidRDefault="00A22AE7" w:rsidP="00A22AE7">
      <w:pPr>
        <w:spacing w:after="160" w:line="259" w:lineRule="auto"/>
        <w:rPr>
          <w:rFonts w:asciiTheme="minorHAnsi" w:eastAsiaTheme="minorHAnsi" w:hAnsiTheme="minorHAnsi" w:cstheme="minorBidi"/>
          <w:sz w:val="22"/>
          <w:szCs w:val="22"/>
          <w:lang w:eastAsia="en-US"/>
        </w:rPr>
      </w:pPr>
    </w:p>
    <w:p w14:paraId="41B77982" w14:textId="77777777" w:rsidR="00A22AE7" w:rsidRPr="00A22AE7" w:rsidRDefault="00A22AE7" w:rsidP="00A22AE7">
      <w:pPr>
        <w:spacing w:after="16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Bryant, R &amp; Bryant, S (2006), </w:t>
      </w:r>
      <w:r w:rsidRPr="00A22AE7">
        <w:rPr>
          <w:rFonts w:asciiTheme="minorHAnsi" w:eastAsiaTheme="minorHAnsi" w:hAnsiTheme="minorHAnsi" w:cstheme="minorBidi"/>
          <w:i/>
          <w:sz w:val="22"/>
          <w:szCs w:val="22"/>
          <w:lang w:eastAsia="en-US"/>
        </w:rPr>
        <w:t xml:space="preserve">Blackstone’s Handbook for Policing Students.  </w:t>
      </w:r>
      <w:r w:rsidRPr="00A22AE7">
        <w:rPr>
          <w:rFonts w:asciiTheme="minorHAnsi" w:eastAsiaTheme="minorHAnsi" w:hAnsiTheme="minorHAnsi" w:cstheme="minorBidi"/>
          <w:sz w:val="22"/>
          <w:szCs w:val="22"/>
          <w:lang w:eastAsia="en-US"/>
        </w:rPr>
        <w:t>Oxford University Press, Oxford</w:t>
      </w:r>
    </w:p>
    <w:p w14:paraId="36BD46D8" w14:textId="77777777" w:rsidR="00A22AE7" w:rsidRPr="00A22AE7" w:rsidRDefault="00A22AE7" w:rsidP="00A22AE7">
      <w:pPr>
        <w:spacing w:after="160" w:line="259" w:lineRule="auto"/>
        <w:rPr>
          <w:rFonts w:asciiTheme="minorHAnsi" w:eastAsiaTheme="minorHAnsi" w:hAnsiTheme="minorHAnsi" w:cstheme="minorBidi"/>
          <w:sz w:val="22"/>
          <w:szCs w:val="22"/>
          <w:lang w:eastAsia="en-US"/>
        </w:rPr>
      </w:pPr>
    </w:p>
    <w:p w14:paraId="1653A569" w14:textId="77777777" w:rsidR="00A22AE7" w:rsidRPr="00A22AE7" w:rsidRDefault="00A22AE7" w:rsidP="00A22AE7">
      <w:pPr>
        <w:spacing w:after="16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Buckland, R &amp; Patel, P (2020).  Letter to Jonathan Hall QC, December 2020.</w:t>
      </w:r>
    </w:p>
    <w:p w14:paraId="21FD77ED" w14:textId="77777777" w:rsidR="00A22AE7" w:rsidRPr="00A22AE7" w:rsidRDefault="00A22AE7" w:rsidP="00A22AE7">
      <w:pPr>
        <w:rPr>
          <w:rFonts w:asciiTheme="minorHAnsi" w:eastAsiaTheme="minorHAnsi" w:hAnsiTheme="minorHAnsi" w:cstheme="minorBidi"/>
          <w:sz w:val="22"/>
          <w:szCs w:val="22"/>
          <w:lang w:eastAsia="en-US"/>
        </w:rPr>
      </w:pPr>
    </w:p>
    <w:p w14:paraId="13EE7D37" w14:textId="77777777" w:rsidR="00A22AE7" w:rsidRPr="00A22AE7" w:rsidRDefault="00A22AE7" w:rsidP="00A22AE7">
      <w:pPr>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College of Policing (2021), </w:t>
      </w:r>
      <w:r w:rsidRPr="00A22AE7">
        <w:rPr>
          <w:rFonts w:asciiTheme="minorHAnsi" w:eastAsiaTheme="minorHAnsi" w:hAnsiTheme="minorHAnsi" w:cstheme="minorBidi"/>
          <w:i/>
          <w:sz w:val="22"/>
          <w:szCs w:val="22"/>
          <w:lang w:eastAsia="en-US"/>
        </w:rPr>
        <w:t xml:space="preserve">Code of Ethics. </w:t>
      </w:r>
    </w:p>
    <w:p w14:paraId="3F4670B6"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28" w:history="1">
        <w:r w:rsidRPr="00A22AE7">
          <w:rPr>
            <w:rFonts w:asciiTheme="minorHAnsi" w:eastAsiaTheme="minorHAnsi" w:hAnsiTheme="minorHAnsi" w:cstheme="minorBidi"/>
            <w:color w:val="0563C1" w:themeColor="hyperlink"/>
            <w:sz w:val="22"/>
            <w:szCs w:val="22"/>
            <w:u w:val="single"/>
            <w:lang w:eastAsia="en-US"/>
          </w:rPr>
          <w:t>www.college.police.uk/ethics/code-of-ethics</w:t>
        </w:r>
      </w:hyperlink>
    </w:p>
    <w:p w14:paraId="0C5EC5C5"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6</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2AD5CD44" w14:textId="77777777" w:rsidR="00A22AE7" w:rsidRPr="00A22AE7" w:rsidRDefault="00A22AE7" w:rsidP="00A22AE7">
      <w:pPr>
        <w:rPr>
          <w:rFonts w:asciiTheme="minorHAnsi" w:eastAsiaTheme="minorHAnsi" w:hAnsiTheme="minorHAnsi" w:cstheme="minorBidi"/>
          <w:sz w:val="22"/>
          <w:szCs w:val="22"/>
          <w:lang w:eastAsia="en-US"/>
        </w:rPr>
      </w:pPr>
    </w:p>
    <w:p w14:paraId="6730741B" w14:textId="77777777" w:rsidR="00A22AE7" w:rsidRPr="00A22AE7" w:rsidRDefault="00A22AE7" w:rsidP="00A22AE7">
      <w:pPr>
        <w:rPr>
          <w:rFonts w:asciiTheme="minorHAnsi" w:eastAsiaTheme="minorHAnsi" w:hAnsiTheme="minorHAnsi" w:cstheme="minorBidi"/>
          <w:sz w:val="22"/>
          <w:szCs w:val="22"/>
          <w:lang w:eastAsia="en-US"/>
        </w:rPr>
      </w:pPr>
    </w:p>
    <w:p w14:paraId="48E317CF"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College of Policing: Engagement and Communication (2013)</w:t>
      </w:r>
    </w:p>
    <w:p w14:paraId="4B153E89"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29" w:history="1">
        <w:r w:rsidRPr="00A22AE7">
          <w:rPr>
            <w:rFonts w:asciiTheme="minorHAnsi" w:eastAsiaTheme="minorHAnsi" w:hAnsiTheme="minorHAnsi" w:cstheme="minorBidi"/>
            <w:color w:val="0563C1" w:themeColor="hyperlink"/>
            <w:sz w:val="22"/>
            <w:szCs w:val="22"/>
            <w:u w:val="single"/>
            <w:lang w:eastAsia="en-US"/>
          </w:rPr>
          <w:t>www.app.college.police.uk/app-content/engagement-and-communication/engaging-with-communities</w:t>
        </w:r>
      </w:hyperlink>
    </w:p>
    <w:p w14:paraId="090CDB8C"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10</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4D4F522A" w14:textId="77777777" w:rsidR="00A22AE7" w:rsidRPr="00A22AE7" w:rsidRDefault="00A22AE7" w:rsidP="00A22AE7">
      <w:pPr>
        <w:rPr>
          <w:rFonts w:asciiTheme="minorHAnsi" w:eastAsiaTheme="minorHAnsi" w:hAnsiTheme="minorHAnsi" w:cstheme="minorBidi"/>
          <w:sz w:val="22"/>
          <w:szCs w:val="22"/>
          <w:lang w:eastAsia="en-US"/>
        </w:rPr>
      </w:pPr>
    </w:p>
    <w:p w14:paraId="770FF9F5" w14:textId="77777777" w:rsidR="00A22AE7" w:rsidRPr="00A22AE7" w:rsidRDefault="00A22AE7" w:rsidP="00A22AE7">
      <w:pPr>
        <w:rPr>
          <w:rFonts w:asciiTheme="minorHAnsi" w:eastAsiaTheme="minorHAnsi" w:hAnsiTheme="minorHAnsi" w:cstheme="minorBidi"/>
          <w:sz w:val="22"/>
          <w:szCs w:val="22"/>
          <w:lang w:eastAsia="en-US"/>
        </w:rPr>
      </w:pPr>
    </w:p>
    <w:p w14:paraId="3AF53101" w14:textId="77777777"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t xml:space="preserve">College of Policing (2020): </w:t>
      </w:r>
      <w:r w:rsidRPr="00A22AE7">
        <w:rPr>
          <w:rFonts w:asciiTheme="minorHAnsi" w:eastAsiaTheme="minorHAnsi" w:hAnsiTheme="minorHAnsi" w:cstheme="minorBidi"/>
          <w:i/>
          <w:iCs/>
          <w:sz w:val="22"/>
          <w:szCs w:val="22"/>
          <w:lang w:eastAsia="en-US"/>
        </w:rPr>
        <w:t>Intelligence Management, Evaluation and Review</w:t>
      </w:r>
    </w:p>
    <w:p w14:paraId="6B65B6B9"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30" w:history="1">
        <w:r w:rsidRPr="00A22AE7">
          <w:rPr>
            <w:rFonts w:asciiTheme="minorHAnsi" w:eastAsiaTheme="minorHAnsi" w:hAnsiTheme="minorHAnsi" w:cstheme="minorBidi"/>
            <w:color w:val="0563C1" w:themeColor="hyperlink"/>
            <w:sz w:val="22"/>
            <w:szCs w:val="22"/>
            <w:u w:val="single"/>
            <w:lang w:eastAsia="en-US"/>
          </w:rPr>
          <w:t>https://www.app.college.police.uk/app-content/intelligence-management/analysis/evaluation-and-review/</w:t>
        </w:r>
      </w:hyperlink>
    </w:p>
    <w:p w14:paraId="381FBC5C"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15</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3489F7A7" w14:textId="77777777" w:rsidR="00A22AE7" w:rsidRPr="00A22AE7" w:rsidRDefault="00A22AE7" w:rsidP="00A22AE7">
      <w:pPr>
        <w:rPr>
          <w:rFonts w:asciiTheme="minorHAnsi" w:eastAsiaTheme="minorHAnsi" w:hAnsiTheme="minorHAnsi" w:cstheme="minorBidi"/>
          <w:sz w:val="22"/>
          <w:szCs w:val="22"/>
          <w:lang w:eastAsia="en-US"/>
        </w:rPr>
      </w:pPr>
    </w:p>
    <w:p w14:paraId="2BEEA087" w14:textId="77777777" w:rsidR="00A22AE7" w:rsidRPr="00A22AE7" w:rsidRDefault="00A22AE7" w:rsidP="00A22AE7">
      <w:pPr>
        <w:rPr>
          <w:rFonts w:asciiTheme="minorHAnsi" w:eastAsiaTheme="minorHAnsi" w:hAnsiTheme="minorHAnsi" w:cstheme="minorBidi"/>
          <w:sz w:val="22"/>
          <w:szCs w:val="22"/>
          <w:lang w:eastAsia="en-US"/>
        </w:rPr>
      </w:pPr>
    </w:p>
    <w:p w14:paraId="7C91333B"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College of Policing (2015): </w:t>
      </w:r>
      <w:r w:rsidRPr="00A22AE7">
        <w:rPr>
          <w:rFonts w:ascii="Calibri" w:eastAsiaTheme="minorHAnsi" w:hAnsi="Calibri" w:cs="Calibri"/>
          <w:i/>
          <w:sz w:val="22"/>
          <w:szCs w:val="22"/>
          <w:lang w:eastAsia="en-US"/>
        </w:rPr>
        <w:t>Intelligence Management – Governance</w:t>
      </w:r>
    </w:p>
    <w:p w14:paraId="6967569E"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31" w:history="1">
        <w:r w:rsidRPr="00A22AE7">
          <w:rPr>
            <w:rFonts w:ascii="Calibri" w:eastAsiaTheme="minorHAnsi" w:hAnsi="Calibri" w:cs="Calibri"/>
            <w:color w:val="0563C1" w:themeColor="hyperlink"/>
            <w:sz w:val="22"/>
            <w:szCs w:val="22"/>
            <w:u w:val="single"/>
            <w:lang w:eastAsia="en-US"/>
          </w:rPr>
          <w:t>https://www.app.college.police.uk/app-content/intelligence-management/governance</w:t>
        </w:r>
      </w:hyperlink>
    </w:p>
    <w:p w14:paraId="3C72D2BA"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1C0AEF8E" w14:textId="77777777" w:rsidR="00A22AE7" w:rsidRPr="00A22AE7" w:rsidRDefault="00A22AE7" w:rsidP="00A22AE7">
      <w:pPr>
        <w:spacing w:line="259" w:lineRule="auto"/>
        <w:rPr>
          <w:rFonts w:ascii="Calibri" w:eastAsiaTheme="minorHAnsi" w:hAnsi="Calibri" w:cs="Calibri"/>
          <w:sz w:val="22"/>
          <w:szCs w:val="22"/>
          <w:lang w:eastAsia="en-US"/>
        </w:rPr>
      </w:pPr>
    </w:p>
    <w:p w14:paraId="6A94E716" w14:textId="77777777" w:rsidR="00A22AE7" w:rsidRPr="00A22AE7" w:rsidRDefault="00A22AE7" w:rsidP="00A22AE7">
      <w:pPr>
        <w:spacing w:line="259" w:lineRule="auto"/>
        <w:rPr>
          <w:rFonts w:ascii="Calibri" w:eastAsiaTheme="minorHAnsi" w:hAnsi="Calibri" w:cs="Calibri"/>
          <w:sz w:val="22"/>
          <w:szCs w:val="22"/>
          <w:lang w:eastAsia="en-US"/>
        </w:rPr>
      </w:pPr>
    </w:p>
    <w:p w14:paraId="6D722249"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College of Policing (2021):  </w:t>
      </w:r>
      <w:r w:rsidRPr="00A22AE7">
        <w:rPr>
          <w:rFonts w:asciiTheme="minorHAnsi" w:eastAsiaTheme="minorHAnsi" w:hAnsiTheme="minorHAnsi" w:cstheme="minorBidi"/>
          <w:i/>
          <w:sz w:val="22"/>
          <w:szCs w:val="22"/>
          <w:lang w:eastAsia="en-US"/>
        </w:rPr>
        <w:t>Major Investigation and public protection: Multi-agency public protection arrangements (MAPPA).</w:t>
      </w:r>
    </w:p>
    <w:p w14:paraId="4E9A4EEB"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32" w:history="1">
        <w:r w:rsidRPr="00A22AE7">
          <w:rPr>
            <w:rFonts w:asciiTheme="minorHAnsi" w:eastAsiaTheme="minorHAnsi" w:hAnsiTheme="minorHAnsi" w:cstheme="minorBidi"/>
            <w:color w:val="0563C1" w:themeColor="hyperlink"/>
            <w:sz w:val="22"/>
            <w:szCs w:val="22"/>
            <w:u w:val="single"/>
            <w:lang w:eastAsia="en-US"/>
          </w:rPr>
          <w:t>https://www.app.college.police.uk/app-content/major-investigation-and-public-protection/managing-sexual-offenders-and-violent-offenders/mappa/protection-arrangements</w:t>
        </w:r>
      </w:hyperlink>
    </w:p>
    <w:p w14:paraId="10D265B7"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14</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7294D6DF" w14:textId="77777777" w:rsidR="00A22AE7" w:rsidRPr="00A22AE7" w:rsidRDefault="00A22AE7" w:rsidP="00A22AE7">
      <w:pPr>
        <w:spacing w:line="259" w:lineRule="auto"/>
        <w:rPr>
          <w:rFonts w:ascii="Calibri" w:eastAsiaTheme="minorHAnsi" w:hAnsi="Calibri" w:cs="Calibri"/>
          <w:sz w:val="22"/>
          <w:szCs w:val="22"/>
          <w:lang w:eastAsia="en-US"/>
        </w:rPr>
      </w:pPr>
    </w:p>
    <w:p w14:paraId="53042E75" w14:textId="77777777" w:rsidR="00A22AE7" w:rsidRPr="00A22AE7" w:rsidRDefault="00A22AE7" w:rsidP="00A22AE7">
      <w:pPr>
        <w:spacing w:line="259" w:lineRule="auto"/>
        <w:rPr>
          <w:rFonts w:ascii="Calibri" w:eastAsiaTheme="minorHAnsi" w:hAnsi="Calibri" w:cs="Calibri"/>
          <w:sz w:val="22"/>
          <w:szCs w:val="22"/>
          <w:lang w:eastAsia="en-US"/>
        </w:rPr>
      </w:pPr>
    </w:p>
    <w:p w14:paraId="62772BAC"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College of Policing (2021): </w:t>
      </w:r>
      <w:r w:rsidRPr="00A22AE7">
        <w:rPr>
          <w:rFonts w:asciiTheme="minorHAnsi" w:eastAsiaTheme="minorHAnsi" w:hAnsiTheme="minorHAnsi" w:cstheme="minorBidi"/>
          <w:i/>
          <w:sz w:val="22"/>
          <w:szCs w:val="22"/>
          <w:lang w:eastAsia="en-US"/>
        </w:rPr>
        <w:t>Victims’ Code for Policing</w:t>
      </w:r>
    </w:p>
    <w:p w14:paraId="10D35847"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33" w:history="1">
        <w:r w:rsidRPr="00A22AE7">
          <w:rPr>
            <w:rFonts w:asciiTheme="minorHAnsi" w:eastAsiaTheme="minorHAnsi" w:hAnsiTheme="minorHAnsi" w:cstheme="minorBidi"/>
            <w:color w:val="0563C1" w:themeColor="hyperlink"/>
            <w:sz w:val="22"/>
            <w:szCs w:val="22"/>
            <w:u w:val="single"/>
            <w:lang w:eastAsia="en-US"/>
          </w:rPr>
          <w:t>https://www.college.police.uk/guidance/victims-code/victims-righhhts-policing</w:t>
        </w:r>
      </w:hyperlink>
    </w:p>
    <w:p w14:paraId="16EE59C3"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50F649A2" w14:textId="77777777" w:rsidR="00A22AE7" w:rsidRPr="00A22AE7" w:rsidRDefault="00A22AE7" w:rsidP="00A22AE7">
      <w:pPr>
        <w:spacing w:line="259" w:lineRule="auto"/>
        <w:rPr>
          <w:rFonts w:ascii="Calibri" w:eastAsiaTheme="minorHAnsi" w:hAnsi="Calibri" w:cs="Calibri"/>
          <w:sz w:val="22"/>
          <w:szCs w:val="22"/>
          <w:lang w:eastAsia="en-US"/>
        </w:rPr>
      </w:pPr>
    </w:p>
    <w:p w14:paraId="1373A3BF"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p>
    <w:p w14:paraId="565D8C56" w14:textId="77777777"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t xml:space="preserve">College of Policing (2021): </w:t>
      </w:r>
      <w:r w:rsidRPr="00A22AE7">
        <w:rPr>
          <w:rFonts w:asciiTheme="minorHAnsi" w:eastAsiaTheme="minorHAnsi" w:hAnsiTheme="minorHAnsi" w:cstheme="minorBidi"/>
          <w:i/>
          <w:iCs/>
          <w:sz w:val="22"/>
          <w:szCs w:val="22"/>
          <w:lang w:eastAsia="en-US"/>
        </w:rPr>
        <w:t>What is evidence-based policing?</w:t>
      </w:r>
    </w:p>
    <w:p w14:paraId="5DDD90B0"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34" w:history="1">
        <w:r w:rsidRPr="00A22AE7">
          <w:rPr>
            <w:rFonts w:asciiTheme="minorHAnsi" w:eastAsiaTheme="minorHAnsi" w:hAnsiTheme="minorHAnsi" w:cstheme="minorBidi"/>
            <w:color w:val="0563C1" w:themeColor="hyperlink"/>
            <w:sz w:val="22"/>
            <w:szCs w:val="22"/>
            <w:u w:val="single"/>
            <w:lang w:eastAsia="en-US"/>
          </w:rPr>
          <w:t>https://whatworks.college.police.uk/About/Pages/What-is-EBP.aspx</w:t>
        </w:r>
      </w:hyperlink>
    </w:p>
    <w:p w14:paraId="18049ACA"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15</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03B2EB9D" w14:textId="77777777" w:rsidR="00A22AE7" w:rsidRPr="00A22AE7" w:rsidRDefault="00A22AE7" w:rsidP="00A22AE7">
      <w:pPr>
        <w:rPr>
          <w:rFonts w:ascii="Calibri" w:eastAsiaTheme="minorHAnsi" w:hAnsi="Calibri" w:cs="Calibri"/>
          <w:sz w:val="22"/>
          <w:szCs w:val="22"/>
          <w:lang w:eastAsia="en-US"/>
        </w:rPr>
      </w:pPr>
    </w:p>
    <w:p w14:paraId="02058A4E" w14:textId="77777777" w:rsidR="00A22AE7" w:rsidRPr="00A22AE7" w:rsidRDefault="00A22AE7" w:rsidP="00A22AE7">
      <w:pPr>
        <w:rPr>
          <w:rFonts w:ascii="Calibri" w:eastAsiaTheme="minorHAnsi" w:hAnsi="Calibri" w:cs="Calibri"/>
          <w:sz w:val="22"/>
          <w:szCs w:val="22"/>
          <w:lang w:eastAsia="en-US"/>
        </w:rPr>
      </w:pPr>
    </w:p>
    <w:p w14:paraId="29978284" w14:textId="77777777" w:rsidR="00A22AE7" w:rsidRPr="00A22AE7" w:rsidRDefault="00A22AE7" w:rsidP="00A22AE7">
      <w:pPr>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Community Policing (1997), </w:t>
      </w:r>
      <w:r w:rsidRPr="00A22AE7">
        <w:rPr>
          <w:rFonts w:asciiTheme="minorHAnsi" w:eastAsiaTheme="minorHAnsi" w:hAnsiTheme="minorHAnsi" w:cstheme="minorBidi"/>
          <w:i/>
          <w:sz w:val="22"/>
          <w:szCs w:val="22"/>
          <w:lang w:eastAsia="en-US"/>
        </w:rPr>
        <w:t>Community Trust and Police Integrity.</w:t>
      </w:r>
    </w:p>
    <w:p w14:paraId="3476D3EE"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Available at: wsupolice.wordpress.com/community-trust-and-police-integrity/</w:t>
      </w:r>
    </w:p>
    <w:p w14:paraId="4DAD1100"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6</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0372080B" w14:textId="77777777" w:rsidR="00A22AE7" w:rsidRPr="00A22AE7" w:rsidRDefault="00A22AE7" w:rsidP="00A22AE7">
      <w:pPr>
        <w:spacing w:line="259" w:lineRule="auto"/>
        <w:rPr>
          <w:rFonts w:ascii="Calibri" w:eastAsiaTheme="minorHAnsi" w:hAnsi="Calibri" w:cs="Calibri"/>
          <w:sz w:val="22"/>
          <w:szCs w:val="22"/>
          <w:lang w:eastAsia="en-US"/>
        </w:rPr>
      </w:pPr>
    </w:p>
    <w:p w14:paraId="48AB35B5" w14:textId="77777777" w:rsidR="00A22AE7" w:rsidRPr="00A22AE7" w:rsidRDefault="00A22AE7" w:rsidP="00A22AE7">
      <w:pPr>
        <w:spacing w:line="259" w:lineRule="auto"/>
        <w:rPr>
          <w:rFonts w:ascii="Calibri" w:eastAsiaTheme="minorHAnsi" w:hAnsi="Calibri" w:cs="Calibri"/>
          <w:sz w:val="22"/>
          <w:szCs w:val="22"/>
          <w:lang w:eastAsia="en-US"/>
        </w:rPr>
      </w:pPr>
    </w:p>
    <w:p w14:paraId="6B3844EE"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Gov.uk (2015): </w:t>
      </w:r>
      <w:r w:rsidRPr="00A22AE7">
        <w:rPr>
          <w:rFonts w:ascii="Calibri" w:eastAsiaTheme="minorHAnsi" w:hAnsi="Calibri" w:cs="Calibri"/>
          <w:i/>
          <w:sz w:val="22"/>
          <w:szCs w:val="22"/>
          <w:lang w:eastAsia="en-US"/>
        </w:rPr>
        <w:t>Communications data</w:t>
      </w:r>
    </w:p>
    <w:p w14:paraId="68B9590B"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35" w:history="1">
        <w:r w:rsidRPr="00A22AE7">
          <w:rPr>
            <w:rFonts w:ascii="Calibri" w:eastAsiaTheme="minorHAnsi" w:hAnsi="Calibri" w:cs="Calibri"/>
            <w:color w:val="0563C1" w:themeColor="hyperlink"/>
            <w:sz w:val="22"/>
            <w:szCs w:val="22"/>
            <w:u w:val="single"/>
            <w:lang w:eastAsia="en-US"/>
          </w:rPr>
          <w:t>https://www.gov.uk/government/collections/communications-data</w:t>
        </w:r>
      </w:hyperlink>
    </w:p>
    <w:p w14:paraId="2999DB21"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0E785C8E" w14:textId="77777777" w:rsidR="00A22AE7" w:rsidRPr="00A22AE7" w:rsidRDefault="00A22AE7" w:rsidP="00A22AE7">
      <w:pPr>
        <w:rPr>
          <w:rFonts w:asciiTheme="minorHAnsi" w:eastAsiaTheme="minorHAnsi" w:hAnsiTheme="minorHAnsi" w:cstheme="minorBidi"/>
          <w:sz w:val="22"/>
          <w:szCs w:val="22"/>
          <w:lang w:eastAsia="en-US"/>
        </w:rPr>
      </w:pPr>
    </w:p>
    <w:p w14:paraId="3A8365B7" w14:textId="77777777" w:rsidR="00A22AE7" w:rsidRPr="00A22AE7" w:rsidRDefault="00A22AE7" w:rsidP="00A22AE7">
      <w:pPr>
        <w:rPr>
          <w:rFonts w:asciiTheme="minorHAnsi" w:eastAsiaTheme="minorHAnsi" w:hAnsiTheme="minorHAnsi" w:cstheme="minorBidi"/>
          <w:sz w:val="22"/>
          <w:szCs w:val="22"/>
          <w:lang w:eastAsia="en-US"/>
        </w:rPr>
      </w:pPr>
    </w:p>
    <w:p w14:paraId="5DE1E4D0" w14:textId="77777777" w:rsidR="00A22AE7" w:rsidRPr="00A22AE7" w:rsidRDefault="00A22AE7" w:rsidP="00A22AE7">
      <w:pPr>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Gov.UK (2012) </w:t>
      </w:r>
      <w:r w:rsidRPr="00A22AE7">
        <w:rPr>
          <w:rFonts w:asciiTheme="minorHAnsi" w:eastAsiaTheme="minorHAnsi" w:hAnsiTheme="minorHAnsi" w:cstheme="minorBidi"/>
          <w:i/>
          <w:sz w:val="22"/>
          <w:szCs w:val="22"/>
          <w:lang w:eastAsia="en-US"/>
        </w:rPr>
        <w:t>Definition of Policing by Consent.</w:t>
      </w:r>
    </w:p>
    <w:p w14:paraId="3E13D668"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36" w:history="1">
        <w:r w:rsidRPr="00A22AE7">
          <w:rPr>
            <w:rFonts w:asciiTheme="minorHAnsi" w:eastAsiaTheme="minorHAnsi" w:hAnsiTheme="minorHAnsi" w:cstheme="minorBidi"/>
            <w:color w:val="0563C1" w:themeColor="hyperlink"/>
            <w:sz w:val="22"/>
            <w:szCs w:val="22"/>
            <w:u w:val="single"/>
            <w:lang w:eastAsia="en-US"/>
          </w:rPr>
          <w:t>www.gov.uk/government/publications/policing-by-consent/definition-of-policing-by-consent</w:t>
        </w:r>
      </w:hyperlink>
    </w:p>
    <w:p w14:paraId="1A151B44"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6</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36C3BE1F" w14:textId="77777777" w:rsidR="00A22AE7" w:rsidRPr="00A22AE7" w:rsidRDefault="00A22AE7" w:rsidP="00A22AE7">
      <w:pPr>
        <w:rPr>
          <w:rFonts w:asciiTheme="minorHAnsi" w:eastAsiaTheme="minorHAnsi" w:hAnsiTheme="minorHAnsi" w:cstheme="minorBidi"/>
          <w:sz w:val="22"/>
          <w:szCs w:val="22"/>
          <w:lang w:eastAsia="en-US"/>
        </w:rPr>
      </w:pPr>
    </w:p>
    <w:p w14:paraId="0E616A81" w14:textId="77777777" w:rsidR="00A22AE7" w:rsidRPr="00A22AE7" w:rsidRDefault="00A22AE7" w:rsidP="00A22AE7">
      <w:pPr>
        <w:rPr>
          <w:rFonts w:asciiTheme="minorHAnsi" w:eastAsiaTheme="minorHAnsi" w:hAnsiTheme="minorHAnsi" w:cstheme="minorBidi"/>
          <w:sz w:val="22"/>
          <w:szCs w:val="22"/>
          <w:lang w:eastAsia="en-US"/>
        </w:rPr>
      </w:pPr>
    </w:p>
    <w:p w14:paraId="4A3F9607"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Gov.uk (2020): </w:t>
      </w:r>
      <w:r w:rsidRPr="00A22AE7">
        <w:rPr>
          <w:rFonts w:ascii="Calibri" w:eastAsiaTheme="minorHAnsi" w:hAnsi="Calibri" w:cs="Calibri"/>
          <w:i/>
          <w:sz w:val="22"/>
          <w:szCs w:val="22"/>
          <w:lang w:eastAsia="en-US"/>
        </w:rPr>
        <w:t>Guidance – Regulation of Investigatory Powers Act 2000 (RIPA)</w:t>
      </w:r>
    </w:p>
    <w:p w14:paraId="046B691B"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37" w:history="1">
        <w:r w:rsidRPr="00A22AE7">
          <w:rPr>
            <w:rFonts w:ascii="Calibri" w:eastAsiaTheme="minorHAnsi" w:hAnsi="Calibri" w:cs="Calibri"/>
            <w:color w:val="0563C1" w:themeColor="hyperlink"/>
            <w:sz w:val="22"/>
            <w:szCs w:val="22"/>
            <w:u w:val="single"/>
            <w:lang w:eastAsia="en-US"/>
          </w:rPr>
          <w:t>https://www..gov.uk/government/publications/regulation-of-investigatory-powers-act-2000-ripa</w:t>
        </w:r>
      </w:hyperlink>
    </w:p>
    <w:p w14:paraId="27ABED21"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09B4C6EF" w14:textId="77777777" w:rsidR="00A22AE7" w:rsidRPr="00A22AE7" w:rsidRDefault="00A22AE7" w:rsidP="00A22AE7">
      <w:pPr>
        <w:spacing w:line="259" w:lineRule="auto"/>
        <w:rPr>
          <w:rFonts w:ascii="Calibri" w:eastAsiaTheme="minorHAnsi" w:hAnsi="Calibri" w:cs="Calibri"/>
          <w:sz w:val="22"/>
          <w:szCs w:val="22"/>
          <w:lang w:eastAsia="en-US"/>
        </w:rPr>
      </w:pPr>
    </w:p>
    <w:p w14:paraId="77407E49"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0039B0F5"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HM Government (2018): </w:t>
      </w:r>
      <w:r w:rsidRPr="00A22AE7">
        <w:rPr>
          <w:rFonts w:asciiTheme="minorHAnsi" w:eastAsiaTheme="minorHAnsi" w:hAnsiTheme="minorHAnsi" w:cstheme="minorBidi"/>
          <w:i/>
          <w:sz w:val="22"/>
          <w:szCs w:val="22"/>
          <w:lang w:eastAsia="en-US"/>
        </w:rPr>
        <w:t>Serious and Organised Crime Strategy.</w:t>
      </w:r>
    </w:p>
    <w:p w14:paraId="404652FD"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Available at::</w:t>
      </w:r>
      <w:hyperlink r:id="rId38" w:history="1">
        <w:r w:rsidRPr="00A22AE7">
          <w:rPr>
            <w:rFonts w:asciiTheme="minorHAnsi" w:eastAsiaTheme="minorHAnsi" w:hAnsiTheme="minorHAnsi" w:cstheme="minorBidi"/>
            <w:color w:val="0563C1" w:themeColor="hyperlink"/>
            <w:sz w:val="22"/>
            <w:szCs w:val="22"/>
            <w:u w:val="single"/>
            <w:lang w:eastAsia="en-US"/>
          </w:rPr>
          <w:t>https://assets.publishing.service.gov.uk/government/uploads/system/uploads/attachment_data/file/752850/SOC-2018-web.pdf</w:t>
        </w:r>
      </w:hyperlink>
    </w:p>
    <w:p w14:paraId="64EA7F4A"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10</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132217C5"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1DF6AAE6"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1B06F43A"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74D41129"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06A345AA"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lastRenderedPageBreak/>
        <w:t xml:space="preserve">Home Office (2016): </w:t>
      </w:r>
      <w:r w:rsidRPr="00A22AE7">
        <w:rPr>
          <w:rFonts w:asciiTheme="minorHAnsi" w:eastAsiaTheme="minorHAnsi" w:hAnsiTheme="minorHAnsi" w:cstheme="minorBidi"/>
          <w:i/>
          <w:iCs/>
          <w:sz w:val="22"/>
          <w:szCs w:val="22"/>
          <w:lang w:eastAsia="en-US"/>
        </w:rPr>
        <w:t>Modern Crime Prevention Strategy</w:t>
      </w:r>
    </w:p>
    <w:p w14:paraId="40B4304C"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Available at: https://assets.publishing.service.gov.uk/government/uploads/system/uploads/attachment _data/file/509831/6.17770_Modern_Crime_Prevention_Strategy_find_</w:t>
      </w:r>
    </w:p>
    <w:p w14:paraId="5BADAD86"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30E6C652"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20530D0F"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2D28C70D"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IACP Police Chief (2021): </w:t>
      </w:r>
      <w:r w:rsidRPr="00A22AE7">
        <w:rPr>
          <w:rFonts w:ascii="Calibri" w:eastAsiaTheme="minorHAnsi" w:hAnsi="Calibri" w:cs="Calibri"/>
          <w:i/>
          <w:sz w:val="22"/>
          <w:szCs w:val="22"/>
          <w:lang w:eastAsia="en-US"/>
        </w:rPr>
        <w:t xml:space="preserve">Intelligence-led Policing: Changing the face of crime prevention </w:t>
      </w:r>
    </w:p>
    <w:p w14:paraId="106905F5"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39" w:history="1">
        <w:r w:rsidRPr="00A22AE7">
          <w:rPr>
            <w:rFonts w:ascii="Calibri" w:eastAsiaTheme="minorHAnsi" w:hAnsi="Calibri" w:cs="Calibri"/>
            <w:color w:val="0563C1" w:themeColor="hyperlink"/>
            <w:sz w:val="22"/>
            <w:szCs w:val="22"/>
            <w:u w:val="single"/>
            <w:lang w:eastAsia="en-US"/>
          </w:rPr>
          <w:t>https://www.policechiefmagazine.org/changing-the-face-crime/prevention</w:t>
        </w:r>
      </w:hyperlink>
    </w:p>
    <w:p w14:paraId="28163F61"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788A28A1" w14:textId="77777777" w:rsidR="00A22AE7" w:rsidRPr="00A22AE7" w:rsidRDefault="00A22AE7" w:rsidP="00A22AE7">
      <w:pPr>
        <w:spacing w:line="259" w:lineRule="auto"/>
        <w:rPr>
          <w:rFonts w:ascii="Calibri" w:eastAsiaTheme="minorHAnsi" w:hAnsi="Calibri" w:cs="Calibri"/>
          <w:sz w:val="22"/>
          <w:szCs w:val="22"/>
          <w:lang w:eastAsia="en-US"/>
        </w:rPr>
      </w:pPr>
    </w:p>
    <w:p w14:paraId="674591C3" w14:textId="77777777" w:rsidR="00A22AE7" w:rsidRPr="00A22AE7" w:rsidRDefault="00A22AE7" w:rsidP="00A22AE7">
      <w:pPr>
        <w:spacing w:line="259" w:lineRule="auto"/>
        <w:rPr>
          <w:rFonts w:ascii="Calibri" w:eastAsiaTheme="minorHAnsi" w:hAnsi="Calibri" w:cs="Calibri"/>
          <w:sz w:val="22"/>
          <w:szCs w:val="22"/>
          <w:lang w:eastAsia="en-US"/>
        </w:rPr>
      </w:pPr>
    </w:p>
    <w:p w14:paraId="72F5C79E" w14:textId="77777777" w:rsidR="00A22AE7" w:rsidRPr="00A22AE7" w:rsidRDefault="00A22AE7" w:rsidP="00A22AE7">
      <w:pPr>
        <w:spacing w:line="259" w:lineRule="auto"/>
        <w:rPr>
          <w:rFonts w:ascii="Calibri" w:eastAsiaTheme="minorHAnsi" w:hAnsi="Calibri" w:cs="Calibri"/>
          <w:i/>
          <w:iCs/>
          <w:sz w:val="22"/>
          <w:szCs w:val="22"/>
          <w:lang w:eastAsia="en-US"/>
        </w:rPr>
      </w:pPr>
      <w:r w:rsidRPr="00A22AE7">
        <w:rPr>
          <w:rFonts w:ascii="Calibri" w:eastAsiaTheme="minorHAnsi" w:hAnsi="Calibri" w:cs="Calibri"/>
          <w:sz w:val="22"/>
          <w:szCs w:val="22"/>
          <w:lang w:eastAsia="en-US"/>
        </w:rPr>
        <w:t xml:space="preserve">Intelligence with Steve (2020): </w:t>
      </w:r>
      <w:r w:rsidRPr="00A22AE7">
        <w:rPr>
          <w:rFonts w:ascii="Calibri" w:eastAsiaTheme="minorHAnsi" w:hAnsi="Calibri" w:cs="Calibri"/>
          <w:i/>
          <w:iCs/>
          <w:sz w:val="22"/>
          <w:szCs w:val="22"/>
          <w:lang w:eastAsia="en-US"/>
        </w:rPr>
        <w:t>The 5-minute guide to the intelligence grading process and its application in OSINT</w:t>
      </w:r>
    </w:p>
    <w:p w14:paraId="59F7FA2C"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Calibri" w:eastAsiaTheme="minorHAnsi" w:hAnsi="Calibri" w:cs="Calibri"/>
          <w:sz w:val="22"/>
          <w:szCs w:val="22"/>
          <w:lang w:eastAsia="en-US"/>
        </w:rPr>
        <w:t xml:space="preserve">Available at: </w:t>
      </w:r>
      <w:hyperlink r:id="rId40" w:history="1">
        <w:r w:rsidRPr="00A22AE7">
          <w:rPr>
            <w:rFonts w:asciiTheme="minorHAnsi" w:eastAsiaTheme="minorHAnsi" w:hAnsiTheme="minorHAnsi" w:cstheme="minorBidi"/>
            <w:color w:val="4472C4" w:themeColor="accent1"/>
            <w:sz w:val="22"/>
            <w:szCs w:val="22"/>
            <w:u w:val="single"/>
            <w:lang w:eastAsia="en-US"/>
          </w:rPr>
          <w:t>The 5-minute guide to the intelligence grading process and its application in OSINT (intelligencewithsteve.com)</w:t>
        </w:r>
      </w:hyperlink>
    </w:p>
    <w:p w14:paraId="19455AE7"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Theme="minorHAnsi" w:eastAsiaTheme="minorHAnsi" w:hAnsiTheme="minorHAnsi" w:cstheme="minorBidi"/>
          <w:sz w:val="22"/>
          <w:szCs w:val="22"/>
          <w:lang w:eastAsia="en-US"/>
        </w:rPr>
        <w:t>(Accessed 22</w:t>
      </w:r>
      <w:r w:rsidRPr="00A22AE7">
        <w:rPr>
          <w:rFonts w:asciiTheme="minorHAnsi" w:eastAsiaTheme="minorHAnsi" w:hAnsiTheme="minorHAnsi" w:cstheme="minorBidi"/>
          <w:sz w:val="22"/>
          <w:szCs w:val="22"/>
          <w:vertAlign w:val="superscript"/>
          <w:lang w:eastAsia="en-US"/>
        </w:rPr>
        <w:t>nd</w:t>
      </w:r>
      <w:r w:rsidRPr="00A22AE7">
        <w:rPr>
          <w:rFonts w:asciiTheme="minorHAnsi" w:eastAsiaTheme="minorHAnsi" w:hAnsiTheme="minorHAnsi" w:cstheme="minorBidi"/>
          <w:sz w:val="22"/>
          <w:szCs w:val="22"/>
          <w:lang w:eastAsia="en-US"/>
        </w:rPr>
        <w:t xml:space="preserve"> November 2021)</w:t>
      </w:r>
    </w:p>
    <w:p w14:paraId="14BD1F7F" w14:textId="77777777" w:rsidR="00A22AE7" w:rsidRPr="00A22AE7" w:rsidRDefault="00A22AE7" w:rsidP="00A22AE7">
      <w:pPr>
        <w:spacing w:line="259" w:lineRule="auto"/>
        <w:rPr>
          <w:rFonts w:ascii="Calibri" w:eastAsiaTheme="minorHAnsi" w:hAnsi="Calibri" w:cs="Calibri"/>
          <w:sz w:val="22"/>
          <w:szCs w:val="22"/>
          <w:lang w:eastAsia="en-US"/>
        </w:rPr>
      </w:pPr>
    </w:p>
    <w:p w14:paraId="366DFADE" w14:textId="77777777" w:rsidR="00A22AE7" w:rsidRPr="00A22AE7" w:rsidRDefault="00A22AE7" w:rsidP="00A22AE7">
      <w:pPr>
        <w:spacing w:line="259" w:lineRule="auto"/>
        <w:rPr>
          <w:rFonts w:ascii="Calibri" w:eastAsiaTheme="minorHAnsi" w:hAnsi="Calibri" w:cs="Calibri"/>
          <w:sz w:val="22"/>
          <w:szCs w:val="22"/>
          <w:lang w:eastAsia="en-US"/>
        </w:rPr>
      </w:pPr>
    </w:p>
    <w:p w14:paraId="343DE52D"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Law.jrank.org: </w:t>
      </w:r>
      <w:r w:rsidRPr="00A22AE7">
        <w:rPr>
          <w:rFonts w:asciiTheme="minorHAnsi" w:eastAsiaTheme="minorHAnsi" w:hAnsiTheme="minorHAnsi" w:cstheme="minorBidi"/>
          <w:i/>
          <w:sz w:val="22"/>
          <w:szCs w:val="22"/>
          <w:lang w:eastAsia="en-US"/>
        </w:rPr>
        <w:t>Police: Community Policing.  The Theory and Practice of Community Policing</w:t>
      </w:r>
      <w:r w:rsidRPr="00A22AE7">
        <w:rPr>
          <w:rFonts w:asciiTheme="minorHAnsi" w:eastAsiaTheme="minorHAnsi" w:hAnsiTheme="minorHAnsi" w:cstheme="minorBidi"/>
          <w:sz w:val="22"/>
          <w:szCs w:val="22"/>
          <w:lang w:eastAsia="en-US"/>
        </w:rPr>
        <w:t xml:space="preserve"> (2021)</w:t>
      </w:r>
    </w:p>
    <w:p w14:paraId="458DB09C"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1" w:anchor=":~:text=But%20there%20are%20also%20drawbacks%20associated%20with%20community,police%20organization%20can%20hamper%20community%20policing%27s%20successful%20implementation" w:history="1">
        <w:r w:rsidRPr="00A22AE7">
          <w:rPr>
            <w:rFonts w:asciiTheme="minorHAnsi" w:eastAsiaTheme="minorHAnsi" w:hAnsiTheme="minorHAnsi" w:cstheme="minorBidi"/>
            <w:color w:val="0563C1" w:themeColor="hyperlink"/>
            <w:sz w:val="22"/>
            <w:szCs w:val="22"/>
            <w:u w:val="single"/>
            <w:lang w:eastAsia="en-US"/>
          </w:rPr>
          <w:t>https://law.jrank.org/pages/1650/Police-Community-Policing-theory-practice-community-policing.html#:~:text=But%20there%20are%20also%20drawbacks%20associated%20with%20community,police%20organization%20can%20hamper%20community%20policing%27s%20successful%20implementation</w:t>
        </w:r>
      </w:hyperlink>
      <w:r w:rsidRPr="00A22AE7">
        <w:rPr>
          <w:rFonts w:asciiTheme="minorHAnsi" w:eastAsiaTheme="minorHAnsi" w:hAnsiTheme="minorHAnsi" w:cstheme="minorBidi"/>
          <w:sz w:val="22"/>
          <w:szCs w:val="22"/>
          <w:lang w:eastAsia="en-US"/>
        </w:rPr>
        <w:t>.</w:t>
      </w:r>
    </w:p>
    <w:p w14:paraId="67BD3287"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14</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6048476C"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4FE8E708"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34F3EDDB"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Medical News Today (2020): </w:t>
      </w:r>
      <w:r w:rsidRPr="00A22AE7">
        <w:rPr>
          <w:rFonts w:asciiTheme="minorHAnsi" w:eastAsiaTheme="minorHAnsi" w:hAnsiTheme="minorHAnsi" w:cstheme="minorBidi"/>
          <w:i/>
          <w:sz w:val="22"/>
          <w:szCs w:val="22"/>
          <w:lang w:eastAsia="en-US"/>
        </w:rPr>
        <w:t>What is Trauma Bonding?</w:t>
      </w:r>
    </w:p>
    <w:p w14:paraId="0CF8BD22"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2" w:history="1">
        <w:r w:rsidRPr="00A22AE7">
          <w:rPr>
            <w:rFonts w:asciiTheme="minorHAnsi" w:eastAsiaTheme="minorHAnsi" w:hAnsiTheme="minorHAnsi" w:cstheme="minorBidi"/>
            <w:color w:val="0563C1" w:themeColor="hyperlink"/>
            <w:sz w:val="22"/>
            <w:szCs w:val="22"/>
            <w:u w:val="single"/>
            <w:lang w:eastAsia="en-US"/>
          </w:rPr>
          <w:t>https://www.medicalnewstoday.com/articles/trauma-bonding</w:t>
        </w:r>
      </w:hyperlink>
    </w:p>
    <w:p w14:paraId="3D7C7B46"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6B91EF90" w14:textId="77777777" w:rsidR="00A22AE7" w:rsidRPr="00A22AE7" w:rsidRDefault="00A22AE7" w:rsidP="00A22AE7">
      <w:pPr>
        <w:rPr>
          <w:rFonts w:asciiTheme="minorHAnsi" w:eastAsiaTheme="minorHAnsi" w:hAnsiTheme="minorHAnsi" w:cstheme="minorBidi"/>
          <w:sz w:val="22"/>
          <w:szCs w:val="22"/>
          <w:lang w:eastAsia="en-US"/>
        </w:rPr>
      </w:pPr>
    </w:p>
    <w:p w14:paraId="58A05DEC" w14:textId="77777777" w:rsidR="00A22AE7" w:rsidRPr="00A22AE7" w:rsidRDefault="00A22AE7" w:rsidP="00A22AE7">
      <w:pPr>
        <w:rPr>
          <w:rFonts w:asciiTheme="minorHAnsi" w:eastAsiaTheme="minorHAnsi" w:hAnsiTheme="minorHAnsi" w:cstheme="minorBidi"/>
          <w:sz w:val="22"/>
          <w:szCs w:val="22"/>
          <w:lang w:eastAsia="en-US"/>
        </w:rPr>
      </w:pPr>
    </w:p>
    <w:p w14:paraId="1B401542"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Moray Council (no date): </w:t>
      </w:r>
      <w:r w:rsidRPr="00A22AE7">
        <w:rPr>
          <w:rFonts w:ascii="Calibri" w:eastAsiaTheme="minorHAnsi" w:hAnsi="Calibri" w:cs="Calibri"/>
          <w:i/>
          <w:sz w:val="22"/>
          <w:szCs w:val="22"/>
          <w:lang w:eastAsia="en-US"/>
        </w:rPr>
        <w:t>Covert Human Intelligence Sources (CHIS)</w:t>
      </w:r>
    </w:p>
    <w:p w14:paraId="047C3562"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43" w:history="1">
        <w:r w:rsidRPr="00A22AE7">
          <w:rPr>
            <w:rFonts w:ascii="Calibri" w:eastAsiaTheme="minorHAnsi" w:hAnsi="Calibri" w:cs="Calibri"/>
            <w:color w:val="0563C1" w:themeColor="hyperlink"/>
            <w:sz w:val="22"/>
            <w:szCs w:val="22"/>
            <w:u w:val="single"/>
            <w:lang w:eastAsia="en-US"/>
          </w:rPr>
          <w:t>www.moray.gov.uk/moray_standard/page_67933.html</w:t>
        </w:r>
      </w:hyperlink>
    </w:p>
    <w:p w14:paraId="2C18B11E"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4A4F8E6F" w14:textId="77777777" w:rsidR="00A22AE7" w:rsidRPr="00A22AE7" w:rsidRDefault="00A22AE7" w:rsidP="00A22AE7">
      <w:pPr>
        <w:rPr>
          <w:rFonts w:asciiTheme="minorHAnsi" w:eastAsiaTheme="minorHAnsi" w:hAnsiTheme="minorHAnsi" w:cstheme="minorBidi"/>
          <w:sz w:val="22"/>
          <w:szCs w:val="22"/>
          <w:lang w:eastAsia="en-US"/>
        </w:rPr>
      </w:pPr>
    </w:p>
    <w:p w14:paraId="69181D8D" w14:textId="77777777" w:rsidR="00A22AE7" w:rsidRPr="00A22AE7" w:rsidRDefault="00A22AE7" w:rsidP="00A22AE7">
      <w:pPr>
        <w:rPr>
          <w:rFonts w:asciiTheme="minorHAnsi" w:eastAsiaTheme="minorHAnsi" w:hAnsiTheme="minorHAnsi" w:cstheme="minorBidi"/>
          <w:sz w:val="22"/>
          <w:szCs w:val="22"/>
          <w:lang w:eastAsia="en-US"/>
        </w:rPr>
      </w:pPr>
    </w:p>
    <w:p w14:paraId="5D329345"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National Audit Office (2019): </w:t>
      </w:r>
      <w:r w:rsidRPr="00A22AE7">
        <w:rPr>
          <w:rFonts w:asciiTheme="minorHAnsi" w:eastAsiaTheme="minorHAnsi" w:hAnsiTheme="minorHAnsi" w:cstheme="minorBidi"/>
          <w:i/>
          <w:sz w:val="22"/>
          <w:szCs w:val="22"/>
          <w:lang w:eastAsia="en-US"/>
        </w:rPr>
        <w:t xml:space="preserve">Tackling serious and organised crime </w:t>
      </w:r>
    </w:p>
    <w:p w14:paraId="7848B13A"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4" w:history="1">
        <w:r w:rsidRPr="00A22AE7">
          <w:rPr>
            <w:rFonts w:asciiTheme="minorHAnsi" w:eastAsiaTheme="minorHAnsi" w:hAnsiTheme="minorHAnsi" w:cstheme="minorBidi"/>
            <w:color w:val="0563C1" w:themeColor="hyperlink"/>
            <w:sz w:val="22"/>
            <w:szCs w:val="22"/>
            <w:u w:val="single"/>
            <w:lang w:eastAsia="en-US"/>
          </w:rPr>
          <w:t>https://www.nao.org.uk/wp-content/uploads/2019/03/Tackling-serious-and-organised-crime-Summary.pdf</w:t>
        </w:r>
      </w:hyperlink>
    </w:p>
    <w:p w14:paraId="17C4053E"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10</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5609E913" w14:textId="77777777" w:rsidR="00A22AE7" w:rsidRPr="00A22AE7" w:rsidRDefault="00A22AE7" w:rsidP="00A22AE7">
      <w:pPr>
        <w:rPr>
          <w:rFonts w:asciiTheme="minorHAnsi" w:eastAsiaTheme="minorHAnsi" w:hAnsiTheme="minorHAnsi" w:cstheme="minorBidi"/>
          <w:sz w:val="22"/>
          <w:szCs w:val="22"/>
          <w:lang w:eastAsia="en-US"/>
        </w:rPr>
      </w:pPr>
    </w:p>
    <w:p w14:paraId="553F57AA" w14:textId="77777777" w:rsidR="00A22AE7" w:rsidRPr="00A22AE7" w:rsidRDefault="00A22AE7" w:rsidP="00A22AE7">
      <w:pPr>
        <w:rPr>
          <w:rFonts w:asciiTheme="minorHAnsi" w:eastAsiaTheme="minorHAnsi" w:hAnsiTheme="minorHAnsi" w:cstheme="minorBidi"/>
          <w:sz w:val="22"/>
          <w:szCs w:val="22"/>
          <w:lang w:eastAsia="en-US"/>
        </w:rPr>
      </w:pPr>
    </w:p>
    <w:p w14:paraId="7A1305D2" w14:textId="77777777" w:rsidR="00A22AE7" w:rsidRPr="00A22AE7" w:rsidRDefault="00A22AE7" w:rsidP="00A22AE7">
      <w:pPr>
        <w:spacing w:line="259" w:lineRule="auto"/>
        <w:rPr>
          <w:rFonts w:ascii="Calibri" w:eastAsiaTheme="minorHAnsi" w:hAnsi="Calibri" w:cs="Calibri"/>
          <w:i/>
          <w:sz w:val="22"/>
          <w:szCs w:val="22"/>
          <w:lang w:eastAsia="en-US"/>
        </w:rPr>
      </w:pPr>
      <w:r w:rsidRPr="00A22AE7">
        <w:rPr>
          <w:rFonts w:ascii="Calibri" w:eastAsiaTheme="minorHAnsi" w:hAnsi="Calibri" w:cs="Calibri"/>
          <w:sz w:val="22"/>
          <w:szCs w:val="22"/>
          <w:lang w:eastAsia="en-US"/>
        </w:rPr>
        <w:t xml:space="preserve">National Criminal Intelligence Service (2000): </w:t>
      </w:r>
      <w:r w:rsidRPr="00A22AE7">
        <w:rPr>
          <w:rFonts w:ascii="Calibri" w:eastAsiaTheme="minorHAnsi" w:hAnsi="Calibri" w:cs="Calibri"/>
          <w:i/>
          <w:sz w:val="22"/>
          <w:szCs w:val="22"/>
          <w:lang w:eastAsia="en-US"/>
        </w:rPr>
        <w:t xml:space="preserve">The National Intelligence Model </w:t>
      </w:r>
    </w:p>
    <w:p w14:paraId="46D34D2A"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 xml:space="preserve">Available at: </w:t>
      </w:r>
      <w:hyperlink r:id="rId45" w:history="1">
        <w:r w:rsidRPr="00A22AE7">
          <w:rPr>
            <w:rFonts w:ascii="Calibri" w:eastAsiaTheme="minorHAnsi" w:hAnsi="Calibri" w:cs="Calibri"/>
            <w:color w:val="0563C1" w:themeColor="hyperlink"/>
            <w:sz w:val="22"/>
            <w:szCs w:val="22"/>
            <w:u w:val="single"/>
            <w:lang w:eastAsia="en-US"/>
          </w:rPr>
          <w:t>www.intelligenceanalysis.net/National%20Intelligence%20Model.pdf</w:t>
        </w:r>
      </w:hyperlink>
    </w:p>
    <w:p w14:paraId="3344121C" w14:textId="77777777" w:rsidR="00A22AE7" w:rsidRPr="00A22AE7" w:rsidRDefault="00A22AE7" w:rsidP="00A22AE7">
      <w:pPr>
        <w:spacing w:line="259" w:lineRule="auto"/>
        <w:rPr>
          <w:rFonts w:ascii="Calibri" w:eastAsiaTheme="minorHAnsi" w:hAnsi="Calibri" w:cs="Calibri"/>
          <w:sz w:val="22"/>
          <w:szCs w:val="22"/>
          <w:lang w:eastAsia="en-US"/>
        </w:rPr>
      </w:pPr>
      <w:r w:rsidRPr="00A22AE7">
        <w:rPr>
          <w:rFonts w:ascii="Calibri" w:eastAsiaTheme="minorHAnsi" w:hAnsi="Calibri" w:cs="Calibri"/>
          <w:sz w:val="22"/>
          <w:szCs w:val="22"/>
          <w:lang w:eastAsia="en-US"/>
        </w:rPr>
        <w:t>(Accessed 4</w:t>
      </w:r>
      <w:r w:rsidRPr="00A22AE7">
        <w:rPr>
          <w:rFonts w:ascii="Calibri" w:eastAsiaTheme="minorHAnsi" w:hAnsi="Calibri" w:cs="Calibri"/>
          <w:sz w:val="22"/>
          <w:szCs w:val="22"/>
          <w:vertAlign w:val="superscript"/>
          <w:lang w:eastAsia="en-US"/>
        </w:rPr>
        <w:t>th</w:t>
      </w:r>
      <w:r w:rsidRPr="00A22AE7">
        <w:rPr>
          <w:rFonts w:ascii="Calibri" w:eastAsiaTheme="minorHAnsi" w:hAnsi="Calibri" w:cs="Calibri"/>
          <w:sz w:val="22"/>
          <w:szCs w:val="22"/>
          <w:lang w:eastAsia="en-US"/>
        </w:rPr>
        <w:t xml:space="preserve"> November 2021)</w:t>
      </w:r>
    </w:p>
    <w:p w14:paraId="55778B72" w14:textId="77777777" w:rsidR="00A22AE7" w:rsidRPr="00A22AE7" w:rsidRDefault="00A22AE7" w:rsidP="00A22AE7">
      <w:pPr>
        <w:rPr>
          <w:rFonts w:asciiTheme="minorHAnsi" w:eastAsiaTheme="minorHAnsi" w:hAnsiTheme="minorHAnsi" w:cstheme="minorBidi"/>
          <w:sz w:val="22"/>
          <w:szCs w:val="22"/>
          <w:lang w:eastAsia="en-US"/>
        </w:rPr>
      </w:pPr>
    </w:p>
    <w:p w14:paraId="662D74FF" w14:textId="77777777" w:rsidR="00A22AE7" w:rsidRPr="00A22AE7" w:rsidRDefault="00A22AE7" w:rsidP="00A22AE7">
      <w:pPr>
        <w:rPr>
          <w:rFonts w:asciiTheme="minorHAnsi" w:eastAsiaTheme="minorHAnsi" w:hAnsiTheme="minorHAnsi" w:cstheme="minorBidi"/>
          <w:sz w:val="22"/>
          <w:szCs w:val="22"/>
          <w:lang w:eastAsia="en-US"/>
        </w:rPr>
      </w:pPr>
    </w:p>
    <w:p w14:paraId="78EE39A5"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lastRenderedPageBreak/>
        <w:t xml:space="preserve">Pepper, I., Rogers, C. and Martin, H. (2020) “Evidence based policing: a view on its development within the police service”, </w:t>
      </w:r>
      <w:r w:rsidRPr="00A22AE7">
        <w:rPr>
          <w:rFonts w:asciiTheme="minorHAnsi" w:eastAsiaTheme="minorHAnsi" w:hAnsiTheme="minorHAnsi" w:cstheme="minorBidi"/>
          <w:i/>
          <w:iCs/>
          <w:sz w:val="22"/>
          <w:szCs w:val="22"/>
          <w:lang w:eastAsia="en-US"/>
        </w:rPr>
        <w:t xml:space="preserve">Journal of Work-Applied Management, </w:t>
      </w:r>
      <w:r w:rsidRPr="00A22AE7">
        <w:rPr>
          <w:rFonts w:asciiTheme="minorHAnsi" w:eastAsiaTheme="minorHAnsi" w:hAnsiTheme="minorHAnsi" w:cstheme="minorBidi"/>
          <w:sz w:val="22"/>
          <w:szCs w:val="22"/>
          <w:lang w:eastAsia="en-US"/>
        </w:rPr>
        <w:t>12 (1), pp. 91-96.  Doi:10.1108/JWAM-01-2020-0001</w:t>
      </w:r>
    </w:p>
    <w:p w14:paraId="66265511" w14:textId="77777777" w:rsidR="00A22AE7" w:rsidRPr="00A22AE7" w:rsidRDefault="00A22AE7" w:rsidP="00A22AE7">
      <w:pPr>
        <w:rPr>
          <w:rFonts w:asciiTheme="minorHAnsi" w:eastAsiaTheme="minorHAnsi" w:hAnsiTheme="minorHAnsi" w:cstheme="minorBidi"/>
          <w:sz w:val="22"/>
          <w:szCs w:val="22"/>
          <w:lang w:eastAsia="en-US"/>
        </w:rPr>
      </w:pPr>
    </w:p>
    <w:p w14:paraId="25CAB2A7"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p>
    <w:p w14:paraId="6C347AB2" w14:textId="77777777"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t xml:space="preserve">Police Foundation (1998): </w:t>
      </w:r>
      <w:r w:rsidRPr="00A22AE7">
        <w:rPr>
          <w:rFonts w:asciiTheme="minorHAnsi" w:eastAsiaTheme="minorHAnsi" w:hAnsiTheme="minorHAnsi" w:cstheme="minorBidi"/>
          <w:i/>
          <w:iCs/>
          <w:sz w:val="22"/>
          <w:szCs w:val="22"/>
          <w:lang w:eastAsia="en-US"/>
        </w:rPr>
        <w:t>Ideas in American Policing</w:t>
      </w:r>
    </w:p>
    <w:p w14:paraId="3453EA30"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6" w:history="1">
        <w:r w:rsidRPr="00A22AE7">
          <w:rPr>
            <w:rFonts w:asciiTheme="minorHAnsi" w:eastAsiaTheme="minorHAnsi" w:hAnsiTheme="minorHAnsi" w:cstheme="minorBidi"/>
            <w:color w:val="0563C1" w:themeColor="hyperlink"/>
            <w:sz w:val="22"/>
            <w:szCs w:val="22"/>
            <w:u w:val="single"/>
            <w:lang w:eastAsia="en-US"/>
          </w:rPr>
          <w:t>www.policefoundation.org/wp-content/uploads/2015/06/Sherman-1998-Evidence-Based-Policing.pdf</w:t>
        </w:r>
      </w:hyperlink>
    </w:p>
    <w:p w14:paraId="124C0018"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15</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08AC453B" w14:textId="77777777" w:rsidR="00A22AE7" w:rsidRPr="00A22AE7" w:rsidRDefault="00A22AE7" w:rsidP="00A22AE7">
      <w:pPr>
        <w:rPr>
          <w:rFonts w:asciiTheme="minorHAnsi" w:eastAsiaTheme="minorHAnsi" w:hAnsiTheme="minorHAnsi" w:cstheme="minorBidi"/>
          <w:sz w:val="22"/>
          <w:szCs w:val="22"/>
          <w:lang w:eastAsia="en-US"/>
        </w:rPr>
      </w:pPr>
    </w:p>
    <w:p w14:paraId="53E897DD" w14:textId="77777777" w:rsidR="00A22AE7" w:rsidRPr="00A22AE7" w:rsidRDefault="00A22AE7" w:rsidP="00A22AE7">
      <w:pPr>
        <w:rPr>
          <w:rFonts w:asciiTheme="minorHAnsi" w:eastAsiaTheme="minorHAnsi" w:hAnsiTheme="minorHAnsi" w:cstheme="minorBidi"/>
          <w:sz w:val="22"/>
          <w:szCs w:val="22"/>
          <w:lang w:eastAsia="en-US"/>
        </w:rPr>
      </w:pPr>
    </w:p>
    <w:p w14:paraId="1D16D24D" w14:textId="77777777" w:rsidR="00A22AE7" w:rsidRPr="00A22AE7" w:rsidRDefault="00A22AE7" w:rsidP="00A22AE7">
      <w:pPr>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Politics.co.uk (no date), </w:t>
      </w:r>
      <w:r w:rsidRPr="00A22AE7">
        <w:rPr>
          <w:rFonts w:asciiTheme="minorHAnsi" w:eastAsiaTheme="minorHAnsi" w:hAnsiTheme="minorHAnsi" w:cstheme="minorBidi"/>
          <w:i/>
          <w:sz w:val="22"/>
          <w:szCs w:val="22"/>
          <w:lang w:eastAsia="en-US"/>
        </w:rPr>
        <w:t>Police Numbers</w:t>
      </w:r>
    </w:p>
    <w:p w14:paraId="0F8EA5B9"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7" w:history="1">
        <w:r w:rsidRPr="00A22AE7">
          <w:rPr>
            <w:rFonts w:asciiTheme="minorHAnsi" w:eastAsiaTheme="minorHAnsi" w:hAnsiTheme="minorHAnsi" w:cstheme="minorBidi"/>
            <w:color w:val="0563C1" w:themeColor="hyperlink"/>
            <w:sz w:val="22"/>
            <w:szCs w:val="22"/>
            <w:u w:val="single"/>
            <w:lang w:eastAsia="en-US"/>
          </w:rPr>
          <w:t>www.politics.co.uk/reference/police-numbers-and-recruitment</w:t>
        </w:r>
      </w:hyperlink>
    </w:p>
    <w:p w14:paraId="6E786433"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6</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1BA8E8FF"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39FF4AD7"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11E6E988"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South Wales Police (2021): </w:t>
      </w:r>
      <w:r w:rsidRPr="00A22AE7">
        <w:rPr>
          <w:rFonts w:asciiTheme="minorHAnsi" w:eastAsiaTheme="minorHAnsi" w:hAnsiTheme="minorHAnsi" w:cstheme="minorBidi"/>
          <w:i/>
          <w:sz w:val="22"/>
          <w:szCs w:val="22"/>
          <w:lang w:eastAsia="en-US"/>
        </w:rPr>
        <w:t>Support for victims and witnesses of crime</w:t>
      </w:r>
    </w:p>
    <w:p w14:paraId="6299CE8F"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8" w:history="1">
        <w:r w:rsidRPr="00A22AE7">
          <w:rPr>
            <w:rFonts w:asciiTheme="minorHAnsi" w:eastAsiaTheme="minorHAnsi" w:hAnsiTheme="minorHAnsi" w:cstheme="minorBidi"/>
            <w:color w:val="0563C1" w:themeColor="hyperlink"/>
            <w:sz w:val="22"/>
            <w:szCs w:val="22"/>
            <w:u w:val="single"/>
            <w:lang w:eastAsia="en-US"/>
          </w:rPr>
          <w:t>https://www.south-wales.police.uk/advice/advice-and-information/victim-support/victim-witness-support/</w:t>
        </w:r>
      </w:hyperlink>
    </w:p>
    <w:p w14:paraId="41964114"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3C4B8325"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37F2E4FB"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7C47300C"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Study Mode Research (2013): </w:t>
      </w:r>
      <w:r w:rsidRPr="00A22AE7">
        <w:rPr>
          <w:rFonts w:asciiTheme="minorHAnsi" w:eastAsiaTheme="minorHAnsi" w:hAnsiTheme="minorHAnsi" w:cstheme="minorBidi"/>
          <w:i/>
          <w:sz w:val="22"/>
          <w:szCs w:val="22"/>
          <w:lang w:eastAsia="en-US"/>
        </w:rPr>
        <w:t>Ideal Victim</w:t>
      </w:r>
    </w:p>
    <w:p w14:paraId="520B2568"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49" w:history="1">
        <w:r w:rsidRPr="00A22AE7">
          <w:rPr>
            <w:rFonts w:asciiTheme="minorHAnsi" w:eastAsiaTheme="minorHAnsi" w:hAnsiTheme="minorHAnsi" w:cstheme="minorBidi"/>
            <w:color w:val="0563C1" w:themeColor="hyperlink"/>
            <w:sz w:val="22"/>
            <w:szCs w:val="22"/>
            <w:u w:val="single"/>
            <w:lang w:eastAsia="en-US"/>
          </w:rPr>
          <w:t>https://www.studymode.com/essays/Ideal-Victim-1508988.html</w:t>
        </w:r>
      </w:hyperlink>
    </w:p>
    <w:p w14:paraId="10A6FA19"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70D55976" w14:textId="77777777" w:rsidR="00A22AE7" w:rsidRPr="00A22AE7" w:rsidRDefault="00A22AE7" w:rsidP="00A22AE7">
      <w:pPr>
        <w:rPr>
          <w:rFonts w:asciiTheme="minorHAnsi" w:eastAsiaTheme="minorHAnsi" w:hAnsiTheme="minorHAnsi" w:cstheme="minorBidi"/>
          <w:sz w:val="22"/>
          <w:szCs w:val="22"/>
          <w:lang w:eastAsia="en-US"/>
        </w:rPr>
      </w:pPr>
    </w:p>
    <w:p w14:paraId="43D5EF8A" w14:textId="77777777" w:rsidR="00A22AE7" w:rsidRPr="00A22AE7" w:rsidRDefault="00A22AE7" w:rsidP="00A22AE7">
      <w:pPr>
        <w:rPr>
          <w:rFonts w:asciiTheme="minorHAnsi" w:eastAsiaTheme="minorHAnsi" w:hAnsiTheme="minorHAnsi" w:cstheme="minorBidi"/>
          <w:sz w:val="22"/>
          <w:szCs w:val="22"/>
          <w:lang w:eastAsia="en-US"/>
        </w:rPr>
      </w:pPr>
    </w:p>
    <w:p w14:paraId="01535BBA" w14:textId="77777777"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t xml:space="preserve">The Crime Prevention Website (2012-2021): </w:t>
      </w:r>
      <w:r w:rsidRPr="00A22AE7">
        <w:rPr>
          <w:rFonts w:asciiTheme="minorHAnsi" w:eastAsiaTheme="minorHAnsi" w:hAnsiTheme="minorHAnsi" w:cstheme="minorBidi"/>
          <w:i/>
          <w:iCs/>
          <w:sz w:val="22"/>
          <w:szCs w:val="22"/>
          <w:lang w:eastAsia="en-US"/>
        </w:rPr>
        <w:t>Ten Principles of Crime Prevention</w:t>
      </w:r>
    </w:p>
    <w:p w14:paraId="75F292D5"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50" w:history="1">
        <w:r w:rsidRPr="00A22AE7">
          <w:rPr>
            <w:rFonts w:asciiTheme="minorHAnsi" w:eastAsiaTheme="minorHAnsi" w:hAnsiTheme="minorHAnsi" w:cstheme="minorBidi"/>
            <w:color w:val="0563C1" w:themeColor="hyperlink"/>
            <w:sz w:val="22"/>
            <w:szCs w:val="22"/>
            <w:u w:val="single"/>
            <w:lang w:eastAsia="en-US"/>
          </w:rPr>
          <w:t>https://thecrimepreventionwebsite.com/police-guidnace/720/ten-principles-of-crime-prevention</w:t>
        </w:r>
      </w:hyperlink>
    </w:p>
    <w:p w14:paraId="75F7F248"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4416B81B" w14:textId="77777777" w:rsidR="00A22AE7" w:rsidRPr="00A22AE7" w:rsidRDefault="00A22AE7" w:rsidP="00A22AE7">
      <w:pPr>
        <w:rPr>
          <w:rFonts w:asciiTheme="minorHAnsi" w:eastAsiaTheme="minorHAnsi" w:hAnsiTheme="minorHAnsi" w:cstheme="minorBidi"/>
          <w:sz w:val="22"/>
          <w:szCs w:val="22"/>
          <w:lang w:eastAsia="en-US"/>
        </w:rPr>
      </w:pPr>
    </w:p>
    <w:p w14:paraId="36A1B8B4" w14:textId="77777777" w:rsidR="00A22AE7" w:rsidRPr="00A22AE7" w:rsidRDefault="00A22AE7" w:rsidP="00A22AE7">
      <w:pPr>
        <w:rPr>
          <w:rFonts w:asciiTheme="minorHAnsi" w:eastAsiaTheme="minorHAnsi" w:hAnsiTheme="minorHAnsi" w:cstheme="minorBidi"/>
          <w:sz w:val="22"/>
          <w:szCs w:val="22"/>
          <w:lang w:eastAsia="en-US"/>
        </w:rPr>
      </w:pPr>
    </w:p>
    <w:p w14:paraId="7537A382" w14:textId="77777777"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t xml:space="preserve">The Guardian (2020): </w:t>
      </w:r>
      <w:r w:rsidRPr="00A22AE7">
        <w:rPr>
          <w:rFonts w:asciiTheme="minorHAnsi" w:eastAsiaTheme="minorHAnsi" w:hAnsiTheme="minorHAnsi" w:cstheme="minorBidi"/>
          <w:i/>
          <w:iCs/>
          <w:sz w:val="22"/>
          <w:szCs w:val="22"/>
          <w:lang w:eastAsia="en-US"/>
        </w:rPr>
        <w:t>Durham’s Pioneering police scheme slashes reoffending rates</w:t>
      </w:r>
    </w:p>
    <w:p w14:paraId="7288B56C"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51" w:history="1">
        <w:r w:rsidRPr="00A22AE7">
          <w:rPr>
            <w:rFonts w:asciiTheme="minorHAnsi" w:eastAsiaTheme="minorHAnsi" w:hAnsiTheme="minorHAnsi" w:cstheme="minorBidi"/>
            <w:color w:val="0563C1" w:themeColor="hyperlink"/>
            <w:sz w:val="22"/>
            <w:szCs w:val="22"/>
            <w:u w:val="single"/>
            <w:lang w:eastAsia="en-US"/>
          </w:rPr>
          <w:t>https://www.theguardian.com/uk-news/2020/feb/14/durham-pioneering-police-scheme-slashes-reoffending-rates-rehabilitation-programme</w:t>
        </w:r>
      </w:hyperlink>
    </w:p>
    <w:p w14:paraId="01A4F28A"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20</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2FF946D0" w14:textId="77777777" w:rsidR="00A22AE7" w:rsidRPr="00A22AE7" w:rsidRDefault="00A22AE7" w:rsidP="00A22AE7">
      <w:pPr>
        <w:rPr>
          <w:rFonts w:asciiTheme="minorHAnsi" w:eastAsiaTheme="minorHAnsi" w:hAnsiTheme="minorHAnsi" w:cstheme="minorBidi"/>
          <w:sz w:val="22"/>
          <w:szCs w:val="22"/>
          <w:lang w:eastAsia="en-US"/>
        </w:rPr>
      </w:pPr>
    </w:p>
    <w:p w14:paraId="091E79A0" w14:textId="77777777" w:rsidR="00A22AE7" w:rsidRPr="00A22AE7" w:rsidRDefault="00A22AE7" w:rsidP="00A22AE7">
      <w:pPr>
        <w:rPr>
          <w:rFonts w:asciiTheme="minorHAnsi" w:eastAsiaTheme="minorHAnsi" w:hAnsiTheme="minorHAnsi" w:cstheme="minorBidi"/>
          <w:sz w:val="22"/>
          <w:szCs w:val="22"/>
          <w:lang w:eastAsia="en-US"/>
        </w:rPr>
      </w:pPr>
    </w:p>
    <w:p w14:paraId="712CA8DB"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Unique Writers Bay: </w:t>
      </w:r>
      <w:r w:rsidRPr="00A22AE7">
        <w:rPr>
          <w:rFonts w:asciiTheme="minorHAnsi" w:eastAsiaTheme="minorHAnsi" w:hAnsiTheme="minorHAnsi" w:cstheme="minorBidi"/>
          <w:i/>
          <w:sz w:val="22"/>
          <w:szCs w:val="22"/>
          <w:lang w:eastAsia="en-US"/>
        </w:rPr>
        <w:t>Communication Barriers between Police and Community</w:t>
      </w:r>
      <w:r w:rsidRPr="00A22AE7">
        <w:rPr>
          <w:rFonts w:asciiTheme="minorHAnsi" w:eastAsiaTheme="minorHAnsi" w:hAnsiTheme="minorHAnsi" w:cstheme="minorBidi"/>
          <w:sz w:val="22"/>
          <w:szCs w:val="22"/>
          <w:lang w:eastAsia="en-US"/>
        </w:rPr>
        <w:t xml:space="preserve"> (2020)</w:t>
      </w:r>
    </w:p>
    <w:p w14:paraId="5956C4D1"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Available at: uniquewritersbay.com/communication-barriers-between-police-and-community</w:t>
      </w:r>
    </w:p>
    <w:p w14:paraId="70C973B1" w14:textId="77777777" w:rsidR="00A22AE7" w:rsidRPr="00A22AE7" w:rsidRDefault="00A22AE7" w:rsidP="00A22AE7">
      <w:pPr>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14</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September 2021)</w:t>
      </w:r>
    </w:p>
    <w:p w14:paraId="7B685179"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p>
    <w:p w14:paraId="7DCAD566" w14:textId="77777777" w:rsidR="00A22AE7" w:rsidRDefault="00A22AE7" w:rsidP="00A22AE7">
      <w:pPr>
        <w:spacing w:after="40" w:line="259" w:lineRule="auto"/>
        <w:rPr>
          <w:rFonts w:asciiTheme="minorHAnsi" w:eastAsiaTheme="minorHAnsi" w:hAnsiTheme="minorHAnsi" w:cstheme="minorBidi"/>
          <w:sz w:val="22"/>
          <w:szCs w:val="22"/>
          <w:lang w:eastAsia="en-US"/>
        </w:rPr>
      </w:pPr>
    </w:p>
    <w:p w14:paraId="142309D5" w14:textId="77777777" w:rsidR="00A22AE7" w:rsidRDefault="00A22AE7" w:rsidP="00A22AE7">
      <w:pPr>
        <w:spacing w:after="40" w:line="259" w:lineRule="auto"/>
        <w:rPr>
          <w:rFonts w:asciiTheme="minorHAnsi" w:eastAsiaTheme="minorHAnsi" w:hAnsiTheme="minorHAnsi" w:cstheme="minorBidi"/>
          <w:sz w:val="22"/>
          <w:szCs w:val="22"/>
          <w:lang w:eastAsia="en-US"/>
        </w:rPr>
      </w:pPr>
    </w:p>
    <w:p w14:paraId="7F31AC64" w14:textId="77777777" w:rsidR="00A22AE7" w:rsidRDefault="00A22AE7" w:rsidP="00A22AE7">
      <w:pPr>
        <w:spacing w:after="40" w:line="259" w:lineRule="auto"/>
        <w:rPr>
          <w:rFonts w:asciiTheme="minorHAnsi" w:eastAsiaTheme="minorHAnsi" w:hAnsiTheme="minorHAnsi" w:cstheme="minorBidi"/>
          <w:sz w:val="22"/>
          <w:szCs w:val="22"/>
          <w:lang w:eastAsia="en-US"/>
        </w:rPr>
      </w:pPr>
    </w:p>
    <w:p w14:paraId="76C74C92" w14:textId="77777777" w:rsidR="00A22AE7" w:rsidRDefault="00A22AE7" w:rsidP="00A22AE7">
      <w:pPr>
        <w:spacing w:after="40" w:line="259" w:lineRule="auto"/>
        <w:rPr>
          <w:rFonts w:asciiTheme="minorHAnsi" w:eastAsiaTheme="minorHAnsi" w:hAnsiTheme="minorHAnsi" w:cstheme="minorBidi"/>
          <w:sz w:val="22"/>
          <w:szCs w:val="22"/>
          <w:lang w:eastAsia="en-US"/>
        </w:rPr>
      </w:pPr>
    </w:p>
    <w:p w14:paraId="6C0A78AE" w14:textId="2FAF6520" w:rsidR="00A22AE7" w:rsidRPr="00A22AE7" w:rsidRDefault="00A22AE7" w:rsidP="00A22AE7">
      <w:pPr>
        <w:spacing w:after="40" w:line="259" w:lineRule="auto"/>
        <w:rPr>
          <w:rFonts w:asciiTheme="minorHAnsi" w:eastAsiaTheme="minorHAnsi" w:hAnsiTheme="minorHAnsi" w:cstheme="minorBidi"/>
          <w:i/>
          <w:iCs/>
          <w:sz w:val="22"/>
          <w:szCs w:val="22"/>
          <w:lang w:eastAsia="en-US"/>
        </w:rPr>
      </w:pPr>
      <w:r w:rsidRPr="00A22AE7">
        <w:rPr>
          <w:rFonts w:asciiTheme="minorHAnsi" w:eastAsiaTheme="minorHAnsi" w:hAnsiTheme="minorHAnsi" w:cstheme="minorBidi"/>
          <w:sz w:val="22"/>
          <w:szCs w:val="22"/>
          <w:lang w:eastAsia="en-US"/>
        </w:rPr>
        <w:lastRenderedPageBreak/>
        <w:t xml:space="preserve">United Nations Office on Drugs and Crime 2020 (2020): </w:t>
      </w:r>
      <w:r w:rsidRPr="00A22AE7">
        <w:rPr>
          <w:rFonts w:asciiTheme="minorHAnsi" w:eastAsiaTheme="minorHAnsi" w:hAnsiTheme="minorHAnsi" w:cstheme="minorBidi"/>
          <w:i/>
          <w:iCs/>
          <w:sz w:val="22"/>
          <w:szCs w:val="22"/>
          <w:lang w:eastAsia="en-US"/>
        </w:rPr>
        <w:t>Crime Prevention</w:t>
      </w:r>
    </w:p>
    <w:p w14:paraId="68C49070"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52" w:history="1">
        <w:r w:rsidRPr="00A22AE7">
          <w:rPr>
            <w:rFonts w:asciiTheme="minorHAnsi" w:eastAsiaTheme="minorHAnsi" w:hAnsiTheme="minorHAnsi" w:cstheme="minorBidi"/>
            <w:color w:val="0563C1" w:themeColor="hyperlink"/>
            <w:sz w:val="22"/>
            <w:szCs w:val="22"/>
            <w:u w:val="single"/>
            <w:lang w:eastAsia="en-US"/>
          </w:rPr>
          <w:t>https://www.unodc.org/unodc/en/justice-and-prison-reform/CrimePrevention.html</w:t>
        </w:r>
      </w:hyperlink>
    </w:p>
    <w:p w14:paraId="57E601D0" w14:textId="77777777" w:rsidR="00A22AE7" w:rsidRPr="00A22AE7" w:rsidRDefault="00A22AE7" w:rsidP="00A22AE7">
      <w:pPr>
        <w:spacing w:after="40"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19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2DE05C55"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13430591"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p>
    <w:p w14:paraId="0D39599B" w14:textId="77777777" w:rsidR="00A22AE7" w:rsidRPr="00A22AE7" w:rsidRDefault="00A22AE7" w:rsidP="00A22AE7">
      <w:pPr>
        <w:spacing w:line="259" w:lineRule="auto"/>
        <w:rPr>
          <w:rFonts w:asciiTheme="minorHAnsi" w:eastAsiaTheme="minorHAnsi" w:hAnsiTheme="minorHAnsi" w:cstheme="minorBidi"/>
          <w:i/>
          <w:sz w:val="22"/>
          <w:szCs w:val="22"/>
          <w:lang w:eastAsia="en-US"/>
        </w:rPr>
      </w:pPr>
      <w:r w:rsidRPr="00A22AE7">
        <w:rPr>
          <w:rFonts w:asciiTheme="minorHAnsi" w:eastAsiaTheme="minorHAnsi" w:hAnsiTheme="minorHAnsi" w:cstheme="minorBidi"/>
          <w:sz w:val="22"/>
          <w:szCs w:val="22"/>
          <w:lang w:eastAsia="en-US"/>
        </w:rPr>
        <w:t xml:space="preserve">Writing Services (2021): </w:t>
      </w:r>
      <w:r w:rsidRPr="00A22AE7">
        <w:rPr>
          <w:rFonts w:asciiTheme="minorHAnsi" w:eastAsiaTheme="minorHAnsi" w:hAnsiTheme="minorHAnsi" w:cstheme="minorBidi"/>
          <w:i/>
          <w:sz w:val="22"/>
          <w:szCs w:val="22"/>
          <w:lang w:eastAsia="en-US"/>
        </w:rPr>
        <w:t>Some victims are more deserving of the label ‘victim’ than others</w:t>
      </w:r>
    </w:p>
    <w:p w14:paraId="6C2F3F2F"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 xml:space="preserve">Available at: </w:t>
      </w:r>
      <w:hyperlink r:id="rId53" w:history="1">
        <w:r w:rsidRPr="00A22AE7">
          <w:rPr>
            <w:rFonts w:asciiTheme="minorHAnsi" w:eastAsiaTheme="minorHAnsi" w:hAnsiTheme="minorHAnsi" w:cstheme="minorBidi"/>
            <w:color w:val="0563C1" w:themeColor="hyperlink"/>
            <w:sz w:val="22"/>
            <w:szCs w:val="22"/>
            <w:u w:val="single"/>
            <w:lang w:eastAsia="en-US"/>
          </w:rPr>
          <w:t>https://customwritings.co/some-victims-are-more-deserving-of-the-label-victim-than-others/</w:t>
        </w:r>
      </w:hyperlink>
    </w:p>
    <w:p w14:paraId="6B97F0E6" w14:textId="77777777" w:rsidR="00A22AE7" w:rsidRPr="00A22AE7" w:rsidRDefault="00A22AE7" w:rsidP="00A22AE7">
      <w:pPr>
        <w:spacing w:line="259" w:lineRule="auto"/>
        <w:rPr>
          <w:rFonts w:asciiTheme="minorHAnsi" w:eastAsiaTheme="minorHAnsi" w:hAnsiTheme="minorHAnsi" w:cstheme="minorBidi"/>
          <w:sz w:val="22"/>
          <w:szCs w:val="22"/>
          <w:lang w:eastAsia="en-US"/>
        </w:rPr>
      </w:pPr>
      <w:r w:rsidRPr="00A22AE7">
        <w:rPr>
          <w:rFonts w:asciiTheme="minorHAnsi" w:eastAsiaTheme="minorHAnsi" w:hAnsiTheme="minorHAnsi" w:cstheme="minorBidi"/>
          <w:sz w:val="22"/>
          <w:szCs w:val="22"/>
          <w:lang w:eastAsia="en-US"/>
        </w:rPr>
        <w:t>(Accessed 9</w:t>
      </w:r>
      <w:r w:rsidRPr="00A22AE7">
        <w:rPr>
          <w:rFonts w:asciiTheme="minorHAnsi" w:eastAsiaTheme="minorHAnsi" w:hAnsiTheme="minorHAnsi" w:cstheme="minorBidi"/>
          <w:sz w:val="22"/>
          <w:szCs w:val="22"/>
          <w:vertAlign w:val="superscript"/>
          <w:lang w:eastAsia="en-US"/>
        </w:rPr>
        <w:t>th</w:t>
      </w:r>
      <w:r w:rsidRPr="00A22AE7">
        <w:rPr>
          <w:rFonts w:asciiTheme="minorHAnsi" w:eastAsiaTheme="minorHAnsi" w:hAnsiTheme="minorHAnsi" w:cstheme="minorBidi"/>
          <w:sz w:val="22"/>
          <w:szCs w:val="22"/>
          <w:lang w:eastAsia="en-US"/>
        </w:rPr>
        <w:t xml:space="preserve"> November 2021)</w:t>
      </w:r>
    </w:p>
    <w:p w14:paraId="3F018717" w14:textId="77777777" w:rsidR="00A22AE7" w:rsidRPr="00A22AE7" w:rsidRDefault="00A22AE7" w:rsidP="00A22AE7">
      <w:pPr>
        <w:spacing w:after="160" w:line="259" w:lineRule="auto"/>
        <w:rPr>
          <w:rFonts w:asciiTheme="minorHAnsi" w:eastAsiaTheme="minorHAnsi" w:hAnsiTheme="minorHAnsi" w:cstheme="minorBidi"/>
          <w:sz w:val="22"/>
          <w:szCs w:val="22"/>
          <w:lang w:eastAsia="en-US"/>
        </w:rPr>
      </w:pPr>
    </w:p>
    <w:p w14:paraId="585F360C" w14:textId="77777777" w:rsidR="00A22AE7" w:rsidRPr="00FE5912" w:rsidRDefault="00A22AE7" w:rsidP="00FE5912">
      <w:pPr>
        <w:rPr>
          <w:rFonts w:asciiTheme="minorHAnsi" w:hAnsiTheme="minorHAnsi" w:cstheme="minorHAnsi"/>
          <w:sz w:val="22"/>
          <w:szCs w:val="22"/>
        </w:rPr>
      </w:pPr>
    </w:p>
    <w:sectPr w:rsidR="00A22AE7" w:rsidRPr="00FE59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EF4CE" w14:textId="77777777" w:rsidR="00760A8A" w:rsidRDefault="00760A8A" w:rsidP="00760A8A">
      <w:r>
        <w:separator/>
      </w:r>
    </w:p>
  </w:endnote>
  <w:endnote w:type="continuationSeparator" w:id="0">
    <w:p w14:paraId="14FD6BDE" w14:textId="77777777" w:rsidR="00760A8A" w:rsidRDefault="00760A8A" w:rsidP="00760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1B06A" w14:textId="77777777" w:rsidR="00760A8A" w:rsidRDefault="00760A8A" w:rsidP="00760A8A">
      <w:r>
        <w:separator/>
      </w:r>
    </w:p>
  </w:footnote>
  <w:footnote w:type="continuationSeparator" w:id="0">
    <w:p w14:paraId="7F4AFE20" w14:textId="77777777" w:rsidR="00760A8A" w:rsidRDefault="00760A8A" w:rsidP="00760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cs="Times New Roman"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cs="Times New Roman"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cs="Times New Roman" w:hint="default"/>
      </w:rPr>
    </w:lvl>
    <w:lvl w:ilvl="8" w:tplc="94BE9F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A8A"/>
    <w:rsid w:val="000E3EFC"/>
    <w:rsid w:val="002D535B"/>
    <w:rsid w:val="003871D7"/>
    <w:rsid w:val="004F0483"/>
    <w:rsid w:val="005058BC"/>
    <w:rsid w:val="00760A8A"/>
    <w:rsid w:val="00947A39"/>
    <w:rsid w:val="00A22AE7"/>
    <w:rsid w:val="00CC6700"/>
    <w:rsid w:val="00D8189F"/>
    <w:rsid w:val="00D86365"/>
    <w:rsid w:val="00DE624D"/>
    <w:rsid w:val="00E70A92"/>
    <w:rsid w:val="00F50BF8"/>
    <w:rsid w:val="00FE5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09949"/>
  <w15:chartTrackingRefBased/>
  <w15:docId w15:val="{0409D4E4-557D-4572-8B67-AC25AB73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A8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A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90036">
      <w:bodyDiv w:val="1"/>
      <w:marLeft w:val="0"/>
      <w:marRight w:val="0"/>
      <w:marTop w:val="0"/>
      <w:marBottom w:val="0"/>
      <w:divBdr>
        <w:top w:val="none" w:sz="0" w:space="0" w:color="auto"/>
        <w:left w:val="none" w:sz="0" w:space="0" w:color="auto"/>
        <w:bottom w:val="none" w:sz="0" w:space="0" w:color="auto"/>
        <w:right w:val="none" w:sz="0" w:space="0" w:color="auto"/>
      </w:divBdr>
    </w:div>
    <w:div w:id="307396007">
      <w:bodyDiv w:val="1"/>
      <w:marLeft w:val="0"/>
      <w:marRight w:val="0"/>
      <w:marTop w:val="0"/>
      <w:marBottom w:val="0"/>
      <w:divBdr>
        <w:top w:val="none" w:sz="0" w:space="0" w:color="auto"/>
        <w:left w:val="none" w:sz="0" w:space="0" w:color="auto"/>
        <w:bottom w:val="none" w:sz="0" w:space="0" w:color="auto"/>
        <w:right w:val="none" w:sz="0" w:space="0" w:color="auto"/>
      </w:divBdr>
    </w:div>
    <w:div w:id="1040596805">
      <w:bodyDiv w:val="1"/>
      <w:marLeft w:val="0"/>
      <w:marRight w:val="0"/>
      <w:marTop w:val="0"/>
      <w:marBottom w:val="0"/>
      <w:divBdr>
        <w:top w:val="none" w:sz="0" w:space="0" w:color="auto"/>
        <w:left w:val="none" w:sz="0" w:space="0" w:color="auto"/>
        <w:bottom w:val="none" w:sz="0" w:space="0" w:color="auto"/>
        <w:right w:val="none" w:sz="0" w:space="0" w:color="auto"/>
      </w:divBdr>
    </w:div>
    <w:div w:id="1192649568">
      <w:bodyDiv w:val="1"/>
      <w:marLeft w:val="0"/>
      <w:marRight w:val="0"/>
      <w:marTop w:val="0"/>
      <w:marBottom w:val="0"/>
      <w:divBdr>
        <w:top w:val="none" w:sz="0" w:space="0" w:color="auto"/>
        <w:left w:val="none" w:sz="0" w:space="0" w:color="auto"/>
        <w:bottom w:val="none" w:sz="0" w:space="0" w:color="auto"/>
        <w:right w:val="none" w:sz="0" w:space="0" w:color="auto"/>
      </w:divBdr>
    </w:div>
    <w:div w:id="1420590826">
      <w:bodyDiv w:val="1"/>
      <w:marLeft w:val="0"/>
      <w:marRight w:val="0"/>
      <w:marTop w:val="0"/>
      <w:marBottom w:val="0"/>
      <w:divBdr>
        <w:top w:val="none" w:sz="0" w:space="0" w:color="auto"/>
        <w:left w:val="none" w:sz="0" w:space="0" w:color="auto"/>
        <w:bottom w:val="none" w:sz="0" w:space="0" w:color="auto"/>
        <w:right w:val="none" w:sz="0" w:space="0" w:color="auto"/>
      </w:divBdr>
    </w:div>
    <w:div w:id="1423449228">
      <w:bodyDiv w:val="1"/>
      <w:marLeft w:val="0"/>
      <w:marRight w:val="0"/>
      <w:marTop w:val="0"/>
      <w:marBottom w:val="0"/>
      <w:divBdr>
        <w:top w:val="none" w:sz="0" w:space="0" w:color="auto"/>
        <w:left w:val="none" w:sz="0" w:space="0" w:color="auto"/>
        <w:bottom w:val="none" w:sz="0" w:space="0" w:color="auto"/>
        <w:right w:val="none" w:sz="0" w:space="0" w:color="auto"/>
      </w:divBdr>
    </w:div>
    <w:div w:id="1494760708">
      <w:bodyDiv w:val="1"/>
      <w:marLeft w:val="0"/>
      <w:marRight w:val="0"/>
      <w:marTop w:val="0"/>
      <w:marBottom w:val="0"/>
      <w:divBdr>
        <w:top w:val="none" w:sz="0" w:space="0" w:color="auto"/>
        <w:left w:val="none" w:sz="0" w:space="0" w:color="auto"/>
        <w:bottom w:val="none" w:sz="0" w:space="0" w:color="auto"/>
        <w:right w:val="none" w:sz="0" w:space="0" w:color="auto"/>
      </w:divBdr>
    </w:div>
    <w:div w:id="1815952892">
      <w:bodyDiv w:val="1"/>
      <w:marLeft w:val="0"/>
      <w:marRight w:val="0"/>
      <w:marTop w:val="0"/>
      <w:marBottom w:val="0"/>
      <w:divBdr>
        <w:top w:val="none" w:sz="0" w:space="0" w:color="auto"/>
        <w:left w:val="none" w:sz="0" w:space="0" w:color="auto"/>
        <w:bottom w:val="none" w:sz="0" w:space="0" w:color="auto"/>
        <w:right w:val="none" w:sz="0" w:space="0" w:color="auto"/>
      </w:divBdr>
    </w:div>
    <w:div w:id="1837257470">
      <w:bodyDiv w:val="1"/>
      <w:marLeft w:val="0"/>
      <w:marRight w:val="0"/>
      <w:marTop w:val="0"/>
      <w:marBottom w:val="0"/>
      <w:divBdr>
        <w:top w:val="none" w:sz="0" w:space="0" w:color="auto"/>
        <w:left w:val="none" w:sz="0" w:space="0" w:color="auto"/>
        <w:bottom w:val="none" w:sz="0" w:space="0" w:color="auto"/>
        <w:right w:val="none" w:sz="0" w:space="0" w:color="auto"/>
      </w:divBdr>
    </w:div>
    <w:div w:id="184119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iquewritersbay.com" TargetMode="External"/><Relationship Id="rId18" Type="http://schemas.openxmlformats.org/officeDocument/2006/relationships/hyperlink" Target="http://www.app.college.police.uk" TargetMode="External"/><Relationship Id="rId26" Type="http://schemas.openxmlformats.org/officeDocument/2006/relationships/hyperlink" Target="http://www.app.college.police.uk" TargetMode="External"/><Relationship Id="rId39" Type="http://schemas.openxmlformats.org/officeDocument/2006/relationships/hyperlink" Target="https://www.policechiefmagazine.org/changing-the-face-crime/prevention" TargetMode="External"/><Relationship Id="rId21" Type="http://schemas.openxmlformats.org/officeDocument/2006/relationships/hyperlink" Target="http://www.medicalnewstoday.com" TargetMode="External"/><Relationship Id="rId34" Type="http://schemas.openxmlformats.org/officeDocument/2006/relationships/hyperlink" Target="https://whatworks.college.police.uk/About/Pages/What-is-EBP.aspx" TargetMode="External"/><Relationship Id="rId42" Type="http://schemas.openxmlformats.org/officeDocument/2006/relationships/hyperlink" Target="https://www.medicalnewstoday.com/articles/trauma-bonding" TargetMode="External"/><Relationship Id="rId47" Type="http://schemas.openxmlformats.org/officeDocument/2006/relationships/hyperlink" Target="http://www.politics.co.uk/reference/police-numbers-and-recruitment" TargetMode="External"/><Relationship Id="rId50" Type="http://schemas.openxmlformats.org/officeDocument/2006/relationships/hyperlink" Target="https://thecrimepreventionwebsite.com/police-guidnace/720/ten-principles-of-crime-prevention" TargetMode="External"/><Relationship Id="rId55" Type="http://schemas.openxmlformats.org/officeDocument/2006/relationships/theme" Target="theme/theme1.xml"/><Relationship Id="rId7" Type="http://schemas.openxmlformats.org/officeDocument/2006/relationships/hyperlink" Target="http://www.gov.uk" TargetMode="External"/><Relationship Id="rId2" Type="http://schemas.openxmlformats.org/officeDocument/2006/relationships/styles" Target="styles.xml"/><Relationship Id="rId16" Type="http://schemas.openxmlformats.org/officeDocument/2006/relationships/hyperlink" Target="http://www.gov.uk" TargetMode="External"/><Relationship Id="rId29" Type="http://schemas.openxmlformats.org/officeDocument/2006/relationships/hyperlink" Target="http://www.app.college.police.uk/app-content/engagement-and-communication/engaging-with-communities" TargetMode="External"/><Relationship Id="rId11" Type="http://schemas.openxmlformats.org/officeDocument/2006/relationships/hyperlink" Target="http://www.bbc.co.uk" TargetMode="External"/><Relationship Id="rId24" Type="http://schemas.openxmlformats.org/officeDocument/2006/relationships/hyperlink" Target="http://www.college.police.uk" TargetMode="External"/><Relationship Id="rId32" Type="http://schemas.openxmlformats.org/officeDocument/2006/relationships/hyperlink" Target="https://www.app.college.police.uk/app-content/major-investigation-and-public-protection/managing-sexual-offenders-and-violent-offenders/mappa/protection-arrangements" TargetMode="External"/><Relationship Id="rId37" Type="http://schemas.openxmlformats.org/officeDocument/2006/relationships/hyperlink" Target="https://www..gov.uk/government/publications/regulation-of-investigatory-powers-act-2000-ripa" TargetMode="External"/><Relationship Id="rId40" Type="http://schemas.openxmlformats.org/officeDocument/2006/relationships/hyperlink" Target="https://www.intelligencewithsteve.com/post/the-5-minute-guide-to-the-intelligence-grading-process-and-its-application-in-osint" TargetMode="External"/><Relationship Id="rId45" Type="http://schemas.openxmlformats.org/officeDocument/2006/relationships/hyperlink" Target="http://www.intelligenceanalysis.net/National%20Intelligence%20Model.pdf" TargetMode="External"/><Relationship Id="rId53" Type="http://schemas.openxmlformats.org/officeDocument/2006/relationships/hyperlink" Target="https://customwritings.co/some-victims-are-more-deserving-of-the-label-victim-than-others/" TargetMode="External"/><Relationship Id="rId5" Type="http://schemas.openxmlformats.org/officeDocument/2006/relationships/footnotes" Target="footnotes.xml"/><Relationship Id="rId10" Type="http://schemas.openxmlformats.org/officeDocument/2006/relationships/hyperlink" Target="http://www.politics.co.uk" TargetMode="External"/><Relationship Id="rId19" Type="http://schemas.openxmlformats.org/officeDocument/2006/relationships/hyperlink" Target="http://www.policechiefmagazine.org" TargetMode="External"/><Relationship Id="rId31" Type="http://schemas.openxmlformats.org/officeDocument/2006/relationships/hyperlink" Target="https://www.app.college.police.uk/app-content/intelligence-management/governance" TargetMode="External"/><Relationship Id="rId44" Type="http://schemas.openxmlformats.org/officeDocument/2006/relationships/hyperlink" Target="https://www.nao.org.uk/wp-content/uploads/2019/03/Tackling-serious-and-organised-crime-Summary.pdf" TargetMode="External"/><Relationship Id="rId52" Type="http://schemas.openxmlformats.org/officeDocument/2006/relationships/hyperlink" Target="https://www.unodc.org/unodc/en/justice-and-prison-reform/CrimePrevention.html" TargetMode="External"/><Relationship Id="rId4" Type="http://schemas.openxmlformats.org/officeDocument/2006/relationships/webSettings" Target="webSettings.xml"/><Relationship Id="rId9" Type="http://schemas.openxmlformats.org/officeDocument/2006/relationships/hyperlink" Target="http://www.npcc.police.uk" TargetMode="External"/><Relationship Id="rId14" Type="http://schemas.openxmlformats.org/officeDocument/2006/relationships/hyperlink" Target="http://www.gov.uk" TargetMode="External"/><Relationship Id="rId22" Type="http://schemas.openxmlformats.org/officeDocument/2006/relationships/hyperlink" Target="http://www.studymode.com" TargetMode="External"/><Relationship Id="rId27" Type="http://schemas.openxmlformats.org/officeDocument/2006/relationships/hyperlink" Target="https://www.bbc.co.uk/bitesize/guides/z9f4srd/revision/1" TargetMode="External"/><Relationship Id="rId30" Type="http://schemas.openxmlformats.org/officeDocument/2006/relationships/hyperlink" Target="https://www.app.college.police.uk/app-content/intelligence-management/analysis/evaluation-and-review/" TargetMode="External"/><Relationship Id="rId35" Type="http://schemas.openxmlformats.org/officeDocument/2006/relationships/hyperlink" Target="https://www.gov.uk/government/collections/communications-data" TargetMode="External"/><Relationship Id="rId43" Type="http://schemas.openxmlformats.org/officeDocument/2006/relationships/hyperlink" Target="http://www.moray.gov.uk/moray_standard/page_67933.html" TargetMode="External"/><Relationship Id="rId48" Type="http://schemas.openxmlformats.org/officeDocument/2006/relationships/hyperlink" Target="https://www.south-wales.police.uk/advice/advice-and-information/victim-support/victim-witness-support/" TargetMode="External"/><Relationship Id="rId8" Type="http://schemas.openxmlformats.org/officeDocument/2006/relationships/hyperlink" Target="http://www.college.police.uk" TargetMode="External"/><Relationship Id="rId51" Type="http://schemas.openxmlformats.org/officeDocument/2006/relationships/hyperlink" Target="https://www.theguardian.com/uk-news/2020/feb/14/durham-pioneering-police-scheme-slashes-reoffending-rates-rehabilitation-programme" TargetMode="External"/><Relationship Id="rId3" Type="http://schemas.openxmlformats.org/officeDocument/2006/relationships/settings" Target="settings.xml"/><Relationship Id="rId12" Type="http://schemas.openxmlformats.org/officeDocument/2006/relationships/hyperlink" Target="http://www.law.jrank.org" TargetMode="External"/><Relationship Id="rId17" Type="http://schemas.openxmlformats.org/officeDocument/2006/relationships/hyperlink" Target="http://www.intelligenceanalysis.net" TargetMode="External"/><Relationship Id="rId25" Type="http://schemas.openxmlformats.org/officeDocument/2006/relationships/hyperlink" Target="http://www.nao.org.uk" TargetMode="External"/><Relationship Id="rId33" Type="http://schemas.openxmlformats.org/officeDocument/2006/relationships/hyperlink" Target="https://www.college.police.uk/guidance/victims-code/victims-righhhts-policing" TargetMode="External"/><Relationship Id="rId38" Type="http://schemas.openxmlformats.org/officeDocument/2006/relationships/hyperlink" Target="https://assets.publishing.service.gov.uk/government/uploads/system/uploads/attachment_data/file/752850/SOC-2018-web.pdf" TargetMode="External"/><Relationship Id="rId46" Type="http://schemas.openxmlformats.org/officeDocument/2006/relationships/hyperlink" Target="http://www.policefoundation.org/wp-content/uploads/2015/06/Sherman-1998-Evidence-Based-Policing.pdf" TargetMode="External"/><Relationship Id="rId20" Type="http://schemas.openxmlformats.org/officeDocument/2006/relationships/hyperlink" Target="http://www.south-wales.police.uk" TargetMode="External"/><Relationship Id="rId41" Type="http://schemas.openxmlformats.org/officeDocument/2006/relationships/hyperlink" Target="https://law.jrank.org/pages/1650/Police-Community-Policing-theory-practice-community-policing.html"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moray.gov.uk" TargetMode="External"/><Relationship Id="rId23" Type="http://schemas.openxmlformats.org/officeDocument/2006/relationships/hyperlink" Target="http://www.customwritings.co" TargetMode="External"/><Relationship Id="rId28" Type="http://schemas.openxmlformats.org/officeDocument/2006/relationships/hyperlink" Target="http://www.college.police.uk/ethics/code-of-ethics" TargetMode="External"/><Relationship Id="rId36" Type="http://schemas.openxmlformats.org/officeDocument/2006/relationships/hyperlink" Target="http://www.gov.uk/government/publications/policing-by-consent/definition-of-policing-by-consent" TargetMode="External"/><Relationship Id="rId49" Type="http://schemas.openxmlformats.org/officeDocument/2006/relationships/hyperlink" Target="https://www.studymode.com/essays/Ideal-Victim-150898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18</Pages>
  <Words>6931</Words>
  <Characters>39508</Characters>
  <Application>Microsoft Office Word</Application>
  <DocSecurity>0</DocSecurity>
  <Lines>329</Lines>
  <Paragraphs>92</Paragraphs>
  <ScaleCrop>false</ScaleCrop>
  <Company>South Wales Police</Company>
  <LinksUpToDate>false</LinksUpToDate>
  <CharactersWithSpaces>46347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Gibson,Emily swp6649</dc:creator>
  <cp:keywords/>
  <dc:description/>
  <cp:lastModifiedBy>Gibson,Emily swp6649</cp:lastModifiedBy>
  <cp:revision>11</cp:revision>
  <dcterms:created xsi:type="dcterms:W3CDTF">2021-11-21T19:55:00Z</dcterms:created>
  <dcterms:modified xsi:type="dcterms:W3CDTF">2021-11-22T16:30:00Z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2021-11-21T19:57:17Z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c0a5e0cc-58c9-4da2-91b1-be470aeb7d04</vt:lpwstr>
  </property>
  <property fmtid="{D5CDD505-2E9C-101B-9397-08002B2CF9AE}" pid="8" name="MSIP_Label_66cf8fe5-b7b7-4df7-b38d-1c61ac2f6639_ContentBits">
    <vt:lpwstr>0</vt:lpwstr>
  </property>
</Properties>
</file>