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jc w:val="center"/>
        <w:rPr>
          <w:b w:val="1"/>
          <w:bCs w:val="1"/>
          <w:u w:val="single"/>
        </w:rPr>
      </w:pPr>
      <w:r>
        <w:rPr>
          <w:b w:val="1"/>
          <w:bCs w:val="1"/>
          <w:u w:val="single"/>
          <w:rtl w:val="0"/>
          <w:lang w:val="en-US"/>
        </w:rPr>
        <w:t>Needs Analysis</w:t>
      </w:r>
    </w:p>
    <w:p>
      <w:pPr>
        <w:pStyle w:val="Body"/>
        <w:bidi w:val="0"/>
      </w:pPr>
    </w:p>
    <w:p>
      <w:pPr>
        <w:pStyle w:val="Body"/>
        <w:bidi w:val="0"/>
      </w:pPr>
      <w:r>
        <w:rPr>
          <w:rtl w:val="0"/>
        </w:rPr>
        <w:t>Unemployment is on the rise overall in Swansea (SCC, 2021). An almost staggering rise of 1,500 people being classified as unemployed within the Swansea wards. The total estimate may rest at 6,100 people unemployed, a relatively low number versus the total estimated population of Swansea which currently stands at 246,933 according to StatsWales (2020). However, this still equates to around 2.5% of the total population of Swansea. When we break down the statistics to review the unemployment levels of individual Swansea wards, we see that Townhill has one of the highest percentage rates of claimants of Jobseekers Allowance, and Universal Credit. The figure stands at a concerning 11.4% of the ward</w:t>
      </w:r>
      <w:r>
        <w:rPr>
          <w:rtl w:val="0"/>
        </w:rPr>
        <w:t>’</w:t>
      </w:r>
      <w:r>
        <w:rPr>
          <w:rtl w:val="0"/>
        </w:rPr>
        <w:t xml:space="preserve">s total population (Swansea Councils, 2021). </w:t>
      </w:r>
    </w:p>
    <w:p>
      <w:pPr>
        <w:pStyle w:val="Body"/>
        <w:bidi w:val="0"/>
      </w:pPr>
      <w:r>
        <w:rPr>
          <w:rtl w:val="0"/>
        </w:rPr>
        <w:t>Viewing these numbers, it is clear to see that whilst overall Swansea</w:t>
      </w:r>
      <w:r>
        <w:rPr>
          <w:rtl w:val="0"/>
        </w:rPr>
        <w:t>’</w:t>
      </w:r>
      <w:r>
        <w:rPr>
          <w:rtl w:val="0"/>
        </w:rPr>
        <w:t>s rates of employment are fairly solid, there are certain areas, much like Townhill, that are still seeing many residents who are surviving off state funds alone.</w:t>
      </w:r>
    </w:p>
    <w:p>
      <w:pPr>
        <w:pStyle w:val="Body"/>
        <w:bidi w:val="0"/>
      </w:pPr>
      <w:r>
        <w:rPr>
          <w:rtl w:val="0"/>
        </w:rPr>
        <w:t>Having lived in Swansea all my life, I have seen first hand some of the more economically deprived areas like Townhill, and it is highly likely the lack of funding in these areas are likely to affect a person</w:t>
      </w:r>
      <w:r>
        <w:rPr>
          <w:rtl w:val="0"/>
        </w:rPr>
        <w:t>’</w:t>
      </w:r>
      <w:r>
        <w:rPr>
          <w:rtl w:val="0"/>
        </w:rPr>
        <w:t>s chances of seeking employment. A lack of employment in an area can lead to stigmas being thrust upon its population as a whole, creating a negative view of the area. Despite its central location, there is only one Secondary school in the area, Dylan Thomas Community School. (Locrating, 2021) the site also tells us that around 50% of its pupils are eligible and receive free school meals, a reflection on the low employment rates of the area. This might suggest that school leavers in the Townhill area of Swansea, are subject to fall into the unemployed category. This may leave young people aged 16-14 vulnerable to poverty and the associated stigmas and health depravities. Therefore it is fair to consider some help in order to secure employment post compulsory education may be needed.</w:t>
      </w:r>
    </w:p>
    <w:p>
      <w:pPr>
        <w:pStyle w:val="Body"/>
        <w:bidi w:val="0"/>
      </w:pPr>
    </w:p>
    <w:p>
      <w:pPr>
        <w:pStyle w:val="Body"/>
        <w:bidi w:val="0"/>
      </w:pPr>
      <w:r>
        <w:tab/>
      </w:r>
      <w:r>
        <w:rPr>
          <w:rtl w:val="0"/>
        </w:rPr>
        <w:t xml:space="preserve">Research has shown that someone who has grown up in poverty is disadvantaged well into adulthood. This is to a large extent because people from disadvantaged homes are less likely to get good educational qualifications. </w:t>
      </w:r>
      <w:r>
        <w:rPr>
          <w:rtl w:val="0"/>
        </w:rPr>
        <w:t>(Hirsch, 2007)</w:t>
      </w:r>
    </w:p>
    <w:p>
      <w:pPr>
        <w:pStyle w:val="Body"/>
        <w:bidi w:val="0"/>
      </w:pPr>
    </w:p>
    <w:p>
      <w:pPr>
        <w:pStyle w:val="Body"/>
        <w:bidi w:val="0"/>
      </w:pPr>
      <w:r>
        <w:rPr>
          <w:rtl w:val="0"/>
        </w:rPr>
        <w:t xml:space="preserve">If we look to Hirsch, we can see that there is a definitive correlation between poor educational attainment and poverty. This is almost unsurprising given the old phrase of </w:t>
      </w:r>
      <w:r>
        <w:rPr>
          <w:rtl w:val="0"/>
        </w:rPr>
        <w:t>“</w:t>
      </w:r>
      <w:r>
        <w:rPr>
          <w:rtl w:val="0"/>
        </w:rPr>
        <w:t>breakfast being the most important meal of the day</w:t>
      </w:r>
      <w:r>
        <w:rPr>
          <w:rtl w:val="0"/>
        </w:rPr>
        <w:t>”</w:t>
      </w:r>
      <w:r>
        <w:rPr>
          <w:rtl w:val="0"/>
        </w:rPr>
        <w:t>, when some families can barely afford to feed breakfast. Lambie-Mumford and Sims (2018) tell us of the rise in families using food banks since 2010, a demonstration then of the struggle many have faced since the austerity reforms.</w:t>
      </w:r>
    </w:p>
    <w:p>
      <w:pPr>
        <w:pStyle w:val="Body"/>
        <w:bidi w:val="0"/>
      </w:pPr>
    </w:p>
    <w:p>
      <w:pPr>
        <w:pStyle w:val="Body"/>
        <w:bidi w:val="0"/>
      </w:pPr>
      <w:r>
        <w:tab/>
      </w:r>
      <w:r>
        <w:rPr>
          <w:rtl w:val="0"/>
        </w:rPr>
        <w:t xml:space="preserve">Educational attainment is frequently used as a measure of the skills available in the population and the labour force. The economies of OECD countries depend upon a sufficient supply of high-skilled workers. Due to the technological advances that have been transforming the needs of the global labour market, people with higher or specific skills are in strong demand. Since 2000 there has been a contraction of the labour markets across most OECD countries. Employment rates have been decreasing among people with all levels of education and dropped on average about two percentage points between 2000 and 2013. </w:t>
      </w:r>
      <w:r>
        <w:rPr>
          <w:rtl w:val="0"/>
        </w:rPr>
        <w:t>(OECD, 2015)</w:t>
      </w:r>
    </w:p>
    <w:p>
      <w:pPr>
        <w:pStyle w:val="Body"/>
        <w:bidi w:val="0"/>
      </w:pPr>
    </w:p>
    <w:p>
      <w:pPr>
        <w:pStyle w:val="Body"/>
        <w:bidi w:val="0"/>
      </w:pPr>
      <w:r>
        <w:rPr>
          <w:rtl w:val="0"/>
        </w:rPr>
        <w:t>Following on from the OECD</w:t>
      </w:r>
      <w:r>
        <w:rPr>
          <w:rtl w:val="0"/>
        </w:rPr>
        <w:t>’</w:t>
      </w:r>
      <w:r>
        <w:rPr>
          <w:rtl w:val="0"/>
        </w:rPr>
        <w:t>s claims that education and employment are linked, we can see that a vicious circle is forming. This continuing cycle of struggle is relentless in its abuse of both the class systems, and the working population.</w:t>
      </w:r>
    </w:p>
    <w:p>
      <w:pPr>
        <w:pStyle w:val="Body"/>
        <w:bidi w:val="0"/>
      </w:pPr>
    </w:p>
    <w:p>
      <w:pPr>
        <w:pStyle w:val="Body"/>
        <w:bidi w:val="0"/>
      </w:pPr>
      <w:r>
        <w:rPr>
          <w:rtl w:val="0"/>
        </w:rPr>
        <w:t>We must also consider the impact the COVID-19 pandemic has had on employment for those aged 16-24. At my current place of work, we are preparing to join the Prince</w:t>
      </w:r>
      <w:r>
        <w:rPr>
          <w:rtl w:val="0"/>
        </w:rPr>
        <w:t>’</w:t>
      </w:r>
      <w:r>
        <w:rPr>
          <w:rtl w:val="0"/>
        </w:rPr>
        <w:t xml:space="preserve">s Trust in a joint effort with the UK government to help find and fund employment for those aged 16-24 who may find it difficult to secure employment. </w:t>
      </w:r>
    </w:p>
    <w:p>
      <w:pPr>
        <w:pStyle w:val="Body"/>
        <w:bidi w:val="0"/>
      </w:pPr>
      <w:r>
        <w:rPr>
          <w:rtl w:val="0"/>
        </w:rPr>
        <w:t>The scheme is designed to offer 16-24 year olds who may currently be struggling to find employment, whether that is due to poor grades or even poor interview skills, the opportunity to find paid work for 6 months with UK companies. This is in order to prepare them for seeking employment after the 6 month period ends, whilst also ensuring they are not left to feel totally unemployable. Given that there are a number of companies partaking in this project, combined with the number of locations willing to accept the 16-24 year olds who are struggling to find employment, it is fair to say that the COVID-19 pandemic, combined with a potential for lack of preparation during compulsory schooling, has left a large proportion of the work eligible population unemployed.</w:t>
      </w:r>
    </w:p>
    <w:p>
      <w:pPr>
        <w:pStyle w:val="Body"/>
        <w:bidi w:val="0"/>
      </w:pPr>
    </w:p>
    <w:p>
      <w:pPr>
        <w:pStyle w:val="Body"/>
        <w:bidi w:val="0"/>
      </w:pPr>
      <w:r>
        <w:rPr>
          <w:rtl w:val="0"/>
        </w:rPr>
        <w:t xml:space="preserve">Combining the information presented above, it starts to become clear that a lack of provision for helping school leavers of low income households exists. If we follow on from the combined input of all the research and information presented before us, the almost 50% of Dylan Thomas students currently receiving free school meals, will inevitably end up in low income jobs, leading to their children entering the same cycle. Some may even fail to gain employment, especially in the wake of the COVID-19 pandemic. Therefore it is fair to assume that there is a need for a new kind of provision to help those caught in the cycle, to break free and carve a path out of the cycle. This provision will only need to address one aspect of the cycle in order to break it totally. We would recommend targeting the area of post compulsory education. Looking to the recent school leavers and those aged 16-24 who are struggling to find sustainable employment. </w:t>
      </w:r>
    </w:p>
    <w:p>
      <w:pPr>
        <w:pStyle w:val="Body"/>
        <w:bidi w:val="0"/>
      </w:pPr>
    </w:p>
    <w:p>
      <w:pPr>
        <w:pStyle w:val="Body"/>
        <w:bidi w:val="0"/>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center"/>
        <w:rPr>
          <w:b w:val="0"/>
          <w:bCs w:val="0"/>
          <w:u w:val="none"/>
          <w:rtl w:val="0"/>
        </w:rPr>
      </w:pPr>
      <w:r>
        <w:rPr>
          <w:b w:val="1"/>
          <w:bCs w:val="1"/>
          <w:u w:val="single"/>
          <w:rtl w:val="0"/>
          <w:lang w:val="en-US"/>
        </w:rPr>
        <w:t>Employability Boosters</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center"/>
        <w:rPr>
          <w:b w:val="0"/>
          <w:bCs w:val="0"/>
          <w:u w:val="none"/>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b w:val="0"/>
          <w:bCs w:val="0"/>
          <w:u w:val="none"/>
          <w:rtl w:val="0"/>
        </w:rPr>
      </w:pPr>
      <w:r>
        <w:rPr>
          <w:b w:val="0"/>
          <w:bCs w:val="0"/>
          <w:u w:val="none"/>
          <w:rtl w:val="0"/>
          <w:lang w:val="en-US"/>
        </w:rPr>
        <w:t>Most employer may look at a potential recruit</w:t>
      </w:r>
      <w:r>
        <w:rPr>
          <w:b w:val="0"/>
          <w:bCs w:val="0"/>
          <w:u w:val="none"/>
          <w:rtl w:val="0"/>
          <w:lang w:val="en-US"/>
        </w:rPr>
        <w:t>’</w:t>
      </w:r>
      <w:r>
        <w:rPr>
          <w:b w:val="0"/>
          <w:bCs w:val="0"/>
          <w:u w:val="none"/>
          <w:rtl w:val="0"/>
          <w:lang w:val="en-US"/>
        </w:rPr>
        <w:t>s CV and be concerned with only a few things. Most likely they will be examining the prospect</w:t>
      </w:r>
      <w:r>
        <w:rPr>
          <w:b w:val="0"/>
          <w:bCs w:val="0"/>
          <w:u w:val="none"/>
          <w:rtl w:val="0"/>
          <w:lang w:val="en-US"/>
        </w:rPr>
        <w:t>’</w:t>
      </w:r>
      <w:r>
        <w:rPr>
          <w:b w:val="0"/>
          <w:bCs w:val="0"/>
          <w:u w:val="none"/>
          <w:rtl w:val="0"/>
          <w:lang w:val="en-US"/>
        </w:rPr>
        <w:t xml:space="preserve">s educational attainment, assessed based purely on the grades achieved whilst in compulsory education. For many living in poverty, these grades may have been adversely affected by their economic status, something they are unable to control as they are not part of the labour market. This then leads to them being forced, not necessarily in to lower skilled jobs, but rather lower paid. One might argue that the skills required to wash dishes at a restaurant, are no more challenging than those required to work in a retail environment. Currently, there are vacancies for both styles of job in the Swansea area, according to indeed.com (2021). Whilst the Kitchen Porter role offers a wage of </w:t>
      </w:r>
      <w:r>
        <w:rPr>
          <w:b w:val="0"/>
          <w:bCs w:val="0"/>
          <w:u w:val="none"/>
          <w:rtl w:val="0"/>
          <w:lang w:val="en-US"/>
        </w:rPr>
        <w:t>£</w:t>
      </w:r>
      <w:r>
        <w:rPr>
          <w:b w:val="0"/>
          <w:bCs w:val="0"/>
          <w:u w:val="none"/>
          <w:rtl w:val="0"/>
          <w:lang w:val="en-US"/>
        </w:rPr>
        <w:t xml:space="preserve">8.91 per hour, the Retail Assistant would receive </w:t>
      </w:r>
      <w:r>
        <w:rPr>
          <w:b w:val="0"/>
          <w:bCs w:val="0"/>
          <w:u w:val="none"/>
          <w:rtl w:val="0"/>
          <w:lang w:val="en-US"/>
        </w:rPr>
        <w:t>£</w:t>
      </w:r>
      <w:r>
        <w:rPr>
          <w:b w:val="0"/>
          <w:bCs w:val="0"/>
          <w:u w:val="none"/>
          <w:rtl w:val="0"/>
          <w:lang w:val="en-US"/>
        </w:rPr>
        <w:t xml:space="preserve">9.50. A small pay gap per hour, but overall a </w:t>
      </w:r>
      <w:r>
        <w:rPr>
          <w:b w:val="0"/>
          <w:bCs w:val="0"/>
          <w:u w:val="none"/>
          <w:rtl w:val="0"/>
          <w:lang w:val="en-US"/>
        </w:rPr>
        <w:t>£</w:t>
      </w:r>
      <w:r>
        <w:rPr>
          <w:b w:val="0"/>
          <w:bCs w:val="0"/>
          <w:u w:val="none"/>
          <w:rtl w:val="0"/>
          <w:lang w:val="en-US"/>
        </w:rPr>
        <w:t xml:space="preserve">22 per week pay gap based upon a 38 hour working week. Whilst the pay gap can be fairly large, the requirements asked of prospective candidates between both jobs make for interesting reading. The Kitchen Porter is required to bring nothing but themselves and a positive attitude, whilst the Retail assistant is expected to have numeracy skills, as well as pre-existing skills in the customer service industry. Admittedly the skills wanted by the potential employers are relatively minimal. Numeracy skills is ambiguous and could simply be a requirement to recognise monetary values, as opposed to needing to figure out change on the fly, as most tills will do this for a retail worker.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b w:val="0"/>
          <w:bCs w:val="0"/>
          <w:u w:val="none"/>
          <w:rtl w:val="0"/>
        </w:rPr>
      </w:pPr>
      <w:r>
        <w:rPr>
          <w:b w:val="0"/>
          <w:bCs w:val="0"/>
          <w:u w:val="none"/>
          <w:rtl w:val="0"/>
          <w:lang w:val="en-US"/>
        </w:rPr>
        <w:t>An interesting desirable skillset for retail workers also mentions customer service skills, or rather people skills. The ability to be able to confidently interact with customers is essential to most retail environments for a multitude of reasons.</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b w:val="0"/>
          <w:bCs w:val="0"/>
          <w:u w:val="none"/>
          <w:rtl w:val="0"/>
        </w:rPr>
      </w:pPr>
      <w:r>
        <w:rPr>
          <w:b w:val="0"/>
          <w:bCs w:val="0"/>
          <w:u w:val="none"/>
          <w:rtl w:val="0"/>
          <w:lang w:val="en-US"/>
        </w:rPr>
        <w:t xml:space="preserve">The most obvious need for confident staff to interact with customers is to drive sales. If a retail colleague can confidently speak about the variety of products available to customers, then selling such a product becomes much easier. However, there is a secondary reason, and that is to be able to manage a customer.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b w:val="0"/>
          <w:bCs w:val="0"/>
          <w:u w:val="none"/>
          <w:rtl w:val="0"/>
        </w:rPr>
      </w:pPr>
      <w:r>
        <w:rPr>
          <w:b w:val="0"/>
          <w:bCs w:val="0"/>
          <w:u w:val="none"/>
          <w:rtl w:val="0"/>
          <w:lang w:val="en-US"/>
        </w:rPr>
        <w:t xml:space="preserve">Managing a customer is not simply telling them what to do, or how to do it. Managing a customer is more about ensuring their grievances are heard and dealt with in a way that is satisfactory to both them, and the company. Again this is a technique that relies heavily on the people skills of an employee.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b w:val="0"/>
          <w:bCs w:val="0"/>
          <w:u w:val="none"/>
          <w:rtl w:val="0"/>
        </w:rPr>
      </w:pPr>
      <w:r>
        <w:rPr>
          <w:b w:val="0"/>
          <w:bCs w:val="0"/>
          <w:u w:val="none"/>
          <w:rtl w:val="0"/>
          <w:lang w:val="en-US"/>
        </w:rPr>
        <w:t>In both instances of skills demonstrations, we see an almost guaranteed need for any prospective employees to have some semblance of people skills. Meaning to achieve the higher paying job, albeit a minor pay difference, candidates must be expected to show a level of people skills competent enough match the potential employer</w:t>
      </w:r>
      <w:r>
        <w:rPr>
          <w:b w:val="0"/>
          <w:bCs w:val="0"/>
          <w:u w:val="none"/>
          <w:rtl w:val="0"/>
          <w:lang w:val="en-US"/>
        </w:rPr>
        <w:t>’</w:t>
      </w:r>
      <w:r>
        <w:rPr>
          <w:b w:val="0"/>
          <w:bCs w:val="0"/>
          <w:u w:val="none"/>
          <w:rtl w:val="0"/>
          <w:lang w:val="en-US"/>
        </w:rPr>
        <w:t>s expectations.</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b w:val="0"/>
          <w:bCs w:val="0"/>
          <w:u w:val="none"/>
          <w:rtl w:val="0"/>
        </w:rPr>
      </w:pPr>
      <w:r>
        <w:rPr>
          <w:b w:val="0"/>
          <w:bCs w:val="0"/>
          <w:u w:val="none"/>
          <w:rtl w:val="0"/>
          <w:lang w:val="en-US"/>
        </w:rPr>
        <w:t>However, if a candidate is unable to provide proof of numerical competency, the need to show people skills grows even more. Without being able to rely on a strong academic background, candidates must indeed bring to the table a solid foundation of human interaction capabilities. Understandably some prospective candidates may be unable to demonstrate such a skillset if they are first time job seekers. Therefore a good interview can make all the difference when it comes to being selected for employment.</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b w:val="0"/>
          <w:bCs w:val="0"/>
          <w:u w:val="none"/>
          <w:rtl w:val="0"/>
        </w:rPr>
      </w:pPr>
      <w:r>
        <w:rPr>
          <w:b w:val="0"/>
          <w:bCs w:val="0"/>
          <w:u w:val="none"/>
          <w:rtl w:val="0"/>
          <w:lang w:val="en-US"/>
        </w:rPr>
        <w:t>A good interview would allow any candidate to make a lasting impression on a potential employer, demonstrating both sides of the people skills skillset needed for retail: the confident interaction, alongside the people managing. Again we must not think of people managing in an interview context as any kind of deception. Instead, a candidate with solid people management skills who is able to effectively manage the expectations of an employer, can be much more appealing than one who only brings a limited level of people skills. For example in order to achieve my last job, I had to work through a two stage interview process.</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b w:val="0"/>
          <w:bCs w:val="0"/>
          <w:u w:val="none"/>
          <w:rtl w:val="0"/>
        </w:rPr>
      </w:pPr>
      <w:r>
        <w:rPr>
          <w:b w:val="0"/>
          <w:bCs w:val="0"/>
          <w:u w:val="none"/>
          <w:rtl w:val="0"/>
          <w:lang w:val="en-US"/>
        </w:rPr>
        <w:t xml:space="preserve">Stage one involved a group scenario, where each of us were asked to market two products in pairs, each pair needing to sell their product to an opposing pair. Each group is given time to learn about the products they will be selling, before facing off against a pair from the opposite group. Whilst the best sale pitch was always the way to win over the management team, good product knowledge also played a role. However, a third option becomes available in such a setting.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b w:val="0"/>
          <w:bCs w:val="0"/>
          <w:u w:val="none"/>
          <w:rtl w:val="0"/>
        </w:rPr>
      </w:pPr>
      <w:r>
        <w:rPr>
          <w:b w:val="0"/>
          <w:bCs w:val="0"/>
          <w:u w:val="none"/>
          <w:rtl w:val="0"/>
          <w:lang w:val="en-US"/>
        </w:rPr>
        <w:t xml:space="preserve">Questions will be asked of the candidates about their products, and if they are unable to provide the answer, they will often freeze up, or make up an answer. Neither of these solutions show off any people skills, just a lack of confidence or over confidence. Given you are surrounded by the management team of your prospective employer, the easiest and most effective answer, is to direct the </w:t>
      </w:r>
      <w:r>
        <w:rPr>
          <w:b w:val="0"/>
          <w:bCs w:val="0"/>
          <w:u w:val="none"/>
          <w:rtl w:val="0"/>
          <w:lang w:val="en-US"/>
        </w:rPr>
        <w:t>“</w:t>
      </w:r>
      <w:r>
        <w:rPr>
          <w:b w:val="0"/>
          <w:bCs w:val="0"/>
          <w:u w:val="none"/>
          <w:rtl w:val="0"/>
          <w:lang w:val="en-US"/>
        </w:rPr>
        <w:t>customer</w:t>
      </w:r>
      <w:r>
        <w:rPr>
          <w:b w:val="0"/>
          <w:bCs w:val="0"/>
          <w:u w:val="none"/>
          <w:rtl w:val="0"/>
          <w:lang w:val="en-US"/>
        </w:rPr>
        <w:t xml:space="preserve">” </w:t>
      </w:r>
      <w:r>
        <w:rPr>
          <w:b w:val="0"/>
          <w:bCs w:val="0"/>
          <w:u w:val="none"/>
          <w:rtl w:val="0"/>
          <w:lang w:val="en-US"/>
        </w:rPr>
        <w:t>in the scenario to one of them. That way a candidate demonstrates team work, as well as people skills. The customer is managed in a way that they feel listened to, but also ultimately find out the answer to their query. Problem solved.</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b w:val="0"/>
          <w:bCs w:val="0"/>
          <w:u w:val="none"/>
          <w:rtl w:val="0"/>
        </w:rPr>
      </w:pPr>
      <w:r>
        <w:rPr>
          <w:b w:val="0"/>
          <w:bCs w:val="0"/>
          <w:u w:val="none"/>
          <w:rtl w:val="0"/>
          <w:lang w:val="en-US"/>
        </w:rPr>
        <w:t>Quick thinking such as involving external factors in interview scenarios, particularly ones that require further knowledge of the company, shows a confidence that will appeal to a sales environment. However, that ability to improvise and use quick thinning is not always natural born gift, it is something many have to learn, or develop over time.</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b w:val="0"/>
          <w:bCs w:val="0"/>
          <w:u w:val="none"/>
          <w:rtl w:val="0"/>
        </w:rPr>
      </w:pPr>
      <w:r>
        <w:rPr>
          <w:b w:val="0"/>
          <w:bCs w:val="0"/>
          <w:u w:val="none"/>
          <w:rtl w:val="0"/>
          <w:lang w:val="en-US"/>
        </w:rPr>
        <w:t xml:space="preserve">Recent school leavers often have not had the time to develop such skills, they are instead expected to magically have the skillset required immediately by many employers. Admittedly there are also employers who are willing to train and develop new colleagues, but those jobs are often few and far between due to the nature of employment. If you are being paid to develop your skills, why leave the job?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b w:val="0"/>
          <w:bCs w:val="0"/>
          <w:u w:val="none"/>
          <w:rtl w:val="0"/>
        </w:rPr>
      </w:pPr>
      <w:r>
        <w:rPr>
          <w:b w:val="0"/>
          <w:bCs w:val="0"/>
          <w:u w:val="none"/>
          <w:rtl w:val="0"/>
          <w:lang w:val="en-US"/>
        </w:rPr>
        <w:t>Therefore we need a way to ensure recent school leavers preparing to enter the working world are fully equipped for interviews, ensuring they can both market themselves, and any products they may be selling to the best of their abilities.</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b w:val="0"/>
          <w:bCs w:val="0"/>
          <w:u w:val="none"/>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b w:val="0"/>
          <w:bCs w:val="0"/>
          <w:u w:val="none"/>
          <w:rtl w:val="0"/>
        </w:rPr>
      </w:pPr>
      <w:r>
        <w:rPr>
          <w:b w:val="0"/>
          <w:bCs w:val="0"/>
          <w:u w:val="none"/>
          <w:rtl w:val="0"/>
          <w:lang w:val="en-US"/>
        </w:rPr>
        <w:t>The Phoenix on the Hill, is a community centre located in the Townhill area of Swansea. It is a large gathering area offering opportunities for learning, and socialising. It also offers childcare settings.</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b w:val="0"/>
          <w:bCs w:val="0"/>
          <w:u w:val="none"/>
          <w:rtl w:val="0"/>
        </w:rPr>
      </w:pPr>
      <w:r>
        <w:rPr>
          <w:b w:val="0"/>
          <w:bCs w:val="0"/>
          <w:u w:val="none"/>
          <w:rtl w:val="0"/>
          <w:lang w:val="en-US"/>
        </w:rPr>
        <w:t>The astroturf pitches offer schools the opportunity to meet for sports team clashes, meaning it is a location already familiar to many of the Swansea residents.</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b w:val="0"/>
          <w:bCs w:val="0"/>
          <w:u w:val="none"/>
          <w:rtl w:val="0"/>
        </w:rPr>
      </w:pPr>
      <w:r>
        <w:rPr>
          <w:b w:val="0"/>
          <w:bCs w:val="0"/>
          <w:u w:val="none"/>
          <w:rtl w:val="0"/>
          <w:lang w:val="en-US"/>
        </w:rPr>
        <w:t>This perfectly situated community centre offers an ideal location for a new learning provision to benefit those seeking employment. It has multiple conference rooms available for use, with a maximum capacity of 30 people, and a minimum of 15 people. This means any sessions provided can be tailored to use a smaller space if needs be, allowing for effective cost management. There is no need to pay for a room designed and priced to accommodate 30 people, if only 10 are attending the session.</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b w:val="0"/>
          <w:bCs w:val="0"/>
          <w:u w:val="none"/>
          <w:rtl w:val="0"/>
        </w:rPr>
      </w:pPr>
      <w:r>
        <w:rPr>
          <w:b w:val="0"/>
          <w:bCs w:val="0"/>
          <w:u w:val="none"/>
          <w:rtl w:val="0"/>
          <w:lang w:val="en-US"/>
        </w:rPr>
        <w:t>A second benefit to using the Phoenix on the Hill, is it is perfectly situated in Townhill to allow the target audience for this provision to access it with ease. The need for transport is limited as it is situated within walking distance for most of the potential patrons of the service, plus it is surround by multiple bus stops, meaning public transport can also be used if necessary.</w:t>
      </w:r>
      <w:r>
        <w:rPr>
          <w:b w:val="0"/>
          <w:bCs w:val="0"/>
          <w:u w:val="none"/>
          <w:rtl w:val="0"/>
        </w:rPr>
        <w:drawing>
          <wp:anchor distT="152400" distB="152400" distL="152400" distR="152400" simplePos="0" relativeHeight="251659264" behindDoc="0" locked="0" layoutInCell="1" allowOverlap="1">
            <wp:simplePos x="0" y="0"/>
            <wp:positionH relativeFrom="margin">
              <wp:posOffset>-6349</wp:posOffset>
            </wp:positionH>
            <wp:positionV relativeFrom="line">
              <wp:posOffset>179159</wp:posOffset>
            </wp:positionV>
            <wp:extent cx="6120057" cy="4000968"/>
            <wp:effectExtent l="0" t="0" r="0" b="0"/>
            <wp:wrapThrough wrapText="bothSides" distL="152400" distR="152400">
              <wp:wrapPolygon edited="1">
                <wp:start x="0" y="0"/>
                <wp:lineTo x="21600" y="0"/>
                <wp:lineTo x="21600" y="21600"/>
                <wp:lineTo x="0" y="21600"/>
                <wp:lineTo x="0" y="0"/>
              </wp:wrapPolygon>
            </wp:wrapThrough>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Screenshot 2021-05-09 at 16.49.22.png"/>
                    <pic:cNvPicPr>
                      <a:picLocks noChangeAspect="1"/>
                    </pic:cNvPicPr>
                  </pic:nvPicPr>
                  <pic:blipFill>
                    <a:blip r:embed="rId4">
                      <a:extLst/>
                    </a:blip>
                    <a:stretch>
                      <a:fillRect/>
                    </a:stretch>
                  </pic:blipFill>
                  <pic:spPr>
                    <a:xfrm>
                      <a:off x="0" y="0"/>
                      <a:ext cx="6120057" cy="4000968"/>
                    </a:xfrm>
                    <a:prstGeom prst="rect">
                      <a:avLst/>
                    </a:prstGeom>
                    <a:ln w="12700" cap="flat">
                      <a:noFill/>
                      <a:miter lim="400000"/>
                    </a:ln>
                    <a:effectLst/>
                  </pic:spPr>
                </pic:pic>
              </a:graphicData>
            </a:graphic>
          </wp:anchor>
        </w:drawing>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b w:val="0"/>
          <w:bCs w:val="0"/>
          <w:u w:val="none"/>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b w:val="0"/>
          <w:bCs w:val="0"/>
          <w:u w:val="none"/>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b w:val="0"/>
          <w:bCs w:val="0"/>
          <w:u w:val="none"/>
          <w:rtl w:val="0"/>
        </w:rPr>
      </w:pPr>
      <w:r>
        <w:rPr>
          <w:b w:val="0"/>
          <w:bCs w:val="0"/>
          <w:u w:val="none"/>
          <w:rtl w:val="0"/>
          <w:lang w:val="en-US"/>
        </w:rPr>
        <w:t>The provision itself will be one of an alternative practice. It will be designed to enable its participants to become more confident in interview scenarios, allowing them to enter potential employment opportunities with more confidence, versus entering them relying almost solely on their academic achievements.</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b w:val="0"/>
          <w:bCs w:val="0"/>
          <w:u w:val="none"/>
          <w:rtl w:val="0"/>
        </w:rPr>
      </w:pPr>
      <w:r>
        <w:rPr>
          <w:b w:val="0"/>
          <w:bCs w:val="0"/>
          <w:u w:val="none"/>
          <w:rtl w:val="0"/>
          <w:lang w:val="en-US"/>
        </w:rPr>
        <w:t>The premise of the provision is a simple one however, encourage recent learners to develop their interview skills, through drama techniques.</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b w:val="0"/>
          <w:bCs w:val="0"/>
          <w:u w:val="none"/>
          <w:rtl w:val="0"/>
        </w:rPr>
      </w:pPr>
      <w:r>
        <w:rPr>
          <w:b w:val="0"/>
          <w:bCs w:val="0"/>
          <w:u w:val="none"/>
          <w:rtl w:val="0"/>
          <w:lang w:val="en-US"/>
        </w:rPr>
        <w:t>Drama and theatre are often disregarded in academic terms. Many may class them as easy subjects, however the long term benefits, and certainly the real world benefits of dram are apparent when we look to the skills they provide.</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b w:val="0"/>
          <w:bCs w:val="0"/>
          <w:u w:val="none"/>
          <w:rtl w:val="0"/>
        </w:rPr>
      </w:pPr>
      <w:r>
        <w:rPr>
          <w:b w:val="0"/>
          <w:bCs w:val="0"/>
          <w:u w:val="none"/>
          <w:rtl w:val="0"/>
          <w:lang w:val="en-US"/>
        </w:rPr>
        <w:t>Getting up on stage to perform in front of an audience, regardless of whether the audience is made up of 20 people who all know the performers, or 500 people who are total strangers, can be nerve wracking. Despite this, man performer do it, with some choosing to pursue drama as a career, therefore we must assume there are some ben</w:t>
      </w:r>
      <w:r>
        <mc:AlternateContent>
          <mc:Choice Requires="wps">
            <w:drawing>
              <wp:anchor distT="152400" distB="152400" distL="152400" distR="152400" simplePos="0" relativeHeight="251660288" behindDoc="0" locked="0" layoutInCell="1" allowOverlap="1">
                <wp:simplePos x="0" y="0"/>
                <wp:positionH relativeFrom="page">
                  <wp:posOffset>3083532</wp:posOffset>
                </wp:positionH>
                <wp:positionV relativeFrom="page">
                  <wp:posOffset>5230327</wp:posOffset>
                </wp:positionV>
                <wp:extent cx="1392992" cy="253881"/>
                <wp:effectExtent l="0" t="0" r="0" b="0"/>
                <wp:wrapThrough wrapText="bothSides" distL="152400" distR="152400">
                  <wp:wrapPolygon edited="1">
                    <wp:start x="0" y="0"/>
                    <wp:lineTo x="21600" y="0"/>
                    <wp:lineTo x="21600" y="21600"/>
                    <wp:lineTo x="0" y="21600"/>
                    <wp:lineTo x="0" y="0"/>
                  </wp:wrapPolygon>
                </wp:wrapThrough>
                <wp:docPr id="1073741826" name="officeArt object"/>
                <wp:cNvGraphicFramePr/>
                <a:graphic xmlns:a="http://schemas.openxmlformats.org/drawingml/2006/main">
                  <a:graphicData uri="http://schemas.microsoft.com/office/word/2010/wordprocessingShape">
                    <wps:wsp>
                      <wps:cNvSpPr txBox="1"/>
                      <wps:spPr>
                        <a:xfrm>
                          <a:off x="0" y="0"/>
                          <a:ext cx="1392992" cy="253881"/>
                        </a:xfrm>
                        <a:prstGeom prst="rect">
                          <a:avLst/>
                        </a:prstGeom>
                        <a:noFill/>
                        <a:ln w="12700" cap="flat">
                          <a:noFill/>
                          <a:miter lim="400000"/>
                        </a:ln>
                        <a:effectLst/>
                      </wps:spPr>
                      <wps:txbx>
                        <w:txbxContent>
                          <w:p>
                            <w:pPr>
                              <w:pStyle w:val="Body"/>
                              <w:bidi w:val="0"/>
                            </w:pPr>
                            <w:r>
                              <w:rPr>
                                <w:rtl w:val="0"/>
                              </w:rPr>
                              <w:t>Google Maps (2021)</w:t>
                            </w:r>
                          </w:p>
                        </w:txbxContent>
                      </wps:txbx>
                      <wps:bodyPr wrap="square" lIns="50800" tIns="50800" rIns="50800" bIns="50800" numCol="1" anchor="t">
                        <a:noAutofit/>
                      </wps:bodyPr>
                    </wps:wsp>
                  </a:graphicData>
                </a:graphic>
              </wp:anchor>
            </w:drawing>
          </mc:Choice>
          <mc:Fallback>
            <w:pict>
              <v:shape id="_x0000_s1026" type="#_x0000_t202" style="visibility:visible;position:absolute;margin-left:242.8pt;margin-top:411.8pt;width:109.7pt;height:20.0pt;z-index:251660288;mso-position-horizontal:absolute;mso-position-horizontal-relative:page;mso-position-vertical:absolute;mso-position-vertical-relative:pag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Body"/>
                        <w:bidi w:val="0"/>
                      </w:pPr>
                      <w:r>
                        <w:rPr>
                          <w:rtl w:val="0"/>
                        </w:rPr>
                        <w:t>Google Maps (2021)</w:t>
                      </w:r>
                    </w:p>
                  </w:txbxContent>
                </v:textbox>
                <w10:wrap type="through" side="bothSides" anchorx="page" anchory="page"/>
              </v:shape>
            </w:pict>
          </mc:Fallback>
        </mc:AlternateContent>
      </w:r>
      <w:r>
        <w:rPr>
          <w:b w:val="0"/>
          <w:bCs w:val="0"/>
          <w:u w:val="none"/>
          <w:rtl w:val="0"/>
          <w:lang w:val="en-US"/>
        </w:rPr>
        <w:t>efits to it. The sheer confidence it takes to get on stage and perform is good indicator of how these skills can transfer over. Alongside this, conversational skills are developed.</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b w:val="0"/>
          <w:bCs w:val="0"/>
          <w:u w:val="none"/>
          <w:rtl w:val="0"/>
        </w:rPr>
      </w:pPr>
      <w:r>
        <w:rPr>
          <w:b w:val="0"/>
          <w:bCs w:val="0"/>
          <w:u w:val="none"/>
          <w:rtl w:val="0"/>
          <w:lang w:val="en-US"/>
        </w:rPr>
        <w:t xml:space="preserve">Performers learn to converse in a natural way on stage, even though the texts are pre written. This means they have to develop the ability to bring emotion and believability into words that traditionally are not their own. If a person can do this, then brining that same level of emotion into everyday practice becomes almost autonomous.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b w:val="0"/>
          <w:bCs w:val="0"/>
          <w:u w:val="none"/>
          <w:rtl w:val="0"/>
        </w:rPr>
      </w:pPr>
      <w:r>
        <w:rPr>
          <w:b w:val="0"/>
          <w:bCs w:val="0"/>
          <w:u w:val="none"/>
          <w:rtl w:val="0"/>
          <w:lang w:val="en-US"/>
        </w:rPr>
        <w:t xml:space="preserve">Many performers will also be grilled in interview like scenarios. One such technique is known as </w:t>
      </w:r>
      <w:r>
        <w:rPr>
          <w:b w:val="0"/>
          <w:bCs w:val="0"/>
          <w:u w:val="none"/>
          <w:rtl w:val="0"/>
          <w:lang w:val="en-US"/>
        </w:rPr>
        <w:t>“</w:t>
      </w:r>
      <w:r>
        <w:rPr>
          <w:b w:val="0"/>
          <w:bCs w:val="0"/>
          <w:u w:val="none"/>
          <w:rtl w:val="0"/>
          <w:lang w:val="en-US"/>
        </w:rPr>
        <w:t>hot-seating</w:t>
      </w:r>
      <w:r>
        <w:rPr>
          <w:b w:val="0"/>
          <w:bCs w:val="0"/>
          <w:u w:val="none"/>
          <w:rtl w:val="0"/>
          <w:lang w:val="en-US"/>
        </w:rPr>
        <w:t>”</w:t>
      </w:r>
      <w:r>
        <w:rPr>
          <w:b w:val="0"/>
          <w:bCs w:val="0"/>
          <w:u w:val="none"/>
          <w:rtl w:val="0"/>
          <w:lang w:val="en-US"/>
        </w:rPr>
        <w:t xml:space="preserve">. A simple idea, but one that forces answers out of a performer in rapid fashion. Hot-seating involves one performer sitting in front of their fellow performers, whilst in character. They must then face a barrage of questions from either their fellow cast members, of the director. The character created by the performer must be well established, and personal to them. Whilst some information will be ascertained from reading the text their character originates from, other pieces of information will need to be created by the performer. They must then be able to answer the questions hurled at them with honesty as their character.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b w:val="0"/>
          <w:bCs w:val="0"/>
          <w:u w:val="none"/>
          <w:rtl w:val="0"/>
        </w:rPr>
      </w:pPr>
      <w:r>
        <w:rPr>
          <w:b w:val="0"/>
          <w:bCs w:val="0"/>
          <w:u w:val="none"/>
          <w:rtl w:val="0"/>
          <w:lang w:val="en-US"/>
        </w:rPr>
        <w:t>In a narrow minded fashion, we could perceive hot-seating to be a technique designed purely for developing characters in a performance piece. However if we look wider, and transfer those skills in to the working world, we can see how answering questions in a setting where you don</w:t>
      </w:r>
      <w:r>
        <w:rPr>
          <w:b w:val="0"/>
          <w:bCs w:val="0"/>
          <w:u w:val="none"/>
          <w:rtl w:val="0"/>
          <w:lang w:val="en-US"/>
        </w:rPr>
        <w:t>’</w:t>
      </w:r>
      <w:r>
        <w:rPr>
          <w:b w:val="0"/>
          <w:bCs w:val="0"/>
          <w:u w:val="none"/>
          <w:rtl w:val="0"/>
          <w:lang w:val="en-US"/>
        </w:rPr>
        <w:t>t have time to think of an answer, can be beneficial when answering questions at a job interview. Despite having multiple answers rushing to your mind, you are not expected to blurt out the first one as you would in traditional hot-seating. Instead you are afforded the time to choose the best response, alleviating some of the pressure. If you have already experienced high pressure interview situations, one that is more relaxed with no set right or wrong answers becomes much easier than it might have been without experiencing hot-seating.</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b w:val="0"/>
          <w:bCs w:val="0"/>
          <w:u w:val="none"/>
          <w:rtl w:val="0"/>
        </w:rPr>
      </w:pPr>
      <w:r>
        <w:rPr>
          <w:b w:val="0"/>
          <w:bCs w:val="0"/>
          <w:u w:val="none"/>
          <w:rtl w:val="0"/>
          <w:lang w:val="en-US"/>
        </w:rPr>
        <w:t>Hot-seating is a wonderful technique for preparing a candidate for an interview, however there is always the chance that a company may run a two stage interview process, similar to the one I encountered.</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b w:val="0"/>
          <w:bCs w:val="0"/>
          <w:u w:val="none"/>
          <w:rtl w:val="0"/>
        </w:rPr>
      </w:pPr>
      <w:r>
        <w:rPr>
          <w:b w:val="0"/>
          <w:bCs w:val="0"/>
          <w:u w:val="none"/>
          <w:rtl w:val="0"/>
          <w:lang w:val="en-US"/>
        </w:rPr>
        <w:t>In a retail environment, a trial shift/practical interview is fairly common. Working in a shop that requires a colleague to life and move heavy, bulky items without ensuring they are able to do so, is unsafe practice. Additionally, seeing how a colleague would behave during business hours, combined with seeing their actual interactions with customers can be key to deciding if they are a fit for the job.</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b w:val="0"/>
          <w:bCs w:val="0"/>
          <w:u w:val="none"/>
          <w:rtl w:val="0"/>
        </w:rPr>
      </w:pPr>
      <w:r>
        <w:rPr>
          <w:b w:val="0"/>
          <w:bCs w:val="0"/>
          <w:u w:val="none"/>
          <w:rtl w:val="0"/>
          <w:lang w:val="en-US"/>
        </w:rPr>
        <w:t xml:space="preserve">Whilst being physically able to carry out the lifting of heavy items is something we will not be targeting within this provision, we would encourage all participants to ensure they feel they are capable of carrying out any sort of manual handling before applying for jobs which may require to partake in it.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b w:val="0"/>
          <w:bCs w:val="0"/>
          <w:u w:val="none"/>
          <w:rtl w:val="0"/>
        </w:rPr>
      </w:pPr>
      <w:r>
        <w:rPr>
          <w:b w:val="0"/>
          <w:bCs w:val="0"/>
          <w:u w:val="none"/>
          <w:rtl w:val="0"/>
          <w:lang w:val="en-US"/>
        </w:rPr>
        <w:t>Ensuring a candidate is prepared to interact with customers in a confident manner, will be a key aspect of the provision. Again this is where using drama techniques will aid inexplicably.</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b w:val="0"/>
          <w:bCs w:val="0"/>
          <w:u w:val="none"/>
          <w:rtl w:val="0"/>
        </w:rPr>
      </w:pPr>
      <w:r>
        <w:rPr>
          <w:b w:val="0"/>
          <w:bCs w:val="0"/>
          <w:u w:val="none"/>
          <w:rtl w:val="0"/>
          <w:lang w:val="en-US"/>
        </w:rPr>
        <w:t>Spontaneous improvisation is a perfect technique for building a person</w:t>
      </w:r>
      <w:r>
        <w:rPr>
          <w:b w:val="0"/>
          <w:bCs w:val="0"/>
          <w:u w:val="none"/>
          <w:rtl w:val="0"/>
          <w:lang w:val="en-US"/>
        </w:rPr>
        <w:t>’</w:t>
      </w:r>
      <w:r>
        <w:rPr>
          <w:b w:val="0"/>
          <w:bCs w:val="0"/>
          <w:u w:val="none"/>
          <w:rtl w:val="0"/>
          <w:lang w:val="en-US"/>
        </w:rPr>
        <w:t>s conversational confidence. The concept of spontaneous improvisation is exactly what you would expect, a scenario or stimulus is presented to a performer. They must then respond to said stimulus in a spontaneous manner. Basic rules usually involve a time limit for the improvisation to start, alongside other performers being free to enter the space and expand the scene. This means the performer has very little time to think, they must craft a response to what unfolds on the fly. Being dropped in to a situation where anything can, and likely will happen is a terrifying concept. However repeatedly having to respond to unexpected scenarios can condition us to not only accept these scenarios, but respond effectively to them.</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b w:val="0"/>
          <w:bCs w:val="0"/>
          <w:u w:val="none"/>
          <w:rtl w:val="0"/>
        </w:rPr>
      </w:pPr>
      <w:r>
        <w:rPr>
          <w:b w:val="0"/>
          <w:bCs w:val="0"/>
          <w:u w:val="none"/>
          <w:rtl w:val="0"/>
          <w:lang w:val="en-US"/>
        </w:rPr>
        <w:t>Similarly to hot-seating, a narrow minded viewpoint see this as a basic exercise demonstrating one</w:t>
      </w:r>
      <w:r>
        <w:rPr>
          <w:b w:val="0"/>
          <w:bCs w:val="0"/>
          <w:u w:val="none"/>
          <w:rtl w:val="0"/>
          <w:lang w:val="en-US"/>
        </w:rPr>
        <w:t>’</w:t>
      </w:r>
      <w:r>
        <w:rPr>
          <w:b w:val="0"/>
          <w:bCs w:val="0"/>
          <w:u w:val="none"/>
          <w:rtl w:val="0"/>
          <w:lang w:val="en-US"/>
        </w:rPr>
        <w:t>s ability to imagine an impossible scenario, and then continue to run that scenario until you literally run out of things to say and do. Widen your vision though, and you see how this simple exercise of make believe, translates in to creating a confident employee. Things in a business can spontaneously go wrong: a printer may jam, a delivery may turn up late or damaged, or a customer may bring a complaint or issue to a colleague. These scenarios are likely to happen across a multitude of business environments, meaning quick on the fly thinking is essential to combat the various crises.</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b w:val="0"/>
          <w:bCs w:val="0"/>
          <w:u w:val="none"/>
          <w:rtl w:val="0"/>
        </w:rPr>
      </w:pPr>
      <w:r>
        <w:rPr>
          <w:b w:val="0"/>
          <w:bCs w:val="0"/>
          <w:u w:val="none"/>
          <w:rtl w:val="0"/>
          <w:lang w:val="en-US"/>
        </w:rPr>
        <w:t>Whilst on a work trial, it is unlikely a job candidate will see any such crisis, managers will be closely observing the candidate</w:t>
      </w:r>
      <w:r>
        <w:rPr>
          <w:b w:val="0"/>
          <w:bCs w:val="0"/>
          <w:u w:val="none"/>
          <w:rtl w:val="0"/>
          <w:lang w:val="en-US"/>
        </w:rPr>
        <w:t>’</w:t>
      </w:r>
      <w:r>
        <w:rPr>
          <w:b w:val="0"/>
          <w:bCs w:val="0"/>
          <w:u w:val="none"/>
          <w:rtl w:val="0"/>
          <w:lang w:val="en-US"/>
        </w:rPr>
        <w:t>s interactions with customers. This is where the benefits of spontaneous improvisation truly shine through. Being able to listen, and effectively respond to a customer query can make or break that interaction, and often impact upon a customer</w:t>
      </w:r>
      <w:r>
        <w:rPr>
          <w:b w:val="0"/>
          <w:bCs w:val="0"/>
          <w:u w:val="none"/>
          <w:rtl w:val="0"/>
          <w:lang w:val="en-US"/>
        </w:rPr>
        <w:t>’</w:t>
      </w:r>
      <w:r>
        <w:rPr>
          <w:b w:val="0"/>
          <w:bCs w:val="0"/>
          <w:u w:val="none"/>
          <w:rtl w:val="0"/>
          <w:lang w:val="en-US"/>
        </w:rPr>
        <w:t>s decision to return. If a manager is able to observe the candidate effectively respond to a customer, in a way that makes the customer feel valued because they were listened to, then they will look far more favourably on the candidate. After all, if a customer leaves happy with the service they have received, they are far more likely to return.</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b w:val="0"/>
          <w:bCs w:val="0"/>
          <w:u w:val="none"/>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b w:val="0"/>
          <w:bCs w:val="0"/>
          <w:u w:val="none"/>
          <w:rtl w:val="0"/>
        </w:rPr>
      </w:pPr>
      <w:r>
        <w:rPr>
          <w:b w:val="0"/>
          <w:bCs w:val="0"/>
          <w:u w:val="none"/>
          <w:rtl w:val="0"/>
          <w:lang w:val="en-US"/>
        </w:rPr>
        <w:t>A project such as this, whilst certainly beneficial to a community, cannot be achieved without some type of funding. Costs incurred include the rental of conference rooms at the Phoenix on the Hill, alongside marketing and paying staff. Normally the most effective way to combat expenditure for s service like this would be to charge participants. However given its intended purpose, combined with its target group being largely unemployed or school leavers, we cannot ask our participants to pay. Instead, the project will be funded by private funding from companies and local businesses. Admittedly we cannot expect these business to simply upfront money to us, instead we propose an exchange of even value. Whilst we cannot expect our participants to find employment rapidly during the provision of service, we can ask they work voluntarily at the partner businesses. Whilst this cannot serve as a permanent placement for them, it would provide valuable on the job experience, combined with a chance to demonstrate any skills learnt or developed whilst attending the provision.</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b w:val="0"/>
          <w:bCs w:val="0"/>
          <w:u w:val="none"/>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b w:val="0"/>
          <w:bCs w:val="0"/>
          <w:u w:val="none"/>
          <w:rtl w:val="0"/>
        </w:rPr>
      </w:pPr>
      <w:r>
        <w:rPr>
          <w:b w:val="0"/>
          <w:bCs w:val="0"/>
          <w:u w:val="none"/>
          <w:rtl w:val="0"/>
          <w:lang w:val="en-US"/>
        </w:rPr>
        <w:t xml:space="preserve">Overall this project has the capability to positively impact recent school leavers in the Townhill ward of Swansea. Its locality means it can be accessed by those without a regular means of transport, without costing them at all. Combine this with the opportunity of earring at least a temporary placement in a job, and the numbers of unemployed people in the community begin to drop.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b w:val="0"/>
          <w:bCs w:val="0"/>
          <w:u w:val="none"/>
          <w:rtl w:val="0"/>
        </w:rPr>
      </w:pPr>
      <w:r>
        <w:rPr>
          <w:b w:val="0"/>
          <w:bCs w:val="0"/>
          <w:u w:val="none"/>
          <w:rtl w:val="0"/>
          <w:lang w:val="en-US"/>
        </w:rPr>
        <w:t>Those who are able to extract the most from this provision, will also likely find themselves in long term employment, soon after the provision ends. This means that overall the community around Townhill is able to improve, breaking the cycle of low income leading to low education, and ultimately back to low income.</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b w:val="0"/>
          <w:bCs w:val="0"/>
          <w:u w:val="none"/>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b w:val="0"/>
          <w:bCs w:val="0"/>
          <w:u w:val="none"/>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b w:val="0"/>
          <w:bCs w:val="0"/>
          <w:u w:val="none"/>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b w:val="0"/>
          <w:bCs w:val="0"/>
          <w:u w:val="none"/>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b w:val="0"/>
          <w:bCs w:val="0"/>
          <w:u w:val="none"/>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b w:val="0"/>
          <w:bCs w:val="0"/>
          <w:u w:val="none"/>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b w:val="0"/>
          <w:bCs w:val="0"/>
          <w:u w:val="none"/>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b w:val="0"/>
          <w:bCs w:val="0"/>
          <w:u w:val="none"/>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b w:val="0"/>
          <w:bCs w:val="0"/>
          <w:u w:val="none"/>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b w:val="0"/>
          <w:bCs w:val="0"/>
          <w:u w:val="none"/>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b w:val="0"/>
          <w:bCs w:val="0"/>
          <w:u w:val="none"/>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b w:val="0"/>
          <w:bCs w:val="0"/>
          <w:u w:val="none"/>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b w:val="0"/>
          <w:bCs w:val="0"/>
          <w:u w:val="none"/>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b w:val="0"/>
          <w:bCs w:val="0"/>
          <w:u w:val="none"/>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b w:val="0"/>
          <w:bCs w:val="0"/>
          <w:u w:val="none"/>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b w:val="0"/>
          <w:bCs w:val="0"/>
          <w:u w:val="none"/>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b w:val="0"/>
          <w:bCs w:val="0"/>
          <w:u w:val="none"/>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b w:val="0"/>
          <w:bCs w:val="0"/>
          <w:u w:val="none"/>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b w:val="0"/>
          <w:bCs w:val="0"/>
          <w:u w:val="none"/>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b w:val="0"/>
          <w:bCs w:val="0"/>
          <w:u w:val="none"/>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b w:val="0"/>
          <w:bCs w:val="0"/>
          <w:u w:val="none"/>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b w:val="0"/>
          <w:bCs w:val="0"/>
          <w:u w:val="none"/>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b w:val="0"/>
          <w:bCs w:val="0"/>
          <w:u w:val="none"/>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b w:val="0"/>
          <w:bCs w:val="0"/>
          <w:u w:val="none"/>
          <w:rtl w:val="0"/>
        </w:rPr>
      </w:pPr>
      <w:r>
        <w:rPr>
          <w:b w:val="0"/>
          <w:bCs w:val="0"/>
          <w:u w:val="none"/>
          <w:rtl w:val="0"/>
          <w:lang w:val="en-US"/>
        </w:rPr>
        <w:t>Reference list:</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b w:val="0"/>
          <w:bCs w:val="0"/>
          <w:u w:val="none"/>
          <w:rtl w:val="0"/>
        </w:rPr>
      </w:pPr>
    </w:p>
    <w:p>
      <w:pPr>
        <w:pStyle w:val="Body"/>
        <w:bidi w:val="0"/>
      </w:pPr>
      <w:r>
        <w:rPr>
          <w:rtl w:val="0"/>
        </w:rPr>
        <w:t xml:space="preserve">Stats Wales (2020) </w:t>
      </w:r>
      <w:r>
        <w:rPr>
          <w:i w:val="1"/>
          <w:iCs w:val="1"/>
          <w:rtl w:val="0"/>
          <w:lang w:val="en-US"/>
        </w:rPr>
        <w:t>Mid-year population estimates (1991 onwards), by Welsh local authorities, English regions and UK countries, for a single year of age and sex.</w:t>
      </w:r>
      <w:r>
        <w:rPr>
          <w:rtl w:val="0"/>
        </w:rPr>
        <w:t xml:space="preserve"> Available at: </w:t>
      </w:r>
      <w:r>
        <w:rPr/>
        <w:fldChar w:fldCharType="begin" w:fldLock="0"/>
      </w:r>
      <w:r>
        <w:instrText xml:space="preserve"> HYPERLINK "https://statswales.gov.wales/Catalogue/Population-and-Migration/Population/Estimates/Local-Authority/populationestimates-by-localauthority-year"</w:instrText>
      </w:r>
      <w:r>
        <w:rPr/>
        <w:fldChar w:fldCharType="separate" w:fldLock="0"/>
      </w:r>
      <w:r>
        <w:rPr>
          <w:rtl w:val="0"/>
        </w:rPr>
        <w:t>https://statswales.gov.wales/Catalogue/Population-and-Migration/Population/Estimates/Local-Authority/populationestimates-by-localauthority-year</w:t>
      </w:r>
      <w:r>
        <w:rPr/>
        <w:fldChar w:fldCharType="end" w:fldLock="0"/>
      </w:r>
      <w:r>
        <w:rPr>
          <w:rtl w:val="0"/>
        </w:rPr>
        <w:t xml:space="preserve"> (Accessed on: 7 May 2021)</w:t>
      </w:r>
    </w:p>
    <w:p>
      <w:pPr>
        <w:pStyle w:val="Body"/>
        <w:bidi w:val="0"/>
      </w:pPr>
    </w:p>
    <w:p>
      <w:pPr>
        <w:pStyle w:val="Body"/>
        <w:bidi w:val="0"/>
      </w:pPr>
      <w:r>
        <w:rPr>
          <w:rtl w:val="0"/>
        </w:rPr>
        <w:t xml:space="preserve">Swansea Council (2021) </w:t>
      </w:r>
      <w:r>
        <w:rPr>
          <w:i w:val="1"/>
          <w:iCs w:val="1"/>
          <w:rtl w:val="0"/>
          <w:lang w:val="en-US"/>
        </w:rPr>
        <w:t>Labour market statistics.</w:t>
      </w:r>
      <w:r>
        <w:rPr>
          <w:rtl w:val="0"/>
        </w:rPr>
        <w:t xml:space="preserve"> Available at: </w:t>
      </w:r>
      <w:r>
        <w:rPr/>
        <w:fldChar w:fldCharType="begin" w:fldLock="0"/>
      </w:r>
      <w:r>
        <w:instrText xml:space="preserve"> HYPERLINK "https://www.swansea.gov.uk/labourmarketstatistics"</w:instrText>
      </w:r>
      <w:r>
        <w:rPr/>
        <w:fldChar w:fldCharType="separate" w:fldLock="0"/>
      </w:r>
      <w:r>
        <w:rPr>
          <w:rtl w:val="0"/>
        </w:rPr>
        <w:t>https://www.swansea.gov.uk/labourmarketstatistics</w:t>
      </w:r>
      <w:r>
        <w:rPr/>
        <w:fldChar w:fldCharType="end" w:fldLock="0"/>
      </w:r>
      <w:r>
        <w:rPr>
          <w:rtl w:val="0"/>
        </w:rPr>
        <w:t xml:space="preserve"> (Accessed on: 7 May 2021)</w:t>
      </w:r>
    </w:p>
    <w:p>
      <w:pPr>
        <w:pStyle w:val="Body"/>
        <w:bidi w:val="0"/>
      </w:pPr>
    </w:p>
    <w:p>
      <w:pPr>
        <w:pStyle w:val="Body"/>
        <w:bidi w:val="0"/>
      </w:pPr>
      <w:r>
        <w:rPr>
          <w:rtl w:val="0"/>
        </w:rPr>
        <w:t xml:space="preserve">Swansea Council (2021) </w:t>
      </w:r>
      <w:r>
        <w:rPr>
          <w:i w:val="1"/>
          <w:iCs w:val="1"/>
          <w:rtl w:val="0"/>
          <w:lang w:val="en-US"/>
        </w:rPr>
        <w:t>Labour Market Statistics Bulletin.</w:t>
      </w:r>
      <w:r>
        <w:rPr>
          <w:rtl w:val="0"/>
        </w:rPr>
        <w:t xml:space="preserve"> Available at: file:///Users/Josh/Downloads/Labour_Market_and_Economic_Statistics_January_2021.pdf (Accessed on: 7 May 2021)</w:t>
      </w:r>
    </w:p>
    <w:p>
      <w:pPr>
        <w:pStyle w:val="Body"/>
        <w:bidi w:val="0"/>
      </w:pPr>
    </w:p>
    <w:p>
      <w:pPr>
        <w:pStyle w:val="Body"/>
        <w:bidi w:val="0"/>
      </w:pPr>
      <w:r>
        <w:rPr>
          <w:rtl w:val="0"/>
        </w:rPr>
        <w:t xml:space="preserve">Locrating (2021) </w:t>
      </w:r>
      <w:r>
        <w:rPr>
          <w:i w:val="1"/>
          <w:iCs w:val="1"/>
          <w:rtl w:val="0"/>
          <w:lang w:val="en-US"/>
        </w:rPr>
        <w:t>Dylan Thomas Community School</w:t>
      </w:r>
      <w:r>
        <w:rPr>
          <w:rtl w:val="0"/>
        </w:rPr>
        <w:t xml:space="preserve">. Available at: </w:t>
      </w:r>
      <w:r>
        <w:rPr/>
        <w:fldChar w:fldCharType="begin" w:fldLock="0"/>
      </w:r>
      <w:r>
        <w:instrText xml:space="preserve"> HYPERLINK "https://www.locrating.com/school_catchment_areas.aspx"</w:instrText>
      </w:r>
      <w:r>
        <w:rPr/>
        <w:fldChar w:fldCharType="separate" w:fldLock="0"/>
      </w:r>
      <w:r>
        <w:rPr>
          <w:rtl w:val="0"/>
        </w:rPr>
        <w:t>https://www.locrating.com/school_catchment_areas.aspx</w:t>
      </w:r>
      <w:r>
        <w:rPr/>
        <w:fldChar w:fldCharType="end" w:fldLock="0"/>
      </w:r>
      <w:r>
        <w:rPr>
          <w:rtl w:val="0"/>
        </w:rPr>
        <w:t xml:space="preserve"> (Accessed on: 7 May 2021)</w:t>
      </w:r>
    </w:p>
    <w:p>
      <w:pPr>
        <w:pStyle w:val="Body"/>
        <w:bidi w:val="0"/>
      </w:pPr>
    </w:p>
    <w:p>
      <w:pPr>
        <w:pStyle w:val="Body"/>
        <w:bidi w:val="0"/>
      </w:pPr>
      <w:r>
        <w:rPr>
          <w:rtl w:val="0"/>
          <w:lang w:val="de-DE"/>
        </w:rPr>
        <w:t xml:space="preserve">Hirsch, D. (2007) </w:t>
      </w:r>
      <w:r>
        <w:rPr>
          <w:i w:val="1"/>
          <w:iCs w:val="1"/>
          <w:rtl w:val="0"/>
          <w:lang w:val="en-US"/>
        </w:rPr>
        <w:t>Experiences of poverty and educational disadvantage.</w:t>
      </w:r>
      <w:r>
        <w:rPr>
          <w:rtl w:val="0"/>
        </w:rPr>
        <w:t xml:space="preserve"> ‘</w:t>
      </w:r>
      <w:r>
        <w:rPr>
          <w:rtl w:val="0"/>
        </w:rPr>
        <w:t>Joseph Rowntree Foundation</w:t>
      </w:r>
      <w:r>
        <w:rPr>
          <w:rtl w:val="0"/>
        </w:rPr>
        <w:t>’</w:t>
      </w:r>
      <w:r>
        <w:rPr>
          <w:rtl w:val="0"/>
        </w:rPr>
        <w:t xml:space="preserve">. Available at: </w:t>
      </w:r>
      <w:r>
        <w:rPr/>
        <w:fldChar w:fldCharType="begin" w:fldLock="0"/>
      </w:r>
      <w:r>
        <w:instrText xml:space="preserve"> HYPERLINK "https://www.jrf.org.uk/sites/default/files/jrf/migrated/files/2123.pdf"</w:instrText>
      </w:r>
      <w:r>
        <w:rPr/>
        <w:fldChar w:fldCharType="separate" w:fldLock="0"/>
      </w:r>
      <w:r>
        <w:rPr>
          <w:rtl w:val="0"/>
        </w:rPr>
        <w:t>https://www.jrf.org.uk/sites/default/files/jrf/migrated/files/2123.pdf</w:t>
      </w:r>
      <w:r>
        <w:rPr/>
        <w:fldChar w:fldCharType="end" w:fldLock="0"/>
      </w:r>
      <w:r>
        <w:rPr>
          <w:rtl w:val="0"/>
        </w:rPr>
        <w:t xml:space="preserve"> (Accessed on: 7 May 2021)</w:t>
      </w:r>
    </w:p>
    <w:p>
      <w:pPr>
        <w:pStyle w:val="Body"/>
        <w:bidi w:val="0"/>
      </w:pPr>
    </w:p>
    <w:p>
      <w:pPr>
        <w:pStyle w:val="Body"/>
        <w:bidi w:val="0"/>
      </w:pPr>
      <w:r>
        <w:rPr>
          <w:rtl w:val="0"/>
        </w:rPr>
        <w:t xml:space="preserve">Lambie-Mumford, H and Sims, L. (2018) </w:t>
      </w:r>
      <w:r>
        <w:rPr>
          <w:i w:val="1"/>
          <w:iCs w:val="1"/>
          <w:rtl w:val="0"/>
          <w:lang w:val="en-US"/>
        </w:rPr>
        <w:t>Children</w:t>
      </w:r>
      <w:r>
        <w:rPr>
          <w:i w:val="1"/>
          <w:iCs w:val="1"/>
          <w:rtl w:val="0"/>
        </w:rPr>
        <w:t>’</w:t>
      </w:r>
      <w:r>
        <w:rPr>
          <w:i w:val="1"/>
          <w:iCs w:val="1"/>
          <w:rtl w:val="0"/>
          <w:lang w:val="en-US"/>
        </w:rPr>
        <w:t>s experiences of food and poverty: the rise and implications of charitable breakfast clubs and holiday hunger projects in the UK.</w:t>
      </w:r>
      <w:r>
        <w:rPr>
          <w:rtl w:val="0"/>
        </w:rPr>
        <w:t xml:space="preserve"> ‘</w:t>
      </w:r>
      <w:r>
        <w:rPr>
          <w:rtl w:val="0"/>
        </w:rPr>
        <w:t>Sheffield Political Economy Research Institute</w:t>
      </w:r>
      <w:r>
        <w:rPr>
          <w:rtl w:val="0"/>
        </w:rPr>
        <w:t>’</w:t>
      </w:r>
      <w:r>
        <w:rPr>
          <w:rtl w:val="0"/>
        </w:rPr>
        <w:t xml:space="preserve">. Available at: </w:t>
      </w:r>
      <w:r>
        <w:rPr/>
        <w:fldChar w:fldCharType="begin" w:fldLock="0"/>
      </w:r>
      <w:r>
        <w:instrText xml:space="preserve"> HYPERLINK "http://speri.dept.shef.ac.uk/wp-content/uploads/2018/11/SPERI-Brief-31-Children%E2%80%99s-experiences-of-food-and-poverty.pdf"</w:instrText>
      </w:r>
      <w:r>
        <w:rPr/>
        <w:fldChar w:fldCharType="separate" w:fldLock="0"/>
      </w:r>
      <w:r>
        <w:rPr>
          <w:rtl w:val="0"/>
        </w:rPr>
        <w:t>http://speri.dept.shef.ac.uk/wp-content/uploads/2018/11/SPERI-Brief-31-Children%E2%80%99s-experiences-of-food-and-poverty.pdf</w:t>
      </w:r>
      <w:r>
        <w:rPr/>
        <w:fldChar w:fldCharType="end" w:fldLock="0"/>
      </w:r>
      <w:r>
        <w:rPr>
          <w:rtl w:val="0"/>
        </w:rPr>
        <w:t xml:space="preserve"> (Accessed on: 7 May 2021)</w:t>
      </w:r>
    </w:p>
    <w:p>
      <w:pPr>
        <w:pStyle w:val="Body"/>
        <w:bidi w:val="0"/>
      </w:pPr>
    </w:p>
    <w:p>
      <w:pPr>
        <w:pStyle w:val="Body"/>
        <w:bidi w:val="0"/>
      </w:pPr>
      <w:r>
        <w:rPr>
          <w:rtl w:val="0"/>
        </w:rPr>
        <w:t xml:space="preserve">OECD (2015) </w:t>
      </w:r>
      <w:r>
        <w:rPr>
          <w:i w:val="1"/>
          <w:iCs w:val="1"/>
          <w:rtl w:val="0"/>
          <w:lang w:val="en-US"/>
        </w:rPr>
        <w:t>Education at a Glance Interim Report: Update of Employment and Educational Attainment Indicators.</w:t>
      </w:r>
      <w:r>
        <w:rPr>
          <w:rtl w:val="0"/>
        </w:rPr>
        <w:t xml:space="preserve"> Available at: https://www.oecd.org/education/EAG-Interim-report-Chapter2.pdf (Accessed on: 7 May 2021)</w:t>
      </w:r>
    </w:p>
    <w:sectPr>
      <w:headerReference w:type="default" r:id="rId5"/>
      <w:footerReference w:type="default" r:id="rId6"/>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shd w:val="nil" w:color="auto" w:fill="auto"/>
      <w:vertAlign w:val="baseline"/>
      <w:lang w:val="en-US"/>
      <w14:textOutline>
        <w14:noFill/>
      </w14:textOutline>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16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2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