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14649" w14:textId="0B314643" w:rsidR="007D5FF2" w:rsidRDefault="007D5FF2">
      <w:pPr>
        <w:spacing w:after="360"/>
        <w:jc w:val="center"/>
        <w:rPr>
          <w:b/>
          <w:bCs/>
          <w:sz w:val="36"/>
          <w:szCs w:val="36"/>
        </w:rPr>
      </w:pPr>
      <w:r>
        <w:rPr>
          <w:b/>
          <w:bCs/>
          <w:sz w:val="36"/>
          <w:szCs w:val="36"/>
        </w:rPr>
        <w:t>Marian Raducanu</w:t>
      </w:r>
    </w:p>
    <w:p w14:paraId="1ED56AF2" w14:textId="02A22C73" w:rsidR="001F42B1" w:rsidRDefault="00BB3AB0" w:rsidP="007D5FF2">
      <w:pPr>
        <w:spacing w:after="360"/>
        <w:jc w:val="center"/>
      </w:pPr>
      <w:r>
        <w:rPr>
          <w:b/>
          <w:bCs/>
          <w:sz w:val="36"/>
          <w:szCs w:val="36"/>
        </w:rPr>
        <w:t>New Testament Portfolio</w:t>
      </w:r>
    </w:p>
    <w:p w14:paraId="7C749A5B" w14:textId="77777777" w:rsidR="001F42B1" w:rsidRDefault="00BB3AB0">
      <w:pPr>
        <w:pStyle w:val="Titlu1"/>
        <w:jc w:val="center"/>
      </w:pPr>
      <w:r>
        <w:t>Part A: Exegetical and Textual Analysis</w:t>
      </w:r>
    </w:p>
    <w:p w14:paraId="20528A19" w14:textId="77777777" w:rsidR="001F42B1" w:rsidRDefault="00BB3AB0">
      <w:pPr>
        <w:pStyle w:val="Titlu2"/>
        <w:spacing w:after="240"/>
        <w:jc w:val="center"/>
      </w:pPr>
      <w:r>
        <w:t>The Baptism, Testing, and Kingdom Announcement of Jesus (Mark 1. 9–15)</w:t>
      </w:r>
    </w:p>
    <w:p w14:paraId="2F0902BE" w14:textId="77777777" w:rsidR="001F42B1" w:rsidRDefault="00BB3AB0">
      <w:pPr>
        <w:spacing w:after="160" w:line="360" w:lineRule="auto"/>
        <w:jc w:val="both"/>
      </w:pPr>
      <w:r>
        <w:t>Mark 1. 9–15 forms the threshold of Mark’s narrative</w:t>
      </w:r>
      <w:r w:rsidR="00166667" w:rsidRPr="00166667">
        <w:t>. In only</w:t>
      </w:r>
      <w:r>
        <w:t xml:space="preserve"> seven verses</w:t>
      </w:r>
      <w:r w:rsidR="00166667" w:rsidRPr="00166667">
        <w:t>, it brings together</w:t>
      </w:r>
      <w:r>
        <w:t xml:space="preserve"> the baptism of Jesus, his testing in the wilderness, and the </w:t>
      </w:r>
      <w:r w:rsidR="00166667" w:rsidRPr="00166667">
        <w:t>first</w:t>
      </w:r>
      <w:r>
        <w:t xml:space="preserve"> proclamation of the kingdom of God. Although brief, the </w:t>
      </w:r>
      <w:r w:rsidR="00166667" w:rsidRPr="00166667">
        <w:t xml:space="preserve">passage </w:t>
      </w:r>
      <w:r>
        <w:t xml:space="preserve">is theologically dense and structurally </w:t>
      </w:r>
      <w:r w:rsidR="00166667" w:rsidRPr="00166667">
        <w:t>important: it stands</w:t>
      </w:r>
      <w:r>
        <w:t xml:space="preserve"> between John the Baptist’s preparatory ministry (1. 1–8) and Jesus’s public activity in Galilee. Mark’s economy </w:t>
      </w:r>
      <w:r w:rsidR="00166667" w:rsidRPr="00166667">
        <w:t xml:space="preserve">of style </w:t>
      </w:r>
      <w:r>
        <w:t xml:space="preserve">means that every word </w:t>
      </w:r>
      <w:r w:rsidR="00166667" w:rsidRPr="00166667">
        <w:t>matters. As a result,</w:t>
      </w:r>
      <w:r>
        <w:t xml:space="preserve"> the section establishes the Christological and eschatological framework </w:t>
      </w:r>
      <w:r w:rsidR="00166667" w:rsidRPr="00166667">
        <w:t>through</w:t>
      </w:r>
      <w:r>
        <w:t xml:space="preserve"> which the </w:t>
      </w:r>
      <w:r w:rsidR="00166667" w:rsidRPr="00166667">
        <w:t>rest</w:t>
      </w:r>
      <w:r>
        <w:t xml:space="preserve"> of the Gospel </w:t>
      </w:r>
      <w:r w:rsidR="00166667" w:rsidRPr="00166667">
        <w:t>may</w:t>
      </w:r>
      <w:r>
        <w:t xml:space="preserve"> be read.</w:t>
      </w:r>
    </w:p>
    <w:p w14:paraId="270FE2BA" w14:textId="77777777" w:rsidR="00BB3AB0" w:rsidRDefault="00DC5322">
      <w:pPr>
        <w:spacing w:after="160" w:line="360" w:lineRule="auto"/>
        <w:jc w:val="both"/>
        <w:rPr>
          <w:kern w:val="2"/>
          <w14:ligatures w14:val="standardContextual"/>
        </w:rPr>
      </w:pPr>
      <w:r w:rsidRPr="00DC5322">
        <w:t>The opening scene (1. 9–11) records the baptism with terse precision. Mark notes that Jesus came «from Nazareth of Galilee» and «was baptised by John in the Jordan»; this plain statement has often been regarded as evidence of authenticity, since the early Church would scarcely have invented an episode that appears to subordinate Jesus to John and imply his need for a baptism «of repentance for the forgiveness of sins» (1. 4). Mark, unlike Matthew, offers no apologetic explanation of why the sinless one should submit to such a rite. Instead, he leaves the difficulty unresolved and turns attention to what follows. This restraint is itself instructive. Where Matthew inserts a dialogue between Jesus and John, clarifying that the baptism fulfils «all righteousness» (Matthew 3. 15), Mark allows the event to stand and directs the reader’s gaze beyond the act of immersion to the divine response it elicits. The decisive moment is the theophany at the instant of ascent from the water: Jesus «saw the heavens being torn open» (</w:t>
      </w:r>
      <w:r w:rsidRPr="00DC5322">
        <w:rPr>
          <w:i/>
          <w:iCs/>
        </w:rPr>
        <w:t>schizomenous</w:t>
      </w:r>
      <w:r w:rsidRPr="00DC5322">
        <w:t>), and the Spirit descending «like a dove» upon him. The dove imagery has been variously explained: it may allude to the Spirit hovering over the waters at creation (Genesis 1. 2), to Noah’s dove signalling the renewal of the world, or to Israel itself. In each case, the connotation is one of new creation and divine favour.</w:t>
      </w:r>
    </w:p>
    <w:p w14:paraId="5669EC60" w14:textId="77777777" w:rsidR="00BB3AB0" w:rsidRDefault="00B66C5E">
      <w:pPr>
        <w:spacing w:after="160" w:line="360" w:lineRule="auto"/>
        <w:jc w:val="both"/>
        <w:rPr>
          <w:kern w:val="2"/>
          <w14:ligatures w14:val="standardContextual"/>
        </w:rPr>
      </w:pPr>
      <w:r w:rsidRPr="00B66C5E">
        <w:t>The verb «torn» («</w:t>
      </w:r>
      <w:r w:rsidRPr="00B66C5E">
        <w:rPr>
          <w:i/>
          <w:iCs/>
        </w:rPr>
        <w:t>schizō</w:t>
      </w:r>
      <w:r w:rsidRPr="00B66C5E">
        <w:t>») is significant; it is deliberately violent language, evoking Isaiah 64. 1, where the prophet pleads that God would rend the heavens and come down. The same verb recurs at 15. 38, when the temple veil is «torn» at the crucifixion. This creates an inclusio, framing Jesus’s ministry between two moments of divine self-disclosure. The heavenly voice combines allusions to Psalm 2. 7 («You are my Son») and Isaiah 42. 1 («with you I am well pleased»), thereby fusing royal-messianic and Servant motifs. Whether the vision is private to Jesus or public remains debated; however, Mark’s phrasing suggests that it is Jesus who «saw», implying a personal commissioning rather than a demonstration to the crowd.</w:t>
      </w:r>
    </w:p>
    <w:p w14:paraId="6DBD644E" w14:textId="77777777" w:rsidR="00B4462A" w:rsidRDefault="00B4462A">
      <w:pPr>
        <w:spacing w:after="160" w:line="360" w:lineRule="auto"/>
        <w:jc w:val="both"/>
      </w:pPr>
      <w:r>
        <w:t>The testing in the wilderness (1. 12–13) is recounted with a brevity that contrasts sharply with the elaborate dialogue of Matthew and Luke. The Spirit «drives» (</w:t>
      </w:r>
      <w:r>
        <w:rPr>
          <w:i/>
          <w:iCs/>
        </w:rPr>
        <w:t>ekballei</w:t>
      </w:r>
      <w:r>
        <w:t>) Jesus into the desert, a forceful verb elsewhere used of the expulsion of demons, underscoring divine compulsion rather than gentle leading.</w:t>
      </w:r>
      <w:r>
        <w:rPr>
          <w:rStyle w:val="Referinnotdesubsol"/>
        </w:rPr>
        <w:footnoteReference w:id="1"/>
      </w:r>
      <w:r>
        <w:t xml:space="preserve"> The «forty days» recall Israel’s forty years of wandering and Moses’ and Elijah’s fasts, casting Jesus as one who recapitulates and reverses Israel’s history. Mark uniquely notes that Jesus «was with the wild beasts», a detail variously interpreted as emphasising the hostility of the wilderness or, more attractively, as an Edenic motif suggesting the restoration of peace between humanity and creation envisaged in Isaiah 11. 6–9. That the angels «were ministering to him» (imperfect tense, denoting continuous action) reinforces the sense of divine sustenance amid Satanic trial.</w:t>
      </w:r>
    </w:p>
    <w:p w14:paraId="14993224" w14:textId="77777777" w:rsidR="00BB3AB0" w:rsidRDefault="00A360E3">
      <w:pPr>
        <w:spacing w:after="160" w:line="360" w:lineRule="auto"/>
        <w:jc w:val="both"/>
        <w:rPr>
          <w:kern w:val="2"/>
          <w14:ligatures w14:val="standardContextual"/>
        </w:rPr>
      </w:pPr>
      <w:r w:rsidRPr="00A360E3">
        <w:t>The third movement (1. 14–15) marks the transition to Jesus’s independent ministry. This transition is signalled by the «handing over» (</w:t>
      </w:r>
      <w:r w:rsidRPr="00A360E3">
        <w:rPr>
          <w:i/>
          <w:iCs/>
        </w:rPr>
        <w:t>paradothēnai</w:t>
      </w:r>
      <w:r w:rsidRPr="00A360E3">
        <w:t>) of John, a verb that ominously foreshadows Jesus’s own betrayal. The summary of Jesus’s preaching in verse 15 is often regarded as Mark’s programmatic statement of the gospel: «The time is fulfilled, and the kingdom of God has come near; repent, and believe in the good news.» Each clause is weighty. «The time» («</w:t>
      </w:r>
      <w:r w:rsidRPr="00A360E3">
        <w:rPr>
          <w:i/>
          <w:iCs/>
        </w:rPr>
        <w:t>kairos</w:t>
      </w:r>
      <w:r w:rsidRPr="00A360E3">
        <w:t>») denotes the appointed, decisive moment rather than mere chronological duration; «is fulfilled» («</w:t>
      </w:r>
      <w:r w:rsidRPr="00A360E3">
        <w:rPr>
          <w:i/>
          <w:iCs/>
        </w:rPr>
        <w:t>peplērōtai</w:t>
      </w:r>
      <w:r w:rsidRPr="00A360E3">
        <w:t>», perfect tense) signals an accomplished state with continuing effect.</w:t>
      </w:r>
    </w:p>
    <w:p w14:paraId="3248BBEB" w14:textId="77777777" w:rsidR="00B4462A" w:rsidRDefault="00B4462A">
      <w:pPr>
        <w:spacing w:after="160" w:line="360" w:lineRule="auto"/>
        <w:jc w:val="both"/>
      </w:pPr>
      <w:r>
        <w:t>The phrase «the kingdom of God has come near» («</w:t>
      </w:r>
      <w:r>
        <w:rPr>
          <w:i/>
          <w:iCs/>
        </w:rPr>
        <w:t>ēngiken</w:t>
      </w:r>
      <w:r>
        <w:t>») has occasioned much discussion. The perfect tense leaves ambiguous whether the kingdom has already arrived or is imminently approaching, and this tension between realised and future eschatology runs throughout the Gospels.</w:t>
      </w:r>
      <w:r>
        <w:rPr>
          <w:rStyle w:val="Referinnotdesubsol"/>
        </w:rPr>
        <w:footnoteReference w:id="2"/>
      </w:r>
      <w:r>
        <w:t xml:space="preserve"> The appropriate response is twofold: «repent» («</w:t>
      </w:r>
      <w:r>
        <w:rPr>
          <w:i/>
          <w:iCs/>
        </w:rPr>
        <w:t>metanoeite</w:t>
      </w:r>
      <w:r>
        <w:t>»), denoting a radical reorientation of mind and life, and «believe in the good news», an unusual construction that makes the «euangelion» itself the object of faith. Hooker observes that Mark thereby presents the gospel not merely as information but as a summons demanding decision.</w:t>
      </w:r>
      <w:r>
        <w:rPr>
          <w:rStyle w:val="Referinnotdesubsol"/>
        </w:rPr>
        <w:footnoteReference w:id="3"/>
      </w:r>
    </w:p>
    <w:p w14:paraId="23A40005" w14:textId="471C38C8" w:rsidR="001F42B1" w:rsidRDefault="00BB3AB0">
      <w:pPr>
        <w:spacing w:after="160" w:line="360" w:lineRule="auto"/>
        <w:jc w:val="both"/>
      </w:pPr>
      <w:r>
        <w:t xml:space="preserve">Taken as a whole, Mark 1. 9–15 functions as a carefully constructed prologue to Jesus’s ministry. The baptism establishes his identity as beloved Son and Spirit-anointed Servant; the wilderness testing demonstrates his fidelity and authority over Satan; the Galilean proclamation announces the inbreaking kingdom that the subsequent narrative will unfold. The threefold movement also </w:t>
      </w:r>
      <w:r w:rsidR="007B6D1E" w:rsidRPr="007B6D1E">
        <w:t>gives the passage both</w:t>
      </w:r>
      <w:r>
        <w:t xml:space="preserve"> geographical and theological </w:t>
      </w:r>
      <w:r w:rsidR="007B6D1E" w:rsidRPr="007B6D1E">
        <w:t>direction:</w:t>
      </w:r>
      <w:r>
        <w:t xml:space="preserve"> </w:t>
      </w:r>
      <w:r w:rsidR="007D5FF2">
        <w:t>from the Jordan</w:t>
      </w:r>
      <w:r>
        <w:t xml:space="preserve"> to the wilderness</w:t>
      </w:r>
      <w:r w:rsidR="007B6D1E" w:rsidRPr="007B6D1E">
        <w:t>,</w:t>
      </w:r>
      <w:r>
        <w:t xml:space="preserve"> to Galilee</w:t>
      </w:r>
      <w:r w:rsidR="007B6D1E" w:rsidRPr="007B6D1E">
        <w:t>. It traces</w:t>
      </w:r>
      <w:r>
        <w:t xml:space="preserve"> the path of one who is divinely commissioned, tested, and then sent. The repeated agency of the Spirit</w:t>
      </w:r>
      <w:r w:rsidR="007B6D1E" w:rsidRPr="007B6D1E">
        <w:t xml:space="preserve"> binds the episodes into a single coherent inauguration, </w:t>
      </w:r>
      <w:r>
        <w:t xml:space="preserve">descending at the baptism, driving </w:t>
      </w:r>
      <w:r w:rsidR="007B6D1E" w:rsidRPr="007B6D1E">
        <w:t xml:space="preserve">Jesus </w:t>
      </w:r>
      <w:r>
        <w:t>into</w:t>
      </w:r>
      <w:r w:rsidR="007D5FF2">
        <w:t xml:space="preserve"> </w:t>
      </w:r>
      <w:r>
        <w:t>the wilderness, and implicitly empowering the proclamation</w:t>
      </w:r>
      <w:r w:rsidR="007B6D1E" w:rsidRPr="007B6D1E">
        <w:t>.</w:t>
      </w:r>
      <w:r>
        <w:t xml:space="preserve"> Mark’s spare style</w:t>
      </w:r>
      <w:r w:rsidR="007B6D1E" w:rsidRPr="007B6D1E">
        <w:t xml:space="preserve"> is therefore not</w:t>
      </w:r>
      <w:r>
        <w:t xml:space="preserve"> primitive or artless</w:t>
      </w:r>
      <w:r w:rsidR="007B6D1E" w:rsidRPr="007B6D1E">
        <w:t>. Rather, it</w:t>
      </w:r>
      <w:r>
        <w:t xml:space="preserve"> is theologically purposeful, inviting the reader to perceive</w:t>
      </w:r>
      <w:r w:rsidR="007B6D1E" w:rsidRPr="007B6D1E">
        <w:t>,</w:t>
      </w:r>
      <w:r>
        <w:t xml:space="preserve"> in these compressed episodes</w:t>
      </w:r>
      <w:r w:rsidR="007B6D1E" w:rsidRPr="007B6D1E">
        <w:t>,</w:t>
      </w:r>
      <w:r>
        <w:t xml:space="preserve"> the decisive inbreaking of the eschatological reign of God in the person of Jesus</w:t>
      </w:r>
      <w:r w:rsidR="007B6D1E" w:rsidRPr="007B6D1E">
        <w:t xml:space="preserve">. It also establishes, from the </w:t>
      </w:r>
      <w:r>
        <w:t>outset</w:t>
      </w:r>
      <w:r w:rsidR="007B6D1E" w:rsidRPr="007B6D1E">
        <w:t>,</w:t>
      </w:r>
      <w:r>
        <w:t xml:space="preserve"> the categories of Sonship, conflict, and kingdom that will govern the Gospel as a whole.</w:t>
      </w:r>
    </w:p>
    <w:p w14:paraId="478A2F6C" w14:textId="77777777" w:rsidR="001F42B1" w:rsidRDefault="00BB3AB0">
      <w:pPr>
        <w:pStyle w:val="Titlu1"/>
        <w:pageBreakBefore/>
        <w:jc w:val="center"/>
      </w:pPr>
      <w:r>
        <w:t>Part B: Encyclopaedia Article</w:t>
      </w:r>
    </w:p>
    <w:p w14:paraId="1B4A175B" w14:textId="77777777" w:rsidR="001F42B1" w:rsidRDefault="00BB3AB0">
      <w:pPr>
        <w:pStyle w:val="Titlu2"/>
        <w:spacing w:after="240"/>
        <w:jc w:val="center"/>
      </w:pPr>
      <w:r>
        <w:t>Parables in the Teaching of Jesus</w:t>
      </w:r>
    </w:p>
    <w:p w14:paraId="5A7278C1" w14:textId="77777777" w:rsidR="00B4462A" w:rsidRDefault="00B4462A">
      <w:pPr>
        <w:spacing w:after="160" w:line="360" w:lineRule="auto"/>
        <w:jc w:val="both"/>
      </w:pPr>
      <w:r>
        <w:t>The parables constitute one of the most distinctive and extensively preserved features of the teaching of Jesus of Nazareth. Of the recorded sayings of Jesus in the Synoptic Gospels (Matthew, Mark, and Luke), a substantial proportion is cast in parabolic form, and the evangelists themselves comment that Jesus characteristically taught the crowds in parables (Mark 4. 33–34). The term «parable» derives from the Greek «</w:t>
      </w:r>
      <w:r>
        <w:rPr>
          <w:i/>
          <w:iCs/>
        </w:rPr>
        <w:t>parabolē</w:t>
      </w:r>
      <w:r>
        <w:t>», meaning a «placing alongside» or comparison, and translates the Hebrew «</w:t>
      </w:r>
      <w:r>
        <w:rPr>
          <w:i/>
          <w:iCs/>
        </w:rPr>
        <w:t>māshāl</w:t>
      </w:r>
      <w:r>
        <w:t>», a broad category encompassing proverbs, riddles, similitudes, and extended allegories. Consequently, the biblical «parable» ranges from the brief aphoristic comparison to the fully developed narrative story drawn from everyday life.</w:t>
      </w:r>
    </w:p>
    <w:p w14:paraId="27978FAF" w14:textId="77777777" w:rsidR="001F42B1" w:rsidRDefault="00BB3AB0">
      <w:pPr>
        <w:pStyle w:val="Titlu3"/>
      </w:pPr>
      <w:r>
        <w:t>Definition and Form</w:t>
      </w:r>
    </w:p>
    <w:p w14:paraId="16DF0234" w14:textId="77777777" w:rsidR="001F42B1" w:rsidRDefault="00BB3AB0">
      <w:pPr>
        <w:spacing w:after="160" w:line="360" w:lineRule="auto"/>
        <w:jc w:val="both"/>
      </w:pPr>
      <w:r w:rsidRPr="00A92024">
        <w:t>A parable</w:t>
      </w:r>
      <w:r w:rsidR="004430EA" w:rsidRPr="004430EA">
        <w:t>,</w:t>
      </w:r>
      <w:r w:rsidRPr="00A92024">
        <w:t xml:space="preserve"> in the narrower and most familiar sense</w:t>
      </w:r>
      <w:r w:rsidR="004430EA" w:rsidRPr="004430EA">
        <w:t>,</w:t>
      </w:r>
      <w:r w:rsidRPr="00A92024">
        <w:t xml:space="preserve"> is a short fictional narrative</w:t>
      </w:r>
      <w:r w:rsidR="004430EA" w:rsidRPr="004430EA">
        <w:t>. It</w:t>
      </w:r>
      <w:r w:rsidRPr="00A92024">
        <w:t xml:space="preserve"> draws upon the ordinary experience of agrarian Palestinian life, </w:t>
      </w:r>
      <w:r w:rsidR="004430EA" w:rsidRPr="004430EA">
        <w:t xml:space="preserve">including </w:t>
      </w:r>
      <w:r w:rsidRPr="00A92024">
        <w:t>sowing and harvest, vineyards and shepherds, debtors and kings, to illuminate a spiritual or moral truth. C. H. Dodd’s classic definition describes the parable as «a metaphor or simile drawn from nature or common life, arresting the hearer by its vividness or strangeness, and leaving the mind in sufficient doubt about its precise application to tease it into active thought». This definition usefully highlights three features: the homely realism of the imagery</w:t>
      </w:r>
      <w:r w:rsidR="004430EA" w:rsidRPr="004430EA">
        <w:t>;</w:t>
      </w:r>
      <w:r w:rsidRPr="00A92024">
        <w:t xml:space="preserve"> the element of surprise or hyperbole that unsettles expectation</w:t>
      </w:r>
      <w:r w:rsidR="004430EA" w:rsidRPr="004430EA">
        <w:t>;</w:t>
      </w:r>
      <w:r w:rsidRPr="00A92024">
        <w:t xml:space="preserve"> and the open-endedness that compels the hearer to interpret and respond. Scholars commonly distinguish several formal types</w:t>
      </w:r>
      <w:r w:rsidR="004430EA" w:rsidRPr="004430EA">
        <w:t>, including</w:t>
      </w:r>
      <w:r w:rsidRPr="00A92024">
        <w:t xml:space="preserve"> the similitude (an extended comparison describing a typical occurrence), the parable proper (a narrative of a particular fictional event), and the example story, such as the Good Samaritan, which presents a model for imitation.</w:t>
      </w:r>
    </w:p>
    <w:p w14:paraId="6B6BDEF6" w14:textId="77777777" w:rsidR="001F42B1" w:rsidRDefault="00BB3AB0">
      <w:pPr>
        <w:pStyle w:val="Titlu3"/>
      </w:pPr>
      <w:r>
        <w:t>History of Interpretation</w:t>
      </w:r>
    </w:p>
    <w:p w14:paraId="014893DA" w14:textId="77777777" w:rsidR="00BB3AB0" w:rsidRDefault="007D5FF2">
      <w:pPr>
        <w:spacing w:after="160" w:line="360" w:lineRule="auto"/>
        <w:jc w:val="both"/>
        <w:rPr>
          <w:kern w:val="2"/>
          <w14:ligatures w14:val="standardContextual"/>
        </w:rPr>
      </w:pPr>
      <w:r w:rsidRPr="007D5FF2">
        <w:t>The interpretation of the parables has undergone considerable transformation. For much of Christian history, from the Church Fathers through the medieval period, parables were read allegorically; each detail was assigned a hidden theological significance. Augustine’s reading of the Good Samaritan is a famous example: the wounded traveller represents Adam, the inn represents the Church, and the Samaritan represents Christ himself. This allegorising tendency was decisively challenged by the German scholar Adolf Jülicher, whose late nineteenth-century study argued that each parable makes only a single point and should not be decoded detail by detail. Jülicher’s insistence on the parables’ essential simplicity was important. However, it also tended to reduce them to general moral maxims, stripping them of their eschatological urgency.</w:t>
      </w:r>
    </w:p>
    <w:p w14:paraId="64185BEC" w14:textId="77777777" w:rsidR="00B4462A" w:rsidRDefault="00B4462A">
      <w:pPr>
        <w:spacing w:after="160" w:line="360" w:lineRule="auto"/>
        <w:jc w:val="both"/>
      </w:pPr>
      <w:r>
        <w:t>The twentieth century saw a recovery of that urgency. C. H. Dodd and Joachim Jeremias situated the parables within the concrete setting of Jesus’s own ministry, arguing that they must be understood against the background of the proclamation of the kingdom of God and the crisis it provoked. Jeremias in particular sought to recover the «original» form of each parable by stripping away what he regarded as the interpretative accretions of the early Church and the evangelists, thereby reconstructing the message of Jesus himself.</w:t>
      </w:r>
      <w:r>
        <w:rPr>
          <w:rStyle w:val="Referinnotdesubsol"/>
        </w:rPr>
        <w:footnoteReference w:id="4"/>
      </w:r>
      <w:r>
        <w:t xml:space="preserve"> Dodd’s notion of «realised eschatology» held that the parables announced the kingdom as already present in Jesus’s ministry rather than merely future.</w:t>
      </w:r>
      <w:r>
        <w:rPr>
          <w:rStyle w:val="Referinnotdesubsol"/>
        </w:rPr>
        <w:footnoteReference w:id="5"/>
      </w:r>
      <w:r>
        <w:t xml:space="preserve"> More recent literary and existentialist approaches, associated with scholars such as John Dominic Crossan, have emphasised the parables as poetic and metaphorical language events that subvert conventional assumptions and open new ways of perceiving reality.</w:t>
      </w:r>
      <w:r>
        <w:rPr>
          <w:rStyle w:val="Referinnotdesubsol"/>
        </w:rPr>
        <w:footnoteReference w:id="6"/>
      </w:r>
    </w:p>
    <w:p w14:paraId="2FCD2502" w14:textId="77777777" w:rsidR="001F42B1" w:rsidRDefault="00246F7E">
      <w:pPr>
        <w:spacing w:after="160" w:line="360" w:lineRule="auto"/>
        <w:jc w:val="both"/>
      </w:pPr>
      <w:r w:rsidRPr="00246F7E">
        <w:t>The dominant subject of the parables is the kingdom of God, frequently introduced by the formula «the kingdom of heaven is like». Parables such as the Mustard Seed and the Leaven (Matthew 13. 31–33) depict the kingdom’s hidden, organic, and disproportionate growth from small beginnings, while the Hidden Treasure and the Pearl of Great Price (Matthew 13. 44–46) stress its supreme value and the total commitment it demands. A second major cluster concerns the grace and mercy of God, most memorably in the parables of Luke 15, the Lost Sheep, the Lost Coin, and the Prodigal Son, which portray God’s reckless joy in recovering the lost and implicitly defend Jesus’s fellowship with sinners against his critics.</w:t>
      </w:r>
    </w:p>
    <w:p w14:paraId="4F9F55E9" w14:textId="77777777" w:rsidR="00B4462A" w:rsidRDefault="00B4462A">
      <w:pPr>
        <w:spacing w:after="160" w:line="360" w:lineRule="auto"/>
        <w:jc w:val="both"/>
      </w:pPr>
      <w:r>
        <w:t>A further important function of the parables is their provocative and even concealing character. Mark 4. 11–12 presents the puzzling claim that Jesus spoke in parables so that outsiders might «look but not perceive», echoing Isaiah 6. 9–10. This suggests that the parables are not merely pedagogical illustrations designed to clarify, but instruments of judgement and revelation that simultaneously disclose truth to the receptive and harden the resistant. The parables thus function as a summons to decision, compelling hearers to align themselves either with or against the kingdom Jesus proclaims.</w:t>
      </w:r>
      <w:r>
        <w:rPr>
          <w:rStyle w:val="Referinnotdesubsol"/>
        </w:rPr>
        <w:footnoteReference w:id="7"/>
      </w:r>
    </w:p>
    <w:p w14:paraId="64819B64" w14:textId="77777777" w:rsidR="001F42B1" w:rsidRDefault="00BB3AB0">
      <w:pPr>
        <w:pStyle w:val="Titlu3"/>
      </w:pPr>
      <w:r>
        <w:t>Significance</w:t>
      </w:r>
    </w:p>
    <w:p w14:paraId="26C4F12E" w14:textId="77777777" w:rsidR="00B4462A" w:rsidRDefault="00B4462A">
      <w:pPr>
        <w:spacing w:after="160" w:line="360" w:lineRule="auto"/>
        <w:jc w:val="both"/>
      </w:pPr>
      <w:r>
        <w:t>The parables remain central to scholarly reconstruction of the historical Jesus, since their vivid Palestinian colouring, their characteristic reversals of expectation, and their challenge to religious convention are widely regarded as authentic marks of his distinctive voice. The criterion of dissimilarity, much employed in historical-Jesus research, has frequently been invoked in their favour, for the parables resist easy assimilation either to contemporary Jewish teaching or to the developed theology of the early Church. At the same time, recent scholarship has rightly cautioned against the older confidence that the «original» parable can be neatly extracted from its Gospel setting, recognising that the evangelists were themselves skilled interpreters whose framing and application form part of the meaning that has come down to us.</w:t>
      </w:r>
    </w:p>
    <w:p w14:paraId="6C654AA6" w14:textId="77777777" w:rsidR="00B4462A" w:rsidRDefault="00B4462A">
      <w:pPr>
        <w:spacing w:after="160" w:line="360" w:lineRule="auto"/>
        <w:jc w:val="both"/>
      </w:pPr>
      <w:r>
        <w:t>The enduring power of the parables lies in their combination of accessibility and depth. Their imagery is drawn from the common life of first-century Galilee, yet their meaning is rarely exhausted by a single hearing, and successive generations of readers have found in them fresh disclosures of the character of God and the demands of discipleship. They continue to exert profound influence upon Christian preaching, ethics, and theology, and their literary artistry has secured their place among the most celebrated short narratives in the Western tradition. As compact yet inexhaustible vehicles of meaning, the parables exemplify the manner in which Jesus communicated the mystery of God’s reign through the ordinary materials of human life, teasing the mind into active thought and pressing the hearer towards decision.</w:t>
      </w:r>
    </w:p>
    <w:p w14:paraId="3533542A" w14:textId="77777777" w:rsidR="001F42B1" w:rsidRDefault="00BB3AB0">
      <w:pPr>
        <w:pStyle w:val="Titlu1"/>
        <w:pageBreakBefore/>
        <w:jc w:val="center"/>
      </w:pPr>
      <w:r>
        <w:t>Bibliography</w:t>
      </w:r>
    </w:p>
    <w:p w14:paraId="0D3099AA" w14:textId="77777777" w:rsidR="001F42B1" w:rsidRDefault="00BB3AB0">
      <w:pPr>
        <w:spacing w:after="120" w:line="360" w:lineRule="auto"/>
        <w:ind w:left="720" w:hanging="720"/>
      </w:pPr>
      <w:r>
        <w:t xml:space="preserve">Crossan, John Dominic, </w:t>
      </w:r>
      <w:r>
        <w:rPr>
          <w:i/>
          <w:iCs/>
        </w:rPr>
        <w:t>In Parables: The Challenge of the Historical Jesus</w:t>
      </w:r>
      <w:r>
        <w:t xml:space="preserve"> (New York: Harper &amp; Row, 1973)</w:t>
      </w:r>
    </w:p>
    <w:p w14:paraId="1C83D066" w14:textId="77777777" w:rsidR="001F42B1" w:rsidRDefault="00BB3AB0">
      <w:pPr>
        <w:spacing w:after="120" w:line="360" w:lineRule="auto"/>
        <w:ind w:left="720" w:hanging="720"/>
      </w:pPr>
      <w:r>
        <w:t xml:space="preserve">Dodd, C. H., </w:t>
      </w:r>
      <w:r>
        <w:rPr>
          <w:i/>
          <w:iCs/>
        </w:rPr>
        <w:t>The Parables of the Kingdom</w:t>
      </w:r>
      <w:r>
        <w:t>, rev. edn (London: Nisbet, 1961)</w:t>
      </w:r>
    </w:p>
    <w:p w14:paraId="07DE9108" w14:textId="77777777" w:rsidR="001F42B1" w:rsidRDefault="00BB3AB0">
      <w:pPr>
        <w:spacing w:after="120" w:line="360" w:lineRule="auto"/>
        <w:ind w:left="720" w:hanging="720"/>
      </w:pPr>
      <w:r>
        <w:t xml:space="preserve">France, R. T., </w:t>
      </w:r>
      <w:r>
        <w:rPr>
          <w:i/>
          <w:iCs/>
        </w:rPr>
        <w:t>The Gospel of Mark: A Commentary on the Greek Text</w:t>
      </w:r>
      <w:r>
        <w:t>, New International Greek Testament Commentary (Grand Rapids: Eerdmans, 2002)</w:t>
      </w:r>
    </w:p>
    <w:p w14:paraId="006E8753" w14:textId="77777777" w:rsidR="001F42B1" w:rsidRDefault="00BB3AB0">
      <w:pPr>
        <w:spacing w:after="120" w:line="360" w:lineRule="auto"/>
        <w:ind w:left="720" w:hanging="720"/>
      </w:pPr>
      <w:r>
        <w:t xml:space="preserve">Hooker, Morna D., </w:t>
      </w:r>
      <w:r>
        <w:rPr>
          <w:i/>
          <w:iCs/>
        </w:rPr>
        <w:t>The Gospel According to Saint Mark</w:t>
      </w:r>
      <w:r>
        <w:t>, Black’s New Testament Commentaries (London: A. &amp; C. Black, 1991)</w:t>
      </w:r>
    </w:p>
    <w:p w14:paraId="2B4A1D19" w14:textId="77777777" w:rsidR="001F42B1" w:rsidRDefault="00BB3AB0">
      <w:pPr>
        <w:spacing w:after="120" w:line="360" w:lineRule="auto"/>
        <w:ind w:left="720" w:hanging="720"/>
      </w:pPr>
      <w:r>
        <w:t xml:space="preserve">Jeremias, Joachim, </w:t>
      </w:r>
      <w:r>
        <w:rPr>
          <w:i/>
          <w:iCs/>
        </w:rPr>
        <w:t>The Parables of Jesus</w:t>
      </w:r>
      <w:r>
        <w:t>, trans. by S. H. Hooke, rev. edn (London: SCM Press, 1972)</w:t>
      </w:r>
    </w:p>
    <w:p w14:paraId="554B066C" w14:textId="77777777" w:rsidR="001F42B1" w:rsidRDefault="00BB3AB0">
      <w:pPr>
        <w:spacing w:after="120" w:line="360" w:lineRule="auto"/>
        <w:ind w:left="720" w:hanging="720"/>
      </w:pPr>
      <w:r>
        <w:t xml:space="preserve">Jülicher, Adolf, </w:t>
      </w:r>
      <w:r>
        <w:rPr>
          <w:i/>
          <w:iCs/>
        </w:rPr>
        <w:t>Die Gleichnisreden Jesu</w:t>
      </w:r>
      <w:r>
        <w:t>, 2 vols (Freiburg: Mohr, 1888–99)</w:t>
      </w:r>
    </w:p>
    <w:p w14:paraId="3A42475F" w14:textId="77777777" w:rsidR="001F42B1" w:rsidRDefault="00BB3AB0">
      <w:pPr>
        <w:spacing w:after="120" w:line="360" w:lineRule="auto"/>
        <w:ind w:left="720" w:hanging="720"/>
      </w:pPr>
      <w:r>
        <w:t xml:space="preserve">Marcus, Joel, </w:t>
      </w:r>
      <w:r>
        <w:rPr>
          <w:i/>
          <w:iCs/>
        </w:rPr>
        <w:t>Mark 1–8: A New Translation with Introduction and Commentary</w:t>
      </w:r>
      <w:r>
        <w:t>, Anchor Yale Bible, 27 (New Haven: Yale University Press, 2000)</w:t>
      </w:r>
    </w:p>
    <w:p w14:paraId="1BB8D97C" w14:textId="77777777" w:rsidR="001F42B1" w:rsidRDefault="00BB3AB0">
      <w:pPr>
        <w:spacing w:after="120" w:line="360" w:lineRule="auto"/>
        <w:ind w:left="720" w:hanging="720"/>
      </w:pPr>
      <w:r>
        <w:t xml:space="preserve">Snodgrass, Klyne R., </w:t>
      </w:r>
      <w:r>
        <w:rPr>
          <w:i/>
          <w:iCs/>
        </w:rPr>
        <w:t>Stories with Intent: A Comprehensive Guide to the Parables of Jesus</w:t>
      </w:r>
      <w:r>
        <w:t>, 2nd edn (Grand Rapids: Eerdmans, 2018)</w:t>
      </w:r>
    </w:p>
    <w:sectPr w:rsidR="001F42B1">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2F203" w14:textId="77777777" w:rsidR="00BB3AB0" w:rsidRDefault="00BB3AB0">
      <w:r>
        <w:separator/>
      </w:r>
    </w:p>
  </w:endnote>
  <w:endnote w:type="continuationSeparator" w:id="0">
    <w:p w14:paraId="27A4B6A5" w14:textId="77777777" w:rsidR="00BB3AB0" w:rsidRDefault="00BB3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4F1EE" w14:textId="77777777" w:rsidR="00BB3AB0" w:rsidRDefault="00BB3AB0">
      <w:r>
        <w:separator/>
      </w:r>
    </w:p>
  </w:footnote>
  <w:footnote w:type="continuationSeparator" w:id="0">
    <w:p w14:paraId="7B8EA399" w14:textId="77777777" w:rsidR="00BB3AB0" w:rsidRDefault="00BB3AB0">
      <w:r>
        <w:continuationSeparator/>
      </w:r>
    </w:p>
  </w:footnote>
  <w:footnote w:id="1">
    <w:p w14:paraId="533A6D69" w14:textId="77777777" w:rsidR="00B4462A" w:rsidRDefault="00B4462A">
      <w:r>
        <w:rPr>
          <w:rStyle w:val="Referinnotdesubsol"/>
        </w:rPr>
        <w:footnoteRef/>
      </w:r>
      <w:r>
        <w:t xml:space="preserve">Morna D. Hooker, </w:t>
      </w:r>
      <w:r>
        <w:rPr>
          <w:i/>
          <w:iCs/>
        </w:rPr>
        <w:t>The Gospel According to Saint Mark</w:t>
      </w:r>
      <w:r>
        <w:t>, Black’s New Testament Commentaries (London: A. &amp; C. Black, 1991), p. 46.</w:t>
      </w:r>
    </w:p>
  </w:footnote>
  <w:footnote w:id="2">
    <w:p w14:paraId="012AE9CD" w14:textId="77777777" w:rsidR="00B4462A" w:rsidRDefault="00B4462A">
      <w:r>
        <w:rPr>
          <w:rStyle w:val="Referinnotdesubsol"/>
        </w:rPr>
        <w:footnoteRef/>
      </w:r>
      <w:r>
        <w:t xml:space="preserve">France, </w:t>
      </w:r>
      <w:r>
        <w:rPr>
          <w:i/>
          <w:iCs/>
        </w:rPr>
        <w:t>Gospel of Mark</w:t>
      </w:r>
      <w:r>
        <w:t>, p. 85.</w:t>
      </w:r>
    </w:p>
  </w:footnote>
  <w:footnote w:id="3">
    <w:p w14:paraId="66580987" w14:textId="77777777" w:rsidR="00B4462A" w:rsidRDefault="00B4462A">
      <w:r>
        <w:rPr>
          <w:rStyle w:val="Referinnotdesubsol"/>
        </w:rPr>
        <w:footnoteRef/>
      </w:r>
      <w:r>
        <w:t xml:space="preserve">Hooker, </w:t>
      </w:r>
      <w:r>
        <w:rPr>
          <w:i/>
          <w:iCs/>
        </w:rPr>
        <w:t>Saint Mark</w:t>
      </w:r>
      <w:r>
        <w:t>, p. 55.</w:t>
      </w:r>
    </w:p>
  </w:footnote>
  <w:footnote w:id="4">
    <w:p w14:paraId="1BF3FD82" w14:textId="77777777" w:rsidR="00B4462A" w:rsidRDefault="00B4462A">
      <w:r>
        <w:rPr>
          <w:rStyle w:val="Referinnotdesubsol"/>
        </w:rPr>
        <w:footnoteRef/>
      </w:r>
      <w:r>
        <w:t xml:space="preserve">Joachim Jeremias, </w:t>
      </w:r>
      <w:r>
        <w:rPr>
          <w:i/>
          <w:iCs/>
        </w:rPr>
        <w:t>The Parables of Jesus</w:t>
      </w:r>
      <w:r>
        <w:t>, trans. by S. H. Hooke, rev. edn (London: SCM Press, 1972), p. 11.</w:t>
      </w:r>
    </w:p>
  </w:footnote>
  <w:footnote w:id="5">
    <w:p w14:paraId="7A511933" w14:textId="77777777" w:rsidR="00B4462A" w:rsidRDefault="00B4462A">
      <w:r>
        <w:rPr>
          <w:rStyle w:val="Referinnotdesubsol"/>
        </w:rPr>
        <w:footnoteRef/>
      </w:r>
      <w:r>
        <w:t xml:space="preserve">Dodd, </w:t>
      </w:r>
      <w:r>
        <w:rPr>
          <w:i/>
          <w:iCs/>
        </w:rPr>
        <w:t>Parables of the Kingdom</w:t>
      </w:r>
      <w:r>
        <w:t>, p. 35.</w:t>
      </w:r>
    </w:p>
  </w:footnote>
  <w:footnote w:id="6">
    <w:p w14:paraId="1440A37B" w14:textId="77777777" w:rsidR="00B4462A" w:rsidRDefault="00B4462A">
      <w:r>
        <w:rPr>
          <w:rStyle w:val="Referinnotdesubsol"/>
        </w:rPr>
        <w:footnoteRef/>
      </w:r>
      <w:r>
        <w:t xml:space="preserve">John Dominic Crossan, </w:t>
      </w:r>
      <w:r>
        <w:rPr>
          <w:i/>
          <w:iCs/>
        </w:rPr>
        <w:t>In Parables: The Challenge of the Historical Jesus</w:t>
      </w:r>
      <w:r>
        <w:t xml:space="preserve"> (New York: Harper &amp; Row, 1973), p. 13.</w:t>
      </w:r>
    </w:p>
  </w:footnote>
  <w:footnote w:id="7">
    <w:p w14:paraId="2EAFBBD0" w14:textId="77777777" w:rsidR="00B4462A" w:rsidRDefault="00B4462A">
      <w:r>
        <w:rPr>
          <w:rStyle w:val="Referinnotdesubsol"/>
        </w:rPr>
        <w:footnoteRef/>
      </w:r>
      <w:r>
        <w:t xml:space="preserve">Snodgrass, </w:t>
      </w:r>
      <w:r>
        <w:rPr>
          <w:i/>
          <w:iCs/>
        </w:rPr>
        <w:t>Stories with Intent</w:t>
      </w:r>
      <w:r>
        <w:t>, p. 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86194"/>
    <w:multiLevelType w:val="hybridMultilevel"/>
    <w:tmpl w:val="C706A5E0"/>
    <w:lvl w:ilvl="0" w:tplc="1B4C9F96">
      <w:start w:val="1"/>
      <w:numFmt w:val="bullet"/>
      <w:lvlText w:val="●"/>
      <w:lvlJc w:val="left"/>
      <w:pPr>
        <w:ind w:left="720" w:hanging="360"/>
      </w:pPr>
    </w:lvl>
    <w:lvl w:ilvl="1" w:tplc="B7C231EC">
      <w:start w:val="1"/>
      <w:numFmt w:val="bullet"/>
      <w:lvlText w:val="○"/>
      <w:lvlJc w:val="left"/>
      <w:pPr>
        <w:ind w:left="1440" w:hanging="360"/>
      </w:pPr>
    </w:lvl>
    <w:lvl w:ilvl="2" w:tplc="6FE88BFA">
      <w:start w:val="1"/>
      <w:numFmt w:val="bullet"/>
      <w:lvlText w:val="■"/>
      <w:lvlJc w:val="left"/>
      <w:pPr>
        <w:ind w:left="2160" w:hanging="360"/>
      </w:pPr>
    </w:lvl>
    <w:lvl w:ilvl="3" w:tplc="6FCC4DF4">
      <w:start w:val="1"/>
      <w:numFmt w:val="bullet"/>
      <w:lvlText w:val="●"/>
      <w:lvlJc w:val="left"/>
      <w:pPr>
        <w:ind w:left="2880" w:hanging="360"/>
      </w:pPr>
    </w:lvl>
    <w:lvl w:ilvl="4" w:tplc="04B62796">
      <w:start w:val="1"/>
      <w:numFmt w:val="bullet"/>
      <w:lvlText w:val="○"/>
      <w:lvlJc w:val="left"/>
      <w:pPr>
        <w:ind w:left="3600" w:hanging="360"/>
      </w:pPr>
    </w:lvl>
    <w:lvl w:ilvl="5" w:tplc="21121920">
      <w:start w:val="1"/>
      <w:numFmt w:val="bullet"/>
      <w:lvlText w:val="■"/>
      <w:lvlJc w:val="left"/>
      <w:pPr>
        <w:ind w:left="4320" w:hanging="360"/>
      </w:pPr>
    </w:lvl>
    <w:lvl w:ilvl="6" w:tplc="48122916">
      <w:start w:val="1"/>
      <w:numFmt w:val="bullet"/>
      <w:lvlText w:val="●"/>
      <w:lvlJc w:val="left"/>
      <w:pPr>
        <w:ind w:left="5040" w:hanging="360"/>
      </w:pPr>
    </w:lvl>
    <w:lvl w:ilvl="7" w:tplc="AE2A173A">
      <w:start w:val="1"/>
      <w:numFmt w:val="bullet"/>
      <w:lvlText w:val="●"/>
      <w:lvlJc w:val="left"/>
      <w:pPr>
        <w:ind w:left="5760" w:hanging="360"/>
      </w:pPr>
    </w:lvl>
    <w:lvl w:ilvl="8" w:tplc="94C827C4">
      <w:start w:val="1"/>
      <w:numFmt w:val="bullet"/>
      <w:lvlText w:val="●"/>
      <w:lvlJc w:val="left"/>
      <w:pPr>
        <w:ind w:left="6480" w:hanging="360"/>
      </w:pPr>
    </w:lvl>
  </w:abstractNum>
  <w:num w:numId="1" w16cid:durableId="20196523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95"/>
  <w:removePersonalInformation/>
  <w:removeDateAndTime/>
  <w:displayBackgroundShap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2B1"/>
    <w:rsid w:val="00050BCD"/>
    <w:rsid w:val="00166667"/>
    <w:rsid w:val="001C5FAC"/>
    <w:rsid w:val="001F42B1"/>
    <w:rsid w:val="0021330B"/>
    <w:rsid w:val="00246F7E"/>
    <w:rsid w:val="00347E59"/>
    <w:rsid w:val="003E7533"/>
    <w:rsid w:val="0042476F"/>
    <w:rsid w:val="00434A68"/>
    <w:rsid w:val="004430EA"/>
    <w:rsid w:val="004A4D95"/>
    <w:rsid w:val="005469B4"/>
    <w:rsid w:val="00611F16"/>
    <w:rsid w:val="00626376"/>
    <w:rsid w:val="0064769D"/>
    <w:rsid w:val="007B6D1E"/>
    <w:rsid w:val="007D5FF2"/>
    <w:rsid w:val="007E34FC"/>
    <w:rsid w:val="008A1DFE"/>
    <w:rsid w:val="009060FB"/>
    <w:rsid w:val="00932E76"/>
    <w:rsid w:val="009A6EC7"/>
    <w:rsid w:val="009B5B4C"/>
    <w:rsid w:val="00A11E85"/>
    <w:rsid w:val="00A360E3"/>
    <w:rsid w:val="00A76555"/>
    <w:rsid w:val="00A92024"/>
    <w:rsid w:val="00AC5DB3"/>
    <w:rsid w:val="00B307D7"/>
    <w:rsid w:val="00B4462A"/>
    <w:rsid w:val="00B66C5E"/>
    <w:rsid w:val="00BB3AB0"/>
    <w:rsid w:val="00C31F59"/>
    <w:rsid w:val="00C37EE9"/>
    <w:rsid w:val="00CD79DA"/>
    <w:rsid w:val="00CE02EF"/>
    <w:rsid w:val="00CE10BA"/>
    <w:rsid w:val="00CF1454"/>
    <w:rsid w:val="00DB4A59"/>
    <w:rsid w:val="00DC5322"/>
    <w:rsid w:val="00DF1B3B"/>
    <w:rsid w:val="00E60F98"/>
    <w:rsid w:val="00EB0AE6"/>
    <w:rsid w:val="00F8497C"/>
    <w:rsid w:val="00F8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14A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240" w:after="200"/>
      <w:outlineLvl w:val="0"/>
    </w:pPr>
    <w:rPr>
      <w:b/>
      <w:bCs/>
      <w:sz w:val="30"/>
      <w:szCs w:val="30"/>
    </w:rPr>
  </w:style>
  <w:style w:type="paragraph" w:styleId="Titlu2">
    <w:name w:val="heading 2"/>
    <w:uiPriority w:val="9"/>
    <w:unhideWhenUsed/>
    <w:qFormat/>
    <w:pPr>
      <w:spacing w:before="120" w:after="120"/>
      <w:outlineLvl w:val="1"/>
    </w:pPr>
    <w:rPr>
      <w:b/>
      <w:bCs/>
      <w:i/>
      <w:iCs/>
      <w:sz w:val="26"/>
      <w:szCs w:val="26"/>
    </w:rPr>
  </w:style>
  <w:style w:type="paragraph" w:styleId="Titlu3">
    <w:name w:val="heading 3"/>
    <w:uiPriority w:val="9"/>
    <w:unhideWhenUsed/>
    <w:qFormat/>
    <w:pPr>
      <w:spacing w:before="200" w:after="100"/>
      <w:outlineLvl w:val="2"/>
    </w:pPr>
    <w:rPr>
      <w:b/>
      <w:bCs/>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 w:type="paragraph" w:styleId="Antet">
    <w:name w:val="header"/>
    <w:basedOn w:val="Normal"/>
    <w:link w:val="AntetCaracter"/>
    <w:uiPriority w:val="99"/>
    <w:unhideWhenUsed/>
    <w:rsid w:val="0021330B"/>
    <w:pPr>
      <w:tabs>
        <w:tab w:val="center" w:pos="4513"/>
        <w:tab w:val="right" w:pos="9026"/>
      </w:tabs>
    </w:pPr>
  </w:style>
  <w:style w:type="character" w:customStyle="1" w:styleId="AntetCaracter">
    <w:name w:val="Antet Caracter"/>
    <w:basedOn w:val="Fontdeparagrafimplicit"/>
    <w:link w:val="Antet"/>
    <w:uiPriority w:val="99"/>
    <w:rsid w:val="0021330B"/>
  </w:style>
  <w:style w:type="paragraph" w:styleId="Subsol">
    <w:name w:val="footer"/>
    <w:basedOn w:val="Normal"/>
    <w:link w:val="SubsolCaracter"/>
    <w:uiPriority w:val="99"/>
    <w:unhideWhenUsed/>
    <w:rsid w:val="0021330B"/>
    <w:pPr>
      <w:tabs>
        <w:tab w:val="center" w:pos="4513"/>
        <w:tab w:val="right" w:pos="9026"/>
      </w:tabs>
    </w:pPr>
  </w:style>
  <w:style w:type="character" w:customStyle="1" w:styleId="SubsolCaracter">
    <w:name w:val="Subsol Caracter"/>
    <w:basedOn w:val="Fontdeparagrafimplicit"/>
    <w:link w:val="Subsol"/>
    <w:uiPriority w:val="99"/>
    <w:rsid w:val="00213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2018</Words>
  <Characters>11710</Characters>
  <Application>Microsoft Office Word</Application>
  <DocSecurity>0</DocSecurity>
  <Lines>97</Lines>
  <Paragraphs>27</Paragraphs>
  <ScaleCrop>false</ScaleCrop>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2026-06-29T12:22:00Z</dcterms:created>
  <dcterms:modified xsi:type="dcterms:W3CDTF">2026-06-29T12:22:00Z</dcterms:modified>
</cp:coreProperties>
</file>