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7C5FA" w14:textId="77777777" w:rsidR="00EB56A3" w:rsidRPr="00EB56A3" w:rsidRDefault="00EB56A3" w:rsidP="00EB56A3">
      <w:pPr>
        <w:spacing w:line="360" w:lineRule="auto"/>
        <w:rPr>
          <w:b/>
          <w:bCs/>
          <w:i/>
          <w:iCs/>
        </w:rPr>
      </w:pPr>
    </w:p>
    <w:p w14:paraId="1542BB60" w14:textId="77777777" w:rsidR="00EB56A3" w:rsidRPr="00EB56A3" w:rsidRDefault="00EB56A3" w:rsidP="00EB56A3">
      <w:pPr>
        <w:spacing w:line="360" w:lineRule="auto"/>
        <w:rPr>
          <w:b/>
          <w:bCs/>
          <w:i/>
          <w:iCs/>
        </w:rPr>
      </w:pPr>
    </w:p>
    <w:p w14:paraId="3C1B0427" w14:textId="77777777" w:rsidR="00EB56A3" w:rsidRPr="00EB56A3" w:rsidRDefault="00EB56A3" w:rsidP="00EB56A3">
      <w:pPr>
        <w:spacing w:line="360" w:lineRule="auto"/>
        <w:rPr>
          <w:b/>
          <w:bCs/>
          <w:i/>
          <w:iCs/>
        </w:rPr>
      </w:pPr>
    </w:p>
    <w:p w14:paraId="737B216F" w14:textId="77777777" w:rsidR="00EB56A3" w:rsidRPr="00EB56A3" w:rsidRDefault="00EB56A3" w:rsidP="00EB56A3">
      <w:pPr>
        <w:spacing w:line="360" w:lineRule="auto"/>
        <w:rPr>
          <w:b/>
          <w:bCs/>
          <w:i/>
          <w:iCs/>
        </w:rPr>
      </w:pPr>
    </w:p>
    <w:p w14:paraId="55BE9449" w14:textId="77777777" w:rsidR="00EB56A3" w:rsidRPr="00EB56A3" w:rsidRDefault="00EB56A3" w:rsidP="00EB56A3">
      <w:pPr>
        <w:spacing w:line="360" w:lineRule="auto"/>
        <w:rPr>
          <w:b/>
          <w:bCs/>
          <w:i/>
          <w:iCs/>
        </w:rPr>
      </w:pPr>
    </w:p>
    <w:p w14:paraId="0B4BA331" w14:textId="77777777" w:rsidR="00EB56A3" w:rsidRPr="00EB56A3" w:rsidRDefault="00EB56A3" w:rsidP="00EB56A3">
      <w:pPr>
        <w:spacing w:line="360" w:lineRule="auto"/>
        <w:rPr>
          <w:b/>
          <w:bCs/>
          <w:i/>
          <w:iCs/>
        </w:rPr>
      </w:pPr>
    </w:p>
    <w:p w14:paraId="6FC04D23" w14:textId="572927EB" w:rsidR="00EB56A3" w:rsidRPr="00EB56A3" w:rsidRDefault="00EB56A3" w:rsidP="00EB56A3">
      <w:pPr>
        <w:spacing w:line="360" w:lineRule="auto"/>
        <w:rPr>
          <w:b/>
          <w:bCs/>
          <w:i/>
          <w:iCs/>
        </w:rPr>
      </w:pPr>
      <w:r w:rsidRPr="00EB56A3">
        <w:rPr>
          <w:b/>
          <w:bCs/>
          <w:i/>
          <w:iCs/>
        </w:rPr>
        <w:t>Research Proposal Report</w:t>
      </w:r>
    </w:p>
    <w:p w14:paraId="3F5C3CB7" w14:textId="77777777" w:rsidR="00EB56A3" w:rsidRPr="00EB56A3" w:rsidRDefault="00EB56A3" w:rsidP="00EB56A3">
      <w:pPr>
        <w:spacing w:line="360" w:lineRule="auto"/>
        <w:rPr>
          <w:b/>
          <w:bCs/>
        </w:rPr>
      </w:pPr>
      <w:r w:rsidRPr="00EB56A3">
        <w:rPr>
          <w:b/>
          <w:bCs/>
        </w:rPr>
        <w:t> </w:t>
      </w:r>
    </w:p>
    <w:p w14:paraId="5091FBD7" w14:textId="77777777" w:rsidR="00EB56A3" w:rsidRPr="00EB56A3" w:rsidRDefault="00EB56A3" w:rsidP="00EB56A3">
      <w:pPr>
        <w:spacing w:line="360" w:lineRule="auto"/>
        <w:rPr>
          <w:b/>
          <w:bCs/>
        </w:rPr>
      </w:pPr>
      <w:r w:rsidRPr="00EB56A3">
        <w:rPr>
          <w:b/>
          <w:bCs/>
        </w:rPr>
        <w:t> </w:t>
      </w:r>
    </w:p>
    <w:p w14:paraId="0B774C43" w14:textId="77777777" w:rsidR="00EB56A3" w:rsidRPr="00EB56A3" w:rsidRDefault="00EB56A3" w:rsidP="00EB56A3">
      <w:pPr>
        <w:spacing w:line="360" w:lineRule="auto"/>
        <w:rPr>
          <w:b/>
          <w:bCs/>
        </w:rPr>
      </w:pPr>
      <w:r w:rsidRPr="00EB56A3">
        <w:rPr>
          <w:b/>
          <w:bCs/>
        </w:rPr>
        <w:t> </w:t>
      </w:r>
    </w:p>
    <w:p w14:paraId="7AB5620E" w14:textId="77777777" w:rsidR="00EB56A3" w:rsidRPr="00EB56A3" w:rsidRDefault="00EB56A3" w:rsidP="00EB56A3">
      <w:pPr>
        <w:spacing w:line="360" w:lineRule="auto"/>
        <w:rPr>
          <w:b/>
          <w:bCs/>
        </w:rPr>
      </w:pPr>
      <w:r w:rsidRPr="00EB56A3">
        <w:rPr>
          <w:b/>
          <w:bCs/>
        </w:rPr>
        <w:t> </w:t>
      </w:r>
    </w:p>
    <w:p w14:paraId="1B7FAA60" w14:textId="77777777" w:rsidR="00EB56A3" w:rsidRPr="00EB56A3" w:rsidRDefault="00EB56A3" w:rsidP="00EB56A3">
      <w:pPr>
        <w:spacing w:line="360" w:lineRule="auto"/>
        <w:rPr>
          <w:b/>
          <w:bCs/>
        </w:rPr>
      </w:pPr>
      <w:r w:rsidRPr="00EB56A3">
        <w:rPr>
          <w:b/>
          <w:bCs/>
        </w:rPr>
        <w:t> </w:t>
      </w:r>
    </w:p>
    <w:p w14:paraId="0BB7DEF3" w14:textId="77777777" w:rsidR="00EB56A3" w:rsidRPr="00EB56A3" w:rsidRDefault="00EB56A3" w:rsidP="00EB56A3">
      <w:pPr>
        <w:spacing w:line="360" w:lineRule="auto"/>
        <w:rPr>
          <w:b/>
          <w:bCs/>
        </w:rPr>
      </w:pPr>
      <w:r w:rsidRPr="00EB56A3">
        <w:rPr>
          <w:b/>
          <w:bCs/>
        </w:rPr>
        <w:t> </w:t>
      </w:r>
    </w:p>
    <w:p w14:paraId="27F0BAFD" w14:textId="77777777" w:rsidR="00EB56A3" w:rsidRPr="00EB56A3" w:rsidRDefault="00EB56A3" w:rsidP="00EB56A3">
      <w:pPr>
        <w:spacing w:line="360" w:lineRule="auto"/>
        <w:rPr>
          <w:b/>
          <w:bCs/>
        </w:rPr>
      </w:pPr>
      <w:r w:rsidRPr="00EB56A3">
        <w:rPr>
          <w:b/>
          <w:bCs/>
        </w:rPr>
        <w:t> </w:t>
      </w:r>
    </w:p>
    <w:p w14:paraId="594243EA" w14:textId="77777777" w:rsidR="00EB56A3" w:rsidRPr="00EB56A3" w:rsidRDefault="00EB56A3" w:rsidP="00EB56A3">
      <w:pPr>
        <w:spacing w:line="360" w:lineRule="auto"/>
        <w:rPr>
          <w:b/>
          <w:bCs/>
        </w:rPr>
      </w:pPr>
      <w:r w:rsidRPr="00EB56A3">
        <w:rPr>
          <w:b/>
          <w:bCs/>
        </w:rPr>
        <w:t> </w:t>
      </w:r>
    </w:p>
    <w:p w14:paraId="5E345733" w14:textId="77777777" w:rsidR="00EB56A3" w:rsidRDefault="00EB56A3" w:rsidP="00EB56A3">
      <w:pPr>
        <w:spacing w:line="360" w:lineRule="auto"/>
        <w:rPr>
          <w:b/>
          <w:bCs/>
        </w:rPr>
      </w:pPr>
      <w:r w:rsidRPr="00EB56A3">
        <w:rPr>
          <w:b/>
          <w:bCs/>
        </w:rPr>
        <w:t> </w:t>
      </w:r>
    </w:p>
    <w:p w14:paraId="0BFD62E3" w14:textId="77777777" w:rsidR="00EB56A3" w:rsidRPr="00EB56A3" w:rsidRDefault="00EB56A3" w:rsidP="00EB56A3">
      <w:pPr>
        <w:spacing w:line="360" w:lineRule="auto"/>
        <w:rPr>
          <w:b/>
          <w:bCs/>
        </w:rPr>
      </w:pPr>
    </w:p>
    <w:p w14:paraId="19022EA6" w14:textId="77777777" w:rsidR="00EB56A3" w:rsidRPr="00EB56A3" w:rsidRDefault="00EB56A3" w:rsidP="00EB56A3">
      <w:pPr>
        <w:spacing w:line="360" w:lineRule="auto"/>
        <w:rPr>
          <w:b/>
          <w:bCs/>
        </w:rPr>
      </w:pPr>
      <w:r w:rsidRPr="00EB56A3">
        <w:rPr>
          <w:b/>
          <w:bCs/>
        </w:rPr>
        <w:t>  </w:t>
      </w:r>
    </w:p>
    <w:p w14:paraId="03C45819" w14:textId="3C46C528" w:rsidR="00EB56A3" w:rsidRPr="00EB56A3" w:rsidRDefault="00EB56A3" w:rsidP="00EB56A3">
      <w:pPr>
        <w:spacing w:line="360" w:lineRule="auto"/>
      </w:pPr>
      <w:r w:rsidRPr="00EB56A3">
        <w:t>Business Research</w:t>
      </w:r>
      <w:r w:rsidRPr="00EB56A3">
        <w:tab/>
      </w:r>
      <w:r w:rsidRPr="00EB56A3">
        <w:tab/>
      </w:r>
      <w:r w:rsidRPr="00EB56A3">
        <w:tab/>
        <w:t xml:space="preserve"> </w:t>
      </w:r>
      <w:r w:rsidRPr="00EB56A3">
        <w:tab/>
      </w:r>
      <w:r w:rsidRPr="00EB56A3">
        <w:tab/>
      </w:r>
      <w:r w:rsidRPr="00EB56A3">
        <w:tab/>
      </w:r>
      <w:r>
        <w:tab/>
      </w:r>
      <w:r w:rsidRPr="00EB56A3">
        <w:t>Tutor: </w:t>
      </w:r>
    </w:p>
    <w:p w14:paraId="1E7456A1" w14:textId="250162B4" w:rsidR="00EB56A3" w:rsidRPr="00EB56A3" w:rsidRDefault="00EB56A3" w:rsidP="00EB56A3">
      <w:pPr>
        <w:spacing w:line="360" w:lineRule="auto"/>
        <w:rPr>
          <w:b/>
          <w:bCs/>
        </w:rPr>
      </w:pPr>
      <w:r w:rsidRPr="00EB56A3">
        <w:rPr>
          <w:b/>
          <w:bCs/>
        </w:rPr>
        <w:t>BMMB7005D </w:t>
      </w:r>
      <w:r w:rsidRPr="00EB56A3">
        <w:rPr>
          <w:b/>
          <w:bCs/>
        </w:rPr>
        <w:tab/>
      </w:r>
      <w:r w:rsidRPr="00EB56A3">
        <w:rPr>
          <w:b/>
          <w:bCs/>
        </w:rPr>
        <w:tab/>
      </w:r>
      <w:r w:rsidRPr="00EB56A3">
        <w:rPr>
          <w:b/>
          <w:bCs/>
        </w:rPr>
        <w:tab/>
      </w:r>
      <w:r w:rsidRPr="00EB56A3">
        <w:rPr>
          <w:b/>
          <w:bCs/>
        </w:rPr>
        <w:tab/>
      </w:r>
      <w:r w:rsidRPr="00EB56A3">
        <w:rPr>
          <w:b/>
          <w:bCs/>
        </w:rPr>
        <w:tab/>
      </w:r>
      <w:r w:rsidRPr="00EB56A3">
        <w:rPr>
          <w:b/>
          <w:bCs/>
        </w:rPr>
        <w:tab/>
      </w:r>
      <w:r w:rsidRPr="00EB56A3">
        <w:rPr>
          <w:b/>
          <w:bCs/>
        </w:rPr>
        <w:tab/>
        <w:t>Dr Alex Bell</w:t>
      </w:r>
    </w:p>
    <w:p w14:paraId="702C2405" w14:textId="77777777" w:rsidR="00EB56A3" w:rsidRPr="00EB56A3" w:rsidRDefault="00EB56A3" w:rsidP="00EB56A3">
      <w:pPr>
        <w:spacing w:line="360" w:lineRule="auto"/>
        <w:rPr>
          <w:b/>
          <w:bCs/>
        </w:rPr>
      </w:pPr>
      <w:r w:rsidRPr="00EB56A3">
        <w:rPr>
          <w:b/>
          <w:bCs/>
        </w:rPr>
        <w:t> </w:t>
      </w:r>
    </w:p>
    <w:p w14:paraId="686EC33C" w14:textId="77777777" w:rsidR="00EB56A3" w:rsidRPr="00EB56A3" w:rsidRDefault="00EB56A3" w:rsidP="00EB56A3">
      <w:pPr>
        <w:spacing w:line="360" w:lineRule="auto"/>
      </w:pPr>
      <w:r w:rsidRPr="00EB56A3">
        <w:t>Amy Thomas</w:t>
      </w:r>
      <w:r w:rsidRPr="00EB56A3">
        <w:tab/>
      </w:r>
      <w:r w:rsidRPr="00EB56A3">
        <w:tab/>
      </w:r>
      <w:r w:rsidRPr="00EB56A3">
        <w:tab/>
      </w:r>
      <w:r w:rsidRPr="00EB56A3">
        <w:tab/>
      </w:r>
      <w:r w:rsidRPr="00EB56A3">
        <w:tab/>
      </w:r>
      <w:r w:rsidRPr="00EB56A3">
        <w:tab/>
      </w:r>
      <w:r w:rsidRPr="00EB56A3">
        <w:tab/>
      </w:r>
      <w:r w:rsidRPr="00EB56A3">
        <w:tab/>
      </w:r>
    </w:p>
    <w:p w14:paraId="6277703E" w14:textId="6A93585D" w:rsidR="00EB56A3" w:rsidRPr="002D3B40" w:rsidRDefault="00EB56A3" w:rsidP="00EB56A3">
      <w:pPr>
        <w:spacing w:line="278" w:lineRule="auto"/>
        <w:rPr>
          <w:i/>
          <w:iCs/>
          <w:color w:val="EE0000"/>
          <w:sz w:val="20"/>
          <w:szCs w:val="20"/>
        </w:rPr>
      </w:pPr>
      <w:r w:rsidRPr="00EB56A3">
        <w:rPr>
          <w:b/>
          <w:bCs/>
        </w:rPr>
        <w:t>2419388</w:t>
      </w:r>
      <w:r w:rsidRPr="00EB56A3">
        <w:rPr>
          <w:b/>
          <w:bCs/>
        </w:rPr>
        <w:tab/>
      </w:r>
      <w:r w:rsidRPr="00EB56A3">
        <w:rPr>
          <w:b/>
          <w:bCs/>
        </w:rPr>
        <w:tab/>
      </w:r>
      <w:r w:rsidRPr="00EB56A3">
        <w:rPr>
          <w:b/>
          <w:bCs/>
        </w:rPr>
        <w:tab/>
      </w:r>
      <w:r w:rsidRPr="00EB56A3">
        <w:rPr>
          <w:b/>
          <w:bCs/>
        </w:rPr>
        <w:tab/>
      </w:r>
      <w:r w:rsidRPr="00EB56A3">
        <w:rPr>
          <w:b/>
          <w:bCs/>
        </w:rPr>
        <w:tab/>
      </w:r>
      <w:r w:rsidRPr="00EB56A3">
        <w:rPr>
          <w:b/>
          <w:bCs/>
        </w:rPr>
        <w:tab/>
      </w:r>
      <w:r w:rsidRPr="00EB56A3">
        <w:rPr>
          <w:b/>
          <w:bCs/>
        </w:rPr>
        <w:tab/>
      </w:r>
      <w:r w:rsidRPr="00EB56A3">
        <w:rPr>
          <w:b/>
          <w:bCs/>
        </w:rPr>
        <w:tab/>
      </w:r>
      <w:r w:rsidRPr="00EB56A3">
        <w:rPr>
          <w:b/>
          <w:bCs/>
        </w:rPr>
        <w:tab/>
      </w:r>
      <w:r w:rsidRPr="00EB56A3">
        <w:rPr>
          <w:i/>
          <w:iCs/>
          <w:sz w:val="20"/>
          <w:szCs w:val="20"/>
        </w:rPr>
        <w:t xml:space="preserve">Word </w:t>
      </w:r>
      <w:r w:rsidRPr="00A819B1">
        <w:rPr>
          <w:i/>
          <w:iCs/>
          <w:sz w:val="20"/>
          <w:szCs w:val="20"/>
        </w:rPr>
        <w:t xml:space="preserve">count: </w:t>
      </w:r>
      <w:r w:rsidR="00A819B1" w:rsidRPr="00A819B1">
        <w:rPr>
          <w:i/>
          <w:iCs/>
          <w:sz w:val="20"/>
          <w:szCs w:val="20"/>
        </w:rPr>
        <w:t>4,999</w:t>
      </w:r>
    </w:p>
    <w:p w14:paraId="0FCD32B7" w14:textId="77777777" w:rsidR="0099552D" w:rsidRPr="00A819B1" w:rsidRDefault="0099552D" w:rsidP="0099552D">
      <w:pPr>
        <w:rPr>
          <w:b/>
          <w:bCs/>
          <w:iCs/>
        </w:rPr>
      </w:pPr>
      <w:r w:rsidRPr="00A819B1">
        <w:rPr>
          <w:b/>
          <w:bCs/>
          <w:iCs/>
        </w:rPr>
        <w:lastRenderedPageBreak/>
        <w:t>Introduction</w:t>
      </w:r>
    </w:p>
    <w:p w14:paraId="4E1F453C" w14:textId="77777777" w:rsidR="0099552D" w:rsidRPr="0099552D" w:rsidRDefault="0099552D" w:rsidP="00A819B1">
      <w:pPr>
        <w:jc w:val="center"/>
        <w:rPr>
          <w:iCs/>
        </w:rPr>
      </w:pPr>
      <w:r w:rsidRPr="0099552D">
        <w:rPr>
          <w:iCs/>
        </w:rPr>
        <w:t>‘Until the end of austerity, we are just firefighting in different forms’</w:t>
      </w:r>
    </w:p>
    <w:p w14:paraId="20AFF5D3" w14:textId="77777777" w:rsidR="0099552D" w:rsidRPr="0099552D" w:rsidRDefault="0099552D" w:rsidP="0099552D">
      <w:pPr>
        <w:rPr>
          <w:iCs/>
        </w:rPr>
      </w:pPr>
      <w:r w:rsidRPr="0099552D">
        <w:rPr>
          <w:iCs/>
        </w:rPr>
        <w:t xml:space="preserve">(Local authority commissioner cited in Cooper and Lhussier, 2026). </w:t>
      </w:r>
    </w:p>
    <w:p w14:paraId="19767021" w14:textId="77777777" w:rsidR="0099552D" w:rsidRPr="0099552D" w:rsidRDefault="0099552D" w:rsidP="0099552D">
      <w:pPr>
        <w:rPr>
          <w:iCs/>
        </w:rPr>
      </w:pPr>
      <w:r w:rsidRPr="0099552D">
        <w:rPr>
          <w:iCs/>
        </w:rPr>
        <w:t xml:space="preserve">Local authorities operate in an increasingly complex, unstable and resource-constrained environment (Macikene, Pugh and Studdert, 2024). They are consistently being asked to do something ever more difficult: respond quickly to financial pressure, service disruption, public health emergencies and political change. This challenge is most acutely felt in Wales where ‘multiple challenges, including economic uncertainty, climate and nature emergencies, stressed public finances…’ (Welsh Government, 2025) exist in conflict with the pioneering Well-being of Future Generations (Wales) Act 2015, which legally obligates public bodies to ensure today's decisions do not compromise the long-term wellbeing of tomorrow’s citizens (OECD, 2023). </w:t>
      </w:r>
    </w:p>
    <w:p w14:paraId="6FB8589C" w14:textId="77777777" w:rsidR="0099552D" w:rsidRPr="0099552D" w:rsidRDefault="0099552D" w:rsidP="0099552D">
      <w:pPr>
        <w:rPr>
          <w:iCs/>
        </w:rPr>
      </w:pPr>
      <w:r w:rsidRPr="0099552D">
        <w:rPr>
          <w:iCs/>
        </w:rPr>
        <w:t xml:space="preserve">Senior leaders are facing relentless, competing demands. They must maintain immediate service delivery under intense financial and political pressures while concurrently fulfilling their strict statutory duties under the 2015 Act (Audit Wales, 2025). Furthermore, a recent Senedd review found that Wales’s emergency planning framework was ‘inefficient and needlessly complex’ with the 2020 pandemic exposing deep flaws (Hitchcock, 2026). Additionally, there is pressure from the Future Generations Commissioner for local authorities to ‘map their preventative spend and invest progressively more upstream towards primary prevention’ (Future Generations Commissioner, 2025). Therein, a constant tension exists between urgent operational firefighting and the slower, more strategic work of future-focused governance, with decisions that have to be made to keep services running today </w:t>
      </w:r>
      <w:r w:rsidRPr="0099552D">
        <w:rPr>
          <w:iCs/>
        </w:rPr>
        <w:lastRenderedPageBreak/>
        <w:t xml:space="preserve">without undermining statutory responsibilities and collaborative ambitions for tomorrow. </w:t>
      </w:r>
    </w:p>
    <w:p w14:paraId="0E2C4279" w14:textId="77777777" w:rsidR="0099552D" w:rsidRPr="00A819B1" w:rsidRDefault="0099552D" w:rsidP="0099552D">
      <w:pPr>
        <w:rPr>
          <w:b/>
          <w:bCs/>
          <w:iCs/>
        </w:rPr>
      </w:pPr>
      <w:r w:rsidRPr="00A819B1">
        <w:rPr>
          <w:b/>
          <w:bCs/>
          <w:iCs/>
        </w:rPr>
        <w:t>Research Aim, Objectives and Research Questions</w:t>
      </w:r>
    </w:p>
    <w:p w14:paraId="52FEE1B7" w14:textId="77777777" w:rsidR="0099552D" w:rsidRPr="0099552D" w:rsidRDefault="0099552D" w:rsidP="0099552D">
      <w:pPr>
        <w:rPr>
          <w:iCs/>
        </w:rPr>
      </w:pPr>
      <w:r w:rsidRPr="0099552D">
        <w:rPr>
          <w:iCs/>
        </w:rPr>
        <w:t>The overarching aim of the research is:</w:t>
      </w:r>
    </w:p>
    <w:p w14:paraId="17260772" w14:textId="77777777" w:rsidR="0099552D" w:rsidRPr="0099552D" w:rsidRDefault="0099552D" w:rsidP="0099552D">
      <w:pPr>
        <w:rPr>
          <w:iCs/>
        </w:rPr>
      </w:pPr>
      <w:r w:rsidRPr="0099552D">
        <w:rPr>
          <w:iCs/>
        </w:rPr>
        <w:t>To examine how senior leaders within Welsh local authorities balance immediate operational pressures with long-term wellbeing responsibilities, and to identify the factors that influence their capacity for strategic agility during periods of uncertainty and change.</w:t>
      </w:r>
    </w:p>
    <w:p w14:paraId="28F84B5A" w14:textId="77777777" w:rsidR="0099552D" w:rsidRPr="0099552D" w:rsidRDefault="0099552D" w:rsidP="0099552D">
      <w:pPr>
        <w:rPr>
          <w:iCs/>
        </w:rPr>
      </w:pPr>
      <w:r w:rsidRPr="0099552D">
        <w:rPr>
          <w:iCs/>
        </w:rPr>
        <w:t xml:space="preserve">While the concept of strategic agility - the capacity of an organisation to scale, adapt, and respond rapidly to uncertainty (Doz and Kosonen, 2008) – is extensively researched within volatile private sector markets, there is a distinct gap in literature regarding its application within the public sector, and specifically how it operates within the distinctive legislative and governance environment of Wales. Specifically, there is minimal academic framework exploring how strategic agility manifests in a highly regulated local government setting constrained by future-oriented, statutory wellbeing legislation. What also remains underexplored is how senior leaders interpret long-term wellbeing duties, how they negotiate tensions between short- and long-term priorities and what organisational or systemic factors shape their ability to act strategically during crisis conditions. </w:t>
      </w:r>
    </w:p>
    <w:p w14:paraId="586F723E" w14:textId="77777777" w:rsidR="0099552D" w:rsidRPr="0099552D" w:rsidRDefault="0099552D" w:rsidP="0099552D">
      <w:pPr>
        <w:rPr>
          <w:iCs/>
        </w:rPr>
      </w:pPr>
      <w:r w:rsidRPr="0099552D">
        <w:rPr>
          <w:iCs/>
        </w:rPr>
        <w:t xml:space="preserve">This research aims to address that gap by examining how senior leaders within Welsh local authorities develop and demonstrate strategic agility when responding to periods of crisis and uncertainty, whilst simultaneously fulfilling the long-term well-being obligations established by the Well-being of Future Generations Act. </w:t>
      </w:r>
    </w:p>
    <w:p w14:paraId="467E975B" w14:textId="77777777" w:rsidR="0099552D" w:rsidRPr="0099552D" w:rsidRDefault="0099552D" w:rsidP="0099552D">
      <w:pPr>
        <w:rPr>
          <w:iCs/>
        </w:rPr>
      </w:pPr>
      <w:r w:rsidRPr="0099552D">
        <w:rPr>
          <w:iCs/>
        </w:rPr>
        <w:lastRenderedPageBreak/>
        <w:t>To achieve this aim, the research will pursue the following objectives:</w:t>
      </w:r>
    </w:p>
    <w:p w14:paraId="018147F1" w14:textId="1D49D3C7" w:rsidR="0099552D" w:rsidRPr="00A819B1" w:rsidRDefault="0099552D" w:rsidP="00A819B1">
      <w:pPr>
        <w:pStyle w:val="ListParagraph"/>
        <w:numPr>
          <w:ilvl w:val="0"/>
          <w:numId w:val="3"/>
        </w:numPr>
        <w:rPr>
          <w:iCs/>
        </w:rPr>
      </w:pPr>
      <w:r w:rsidRPr="00A819B1">
        <w:rPr>
          <w:iCs/>
        </w:rPr>
        <w:t>Examine how senior leaders interpret and operationalise long-term wellbeing objectives within the framework of the Well-being of Future Generations Act 2015.</w:t>
      </w:r>
    </w:p>
    <w:p w14:paraId="57B19FC6" w14:textId="15502837" w:rsidR="0099552D" w:rsidRPr="00A819B1" w:rsidRDefault="0099552D" w:rsidP="00A819B1">
      <w:pPr>
        <w:pStyle w:val="ListParagraph"/>
        <w:numPr>
          <w:ilvl w:val="0"/>
          <w:numId w:val="3"/>
        </w:numPr>
        <w:rPr>
          <w:iCs/>
        </w:rPr>
      </w:pPr>
      <w:r w:rsidRPr="00A819B1">
        <w:rPr>
          <w:iCs/>
        </w:rPr>
        <w:t>Identify the organisational and systemic factors that enable or constrain strategic agility within Welsh local authorities.</w:t>
      </w:r>
    </w:p>
    <w:p w14:paraId="544B43C0" w14:textId="46F019BD" w:rsidR="0099552D" w:rsidRPr="00A819B1" w:rsidRDefault="0099552D" w:rsidP="00A819B1">
      <w:pPr>
        <w:pStyle w:val="ListParagraph"/>
        <w:numPr>
          <w:ilvl w:val="0"/>
          <w:numId w:val="3"/>
        </w:numPr>
        <w:rPr>
          <w:iCs/>
        </w:rPr>
      </w:pPr>
      <w:r w:rsidRPr="00A819B1">
        <w:rPr>
          <w:iCs/>
        </w:rPr>
        <w:t>Explore how senior leaders negotiate tensions between immediate operational pressures and long-term statutory wellbeing responsibilities.</w:t>
      </w:r>
    </w:p>
    <w:p w14:paraId="6672F35D" w14:textId="756E1EE3" w:rsidR="0099552D" w:rsidRPr="00A819B1" w:rsidRDefault="0099552D" w:rsidP="00A819B1">
      <w:pPr>
        <w:pStyle w:val="ListParagraph"/>
        <w:numPr>
          <w:ilvl w:val="0"/>
          <w:numId w:val="3"/>
        </w:numPr>
        <w:rPr>
          <w:iCs/>
        </w:rPr>
      </w:pPr>
      <w:r w:rsidRPr="00A819B1">
        <w:rPr>
          <w:iCs/>
        </w:rPr>
        <w:t>Assess the influence of regional partnership and governance arrangements on organisational capacity for strategic agility.</w:t>
      </w:r>
    </w:p>
    <w:p w14:paraId="62EF3616" w14:textId="462C5D33" w:rsidR="0099552D" w:rsidRPr="00A819B1" w:rsidRDefault="0099552D" w:rsidP="00A819B1">
      <w:pPr>
        <w:pStyle w:val="ListParagraph"/>
        <w:numPr>
          <w:ilvl w:val="0"/>
          <w:numId w:val="3"/>
        </w:numPr>
        <w:rPr>
          <w:iCs/>
        </w:rPr>
      </w:pPr>
      <w:r w:rsidRPr="00A819B1">
        <w:rPr>
          <w:iCs/>
        </w:rPr>
        <w:t>Develop evidence-based recommendations for strengthening strategic agility whilst maintaining alignment with long-term wellbeing objectives.</w:t>
      </w:r>
    </w:p>
    <w:p w14:paraId="0DFADB23" w14:textId="77777777" w:rsidR="0099552D" w:rsidRPr="0099552D" w:rsidRDefault="0099552D" w:rsidP="0099552D">
      <w:pPr>
        <w:rPr>
          <w:iCs/>
        </w:rPr>
      </w:pPr>
      <w:r w:rsidRPr="0099552D">
        <w:rPr>
          <w:iCs/>
        </w:rPr>
        <w:t>These objectives directly inform the central research question:</w:t>
      </w:r>
    </w:p>
    <w:p w14:paraId="6BB58BD4" w14:textId="77777777" w:rsidR="0099552D" w:rsidRPr="00A819B1" w:rsidRDefault="0099552D" w:rsidP="0099552D">
      <w:pPr>
        <w:rPr>
          <w:i/>
        </w:rPr>
      </w:pPr>
      <w:r w:rsidRPr="00A819B1">
        <w:rPr>
          <w:i/>
        </w:rPr>
        <w:t>How do senior leaders within Welsh local authorities balance immediate operational pressures with long-term wellbeing responsibilities, and what factors influence their capacity for strategic agility during periods of uncertainty and change?</w:t>
      </w:r>
    </w:p>
    <w:p w14:paraId="2EC2341C" w14:textId="77777777" w:rsidR="0099552D" w:rsidRPr="0099552D" w:rsidRDefault="0099552D" w:rsidP="0099552D">
      <w:pPr>
        <w:rPr>
          <w:iCs/>
        </w:rPr>
      </w:pPr>
      <w:r w:rsidRPr="0099552D">
        <w:rPr>
          <w:iCs/>
        </w:rPr>
        <w:t>To ensure analytical focus and alignment with the research objectives, four subsidiary questions are proposed:</w:t>
      </w:r>
    </w:p>
    <w:p w14:paraId="6B55E5D1" w14:textId="0DC4BBC2" w:rsidR="0099552D" w:rsidRPr="00A819B1" w:rsidRDefault="0099552D" w:rsidP="00A819B1">
      <w:pPr>
        <w:pStyle w:val="ListParagraph"/>
        <w:numPr>
          <w:ilvl w:val="0"/>
          <w:numId w:val="6"/>
        </w:numPr>
        <w:rPr>
          <w:iCs/>
        </w:rPr>
      </w:pPr>
      <w:r w:rsidRPr="00A819B1">
        <w:rPr>
          <w:iCs/>
        </w:rPr>
        <w:t>How do senior leaders interpret and operationalise long-term wellbeing objectives within conditions of financial, political and operational uncertainty?</w:t>
      </w:r>
    </w:p>
    <w:p w14:paraId="595E8659" w14:textId="08EB8C80" w:rsidR="0099552D" w:rsidRPr="00A819B1" w:rsidRDefault="0099552D" w:rsidP="00A819B1">
      <w:pPr>
        <w:pStyle w:val="ListParagraph"/>
        <w:numPr>
          <w:ilvl w:val="0"/>
          <w:numId w:val="6"/>
        </w:numPr>
        <w:rPr>
          <w:iCs/>
        </w:rPr>
      </w:pPr>
      <w:r w:rsidRPr="00A819B1">
        <w:rPr>
          <w:iCs/>
        </w:rPr>
        <w:t>What organisational and systemic mechanisms enable or constrain strategic agility during periods of crisis and rapid change?</w:t>
      </w:r>
    </w:p>
    <w:p w14:paraId="1A54F540" w14:textId="3AD6E993" w:rsidR="0099552D" w:rsidRPr="00A819B1" w:rsidRDefault="0099552D" w:rsidP="00A819B1">
      <w:pPr>
        <w:pStyle w:val="ListParagraph"/>
        <w:numPr>
          <w:ilvl w:val="0"/>
          <w:numId w:val="6"/>
        </w:numPr>
        <w:rPr>
          <w:iCs/>
        </w:rPr>
      </w:pPr>
      <w:r w:rsidRPr="00A819B1">
        <w:rPr>
          <w:iCs/>
        </w:rPr>
        <w:lastRenderedPageBreak/>
        <w:t>How are tensions between immediate operational pressures and long-term statutory well-being duties negotiated by senior decision makers?</w:t>
      </w:r>
    </w:p>
    <w:p w14:paraId="485167D3" w14:textId="017FCE90" w:rsidR="0099552D" w:rsidRPr="00A819B1" w:rsidRDefault="0099552D" w:rsidP="00A819B1">
      <w:pPr>
        <w:pStyle w:val="ListParagraph"/>
        <w:numPr>
          <w:ilvl w:val="0"/>
          <w:numId w:val="6"/>
        </w:numPr>
        <w:rPr>
          <w:iCs/>
        </w:rPr>
      </w:pPr>
      <w:r w:rsidRPr="00A819B1">
        <w:rPr>
          <w:iCs/>
        </w:rPr>
        <w:t>How do regional partnership and governance arrangements influence local authorities’ capacity for strategic agility?</w:t>
      </w:r>
    </w:p>
    <w:p w14:paraId="7608DFBE" w14:textId="77777777" w:rsidR="0099552D" w:rsidRPr="0099552D" w:rsidRDefault="0099552D" w:rsidP="0099552D">
      <w:pPr>
        <w:rPr>
          <w:iCs/>
        </w:rPr>
      </w:pPr>
      <w:r w:rsidRPr="0099552D">
        <w:rPr>
          <w:iCs/>
        </w:rPr>
        <w:t>The proposed research is both academically and practically significant. Existing evidence suggests that local authorities face increasing financial, political and service delivery pressures whilst remaining accountable for achieving sustainable, long-term outcomes (Audit Wales, 2020; Audit Wales, 2025). By investigating the experiences of senior leaders, the study will contribute to understanding of strategic agility within public sector organisations and provide insights that inform leadership practice, governance arrangements and policy development across Welsh local government. In doing so, the research offers the potential to advance theoretical knowledge whilst generating practical value for public sector organisations operating in increasingly complex and uncertain environments.</w:t>
      </w:r>
    </w:p>
    <w:p w14:paraId="4D7C70E9" w14:textId="77777777" w:rsidR="0099552D" w:rsidRPr="00A819B1" w:rsidRDefault="0099552D" w:rsidP="0099552D">
      <w:pPr>
        <w:rPr>
          <w:b/>
          <w:bCs/>
          <w:iCs/>
        </w:rPr>
      </w:pPr>
      <w:r w:rsidRPr="00A819B1">
        <w:rPr>
          <w:b/>
          <w:bCs/>
          <w:iCs/>
        </w:rPr>
        <w:t>Key Literature</w:t>
      </w:r>
    </w:p>
    <w:p w14:paraId="3A048245" w14:textId="77777777" w:rsidR="0099552D" w:rsidRPr="00A819B1" w:rsidRDefault="0099552D" w:rsidP="0099552D">
      <w:pPr>
        <w:rPr>
          <w:i/>
        </w:rPr>
      </w:pPr>
      <w:r w:rsidRPr="00A819B1">
        <w:rPr>
          <w:i/>
        </w:rPr>
        <w:t>Strategic agility in the public sector</w:t>
      </w:r>
    </w:p>
    <w:p w14:paraId="5A0672EC" w14:textId="77777777" w:rsidR="0099552D" w:rsidRPr="0099552D" w:rsidRDefault="0099552D" w:rsidP="0099552D">
      <w:pPr>
        <w:rPr>
          <w:iCs/>
        </w:rPr>
      </w:pPr>
      <w:r w:rsidRPr="0099552D">
        <w:rPr>
          <w:iCs/>
        </w:rPr>
        <w:t xml:space="preserve">The concept of strategic agility originates within private sector management literature, traditionally defined as a tripartite framework of strategic sensitivity, resource fluidity and leadership unity (Doz and Kosonen, 2010) and anchored by Teece’s (2018) Dynamic Capabilities Theory. In commercial fields, these capabilities allow firms to continuously adjust strategic trajectories to secure competitive advantage amidst market disruptions (Doz and Kosonen, 2008b). However, transferring this framework to public sector organisations introduces significant </w:t>
      </w:r>
      <w:r w:rsidRPr="0099552D">
        <w:rPr>
          <w:iCs/>
        </w:rPr>
        <w:lastRenderedPageBreak/>
        <w:t xml:space="preserve">theoretical conflict due to structural differences in governance, democratic accountability and risk tolerance. </w:t>
      </w:r>
    </w:p>
    <w:p w14:paraId="4473AA1E" w14:textId="77777777" w:rsidR="0099552D" w:rsidRPr="0099552D" w:rsidRDefault="0099552D" w:rsidP="0099552D">
      <w:pPr>
        <w:rPr>
          <w:iCs/>
        </w:rPr>
      </w:pPr>
      <w:r w:rsidRPr="0099552D">
        <w:rPr>
          <w:iCs/>
        </w:rPr>
        <w:t xml:space="preserve">Early public management scholars such as Merton (1940), Thompson (1961) and Downs (1969) frequently characterised public bureaucracies as inherently rigid, risk-averse and poorly suited for agile operational shifts. This led to the New Public Management revolution in the late 20th century, which further argued that the ‘large size and rigid structures of the traditional system are too cumbersome’ for the modern era (Pfiffner, 2004). </w:t>
      </w:r>
    </w:p>
    <w:p w14:paraId="24520755" w14:textId="77777777" w:rsidR="0099552D" w:rsidRPr="0099552D" w:rsidRDefault="0099552D" w:rsidP="0099552D">
      <w:pPr>
        <w:rPr>
          <w:iCs/>
        </w:rPr>
      </w:pPr>
      <w:r w:rsidRPr="0099552D">
        <w:rPr>
          <w:iCs/>
        </w:rPr>
        <w:t xml:space="preserve">Strategic agility has been reconceptualised for public administration in recent years, with an acknowledgement that it is not a discretionary management luxury, but an essential survival mechanism for building organisational resilience to adapt to and recover from crises (OECD, 2015; Duchek, 2019). In other words, rather than treating agility and bureaucratic stability as mutually exclusive, modern governance frameworks must demonstrate clarity of organisational aims and continuous strategic learning, alongside deep trust in leadership to cultivate strategic agility within public institutions. </w:t>
      </w:r>
    </w:p>
    <w:p w14:paraId="79F017D3" w14:textId="77777777" w:rsidR="0099552D" w:rsidRPr="0099552D" w:rsidRDefault="0099552D" w:rsidP="0099552D">
      <w:pPr>
        <w:rPr>
          <w:iCs/>
        </w:rPr>
      </w:pPr>
      <w:r w:rsidRPr="0099552D">
        <w:rPr>
          <w:iCs/>
        </w:rPr>
        <w:t xml:space="preserve">Public agencies are therefore urged to combine a stable strategic position (clear mission and values) with flexible teams and processes that can pivot under crisis. However, critics warn that such frameworks are largely drawn from private sector models or high-level theory and may clash with entrenched bureaucratic norms. While agility offers public organisations greater flexibility and responsiveness during crises, its implementation must be balanced against core public sector values and citizen perception such as stability, legitimacy, accountability, fairness and equity (Lenz, 2024). </w:t>
      </w:r>
    </w:p>
    <w:p w14:paraId="0ACEF297" w14:textId="77777777" w:rsidR="0099552D" w:rsidRPr="00A819B1" w:rsidRDefault="0099552D" w:rsidP="0099552D">
      <w:pPr>
        <w:rPr>
          <w:i/>
        </w:rPr>
      </w:pPr>
      <w:r w:rsidRPr="00A819B1">
        <w:rPr>
          <w:i/>
        </w:rPr>
        <w:lastRenderedPageBreak/>
        <w:t>Local government agility: enablers and barriers</w:t>
      </w:r>
    </w:p>
    <w:p w14:paraId="403D44ED" w14:textId="77777777" w:rsidR="0099552D" w:rsidRPr="0099552D" w:rsidRDefault="0099552D" w:rsidP="0099552D">
      <w:pPr>
        <w:rPr>
          <w:iCs/>
        </w:rPr>
      </w:pPr>
      <w:r w:rsidRPr="0099552D">
        <w:rPr>
          <w:iCs/>
        </w:rPr>
        <w:t>Nowadays, public service delivery is increasingly operating through regional partnerships and inter-organisational networks. This collaboration is crucial in many ways. Bodies like Wales’s Public Services Boards (PSBs) are intended to align councils, health bodies and others behind shared wellbeing goals. Some national reports report that the Future Generations Act and PSB forums have fostered a shared agenda and shared vision for improving well-being across local and regional areas, potentially smoothing agility through common goals and pooled resources (Audit Wales, 2025; Welsh Government, 2020). However, at the same time, public</w:t>
      </w:r>
      <w:r w:rsidRPr="0099552D">
        <w:rPr>
          <w:rFonts w:ascii="Cambria Math" w:hAnsi="Cambria Math" w:cs="Cambria Math"/>
          <w:iCs/>
        </w:rPr>
        <w:t>‑</w:t>
      </w:r>
      <w:r w:rsidRPr="0099552D">
        <w:rPr>
          <w:iCs/>
        </w:rPr>
        <w:t>sector agility faces systemic constraints, as these regional governance frameworks function as structural mechanisms that can either accelerate or bottleneck local administrative agility. The literature offers contrasting perspectives on the relationship between collaborative governance and strategic responsiveness. While collaborative approaches are widely regarded as mechanisms for improving coordination, responsiveness, and the achievement of collective objectives, critics contend that the institutionalisation of collaboration within existing political and bureaucratic structures can generate systemic barriers. Consequently, ‘public bodies often develop policies and programmes in silos, leading to little joined-up working across organisations’ (WCVA, 2020).</w:t>
      </w:r>
    </w:p>
    <w:p w14:paraId="098A092C" w14:textId="77777777" w:rsidR="0099552D" w:rsidRPr="0099552D" w:rsidRDefault="0099552D" w:rsidP="0099552D">
      <w:pPr>
        <w:rPr>
          <w:iCs/>
        </w:rPr>
      </w:pPr>
      <w:r w:rsidRPr="0099552D">
        <w:rPr>
          <w:iCs/>
        </w:rPr>
        <w:t xml:space="preserve">In practice, regional partnership structures such as Wales' PSBs have frequently prioritised the production of statutory well-being assessments, plans and governance arrangements, with evaluations suggesting a tendency towards compliance-oriented planning and limited challenge to established policy and delivery practices rather than systemic, transformative interventions (Audit Wales, 2019; Netherwood, Flynn and Lang, 2017). Short-term and fragmented funding arrangements can limit </w:t>
      </w:r>
      <w:r w:rsidRPr="0099552D">
        <w:rPr>
          <w:iCs/>
        </w:rPr>
        <w:lastRenderedPageBreak/>
        <w:t>organisational adaptability by encouraging councils to focus on immediate service delivery and statutory requirements rather than long-term transformation. Evidence from local government indicates that annual and short-cycle funding undermines strategic planning, restricts collaborative commissioning and reduces flexibility for preventative action. Furthermore, adaptive systems leadership is often constrained by structural factors, including conflicting priorities, fragmented accountability arrangements, differing organisational cultures, and misaligned funding and governance mechanisms across partner organisations (Local Government Association, 2020; Cabinet Office, 2020).</w:t>
      </w:r>
    </w:p>
    <w:p w14:paraId="0F8EA4FE" w14:textId="77777777" w:rsidR="0099552D" w:rsidRPr="00A819B1" w:rsidRDefault="0099552D" w:rsidP="0099552D">
      <w:pPr>
        <w:rPr>
          <w:i/>
        </w:rPr>
      </w:pPr>
      <w:r w:rsidRPr="00A819B1">
        <w:rPr>
          <w:i/>
        </w:rPr>
        <w:t>The Future Generations Act and governance tensions</w:t>
      </w:r>
    </w:p>
    <w:p w14:paraId="6E5C6D1A" w14:textId="77777777" w:rsidR="0099552D" w:rsidRPr="0099552D" w:rsidRDefault="0099552D" w:rsidP="0099552D">
      <w:pPr>
        <w:rPr>
          <w:iCs/>
        </w:rPr>
      </w:pPr>
      <w:r w:rsidRPr="0099552D">
        <w:rPr>
          <w:iCs/>
        </w:rPr>
        <w:t>Wales’s Future Generations Act embeds long-term sustainable development duties into law dramatically reorienting the policy landscape. As a unique piece of sustainable development legislation, the Act legally binds public bodies to incorporate five core ways of working: long-term thinking, integration, involvement, collaboration, and prevention. Local authorities must now design every decision through the Act’s sustainable development principle and seven well-being goals. In principle, this mandates long-range thinking at all levels of government, creating a statutory obligation to reconcile current actions with future impacts. However, academics have long debated the efficacy of the Act, with some commentators characterising it as largely aspirational or symbolic. A written statement by the Cabinet Secretary for Social Justice in 2025 also noted ‘there are areas where advancements must be made to improve the implementation of the Act’ and a ‘call for post-legislative evaluation of the Act’ (Hutt, 2025).</w:t>
      </w:r>
    </w:p>
    <w:p w14:paraId="6AD26D90" w14:textId="77777777" w:rsidR="0099552D" w:rsidRPr="0099552D" w:rsidRDefault="0099552D" w:rsidP="0099552D">
      <w:pPr>
        <w:rPr>
          <w:iCs/>
        </w:rPr>
      </w:pPr>
      <w:r w:rsidRPr="0099552D">
        <w:rPr>
          <w:iCs/>
        </w:rPr>
        <w:lastRenderedPageBreak/>
        <w:t xml:space="preserve">With the Act establishing broad sustainable development duties rather than highly prescriptive, judicially enforceable obligations, it has been criticised as a form of ‘non-law bearing’ legislation whose effectiveness depends substantially on institutional commitment and political will rather than formal legal sanctions (Stokes and Smyth, 2024; Davies, 2016). The lack of legal penalties means that when local authorities face severe operational crises (e.g., acute financial pressures, a pandemic), the mandate for long-term planning is easily overwhelmed by immediate operational demands. </w:t>
      </w:r>
    </w:p>
    <w:p w14:paraId="25C2158A" w14:textId="77777777" w:rsidR="0099552D" w:rsidRPr="0099552D" w:rsidRDefault="0099552D" w:rsidP="0099552D">
      <w:pPr>
        <w:rPr>
          <w:iCs/>
        </w:rPr>
      </w:pPr>
      <w:r w:rsidRPr="0099552D">
        <w:rPr>
          <w:iCs/>
        </w:rPr>
        <w:t xml:space="preserve">Section 5 of the Act explicitly dictates that public bodies must balance present operational survival with safeguarding the capacity of future generations (Well-being of Future Generations (Wales) Act 2015). Yet, senior leaders do not experience these demands as balanced. Instead, they navigate an unstable environment where immediate crises continually drain the resource fluidity required to implement long-term preventative strategies. While the Act provides an official statutory shield and legislative obligation to prioritise sustainability, the severe reality of continuous public sector firefighting risks reducing its progressive ways of working to a superficial, tick-box compliance exercise. </w:t>
      </w:r>
    </w:p>
    <w:p w14:paraId="21C11C16" w14:textId="77777777" w:rsidR="0099552D" w:rsidRPr="0099552D" w:rsidRDefault="0099552D" w:rsidP="0099552D">
      <w:pPr>
        <w:rPr>
          <w:iCs/>
        </w:rPr>
      </w:pPr>
      <w:r w:rsidRPr="0099552D">
        <w:rPr>
          <w:iCs/>
        </w:rPr>
        <w:t xml:space="preserve">Further studies reveal point to a gap between policy ambition and implementation. One found that the Act has not necessarily generated new governance geographies at the local level. Interviewees suggested that implementation has largely occurred within existing local authority boundaries, with PSBs often representing a reconfiguration of pre-existing partnership arrangements rather than the creation of fresh governance structures: ‘the Wellbeing Act is supposed to be transformative, and yet we still stick with the boundaries of local authorities’ (L6, cited in Carter and MacKillop, 2023). The Wales Centre for Public Policy also found that ‘councils’ lack </w:t>
      </w:r>
      <w:r w:rsidRPr="0099552D">
        <w:rPr>
          <w:iCs/>
        </w:rPr>
        <w:lastRenderedPageBreak/>
        <w:t>the capacity for long-term, strategic decision making as officials and members in leadership positions lack the time to focus on anything that is not related to demand-driven services’ (WCPP, 2025). Overall, the literature suggests that while the Act creates strong long-term aims, local leaders experience difficulty translating it into practice, encountering entrenched organisational routines and coordination gaps.</w:t>
      </w:r>
    </w:p>
    <w:p w14:paraId="085F4060" w14:textId="77777777" w:rsidR="0099552D" w:rsidRPr="00A819B1" w:rsidRDefault="0099552D" w:rsidP="0099552D">
      <w:pPr>
        <w:rPr>
          <w:i/>
        </w:rPr>
      </w:pPr>
      <w:r w:rsidRPr="00A819B1">
        <w:rPr>
          <w:i/>
        </w:rPr>
        <w:t>Crises versus long</w:t>
      </w:r>
      <w:r w:rsidRPr="00A819B1">
        <w:rPr>
          <w:rFonts w:ascii="Cambria Math" w:hAnsi="Cambria Math" w:cs="Cambria Math"/>
          <w:i/>
        </w:rPr>
        <w:t>‑</w:t>
      </w:r>
      <w:r w:rsidRPr="00A819B1">
        <w:rPr>
          <w:i/>
        </w:rPr>
        <w:t>term objectives</w:t>
      </w:r>
    </w:p>
    <w:p w14:paraId="4935682F" w14:textId="77777777" w:rsidR="0099552D" w:rsidRPr="0099552D" w:rsidRDefault="0099552D" w:rsidP="0099552D">
      <w:pPr>
        <w:rPr>
          <w:iCs/>
        </w:rPr>
      </w:pPr>
      <w:r w:rsidRPr="0099552D">
        <w:rPr>
          <w:iCs/>
        </w:rPr>
        <w:t>Local authorities regularly face disruptive events, including economic shocks, public health emergencies and climate-related incidents, which require urgent operational responses. The literature suggests that managing these immediate pressures while pursuing longer-term adaptation and resilience objectives creates enduring governance tensions, particularly between short-term recovery needs and longer-term transformational goals (Barbera et al., 2021; Pot, 2022). Strategic agility is positioned as the capability to navigate exactly these tensions. For Welsh councils, this means responding to crises (e.g. flooding, Covid</w:t>
      </w:r>
      <w:r w:rsidRPr="0099552D">
        <w:rPr>
          <w:rFonts w:ascii="Cambria Math" w:hAnsi="Cambria Math" w:cs="Cambria Math"/>
          <w:iCs/>
        </w:rPr>
        <w:t>‑</w:t>
      </w:r>
      <w:r w:rsidRPr="0099552D">
        <w:rPr>
          <w:iCs/>
        </w:rPr>
        <w:t xml:space="preserve">19, austerity cuts) while upholding the Future Generations Act’s mandate for long-term well-being. However, the evidence presents this balance as challenging. The COVID-19 pandemic exposed the tension between immediate crisis management and the long-term ambitions of the Act. WCVA argued that post-pandemic rebuilding represented an opportunity to place the Act ‘up front and centre’ within policy and public discourse, warning implicitly that recovery efforts focused primarily on immediate needs could miss opportunities to embed longer-term wellbeing and resilience objectives (WCVA, 2020). </w:t>
      </w:r>
    </w:p>
    <w:p w14:paraId="20EAAD97" w14:textId="77777777" w:rsidR="0099552D" w:rsidRPr="00A819B1" w:rsidRDefault="0099552D" w:rsidP="0099552D">
      <w:pPr>
        <w:rPr>
          <w:i/>
        </w:rPr>
      </w:pPr>
      <w:r w:rsidRPr="00A819B1">
        <w:rPr>
          <w:i/>
        </w:rPr>
        <w:t>The research gap</w:t>
      </w:r>
    </w:p>
    <w:p w14:paraId="66123D84" w14:textId="77777777" w:rsidR="0099552D" w:rsidRPr="0099552D" w:rsidRDefault="0099552D" w:rsidP="0099552D">
      <w:pPr>
        <w:rPr>
          <w:iCs/>
        </w:rPr>
      </w:pPr>
      <w:r w:rsidRPr="0099552D">
        <w:rPr>
          <w:iCs/>
        </w:rPr>
        <w:lastRenderedPageBreak/>
        <w:t>Senior leaders operate at a critical intersection in their roles where they must actively negotiate the cognitive and structural tensions between long-term statutory obligations and short-term survival. While private sector studies offer extensive frameworks for managing operational challenges and employing strategic agility, public sector literature remains heavily fragmented. Ludviga and Kalviņa (2025) also noted that while strategic agility is increasingly studied overall, its application in the public sector is under-researched’. Furthermore, there is a critical deficit regarding how these concepts operate within Welsh local government under the statutory obligations of the Act. For example, Carter and MacKillop’s (2023) work illustrates stakeholder views on the Act’s goals but does not consider organisational agility or crisis pressures. Equally, public administration literature on agility (e.g. OECD 2015; Doz and Konosen, 2010) provides frameworks but lacks empirical insight into local government dynamics under a binding well</w:t>
      </w:r>
      <w:r w:rsidRPr="0099552D">
        <w:rPr>
          <w:rFonts w:ascii="Cambria Math" w:hAnsi="Cambria Math" w:cs="Cambria Math"/>
          <w:iCs/>
        </w:rPr>
        <w:t>‑</w:t>
      </w:r>
      <w:r w:rsidRPr="0099552D">
        <w:rPr>
          <w:iCs/>
        </w:rPr>
        <w:t>being law. In particular, there is little evidence on how senior decision makers in Welsh councils pragmatically interpret and enact agility during disruptive events while also obeying the Act’s ‘five ways of working’. Additionally, existing literature fails to cover how the role of regional partnerships (like Gwent’s PSB) is enabling or constraining this agility during acute operational and financial instability.</w:t>
      </w:r>
    </w:p>
    <w:p w14:paraId="64CECB9D" w14:textId="77777777" w:rsidR="0099552D" w:rsidRPr="0099552D" w:rsidRDefault="0099552D" w:rsidP="0099552D">
      <w:pPr>
        <w:rPr>
          <w:iCs/>
        </w:rPr>
      </w:pPr>
      <w:r w:rsidRPr="0099552D">
        <w:rPr>
          <w:iCs/>
        </w:rPr>
        <w:t>This gap is significant. Without understanding the organisational routines, leadership practices and institutional pressures at play, it is unclear how to improve alignment between short-term crisis response and long-term statutory well-being goals. This research will add value by filling this void, generating new knowledge on strategic agility within the unique institutional context of Wales’s Future Generations framework.</w:t>
      </w:r>
    </w:p>
    <w:p w14:paraId="6C663DFE" w14:textId="77777777" w:rsidR="0099552D" w:rsidRPr="00A819B1" w:rsidRDefault="0099552D" w:rsidP="0099552D">
      <w:pPr>
        <w:rPr>
          <w:b/>
          <w:bCs/>
          <w:iCs/>
        </w:rPr>
      </w:pPr>
      <w:r w:rsidRPr="00A819B1">
        <w:rPr>
          <w:b/>
          <w:bCs/>
          <w:iCs/>
        </w:rPr>
        <w:t xml:space="preserve">Research Paradigm and Methodology </w:t>
      </w:r>
    </w:p>
    <w:p w14:paraId="2965320F" w14:textId="77777777" w:rsidR="0099552D" w:rsidRPr="00A819B1" w:rsidRDefault="0099552D" w:rsidP="0099552D">
      <w:pPr>
        <w:rPr>
          <w:i/>
        </w:rPr>
      </w:pPr>
      <w:r w:rsidRPr="00A819B1">
        <w:rPr>
          <w:i/>
        </w:rPr>
        <w:lastRenderedPageBreak/>
        <w:t>Philosophical Positioning</w:t>
      </w:r>
    </w:p>
    <w:p w14:paraId="2A3E3BCC" w14:textId="77777777" w:rsidR="0099552D" w:rsidRPr="0099552D" w:rsidRDefault="0099552D" w:rsidP="0099552D">
      <w:pPr>
        <w:rPr>
          <w:iCs/>
        </w:rPr>
      </w:pPr>
      <w:r w:rsidRPr="0099552D">
        <w:rPr>
          <w:iCs/>
        </w:rPr>
        <w:t xml:space="preserve">To understand the complex dynamics of strategic agility within Welsh local government, this research adopts the philosophical paradigm of critical realism. Originally developed by Roy Bhaskar (1975/2008), critical realism occupies a philosophical position between positivism and interpretivism. It maintains that an objective reality exists independently of human knowledge (ontological realism), while recognising that our understanding of that reality is historically, socially and conceptually mediated (epistemological relativism). </w:t>
      </w:r>
    </w:p>
    <w:p w14:paraId="3088CC7D" w14:textId="77777777" w:rsidR="0099552D" w:rsidRPr="0099552D" w:rsidRDefault="0099552D" w:rsidP="0099552D">
      <w:pPr>
        <w:rPr>
          <w:iCs/>
        </w:rPr>
      </w:pPr>
      <w:r w:rsidRPr="0099552D">
        <w:rPr>
          <w:iCs/>
        </w:rPr>
        <w:t xml:space="preserve">Recent methodology literature emphasises that critical realism ‘promises more in-depth and meaningful exploration of organisational dynamics’ (Danaeefard et al., 2025), making it particularly apt for organisational studies. Consequently, critical realism provides a valuable foundation for examining both the structural conditions that shape organisational behaviour and how individuals interpret and respond to those conditions (Archer, 1995; Easton, 2010). </w:t>
      </w:r>
    </w:p>
    <w:p w14:paraId="0B19A6EA" w14:textId="77777777" w:rsidR="0099552D" w:rsidRPr="0099552D" w:rsidRDefault="0099552D" w:rsidP="0099552D">
      <w:pPr>
        <w:rPr>
          <w:iCs/>
        </w:rPr>
      </w:pPr>
      <w:r w:rsidRPr="0099552D">
        <w:rPr>
          <w:iCs/>
        </w:rPr>
        <w:t>Using Bhaskar’s three domains, critical realism offers an appropriate philosophical foundation as follows:</w:t>
      </w:r>
    </w:p>
    <w:p w14:paraId="722507C4" w14:textId="77777777" w:rsidR="0099552D" w:rsidRPr="0099552D" w:rsidRDefault="0099552D" w:rsidP="0099552D">
      <w:pPr>
        <w:rPr>
          <w:iCs/>
        </w:rPr>
      </w:pPr>
      <w:r w:rsidRPr="00A819B1">
        <w:rPr>
          <w:i/>
        </w:rPr>
        <w:t>The ‘Real’:</w:t>
      </w:r>
      <w:r w:rsidRPr="0099552D">
        <w:rPr>
          <w:iCs/>
        </w:rPr>
        <w:t xml:space="preserve"> the context of Welsh local government and the Future Generations Act 2015, formal regional partnership arrangements, governance frameworks and ongoing budgetary constraints can be understood as enduring structural conditions. These structures generate causal mechanisms that shape organisational behaviour and influence the capacity of local authorities to respond strategically to environmental pressures, regardless of whether individual leaders consciously recognise their effect (Fleetwood, 2005).</w:t>
      </w:r>
    </w:p>
    <w:p w14:paraId="11A7E337" w14:textId="77777777" w:rsidR="0099552D" w:rsidRPr="0099552D" w:rsidRDefault="0099552D" w:rsidP="0099552D">
      <w:pPr>
        <w:rPr>
          <w:iCs/>
        </w:rPr>
      </w:pPr>
      <w:r w:rsidRPr="00A819B1">
        <w:rPr>
          <w:i/>
        </w:rPr>
        <w:lastRenderedPageBreak/>
        <w:t>The ‘Actual’:</w:t>
      </w:r>
      <w:r w:rsidRPr="0099552D">
        <w:rPr>
          <w:iCs/>
        </w:rPr>
        <w:t xml:space="preserve"> Strategic responses to financial pressures, collaborative initiatives and policy implementation activities represent events and processes occurring within the actual domain. Whether or not they are directly observed by participants, these phenomena reflect the activation of underlying causal mechanisms within organisational settings (Danermark et al., 2019; Fletcher, 2016).</w:t>
      </w:r>
    </w:p>
    <w:p w14:paraId="70C475F1" w14:textId="77777777" w:rsidR="0099552D" w:rsidRPr="0099552D" w:rsidRDefault="0099552D" w:rsidP="0099552D">
      <w:pPr>
        <w:rPr>
          <w:iCs/>
        </w:rPr>
      </w:pPr>
      <w:r w:rsidRPr="00A819B1">
        <w:rPr>
          <w:i/>
        </w:rPr>
        <w:t>The ‘Empirical’:</w:t>
      </w:r>
      <w:r w:rsidRPr="0099552D">
        <w:rPr>
          <w:iCs/>
        </w:rPr>
        <w:t xml:space="preserve"> leaders’ accounts of strategic decision-making, adaptation and organisational transformation provides insight into the subjective experiences through which strategic agility is understood and enacted within Welsh local government.</w:t>
      </w:r>
    </w:p>
    <w:p w14:paraId="3BED8AE6" w14:textId="77777777" w:rsidR="0099552D" w:rsidRPr="0099552D" w:rsidRDefault="0099552D" w:rsidP="0099552D">
      <w:pPr>
        <w:rPr>
          <w:iCs/>
        </w:rPr>
      </w:pPr>
      <w:r w:rsidRPr="0099552D">
        <w:rPr>
          <w:iCs/>
        </w:rPr>
        <w:t>In reviewing paradigms, it has been determined that Positivism and Interpretivism would not be supportive of the research for the following reasons:</w:t>
      </w:r>
    </w:p>
    <w:p w14:paraId="22F66635" w14:textId="42D08BEE" w:rsidR="0099552D" w:rsidRPr="00A819B1" w:rsidRDefault="0099552D" w:rsidP="00A819B1">
      <w:pPr>
        <w:pStyle w:val="ListParagraph"/>
        <w:numPr>
          <w:ilvl w:val="0"/>
          <w:numId w:val="7"/>
        </w:numPr>
        <w:rPr>
          <w:iCs/>
        </w:rPr>
      </w:pPr>
      <w:r w:rsidRPr="00A819B1">
        <w:rPr>
          <w:iCs/>
        </w:rPr>
        <w:t xml:space="preserve">Positivism assumes that knowledge is best generated through objective observation and measurement (Bryman, 2016). In this context, a positivist approach might seek to measure strategic agility through indicators (e.g., financial KPIs or production of statutory reports). However, this approach risks overlooking contextual and politically mediated processes through which leaders make strategic decisions when negotiating competing priorities. Research on local government responses to austerity demonstrate that organisational culture, leadership judgement and local factors play a significant role in shaping strategic responses (Ferry, 2017; Downe and Taylor-Collins, 2019), factors that are difficult to capture through quantitative measures alone. </w:t>
      </w:r>
    </w:p>
    <w:p w14:paraId="61BBD21F" w14:textId="4FF47AEC" w:rsidR="0099552D" w:rsidRPr="00A819B1" w:rsidRDefault="0099552D" w:rsidP="00A819B1">
      <w:pPr>
        <w:pStyle w:val="ListParagraph"/>
        <w:numPr>
          <w:ilvl w:val="0"/>
          <w:numId w:val="7"/>
        </w:numPr>
        <w:rPr>
          <w:iCs/>
        </w:rPr>
      </w:pPr>
      <w:r w:rsidRPr="00A819B1">
        <w:rPr>
          <w:iCs/>
        </w:rPr>
        <w:t xml:space="preserve">Interpretivism emphasises how social reality is constructed and understood through the meanings that individuals attach to their experiences and interactions (Bryman, 2016). While interpretivism would successfully capture leaders' </w:t>
      </w:r>
      <w:r w:rsidRPr="00A819B1">
        <w:rPr>
          <w:iCs/>
        </w:rPr>
        <w:lastRenderedPageBreak/>
        <w:t xml:space="preserve">personal narratives and sense-making processes, it places less emphasis on explaining how external structural conditions shape and constrain action. </w:t>
      </w:r>
    </w:p>
    <w:p w14:paraId="7D78EB6A" w14:textId="77777777" w:rsidR="0099552D" w:rsidRPr="0099552D" w:rsidRDefault="0099552D" w:rsidP="0099552D">
      <w:pPr>
        <w:rPr>
          <w:iCs/>
        </w:rPr>
      </w:pPr>
      <w:r w:rsidRPr="0099552D">
        <w:rPr>
          <w:iCs/>
        </w:rPr>
        <w:t xml:space="preserve">Critical realism is therefore the most appropriate lens to analyse how actual socio-political structures interact with subjective leadership. </w:t>
      </w:r>
    </w:p>
    <w:p w14:paraId="22EC40E3" w14:textId="77777777" w:rsidR="0099552D" w:rsidRPr="00A819B1" w:rsidRDefault="0099552D" w:rsidP="0099552D">
      <w:pPr>
        <w:rPr>
          <w:b/>
          <w:bCs/>
          <w:iCs/>
        </w:rPr>
      </w:pPr>
      <w:r w:rsidRPr="00A819B1">
        <w:rPr>
          <w:b/>
          <w:bCs/>
          <w:iCs/>
        </w:rPr>
        <w:t>Methodological approach</w:t>
      </w:r>
    </w:p>
    <w:p w14:paraId="5C821636" w14:textId="77777777" w:rsidR="0099552D" w:rsidRPr="0099552D" w:rsidRDefault="0099552D" w:rsidP="0099552D">
      <w:pPr>
        <w:rPr>
          <w:iCs/>
        </w:rPr>
      </w:pPr>
      <w:r w:rsidRPr="0099552D">
        <w:rPr>
          <w:iCs/>
        </w:rPr>
        <w:t>This research will adopt an abductive approach to theory development. Critical realism aligns closely with an abductive research approach as it seeks to move beyond observable events and participants' accounts to develop theoretically informed explanations of the underlying mechanisms that enable or constrain strategic agility (Fletcher, 2016). While deductive approaches test existing hypotheses and inductive approaches build entirely new theory from raw data, abduction moves back and forth between empirical data and existing theoretical frameworks (Danermark et al, 2019).</w:t>
      </w:r>
    </w:p>
    <w:p w14:paraId="059AF5FB" w14:textId="77777777" w:rsidR="0099552D" w:rsidRPr="0099552D" w:rsidRDefault="0099552D" w:rsidP="0099552D">
      <w:pPr>
        <w:rPr>
          <w:iCs/>
        </w:rPr>
      </w:pPr>
      <w:r w:rsidRPr="0099552D">
        <w:rPr>
          <w:iCs/>
        </w:rPr>
        <w:t>Strategic agility theory has been extensively developed within the volatile, private corporate sector. However, its application within a heavily regulated public sector environment  - specifically one bound by unique legislation like the Future Generations Act - remains under-researched. An abductive approach of using established private-sector agility concepts as a preliminary conceptual guide while remaining open to refining, extending, or developing public-sector-specific mechanisms through insights emerging from senior leaders’ lived experiences and the iterative analysis of empirical evidence (Timmermans &amp; Tavory, 2014).</w:t>
      </w:r>
    </w:p>
    <w:p w14:paraId="24DB41ED" w14:textId="77777777" w:rsidR="0099552D" w:rsidRPr="00A819B1" w:rsidRDefault="0099552D" w:rsidP="0099552D">
      <w:pPr>
        <w:rPr>
          <w:i/>
        </w:rPr>
      </w:pPr>
      <w:r w:rsidRPr="00A819B1">
        <w:rPr>
          <w:i/>
        </w:rPr>
        <w:t xml:space="preserve">Methodological choices </w:t>
      </w:r>
    </w:p>
    <w:p w14:paraId="0A7CED3A" w14:textId="77777777" w:rsidR="0099552D" w:rsidRPr="0099552D" w:rsidRDefault="0099552D" w:rsidP="0099552D">
      <w:pPr>
        <w:rPr>
          <w:iCs/>
        </w:rPr>
      </w:pPr>
      <w:r w:rsidRPr="0099552D">
        <w:rPr>
          <w:iCs/>
        </w:rPr>
        <w:lastRenderedPageBreak/>
        <w:t>This research deliberately rejects a quantitative research design. Quantitative research ‘can be construed as a research strategy that emphasises quantification in the collection and analysis of data’ (Bryman, 2016) - an approach that would fail to capture the highly volatile, politically charged and socially constructed environment of local government decision-making. Instead, a mono-method qualitative design is adopted to explore the nuanced how and why of leadership agency under pressure, enabling an in-depth exploration of leaders’ experiences, interpretations, and organisational processes.</w:t>
      </w:r>
    </w:p>
    <w:p w14:paraId="75A59286" w14:textId="77777777" w:rsidR="0099552D" w:rsidRPr="0099552D" w:rsidRDefault="0099552D" w:rsidP="0099552D">
      <w:pPr>
        <w:rPr>
          <w:iCs/>
        </w:rPr>
      </w:pPr>
      <w:r w:rsidRPr="0099552D">
        <w:rPr>
          <w:iCs/>
        </w:rPr>
        <w:t>Two specific qualitative data collection tools have been selected as they map directly to the research questions (RQs) and objectives:</w:t>
      </w:r>
    </w:p>
    <w:p w14:paraId="6BF31151" w14:textId="77777777" w:rsidR="0099552D" w:rsidRPr="0099552D" w:rsidRDefault="0099552D" w:rsidP="0099552D">
      <w:pPr>
        <w:rPr>
          <w:iCs/>
        </w:rPr>
      </w:pPr>
      <w:r w:rsidRPr="0099552D">
        <w:rPr>
          <w:iCs/>
        </w:rPr>
        <w:t>1. Semi-structured interviews (primary data)</w:t>
      </w:r>
    </w:p>
    <w:p w14:paraId="66EC4D54" w14:textId="77777777" w:rsidR="0099552D" w:rsidRPr="0099552D" w:rsidRDefault="0099552D" w:rsidP="0099552D">
      <w:pPr>
        <w:rPr>
          <w:iCs/>
        </w:rPr>
      </w:pPr>
      <w:r w:rsidRPr="0099552D">
        <w:rPr>
          <w:iCs/>
        </w:rPr>
        <w:t xml:space="preserve">10-15 individual interviews, lasting 45 to 60 minutes each, via Microsoft Teams or in person. The semi-structured format is justified because it provides a standardised framework while allowing the flexibility to probe deeply into sensitive, unscripted leadership dilemmas. This tool directly addresses RQ1 (balancing immediate pressures with long-term duties) and Objectives 2, 3 and 4 by capturing the lived experiences and coping mechanisms of senior leaders. </w:t>
      </w:r>
    </w:p>
    <w:p w14:paraId="125F87EE" w14:textId="77777777" w:rsidR="0099552D" w:rsidRPr="0099552D" w:rsidRDefault="0099552D" w:rsidP="0099552D">
      <w:pPr>
        <w:rPr>
          <w:iCs/>
        </w:rPr>
      </w:pPr>
      <w:r w:rsidRPr="0099552D">
        <w:rPr>
          <w:iCs/>
        </w:rPr>
        <w:t>2. Documentary analysis (secondary contextual data)</w:t>
      </w:r>
    </w:p>
    <w:p w14:paraId="75EE64F6" w14:textId="77777777" w:rsidR="0099552D" w:rsidRPr="0099552D" w:rsidRDefault="0099552D" w:rsidP="0099552D">
      <w:pPr>
        <w:rPr>
          <w:iCs/>
        </w:rPr>
      </w:pPr>
      <w:r w:rsidRPr="0099552D">
        <w:rPr>
          <w:iCs/>
        </w:rPr>
        <w:t xml:space="preserve">A desktop analysis of publicly available corporate plans, wellbeing objectives, annual self-assessments and PSB documentation will provide structural context. This approach directly addresses RQ4 and Objective 5 (assessing regional partnerships). It will also serve as a method of triangulation, supporting the cross-examination of </w:t>
      </w:r>
      <w:r w:rsidRPr="0099552D">
        <w:rPr>
          <w:iCs/>
        </w:rPr>
        <w:lastRenderedPageBreak/>
        <w:t xml:space="preserve">formal organisational commitments against the actual leadership realities disclosed during interviews. </w:t>
      </w:r>
    </w:p>
    <w:p w14:paraId="55A437B6" w14:textId="77777777" w:rsidR="0099552D" w:rsidRPr="00A819B1" w:rsidRDefault="0099552D" w:rsidP="0099552D">
      <w:pPr>
        <w:rPr>
          <w:iCs/>
          <w:u w:val="single"/>
        </w:rPr>
      </w:pPr>
      <w:r w:rsidRPr="00A819B1">
        <w:rPr>
          <w:iCs/>
          <w:u w:val="single"/>
        </w:rPr>
        <w:t>Mapping matrix</w:t>
      </w:r>
    </w:p>
    <w:p w14:paraId="17FA352F" w14:textId="4BCA6702" w:rsidR="0099552D" w:rsidRPr="0099552D" w:rsidRDefault="005A4A58" w:rsidP="0099552D">
      <w:pPr>
        <w:rPr>
          <w:iCs/>
        </w:rPr>
      </w:pPr>
      <w:r w:rsidRPr="00497713">
        <w:rPr>
          <w:noProof/>
        </w:rPr>
        <w:drawing>
          <wp:inline distT="0" distB="0" distL="0" distR="0" wp14:anchorId="2EDEA0DA" wp14:editId="33E46092">
            <wp:extent cx="5731510" cy="2081530"/>
            <wp:effectExtent l="0" t="0" r="2540" b="0"/>
            <wp:docPr id="2085394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94030" name=""/>
                    <pic:cNvPicPr/>
                  </pic:nvPicPr>
                  <pic:blipFill>
                    <a:blip r:embed="rId7"/>
                    <a:stretch>
                      <a:fillRect/>
                    </a:stretch>
                  </pic:blipFill>
                  <pic:spPr>
                    <a:xfrm>
                      <a:off x="0" y="0"/>
                      <a:ext cx="5731510" cy="2081530"/>
                    </a:xfrm>
                    <a:prstGeom prst="rect">
                      <a:avLst/>
                    </a:prstGeom>
                  </pic:spPr>
                </pic:pic>
              </a:graphicData>
            </a:graphic>
          </wp:inline>
        </w:drawing>
      </w:r>
      <w:r w:rsidR="0099552D" w:rsidRPr="0099552D">
        <w:rPr>
          <w:iCs/>
        </w:rPr>
        <w:t xml:space="preserve"> </w:t>
      </w:r>
    </w:p>
    <w:p w14:paraId="74D70D69" w14:textId="77777777" w:rsidR="0099552D" w:rsidRPr="0099552D" w:rsidRDefault="0099552D" w:rsidP="0099552D">
      <w:pPr>
        <w:rPr>
          <w:iCs/>
        </w:rPr>
      </w:pPr>
      <w:r w:rsidRPr="0099552D">
        <w:rPr>
          <w:iCs/>
        </w:rPr>
        <w:t>This approach aligns with a critical realist perspective by allowing empirical insights to inform explanations of the underlying mechanisms shaping strategic agility. It provides the flexibility to examine how leaders negotiate the cognitive and political tensions between immediate operational firefighting and long-term legislative compliance, while enabling the triangulation of formal organisational narratives regarding statutory responsibilities with the lived experiences reported by leaders in interviews.</w:t>
      </w:r>
    </w:p>
    <w:p w14:paraId="792A5DF7" w14:textId="77777777" w:rsidR="0099552D" w:rsidRPr="005A4A58" w:rsidRDefault="0099552D" w:rsidP="0099552D">
      <w:pPr>
        <w:rPr>
          <w:i/>
        </w:rPr>
      </w:pPr>
      <w:r w:rsidRPr="005A4A58">
        <w:rPr>
          <w:i/>
        </w:rPr>
        <w:t>Research strategy</w:t>
      </w:r>
    </w:p>
    <w:p w14:paraId="6963D16D" w14:textId="77777777" w:rsidR="0099552D" w:rsidRPr="0099552D" w:rsidRDefault="0099552D" w:rsidP="0099552D">
      <w:pPr>
        <w:rPr>
          <w:iCs/>
        </w:rPr>
      </w:pPr>
      <w:r w:rsidRPr="0099552D">
        <w:rPr>
          <w:iCs/>
        </w:rPr>
        <w:t xml:space="preserve">The chosen research strategy is a qualitative multiple-case study focusing on three local authorities within Gwent. ‘Case studies can be used to accomplish various aims: to provide description… test theory… or generate theory…’ (Eisenhardt, 1989). Additionally, according to Yin (2018), case study designs are particularly appropriate for examining contemporary real-life phenomena within their natural settings, especially where the relationship between the phenomenon and its context is </w:t>
      </w:r>
      <w:r w:rsidRPr="0099552D">
        <w:rPr>
          <w:iCs/>
        </w:rPr>
        <w:lastRenderedPageBreak/>
        <w:t>complex and difficult to separate. The justification for using a multiple case design includes:</w:t>
      </w:r>
    </w:p>
    <w:p w14:paraId="356636D0" w14:textId="5F574C4E" w:rsidR="0099552D" w:rsidRPr="005A4A58" w:rsidRDefault="0099552D" w:rsidP="005A4A58">
      <w:pPr>
        <w:pStyle w:val="ListParagraph"/>
        <w:numPr>
          <w:ilvl w:val="0"/>
          <w:numId w:val="8"/>
        </w:numPr>
        <w:rPr>
          <w:iCs/>
        </w:rPr>
      </w:pPr>
      <w:r w:rsidRPr="005A4A58">
        <w:rPr>
          <w:iCs/>
        </w:rPr>
        <w:t>Context and nuances - local government operates within distinct geographic, socio-economic and political micro-climates. A single-case study would limit the generalisability of structural insights.</w:t>
      </w:r>
    </w:p>
    <w:p w14:paraId="2D5198D7" w14:textId="1CFD5D0B" w:rsidR="0099552D" w:rsidRPr="005A4A58" w:rsidRDefault="0099552D" w:rsidP="005A4A58">
      <w:pPr>
        <w:pStyle w:val="ListParagraph"/>
        <w:numPr>
          <w:ilvl w:val="0"/>
          <w:numId w:val="8"/>
        </w:numPr>
        <w:rPr>
          <w:iCs/>
        </w:rPr>
      </w:pPr>
      <w:r w:rsidRPr="005A4A58">
        <w:rPr>
          <w:iCs/>
        </w:rPr>
        <w:t xml:space="preserve">Depth of comparison - by evaluating three authorities within the same regional footprint, the research can identify which enabling mechanisms are systemic across Welsh local government (e.g., regional partnership boards) and which are unique to specific organisational cultures or leadership styles. </w:t>
      </w:r>
    </w:p>
    <w:p w14:paraId="2E612A53" w14:textId="77777777" w:rsidR="0099552D" w:rsidRPr="0099552D" w:rsidRDefault="0099552D" w:rsidP="0099552D">
      <w:pPr>
        <w:rPr>
          <w:iCs/>
        </w:rPr>
      </w:pPr>
      <w:r w:rsidRPr="0099552D">
        <w:rPr>
          <w:iCs/>
        </w:rPr>
        <w:t>Using Saunders et al.'s Research Onion (2019), the pathway underpinning this research is: critical realism &gt; abductive reasoning &gt; mono-method qualitative &gt; multiple case study.</w:t>
      </w:r>
    </w:p>
    <w:p w14:paraId="3C81FBDD" w14:textId="77777777" w:rsidR="00E579D7" w:rsidRDefault="00E579D7" w:rsidP="00E579D7">
      <w:pPr>
        <w:spacing w:after="0"/>
        <w:jc w:val="center"/>
        <w:rPr>
          <w:iCs/>
        </w:rPr>
      </w:pPr>
      <w:r w:rsidRPr="00497713">
        <w:rPr>
          <w:noProof/>
        </w:rPr>
        <w:drawing>
          <wp:inline distT="0" distB="0" distL="0" distR="0" wp14:anchorId="565BBAF7" wp14:editId="182080E1">
            <wp:extent cx="4473328" cy="3292125"/>
            <wp:effectExtent l="0" t="0" r="3810" b="3810"/>
            <wp:docPr id="1815877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877741" name=""/>
                    <pic:cNvPicPr/>
                  </pic:nvPicPr>
                  <pic:blipFill>
                    <a:blip r:embed="rId8"/>
                    <a:stretch>
                      <a:fillRect/>
                    </a:stretch>
                  </pic:blipFill>
                  <pic:spPr>
                    <a:xfrm>
                      <a:off x="0" y="0"/>
                      <a:ext cx="4473328" cy="3292125"/>
                    </a:xfrm>
                    <a:prstGeom prst="rect">
                      <a:avLst/>
                    </a:prstGeom>
                  </pic:spPr>
                </pic:pic>
              </a:graphicData>
            </a:graphic>
          </wp:inline>
        </w:drawing>
      </w:r>
    </w:p>
    <w:p w14:paraId="1A8287C3" w14:textId="28368D37" w:rsidR="0099552D" w:rsidRPr="00E579D7" w:rsidRDefault="0099552D" w:rsidP="00E579D7">
      <w:pPr>
        <w:jc w:val="right"/>
        <w:rPr>
          <w:iCs/>
          <w:sz w:val="20"/>
          <w:szCs w:val="20"/>
        </w:rPr>
      </w:pPr>
      <w:r w:rsidRPr="00E579D7">
        <w:rPr>
          <w:iCs/>
          <w:sz w:val="20"/>
          <w:szCs w:val="20"/>
        </w:rPr>
        <w:t>Source: Saunders et. al, 2023. Developed from Saunders et. al, 2019</w:t>
      </w:r>
    </w:p>
    <w:p w14:paraId="1C9F058E" w14:textId="77777777" w:rsidR="0099552D" w:rsidRPr="00E579D7" w:rsidRDefault="0099552D" w:rsidP="0099552D">
      <w:pPr>
        <w:rPr>
          <w:i/>
        </w:rPr>
      </w:pPr>
      <w:r w:rsidRPr="00E579D7">
        <w:rPr>
          <w:i/>
        </w:rPr>
        <w:t>Participant identification and sampling strategy</w:t>
      </w:r>
    </w:p>
    <w:p w14:paraId="1BA4D787" w14:textId="77777777" w:rsidR="0099552D" w:rsidRPr="0099552D" w:rsidRDefault="0099552D" w:rsidP="0099552D">
      <w:pPr>
        <w:rPr>
          <w:iCs/>
        </w:rPr>
      </w:pPr>
      <w:r w:rsidRPr="0099552D">
        <w:rPr>
          <w:iCs/>
        </w:rPr>
        <w:lastRenderedPageBreak/>
        <w:t xml:space="preserve">The target population for this research comprises senior decision-makers within local government who are directly responsible for navigating the tension between short-term operational firefighting and long-term legislative compliance. The research is geographically bounded within the Gwent region of Southeast Wales, specifically targeting three local authorities of Caerphilly County Borough Council, Newport City Council, and Monmouthshire County Council. </w:t>
      </w:r>
    </w:p>
    <w:p w14:paraId="1DED1FB3" w14:textId="77777777" w:rsidR="0099552D" w:rsidRPr="0099552D" w:rsidRDefault="0099552D" w:rsidP="0099552D">
      <w:pPr>
        <w:rPr>
          <w:iCs/>
        </w:rPr>
      </w:pPr>
      <w:r w:rsidRPr="0099552D">
        <w:rPr>
          <w:iCs/>
        </w:rPr>
        <w:t xml:space="preserve">The research will deploy purposeful sampling combined with criterion sampling to ensure that participants possess the necessary strategic experience and oversight required to answer the research questions. To enrich the data, variation sampling will be used to capture contrasting perspectives across different leadership tiers and authorities. Where appropriate, snowball sampling will be utilised to access hidden or critical regional partnership leads. The sample size will consist of 10-15 participants. This is to ensure the research prioritises contextual depth over statistical breadth. Eligible participants must be senior leaders or managers (e.g., Chief Executives, Corporate Directors, Heads of Service or Strategic Leads) with direct portfolios in strategic planning, organisational governance, crisis response, service delivery or the implementation of the Future Generations Act. Operational or frontline staff who lack strategic decision-making authority and officers belonging to authorities outside the designated Gwent regional footprint will be excluded. </w:t>
      </w:r>
    </w:p>
    <w:p w14:paraId="2CE5DEB6" w14:textId="77777777" w:rsidR="0099552D" w:rsidRPr="00E579D7" w:rsidRDefault="0099552D" w:rsidP="0099552D">
      <w:pPr>
        <w:rPr>
          <w:i/>
        </w:rPr>
      </w:pPr>
      <w:r w:rsidRPr="00E579D7">
        <w:rPr>
          <w:i/>
        </w:rPr>
        <w:t>Data analysis</w:t>
      </w:r>
    </w:p>
    <w:p w14:paraId="099DA6F1" w14:textId="77777777" w:rsidR="0099552D" w:rsidRPr="0099552D" w:rsidRDefault="0099552D" w:rsidP="0099552D">
      <w:pPr>
        <w:rPr>
          <w:iCs/>
        </w:rPr>
      </w:pPr>
      <w:r w:rsidRPr="0099552D">
        <w:rPr>
          <w:iCs/>
        </w:rPr>
        <w:t xml:space="preserve">Data will be analysed using qualitative thematic analysis to identify patterns within leaders’ accounts. Consistent with critical realism, thematic interpretation will move beyond descriptive themes to explore the underlying generative mechanisms and </w:t>
      </w:r>
      <w:r w:rsidRPr="0099552D">
        <w:rPr>
          <w:iCs/>
        </w:rPr>
        <w:lastRenderedPageBreak/>
        <w:t>contextual conditions that shape organisational behaviours and influence strategic agility (Braun and Clarke, 2006).</w:t>
      </w:r>
    </w:p>
    <w:p w14:paraId="001A0F39" w14:textId="77777777" w:rsidR="0099552D" w:rsidRPr="0099552D" w:rsidRDefault="0099552D" w:rsidP="0099552D">
      <w:pPr>
        <w:rPr>
          <w:iCs/>
        </w:rPr>
      </w:pPr>
      <w:r w:rsidRPr="0099552D">
        <w:rPr>
          <w:iCs/>
        </w:rPr>
        <w:t>The data will be processed through a rigorous, systematic coding framework:</w:t>
      </w:r>
    </w:p>
    <w:p w14:paraId="02C69C82" w14:textId="688EBB6C" w:rsidR="0099552D" w:rsidRPr="00E579D7" w:rsidRDefault="0099552D" w:rsidP="00E579D7">
      <w:pPr>
        <w:pStyle w:val="ListParagraph"/>
        <w:numPr>
          <w:ilvl w:val="0"/>
          <w:numId w:val="10"/>
        </w:numPr>
        <w:rPr>
          <w:iCs/>
        </w:rPr>
      </w:pPr>
      <w:r w:rsidRPr="00E579D7">
        <w:rPr>
          <w:iCs/>
        </w:rPr>
        <w:t xml:space="preserve">Familiarisation and transcription: audio files from consenting participants will be transcribed and read repeatedly to gain an intimate understanding of the narratives. </w:t>
      </w:r>
    </w:p>
    <w:p w14:paraId="186ECD72" w14:textId="61607C07" w:rsidR="0099552D" w:rsidRPr="00E579D7" w:rsidRDefault="0099552D" w:rsidP="00E579D7">
      <w:pPr>
        <w:pStyle w:val="ListParagraph"/>
        <w:numPr>
          <w:ilvl w:val="0"/>
          <w:numId w:val="10"/>
        </w:numPr>
        <w:rPr>
          <w:iCs/>
        </w:rPr>
      </w:pPr>
      <w:r w:rsidRPr="00E579D7">
        <w:rPr>
          <w:iCs/>
        </w:rPr>
        <w:t xml:space="preserve">Coding generation: data segments will be systematically coded to label key concepts regarding systemic enablers or barriers to agility. </w:t>
      </w:r>
    </w:p>
    <w:p w14:paraId="6DCC4253" w14:textId="37E51898" w:rsidR="0099552D" w:rsidRPr="00E579D7" w:rsidRDefault="0099552D" w:rsidP="00E579D7">
      <w:pPr>
        <w:pStyle w:val="ListParagraph"/>
        <w:numPr>
          <w:ilvl w:val="0"/>
          <w:numId w:val="10"/>
        </w:numPr>
        <w:rPr>
          <w:iCs/>
        </w:rPr>
      </w:pPr>
      <w:r w:rsidRPr="00E579D7">
        <w:rPr>
          <w:iCs/>
        </w:rPr>
        <w:t xml:space="preserve">Theme construction and review: codes will be clustered into broader overarching themes that explain exactly how tensions between immediate operational crises and long-term duties are negotiated by senior decision-makers. </w:t>
      </w:r>
    </w:p>
    <w:p w14:paraId="501965BF" w14:textId="77777777" w:rsidR="0099552D" w:rsidRPr="00E579D7" w:rsidRDefault="0099552D" w:rsidP="0099552D">
      <w:pPr>
        <w:rPr>
          <w:b/>
          <w:bCs/>
          <w:iCs/>
        </w:rPr>
      </w:pPr>
      <w:r w:rsidRPr="00E579D7">
        <w:rPr>
          <w:b/>
          <w:bCs/>
          <w:iCs/>
        </w:rPr>
        <w:t>Resources</w:t>
      </w:r>
    </w:p>
    <w:p w14:paraId="79612EB8" w14:textId="77777777" w:rsidR="0099552D" w:rsidRPr="0099552D" w:rsidRDefault="0099552D" w:rsidP="0099552D">
      <w:pPr>
        <w:rPr>
          <w:iCs/>
        </w:rPr>
      </w:pPr>
      <w:r w:rsidRPr="0099552D">
        <w:rPr>
          <w:iCs/>
        </w:rPr>
        <w:t xml:space="preserve">This research will demand minimal resource. Primary data collection will use an employer-issued laptop which has pre-licensed corporate software (Microsoft Teams) for conducting and securely recording the qualitative interviews, eliminating any IT hardware and subscription costs. Advanced analytical software like NVivo or SPSS will not be procured; instead, data analysis will use standard corporate-licensed applications (e.g., Microsoft Word and Excel) to execute manual thematic framework coding, mitigating software licensing fees entirely. </w:t>
      </w:r>
    </w:p>
    <w:p w14:paraId="204A3CFC" w14:textId="77777777" w:rsidR="0099552D" w:rsidRPr="0099552D" w:rsidRDefault="0099552D" w:rsidP="0099552D">
      <w:pPr>
        <w:rPr>
          <w:iCs/>
        </w:rPr>
      </w:pPr>
      <w:r w:rsidRPr="0099552D">
        <w:rPr>
          <w:iCs/>
        </w:rPr>
        <w:t xml:space="preserve">To ensure effective personal time management, interviews will be systematically scheduled over a staggered six-week window. The primary bottleneck will be securing formal organisational gatekeeper access within each local authority, </w:t>
      </w:r>
      <w:r w:rsidRPr="0099552D">
        <w:rPr>
          <w:iCs/>
        </w:rPr>
        <w:lastRenderedPageBreak/>
        <w:t xml:space="preserve">potentially followed by scheduling availability. This will be mitigated by initiating early engagement through established regional escalation channels and professional Gwent networks. External transcription costs will be avoided by using integrated Microsoft automated transcription features. </w:t>
      </w:r>
    </w:p>
    <w:p w14:paraId="5B125800" w14:textId="77777777" w:rsidR="0099552D" w:rsidRPr="0099552D" w:rsidRDefault="0099552D" w:rsidP="0099552D">
      <w:pPr>
        <w:rPr>
          <w:iCs/>
        </w:rPr>
      </w:pPr>
      <w:r w:rsidRPr="0099552D">
        <w:rPr>
          <w:iCs/>
        </w:rPr>
        <w:t xml:space="preserve">A key risk is participant recruitment falling below the ten-leader target. This risk could arise from lack of consent to participate and/or due to operational firefighting. If this occurs, a three-tier mitigation strategy will be deployed. </w:t>
      </w:r>
    </w:p>
    <w:p w14:paraId="69C6EAA3" w14:textId="77777777" w:rsidR="0099552D" w:rsidRPr="0099552D" w:rsidRDefault="0099552D" w:rsidP="0099552D">
      <w:pPr>
        <w:rPr>
          <w:iCs/>
        </w:rPr>
      </w:pPr>
      <w:r w:rsidRPr="0099552D">
        <w:rPr>
          <w:iCs/>
        </w:rPr>
        <w:t xml:space="preserve">In the first instance, all participants will receive comprehensive briefs alongside the request to participate in the research, allowing time for consideration and further discussion with line managers if required. Once consent has been obtained, interviews will be scheduled with as much notice as possible to protect the interview time scheduled. </w:t>
      </w:r>
    </w:p>
    <w:p w14:paraId="0F246BF9" w14:textId="77777777" w:rsidR="0099552D" w:rsidRPr="0099552D" w:rsidRDefault="0099552D" w:rsidP="0099552D">
      <w:pPr>
        <w:rPr>
          <w:iCs/>
        </w:rPr>
      </w:pPr>
      <w:r w:rsidRPr="0099552D">
        <w:rPr>
          <w:iCs/>
        </w:rPr>
        <w:t xml:space="preserve">Secondly, if required, a broadening of the criterion sampling to include strategic partnership leads from the wider Gwent Public Services Board will be employed. </w:t>
      </w:r>
    </w:p>
    <w:p w14:paraId="034EF37F" w14:textId="77777777" w:rsidR="0099552D" w:rsidRPr="0099552D" w:rsidRDefault="0099552D" w:rsidP="0099552D">
      <w:pPr>
        <w:rPr>
          <w:iCs/>
        </w:rPr>
      </w:pPr>
      <w:r w:rsidRPr="0099552D">
        <w:rPr>
          <w:iCs/>
        </w:rPr>
        <w:t xml:space="preserve">Finally, if needed, expansion of the target group via snowball sampling through active interviewees will also be explored. </w:t>
      </w:r>
    </w:p>
    <w:p w14:paraId="06DFFFEB" w14:textId="77777777" w:rsidR="0099552D" w:rsidRPr="00E579D7" w:rsidRDefault="0099552D" w:rsidP="0099552D">
      <w:pPr>
        <w:rPr>
          <w:b/>
          <w:bCs/>
          <w:iCs/>
        </w:rPr>
      </w:pPr>
      <w:r w:rsidRPr="00E579D7">
        <w:rPr>
          <w:b/>
          <w:bCs/>
          <w:iCs/>
        </w:rPr>
        <w:t>Project Management</w:t>
      </w:r>
    </w:p>
    <w:p w14:paraId="5A69975D" w14:textId="77777777" w:rsidR="0099552D" w:rsidRDefault="0099552D" w:rsidP="0099552D">
      <w:pPr>
        <w:rPr>
          <w:iCs/>
        </w:rPr>
      </w:pPr>
      <w:r w:rsidRPr="0099552D">
        <w:rPr>
          <w:iCs/>
        </w:rPr>
        <w:t>To support strong project management, the research will be undertaken within the following timeframe:</w:t>
      </w:r>
    </w:p>
    <w:p w14:paraId="10968BE0" w14:textId="77777777" w:rsidR="00E579D7" w:rsidRDefault="00E579D7" w:rsidP="0099552D">
      <w:pPr>
        <w:rPr>
          <w:iCs/>
        </w:rPr>
      </w:pPr>
    </w:p>
    <w:p w14:paraId="3A9E2015" w14:textId="77777777" w:rsidR="00E579D7" w:rsidRDefault="00E579D7" w:rsidP="0099552D">
      <w:pPr>
        <w:rPr>
          <w:iCs/>
        </w:rPr>
      </w:pPr>
    </w:p>
    <w:p w14:paraId="2F78BE91" w14:textId="77777777" w:rsidR="00070D59" w:rsidRDefault="00070D59" w:rsidP="0099552D">
      <w:pPr>
        <w:rPr>
          <w:iCs/>
        </w:rPr>
        <w:sectPr w:rsidR="00070D59" w:rsidSect="00D04078">
          <w:footerReference w:type="default" r:id="rId9"/>
          <w:pgSz w:w="11906" w:h="16838"/>
          <w:pgMar w:top="1440" w:right="1440" w:bottom="1440" w:left="1440" w:header="709" w:footer="709" w:gutter="0"/>
          <w:cols w:space="708"/>
          <w:titlePg/>
          <w:docGrid w:linePitch="360"/>
        </w:sectPr>
      </w:pPr>
    </w:p>
    <w:p w14:paraId="7B9C1FB1" w14:textId="77777777" w:rsidR="00070D59" w:rsidRDefault="00070D59" w:rsidP="0099552D">
      <w:pPr>
        <w:rPr>
          <w:iCs/>
        </w:rPr>
      </w:pPr>
    </w:p>
    <w:p w14:paraId="76BCBA75" w14:textId="69D7170C" w:rsidR="00325952" w:rsidRDefault="00070D59" w:rsidP="0099552D">
      <w:pPr>
        <w:rPr>
          <w:iCs/>
        </w:rPr>
      </w:pPr>
      <w:r w:rsidRPr="00497713">
        <w:rPr>
          <w:iCs/>
          <w:noProof/>
          <w:color w:val="EE0000"/>
        </w:rPr>
        <w:drawing>
          <wp:inline distT="0" distB="0" distL="0" distR="0" wp14:anchorId="3221A6B2" wp14:editId="64A7A08B">
            <wp:extent cx="8987259" cy="4838700"/>
            <wp:effectExtent l="0" t="0" r="4445" b="0"/>
            <wp:docPr id="1416436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436445" name=""/>
                    <pic:cNvPicPr/>
                  </pic:nvPicPr>
                  <pic:blipFill>
                    <a:blip r:embed="rId10"/>
                    <a:stretch>
                      <a:fillRect/>
                    </a:stretch>
                  </pic:blipFill>
                  <pic:spPr>
                    <a:xfrm>
                      <a:off x="0" y="0"/>
                      <a:ext cx="9002975" cy="4847162"/>
                    </a:xfrm>
                    <a:prstGeom prst="rect">
                      <a:avLst/>
                    </a:prstGeom>
                  </pic:spPr>
                </pic:pic>
              </a:graphicData>
            </a:graphic>
          </wp:inline>
        </w:drawing>
      </w:r>
    </w:p>
    <w:p w14:paraId="03955641" w14:textId="77777777" w:rsidR="0061441B" w:rsidRDefault="0061441B" w:rsidP="0099552D">
      <w:pPr>
        <w:rPr>
          <w:iCs/>
        </w:rPr>
        <w:sectPr w:rsidR="0061441B" w:rsidSect="00070D59">
          <w:pgSz w:w="16838" w:h="11906" w:orient="landscape"/>
          <w:pgMar w:top="1440" w:right="1440" w:bottom="1440" w:left="1440" w:header="709" w:footer="709" w:gutter="0"/>
          <w:cols w:space="708"/>
          <w:docGrid w:linePitch="360"/>
        </w:sectPr>
      </w:pPr>
    </w:p>
    <w:p w14:paraId="0AB5C5A8" w14:textId="2F3AEB2E" w:rsidR="0099552D" w:rsidRPr="0061441B" w:rsidRDefault="0099552D" w:rsidP="0099552D">
      <w:pPr>
        <w:rPr>
          <w:i/>
        </w:rPr>
      </w:pPr>
      <w:r w:rsidRPr="0061441B">
        <w:rPr>
          <w:i/>
        </w:rPr>
        <w:lastRenderedPageBreak/>
        <w:t>Months 1 &amp; 2: Proposal refinement and ethics</w:t>
      </w:r>
    </w:p>
    <w:p w14:paraId="7A6C6DD5" w14:textId="77777777" w:rsidR="0099552D" w:rsidRPr="0099552D" w:rsidRDefault="0099552D" w:rsidP="0099552D">
      <w:pPr>
        <w:rPr>
          <w:iCs/>
        </w:rPr>
      </w:pPr>
      <w:r w:rsidRPr="0099552D">
        <w:rPr>
          <w:iCs/>
        </w:rPr>
        <w:t xml:space="preserve">Activities will focus on refining the research title, aims, objectives and research questions and obtaining ethical approval. The research methodology will be discussed with the supervisor. Data collection, consent protocols and data protection will also be reviewed to ensure strict compliance with UK GDPR requirements. </w:t>
      </w:r>
    </w:p>
    <w:p w14:paraId="2CBE803D" w14:textId="77777777" w:rsidR="0099552D" w:rsidRPr="0061441B" w:rsidRDefault="0099552D" w:rsidP="0099552D">
      <w:pPr>
        <w:rPr>
          <w:i/>
        </w:rPr>
      </w:pPr>
      <w:r w:rsidRPr="0061441B">
        <w:rPr>
          <w:i/>
        </w:rPr>
        <w:t>Months 3 &amp; 4: Pilot study and literature review</w:t>
      </w:r>
    </w:p>
    <w:p w14:paraId="234A6161" w14:textId="77777777" w:rsidR="0099552D" w:rsidRPr="0099552D" w:rsidRDefault="0099552D" w:rsidP="0099552D">
      <w:pPr>
        <w:rPr>
          <w:iCs/>
        </w:rPr>
      </w:pPr>
      <w:r w:rsidRPr="0099552D">
        <w:rPr>
          <w:iCs/>
        </w:rPr>
        <w:t xml:space="preserve">A pilot semi-structured interview will be conducted to test the efficacy and flow of the interview guide. The research methodology will then be finalised. A full literature review will also be undertaken. A draft literature review will be produced for review by the supervisor. </w:t>
      </w:r>
    </w:p>
    <w:p w14:paraId="77868912" w14:textId="77777777" w:rsidR="0099552D" w:rsidRPr="0061441B" w:rsidRDefault="0099552D" w:rsidP="0099552D">
      <w:pPr>
        <w:rPr>
          <w:i/>
        </w:rPr>
      </w:pPr>
      <w:r w:rsidRPr="0061441B">
        <w:rPr>
          <w:i/>
        </w:rPr>
        <w:t>Months 5 &amp; 6: Fieldwork and data collection</w:t>
      </w:r>
    </w:p>
    <w:p w14:paraId="7F4578A3" w14:textId="77777777" w:rsidR="0099552D" w:rsidRPr="0099552D" w:rsidRDefault="0099552D" w:rsidP="0099552D">
      <w:pPr>
        <w:rPr>
          <w:iCs/>
        </w:rPr>
      </w:pPr>
      <w:r w:rsidRPr="0099552D">
        <w:rPr>
          <w:iCs/>
        </w:rPr>
        <w:t xml:space="preserve">Research tools will be discussed with the supervisor before formal engagement with gatekeepers to recruit the target cohort. Fieldwork will commence for the semi-structured interviews, while gathering public corporate plans and PSB documents. </w:t>
      </w:r>
    </w:p>
    <w:p w14:paraId="27320438" w14:textId="77777777" w:rsidR="0099552D" w:rsidRPr="0061441B" w:rsidRDefault="0099552D" w:rsidP="0099552D">
      <w:pPr>
        <w:rPr>
          <w:i/>
        </w:rPr>
      </w:pPr>
      <w:r w:rsidRPr="0061441B">
        <w:rPr>
          <w:i/>
        </w:rPr>
        <w:t>Months 7 &amp; 8: Data analysis</w:t>
      </w:r>
    </w:p>
    <w:p w14:paraId="44D8ADB0" w14:textId="77777777" w:rsidR="0099552D" w:rsidRPr="0099552D" w:rsidRDefault="0099552D" w:rsidP="0099552D">
      <w:pPr>
        <w:rPr>
          <w:iCs/>
        </w:rPr>
      </w:pPr>
      <w:r w:rsidRPr="0099552D">
        <w:rPr>
          <w:iCs/>
        </w:rPr>
        <w:t>Interviews will be anonymised and transcribed. Data will undergo multi-stage qualitative thematic analysis. Findings will be discussed with the supervisor.</w:t>
      </w:r>
    </w:p>
    <w:p w14:paraId="478C0E81" w14:textId="77777777" w:rsidR="0099552D" w:rsidRPr="0061441B" w:rsidRDefault="0099552D" w:rsidP="0099552D">
      <w:pPr>
        <w:rPr>
          <w:i/>
        </w:rPr>
      </w:pPr>
      <w:r w:rsidRPr="0061441B">
        <w:rPr>
          <w:i/>
        </w:rPr>
        <w:t>Months 9 &amp; 10: Writing</w:t>
      </w:r>
    </w:p>
    <w:p w14:paraId="63155556" w14:textId="77777777" w:rsidR="0099552D" w:rsidRPr="0099552D" w:rsidRDefault="0099552D" w:rsidP="0099552D">
      <w:pPr>
        <w:rPr>
          <w:iCs/>
        </w:rPr>
      </w:pPr>
      <w:r w:rsidRPr="0099552D">
        <w:rPr>
          <w:iCs/>
        </w:rPr>
        <w:t>Synthesis of the findings with the existing literature will be undertaken to construct the core analysis, discussion and recommendation chapters.</w:t>
      </w:r>
    </w:p>
    <w:p w14:paraId="4477A25A" w14:textId="77777777" w:rsidR="0099552D" w:rsidRPr="0061441B" w:rsidRDefault="0099552D" w:rsidP="0099552D">
      <w:pPr>
        <w:rPr>
          <w:i/>
        </w:rPr>
      </w:pPr>
      <w:r w:rsidRPr="0061441B">
        <w:rPr>
          <w:i/>
        </w:rPr>
        <w:t>Months 11 &amp; 12: Editing, proofing and submission</w:t>
      </w:r>
    </w:p>
    <w:p w14:paraId="3C9C35EE" w14:textId="77777777" w:rsidR="0099552D" w:rsidRPr="0099552D" w:rsidRDefault="0099552D" w:rsidP="0099552D">
      <w:pPr>
        <w:rPr>
          <w:iCs/>
        </w:rPr>
      </w:pPr>
      <w:r w:rsidRPr="0099552D">
        <w:rPr>
          <w:iCs/>
        </w:rPr>
        <w:lastRenderedPageBreak/>
        <w:t xml:space="preserve">Writing up of findings and completing a first draft, including conclusions and final recommendations for submission to the supervisor. </w:t>
      </w:r>
    </w:p>
    <w:p w14:paraId="4FCDC021" w14:textId="77777777" w:rsidR="0099552D" w:rsidRPr="0061441B" w:rsidRDefault="0099552D" w:rsidP="0099552D">
      <w:pPr>
        <w:rPr>
          <w:b/>
          <w:bCs/>
          <w:iCs/>
        </w:rPr>
      </w:pPr>
      <w:r w:rsidRPr="0061441B">
        <w:rPr>
          <w:b/>
          <w:bCs/>
          <w:iCs/>
        </w:rPr>
        <w:t>Ethical considerations</w:t>
      </w:r>
    </w:p>
    <w:p w14:paraId="23509592" w14:textId="77777777" w:rsidR="0099552D" w:rsidRPr="0061441B" w:rsidRDefault="0099552D" w:rsidP="0099552D">
      <w:pPr>
        <w:rPr>
          <w:i/>
        </w:rPr>
      </w:pPr>
      <w:r w:rsidRPr="0061441B">
        <w:rPr>
          <w:i/>
        </w:rPr>
        <w:t>Informed consent and the right to withdraw</w:t>
      </w:r>
    </w:p>
    <w:p w14:paraId="6586C4E0" w14:textId="77777777" w:rsidR="0099552D" w:rsidRPr="0099552D" w:rsidRDefault="0099552D" w:rsidP="0099552D">
      <w:pPr>
        <w:rPr>
          <w:iCs/>
        </w:rPr>
      </w:pPr>
      <w:r w:rsidRPr="0099552D">
        <w:rPr>
          <w:iCs/>
        </w:rPr>
        <w:t xml:space="preserve">Informed consent will be treated as an ongoing process rather than a single transactional event. Participants will receive a comprehensive Participant Information Sheet (PIS) and consent form via email, prior to scheduling interviews. The PIS will explicitly declare that participation is entirely decoupled from regular regional partnership operations and employment relationships. Before recording commences on Microsoft Teams, the right to refuse recording will also be verbally reaffirmed, alongside the right to decline any question and the right to unconditional withdrawal from the study up until the point of data aggregation, without providing justification. </w:t>
      </w:r>
    </w:p>
    <w:p w14:paraId="7E3BA01C" w14:textId="77777777" w:rsidR="0099552D" w:rsidRPr="0061441B" w:rsidRDefault="0099552D" w:rsidP="0099552D">
      <w:pPr>
        <w:rPr>
          <w:i/>
        </w:rPr>
      </w:pPr>
      <w:r w:rsidRPr="0061441B">
        <w:rPr>
          <w:i/>
        </w:rPr>
        <w:t xml:space="preserve">Anonymity, confidentiality and data security </w:t>
      </w:r>
    </w:p>
    <w:p w14:paraId="507A511A" w14:textId="77777777" w:rsidR="0099552D" w:rsidRPr="0099552D" w:rsidRDefault="0099552D" w:rsidP="0099552D">
      <w:pPr>
        <w:rPr>
          <w:iCs/>
        </w:rPr>
      </w:pPr>
      <w:r w:rsidRPr="0099552D">
        <w:rPr>
          <w:iCs/>
        </w:rPr>
        <w:t xml:space="preserve">As this research will operate within a narrow geographic and organisational scope (sampling a small cohort across three distinct Welsh authorities), the risk of deductive disclosure (Kaiser, 2009) is exceptionally high. Standard anonymisation is insufficient because a reader could easily deduce a participants identity based on contextual quotes regarding localised crisis or specific statutory struggles. Therefore, high-level specific job titles (e.g., Chief Executive) will be abstracted to generic identifiers (e.g., Participant X, Senior Leader) during transcription. Identifiable localised landmarks, unique policy phrases and/or or distinct place-based projects will be systematically redacted. Any unique contextual details concerning specific </w:t>
      </w:r>
      <w:r w:rsidRPr="0099552D">
        <w:rPr>
          <w:iCs/>
        </w:rPr>
        <w:lastRenderedPageBreak/>
        <w:t>financial deficits or localised service failures will be sanitised to protect the identities of both the individual leaders and their respective councils.</w:t>
      </w:r>
    </w:p>
    <w:p w14:paraId="7F8620E4" w14:textId="77777777" w:rsidR="0099552D" w:rsidRPr="0099552D" w:rsidRDefault="0099552D" w:rsidP="0099552D">
      <w:pPr>
        <w:rPr>
          <w:iCs/>
        </w:rPr>
      </w:pPr>
      <w:r w:rsidRPr="0099552D">
        <w:rPr>
          <w:iCs/>
        </w:rPr>
        <w:t>In alignment with the statutory baselines of the UK GDPR and the Data Protection Act 2018, data security will be rigidly maintained via university-approved infrastructure. Semi-structured interviews conducted via Microsoft Teams will be recorded locally and transferred immediately to password-protected, encrypted cloud systems accessible solely by myself and the supervisor(s). All audio recordings will be permanently deleted once verified transcriptions are completed and fully anonymised. No data will reside locally on portable hardware.</w:t>
      </w:r>
    </w:p>
    <w:p w14:paraId="57A8D1D9" w14:textId="77777777" w:rsidR="0099552D" w:rsidRPr="0061441B" w:rsidRDefault="0099552D" w:rsidP="0099552D">
      <w:pPr>
        <w:rPr>
          <w:i/>
        </w:rPr>
      </w:pPr>
      <w:r w:rsidRPr="0061441B">
        <w:rPr>
          <w:i/>
        </w:rPr>
        <w:t xml:space="preserve">Mitigating a potential conflict of interest </w:t>
      </w:r>
    </w:p>
    <w:p w14:paraId="028757F7" w14:textId="77777777" w:rsidR="0099552D" w:rsidRPr="0099552D" w:rsidRDefault="0099552D" w:rsidP="0099552D">
      <w:pPr>
        <w:rPr>
          <w:iCs/>
        </w:rPr>
      </w:pPr>
      <w:r w:rsidRPr="0099552D">
        <w:rPr>
          <w:iCs/>
        </w:rPr>
        <w:t xml:space="preserve">As a professional operating regionally within Gwent in a role that traverses policy and practice, and as an employee within one of the participating local authorities, navigating professional boundaries during this research is critical. While the target cohort consists of senior leaders who possess significant authority, my role as a regional lead introduces a subtle power asymmetry and the potential risk of perceived coercion or reputational exposure (Orb et al., 2001). To eliminate any perception of coercion or professional obligation, recruitment will bypass personal networks or working relationships. Initial contact will strictly adopt formal organisation escalation channels, professional forums and gatekeepers. It will be explicitly communicated in writing that participation is entirely voluntary and electing not to participate or to answer specific questions will have zero bearing on ongoing regional partnerships or professional relationships. </w:t>
      </w:r>
    </w:p>
    <w:p w14:paraId="1D4641F3" w14:textId="77777777" w:rsidR="0099552D" w:rsidRPr="0099552D" w:rsidRDefault="0099552D" w:rsidP="0099552D">
      <w:pPr>
        <w:rPr>
          <w:iCs/>
        </w:rPr>
      </w:pPr>
      <w:r w:rsidRPr="0099552D">
        <w:rPr>
          <w:iCs/>
        </w:rPr>
        <w:t xml:space="preserve">To minimise the potential influence of my professional background on the research process, I will adopt the role of an independent academic researcher and adhere to a </w:t>
      </w:r>
      <w:r w:rsidRPr="0099552D">
        <w:rPr>
          <w:iCs/>
        </w:rPr>
        <w:lastRenderedPageBreak/>
        <w:t>peer-reviewed interview guide during data collection. This will help ensure consistency across interviews and reduce the risk of researcher bias influencing questioning or data generation. Additionally, to maintain objective distance and integrity, the secondary documentary analysis will strictly restrict itself to publicly accessible corporate materials, intentionally avoiding any internal, restricted, or confidential organisational data, ensuring no privileged corporate data is exploited.</w:t>
      </w:r>
    </w:p>
    <w:p w14:paraId="2B5CC8FE" w14:textId="77777777" w:rsidR="0099552D" w:rsidRPr="0061441B" w:rsidRDefault="0099552D" w:rsidP="0099552D">
      <w:pPr>
        <w:rPr>
          <w:b/>
          <w:bCs/>
          <w:iCs/>
        </w:rPr>
      </w:pPr>
      <w:r w:rsidRPr="0061441B">
        <w:rPr>
          <w:b/>
          <w:bCs/>
          <w:iCs/>
        </w:rPr>
        <w:t>Conclusion</w:t>
      </w:r>
    </w:p>
    <w:p w14:paraId="21978E38" w14:textId="77777777" w:rsidR="0099552D" w:rsidRPr="0099552D" w:rsidRDefault="0099552D" w:rsidP="0099552D">
      <w:pPr>
        <w:rPr>
          <w:iCs/>
        </w:rPr>
      </w:pPr>
      <w:r w:rsidRPr="0099552D">
        <w:rPr>
          <w:iCs/>
        </w:rPr>
        <w:t>While strategic agility has predominantly been examined within commercial contexts as a mechanism for organisational survival and competitive adaptation (Doz and Kosonen, 2008), public sector literature has traditionally highlighted the importance of accountability, procedural compliance, stability and risk management arising from political, legal and institutional constraints (Boyne, 2002; Borins, 2001). Additionally, local authorities are experiencing significant financial, political and service pressures, including constrained funding, rising demand for statutory services, and increasing expectations to transform service delivery (Local Government Association, 2025). Welsh local authorities are operating in a challenging environment characterised by financial constraints, increasing demand for services, and the need to maintain statutory responsibilities while adapting to changing policy expectations (Bowyer and Holzinger, 2026). Audit Wales (2025b) has also observed that ten years after the Act’s passage, Welsh public bodies still face mounting pressures and the Act’s principles are not yet fully embedded.</w:t>
      </w:r>
    </w:p>
    <w:p w14:paraId="0AEAFFD8" w14:textId="4E37BAEE" w:rsidR="00D670FF" w:rsidRDefault="0099552D" w:rsidP="0099552D">
      <w:pPr>
        <w:rPr>
          <w:iCs/>
        </w:rPr>
      </w:pPr>
      <w:r w:rsidRPr="0099552D">
        <w:rPr>
          <w:iCs/>
        </w:rPr>
        <w:t xml:space="preserve">This research bridges the gap by conceptualising how agility can coexist with strict statutory mandates. By explicitly focusing on the friction between short-term crises and the unique obligations of the Well-being of Future Generations (Wales) Act, this </w:t>
      </w:r>
      <w:r w:rsidRPr="0099552D">
        <w:rPr>
          <w:iCs/>
        </w:rPr>
        <w:lastRenderedPageBreak/>
        <w:t xml:space="preserve">research will provide vital evidence regarding how public bodies can generate long-term public value under conditions of severe instability. </w:t>
      </w:r>
    </w:p>
    <w:p w14:paraId="1E4476DB" w14:textId="77777777" w:rsidR="0061441B" w:rsidRDefault="0061441B" w:rsidP="0099552D">
      <w:pPr>
        <w:rPr>
          <w:iCs/>
        </w:rPr>
      </w:pPr>
    </w:p>
    <w:p w14:paraId="19C32D70" w14:textId="77777777" w:rsidR="0061441B" w:rsidRDefault="0061441B" w:rsidP="0099552D">
      <w:pPr>
        <w:rPr>
          <w:iCs/>
        </w:rPr>
      </w:pPr>
    </w:p>
    <w:p w14:paraId="3CD0651A" w14:textId="77777777" w:rsidR="0061441B" w:rsidRDefault="0061441B" w:rsidP="0099552D">
      <w:pPr>
        <w:rPr>
          <w:iCs/>
        </w:rPr>
      </w:pPr>
    </w:p>
    <w:p w14:paraId="5E141C17" w14:textId="77777777" w:rsidR="0061441B" w:rsidRDefault="0061441B" w:rsidP="0099552D">
      <w:pPr>
        <w:rPr>
          <w:iCs/>
        </w:rPr>
      </w:pPr>
    </w:p>
    <w:p w14:paraId="7A4CF354" w14:textId="77777777" w:rsidR="0061441B" w:rsidRDefault="0061441B" w:rsidP="0099552D">
      <w:pPr>
        <w:rPr>
          <w:iCs/>
        </w:rPr>
      </w:pPr>
    </w:p>
    <w:p w14:paraId="5EF1D6F9" w14:textId="77777777" w:rsidR="0061441B" w:rsidRDefault="0061441B" w:rsidP="0099552D">
      <w:pPr>
        <w:rPr>
          <w:iCs/>
        </w:rPr>
      </w:pPr>
    </w:p>
    <w:p w14:paraId="32915912" w14:textId="77777777" w:rsidR="0061441B" w:rsidRDefault="0061441B" w:rsidP="0099552D">
      <w:pPr>
        <w:rPr>
          <w:iCs/>
        </w:rPr>
      </w:pPr>
    </w:p>
    <w:p w14:paraId="27DE9D9A" w14:textId="77777777" w:rsidR="0061441B" w:rsidRDefault="0061441B" w:rsidP="0099552D">
      <w:pPr>
        <w:rPr>
          <w:iCs/>
        </w:rPr>
      </w:pPr>
    </w:p>
    <w:p w14:paraId="1574A193" w14:textId="77777777" w:rsidR="0061441B" w:rsidRDefault="0061441B" w:rsidP="0099552D">
      <w:pPr>
        <w:rPr>
          <w:iCs/>
        </w:rPr>
      </w:pPr>
    </w:p>
    <w:p w14:paraId="34B457EC" w14:textId="77777777" w:rsidR="0061441B" w:rsidRDefault="0061441B" w:rsidP="0099552D">
      <w:pPr>
        <w:rPr>
          <w:iCs/>
        </w:rPr>
      </w:pPr>
    </w:p>
    <w:p w14:paraId="12D7E0C0" w14:textId="77777777" w:rsidR="0061441B" w:rsidRDefault="0061441B" w:rsidP="0099552D">
      <w:pPr>
        <w:rPr>
          <w:iCs/>
        </w:rPr>
      </w:pPr>
    </w:p>
    <w:p w14:paraId="6D4BD41E" w14:textId="77777777" w:rsidR="0061441B" w:rsidRDefault="0061441B" w:rsidP="0099552D">
      <w:pPr>
        <w:rPr>
          <w:iCs/>
        </w:rPr>
      </w:pPr>
    </w:p>
    <w:p w14:paraId="013C4F3B" w14:textId="77777777" w:rsidR="0061441B" w:rsidRDefault="0061441B" w:rsidP="0099552D">
      <w:pPr>
        <w:rPr>
          <w:iCs/>
        </w:rPr>
      </w:pPr>
    </w:p>
    <w:p w14:paraId="14570361" w14:textId="77777777" w:rsidR="0061441B" w:rsidRDefault="0061441B" w:rsidP="0099552D">
      <w:pPr>
        <w:rPr>
          <w:iCs/>
        </w:rPr>
      </w:pPr>
    </w:p>
    <w:p w14:paraId="75615156" w14:textId="77777777" w:rsidR="0061441B" w:rsidRDefault="0061441B" w:rsidP="0099552D">
      <w:pPr>
        <w:rPr>
          <w:iCs/>
        </w:rPr>
      </w:pPr>
    </w:p>
    <w:p w14:paraId="398FF811" w14:textId="77777777" w:rsidR="0061441B" w:rsidRDefault="0061441B" w:rsidP="0099552D">
      <w:pPr>
        <w:rPr>
          <w:iCs/>
        </w:rPr>
      </w:pPr>
    </w:p>
    <w:p w14:paraId="6D3B6626" w14:textId="77777777" w:rsidR="0061441B" w:rsidRDefault="0061441B" w:rsidP="0099552D">
      <w:pPr>
        <w:rPr>
          <w:iCs/>
        </w:rPr>
      </w:pPr>
    </w:p>
    <w:p w14:paraId="03300964" w14:textId="77777777" w:rsidR="00DC2959" w:rsidRPr="00DC2959" w:rsidRDefault="00DC2959" w:rsidP="00DC2959">
      <w:pPr>
        <w:spacing w:after="160"/>
        <w:rPr>
          <w:b/>
          <w:bCs/>
        </w:rPr>
      </w:pPr>
      <w:r w:rsidRPr="00DC2959">
        <w:rPr>
          <w:b/>
          <w:bCs/>
        </w:rPr>
        <w:lastRenderedPageBreak/>
        <w:t>References</w:t>
      </w:r>
    </w:p>
    <w:p w14:paraId="64E4F999" w14:textId="77777777" w:rsidR="00DC2959" w:rsidRPr="00DC2959" w:rsidRDefault="00DC2959" w:rsidP="00DC2959">
      <w:pPr>
        <w:spacing w:after="160"/>
      </w:pPr>
      <w:r w:rsidRPr="00DC2959">
        <w:t>Archer, M.S. (1995) </w:t>
      </w:r>
      <w:r w:rsidRPr="00DC2959">
        <w:rPr>
          <w:i/>
          <w:iCs/>
        </w:rPr>
        <w:t>Realist social theory: The morphogenetic approach</w:t>
      </w:r>
      <w:r w:rsidRPr="00DC2959">
        <w:t>. Cambridge University Press.</w:t>
      </w:r>
    </w:p>
    <w:p w14:paraId="3F484C3C" w14:textId="77777777" w:rsidR="00DC2959" w:rsidRPr="00DC2959" w:rsidRDefault="00DC2959" w:rsidP="00DC2959">
      <w:pPr>
        <w:spacing w:after="160"/>
      </w:pPr>
      <w:r w:rsidRPr="00DC2959">
        <w:t xml:space="preserve">Audit Wales (2019) </w:t>
      </w:r>
      <w:r w:rsidRPr="00DC2959">
        <w:rPr>
          <w:i/>
          <w:iCs/>
        </w:rPr>
        <w:t xml:space="preserve">Review of Public Services Boards. </w:t>
      </w:r>
      <w:r w:rsidRPr="00DC2959">
        <w:t xml:space="preserve">Available at: </w:t>
      </w:r>
      <w:hyperlink r:id="rId11" w:history="1">
        <w:r w:rsidRPr="00DC2959">
          <w:rPr>
            <w:color w:val="467886" w:themeColor="hyperlink"/>
            <w:u w:val="single"/>
          </w:rPr>
          <w:t>https://www.audit.wales/sites/default/files/review-of-public-service-boards-english_11.pdf</w:t>
        </w:r>
      </w:hyperlink>
      <w:r w:rsidRPr="00DC2959">
        <w:t xml:space="preserve"> [Accessed: 10 June 2026].</w:t>
      </w:r>
    </w:p>
    <w:p w14:paraId="53A1689F" w14:textId="77777777" w:rsidR="00DC2959" w:rsidRPr="00DC2959" w:rsidRDefault="00DC2959" w:rsidP="00DC2959">
      <w:pPr>
        <w:spacing w:after="160"/>
      </w:pPr>
      <w:r w:rsidRPr="00DC2959">
        <w:t xml:space="preserve">Audit Wales (2020) </w:t>
      </w:r>
      <w:r w:rsidRPr="00DC2959">
        <w:rPr>
          <w:i/>
          <w:iCs/>
        </w:rPr>
        <w:t>So, what’s different? Findings from the Auditor General’s Sustainable Development Principle Examinations</w:t>
      </w:r>
      <w:r w:rsidRPr="00DC2959">
        <w:t xml:space="preserve">. Online. Available at: </w:t>
      </w:r>
      <w:hyperlink r:id="rId12" w:history="1">
        <w:r w:rsidRPr="00DC2959">
          <w:rPr>
            <w:color w:val="467886" w:themeColor="hyperlink"/>
            <w:u w:val="single"/>
          </w:rPr>
          <w:t>https://www.audit.wales/publication/findings-auditor-generals-sustainable-development-principle-examinations</w:t>
        </w:r>
      </w:hyperlink>
      <w:r w:rsidRPr="00DC2959">
        <w:t xml:space="preserve"> [Accessed: 9 June 2026]. </w:t>
      </w:r>
    </w:p>
    <w:p w14:paraId="723778E5" w14:textId="77777777" w:rsidR="00DC2959" w:rsidRPr="00DC2959" w:rsidRDefault="00DC2959" w:rsidP="00DC2959">
      <w:pPr>
        <w:spacing w:after="160"/>
      </w:pPr>
      <w:r w:rsidRPr="00DC2959">
        <w:t xml:space="preserve">Audit Wales (2025) </w:t>
      </w:r>
      <w:r w:rsidRPr="00DC2959">
        <w:rPr>
          <w:i/>
          <w:iCs/>
        </w:rPr>
        <w:t xml:space="preserve">No time to lose: Lessons from our work under the Well-being of Future Generations Act. </w:t>
      </w:r>
      <w:r w:rsidRPr="00DC2959">
        <w:t xml:space="preserve">Online. Available at: </w:t>
      </w:r>
      <w:hyperlink r:id="rId13" w:history="1">
        <w:r w:rsidRPr="00DC2959">
          <w:rPr>
            <w:color w:val="467886" w:themeColor="hyperlink"/>
            <w:u w:val="single"/>
          </w:rPr>
          <w:t>https://www.audit.wales/publication/no-time-lose-lessons-our-work-under-well-being-future-generations-act</w:t>
        </w:r>
      </w:hyperlink>
      <w:r w:rsidRPr="00DC2959">
        <w:t xml:space="preserve"> [Accessed: 6 June 2026].</w:t>
      </w:r>
    </w:p>
    <w:p w14:paraId="5525E0ED" w14:textId="77777777" w:rsidR="00DC2959" w:rsidRPr="00DC2959" w:rsidRDefault="00DC2959" w:rsidP="00DC2959">
      <w:pPr>
        <w:spacing w:after="160"/>
        <w:rPr>
          <w:b/>
          <w:bCs/>
        </w:rPr>
      </w:pPr>
      <w:r w:rsidRPr="00DC2959">
        <w:t xml:space="preserve">Audit Wales (2025b) </w:t>
      </w:r>
      <w:r w:rsidRPr="00DC2959">
        <w:rPr>
          <w:i/>
          <w:iCs/>
        </w:rPr>
        <w:t>Ten years on, the Well-being of Future Generations Act has increased prominence but is not driving the system-wide change that was intended.</w:t>
      </w:r>
      <w:r w:rsidRPr="00DC2959">
        <w:rPr>
          <w:b/>
          <w:bCs/>
        </w:rPr>
        <w:t xml:space="preserve"> </w:t>
      </w:r>
      <w:r w:rsidRPr="00DC2959">
        <w:t xml:space="preserve">Online. Available at: </w:t>
      </w:r>
      <w:hyperlink r:id="rId14" w:history="1">
        <w:r w:rsidRPr="00DC2959">
          <w:rPr>
            <w:color w:val="467886" w:themeColor="hyperlink"/>
            <w:u w:val="single"/>
          </w:rPr>
          <w:t>https://www.audit.wales/news/ten-years-well-being-future-generations-act-has-increased-prominence-not-driving-system-wide</w:t>
        </w:r>
      </w:hyperlink>
      <w:r w:rsidRPr="00DC2959">
        <w:t xml:space="preserve"> [Accessed: 22 June 2026].</w:t>
      </w:r>
    </w:p>
    <w:p w14:paraId="2932C821" w14:textId="77777777" w:rsidR="00DC2959" w:rsidRPr="00DC2959" w:rsidRDefault="00DC2959" w:rsidP="00DC2959">
      <w:pPr>
        <w:spacing w:after="160"/>
      </w:pPr>
      <w:r w:rsidRPr="00DC2959">
        <w:t xml:space="preserve">Bhaskar, R. (2008) </w:t>
      </w:r>
      <w:r w:rsidRPr="00DC2959">
        <w:rPr>
          <w:i/>
          <w:iCs/>
        </w:rPr>
        <w:t>A Realist Theory of Science</w:t>
      </w:r>
      <w:r w:rsidRPr="00DC2959">
        <w:t xml:space="preserve">. Routledge. </w:t>
      </w:r>
    </w:p>
    <w:p w14:paraId="1C346046" w14:textId="77777777" w:rsidR="00DC2959" w:rsidRPr="00DC2959" w:rsidRDefault="00DC2959" w:rsidP="00DC2959">
      <w:pPr>
        <w:spacing w:after="160"/>
      </w:pPr>
      <w:r w:rsidRPr="00DC2959">
        <w:t xml:space="preserve">Barbera, C., Jones, M., Korac, S., Saliterer, I. and Steccolini, I. (2021) Local government strategies in the face of shocks and crises: the role of anticipatory capacities and financial vulnerability. </w:t>
      </w:r>
      <w:r w:rsidRPr="00DC2959">
        <w:rPr>
          <w:i/>
          <w:iCs/>
        </w:rPr>
        <w:t xml:space="preserve">International Review of Administrative </w:t>
      </w:r>
      <w:r w:rsidRPr="00DC2959">
        <w:rPr>
          <w:i/>
          <w:iCs/>
        </w:rPr>
        <w:lastRenderedPageBreak/>
        <w:t>Sciences</w:t>
      </w:r>
      <w:r w:rsidRPr="00DC2959">
        <w:t xml:space="preserve">, 87(1), pp.154–170. Available at: </w:t>
      </w:r>
      <w:hyperlink r:id="rId15" w:history="1">
        <w:r w:rsidRPr="00DC2959">
          <w:rPr>
            <w:color w:val="467886" w:themeColor="hyperlink"/>
            <w:u w:val="single"/>
          </w:rPr>
          <w:t>https://journals.sagepub.com/doi/full/10.1177/0020852319842661</w:t>
        </w:r>
      </w:hyperlink>
      <w:r w:rsidRPr="00DC2959">
        <w:t xml:space="preserve"> [Accessed: 13 June 2026]. </w:t>
      </w:r>
    </w:p>
    <w:p w14:paraId="205E1F72" w14:textId="77777777" w:rsidR="00DC2959" w:rsidRPr="00DC2959" w:rsidRDefault="00DC2959" w:rsidP="00DC2959">
      <w:pPr>
        <w:spacing w:after="160"/>
      </w:pPr>
      <w:r w:rsidRPr="00DC2959">
        <w:t>Borins, S. (2001) ‘Encouraging innovation in the public sector.’ </w:t>
      </w:r>
      <w:r w:rsidRPr="00DC2959">
        <w:rPr>
          <w:i/>
          <w:iCs/>
        </w:rPr>
        <w:t>Journal of intellectual capital</w:t>
      </w:r>
      <w:r w:rsidRPr="00DC2959">
        <w:t>, </w:t>
      </w:r>
      <w:r w:rsidRPr="00DC2959">
        <w:rPr>
          <w:i/>
          <w:iCs/>
        </w:rPr>
        <w:t>2</w:t>
      </w:r>
      <w:r w:rsidRPr="00DC2959">
        <w:t xml:space="preserve">(3), pp.310-319. Available at: </w:t>
      </w:r>
      <w:hyperlink r:id="rId16" w:history="1">
        <w:r w:rsidRPr="00DC2959">
          <w:rPr>
            <w:color w:val="467886" w:themeColor="hyperlink"/>
            <w:u w:val="single"/>
          </w:rPr>
          <w:t>https://www.researchgate.net/publication/235255319_Encouraging_Innovation_in_the_Public_Sector</w:t>
        </w:r>
      </w:hyperlink>
      <w:r w:rsidRPr="00DC2959">
        <w:t xml:space="preserve"> [Accessed: 19 June 2026].</w:t>
      </w:r>
    </w:p>
    <w:p w14:paraId="55E90CDD" w14:textId="77777777" w:rsidR="00DC2959" w:rsidRPr="00DC2959" w:rsidRDefault="00DC2959" w:rsidP="00DC2959">
      <w:pPr>
        <w:spacing w:after="160"/>
        <w:rPr>
          <w:b/>
          <w:bCs/>
        </w:rPr>
      </w:pPr>
      <w:r w:rsidRPr="00DC2959">
        <w:t xml:space="preserve">Bowyer, O. and Holzinger, O. (2026) </w:t>
      </w:r>
      <w:r w:rsidRPr="00DC2959">
        <w:rPr>
          <w:i/>
          <w:iCs/>
        </w:rPr>
        <w:t>A system under strain: the sustainability of local government.</w:t>
      </w:r>
      <w:r w:rsidRPr="00DC2959">
        <w:t xml:space="preserve"> Available at: </w:t>
      </w:r>
      <w:hyperlink r:id="rId17" w:history="1">
        <w:r w:rsidRPr="00DC2959">
          <w:rPr>
            <w:color w:val="467886" w:themeColor="hyperlink"/>
            <w:u w:val="single"/>
          </w:rPr>
          <w:t>https://research.senedd.wales/research-articles/a-system-under-strain-the-sustainability-of-local-government/</w:t>
        </w:r>
      </w:hyperlink>
      <w:r w:rsidRPr="00DC2959">
        <w:t xml:space="preserve"> [Accessed: 19 June 2026].</w:t>
      </w:r>
    </w:p>
    <w:p w14:paraId="689F59D1" w14:textId="77777777" w:rsidR="00DC2959" w:rsidRPr="00DC2959" w:rsidRDefault="00DC2959" w:rsidP="00DC2959">
      <w:pPr>
        <w:spacing w:after="160"/>
      </w:pPr>
      <w:r w:rsidRPr="00DC2959">
        <w:t>Boyne, G.A. (2002) ‘Public and private management: what’s the difference?.’  </w:t>
      </w:r>
      <w:r w:rsidRPr="00DC2959">
        <w:rPr>
          <w:i/>
          <w:iCs/>
        </w:rPr>
        <w:t>Journal of management studies</w:t>
      </w:r>
      <w:r w:rsidRPr="00DC2959">
        <w:t>, </w:t>
      </w:r>
      <w:r w:rsidRPr="00DC2959">
        <w:rPr>
          <w:i/>
          <w:iCs/>
        </w:rPr>
        <w:t>39</w:t>
      </w:r>
      <w:r w:rsidRPr="00DC2959">
        <w:t xml:space="preserve">(1), pp.97-122. Available at: </w:t>
      </w:r>
      <w:hyperlink r:id="rId18" w:history="1">
        <w:r w:rsidRPr="00DC2959">
          <w:rPr>
            <w:color w:val="467886" w:themeColor="hyperlink"/>
            <w:u w:val="single"/>
          </w:rPr>
          <w:t>https://onlinelibrary.wiley.com/doi/abs/10.1111/1467-6486.00284</w:t>
        </w:r>
      </w:hyperlink>
      <w:r w:rsidRPr="00DC2959">
        <w:t xml:space="preserve"> [Accessed: 19 June 2026]. </w:t>
      </w:r>
    </w:p>
    <w:p w14:paraId="44459778" w14:textId="77777777" w:rsidR="00DC2959" w:rsidRPr="00DC2959" w:rsidRDefault="00DC2959" w:rsidP="00DC2959">
      <w:pPr>
        <w:spacing w:after="160"/>
      </w:pPr>
      <w:r w:rsidRPr="00DC2959">
        <w:t>Braun, V. and Clarke, V. (2006) ‘Using thematic analysis in psychology.’ </w:t>
      </w:r>
      <w:r w:rsidRPr="00DC2959">
        <w:rPr>
          <w:i/>
          <w:iCs/>
        </w:rPr>
        <w:t>Qualitative research in psychology</w:t>
      </w:r>
      <w:r w:rsidRPr="00DC2959">
        <w:t>, </w:t>
      </w:r>
      <w:r w:rsidRPr="00DC2959">
        <w:rPr>
          <w:i/>
          <w:iCs/>
        </w:rPr>
        <w:t>3</w:t>
      </w:r>
      <w:r w:rsidRPr="00DC2959">
        <w:t xml:space="preserve">(2), pp.77-101. Available at: </w:t>
      </w:r>
      <w:hyperlink r:id="rId19" w:history="1">
        <w:r w:rsidRPr="00DC2959">
          <w:rPr>
            <w:color w:val="467886" w:themeColor="hyperlink"/>
            <w:u w:val="single"/>
          </w:rPr>
          <w:t>https://www.tandfonline.com/doi/epdf/10.1191/1478088706qp063oa?needAccess=true</w:t>
        </w:r>
      </w:hyperlink>
      <w:r w:rsidRPr="00DC2959">
        <w:t xml:space="preserve"> [Accessed: 15 June 2026].</w:t>
      </w:r>
    </w:p>
    <w:p w14:paraId="3CD0A9B1" w14:textId="77777777" w:rsidR="00DC2959" w:rsidRPr="00DC2959" w:rsidRDefault="00DC2959" w:rsidP="00DC2959">
      <w:pPr>
        <w:spacing w:after="160"/>
      </w:pPr>
      <w:r w:rsidRPr="00DC2959">
        <w:t xml:space="preserve">Bryman, A. (2016) </w:t>
      </w:r>
      <w:r w:rsidRPr="00DC2959">
        <w:rPr>
          <w:i/>
          <w:iCs/>
        </w:rPr>
        <w:t>Social Research Methods</w:t>
      </w:r>
      <w:r w:rsidRPr="00DC2959">
        <w:t xml:space="preserve"> (Fifth ed.). London: Oxford University Press. </w:t>
      </w:r>
    </w:p>
    <w:p w14:paraId="2C0AAFA3" w14:textId="77777777" w:rsidR="00DC2959" w:rsidRPr="00DC2959" w:rsidRDefault="00DC2959" w:rsidP="00DC2959">
      <w:pPr>
        <w:spacing w:after="160"/>
      </w:pPr>
      <w:r w:rsidRPr="00DC2959">
        <w:t xml:space="preserve">Cabinet Office (2020) </w:t>
      </w:r>
      <w:r w:rsidRPr="00DC2959">
        <w:rPr>
          <w:i/>
          <w:iCs/>
        </w:rPr>
        <w:t xml:space="preserve">Organisational Effectiveness and Collaboration Across the System: Literature Review Summary by Dr Martin King, Professor Rob Wilson, Sophie Wilson. </w:t>
      </w:r>
      <w:r w:rsidRPr="00DC2959">
        <w:t xml:space="preserve">Available at: </w:t>
      </w:r>
      <w:hyperlink r:id="rId20" w:history="1">
        <w:r w:rsidRPr="00DC2959">
          <w:rPr>
            <w:color w:val="467886" w:themeColor="hyperlink"/>
            <w:u w:val="single"/>
          </w:rPr>
          <w:t>https://www.gov.uk/government/publications/nlc-public-service-leadership-literature-reviews/organisational-effectiveness-and-collaboration-</w:t>
        </w:r>
        <w:r w:rsidRPr="00DC2959">
          <w:rPr>
            <w:color w:val="467886" w:themeColor="hyperlink"/>
            <w:u w:val="single"/>
          </w:rPr>
          <w:lastRenderedPageBreak/>
          <w:t>across-the-system-literature-review-summary-by-dr-martin-king-professor-rob-wilson-sophie-wilson</w:t>
        </w:r>
      </w:hyperlink>
      <w:r w:rsidRPr="00DC2959">
        <w:t xml:space="preserve"> [Accessed: 12 June 2026].</w:t>
      </w:r>
    </w:p>
    <w:p w14:paraId="3100CCDE" w14:textId="77777777" w:rsidR="00DC2959" w:rsidRPr="00DC2959" w:rsidRDefault="00DC2959" w:rsidP="00DC2959">
      <w:pPr>
        <w:spacing w:after="160"/>
      </w:pPr>
      <w:r w:rsidRPr="00DC2959">
        <w:t xml:space="preserve">Carter, I. and MacKillop, E. (2023) ‘Can we promote plural local pathways to sustainable development? Insights from the implementation of Wales's Future Generations Act.’ </w:t>
      </w:r>
      <w:r w:rsidRPr="00DC2959">
        <w:rPr>
          <w:i/>
          <w:iCs/>
        </w:rPr>
        <w:t>Journal of Environmental Policy &amp; Planning</w:t>
      </w:r>
      <w:r w:rsidRPr="00DC2959">
        <w:t xml:space="preserve">, 25(5), pp. 554–569. Available at: </w:t>
      </w:r>
      <w:hyperlink r:id="rId21" w:history="1">
        <w:r w:rsidRPr="00DC2959">
          <w:rPr>
            <w:color w:val="467886" w:themeColor="hyperlink"/>
            <w:u w:val="single"/>
          </w:rPr>
          <w:t>https://www.tandfonline.com/doi/full/10.1080/1523908X.2023.2221182</w:t>
        </w:r>
      </w:hyperlink>
      <w:r w:rsidRPr="00DC2959">
        <w:t xml:space="preserve"> [Accessed: 13 June 2026]. </w:t>
      </w:r>
    </w:p>
    <w:p w14:paraId="06C03386" w14:textId="77777777" w:rsidR="00DC2959" w:rsidRPr="00DC2959" w:rsidRDefault="00DC2959" w:rsidP="00DC2959">
      <w:pPr>
        <w:spacing w:after="160"/>
      </w:pPr>
      <w:r w:rsidRPr="00DC2959">
        <w:t>Cooper, C. and Lhussier, M. (2026) ‘Beyond ‘firefighting’ health inequalities in times of austerity: local authorities as ambidextrous organisations.’ Perspectives in Public Health. 2026. Available at: https://doi.org/10.1177/17579139251412212 [Accessed: 6 June 2026].</w:t>
      </w:r>
    </w:p>
    <w:p w14:paraId="16854B1D" w14:textId="77777777" w:rsidR="00DC2959" w:rsidRPr="00DC2959" w:rsidRDefault="00DC2959" w:rsidP="00DC2959">
      <w:pPr>
        <w:spacing w:after="160"/>
      </w:pPr>
      <w:r w:rsidRPr="00DC2959">
        <w:t>Danaeefard, H., Ardelan, O., and Danaeefard, M.K. (2025) Doing Critical Realist Research: An Innovative Methodology for Organizational Studies. </w:t>
      </w:r>
      <w:r w:rsidRPr="00DC2959">
        <w:rPr>
          <w:i/>
          <w:iCs/>
        </w:rPr>
        <w:t>International Journal of Qualitative Methods</w:t>
      </w:r>
      <w:r w:rsidRPr="00DC2959">
        <w:t xml:space="preserve">, 24. Available at: </w:t>
      </w:r>
      <w:hyperlink r:id="rId22" w:history="1">
        <w:r w:rsidRPr="00DC2959">
          <w:rPr>
            <w:color w:val="467886" w:themeColor="hyperlink"/>
            <w:u w:val="single"/>
          </w:rPr>
          <w:t>https://journals.sagepub.com/doi/full/10.1177/16094069251369309</w:t>
        </w:r>
      </w:hyperlink>
      <w:r w:rsidRPr="00DC2959">
        <w:t xml:space="preserve"> [Accessed: 22 June 2026].</w:t>
      </w:r>
    </w:p>
    <w:p w14:paraId="129F4A31" w14:textId="77777777" w:rsidR="00DC2959" w:rsidRPr="00DC2959" w:rsidRDefault="00DC2959" w:rsidP="00DC2959">
      <w:pPr>
        <w:spacing w:after="160"/>
      </w:pPr>
      <w:r w:rsidRPr="00DC2959">
        <w:t xml:space="preserve">Danermark, B., Ekström, M., Jakobsen, L., and Karlsson, J. C. (2019) </w:t>
      </w:r>
      <w:r w:rsidRPr="00DC2959">
        <w:rPr>
          <w:i/>
          <w:iCs/>
        </w:rPr>
        <w:t>Explaining Society: Critical Realism in the Social Sciences</w:t>
      </w:r>
      <w:r w:rsidRPr="00DC2959">
        <w:t xml:space="preserve">. London: Routledge. </w:t>
      </w:r>
    </w:p>
    <w:p w14:paraId="03EDE530" w14:textId="77777777" w:rsidR="00DC2959" w:rsidRPr="00DC2959" w:rsidRDefault="00DC2959" w:rsidP="00DC2959">
      <w:pPr>
        <w:spacing w:after="160"/>
      </w:pPr>
      <w:r w:rsidRPr="00DC2959">
        <w:t xml:space="preserve">Davies, H. (2016) ‘The well-being of future generations (Wales) act 2015: duties or aspirations?.’ </w:t>
      </w:r>
      <w:r w:rsidRPr="00DC2959">
        <w:rPr>
          <w:i/>
          <w:iCs/>
        </w:rPr>
        <w:t>Environmental Law Review</w:t>
      </w:r>
      <w:r w:rsidRPr="00DC2959">
        <w:t>, </w:t>
      </w:r>
      <w:r w:rsidRPr="00DC2959">
        <w:rPr>
          <w:i/>
          <w:iCs/>
        </w:rPr>
        <w:t>18</w:t>
      </w:r>
      <w:r w:rsidRPr="00DC2959">
        <w:t xml:space="preserve">(1), pp.41-56. Available at: </w:t>
      </w:r>
      <w:hyperlink r:id="rId23" w:history="1">
        <w:r w:rsidRPr="00DC2959">
          <w:rPr>
            <w:color w:val="467886" w:themeColor="hyperlink"/>
            <w:u w:val="single"/>
          </w:rPr>
          <w:t>https://journals.sagepub.com/doi/full/10.1177/1461452916631889</w:t>
        </w:r>
      </w:hyperlink>
      <w:r w:rsidRPr="00DC2959">
        <w:t xml:space="preserve"> [Accessed: 13 June 2026].</w:t>
      </w:r>
    </w:p>
    <w:p w14:paraId="587E1C6E" w14:textId="77777777" w:rsidR="00DC2959" w:rsidRPr="00DC2959" w:rsidRDefault="00DC2959" w:rsidP="00DC2959">
      <w:pPr>
        <w:spacing w:after="160"/>
      </w:pPr>
      <w:r w:rsidRPr="00DC2959">
        <w:lastRenderedPageBreak/>
        <w:t xml:space="preserve">Downe, J. and Taylor-Collins, E. (2019) </w:t>
      </w:r>
      <w:r w:rsidRPr="00DC2959">
        <w:rPr>
          <w:i/>
          <w:iCs/>
        </w:rPr>
        <w:t>At the tipping point? Welsh local government and austerity.</w:t>
      </w:r>
      <w:r w:rsidRPr="00DC2959">
        <w:t xml:space="preserve"> Available at: </w:t>
      </w:r>
      <w:hyperlink r:id="rId24" w:history="1">
        <w:r w:rsidRPr="00DC2959">
          <w:rPr>
            <w:color w:val="467886" w:themeColor="hyperlink"/>
            <w:u w:val="single"/>
          </w:rPr>
          <w:t>https://wcpp.org.uk/report/at-the-tipping-point-welsh-local-government-and-austerity/</w:t>
        </w:r>
      </w:hyperlink>
      <w:r w:rsidRPr="00DC2959">
        <w:t xml:space="preserve"> [Accessed: 13 June 2026].</w:t>
      </w:r>
    </w:p>
    <w:p w14:paraId="7915986D" w14:textId="77777777" w:rsidR="00DC2959" w:rsidRPr="00DC2959" w:rsidRDefault="00DC2959" w:rsidP="00DC2959">
      <w:pPr>
        <w:spacing w:after="160"/>
      </w:pPr>
      <w:r w:rsidRPr="00DC2959">
        <w:t xml:space="preserve">Downs, A. (1969) </w:t>
      </w:r>
      <w:r w:rsidRPr="00DC2959">
        <w:rPr>
          <w:i/>
          <w:iCs/>
        </w:rPr>
        <w:t>Inside bureaucracy</w:t>
      </w:r>
      <w:r w:rsidRPr="00DC2959">
        <w:t>. Little, Brown and Company.</w:t>
      </w:r>
      <w:r w:rsidRPr="00DC2959">
        <w:rPr>
          <w:i/>
          <w:iCs/>
        </w:rPr>
        <w:t xml:space="preserve"> </w:t>
      </w:r>
    </w:p>
    <w:p w14:paraId="4C858016" w14:textId="77777777" w:rsidR="00DC2959" w:rsidRPr="00DC2959" w:rsidRDefault="00DC2959" w:rsidP="00DC2959">
      <w:pPr>
        <w:spacing w:after="160"/>
      </w:pPr>
      <w:r w:rsidRPr="00DC2959">
        <w:t xml:space="preserve">Doz, Y., and Kosonen, M. (2008) ‘Fast Strategy: How Strategic Agility Will Help You Stay Ahead of the Game.’ Wharton School Publishing, Philadelphia. </w:t>
      </w:r>
    </w:p>
    <w:p w14:paraId="388FBAD0" w14:textId="77777777" w:rsidR="00DC2959" w:rsidRPr="00DC2959" w:rsidRDefault="00DC2959" w:rsidP="00DC2959">
      <w:pPr>
        <w:spacing w:after="160"/>
      </w:pPr>
      <w:r w:rsidRPr="00DC2959">
        <w:t>Doz, Y., and Kosonen, M. (2008b) ‘The Dynamics of Strategic Agility: Nokia’s Rollercoaster Experience.’ </w:t>
      </w:r>
      <w:r w:rsidRPr="00DC2959">
        <w:rPr>
          <w:i/>
          <w:iCs/>
        </w:rPr>
        <w:t>California Management Review</w:t>
      </w:r>
      <w:r w:rsidRPr="00DC2959">
        <w:t>, </w:t>
      </w:r>
      <w:r w:rsidRPr="00DC2959">
        <w:rPr>
          <w:i/>
          <w:iCs/>
        </w:rPr>
        <w:t>50</w:t>
      </w:r>
      <w:r w:rsidRPr="00DC2959">
        <w:t xml:space="preserve">(3), 95-118. Available at: </w:t>
      </w:r>
      <w:hyperlink r:id="rId25" w:history="1">
        <w:r w:rsidRPr="00DC2959">
          <w:rPr>
            <w:color w:val="467886" w:themeColor="hyperlink"/>
            <w:u w:val="single"/>
          </w:rPr>
          <w:t>https://journals.sagepub.com/doi/10.2307/41166447</w:t>
        </w:r>
      </w:hyperlink>
      <w:r w:rsidRPr="00DC2959">
        <w:t xml:space="preserve"> [Accessed: 9 June 2026]. </w:t>
      </w:r>
    </w:p>
    <w:p w14:paraId="7CFE89D6" w14:textId="77777777" w:rsidR="00DC2959" w:rsidRPr="00DC2959" w:rsidRDefault="00DC2959" w:rsidP="00DC2959">
      <w:pPr>
        <w:spacing w:after="160"/>
      </w:pPr>
      <w:r w:rsidRPr="00DC2959">
        <w:t xml:space="preserve">Doz, Y., and Kosonen, M. (2010) ‘Embedding strategic agility: A leadership agenda for accelerating business model renewal.’ </w:t>
      </w:r>
      <w:r w:rsidRPr="00DC2959">
        <w:rPr>
          <w:i/>
          <w:iCs/>
        </w:rPr>
        <w:t>Long Range Planning</w:t>
      </w:r>
      <w:r w:rsidRPr="00DC2959">
        <w:t xml:space="preserve">, </w:t>
      </w:r>
      <w:r w:rsidRPr="00DC2959">
        <w:rPr>
          <w:i/>
          <w:iCs/>
        </w:rPr>
        <w:t>43</w:t>
      </w:r>
      <w:r w:rsidRPr="00DC2959">
        <w:t xml:space="preserve">(2-3), 370-382. Available at: </w:t>
      </w:r>
      <w:hyperlink r:id="rId26" w:history="1">
        <w:r w:rsidRPr="00DC2959">
          <w:rPr>
            <w:color w:val="467886" w:themeColor="hyperlink"/>
            <w:u w:val="single"/>
          </w:rPr>
          <w:t>https://www.sciencedirect.com/science/article/abs/pii/S0024630109000570?via%3Dihub</w:t>
        </w:r>
      </w:hyperlink>
      <w:r w:rsidRPr="00DC2959">
        <w:t xml:space="preserve"> [Accessed: 7 June 2026]</w:t>
      </w:r>
    </w:p>
    <w:p w14:paraId="4BFAD37F" w14:textId="77777777" w:rsidR="00DC2959" w:rsidRPr="00DC2959" w:rsidRDefault="00DC2959" w:rsidP="00DC2959">
      <w:pPr>
        <w:spacing w:after="160"/>
      </w:pPr>
      <w:r w:rsidRPr="00DC2959">
        <w:t>Duchek, S. (2020) ‘Organizational resilience: a capability-based conceptualization.’ </w:t>
      </w:r>
      <w:r w:rsidRPr="00DC2959">
        <w:rPr>
          <w:i/>
          <w:iCs/>
        </w:rPr>
        <w:t>Business research</w:t>
      </w:r>
      <w:r w:rsidRPr="00DC2959">
        <w:t>, </w:t>
      </w:r>
      <w:r w:rsidRPr="00DC2959">
        <w:rPr>
          <w:i/>
          <w:iCs/>
        </w:rPr>
        <w:t>13</w:t>
      </w:r>
      <w:r w:rsidRPr="00DC2959">
        <w:t xml:space="preserve">(1), pp.215-246. Available at: </w:t>
      </w:r>
      <w:hyperlink r:id="rId27" w:history="1">
        <w:r w:rsidRPr="00DC2959">
          <w:rPr>
            <w:color w:val="467886" w:themeColor="hyperlink"/>
            <w:u w:val="single"/>
          </w:rPr>
          <w:t>https://link.springer.com/article/10.1007/s40685-019-0085-7</w:t>
        </w:r>
      </w:hyperlink>
      <w:r w:rsidRPr="00DC2959">
        <w:t xml:space="preserve"> [Accessed: 9 June 2026].</w:t>
      </w:r>
    </w:p>
    <w:p w14:paraId="7090999B" w14:textId="77777777" w:rsidR="00DC2959" w:rsidRPr="00DC2959" w:rsidRDefault="00DC2959" w:rsidP="00DC2959">
      <w:pPr>
        <w:spacing w:after="160"/>
      </w:pPr>
      <w:r w:rsidRPr="00DC2959">
        <w:t xml:space="preserve">Easton, G. (2010) ‘Critical Realism in Case Study Research.’ </w:t>
      </w:r>
      <w:r w:rsidRPr="00DC2959">
        <w:rPr>
          <w:i/>
          <w:iCs/>
        </w:rPr>
        <w:t>Industrial Marketing Management</w:t>
      </w:r>
      <w:r w:rsidRPr="00DC2959">
        <w:t xml:space="preserve">, 39(1), 118–128. Available at: </w:t>
      </w:r>
      <w:hyperlink r:id="rId28" w:history="1">
        <w:r w:rsidRPr="00DC2959">
          <w:rPr>
            <w:color w:val="467886" w:themeColor="hyperlink"/>
            <w:u w:val="single"/>
          </w:rPr>
          <w:t>https://www.sciencedirect.com/science/article/pii/S0019850109001424</w:t>
        </w:r>
      </w:hyperlink>
      <w:r w:rsidRPr="00DC2959">
        <w:t xml:space="preserve"> [Accessed: 13 June 2026].</w:t>
      </w:r>
    </w:p>
    <w:p w14:paraId="7661D3C7" w14:textId="77777777" w:rsidR="00DC2959" w:rsidRPr="00DC2959" w:rsidRDefault="00DC2959" w:rsidP="00DC2959">
      <w:pPr>
        <w:spacing w:after="160"/>
      </w:pPr>
      <w:r w:rsidRPr="00DC2959">
        <w:lastRenderedPageBreak/>
        <w:t xml:space="preserve">Eisenhardt, K. M. (1989) ‘Building Theories from Case Study Research.’ </w:t>
      </w:r>
      <w:r w:rsidRPr="00DC2959">
        <w:rPr>
          <w:i/>
          <w:iCs/>
        </w:rPr>
        <w:t>The Academy of Management Review</w:t>
      </w:r>
      <w:r w:rsidRPr="00DC2959">
        <w:t xml:space="preserve">, </w:t>
      </w:r>
      <w:r w:rsidRPr="00DC2959">
        <w:rPr>
          <w:i/>
          <w:iCs/>
        </w:rPr>
        <w:t>14</w:t>
      </w:r>
      <w:r w:rsidRPr="00DC2959">
        <w:t xml:space="preserve">(4), 532–550. Available at: </w:t>
      </w:r>
      <w:hyperlink r:id="rId29" w:history="1">
        <w:r w:rsidRPr="00DC2959">
          <w:rPr>
            <w:color w:val="467886" w:themeColor="hyperlink"/>
            <w:u w:val="single"/>
          </w:rPr>
          <w:t>https://www.jstor.org/stable/258557?origin=crossref&amp;seq=4</w:t>
        </w:r>
      </w:hyperlink>
      <w:r w:rsidRPr="00DC2959">
        <w:t xml:space="preserve"> [Accessed: 15 June 2026].</w:t>
      </w:r>
    </w:p>
    <w:p w14:paraId="22067EE4" w14:textId="77777777" w:rsidR="00DC2959" w:rsidRPr="00DC2959" w:rsidRDefault="00DC2959" w:rsidP="00DC2959">
      <w:pPr>
        <w:spacing w:after="160"/>
      </w:pPr>
      <w:r w:rsidRPr="00DC2959">
        <w:t xml:space="preserve">Ferry, L., Coombs, H. and Eckersley, P., (2017) ‘Budgetary stewardship, innovation and working culture: Identifying the missing ingredient in English and Welsh local authorities’ recipes for austerity management.’ </w:t>
      </w:r>
      <w:r w:rsidRPr="00DC2959">
        <w:rPr>
          <w:i/>
          <w:iCs/>
        </w:rPr>
        <w:t>Financial Accountability &amp; Management</w:t>
      </w:r>
      <w:r w:rsidRPr="00DC2959">
        <w:t>, </w:t>
      </w:r>
      <w:r w:rsidRPr="00DC2959">
        <w:rPr>
          <w:i/>
          <w:iCs/>
        </w:rPr>
        <w:t>33</w:t>
      </w:r>
      <w:r w:rsidRPr="00DC2959">
        <w:t xml:space="preserve">(2), pp.220-243. Available at: </w:t>
      </w:r>
      <w:hyperlink r:id="rId30" w:history="1">
        <w:r w:rsidRPr="00DC2959">
          <w:rPr>
            <w:color w:val="467886" w:themeColor="hyperlink"/>
            <w:u w:val="single"/>
          </w:rPr>
          <w:t>https://onlinelibrary.wiley.com/doi/abs/10.1111/faam.12117</w:t>
        </w:r>
      </w:hyperlink>
      <w:r w:rsidRPr="00DC2959">
        <w:t xml:space="preserve"> [Accessed: 13 June 2026]</w:t>
      </w:r>
    </w:p>
    <w:p w14:paraId="6E3EC592" w14:textId="77777777" w:rsidR="00DC2959" w:rsidRPr="00DC2959" w:rsidRDefault="00DC2959" w:rsidP="00DC2959">
      <w:pPr>
        <w:spacing w:after="160"/>
      </w:pPr>
      <w:r w:rsidRPr="00DC2959">
        <w:t>Fleetwood, S. (2005) ‘Ontology in organization and management studies: A critical realist perspective.’ </w:t>
      </w:r>
      <w:r w:rsidRPr="00DC2959">
        <w:rPr>
          <w:i/>
          <w:iCs/>
        </w:rPr>
        <w:t>Organization</w:t>
      </w:r>
      <w:r w:rsidRPr="00DC2959">
        <w:t>, </w:t>
      </w:r>
      <w:r w:rsidRPr="00DC2959">
        <w:rPr>
          <w:i/>
          <w:iCs/>
        </w:rPr>
        <w:t>12</w:t>
      </w:r>
      <w:r w:rsidRPr="00DC2959">
        <w:t xml:space="preserve">(2), pp.197-222. Available at: </w:t>
      </w:r>
      <w:hyperlink r:id="rId31" w:history="1">
        <w:r w:rsidRPr="00DC2959">
          <w:rPr>
            <w:color w:val="467886" w:themeColor="hyperlink"/>
            <w:u w:val="single"/>
          </w:rPr>
          <w:t>https://journals.sagepub.com/doi/abs/10.1177/1350508405051188</w:t>
        </w:r>
      </w:hyperlink>
      <w:r w:rsidRPr="00DC2959">
        <w:t xml:space="preserve"> [Accessed: 13 June 2026].</w:t>
      </w:r>
    </w:p>
    <w:p w14:paraId="792E5C95" w14:textId="77777777" w:rsidR="00DC2959" w:rsidRPr="00DC2959" w:rsidRDefault="00DC2959" w:rsidP="00DC2959">
      <w:pPr>
        <w:spacing w:after="160"/>
      </w:pPr>
      <w:r w:rsidRPr="00DC2959">
        <w:t xml:space="preserve">Fletcher, A. J. (2016) ‘Applying Critical Realism in Qualitative Research: Methodology Meets Method.’ </w:t>
      </w:r>
      <w:r w:rsidRPr="00DC2959">
        <w:rPr>
          <w:i/>
          <w:iCs/>
        </w:rPr>
        <w:t>International Journal of Social Research Methodology</w:t>
      </w:r>
      <w:r w:rsidRPr="00DC2959">
        <w:t xml:space="preserve">, 20(2), 181–194. Available at: </w:t>
      </w:r>
      <w:hyperlink r:id="rId32" w:history="1">
        <w:r w:rsidRPr="00DC2959">
          <w:rPr>
            <w:color w:val="467886" w:themeColor="hyperlink"/>
            <w:u w:val="single"/>
          </w:rPr>
          <w:t>https://www.tandfonline.com/doi/abs/10.1080/13645579.2016.1144401%4010.1080/tfocoll.2025.0.issue-methodological-guidance-doing-realist-enquiry</w:t>
        </w:r>
      </w:hyperlink>
      <w:r w:rsidRPr="00DC2959">
        <w:t xml:space="preserve"> [Accessed: 13 June 2026].</w:t>
      </w:r>
    </w:p>
    <w:p w14:paraId="02A2CBB9" w14:textId="77777777" w:rsidR="00DC2959" w:rsidRPr="00DC2959" w:rsidRDefault="00DC2959" w:rsidP="00DC2959">
      <w:pPr>
        <w:spacing w:after="160"/>
      </w:pPr>
      <w:r w:rsidRPr="00DC2959">
        <w:t xml:space="preserve">Future Generations Commissioner (2025) </w:t>
      </w:r>
      <w:r w:rsidRPr="00DC2959">
        <w:rPr>
          <w:i/>
          <w:iCs/>
        </w:rPr>
        <w:t>Future Generations Report 2025: How public bodies are responding and progressing the recommendations.</w:t>
      </w:r>
      <w:r w:rsidRPr="00DC2959">
        <w:t xml:space="preserve"> Available at: </w:t>
      </w:r>
      <w:hyperlink r:id="rId33" w:history="1">
        <w:r w:rsidRPr="00DC2959">
          <w:rPr>
            <w:color w:val="467886" w:themeColor="hyperlink"/>
            <w:u w:val="single"/>
          </w:rPr>
          <w:t>https://futuregenerations.wales/cym/wp-content/uploads/2026/03/Public-Body-Responses-to-FG-Report.pdf</w:t>
        </w:r>
      </w:hyperlink>
      <w:r w:rsidRPr="00DC2959">
        <w:t xml:space="preserve"> [Accessed: 22 June 2026].</w:t>
      </w:r>
    </w:p>
    <w:p w14:paraId="3A6E3AF8" w14:textId="77777777" w:rsidR="00DC2959" w:rsidRPr="00DC2959" w:rsidRDefault="00DC2959" w:rsidP="00DC2959">
      <w:pPr>
        <w:spacing w:after="160"/>
      </w:pPr>
      <w:r w:rsidRPr="00DC2959">
        <w:lastRenderedPageBreak/>
        <w:t>Hitchcock, J. (2026)</w:t>
      </w:r>
      <w:r w:rsidRPr="00DC2959">
        <w:rPr>
          <w:i/>
          <w:iCs/>
        </w:rPr>
        <w:t xml:space="preserve"> Learning from COVID-19: Is Wales ready for the next emergency? </w:t>
      </w:r>
      <w:r w:rsidRPr="00DC2959">
        <w:t xml:space="preserve">Available at: </w:t>
      </w:r>
      <w:hyperlink r:id="rId34" w:history="1">
        <w:r w:rsidRPr="00DC2959">
          <w:rPr>
            <w:color w:val="467886" w:themeColor="hyperlink"/>
            <w:u w:val="single"/>
          </w:rPr>
          <w:t>https://research.senedd.wales/research-articles/learning-from-covid-19-is-wales-ready-for-the-next-emergency/</w:t>
        </w:r>
      </w:hyperlink>
      <w:r w:rsidRPr="00DC2959">
        <w:t xml:space="preserve"> [Accessed: 22 June 2026].</w:t>
      </w:r>
    </w:p>
    <w:p w14:paraId="31D90FDE" w14:textId="77777777" w:rsidR="00DC2959" w:rsidRPr="00DC2959" w:rsidRDefault="00DC2959" w:rsidP="00DC2959">
      <w:pPr>
        <w:spacing w:after="160"/>
        <w:rPr>
          <w:b/>
          <w:bCs/>
        </w:rPr>
      </w:pPr>
      <w:r w:rsidRPr="00DC2959">
        <w:t xml:space="preserve">Hutt, J. (2025) Written Statement: The Welsh Government response to the Future Generation Commissioner’s Future Generations Report 2025 [Cabinet Statement] 17 July 2025. Available at: </w:t>
      </w:r>
      <w:hyperlink r:id="rId35" w:history="1">
        <w:r w:rsidRPr="00DC2959">
          <w:rPr>
            <w:color w:val="467886" w:themeColor="hyperlink"/>
            <w:u w:val="single"/>
          </w:rPr>
          <w:t>https://www.gov.wales/written-statement-welsh-government-response-future-generation-commissioners-future-generations</w:t>
        </w:r>
      </w:hyperlink>
      <w:r w:rsidRPr="00DC2959">
        <w:t xml:space="preserve"> [Accessed: 22 June 2026].</w:t>
      </w:r>
      <w:r w:rsidRPr="00DC2959">
        <w:rPr>
          <w:b/>
          <w:bCs/>
        </w:rPr>
        <w:t xml:space="preserve"> </w:t>
      </w:r>
    </w:p>
    <w:p w14:paraId="6F4284F9" w14:textId="77777777" w:rsidR="00DC2959" w:rsidRPr="00DC2959" w:rsidRDefault="00DC2959" w:rsidP="00DC2959">
      <w:pPr>
        <w:spacing w:after="160"/>
      </w:pPr>
      <w:r w:rsidRPr="00DC2959">
        <w:t>Kaiser, K. (2009) ‘Protecting respondent confidentiality in qualitative research.’ </w:t>
      </w:r>
      <w:r w:rsidRPr="00DC2959">
        <w:rPr>
          <w:i/>
          <w:iCs/>
        </w:rPr>
        <w:t>Qualitative health research</w:t>
      </w:r>
      <w:r w:rsidRPr="00DC2959">
        <w:t>, </w:t>
      </w:r>
      <w:r w:rsidRPr="00DC2959">
        <w:rPr>
          <w:i/>
          <w:iCs/>
        </w:rPr>
        <w:t>19</w:t>
      </w:r>
      <w:r w:rsidRPr="00DC2959">
        <w:t xml:space="preserve">(11), pp.1632-1641. Available at: </w:t>
      </w:r>
      <w:hyperlink r:id="rId36" w:history="1">
        <w:r w:rsidRPr="00DC2959">
          <w:rPr>
            <w:color w:val="467886" w:themeColor="hyperlink"/>
            <w:u w:val="single"/>
          </w:rPr>
          <w:t>https://journals.sagepub.com/doi/epdf/10.1177/1049732309350879</w:t>
        </w:r>
      </w:hyperlink>
      <w:r w:rsidRPr="00DC2959">
        <w:t xml:space="preserve"> [Accessed: 19 June 2026].</w:t>
      </w:r>
    </w:p>
    <w:p w14:paraId="65F42FAD" w14:textId="77777777" w:rsidR="00DC2959" w:rsidRPr="00DC2959" w:rsidRDefault="00DC2959" w:rsidP="00DC2959">
      <w:pPr>
        <w:spacing w:after="160"/>
      </w:pPr>
      <w:r w:rsidRPr="00DC2959">
        <w:t xml:space="preserve">Lenz, A. (2024) ‘Managing crises as if no one is watching? Governance dilemmas from a public perspective.’ </w:t>
      </w:r>
      <w:r w:rsidRPr="00DC2959">
        <w:rPr>
          <w:i/>
          <w:iCs/>
        </w:rPr>
        <w:t>Public Administration.</w:t>
      </w:r>
      <w:r w:rsidRPr="00DC2959">
        <w:t xml:space="preserve"> Available at: </w:t>
      </w:r>
      <w:hyperlink r:id="rId37" w:history="1">
        <w:r w:rsidRPr="00DC2959">
          <w:rPr>
            <w:color w:val="467886" w:themeColor="hyperlink"/>
            <w:u w:val="single"/>
          </w:rPr>
          <w:t>https://www.researchgate.net/publication/377436091_Managing_crises_as_if_no_one_is_watching_Governance_dilemmas_from_a_public_perspective</w:t>
        </w:r>
      </w:hyperlink>
      <w:r w:rsidRPr="00DC2959">
        <w:t xml:space="preserve"> [Accessed: 10 June 2026].</w:t>
      </w:r>
    </w:p>
    <w:p w14:paraId="63D5FD5A" w14:textId="77777777" w:rsidR="00DC2959" w:rsidRPr="00DC2959" w:rsidRDefault="00DC2959" w:rsidP="00DC2959">
      <w:pPr>
        <w:spacing w:after="160"/>
      </w:pPr>
      <w:r w:rsidRPr="00DC2959">
        <w:t xml:space="preserve">Local Government Association (2020) </w:t>
      </w:r>
      <w:r w:rsidRPr="00DC2959">
        <w:rPr>
          <w:i/>
          <w:iCs/>
        </w:rPr>
        <w:t xml:space="preserve">Fragmented Funding – report. </w:t>
      </w:r>
      <w:r w:rsidRPr="00DC2959">
        <w:t xml:space="preserve">Available at: </w:t>
      </w:r>
      <w:hyperlink r:id="rId38" w:history="1">
        <w:r w:rsidRPr="00DC2959">
          <w:rPr>
            <w:color w:val="467886" w:themeColor="hyperlink"/>
            <w:u w:val="single"/>
          </w:rPr>
          <w:t>https://www.local.gov.uk/publications/fragmented-funding-report</w:t>
        </w:r>
      </w:hyperlink>
      <w:r w:rsidRPr="00DC2959">
        <w:t xml:space="preserve"> [Accessed: 11 June 2026].</w:t>
      </w:r>
    </w:p>
    <w:p w14:paraId="2365490D" w14:textId="77777777" w:rsidR="00DC2959" w:rsidRPr="00DC2959" w:rsidRDefault="00DC2959" w:rsidP="00DC2959">
      <w:pPr>
        <w:spacing w:after="160"/>
      </w:pPr>
      <w:r w:rsidRPr="00DC2959">
        <w:t xml:space="preserve">Local Government Association (2025) </w:t>
      </w:r>
      <w:r w:rsidRPr="00DC2959">
        <w:rPr>
          <w:i/>
          <w:iCs/>
        </w:rPr>
        <w:t xml:space="preserve">Spending Review 2025. </w:t>
      </w:r>
      <w:r w:rsidRPr="00DC2959">
        <w:t xml:space="preserve">Available at: </w:t>
      </w:r>
      <w:hyperlink r:id="rId39" w:history="1">
        <w:r w:rsidRPr="00DC2959">
          <w:rPr>
            <w:color w:val="467886" w:themeColor="hyperlink"/>
            <w:u w:val="single"/>
          </w:rPr>
          <w:t>https://www.local.gov.uk/about/campaigns/spending-review-2025</w:t>
        </w:r>
      </w:hyperlink>
      <w:r w:rsidRPr="00DC2959">
        <w:t xml:space="preserve"> [Accessed: 19 June 2026].</w:t>
      </w:r>
    </w:p>
    <w:p w14:paraId="7FB04C03" w14:textId="77777777" w:rsidR="00DC2959" w:rsidRPr="00DC2959" w:rsidRDefault="00DC2959" w:rsidP="00DC2959">
      <w:pPr>
        <w:spacing w:after="160"/>
      </w:pPr>
      <w:r w:rsidRPr="00DC2959">
        <w:lastRenderedPageBreak/>
        <w:t xml:space="preserve">Ludviga, I., and Kalvina, A. (2025) Can Strategic Agility Help Retain Public Sector Employees in Times of Uncertainty? A Longitudinal Study. </w:t>
      </w:r>
      <w:r w:rsidRPr="00DC2959">
        <w:rPr>
          <w:i/>
          <w:iCs/>
        </w:rPr>
        <w:t>Administrative Sciences</w:t>
      </w:r>
      <w:r w:rsidRPr="00DC2959">
        <w:t xml:space="preserve">. 15(5), 165. Available at: </w:t>
      </w:r>
      <w:hyperlink r:id="rId40" w:history="1">
        <w:r w:rsidRPr="00DC2959">
          <w:rPr>
            <w:color w:val="467886" w:themeColor="hyperlink"/>
            <w:u w:val="single"/>
          </w:rPr>
          <w:t>https://www.mdpi.com/2076-3387/15/5/165</w:t>
        </w:r>
      </w:hyperlink>
      <w:r w:rsidRPr="00DC2959">
        <w:t xml:space="preserve"> [Accessed: 22 June 2026]. </w:t>
      </w:r>
    </w:p>
    <w:p w14:paraId="29611C8E" w14:textId="77777777" w:rsidR="00DC2959" w:rsidRPr="00DC2959" w:rsidRDefault="00DC2959" w:rsidP="00DC2959">
      <w:pPr>
        <w:spacing w:after="160"/>
      </w:pPr>
      <w:r w:rsidRPr="00DC2959">
        <w:t xml:space="preserve">Macikene, U., Pugh, K., and Studdert, J. (2024) </w:t>
      </w:r>
      <w:r w:rsidRPr="00DC2959">
        <w:rPr>
          <w:i/>
          <w:iCs/>
        </w:rPr>
        <w:t xml:space="preserve">How Local Authorities Are Thinking Differently Under Unprecedented Financial Pressures. </w:t>
      </w:r>
      <w:r w:rsidRPr="00DC2959">
        <w:t>Available at:</w:t>
      </w:r>
      <w:r w:rsidRPr="00DC2959">
        <w:rPr>
          <w:i/>
          <w:iCs/>
        </w:rPr>
        <w:t xml:space="preserve"> </w:t>
      </w:r>
      <w:hyperlink r:id="rId41" w:history="1">
        <w:r w:rsidRPr="00DC2959">
          <w:rPr>
            <w:i/>
            <w:iCs/>
            <w:color w:val="467886" w:themeColor="hyperlink"/>
            <w:u w:val="single"/>
          </w:rPr>
          <w:t>https://www.newlocal.org.uk/articles/how-local-authorities-are-thinking-differently-under-unprecedented-financial-pressures/</w:t>
        </w:r>
      </w:hyperlink>
      <w:r w:rsidRPr="00DC2959">
        <w:t xml:space="preserve"> [Accessed: 6 June 2026].</w:t>
      </w:r>
    </w:p>
    <w:p w14:paraId="0D914B08" w14:textId="77777777" w:rsidR="00DC2959" w:rsidRPr="00DC2959" w:rsidRDefault="00DC2959" w:rsidP="00DC2959">
      <w:pPr>
        <w:spacing w:after="160"/>
      </w:pPr>
      <w:r w:rsidRPr="00DC2959">
        <w:t>Merton, R. K. (1940) ‘Bureaucratic structure and personality</w:t>
      </w:r>
      <w:r w:rsidRPr="00DC2959">
        <w:rPr>
          <w:i/>
          <w:iCs/>
        </w:rPr>
        <w:t>.’ Social Forces</w:t>
      </w:r>
      <w:r w:rsidRPr="00DC2959">
        <w:t xml:space="preserve">, Volume 18, Issue 4, May 1940, Pages 560–568. Available at: </w:t>
      </w:r>
      <w:hyperlink r:id="rId42" w:history="1">
        <w:r w:rsidRPr="00DC2959">
          <w:rPr>
            <w:color w:val="467886" w:themeColor="hyperlink"/>
            <w:u w:val="single"/>
          </w:rPr>
          <w:t>https://clarotesting.wordpress.com/wp-content/uploads/2022/06/merton-r.-social-theory-social-structure-glencoe-il-free-press-1957.pdf</w:t>
        </w:r>
      </w:hyperlink>
      <w:r w:rsidRPr="00DC2959">
        <w:t xml:space="preserve"> [Accessed: 10 June 2026].</w:t>
      </w:r>
    </w:p>
    <w:p w14:paraId="19F82469" w14:textId="77777777" w:rsidR="00DC2959" w:rsidRPr="00DC2959" w:rsidRDefault="00DC2959" w:rsidP="00DC2959">
      <w:pPr>
        <w:spacing w:after="160"/>
      </w:pPr>
      <w:r w:rsidRPr="00DC2959">
        <w:t xml:space="preserve">Netherwood, A., Flynn, A., and Lang, M. (2017) </w:t>
      </w:r>
      <w:r w:rsidRPr="00DC2959">
        <w:rPr>
          <w:i/>
          <w:iCs/>
        </w:rPr>
        <w:t>Well-being Assessments in Wales: Overview Report</w:t>
      </w:r>
      <w:r w:rsidRPr="00DC2959">
        <w:t xml:space="preserve">. Available at: </w:t>
      </w:r>
      <w:hyperlink r:id="rId43" w:history="1">
        <w:r w:rsidRPr="00DC2959">
          <w:rPr>
            <w:color w:val="467886" w:themeColor="hyperlink"/>
            <w:u w:val="single"/>
          </w:rPr>
          <w:t>https://www.futuregenerations.wales/wp-content/uploads/2017/07/Netherwood2c-Flynn2c-Lang-OFGC-Overview-Report-2.0-1.pdf</w:t>
        </w:r>
      </w:hyperlink>
      <w:r w:rsidRPr="00DC2959">
        <w:t xml:space="preserve"> [Accessed: 11 June 2026].</w:t>
      </w:r>
    </w:p>
    <w:p w14:paraId="5F9993F4" w14:textId="77777777" w:rsidR="00DC2959" w:rsidRPr="00DC2959" w:rsidRDefault="00DC2959" w:rsidP="00DC2959">
      <w:pPr>
        <w:spacing w:after="160"/>
      </w:pPr>
      <w:r w:rsidRPr="00DC2959">
        <w:t xml:space="preserve">OECD (2015) Achieving Public Sector Agility at Times of Fiscal Consolidation. Available at: </w:t>
      </w:r>
      <w:hyperlink r:id="rId44" w:history="1">
        <w:r w:rsidRPr="00DC2959">
          <w:rPr>
            <w:color w:val="467886" w:themeColor="hyperlink"/>
            <w:u w:val="single"/>
          </w:rPr>
          <w:t>https://www.oecd.org/en/publications/achieving-public-sector-agility-at-times-of-fiscal-consolidation_9789264206267-en.html</w:t>
        </w:r>
      </w:hyperlink>
      <w:r w:rsidRPr="00DC2959">
        <w:t xml:space="preserve"> [Accessed: 10 June 2026].</w:t>
      </w:r>
    </w:p>
    <w:p w14:paraId="21CDE03E" w14:textId="77777777" w:rsidR="00DC2959" w:rsidRPr="00DC2959" w:rsidRDefault="00DC2959" w:rsidP="00DC2959">
      <w:pPr>
        <w:spacing w:after="160"/>
      </w:pPr>
      <w:r w:rsidRPr="00DC2959">
        <w:t xml:space="preserve">OECD (2023) The Future Generations Act and Future Generations Commissioner for Wales. Available at: </w:t>
      </w:r>
      <w:hyperlink r:id="rId45" w:history="1">
        <w:r w:rsidRPr="00DC2959">
          <w:rPr>
            <w:color w:val="467886" w:themeColor="hyperlink"/>
            <w:u w:val="single"/>
          </w:rPr>
          <w:t>https://www.oecd.org/en/publications/well-being-knowledge-exchange-platform-kep_93d45d63-en/the-future-generations-act-and-future-generations-commissioner-for-wales_7b2a0e8c-en.html</w:t>
        </w:r>
      </w:hyperlink>
      <w:r w:rsidRPr="00DC2959">
        <w:t xml:space="preserve"> [Accessed: 6 June 2026].</w:t>
      </w:r>
    </w:p>
    <w:p w14:paraId="722073E0" w14:textId="77777777" w:rsidR="00DC2959" w:rsidRPr="00DC2959" w:rsidRDefault="00DC2959" w:rsidP="00DC2959">
      <w:pPr>
        <w:spacing w:after="160"/>
      </w:pPr>
      <w:r w:rsidRPr="00DC2959">
        <w:lastRenderedPageBreak/>
        <w:t xml:space="preserve">Orb, A., Eisenhauer, L. and Wynaden, D. (2001) ‘Ethics in qualitative research.’ </w:t>
      </w:r>
      <w:r w:rsidRPr="00DC2959">
        <w:rPr>
          <w:i/>
          <w:iCs/>
        </w:rPr>
        <w:t>Journal of nursing scholarship</w:t>
      </w:r>
      <w:r w:rsidRPr="00DC2959">
        <w:t>, </w:t>
      </w:r>
      <w:r w:rsidRPr="00DC2959">
        <w:rPr>
          <w:i/>
          <w:iCs/>
        </w:rPr>
        <w:t>33</w:t>
      </w:r>
      <w:r w:rsidRPr="00DC2959">
        <w:t xml:space="preserve">(1), pp.93-96. Available at: </w:t>
      </w:r>
      <w:hyperlink r:id="rId46" w:history="1">
        <w:r w:rsidRPr="00DC2959">
          <w:rPr>
            <w:color w:val="467886" w:themeColor="hyperlink"/>
            <w:u w:val="single"/>
          </w:rPr>
          <w:t>https://sigmapubs.onlinelibrary.wiley.com/doi/10.1111/j.1547-5069.2001.00093.x</w:t>
        </w:r>
      </w:hyperlink>
      <w:r w:rsidRPr="00DC2959">
        <w:t xml:space="preserve"> [ Accessed: 19 June 2026]. </w:t>
      </w:r>
    </w:p>
    <w:p w14:paraId="620A51E8" w14:textId="77777777" w:rsidR="00DC2959" w:rsidRPr="00DC2959" w:rsidRDefault="00DC2959" w:rsidP="00DC2959">
      <w:pPr>
        <w:spacing w:after="160"/>
      </w:pPr>
      <w:r w:rsidRPr="00DC2959">
        <w:t xml:space="preserve">Pfiffner, J.P. (2004) ‘Traditional Public Administration versus The New Public Management: Accountability versus Efficiency.’ </w:t>
      </w:r>
      <w:r w:rsidRPr="00DC2959">
        <w:rPr>
          <w:i/>
          <w:iCs/>
        </w:rPr>
        <w:t>Institutionenbildung in Regierung und Verwaltung: Festschrift fur Klaus Konig</w:t>
      </w:r>
      <w:r w:rsidRPr="00DC2959">
        <w:t xml:space="preserve">. pp. 443-454. Retrieved from: </w:t>
      </w:r>
      <w:hyperlink r:id="rId47" w:history="1">
        <w:r w:rsidRPr="00DC2959">
          <w:rPr>
            <w:color w:val="467886" w:themeColor="hyperlink"/>
            <w:u w:val="single"/>
          </w:rPr>
          <w:t>http://pfiffner.gmu.edu/files/pdfs/Book_Chapters/NewPublicMgt.doc.pdf</w:t>
        </w:r>
      </w:hyperlink>
      <w:r w:rsidRPr="00DC2959">
        <w:t xml:space="preserve"> [Accessed: 10 June 2026].</w:t>
      </w:r>
    </w:p>
    <w:p w14:paraId="40F52319" w14:textId="77777777" w:rsidR="00DC2959" w:rsidRPr="00DC2959" w:rsidRDefault="00DC2959" w:rsidP="00DC2959">
      <w:pPr>
        <w:spacing w:after="160"/>
      </w:pPr>
      <w:r w:rsidRPr="00DC2959">
        <w:t xml:space="preserve">Pot, W. (2022) Robust governance for the long term and the heat of the moment: Temporal strategies for coping with dual crises. </w:t>
      </w:r>
      <w:r w:rsidRPr="00DC2959">
        <w:rPr>
          <w:i/>
          <w:iCs/>
        </w:rPr>
        <w:t>Public Administration</w:t>
      </w:r>
      <w:r w:rsidRPr="00DC2959">
        <w:t xml:space="preserve">, 101(1), pp.221–235. Available at: </w:t>
      </w:r>
      <w:hyperlink r:id="rId48" w:history="1">
        <w:r w:rsidRPr="00DC2959">
          <w:rPr>
            <w:color w:val="467886" w:themeColor="hyperlink"/>
            <w:u w:val="single"/>
          </w:rPr>
          <w:t>https://onlinelibrary.wiley.com/doi/full/10.1111/padm.12872</w:t>
        </w:r>
      </w:hyperlink>
      <w:r w:rsidRPr="00DC2959">
        <w:t xml:space="preserve"> [Accessed: 13 June 2026]. </w:t>
      </w:r>
    </w:p>
    <w:p w14:paraId="17504C8D" w14:textId="77777777" w:rsidR="00DC2959" w:rsidRPr="00DC2959" w:rsidRDefault="00DC2959" w:rsidP="00DC2959">
      <w:pPr>
        <w:spacing w:after="160"/>
      </w:pPr>
      <w:r w:rsidRPr="00DC2959">
        <w:t xml:space="preserve">Saunders, M., Lewis, P. and Thornhill, A. (2019) </w:t>
      </w:r>
      <w:r w:rsidRPr="00DC2959">
        <w:rPr>
          <w:i/>
          <w:iCs/>
        </w:rPr>
        <w:t xml:space="preserve">Research Methods for Business Students. </w:t>
      </w:r>
      <w:r w:rsidRPr="00DC2959">
        <w:t>8th Edition, Pearson, New York.</w:t>
      </w:r>
    </w:p>
    <w:p w14:paraId="7E958839" w14:textId="77777777" w:rsidR="00DC2959" w:rsidRPr="00DC2959" w:rsidRDefault="00DC2959" w:rsidP="00DC2959">
      <w:pPr>
        <w:spacing w:after="160"/>
      </w:pPr>
      <w:r w:rsidRPr="00DC2959">
        <w:t>Saunders, M, Lewis, P. and Thornhill, A. (2023) Research Methods for Business Students. 9</w:t>
      </w:r>
      <w:r w:rsidRPr="00DC2959">
        <w:rPr>
          <w:vertAlign w:val="superscript"/>
        </w:rPr>
        <w:t>th</w:t>
      </w:r>
      <w:r w:rsidRPr="00DC2959">
        <w:t xml:space="preserve"> Edition. Available at: </w:t>
      </w:r>
      <w:hyperlink r:id="rId49" w:history="1">
        <w:r w:rsidRPr="00DC2959">
          <w:rPr>
            <w:color w:val="467886" w:themeColor="hyperlink"/>
            <w:u w:val="single"/>
          </w:rPr>
          <w:t>https://www.researchgate.net/publication/240218229_Research_Methods_for_Business_Students</w:t>
        </w:r>
      </w:hyperlink>
      <w:r w:rsidRPr="00DC2959">
        <w:t xml:space="preserve"> [Accessed: 13 June 2026].</w:t>
      </w:r>
    </w:p>
    <w:p w14:paraId="4997EC17" w14:textId="77777777" w:rsidR="00DC2959" w:rsidRPr="00DC2959" w:rsidRDefault="00DC2959" w:rsidP="00DC2959">
      <w:pPr>
        <w:spacing w:after="160"/>
      </w:pPr>
      <w:r w:rsidRPr="00DC2959">
        <w:t>Stokes, E. and Smyth, C. (2024) ‘Hope-Bearing Legislation? The Well-being of Future Generations (Wales) Act 2015.’ </w:t>
      </w:r>
      <w:r w:rsidRPr="00DC2959">
        <w:rPr>
          <w:i/>
          <w:iCs/>
        </w:rPr>
        <w:t>Transnational Environmental Law</w:t>
      </w:r>
      <w:r w:rsidRPr="00DC2959">
        <w:t>, </w:t>
      </w:r>
      <w:r w:rsidRPr="00DC2959">
        <w:rPr>
          <w:i/>
          <w:iCs/>
        </w:rPr>
        <w:t>13</w:t>
      </w:r>
      <w:r w:rsidRPr="00DC2959">
        <w:t xml:space="preserve">(3), pp.569-587. Available at: </w:t>
      </w:r>
      <w:hyperlink r:id="rId50" w:history="1">
        <w:r w:rsidRPr="00DC2959">
          <w:rPr>
            <w:color w:val="467886" w:themeColor="hyperlink"/>
            <w:u w:val="single"/>
          </w:rPr>
          <w:t>https://www.cambridge.org/core/journals/transnational-environmental-law/article/hopebearing-legislation-the-wellbeing-of-future-</w:t>
        </w:r>
        <w:r w:rsidRPr="00DC2959">
          <w:rPr>
            <w:color w:val="467886" w:themeColor="hyperlink"/>
            <w:u w:val="single"/>
          </w:rPr>
          <w:lastRenderedPageBreak/>
          <w:t>generations-wales-act-2015/D2F1BC493A8BAA2ECDD9AB7D7FF59ECE</w:t>
        </w:r>
      </w:hyperlink>
      <w:r w:rsidRPr="00DC2959">
        <w:t xml:space="preserve"> [Accessed: 13 June 2026].</w:t>
      </w:r>
    </w:p>
    <w:p w14:paraId="64491215" w14:textId="77777777" w:rsidR="00DC2959" w:rsidRPr="00DC2959" w:rsidRDefault="00DC2959" w:rsidP="00DC2959">
      <w:pPr>
        <w:spacing w:after="160"/>
      </w:pPr>
      <w:r w:rsidRPr="00DC2959">
        <w:t>Tavory, I. and Timmermans, S. (2014) </w:t>
      </w:r>
      <w:r w:rsidRPr="00DC2959">
        <w:rPr>
          <w:i/>
          <w:iCs/>
        </w:rPr>
        <w:t>Abductive analysis: Theorizing qualitative research</w:t>
      </w:r>
      <w:r w:rsidRPr="00DC2959">
        <w:t>. University of Chicago press.</w:t>
      </w:r>
    </w:p>
    <w:p w14:paraId="6247A6C3" w14:textId="77777777" w:rsidR="00DC2959" w:rsidRPr="00DC2959" w:rsidRDefault="00DC2959" w:rsidP="00DC2959">
      <w:pPr>
        <w:spacing w:after="160"/>
      </w:pPr>
      <w:r w:rsidRPr="00DC2959">
        <w:t xml:space="preserve">Teece, D. J. (2018) ‘Business models and dynamic capabilities.’ </w:t>
      </w:r>
      <w:r w:rsidRPr="00DC2959">
        <w:rPr>
          <w:i/>
          <w:iCs/>
        </w:rPr>
        <w:t>Long Range Planning</w:t>
      </w:r>
      <w:r w:rsidRPr="00DC2959">
        <w:t xml:space="preserve">, </w:t>
      </w:r>
      <w:r w:rsidRPr="00DC2959">
        <w:rPr>
          <w:i/>
          <w:iCs/>
        </w:rPr>
        <w:t>51</w:t>
      </w:r>
      <w:r w:rsidRPr="00DC2959">
        <w:t xml:space="preserve">(1), 40-49. Available at: </w:t>
      </w:r>
      <w:hyperlink r:id="rId51" w:history="1">
        <w:r w:rsidRPr="00DC2959">
          <w:rPr>
            <w:color w:val="467886" w:themeColor="hyperlink"/>
            <w:u w:val="single"/>
          </w:rPr>
          <w:t>https://www.sciencedirect.com/science/article/pii/S0024630117302868</w:t>
        </w:r>
      </w:hyperlink>
      <w:r w:rsidRPr="00DC2959">
        <w:t xml:space="preserve"> [Accessed: 9 June 2026].</w:t>
      </w:r>
    </w:p>
    <w:p w14:paraId="71D57FB2" w14:textId="77777777" w:rsidR="00DC2959" w:rsidRPr="00DC2959" w:rsidRDefault="00DC2959" w:rsidP="00DC2959">
      <w:pPr>
        <w:spacing w:after="160"/>
      </w:pPr>
      <w:r w:rsidRPr="00DC2959">
        <w:t xml:space="preserve">Thompson, V. A. (1961). </w:t>
      </w:r>
      <w:r w:rsidRPr="00DC2959">
        <w:rPr>
          <w:i/>
          <w:iCs/>
        </w:rPr>
        <w:t>Modern organization</w:t>
      </w:r>
      <w:r w:rsidRPr="00DC2959">
        <w:t>. Alfred A. Knopf.</w:t>
      </w:r>
    </w:p>
    <w:p w14:paraId="2690CF58" w14:textId="77777777" w:rsidR="00DC2959" w:rsidRPr="00DC2959" w:rsidRDefault="00DC2959" w:rsidP="00DC2959">
      <w:pPr>
        <w:spacing w:after="160"/>
      </w:pPr>
      <w:r w:rsidRPr="00DC2959">
        <w:t xml:space="preserve">Wales Centre for Public Policy (2025) </w:t>
      </w:r>
      <w:r w:rsidRPr="00DC2959">
        <w:rPr>
          <w:i/>
          <w:iCs/>
        </w:rPr>
        <w:t xml:space="preserve">Position Paper: The Purpose and Functions of Local Government in Wales. </w:t>
      </w:r>
      <w:r w:rsidRPr="00DC2959">
        <w:t xml:space="preserve">Available at: </w:t>
      </w:r>
      <w:hyperlink r:id="rId52" w:history="1">
        <w:r w:rsidRPr="00DC2959">
          <w:rPr>
            <w:color w:val="467886" w:themeColor="hyperlink"/>
            <w:u w:val="single"/>
          </w:rPr>
          <w:t>https://wcpp.org.uk/wp-content/uploads/2025/04/Position-Paper-The-Purposeand-Functions-of-Local-Government-in-Wales-.pdf</w:t>
        </w:r>
      </w:hyperlink>
      <w:r w:rsidRPr="00DC2959">
        <w:t xml:space="preserve"> [Accessed: 23 June 2026]. </w:t>
      </w:r>
    </w:p>
    <w:p w14:paraId="1C6F2A3A" w14:textId="77777777" w:rsidR="00DC2959" w:rsidRPr="00DC2959" w:rsidRDefault="00DC2959" w:rsidP="00DC2959">
      <w:pPr>
        <w:spacing w:after="160"/>
      </w:pPr>
      <w:r w:rsidRPr="00DC2959">
        <w:t xml:space="preserve">WCVA (2020) Barriers to successful implementation of the Future Generations act. </w:t>
      </w:r>
      <w:r w:rsidRPr="00DC2959">
        <w:rPr>
          <w:i/>
          <w:iCs/>
        </w:rPr>
        <w:t>Response for Senedd’s Public Accounts Committee.</w:t>
      </w:r>
      <w:r w:rsidRPr="00DC2959">
        <w:t xml:space="preserve"> November 2020. Available at: </w:t>
      </w:r>
      <w:hyperlink r:id="rId53" w:history="1">
        <w:r w:rsidRPr="00DC2959">
          <w:rPr>
            <w:color w:val="467886" w:themeColor="hyperlink"/>
            <w:u w:val="single"/>
          </w:rPr>
          <w:t>https://wcva.cymru/wp-content/uploads/2020/12/Barriers-to-successful-implementation-of-the-Future-Generations-act.pdf</w:t>
        </w:r>
      </w:hyperlink>
      <w:r w:rsidRPr="00DC2959">
        <w:t xml:space="preserve"> [Accessed: 11 June 2026]. </w:t>
      </w:r>
    </w:p>
    <w:p w14:paraId="6FB3C2F1" w14:textId="77777777" w:rsidR="00DC2959" w:rsidRPr="00DC2959" w:rsidRDefault="00DC2959" w:rsidP="00DC2959">
      <w:pPr>
        <w:spacing w:after="160"/>
      </w:pPr>
      <w:r w:rsidRPr="00DC2959">
        <w:rPr>
          <w:i/>
          <w:iCs/>
        </w:rPr>
        <w:t>Well-being of Future Generations (Wales) Act 2015</w:t>
      </w:r>
      <w:r w:rsidRPr="00DC2959">
        <w:t xml:space="preserve">. Available at: </w:t>
      </w:r>
      <w:hyperlink r:id="rId54" w:history="1">
        <w:r w:rsidRPr="00DC2959">
          <w:rPr>
            <w:color w:val="467886" w:themeColor="hyperlink"/>
            <w:u w:val="single"/>
          </w:rPr>
          <w:t>https://www.legislation.gov.uk/anaw/2015/2/contents</w:t>
        </w:r>
      </w:hyperlink>
      <w:r w:rsidRPr="00DC2959">
        <w:t xml:space="preserve"> [Accessed: 13 June 2026]. </w:t>
      </w:r>
    </w:p>
    <w:p w14:paraId="5E4A8984" w14:textId="77777777" w:rsidR="00DC2959" w:rsidRPr="00DC2959" w:rsidRDefault="00DC2959" w:rsidP="00DC2959">
      <w:pPr>
        <w:spacing w:after="160"/>
      </w:pPr>
      <w:r w:rsidRPr="00DC2959">
        <w:t xml:space="preserve">Welsh Government (2020): Integrated Impact Assessment. </w:t>
      </w:r>
      <w:r w:rsidRPr="00DC2959">
        <w:rPr>
          <w:i/>
          <w:iCs/>
        </w:rPr>
        <w:t>Regulations to establish corporate joint committees consultation.</w:t>
      </w:r>
      <w:r w:rsidRPr="00DC2959">
        <w:t xml:space="preserve"> October 2020. Available at: </w:t>
      </w:r>
      <w:hyperlink r:id="rId55" w:history="1">
        <w:r w:rsidRPr="00DC2959">
          <w:rPr>
            <w:color w:val="467886" w:themeColor="hyperlink"/>
            <w:u w:val="single"/>
          </w:rPr>
          <w:t>https://www.gov.wales/regulations-establish-corporate-joint-committees</w:t>
        </w:r>
      </w:hyperlink>
      <w:r w:rsidRPr="00DC2959">
        <w:t xml:space="preserve"> [Accessed: 9 June 2026].</w:t>
      </w:r>
    </w:p>
    <w:p w14:paraId="6C8A716E" w14:textId="77777777" w:rsidR="00DC2959" w:rsidRPr="00DC2959" w:rsidRDefault="00DC2959" w:rsidP="00DC2959">
      <w:pPr>
        <w:spacing w:after="160"/>
        <w:rPr>
          <w:b/>
          <w:bCs/>
        </w:rPr>
      </w:pPr>
      <w:r w:rsidRPr="00DC2959">
        <w:lastRenderedPageBreak/>
        <w:t>Welsh Government (2025) Strategic Partnership Agreement with local government.</w:t>
      </w:r>
      <w:r w:rsidRPr="00DC2959">
        <w:rPr>
          <w:b/>
          <w:bCs/>
        </w:rPr>
        <w:t xml:space="preserve"> </w:t>
      </w:r>
      <w:r w:rsidRPr="00DC2959">
        <w:t xml:space="preserve">Available at: </w:t>
      </w:r>
      <w:hyperlink r:id="rId56" w:history="1">
        <w:r w:rsidRPr="00DC2959">
          <w:rPr>
            <w:color w:val="467886" w:themeColor="hyperlink"/>
            <w:u w:val="single"/>
          </w:rPr>
          <w:t>https://www.gov.wales/draft-strategic-partnership-agreement-local-government-html</w:t>
        </w:r>
      </w:hyperlink>
      <w:r w:rsidRPr="00DC2959">
        <w:t xml:space="preserve"> [Accessed: 23 June 2026].</w:t>
      </w:r>
    </w:p>
    <w:p w14:paraId="162E790E" w14:textId="77777777" w:rsidR="00DC2959" w:rsidRPr="00DC2959" w:rsidRDefault="00DC2959" w:rsidP="00DC2959">
      <w:pPr>
        <w:spacing w:after="160"/>
      </w:pPr>
      <w:r w:rsidRPr="00DC2959">
        <w:t>Yin, R.K. (2018) </w:t>
      </w:r>
      <w:r w:rsidRPr="00DC2959">
        <w:rPr>
          <w:i/>
          <w:iCs/>
        </w:rPr>
        <w:t>Case study research and applications</w:t>
      </w:r>
      <w:r w:rsidRPr="00DC2959">
        <w:t> (Vol. 6). Thousand Oaks, CA: Sage.</w:t>
      </w:r>
    </w:p>
    <w:p w14:paraId="64BFF312" w14:textId="77777777" w:rsidR="0061441B" w:rsidRPr="00D670FF" w:rsidRDefault="0061441B" w:rsidP="0099552D">
      <w:pPr>
        <w:rPr>
          <w:iCs/>
        </w:rPr>
      </w:pPr>
    </w:p>
    <w:sectPr w:rsidR="0061441B" w:rsidRPr="00D670FF" w:rsidSect="0061441B">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DDAAD" w14:textId="77777777" w:rsidR="00210FE9" w:rsidRDefault="00210FE9" w:rsidP="00147F1A">
      <w:pPr>
        <w:spacing w:after="0" w:line="240" w:lineRule="auto"/>
      </w:pPr>
      <w:r>
        <w:separator/>
      </w:r>
    </w:p>
  </w:endnote>
  <w:endnote w:type="continuationSeparator" w:id="0">
    <w:p w14:paraId="224B8C21" w14:textId="77777777" w:rsidR="00210FE9" w:rsidRDefault="00210FE9" w:rsidP="00147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9942442"/>
      <w:docPartObj>
        <w:docPartGallery w:val="Page Numbers (Bottom of Page)"/>
        <w:docPartUnique/>
      </w:docPartObj>
    </w:sdtPr>
    <w:sdtContent>
      <w:sdt>
        <w:sdtPr>
          <w:id w:val="-1769616900"/>
          <w:docPartObj>
            <w:docPartGallery w:val="Page Numbers (Top of Page)"/>
            <w:docPartUnique/>
          </w:docPartObj>
        </w:sdtPr>
        <w:sdtContent>
          <w:p w14:paraId="23D7815E" w14:textId="36008D59" w:rsidR="00147F1A" w:rsidRDefault="00147F1A">
            <w:pPr>
              <w:pStyle w:val="Footer"/>
              <w:jc w:val="right"/>
            </w:pPr>
            <w:r w:rsidRPr="00147F1A">
              <w:rPr>
                <w:sz w:val="18"/>
                <w:szCs w:val="18"/>
              </w:rPr>
              <w:t xml:space="preserve">Page </w:t>
            </w:r>
            <w:r w:rsidRPr="00147F1A">
              <w:rPr>
                <w:b/>
                <w:bCs/>
                <w:sz w:val="18"/>
                <w:szCs w:val="18"/>
              </w:rPr>
              <w:fldChar w:fldCharType="begin"/>
            </w:r>
            <w:r w:rsidRPr="00147F1A">
              <w:rPr>
                <w:b/>
                <w:bCs/>
                <w:sz w:val="18"/>
                <w:szCs w:val="18"/>
              </w:rPr>
              <w:instrText xml:space="preserve"> PAGE </w:instrText>
            </w:r>
            <w:r w:rsidRPr="00147F1A">
              <w:rPr>
                <w:b/>
                <w:bCs/>
                <w:sz w:val="18"/>
                <w:szCs w:val="18"/>
              </w:rPr>
              <w:fldChar w:fldCharType="separate"/>
            </w:r>
            <w:r w:rsidRPr="00147F1A">
              <w:rPr>
                <w:b/>
                <w:bCs/>
                <w:noProof/>
                <w:sz w:val="18"/>
                <w:szCs w:val="18"/>
              </w:rPr>
              <w:t>2</w:t>
            </w:r>
            <w:r w:rsidRPr="00147F1A">
              <w:rPr>
                <w:b/>
                <w:bCs/>
                <w:sz w:val="18"/>
                <w:szCs w:val="18"/>
              </w:rPr>
              <w:fldChar w:fldCharType="end"/>
            </w:r>
            <w:r w:rsidRPr="00147F1A">
              <w:rPr>
                <w:sz w:val="18"/>
                <w:szCs w:val="18"/>
              </w:rPr>
              <w:t xml:space="preserve"> of </w:t>
            </w:r>
            <w:r w:rsidRPr="00147F1A">
              <w:rPr>
                <w:b/>
                <w:bCs/>
                <w:sz w:val="18"/>
                <w:szCs w:val="18"/>
              </w:rPr>
              <w:fldChar w:fldCharType="begin"/>
            </w:r>
            <w:r w:rsidRPr="00147F1A">
              <w:rPr>
                <w:b/>
                <w:bCs/>
                <w:sz w:val="18"/>
                <w:szCs w:val="18"/>
              </w:rPr>
              <w:instrText xml:space="preserve"> NUMPAGES  </w:instrText>
            </w:r>
            <w:r w:rsidRPr="00147F1A">
              <w:rPr>
                <w:b/>
                <w:bCs/>
                <w:sz w:val="18"/>
                <w:szCs w:val="18"/>
              </w:rPr>
              <w:fldChar w:fldCharType="separate"/>
            </w:r>
            <w:r w:rsidRPr="00147F1A">
              <w:rPr>
                <w:b/>
                <w:bCs/>
                <w:noProof/>
                <w:sz w:val="18"/>
                <w:szCs w:val="18"/>
              </w:rPr>
              <w:t>2</w:t>
            </w:r>
            <w:r w:rsidRPr="00147F1A">
              <w:rPr>
                <w:b/>
                <w:bCs/>
                <w:sz w:val="18"/>
                <w:szCs w:val="18"/>
              </w:rPr>
              <w:fldChar w:fldCharType="end"/>
            </w:r>
          </w:p>
        </w:sdtContent>
      </w:sdt>
    </w:sdtContent>
  </w:sdt>
  <w:p w14:paraId="477D217F" w14:textId="77777777" w:rsidR="00147F1A" w:rsidRDefault="00147F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AAD2C" w14:textId="77777777" w:rsidR="00210FE9" w:rsidRDefault="00210FE9" w:rsidP="00147F1A">
      <w:pPr>
        <w:spacing w:after="0" w:line="240" w:lineRule="auto"/>
      </w:pPr>
      <w:r>
        <w:separator/>
      </w:r>
    </w:p>
  </w:footnote>
  <w:footnote w:type="continuationSeparator" w:id="0">
    <w:p w14:paraId="38827054" w14:textId="77777777" w:rsidR="00210FE9" w:rsidRDefault="00210FE9" w:rsidP="00147F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D2A44"/>
    <w:multiLevelType w:val="hybridMultilevel"/>
    <w:tmpl w:val="810C4C3C"/>
    <w:lvl w:ilvl="0" w:tplc="69F65BB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2E18B9"/>
    <w:multiLevelType w:val="hybridMultilevel"/>
    <w:tmpl w:val="5AC0FD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F216B7C"/>
    <w:multiLevelType w:val="multilevel"/>
    <w:tmpl w:val="A742035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2DA55EDC"/>
    <w:multiLevelType w:val="hybridMultilevel"/>
    <w:tmpl w:val="F4EA352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04A51CE"/>
    <w:multiLevelType w:val="hybridMultilevel"/>
    <w:tmpl w:val="F6E8D412"/>
    <w:lvl w:ilvl="0" w:tplc="69F65BB8">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0BF04F3"/>
    <w:multiLevelType w:val="hybridMultilevel"/>
    <w:tmpl w:val="3AFC52C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2AA05D3"/>
    <w:multiLevelType w:val="hybridMultilevel"/>
    <w:tmpl w:val="60B096E0"/>
    <w:lvl w:ilvl="0" w:tplc="69F65BB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A44179"/>
    <w:multiLevelType w:val="hybridMultilevel"/>
    <w:tmpl w:val="0540D314"/>
    <w:lvl w:ilvl="0" w:tplc="69F65BB8">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1952AF8"/>
    <w:multiLevelType w:val="hybridMultilevel"/>
    <w:tmpl w:val="06343912"/>
    <w:lvl w:ilvl="0" w:tplc="69F65BB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E343D0"/>
    <w:multiLevelType w:val="multilevel"/>
    <w:tmpl w:val="6FF443C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290549699">
    <w:abstractNumId w:val="9"/>
  </w:num>
  <w:num w:numId="2" w16cid:durableId="148640204">
    <w:abstractNumId w:val="2"/>
  </w:num>
  <w:num w:numId="3" w16cid:durableId="1309553483">
    <w:abstractNumId w:val="1"/>
  </w:num>
  <w:num w:numId="4" w16cid:durableId="527526886">
    <w:abstractNumId w:val="8"/>
  </w:num>
  <w:num w:numId="5" w16cid:durableId="1203246524">
    <w:abstractNumId w:val="0"/>
  </w:num>
  <w:num w:numId="6" w16cid:durableId="36441585">
    <w:abstractNumId w:val="7"/>
  </w:num>
  <w:num w:numId="7" w16cid:durableId="735274926">
    <w:abstractNumId w:val="5"/>
  </w:num>
  <w:num w:numId="8" w16cid:durableId="1666281016">
    <w:abstractNumId w:val="3"/>
  </w:num>
  <w:num w:numId="9" w16cid:durableId="1364792372">
    <w:abstractNumId w:val="6"/>
  </w:num>
  <w:num w:numId="10" w16cid:durableId="6692594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6A3"/>
    <w:rsid w:val="00031E4F"/>
    <w:rsid w:val="00070D59"/>
    <w:rsid w:val="000A2212"/>
    <w:rsid w:val="000A45A0"/>
    <w:rsid w:val="000C672E"/>
    <w:rsid w:val="001105DE"/>
    <w:rsid w:val="00147F1A"/>
    <w:rsid w:val="00151654"/>
    <w:rsid w:val="0015467A"/>
    <w:rsid w:val="00167789"/>
    <w:rsid w:val="00167FB2"/>
    <w:rsid w:val="00186DC1"/>
    <w:rsid w:val="001A0FE4"/>
    <w:rsid w:val="001F6111"/>
    <w:rsid w:val="00210FE9"/>
    <w:rsid w:val="00216B9B"/>
    <w:rsid w:val="002C0285"/>
    <w:rsid w:val="002D3B40"/>
    <w:rsid w:val="00325952"/>
    <w:rsid w:val="00335572"/>
    <w:rsid w:val="00381FEA"/>
    <w:rsid w:val="003C6EFA"/>
    <w:rsid w:val="003E4B7D"/>
    <w:rsid w:val="00415E5A"/>
    <w:rsid w:val="00417094"/>
    <w:rsid w:val="0042615B"/>
    <w:rsid w:val="00443017"/>
    <w:rsid w:val="00466C2F"/>
    <w:rsid w:val="004717DD"/>
    <w:rsid w:val="004E270B"/>
    <w:rsid w:val="00512C66"/>
    <w:rsid w:val="005701A7"/>
    <w:rsid w:val="00572C4E"/>
    <w:rsid w:val="005A4A58"/>
    <w:rsid w:val="00602E8A"/>
    <w:rsid w:val="006112DD"/>
    <w:rsid w:val="0061441B"/>
    <w:rsid w:val="00693AB2"/>
    <w:rsid w:val="0075233B"/>
    <w:rsid w:val="007840B3"/>
    <w:rsid w:val="007853CF"/>
    <w:rsid w:val="007E77BB"/>
    <w:rsid w:val="00875958"/>
    <w:rsid w:val="00881880"/>
    <w:rsid w:val="00881D08"/>
    <w:rsid w:val="00944E74"/>
    <w:rsid w:val="00953472"/>
    <w:rsid w:val="0099552D"/>
    <w:rsid w:val="00A2054A"/>
    <w:rsid w:val="00A215D8"/>
    <w:rsid w:val="00A4157E"/>
    <w:rsid w:val="00A636B4"/>
    <w:rsid w:val="00A76047"/>
    <w:rsid w:val="00A819B1"/>
    <w:rsid w:val="00AA1DF7"/>
    <w:rsid w:val="00B367AA"/>
    <w:rsid w:val="00B70C61"/>
    <w:rsid w:val="00B86759"/>
    <w:rsid w:val="00BB7967"/>
    <w:rsid w:val="00BD45D9"/>
    <w:rsid w:val="00BD67BF"/>
    <w:rsid w:val="00CC1A14"/>
    <w:rsid w:val="00CE7D1A"/>
    <w:rsid w:val="00D04078"/>
    <w:rsid w:val="00D670FF"/>
    <w:rsid w:val="00D9698A"/>
    <w:rsid w:val="00DA2C83"/>
    <w:rsid w:val="00DC2959"/>
    <w:rsid w:val="00DE6DE3"/>
    <w:rsid w:val="00E05287"/>
    <w:rsid w:val="00E33A23"/>
    <w:rsid w:val="00E579D7"/>
    <w:rsid w:val="00E92A6B"/>
    <w:rsid w:val="00EB56A3"/>
    <w:rsid w:val="00EB5860"/>
    <w:rsid w:val="00EE1551"/>
    <w:rsid w:val="00F739F9"/>
    <w:rsid w:val="00F81035"/>
    <w:rsid w:val="00FA5477"/>
    <w:rsid w:val="00FB05BE"/>
    <w:rsid w:val="00FF5CA9"/>
    <w:rsid w:val="00FF6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363E4"/>
  <w15:chartTrackingRefBased/>
  <w15:docId w15:val="{98B15A83-F9D9-4A7E-9009-DFD90DF58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5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56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56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56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5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5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56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56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56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5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6A3"/>
    <w:rPr>
      <w:rFonts w:eastAsiaTheme="majorEastAsia" w:cstheme="majorBidi"/>
      <w:color w:val="272727" w:themeColor="text1" w:themeTint="D8"/>
    </w:rPr>
  </w:style>
  <w:style w:type="paragraph" w:styleId="Title">
    <w:name w:val="Title"/>
    <w:basedOn w:val="Normal"/>
    <w:next w:val="Normal"/>
    <w:link w:val="TitleChar"/>
    <w:uiPriority w:val="10"/>
    <w:qFormat/>
    <w:rsid w:val="00EB5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6A3"/>
    <w:pPr>
      <w:spacing w:before="160"/>
      <w:jc w:val="center"/>
    </w:pPr>
    <w:rPr>
      <w:i/>
      <w:iCs/>
      <w:color w:val="404040" w:themeColor="text1" w:themeTint="BF"/>
    </w:rPr>
  </w:style>
  <w:style w:type="character" w:customStyle="1" w:styleId="QuoteChar">
    <w:name w:val="Quote Char"/>
    <w:basedOn w:val="DefaultParagraphFont"/>
    <w:link w:val="Quote"/>
    <w:uiPriority w:val="29"/>
    <w:rsid w:val="00EB56A3"/>
    <w:rPr>
      <w:i/>
      <w:iCs/>
      <w:color w:val="404040" w:themeColor="text1" w:themeTint="BF"/>
    </w:rPr>
  </w:style>
  <w:style w:type="paragraph" w:styleId="ListParagraph">
    <w:name w:val="List Paragraph"/>
    <w:basedOn w:val="Normal"/>
    <w:uiPriority w:val="34"/>
    <w:qFormat/>
    <w:rsid w:val="00EB56A3"/>
    <w:pPr>
      <w:ind w:left="720"/>
      <w:contextualSpacing/>
    </w:pPr>
  </w:style>
  <w:style w:type="character" w:styleId="IntenseEmphasis">
    <w:name w:val="Intense Emphasis"/>
    <w:basedOn w:val="DefaultParagraphFont"/>
    <w:uiPriority w:val="21"/>
    <w:qFormat/>
    <w:rsid w:val="00EB56A3"/>
    <w:rPr>
      <w:i/>
      <w:iCs/>
      <w:color w:val="0F4761" w:themeColor="accent1" w:themeShade="BF"/>
    </w:rPr>
  </w:style>
  <w:style w:type="paragraph" w:styleId="IntenseQuote">
    <w:name w:val="Intense Quote"/>
    <w:basedOn w:val="Normal"/>
    <w:next w:val="Normal"/>
    <w:link w:val="IntenseQuoteChar"/>
    <w:uiPriority w:val="30"/>
    <w:qFormat/>
    <w:rsid w:val="00EB5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56A3"/>
    <w:rPr>
      <w:i/>
      <w:iCs/>
      <w:color w:val="0F4761" w:themeColor="accent1" w:themeShade="BF"/>
    </w:rPr>
  </w:style>
  <w:style w:type="character" w:styleId="IntenseReference">
    <w:name w:val="Intense Reference"/>
    <w:basedOn w:val="DefaultParagraphFont"/>
    <w:uiPriority w:val="32"/>
    <w:qFormat/>
    <w:rsid w:val="00EB56A3"/>
    <w:rPr>
      <w:b/>
      <w:bCs/>
      <w:smallCaps/>
      <w:color w:val="0F4761" w:themeColor="accent1" w:themeShade="BF"/>
      <w:spacing w:val="5"/>
    </w:rPr>
  </w:style>
  <w:style w:type="character" w:styleId="CommentReference">
    <w:name w:val="annotation reference"/>
    <w:basedOn w:val="DefaultParagraphFont"/>
    <w:uiPriority w:val="99"/>
    <w:semiHidden/>
    <w:unhideWhenUsed/>
    <w:rsid w:val="001F6111"/>
    <w:rPr>
      <w:sz w:val="16"/>
      <w:szCs w:val="16"/>
    </w:rPr>
  </w:style>
  <w:style w:type="paragraph" w:styleId="CommentText">
    <w:name w:val="annotation text"/>
    <w:basedOn w:val="Normal"/>
    <w:link w:val="CommentTextChar"/>
    <w:uiPriority w:val="99"/>
    <w:unhideWhenUsed/>
    <w:rsid w:val="001F6111"/>
    <w:pPr>
      <w:spacing w:line="240" w:lineRule="auto"/>
    </w:pPr>
    <w:rPr>
      <w:rFonts w:ascii="Calibri" w:eastAsia="Calibri" w:hAnsi="Calibri" w:cs="Calibri"/>
      <w:kern w:val="0"/>
      <w:sz w:val="20"/>
      <w:szCs w:val="20"/>
      <w14:ligatures w14:val="none"/>
    </w:rPr>
  </w:style>
  <w:style w:type="character" w:customStyle="1" w:styleId="CommentTextChar">
    <w:name w:val="Comment Text Char"/>
    <w:basedOn w:val="DefaultParagraphFont"/>
    <w:link w:val="CommentText"/>
    <w:uiPriority w:val="99"/>
    <w:rsid w:val="001F6111"/>
    <w:rPr>
      <w:rFonts w:ascii="Calibri" w:eastAsia="Calibri" w:hAnsi="Calibri" w:cs="Calibri"/>
      <w:kern w:val="0"/>
      <w:sz w:val="20"/>
      <w:szCs w:val="20"/>
      <w14:ligatures w14:val="none"/>
    </w:rPr>
  </w:style>
  <w:style w:type="character" w:styleId="Hyperlink">
    <w:name w:val="Hyperlink"/>
    <w:basedOn w:val="DefaultParagraphFont"/>
    <w:uiPriority w:val="99"/>
    <w:unhideWhenUsed/>
    <w:rsid w:val="001F6111"/>
    <w:rPr>
      <w:color w:val="467886" w:themeColor="hyperlink"/>
      <w:u w:val="single"/>
    </w:rPr>
  </w:style>
  <w:style w:type="paragraph" w:styleId="CommentSubject">
    <w:name w:val="annotation subject"/>
    <w:basedOn w:val="CommentText"/>
    <w:next w:val="CommentText"/>
    <w:link w:val="CommentSubjectChar"/>
    <w:uiPriority w:val="99"/>
    <w:semiHidden/>
    <w:unhideWhenUsed/>
    <w:rsid w:val="00167789"/>
    <w:rPr>
      <w:rFonts w:ascii="Arial" w:eastAsiaTheme="minorHAnsi" w:hAnsi="Arial" w:cs="Arial"/>
      <w:b/>
      <w:bCs/>
      <w:kern w:val="2"/>
      <w14:ligatures w14:val="standardContextual"/>
    </w:rPr>
  </w:style>
  <w:style w:type="character" w:customStyle="1" w:styleId="CommentSubjectChar">
    <w:name w:val="Comment Subject Char"/>
    <w:basedOn w:val="CommentTextChar"/>
    <w:link w:val="CommentSubject"/>
    <w:uiPriority w:val="99"/>
    <w:semiHidden/>
    <w:rsid w:val="00167789"/>
    <w:rPr>
      <w:rFonts w:ascii="Calibri" w:eastAsia="Calibri" w:hAnsi="Calibri" w:cs="Calibri"/>
      <w:b/>
      <w:bCs/>
      <w:kern w:val="0"/>
      <w:sz w:val="20"/>
      <w:szCs w:val="20"/>
      <w14:ligatures w14:val="none"/>
    </w:rPr>
  </w:style>
  <w:style w:type="character" w:styleId="UnresolvedMention">
    <w:name w:val="Unresolved Mention"/>
    <w:basedOn w:val="DefaultParagraphFont"/>
    <w:uiPriority w:val="99"/>
    <w:semiHidden/>
    <w:unhideWhenUsed/>
    <w:rsid w:val="00167789"/>
    <w:rPr>
      <w:color w:val="605E5C"/>
      <w:shd w:val="clear" w:color="auto" w:fill="E1DFDD"/>
    </w:rPr>
  </w:style>
  <w:style w:type="paragraph" w:styleId="Header">
    <w:name w:val="header"/>
    <w:basedOn w:val="Normal"/>
    <w:link w:val="HeaderChar"/>
    <w:uiPriority w:val="99"/>
    <w:unhideWhenUsed/>
    <w:rsid w:val="00147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F1A"/>
  </w:style>
  <w:style w:type="paragraph" w:styleId="Footer">
    <w:name w:val="footer"/>
    <w:basedOn w:val="Normal"/>
    <w:link w:val="FooterChar"/>
    <w:uiPriority w:val="99"/>
    <w:unhideWhenUsed/>
    <w:rsid w:val="00147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F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udit.wales/publication/no-time-lose-lessons-our-work-under-well-being-future-generations-act" TargetMode="External"/><Relationship Id="rId18" Type="http://schemas.openxmlformats.org/officeDocument/2006/relationships/hyperlink" Target="https://onlinelibrary.wiley.com/doi/abs/10.1111/1467-6486.00284" TargetMode="External"/><Relationship Id="rId26" Type="http://schemas.openxmlformats.org/officeDocument/2006/relationships/hyperlink" Target="https://www.sciencedirect.com/science/article/abs/pii/S0024630109000570?via%3Dihub" TargetMode="External"/><Relationship Id="rId39" Type="http://schemas.openxmlformats.org/officeDocument/2006/relationships/hyperlink" Target="https://www.local.gov.uk/about/campaigns/spending-review-2025" TargetMode="External"/><Relationship Id="rId21" Type="http://schemas.openxmlformats.org/officeDocument/2006/relationships/hyperlink" Target="https://www.tandfonline.com/doi/full/10.1080/1523908X.2023.2221182" TargetMode="External"/><Relationship Id="rId34" Type="http://schemas.openxmlformats.org/officeDocument/2006/relationships/hyperlink" Target="https://research.senedd.wales/research-articles/learning-from-covid-19-is-wales-ready-for-the-next-emergency/" TargetMode="External"/><Relationship Id="rId42" Type="http://schemas.openxmlformats.org/officeDocument/2006/relationships/hyperlink" Target="https://clarotesting.wordpress.com/wp-content/uploads/2022/06/merton-r.-social-theory-social-structure-glencoe-il-free-press-1957.pdf" TargetMode="External"/><Relationship Id="rId47" Type="http://schemas.openxmlformats.org/officeDocument/2006/relationships/hyperlink" Target="http://pfiffner.gmu.edu/files/pdfs/Book_Chapters/NewPublicMgt.doc.pdf" TargetMode="External"/><Relationship Id="rId50" Type="http://schemas.openxmlformats.org/officeDocument/2006/relationships/hyperlink" Target="https://www.cambridge.org/core/journals/transnational-environmental-law/article/hopebearing-legislation-the-wellbeing-of-future-generations-wales-act-2015/D2F1BC493A8BAA2ECDD9AB7D7FF59ECE" TargetMode="External"/><Relationship Id="rId55" Type="http://schemas.openxmlformats.org/officeDocument/2006/relationships/hyperlink" Target="https://www.gov.wales/regulations-establish-corporate-joint-committee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ublication/235255319_Encouraging_Innovation_in_the_Public_Sector" TargetMode="External"/><Relationship Id="rId29" Type="http://schemas.openxmlformats.org/officeDocument/2006/relationships/hyperlink" Target="https://www.jstor.org/stable/258557?origin=crossref&amp;seq=4" TargetMode="External"/><Relationship Id="rId11" Type="http://schemas.openxmlformats.org/officeDocument/2006/relationships/hyperlink" Target="https://www.audit.wales/sites/default/files/review-of-public-service-boards-english_11.pdf" TargetMode="External"/><Relationship Id="rId24" Type="http://schemas.openxmlformats.org/officeDocument/2006/relationships/hyperlink" Target="https://wcpp.org.uk/report/at-the-tipping-point-welsh-local-government-and-austerity/" TargetMode="External"/><Relationship Id="rId32" Type="http://schemas.openxmlformats.org/officeDocument/2006/relationships/hyperlink" Target="https://www.tandfonline.com/doi/abs/10.1080/13645579.2016.1144401%4010.1080/tfocoll.2025.0.issue-methodological-guidance-doing-realist-enquiry" TargetMode="External"/><Relationship Id="rId37" Type="http://schemas.openxmlformats.org/officeDocument/2006/relationships/hyperlink" Target="https://www.researchgate.net/publication/377436091_Managing_crises_as_if_no_one_is_watching_Governance_dilemmas_from_a_public_perspective" TargetMode="External"/><Relationship Id="rId40" Type="http://schemas.openxmlformats.org/officeDocument/2006/relationships/hyperlink" Target="https://www.mdpi.com/2076-3387/15/5/165" TargetMode="External"/><Relationship Id="rId45" Type="http://schemas.openxmlformats.org/officeDocument/2006/relationships/hyperlink" Target="https://www.oecd.org/en/publications/well-being-knowledge-exchange-platform-kep_93d45d63-en/the-future-generations-act-and-future-generations-commissioner-for-wales_7b2a0e8c-en.html" TargetMode="External"/><Relationship Id="rId53" Type="http://schemas.openxmlformats.org/officeDocument/2006/relationships/hyperlink" Target="https://wcva.cymru/wp-content/uploads/2020/12/Barriers-to-successful-implementation-of-the-Future-Generations-act.pdf"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tandfonline.com/doi/epdf/10.1191/1478088706qp063oa?needAccess=true"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audit.wales/news/ten-years-well-being-future-generations-act-has-increased-prominence-not-driving-system-wide" TargetMode="External"/><Relationship Id="rId22" Type="http://schemas.openxmlformats.org/officeDocument/2006/relationships/hyperlink" Target="https://journals.sagepub.com/doi/full/10.1177/16094069251369309" TargetMode="External"/><Relationship Id="rId27" Type="http://schemas.openxmlformats.org/officeDocument/2006/relationships/hyperlink" Target="https://link.springer.com/article/10.1007/s40685-019-0085-7" TargetMode="External"/><Relationship Id="rId30" Type="http://schemas.openxmlformats.org/officeDocument/2006/relationships/hyperlink" Target="https://onlinelibrary.wiley.com/doi/abs/10.1111/faam.12117" TargetMode="External"/><Relationship Id="rId35" Type="http://schemas.openxmlformats.org/officeDocument/2006/relationships/hyperlink" Target="https://www.gov.wales/written-statement-welsh-government-response-future-generation-commissioners-future-generations" TargetMode="External"/><Relationship Id="rId43" Type="http://schemas.openxmlformats.org/officeDocument/2006/relationships/hyperlink" Target="https://www.futuregenerations.wales/wp-content/uploads/2017/07/Netherwood2c-Flynn2c-Lang-OFGC-Overview-Report-2.0-1.pdf" TargetMode="External"/><Relationship Id="rId48" Type="http://schemas.openxmlformats.org/officeDocument/2006/relationships/hyperlink" Target="https://onlinelibrary.wiley.com/doi/full/10.1111/padm.12872" TargetMode="External"/><Relationship Id="rId56" Type="http://schemas.openxmlformats.org/officeDocument/2006/relationships/hyperlink" Target="https://www.gov.wales/draft-strategic-partnership-agreement-local-government-html" TargetMode="External"/><Relationship Id="rId8" Type="http://schemas.openxmlformats.org/officeDocument/2006/relationships/image" Target="media/image2.png"/><Relationship Id="rId51" Type="http://schemas.openxmlformats.org/officeDocument/2006/relationships/hyperlink" Target="https://www.sciencedirect.com/science/article/pii/S0024630117302868" TargetMode="External"/><Relationship Id="rId3" Type="http://schemas.openxmlformats.org/officeDocument/2006/relationships/settings" Target="settings.xml"/><Relationship Id="rId12" Type="http://schemas.openxmlformats.org/officeDocument/2006/relationships/hyperlink" Target="https://www.audit.wales/publication/findings-auditor-generals-sustainable-development-principle-examinations" TargetMode="External"/><Relationship Id="rId17" Type="http://schemas.openxmlformats.org/officeDocument/2006/relationships/hyperlink" Target="https://research.senedd.wales/research-articles/a-system-under-strain-the-sustainability-of-local-government/" TargetMode="External"/><Relationship Id="rId25" Type="http://schemas.openxmlformats.org/officeDocument/2006/relationships/hyperlink" Target="https://journals.sagepub.com/doi/10.2307/41166447" TargetMode="External"/><Relationship Id="rId33" Type="http://schemas.openxmlformats.org/officeDocument/2006/relationships/hyperlink" Target="https://futuregenerations.wales/cym/wp-content/uploads/2026/03/Public-Body-Responses-to-FG-Report.pdf" TargetMode="External"/><Relationship Id="rId38" Type="http://schemas.openxmlformats.org/officeDocument/2006/relationships/hyperlink" Target="https://www.local.gov.uk/publications/fragmented-funding-report" TargetMode="External"/><Relationship Id="rId46" Type="http://schemas.openxmlformats.org/officeDocument/2006/relationships/hyperlink" Target="https://sigmapubs.onlinelibrary.wiley.com/doi/10.1111/j.1547-5069.2001.00093.x" TargetMode="External"/><Relationship Id="rId20" Type="http://schemas.openxmlformats.org/officeDocument/2006/relationships/hyperlink" Target="https://www.gov.uk/government/publications/nlc-public-service-leadership-literature-reviews/organisational-effectiveness-and-collaboration-across-the-system-literature-review-summary-by-dr-martin-king-professor-rob-wilson-sophie-wilson" TargetMode="External"/><Relationship Id="rId41" Type="http://schemas.openxmlformats.org/officeDocument/2006/relationships/hyperlink" Target="https://www.newlocal.org.uk/articles/how-local-authorities-are-thinking-differently-under-unprecedented-financial-pressures/" TargetMode="External"/><Relationship Id="rId54" Type="http://schemas.openxmlformats.org/officeDocument/2006/relationships/hyperlink" Target="https://www.legislation.gov.uk/anaw/2015/2/conten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journals.sagepub.com/doi/full/10.1177/0020852319842661" TargetMode="External"/><Relationship Id="rId23" Type="http://schemas.openxmlformats.org/officeDocument/2006/relationships/hyperlink" Target="https://journals.sagepub.com/doi/full/10.1177/1461452916631889" TargetMode="External"/><Relationship Id="rId28" Type="http://schemas.openxmlformats.org/officeDocument/2006/relationships/hyperlink" Target="https://www.sciencedirect.com/science/article/pii/S0019850109001424" TargetMode="External"/><Relationship Id="rId36" Type="http://schemas.openxmlformats.org/officeDocument/2006/relationships/hyperlink" Target="https://journals.sagepub.com/doi/epdf/10.1177/1049732309350879" TargetMode="External"/><Relationship Id="rId49" Type="http://schemas.openxmlformats.org/officeDocument/2006/relationships/hyperlink" Target="https://www.researchgate.net/publication/240218229_Research_Methods_for_Business_Students"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journals.sagepub.com/doi/abs/10.1177/1350508405051188" TargetMode="External"/><Relationship Id="rId44" Type="http://schemas.openxmlformats.org/officeDocument/2006/relationships/hyperlink" Target="https://www.oecd.org/en/publications/achieving-public-sector-agility-at-times-of-fiscal-consolidation_9789264206267-en.html" TargetMode="External"/><Relationship Id="rId52" Type="http://schemas.openxmlformats.org/officeDocument/2006/relationships/hyperlink" Target="https://wcpp.org.uk/wp-content/uploads/2025/04/Position-Paper-The-Purposeand-Functions-of-Local-Government-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77</TotalTime>
  <Pages>36</Pages>
  <Words>8450</Words>
  <Characters>48169</Characters>
  <Application>Microsoft Office Word</Application>
  <DocSecurity>0</DocSecurity>
  <Lines>401</Lines>
  <Paragraphs>113</Paragraphs>
  <ScaleCrop>false</ScaleCrop>
  <Company/>
  <LinksUpToDate>false</LinksUpToDate>
  <CharactersWithSpaces>56506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Thomas (2419388)</dc:creator>
  <cp:keywords/>
  <dc:description/>
  <cp:lastModifiedBy>Amy Thomas (2419388)</cp:lastModifiedBy>
  <cp:revision>76</cp:revision>
  <dcterms:created xsi:type="dcterms:W3CDTF">2026-06-13T09:10:00Z</dcterms:created>
  <dcterms:modified xsi:type="dcterms:W3CDTF">2026-06-26T07:41:00Z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6237c4fa-5a2e-4492-b79e-3bcc9dea6ec9</vt:lpwstr>
  </property>
</Properties>
</file>