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bookmarkStart w:colFirst="0" w:colLast="0" w:name="_knsyradrsdt1" w:id="0"/>
      <w:bookmarkEnd w:id="0"/>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Task 1:</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Ethnicity and Health Inequalities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Task 2:</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HIV/AIDS</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Student Name: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t xml:space="preserve">Bilonda Bijoux Konzo </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Student ID: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t xml:space="preserve">2518836</w:t>
      </w: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Table of Contents</w:t>
      </w:r>
    </w:p>
    <w:sdt>
      <w:sdtPr>
        <w:id w:val="-1479553605"/>
        <w:docPartObj>
          <w:docPartGallery w:val="Table of Contents"/>
          <w:docPartUnique w:val="1"/>
        </w:docPartObj>
      </w:sdtPr>
      <w:sdtContent>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kijjt7ang1n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Component 2: Analytical Report</w:t>
              <w:tab/>
              <w:t xml:space="preserve">1</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hmut2v4d6bf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Task 1: Ethnicity and Health Inequalities</w:t>
              <w:tab/>
              <w:t xml:space="preserve">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de89p8fcg7a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pe67fhs29s8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Higher rates of mental ill health and coercive mental healthcare</w:t>
              <w:tab/>
              <w:t xml:space="preserve">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uu9jffiykgs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Higher burden of type 2 diabetes</w:t>
              <w:tab/>
              <w:t xml:space="preserve">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3ofzosiqmp6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Higher maternal and perinatal risk</w:t>
              <w:tab/>
              <w:t xml:space="preserve">4</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z56yannf29q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Poverty and economic insecurity</w:t>
              <w:tab/>
              <w:t xml:space="preserve">5</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4l8yajvzq69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Housing disadvantage and overcrowding</w:t>
              <w:tab/>
              <w:t xml:space="preserve">5</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p861mif18lv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Barriers to access, trust and preventive care</w:t>
              <w:tab/>
              <w:t xml:space="preserve">5</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cc00wbht326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National response to reduce ethnic health inequalities</w:t>
              <w:tab/>
              <w:t xml:space="preserve">6</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nb2ivmfwpn4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Organisation that supports the chosen group</w:t>
              <w:tab/>
              <w:t xml:space="preserve">6</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vcjgibm1sa8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bs2oqawsopx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Task 2: Epidemiological Analysis of HIV/AIDS</w:t>
              <w:tab/>
              <w:t xml:space="preserve">6</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wqnt88hcuwm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tab/>
              <w:t xml:space="preserve">6</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ocxyhh2jbsc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Incidence and prevalence demonstrating severity</w:t>
              <w:tab/>
              <w:t xml:space="preserve">7</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pvfav6gq3ot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Prevention, protection and promotion</w:t>
              <w:tab/>
              <w:t xml:space="preserve">7</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yfdlu9xgtq3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Key determinants and risk factors</w:t>
              <w:tab/>
              <w:t xml:space="preserve">8</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u7co3oo3use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Using epidemiological studies and health needs assessment to identify who is affected</w:t>
              <w:tab/>
              <w:t xml:space="preserve">8</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6gmq5f96z10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Monitoring and surveillance systems</w:t>
              <w:tab/>
              <w:t xml:space="preserve">8</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zc3vgjn16cx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Determining short- and long-term public health impact</w:t>
              <w:tab/>
              <w:t xml:space="preserve">9</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wyukl3u7t9h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Designing an intervention programme and evaluating impact</w:t>
              <w:tab/>
              <w:t xml:space="preserve">9</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i9boih4fxhg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Strengths and weaknesses of the epidemiological approach</w:t>
              <w:tab/>
              <w:t xml:space="preserve">10</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5u46m2bbnk0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k35ty9vquto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 List</w:t>
              <w:tab/>
              <w:t xml:space="preserve">11</w:t>
            </w:r>
          </w:hyperlink>
          <w:r w:rsidDel="00000000" w:rsidR="00000000" w:rsidRPr="00000000">
            <w:rPr>
              <w:rtl w:val="0"/>
            </w:rPr>
          </w:r>
        </w:p>
        <w:p w:rsidR="00000000" w:rsidDel="00000000" w:rsidP="00000000" w:rsidRDefault="00000000" w:rsidRPr="00000000" w14:paraId="0000003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pStyle w:val="Heading1"/>
        <w:spacing w:after="160" w:line="360" w:lineRule="auto"/>
        <w:rPr/>
      </w:pPr>
      <w:bookmarkStart w:colFirst="0" w:colLast="0" w:name="_hmut2v4d6bfp" w:id="1"/>
      <w:bookmarkEnd w:id="1"/>
      <w:r w:rsidDel="00000000" w:rsidR="00000000" w:rsidRPr="00000000">
        <w:rPr>
          <w:rtl w:val="0"/>
        </w:rPr>
        <w:t xml:space="preserve">Task 1: Ethnicity and Health Inequalities</w:t>
      </w:r>
    </w:p>
    <w:p w:rsidR="00000000" w:rsidDel="00000000" w:rsidP="00000000" w:rsidRDefault="00000000" w:rsidRPr="00000000" w14:paraId="0000003C">
      <w:pPr>
        <w:pStyle w:val="Heading2"/>
        <w:rPr/>
      </w:pPr>
      <w:bookmarkStart w:colFirst="0" w:colLast="0" w:name="_de89p8fcg7ar" w:id="2"/>
      <w:bookmarkEnd w:id="2"/>
      <w:r w:rsidDel="00000000" w:rsidR="00000000" w:rsidRPr="00000000">
        <w:rPr>
          <w:rtl w:val="0"/>
        </w:rPr>
        <w:t xml:space="preserve">Introduction</w:t>
      </w:r>
    </w:p>
    <w:p w:rsidR="00000000" w:rsidDel="00000000" w:rsidP="00000000" w:rsidRDefault="00000000" w:rsidRPr="00000000" w14:paraId="0000003D">
      <w:pPr>
        <w:spacing w:after="120" w:line="360" w:lineRule="auto"/>
        <w:jc w:val="both"/>
        <w:rPr/>
      </w:pPr>
      <w:r w:rsidDel="00000000" w:rsidR="00000000" w:rsidRPr="00000000">
        <w:rPr>
          <w:rtl w:val="0"/>
        </w:rPr>
        <w:t xml:space="preserve">In the case of this report, the selected target audience is ethnic minorities in the United Kingdom, specifically the Black Africans, Black Caribbean, South Asians and other racially minoritised communities. Ethnicity is a collective social identity formed by family lineage, culture, language, migration background, and experience. These groups face the risk of health inequalities not because ethnicity is biologically toxic, but because structural racism, material deprivation and varied exposure to services influence risk exposure and provision of protection. Recent evidence from the UK indicates that ethnic inequalities are evident in healthcare utilisation, quality of care, and outcomes, particularly among individuals living with multiple long-term conditions or facing obstacles related to migration status, language, or poverty (Hayanga, 2021). Ethnic health inequality must then be understood as a socially constructed phenomenon rather than a natural disparity between populations (Bansal, 2022).</w:t>
      </w:r>
    </w:p>
    <w:p w:rsidR="00000000" w:rsidDel="00000000" w:rsidP="00000000" w:rsidRDefault="00000000" w:rsidRPr="00000000" w14:paraId="0000003E">
      <w:pPr>
        <w:pStyle w:val="Heading2"/>
        <w:rPr/>
      </w:pPr>
      <w:bookmarkStart w:colFirst="0" w:colLast="0" w:name="_pe67fhs29s82" w:id="3"/>
      <w:bookmarkEnd w:id="3"/>
      <w:r w:rsidDel="00000000" w:rsidR="00000000" w:rsidRPr="00000000">
        <w:rPr>
          <w:rtl w:val="0"/>
        </w:rPr>
        <w:t xml:space="preserve">Higher rates of mental ill health and coercive mental healthcare</w:t>
      </w:r>
    </w:p>
    <w:p w:rsidR="00000000" w:rsidDel="00000000" w:rsidP="00000000" w:rsidRDefault="00000000" w:rsidRPr="00000000" w14:paraId="0000003F">
      <w:pPr>
        <w:spacing w:after="120" w:line="360" w:lineRule="auto"/>
        <w:jc w:val="both"/>
        <w:rPr/>
      </w:pPr>
      <w:r w:rsidDel="00000000" w:rsidR="00000000" w:rsidRPr="00000000">
        <w:rPr>
          <w:rtl w:val="0"/>
        </w:rPr>
        <w:t xml:space="preserve">Communities of ethnic minorities, especially Black Caribbean and Black African, still face significant mental healthcare disparities. Recent data indicate that the disproportion continues to be overrepresented in involuntary admissions, emergency trajectories and restrictive treatment, and access to treatment and culturally competent care is weaker than desired (Bansal, 2022). They are the inequalities that are made by structural racism, the distrust as a result of past bad experiences and not investing in prevention adequately. The outcome is the subsequent late access to care via police, emergency or incarceration channels instead of being provided earlier through community assistance. Anti-racist service redesign, workforce training, collaboration with community leaders, and a previously culturally adapted primary care intervention should all be solutions (Winsper, 2024).</w:t>
      </w:r>
    </w:p>
    <w:p w:rsidR="00000000" w:rsidDel="00000000" w:rsidP="00000000" w:rsidRDefault="00000000" w:rsidRPr="00000000" w14:paraId="00000040">
      <w:pPr>
        <w:pStyle w:val="Heading2"/>
        <w:rPr/>
      </w:pPr>
      <w:bookmarkStart w:colFirst="0" w:colLast="0" w:name="_uu9jffiykgsg" w:id="4"/>
      <w:bookmarkEnd w:id="4"/>
      <w:r w:rsidDel="00000000" w:rsidR="00000000" w:rsidRPr="00000000">
        <w:rPr>
          <w:rtl w:val="0"/>
        </w:rPr>
        <w:t xml:space="preserve">Higher burden of type 2 diabetes</w:t>
      </w:r>
    </w:p>
    <w:p w:rsidR="00000000" w:rsidDel="00000000" w:rsidP="00000000" w:rsidRDefault="00000000" w:rsidRPr="00000000" w14:paraId="00000041">
      <w:pPr>
        <w:spacing w:after="120" w:line="360" w:lineRule="auto"/>
        <w:jc w:val="both"/>
        <w:rPr/>
      </w:pPr>
      <w:r w:rsidDel="00000000" w:rsidR="00000000" w:rsidRPr="00000000">
        <w:rPr>
          <w:rtl w:val="0"/>
        </w:rPr>
        <w:t xml:space="preserve">Another apparent ethnic inequality of diabetes in the UK is Type 2 diabetes. The South Asians and black communities develop diabetes at earlier stages and at decreased body mass index levels compared to the White population, thus creating more exposure to complications over a lifetime. Ethnic differences in East London and other real-world examples also demonstrate the manifestations of diabetes and its need to progress, which are predetermined by biology and social factors such as deprivation, the food environment, and ongoing preventive care (Mathur, 2022). Even though prevention programmes can reduce risk, uneven adoption and conformity could recreate inequality unless the programmes are modelled in language, work patterns, and cultural acceptability (Chatzi, 2023). One feasible approach is to apply risk thresholds tailored to various ethnic groups and to increase community outreach. Cardiovascular risk, driven by ethnic differences, further underscores the need for combined prevention of cardiovascular disease rather than an isolated response to the disease (Razieh, 2022).</w:t>
      </w:r>
    </w:p>
    <w:p w:rsidR="00000000" w:rsidDel="00000000" w:rsidP="00000000" w:rsidRDefault="00000000" w:rsidRPr="00000000" w14:paraId="00000042">
      <w:pPr>
        <w:pStyle w:val="Heading2"/>
        <w:rPr/>
      </w:pPr>
      <w:bookmarkStart w:colFirst="0" w:colLast="0" w:name="_3ofzosiqmp6v" w:id="5"/>
      <w:bookmarkEnd w:id="5"/>
      <w:r w:rsidDel="00000000" w:rsidR="00000000" w:rsidRPr="00000000">
        <w:rPr>
          <w:rtl w:val="0"/>
        </w:rPr>
        <w:t xml:space="preserve">Higher maternal and perinatal risk</w:t>
      </w:r>
    </w:p>
    <w:p w:rsidR="00000000" w:rsidDel="00000000" w:rsidP="00000000" w:rsidRDefault="00000000" w:rsidRPr="00000000" w14:paraId="00000043">
      <w:pPr>
        <w:spacing w:after="120" w:line="360" w:lineRule="auto"/>
        <w:jc w:val="both"/>
        <w:rPr/>
      </w:pPr>
      <w:r w:rsidDel="00000000" w:rsidR="00000000" w:rsidRPr="00000000">
        <w:rPr>
          <w:rtl w:val="0"/>
        </w:rPr>
        <w:t xml:space="preserve">Maternity care also has high ethnic disparities. The syntheses of evidence demonstrate that Black, Asian and minority ethnic women tend to report worse communication, stereotyping, dismissal of symptoms and difficulty finding the way to services, which can lead to avoidable bad outcomes (MacLellan, 2022). Co-national cohort evidence in England also indicates ethnic differences in labour and birth outcomes, even in low-risk pregnancies, suggesting that the full account of inequality is not due to clinical risk (Muller, 2023). These trends are associated with racism, language factors and decreased continuity of care. Some of the solutions include continuity-of-care models for women at greatest risk, a culturally competent maternity team, and improved interpreter support. Lack of inequalities in intra-pregnancy smoking in London also implies that the maternity risk is exacerbated by deprivation and disparate interactions with prevention (Pinho-Gomes, 2023).</w:t>
      </w:r>
    </w:p>
    <w:p w:rsidR="00000000" w:rsidDel="00000000" w:rsidP="00000000" w:rsidRDefault="00000000" w:rsidRPr="00000000" w14:paraId="00000044">
      <w:pPr>
        <w:pStyle w:val="Heading2"/>
        <w:rPr/>
      </w:pPr>
      <w:bookmarkStart w:colFirst="0" w:colLast="0" w:name="_z56yannf29qe" w:id="6"/>
      <w:bookmarkEnd w:id="6"/>
      <w:r w:rsidDel="00000000" w:rsidR="00000000" w:rsidRPr="00000000">
        <w:rPr>
          <w:rtl w:val="0"/>
        </w:rPr>
        <w:t xml:space="preserve">Poverty and economic insecurity</w:t>
      </w:r>
    </w:p>
    <w:p w:rsidR="00000000" w:rsidDel="00000000" w:rsidP="00000000" w:rsidRDefault="00000000" w:rsidRPr="00000000" w14:paraId="00000045">
      <w:pPr>
        <w:spacing w:after="120" w:line="360" w:lineRule="auto"/>
        <w:jc w:val="both"/>
        <w:rPr/>
      </w:pPr>
      <w:r w:rsidDel="00000000" w:rsidR="00000000" w:rsidRPr="00000000">
        <w:rPr>
          <w:rtl w:val="0"/>
        </w:rPr>
        <w:t xml:space="preserve">Poverty is one of the largest contributors to ethnic health inequality since it determines the diet, housing conditions, stress, and transportation and access to healthcare facilities. Households of ethnic minority tend to have low income, unreliable employment and financial stress that in turn heightens the risk of ill health and vulnerability to a crisis. Studies on ethnic disparities in patient satisfaction and access to primary care have shown that poor experiences, in part, are determined by socioeconomic disadvantage, which affects all service contacts (not just primary care) (Magadi, 2022). To lessen this disparity, there must be a policy that goes beyond healthcare, such as ensuring safe jobs, income security, and special treatment in poor neighbourhoods.</w:t>
      </w:r>
    </w:p>
    <w:p w:rsidR="00000000" w:rsidDel="00000000" w:rsidP="00000000" w:rsidRDefault="00000000" w:rsidRPr="00000000" w14:paraId="00000046">
      <w:pPr>
        <w:pStyle w:val="Heading2"/>
        <w:rPr/>
      </w:pPr>
      <w:bookmarkStart w:colFirst="0" w:colLast="0" w:name="_4l8yajvzq698" w:id="7"/>
      <w:bookmarkEnd w:id="7"/>
      <w:r w:rsidDel="00000000" w:rsidR="00000000" w:rsidRPr="00000000">
        <w:rPr>
          <w:rtl w:val="0"/>
        </w:rPr>
        <w:t xml:space="preserve">Housing disadvantage and overcrowding</w:t>
      </w:r>
    </w:p>
    <w:p w:rsidR="00000000" w:rsidDel="00000000" w:rsidP="00000000" w:rsidRDefault="00000000" w:rsidRPr="00000000" w14:paraId="00000047">
      <w:pPr>
        <w:spacing w:after="120" w:line="360" w:lineRule="auto"/>
        <w:jc w:val="both"/>
        <w:rPr/>
      </w:pPr>
      <w:r w:rsidDel="00000000" w:rsidR="00000000" w:rsidRPr="00000000">
        <w:rPr>
          <w:rtl w:val="0"/>
        </w:rPr>
        <w:t xml:space="preserve">One of the major social problems that connects ethnicity with ill health is poor housing. Crowding, poor housing conditions, dubious and insecure tenancy bring the dangers of respiratory diseases, mental health issues, and the spread of infectious diseases. Owing to the labour market inequality, lack of racial majority in the housing systems, and concentrated deprivation, the racially minoritised groups are disproportionately exposed. The literature on ethnic health disparities indicates time and again that structural determinants beyond the clinic that affect these disparities, such as the interplay of race, place and material living conditions (Hayanga, 2021). Some solutions include implementing tougher housing conditions, addressing unsafe rental conditions, and coordinating with local government and health services.</w:t>
      </w:r>
    </w:p>
    <w:p w:rsidR="00000000" w:rsidDel="00000000" w:rsidP="00000000" w:rsidRDefault="00000000" w:rsidRPr="00000000" w14:paraId="00000048">
      <w:pPr>
        <w:pStyle w:val="Heading2"/>
        <w:rPr/>
      </w:pPr>
      <w:bookmarkStart w:colFirst="0" w:colLast="0" w:name="_p861mif18lvc" w:id="8"/>
      <w:bookmarkEnd w:id="8"/>
      <w:r w:rsidDel="00000000" w:rsidR="00000000" w:rsidRPr="00000000">
        <w:rPr>
          <w:rtl w:val="0"/>
        </w:rPr>
        <w:t xml:space="preserve">Barriers to access, trust and preventive care</w:t>
      </w:r>
    </w:p>
    <w:p w:rsidR="00000000" w:rsidDel="00000000" w:rsidP="00000000" w:rsidRDefault="00000000" w:rsidRPr="00000000" w14:paraId="00000049">
      <w:pPr>
        <w:spacing w:after="120" w:line="360" w:lineRule="auto"/>
        <w:jc w:val="both"/>
        <w:rPr/>
      </w:pPr>
      <w:r w:rsidDel="00000000" w:rsidR="00000000" w:rsidRPr="00000000">
        <w:rPr>
          <w:rtl w:val="0"/>
        </w:rPr>
        <w:t xml:space="preserve">The last significant problem is the inequitable access to routine and preventive care. Cancer diagnostic paths, preclusionable hospitalisation and vaccinations have proven to be ethnically unequal, indicating that the issues are endured across the length of the patient pathway as opposed to pivoting to just a single point (Martins, 2022). Reduced uptake is usually seen as a communal deficit, but the evidence demonstrates that it stems from mistrust, past discrimination, language barriers, and rigid service design (Watkinson, 2022). Missed preventive care will increase the likelihood that people will arrive late for emergency care and further exacerbate inequality (Petersen, 2022). The solution to this challenge lies in trustworthy communication, local community ambassadors, and simplified appointment procedures. Linked data has also demonstrated its usefulness for national surveillance of vaccine uptake, revealing disparities that could otherwise be concealed by aggregate reporting (Dolby, 2022).</w:t>
      </w:r>
    </w:p>
    <w:p w:rsidR="00000000" w:rsidDel="00000000" w:rsidP="00000000" w:rsidRDefault="00000000" w:rsidRPr="00000000" w14:paraId="0000004A">
      <w:pPr>
        <w:pStyle w:val="Heading2"/>
        <w:rPr/>
      </w:pPr>
      <w:bookmarkStart w:colFirst="0" w:colLast="0" w:name="_cc00wbht326v" w:id="9"/>
      <w:bookmarkEnd w:id="9"/>
      <w:r w:rsidDel="00000000" w:rsidR="00000000" w:rsidRPr="00000000">
        <w:rPr>
          <w:rtl w:val="0"/>
        </w:rPr>
        <w:t xml:space="preserve">National response to reduce ethnic health inequalities</w:t>
      </w:r>
    </w:p>
    <w:p w:rsidR="00000000" w:rsidDel="00000000" w:rsidP="00000000" w:rsidRDefault="00000000" w:rsidRPr="00000000" w14:paraId="0000004B">
      <w:pPr>
        <w:spacing w:after="120" w:line="360" w:lineRule="auto"/>
        <w:jc w:val="both"/>
        <w:rPr/>
      </w:pPr>
      <w:r w:rsidDel="00000000" w:rsidR="00000000" w:rsidRPr="00000000">
        <w:rPr>
          <w:rtl w:val="0"/>
        </w:rPr>
        <w:t xml:space="preserve">At the national level, two important responses can be outlined. First, the NHS Core20PLUS5 strategy has compelled services to target the most disadvantaged and inclusion populations, such as ethnic minority groups, by prioritising areas such as maternity, chronic disease and screening. Second, the framework of race equity in mental health, the Patient and Carer Race Equality Framework, has identified that race equity requires certain improvement plans, improved data and community accountability. The significance of such initiatives lies in their shift of focus to quantifiable inequalities. Indeed, recent scholarship postulates that policy ambition cannot be effective without also being complemented by anti-racist leadership, local implementation and community involvement (Bansal, 2022).</w:t>
      </w:r>
    </w:p>
    <w:p w:rsidR="00000000" w:rsidDel="00000000" w:rsidP="00000000" w:rsidRDefault="00000000" w:rsidRPr="00000000" w14:paraId="0000004C">
      <w:pPr>
        <w:pStyle w:val="Heading2"/>
        <w:rPr/>
      </w:pPr>
      <w:bookmarkStart w:colFirst="0" w:colLast="0" w:name="_nb2ivmfwpn4d" w:id="10"/>
      <w:bookmarkEnd w:id="10"/>
      <w:r w:rsidDel="00000000" w:rsidR="00000000" w:rsidRPr="00000000">
        <w:rPr>
          <w:rtl w:val="0"/>
        </w:rPr>
        <w:t xml:space="preserve">An organisation that supports the chosen group</w:t>
      </w:r>
    </w:p>
    <w:p w:rsidR="00000000" w:rsidDel="00000000" w:rsidP="00000000" w:rsidRDefault="00000000" w:rsidRPr="00000000" w14:paraId="0000004D">
      <w:pPr>
        <w:spacing w:after="120" w:line="360" w:lineRule="auto"/>
        <w:jc w:val="both"/>
        <w:rPr/>
      </w:pPr>
      <w:r w:rsidDel="00000000" w:rsidR="00000000" w:rsidRPr="00000000">
        <w:rPr>
          <w:rtl w:val="0"/>
        </w:rPr>
        <w:t xml:space="preserve">The Race Equality Foundation is one of the charities. Its broader scope is to raise awareness of racial inequality in health and social care, shape policy, and facilitate evidence-based change across services. It collaborates with communities, professionals, and decision-makers to highlight the phenomenon of racism and exclusion in explaining health outcomes. Regarding ethnic health disparities, the charity will reduce unfair disparities in access, experience, and outcomes by ensuring the community's voice and enhancing evidence utilisation. This is a critical role, as research indicates that enhancing trust and cultural safety must be accompanied by organisations already credible in minoritised communities (Prajapati, 2022).</w:t>
      </w:r>
    </w:p>
    <w:p w:rsidR="00000000" w:rsidDel="00000000" w:rsidP="00000000" w:rsidRDefault="00000000" w:rsidRPr="00000000" w14:paraId="0000004E">
      <w:pPr>
        <w:pStyle w:val="Heading2"/>
        <w:rPr/>
      </w:pPr>
      <w:bookmarkStart w:colFirst="0" w:colLast="0" w:name="_vcjgibm1sa8s" w:id="11"/>
      <w:bookmarkEnd w:id="11"/>
      <w:r w:rsidDel="00000000" w:rsidR="00000000" w:rsidRPr="00000000">
        <w:rPr>
          <w:rtl w:val="0"/>
        </w:rPr>
        <w:t xml:space="preserve">Conclusion</w:t>
      </w:r>
    </w:p>
    <w:p w:rsidR="00000000" w:rsidDel="00000000" w:rsidP="00000000" w:rsidRDefault="00000000" w:rsidRPr="00000000" w14:paraId="0000004F">
      <w:pPr>
        <w:spacing w:after="120" w:line="360" w:lineRule="auto"/>
        <w:jc w:val="both"/>
        <w:rPr/>
      </w:pPr>
      <w:r w:rsidDel="00000000" w:rsidR="00000000" w:rsidRPr="00000000">
        <w:rPr>
          <w:rtl w:val="0"/>
        </w:rPr>
        <w:t xml:space="preserve">Ethnic health inequality in the UK is a complex issue that is generated through structural racism, poverty and designing unequal services. Mental ill health and coercive care, type 2 diabetes, maternal risk, poverty, and housing disadvantage and obstacles to preventive care topped the list of the most important issues discussed here. In each of the six locations, the ethnic minority population is more vulnerable and has weaker protection, experiencing inadequate care. </w:t>
      </w:r>
    </w:p>
    <w:p w:rsidR="00000000" w:rsidDel="00000000" w:rsidP="00000000" w:rsidRDefault="00000000" w:rsidRPr="00000000" w14:paraId="00000050">
      <w:pPr>
        <w:pStyle w:val="Heading1"/>
        <w:spacing w:after="160" w:line="360" w:lineRule="auto"/>
        <w:rPr/>
      </w:pPr>
      <w:bookmarkStart w:colFirst="0" w:colLast="0" w:name="_bs2oqawsopxy" w:id="12"/>
      <w:bookmarkEnd w:id="12"/>
      <w:r w:rsidDel="00000000" w:rsidR="00000000" w:rsidRPr="00000000">
        <w:rPr>
          <w:rtl w:val="0"/>
        </w:rPr>
        <w:t xml:space="preserve">Task 2: Epidemiological Analysis of HIV/AIDS</w:t>
      </w:r>
    </w:p>
    <w:p w:rsidR="00000000" w:rsidDel="00000000" w:rsidP="00000000" w:rsidRDefault="00000000" w:rsidRPr="00000000" w14:paraId="00000051">
      <w:pPr>
        <w:pStyle w:val="Heading2"/>
        <w:rPr/>
      </w:pPr>
      <w:bookmarkStart w:colFirst="0" w:colLast="0" w:name="_wqnt88hcuwmo" w:id="13"/>
      <w:bookmarkEnd w:id="13"/>
      <w:r w:rsidDel="00000000" w:rsidR="00000000" w:rsidRPr="00000000">
        <w:rPr>
          <w:rtl w:val="0"/>
        </w:rPr>
        <w:t xml:space="preserve">Introduction</w:t>
      </w:r>
    </w:p>
    <w:p w:rsidR="00000000" w:rsidDel="00000000" w:rsidP="00000000" w:rsidRDefault="00000000" w:rsidRPr="00000000" w14:paraId="00000052">
      <w:pPr>
        <w:spacing w:after="120" w:line="360" w:lineRule="auto"/>
        <w:jc w:val="both"/>
        <w:rPr/>
      </w:pPr>
      <w:r w:rsidDel="00000000" w:rsidR="00000000" w:rsidRPr="00000000">
        <w:rPr>
          <w:rtl w:val="0"/>
        </w:rPr>
        <w:t xml:space="preserve">In the case of Task 2, the selected public health issue is HIV infection and the subsequent developments to AIDS, with a particular reference to men who have gay, bisexual sex and other men in inner London. HIV is a transmissible infection caused by human immunodeficiency virus, which deteriorates the immune defence gradually and, in the absence of medication, may develop AIDS, opportunistic infections and premature deaths. The results of its consequences are not just biomedical. Even in the case of a healthy viral load, the HIV stigmatising condition successfully causes mental distress, social exclusion, and demands on health and social care in the long run (Payagala, 2024). The prevalence is also high, with around 38 million individuals living with HIV throughout the world, and inequalities in identifying and receiving treatments and dying of AIDS vary by region and population (Mody, 2024). The epidemic is more focused in the UK; however, it is a severe challenge to the public health of the country due to the need still being generated by late diagnosis, transmission in the key groups and an ageing population with HIV (Boardman, 2024).</w:t>
      </w:r>
    </w:p>
    <w:p w:rsidR="00000000" w:rsidDel="00000000" w:rsidP="00000000" w:rsidRDefault="00000000" w:rsidRPr="00000000" w14:paraId="00000053">
      <w:pPr>
        <w:pStyle w:val="Heading2"/>
        <w:rPr/>
      </w:pPr>
      <w:bookmarkStart w:colFirst="0" w:colLast="0" w:name="_ocxyhh2jbsc4" w:id="14"/>
      <w:bookmarkEnd w:id="14"/>
      <w:r w:rsidDel="00000000" w:rsidR="00000000" w:rsidRPr="00000000">
        <w:rPr>
          <w:rtl w:val="0"/>
        </w:rPr>
        <w:t xml:space="preserve">Incidence and prevalence demonstrating severity.</w:t>
      </w:r>
    </w:p>
    <w:p w:rsidR="00000000" w:rsidDel="00000000" w:rsidP="00000000" w:rsidRDefault="00000000" w:rsidRPr="00000000" w14:paraId="00000054">
      <w:pPr>
        <w:spacing w:after="120" w:line="360" w:lineRule="auto"/>
        <w:jc w:val="both"/>
        <w:rPr/>
      </w:pPr>
      <w:r w:rsidDel="00000000" w:rsidR="00000000" w:rsidRPr="00000000">
        <w:rPr>
          <w:rtl w:val="0"/>
        </w:rPr>
        <w:t xml:space="preserve">Prevalence and incidence are the approaches used to show the severity of HIV. Since the disease has not been eliminated by biomedical technology and continues to have prevalence and transmission despite effective treatment and control, this demonstrates that the structural drivers of infection remain in place worldwide (Payagala, 2024). In the UK, prevalence is lower than in high-burden countries. Yet, it is focused on some groups of people, in particular, gay and bisexual men, some migrant communities, and residents of major urban centres. The UK experience of modelling illustrates that the incidence of HIV among gay and bisexual men has decreased significantly over the past decade. However, it was assumed that this was due to combination prevention; infections by HIV have not been eradicated, and this decrease is unequally distributed (Cambiano, 2023). Inner London is epidemiologically significant due to concentrated sexual networks, mobility, as well as testing and prevention inequalities, due to which incidence may be maintained in an overall country decrease.</w:t>
      </w:r>
    </w:p>
    <w:p w:rsidR="00000000" w:rsidDel="00000000" w:rsidP="00000000" w:rsidRDefault="00000000" w:rsidRPr="00000000" w14:paraId="00000055">
      <w:pPr>
        <w:pStyle w:val="Heading2"/>
        <w:rPr/>
      </w:pPr>
      <w:bookmarkStart w:colFirst="0" w:colLast="0" w:name="_pvfav6gq3ot1" w:id="15"/>
      <w:bookmarkEnd w:id="15"/>
      <w:r w:rsidDel="00000000" w:rsidR="00000000" w:rsidRPr="00000000">
        <w:rPr>
          <w:rtl w:val="0"/>
        </w:rPr>
        <w:t xml:space="preserve">Prevention, protection and promotion</w:t>
      </w:r>
    </w:p>
    <w:p w:rsidR="00000000" w:rsidDel="00000000" w:rsidP="00000000" w:rsidRDefault="00000000" w:rsidRPr="00000000" w14:paraId="00000056">
      <w:pPr>
        <w:spacing w:after="120" w:line="360" w:lineRule="auto"/>
        <w:jc w:val="both"/>
        <w:rPr/>
      </w:pPr>
      <w:r w:rsidDel="00000000" w:rsidR="00000000" w:rsidRPr="00000000">
        <w:rPr>
          <w:rtl w:val="0"/>
        </w:rPr>
        <w:t xml:space="preserve">The three Ps can be used to analyse the public health measures aimed at this population. The preventive strategies involve condom promotion, prompt testing, partner notification, and pre-exposure prophylaxis. Based on UK modelling, gay and bisexual men have been facing a steep decline in HIV incidence, which, however, has been caused by the combined effect of increased testing itself, earlier antiretroviral treatment and PrEP scale-up and not by any individual intervention (Cambiano, 2023). Protection includes monitoring, blood safety, infection control, and periodic testing in high-prevalence areas. Promotion consists of health education, stigma reduction, and campaigns that normalise testing and improve retention in care. The systematic review data indicate that demand-creation interventions may increase HIV testing, especially when they are community-based and address both practical and psychological barriers (Wagner, 2023).</w:t>
      </w:r>
    </w:p>
    <w:p w:rsidR="00000000" w:rsidDel="00000000" w:rsidP="00000000" w:rsidRDefault="00000000" w:rsidRPr="00000000" w14:paraId="00000057">
      <w:pPr>
        <w:pStyle w:val="Heading2"/>
        <w:rPr/>
      </w:pPr>
      <w:bookmarkStart w:colFirst="0" w:colLast="0" w:name="_yfdlu9xgtq39" w:id="16"/>
      <w:bookmarkEnd w:id="16"/>
      <w:r w:rsidDel="00000000" w:rsidR="00000000" w:rsidRPr="00000000">
        <w:rPr>
          <w:rtl w:val="0"/>
        </w:rPr>
        <w:t xml:space="preserve">Key determinants and risk factors</w:t>
      </w:r>
    </w:p>
    <w:p w:rsidR="00000000" w:rsidDel="00000000" w:rsidP="00000000" w:rsidRDefault="00000000" w:rsidRPr="00000000" w14:paraId="00000058">
      <w:pPr>
        <w:spacing w:after="120" w:line="360" w:lineRule="auto"/>
        <w:jc w:val="both"/>
        <w:rPr/>
      </w:pPr>
      <w:r w:rsidDel="00000000" w:rsidR="00000000" w:rsidRPr="00000000">
        <w:rPr>
          <w:rtl w:val="0"/>
        </w:rPr>
        <w:t xml:space="preserve">The major contributors to HIV among this specified population are condomless sex and high-prevalence networks, delayed or deficient testing, the disparate use of PrEP, stigma, migration barriers, mental health challenges and broader social injustices. Social organisation of risk is becoming evident in the epidemiological literature, not as randomly distributed risk. For example, due to a lack of legal security, language barriers, and fear of discrimination, migrants may experience disruptions to care or late diagnosis, which can impact individual outcomes and the control of the population in question (Kamenshchikova, 2024). Equally, prevention of HIV in inner London has been working wonderfully well in some groups. It is equally inaccessible to others, and it is feared that future development may seem stagnant unless prevention is more focused (Whitlock, 2025). The following determinants demonstrate why epidemiological analysis needs to go beyond behaviour and engage the systems which form exposure and access to services.</w:t>
      </w:r>
    </w:p>
    <w:p w:rsidR="00000000" w:rsidDel="00000000" w:rsidP="00000000" w:rsidRDefault="00000000" w:rsidRPr="00000000" w14:paraId="00000059">
      <w:pPr>
        <w:spacing w:after="120" w:line="360" w:lineRule="auto"/>
        <w:jc w:val="both"/>
        <w:rPr/>
      </w:pPr>
      <w:r w:rsidDel="00000000" w:rsidR="00000000" w:rsidRPr="00000000">
        <w:rPr>
          <w:rtl w:val="0"/>
        </w:rPr>
      </w:r>
    </w:p>
    <w:p w:rsidR="00000000" w:rsidDel="00000000" w:rsidP="00000000" w:rsidRDefault="00000000" w:rsidRPr="00000000" w14:paraId="0000005A">
      <w:pPr>
        <w:pStyle w:val="Heading2"/>
        <w:rPr/>
      </w:pPr>
      <w:bookmarkStart w:colFirst="0" w:colLast="0" w:name="_u7co3oo3use8" w:id="17"/>
      <w:bookmarkEnd w:id="17"/>
      <w:r w:rsidDel="00000000" w:rsidR="00000000" w:rsidRPr="00000000">
        <w:rPr>
          <w:rtl w:val="0"/>
        </w:rPr>
        <w:t xml:space="preserve">Using epidemiological studies and health needs assessment to identify who is affected.</w:t>
      </w:r>
    </w:p>
    <w:p w:rsidR="00000000" w:rsidDel="00000000" w:rsidP="00000000" w:rsidRDefault="00000000" w:rsidRPr="00000000" w14:paraId="0000005B">
      <w:pPr>
        <w:spacing w:after="120" w:line="360" w:lineRule="auto"/>
        <w:jc w:val="both"/>
        <w:rPr/>
      </w:pPr>
      <w:r w:rsidDel="00000000" w:rsidR="00000000" w:rsidRPr="00000000">
        <w:rPr>
          <w:rtl w:val="0"/>
        </w:rPr>
        <w:t xml:space="preserve">Understanding the health needs assessment of inner London would reveal that gay and bisexual men are the most at a risk, but furthermore, it would determine the heterogeneity of this population group in terms of age, ethnicity, migration status and socioeconomic position. Epidemiological research demonstrates that not all gay men run a risk of HIV. The individuals with the reduced testing frequency, worse access to PrEP or weaker connections with sexual health services are more susceptible to acquisition and late diagnosis (Cambiano, 2023). A local needs assessment would then be conducted using routine surveillance, data on sexual health services, laboratory reports, and community intelligence to identify micro-populations at risk. It also must consider individuals who have already been living with HIV, as disability, stigma and multimorbidity present more service requirements despite a successful treatment (Brown, 2022).</w:t>
      </w:r>
    </w:p>
    <w:p w:rsidR="00000000" w:rsidDel="00000000" w:rsidP="00000000" w:rsidRDefault="00000000" w:rsidRPr="00000000" w14:paraId="0000005C">
      <w:pPr>
        <w:pStyle w:val="Heading2"/>
        <w:rPr/>
      </w:pPr>
      <w:bookmarkStart w:colFirst="0" w:colLast="0" w:name="_6gmq5f96z107" w:id="18"/>
      <w:bookmarkEnd w:id="18"/>
      <w:r w:rsidDel="00000000" w:rsidR="00000000" w:rsidRPr="00000000">
        <w:rPr>
          <w:rtl w:val="0"/>
        </w:rPr>
        <w:t xml:space="preserve">Monitoring and surveillance systems</w:t>
      </w:r>
    </w:p>
    <w:p w:rsidR="00000000" w:rsidDel="00000000" w:rsidP="00000000" w:rsidRDefault="00000000" w:rsidRPr="00000000" w14:paraId="0000005D">
      <w:pPr>
        <w:spacing w:after="120" w:line="360" w:lineRule="auto"/>
        <w:jc w:val="both"/>
        <w:rPr/>
      </w:pPr>
      <w:r w:rsidDel="00000000" w:rsidR="00000000" w:rsidRPr="00000000">
        <w:rPr>
          <w:rtl w:val="0"/>
        </w:rPr>
        <w:t xml:space="preserve">HIV incidence needs to be monitored through multiple surveillance systems, as a single system cannot be used. Such standard systems are case reporting of new diagnoses, lab surveillance, CD4 count and viral load surveillance, sexual health clinic surveillance, mortality surveillance and partner notification. Cascades of care surveillance is another critical component of a mature epidemic, as public health achievement relies on diagnosis, linkage, maintenance, treatment, and viral suppression. The usefulness of linked routine data in cyclical coverage of HIV care cascades is effectively demonstrated by recent studies that find repeated disengagement and re-engagement in a non-linear relationship (Euvrard, 2024). Case finding may also be enhanced by establishing emergency department opt-out blood-borne virus testing to better understand missed opportunities to diagnose people with few routine healthcare contacts (Simmons, 2023). The advantage of this mixed surveillance model is that it provides depth and breadth, even though the problem of data interrelations and missing codes also becomes a significant weakness. There are also real-life emergency department programmes where opt-out testing can be maintained, as the digital systems and linkage pathways are properly designed (Nebbia, 2022).</w:t>
      </w:r>
    </w:p>
    <w:p w:rsidR="00000000" w:rsidDel="00000000" w:rsidP="00000000" w:rsidRDefault="00000000" w:rsidRPr="00000000" w14:paraId="0000005E">
      <w:pPr>
        <w:pStyle w:val="Heading2"/>
        <w:rPr/>
      </w:pPr>
      <w:bookmarkStart w:colFirst="0" w:colLast="0" w:name="_zc3vgjn16cx0" w:id="19"/>
      <w:bookmarkEnd w:id="19"/>
      <w:r w:rsidDel="00000000" w:rsidR="00000000" w:rsidRPr="00000000">
        <w:rPr>
          <w:rtl w:val="0"/>
        </w:rPr>
        <w:t xml:space="preserve">Determining short- and long-term public health impact</w:t>
      </w:r>
    </w:p>
    <w:p w:rsidR="00000000" w:rsidDel="00000000" w:rsidP="00000000" w:rsidRDefault="00000000" w:rsidRPr="00000000" w14:paraId="0000005F">
      <w:pPr>
        <w:spacing w:after="120" w:line="360" w:lineRule="auto"/>
        <w:jc w:val="both"/>
        <w:rPr/>
      </w:pPr>
      <w:r w:rsidDel="00000000" w:rsidR="00000000" w:rsidRPr="00000000">
        <w:rPr>
          <w:rtl w:val="0"/>
        </w:rPr>
        <w:t xml:space="preserve">The long- term and the short-term effects of HIV on the population are also determined through epidemiology. Long-term, late diagnosis results in preventable morbidity, further transmission and an increase in treatment costs. The ageing, disability and multimorbidity among survivors with well-controlled infection become burdensome in the long term. Evidence regarding adults with HIV living in London demonstrates that even with a high level of viral suppression, they can have significant episodic impairment of social participation, mental health, and daily functioning (Brown, 2022). On a bigger scale, AIDS causes more deaths, though individuals with H.I.V. continue to die of AIDS and non-AIDS conditions, adjusting the planning issue to not one of acute crisis response but that of integrated care on a long-term level (Trickey, 2024). Frailty and quality of life reviews also indicate that a successful treatment fails to eliminate rehabilitation and person-centred long-term support (Bristow, 2022).</w:t>
      </w:r>
    </w:p>
    <w:p w:rsidR="00000000" w:rsidDel="00000000" w:rsidP="00000000" w:rsidRDefault="00000000" w:rsidRPr="00000000" w14:paraId="00000060">
      <w:pPr>
        <w:pStyle w:val="Heading2"/>
        <w:rPr/>
      </w:pPr>
      <w:bookmarkStart w:colFirst="0" w:colLast="0" w:name="_wyukl3u7t9h4" w:id="20"/>
      <w:bookmarkEnd w:id="20"/>
      <w:r w:rsidDel="00000000" w:rsidR="00000000" w:rsidRPr="00000000">
        <w:rPr>
          <w:rtl w:val="0"/>
        </w:rPr>
        <w:t xml:space="preserve">Designing an intervention programme and evaluating impact</w:t>
      </w:r>
    </w:p>
    <w:p w:rsidR="00000000" w:rsidDel="00000000" w:rsidP="00000000" w:rsidRDefault="00000000" w:rsidRPr="00000000" w14:paraId="00000061">
      <w:pPr>
        <w:spacing w:after="120" w:line="360" w:lineRule="auto"/>
        <w:jc w:val="both"/>
        <w:rPr/>
      </w:pPr>
      <w:r w:rsidDel="00000000" w:rsidR="00000000" w:rsidRPr="00000000">
        <w:rPr>
          <w:rtl w:val="0"/>
        </w:rPr>
        <w:t xml:space="preserve">A suitable intervention programme to cover inner London would involve expanded testing on HIV, targeted PrEP outreach, culturally competent prevention with underserved subgroups and enhanced retention support upon diagnosis. Sexual health clinics, community locations, online routes and opt-out models in health care facilities with higher rates should provide tests. The rationale for community-led HIV self-testing is that trial evidence indicates it is a safe and cost-effective way to increase coverage where traditional clinic access is limited, or levels of mistrust are high (Indravudh, 2021). The delivery of PrEP must be facilitated and accompanied by adherence support, as research on implementation demonstrates that persistence depends on service navigation, stigma, concerns about side effects, and life situations (MacDonald, 2023). Testing uptake, percentage of new diagnoses at an early age, PrEP initiation and continuation, control of HIV, re-engagement after missed appointments and patient-reported outcomes should be evaluated. The measurement of quality of life is a particularly essential requirement since social participation, well-being, and stigma should be considered as outcomes of HIV as well as the viral markers (Zhang, 2022).</w:t>
      </w:r>
    </w:p>
    <w:p w:rsidR="00000000" w:rsidDel="00000000" w:rsidP="00000000" w:rsidRDefault="00000000" w:rsidRPr="00000000" w14:paraId="00000062">
      <w:pPr>
        <w:pStyle w:val="Heading2"/>
        <w:rPr/>
      </w:pPr>
      <w:bookmarkStart w:colFirst="0" w:colLast="0" w:name="_i9boih4fxhgl" w:id="21"/>
      <w:bookmarkEnd w:id="21"/>
      <w:r w:rsidDel="00000000" w:rsidR="00000000" w:rsidRPr="00000000">
        <w:rPr>
          <w:rtl w:val="0"/>
        </w:rPr>
        <w:t xml:space="preserve">Strengths and weaknesses of the epidemiological approach</w:t>
      </w:r>
    </w:p>
    <w:p w:rsidR="00000000" w:rsidDel="00000000" w:rsidP="00000000" w:rsidRDefault="00000000" w:rsidRPr="00000000" w14:paraId="00000063">
      <w:pPr>
        <w:spacing w:after="120" w:line="360" w:lineRule="auto"/>
        <w:jc w:val="both"/>
        <w:rPr/>
      </w:pPr>
      <w:r w:rsidDel="00000000" w:rsidR="00000000" w:rsidRPr="00000000">
        <w:rPr>
          <w:rtl w:val="0"/>
        </w:rPr>
        <w:t xml:space="preserve">The primary strength of this type of epidemiology is that it combines descriptive epidemiology, surveillance, service data, and needs assessment, enabling the identification of who is at risk, who is being missed, and which interventions benefit the population. Another strength is that HIV has intermediate outcomes that are measurable, such as test uptake, linkage to care, and viral suppression, which are favourable to rigorous assessment. Weaknesses, however, are also present. Routine statistics may fail to capture hidden populations, particularly those who do not receive formal services. Most local systems do not directly observe incidence and may need to be modelled, which makes assumptions. There are surveillance systems that are more diagnostic than transmission-based, and thus, it is not always true that a decrease in diagnoses reflects a corresponding decrease in infections. It is also possible to miss structural determinants of behavioural surveillance, including racism, housing instability or insecure migration status (Boardman, 2024).</w:t>
      </w:r>
    </w:p>
    <w:p w:rsidR="00000000" w:rsidDel="00000000" w:rsidP="00000000" w:rsidRDefault="00000000" w:rsidRPr="00000000" w14:paraId="00000064">
      <w:pPr>
        <w:pStyle w:val="Heading2"/>
        <w:rPr/>
      </w:pPr>
      <w:bookmarkStart w:colFirst="0" w:colLast="0" w:name="_5u46m2bbnk0r" w:id="22"/>
      <w:bookmarkEnd w:id="22"/>
      <w:r w:rsidDel="00000000" w:rsidR="00000000" w:rsidRPr="00000000">
        <w:rPr>
          <w:rtl w:val="0"/>
        </w:rPr>
        <w:t xml:space="preserve">Conclusion</w:t>
      </w:r>
    </w:p>
    <w:p w:rsidR="00000000" w:rsidDel="00000000" w:rsidP="00000000" w:rsidRDefault="00000000" w:rsidRPr="00000000" w14:paraId="00000065">
      <w:pPr>
        <w:spacing w:after="120" w:line="360" w:lineRule="auto"/>
        <w:jc w:val="both"/>
        <w:rPr/>
      </w:pPr>
      <w:r w:rsidDel="00000000" w:rsidR="00000000" w:rsidRPr="00000000">
        <w:rPr>
          <w:rtl w:val="0"/>
        </w:rPr>
        <w:t xml:space="preserve">Despite a high-income environment like the inner London area, HIV/AIDS is still a primary public health issue due to ongoing infection clustering among major populations, and due to the introduction of factors of long-term disability stigma and multimorbidity. The entire response is based on epidemiology, which defines the problem, identifies individuals at risk, tracks incidence, and assesses interventions. The key processes of the present report were surveillance, needs assessment, risk-factor analysis, care cascade monitoring, and the design of the intervention, with emphasis on prevention, protection, and promotion. The evidence implies that combination prevention is effective, but future outcomes will rely on how well the remaining and underserved by testing, PrEP and long-term care groups are reached.</w:t>
      </w:r>
    </w:p>
    <w:p w:rsidR="00000000" w:rsidDel="00000000" w:rsidP="00000000" w:rsidRDefault="00000000" w:rsidRPr="00000000" w14:paraId="00000066">
      <w:pPr>
        <w:spacing w:after="120" w:line="360" w:lineRule="auto"/>
        <w:jc w:val="both"/>
        <w:rPr/>
      </w:pPr>
      <w:r w:rsidDel="00000000" w:rsidR="00000000" w:rsidRPr="00000000">
        <w:rPr>
          <w:rtl w:val="0"/>
        </w:rPr>
      </w:r>
    </w:p>
    <w:p w:rsidR="00000000" w:rsidDel="00000000" w:rsidP="00000000" w:rsidRDefault="00000000" w:rsidRPr="00000000" w14:paraId="00000067">
      <w:pPr>
        <w:spacing w:after="120" w:line="360" w:lineRule="auto"/>
        <w:jc w:val="both"/>
        <w:rPr/>
      </w:pPr>
      <w:r w:rsidDel="00000000" w:rsidR="00000000" w:rsidRPr="00000000">
        <w:rPr>
          <w:rtl w:val="0"/>
        </w:rPr>
      </w:r>
    </w:p>
    <w:p w:rsidR="00000000" w:rsidDel="00000000" w:rsidP="00000000" w:rsidRDefault="00000000" w:rsidRPr="00000000" w14:paraId="00000068">
      <w:pPr>
        <w:spacing w:after="120" w:line="360" w:lineRule="auto"/>
        <w:jc w:val="both"/>
        <w:rPr/>
      </w:pPr>
      <w:r w:rsidDel="00000000" w:rsidR="00000000" w:rsidRPr="00000000">
        <w:rPr>
          <w:rtl w:val="0"/>
        </w:rPr>
      </w:r>
    </w:p>
    <w:p w:rsidR="00000000" w:rsidDel="00000000" w:rsidP="00000000" w:rsidRDefault="00000000" w:rsidRPr="00000000" w14:paraId="00000069">
      <w:pPr>
        <w:spacing w:after="120" w:line="360" w:lineRule="auto"/>
        <w:jc w:val="both"/>
        <w:rPr/>
      </w:pPr>
      <w:r w:rsidDel="00000000" w:rsidR="00000000" w:rsidRPr="00000000">
        <w:rPr>
          <w:rtl w:val="0"/>
        </w:rPr>
      </w:r>
    </w:p>
    <w:p w:rsidR="00000000" w:rsidDel="00000000" w:rsidP="00000000" w:rsidRDefault="00000000" w:rsidRPr="00000000" w14:paraId="0000006A">
      <w:pPr>
        <w:spacing w:after="120" w:line="360" w:lineRule="auto"/>
        <w:jc w:val="both"/>
        <w:rPr/>
      </w:pPr>
      <w:r w:rsidDel="00000000" w:rsidR="00000000" w:rsidRPr="00000000">
        <w:rPr>
          <w:rtl w:val="0"/>
        </w:rPr>
      </w:r>
    </w:p>
    <w:p w:rsidR="00000000" w:rsidDel="00000000" w:rsidP="00000000" w:rsidRDefault="00000000" w:rsidRPr="00000000" w14:paraId="0000006B">
      <w:pPr>
        <w:spacing w:after="120" w:line="360" w:lineRule="auto"/>
        <w:jc w:val="both"/>
        <w:rPr/>
      </w:pPr>
      <w:r w:rsidDel="00000000" w:rsidR="00000000" w:rsidRPr="00000000">
        <w:rPr>
          <w:rtl w:val="0"/>
        </w:rPr>
      </w:r>
    </w:p>
    <w:p w:rsidR="00000000" w:rsidDel="00000000" w:rsidP="00000000" w:rsidRDefault="00000000" w:rsidRPr="00000000" w14:paraId="0000006C">
      <w:pPr>
        <w:spacing w:after="120" w:line="360" w:lineRule="auto"/>
        <w:jc w:val="both"/>
        <w:rPr/>
      </w:pPr>
      <w:r w:rsidDel="00000000" w:rsidR="00000000" w:rsidRPr="00000000">
        <w:rPr>
          <w:rtl w:val="0"/>
        </w:rPr>
      </w:r>
    </w:p>
    <w:p w:rsidR="00000000" w:rsidDel="00000000" w:rsidP="00000000" w:rsidRDefault="00000000" w:rsidRPr="00000000" w14:paraId="0000006D">
      <w:pPr>
        <w:spacing w:after="120" w:line="360" w:lineRule="auto"/>
        <w:jc w:val="both"/>
        <w:rPr/>
      </w:pPr>
      <w:r w:rsidDel="00000000" w:rsidR="00000000" w:rsidRPr="00000000">
        <w:rPr>
          <w:rtl w:val="0"/>
        </w:rPr>
      </w:r>
    </w:p>
    <w:p w:rsidR="00000000" w:rsidDel="00000000" w:rsidP="00000000" w:rsidRDefault="00000000" w:rsidRPr="00000000" w14:paraId="0000006E">
      <w:pPr>
        <w:spacing w:after="120" w:line="360" w:lineRule="auto"/>
        <w:jc w:val="both"/>
        <w:rPr/>
      </w:pPr>
      <w:r w:rsidDel="00000000" w:rsidR="00000000" w:rsidRPr="00000000">
        <w:rPr>
          <w:rtl w:val="0"/>
        </w:rPr>
      </w:r>
    </w:p>
    <w:p w:rsidR="00000000" w:rsidDel="00000000" w:rsidP="00000000" w:rsidRDefault="00000000" w:rsidRPr="00000000" w14:paraId="0000006F">
      <w:pPr>
        <w:spacing w:after="120" w:line="360" w:lineRule="auto"/>
        <w:jc w:val="both"/>
        <w:rPr/>
      </w:pPr>
      <w:r w:rsidDel="00000000" w:rsidR="00000000" w:rsidRPr="00000000">
        <w:rPr>
          <w:rtl w:val="0"/>
        </w:rPr>
      </w:r>
    </w:p>
    <w:p w:rsidR="00000000" w:rsidDel="00000000" w:rsidP="00000000" w:rsidRDefault="00000000" w:rsidRPr="00000000" w14:paraId="00000070">
      <w:pPr>
        <w:spacing w:after="120" w:line="360" w:lineRule="auto"/>
        <w:jc w:val="both"/>
        <w:rPr/>
      </w:pPr>
      <w:r w:rsidDel="00000000" w:rsidR="00000000" w:rsidRPr="00000000">
        <w:rPr>
          <w:rtl w:val="0"/>
        </w:rPr>
      </w:r>
    </w:p>
    <w:p w:rsidR="00000000" w:rsidDel="00000000" w:rsidP="00000000" w:rsidRDefault="00000000" w:rsidRPr="00000000" w14:paraId="00000071">
      <w:pPr>
        <w:spacing w:after="120" w:line="360" w:lineRule="auto"/>
        <w:jc w:val="both"/>
        <w:rPr/>
      </w:pPr>
      <w:r w:rsidDel="00000000" w:rsidR="00000000" w:rsidRPr="00000000">
        <w:rPr>
          <w:rtl w:val="0"/>
        </w:rPr>
      </w:r>
    </w:p>
    <w:p w:rsidR="00000000" w:rsidDel="00000000" w:rsidP="00000000" w:rsidRDefault="00000000" w:rsidRPr="00000000" w14:paraId="00000072">
      <w:pPr>
        <w:spacing w:after="120" w:line="360" w:lineRule="auto"/>
        <w:jc w:val="both"/>
        <w:rPr/>
      </w:pPr>
      <w:r w:rsidDel="00000000" w:rsidR="00000000" w:rsidRPr="00000000">
        <w:rPr>
          <w:rtl w:val="0"/>
        </w:rPr>
      </w:r>
    </w:p>
    <w:p w:rsidR="00000000" w:rsidDel="00000000" w:rsidP="00000000" w:rsidRDefault="00000000" w:rsidRPr="00000000" w14:paraId="00000073">
      <w:pPr>
        <w:spacing w:after="120" w:line="360" w:lineRule="auto"/>
        <w:jc w:val="both"/>
        <w:rPr/>
      </w:pPr>
      <w:r w:rsidDel="00000000" w:rsidR="00000000" w:rsidRPr="00000000">
        <w:rPr>
          <w:rtl w:val="0"/>
        </w:rPr>
      </w:r>
    </w:p>
    <w:p w:rsidR="00000000" w:rsidDel="00000000" w:rsidP="00000000" w:rsidRDefault="00000000" w:rsidRPr="00000000" w14:paraId="00000074">
      <w:pPr>
        <w:spacing w:after="120" w:line="360" w:lineRule="auto"/>
        <w:jc w:val="both"/>
        <w:rPr/>
      </w:pPr>
      <w:r w:rsidDel="00000000" w:rsidR="00000000" w:rsidRPr="00000000">
        <w:rPr>
          <w:rtl w:val="0"/>
        </w:rPr>
      </w:r>
    </w:p>
    <w:p w:rsidR="00000000" w:rsidDel="00000000" w:rsidP="00000000" w:rsidRDefault="00000000" w:rsidRPr="00000000" w14:paraId="00000075">
      <w:pPr>
        <w:spacing w:after="120" w:line="360" w:lineRule="auto"/>
        <w:jc w:val="both"/>
        <w:rPr/>
      </w:pPr>
      <w:r w:rsidDel="00000000" w:rsidR="00000000" w:rsidRPr="00000000">
        <w:rPr>
          <w:rtl w:val="0"/>
        </w:rPr>
      </w:r>
    </w:p>
    <w:p w:rsidR="00000000" w:rsidDel="00000000" w:rsidP="00000000" w:rsidRDefault="00000000" w:rsidRPr="00000000" w14:paraId="00000076">
      <w:pPr>
        <w:spacing w:after="120" w:line="360" w:lineRule="auto"/>
        <w:jc w:val="both"/>
        <w:rPr/>
      </w:pPr>
      <w:r w:rsidDel="00000000" w:rsidR="00000000" w:rsidRPr="00000000">
        <w:rPr>
          <w:rtl w:val="0"/>
        </w:rPr>
      </w:r>
    </w:p>
    <w:p w:rsidR="00000000" w:rsidDel="00000000" w:rsidP="00000000" w:rsidRDefault="00000000" w:rsidRPr="00000000" w14:paraId="00000077">
      <w:pPr>
        <w:spacing w:after="120" w:line="360" w:lineRule="auto"/>
        <w:jc w:val="both"/>
        <w:rPr/>
      </w:pPr>
      <w:r w:rsidDel="00000000" w:rsidR="00000000" w:rsidRPr="00000000">
        <w:rPr>
          <w:rtl w:val="0"/>
        </w:rPr>
      </w:r>
    </w:p>
    <w:p w:rsidR="00000000" w:rsidDel="00000000" w:rsidP="00000000" w:rsidRDefault="00000000" w:rsidRPr="00000000" w14:paraId="00000078">
      <w:pPr>
        <w:pStyle w:val="Heading1"/>
        <w:spacing w:after="160" w:line="360" w:lineRule="auto"/>
        <w:rPr/>
      </w:pPr>
      <w:bookmarkStart w:colFirst="0" w:colLast="0" w:name="_k35ty9vqutof" w:id="23"/>
      <w:bookmarkEnd w:id="23"/>
      <w:r w:rsidDel="00000000" w:rsidR="00000000" w:rsidRPr="00000000">
        <w:rPr>
          <w:rtl w:val="0"/>
        </w:rPr>
        <w:t xml:space="preserve">Reference List</w:t>
      </w:r>
    </w:p>
    <w:p w:rsidR="00000000" w:rsidDel="00000000" w:rsidP="00000000" w:rsidRDefault="00000000" w:rsidRPr="00000000" w14:paraId="00000079">
      <w:pPr>
        <w:spacing w:after="120" w:line="360" w:lineRule="auto"/>
        <w:ind w:left="720" w:hanging="720"/>
        <w:jc w:val="both"/>
        <w:rPr/>
      </w:pPr>
      <w:r w:rsidDel="00000000" w:rsidR="00000000" w:rsidRPr="00000000">
        <w:rPr>
          <w:rtl w:val="0"/>
        </w:rPr>
        <w:t xml:space="preserve">Bansal, N., Karlsen, S., Kingdon, D., Nazroo, J. and Bhui, K. (2022) ‘Understanding ethnic inequalities in mental healthcare in the UK: A meta-ethnography’, BJPsych Open, 8(6), e188.</w:t>
      </w:r>
    </w:p>
    <w:p w:rsidR="00000000" w:rsidDel="00000000" w:rsidP="00000000" w:rsidRDefault="00000000" w:rsidRPr="00000000" w14:paraId="0000007A">
      <w:pPr>
        <w:spacing w:after="120" w:line="360" w:lineRule="auto"/>
        <w:ind w:left="720" w:hanging="720"/>
        <w:jc w:val="both"/>
        <w:rPr/>
      </w:pPr>
      <w:r w:rsidDel="00000000" w:rsidR="00000000" w:rsidRPr="00000000">
        <w:rPr>
          <w:rtl w:val="0"/>
        </w:rPr>
        <w:t xml:space="preserve">Boardman, E., Scoular, A., Burns, F. and Nwokolo, N. (2024) ‘Tackling late HIV diagnosis: Lessons from the UK in 2024’, Current Opinion in Infectious Diseases, 37(1), pp. 1-8.</w:t>
      </w:r>
    </w:p>
    <w:p w:rsidR="00000000" w:rsidDel="00000000" w:rsidP="00000000" w:rsidRDefault="00000000" w:rsidRPr="00000000" w14:paraId="0000007B">
      <w:pPr>
        <w:spacing w:after="120" w:line="360" w:lineRule="auto"/>
        <w:ind w:left="720" w:hanging="720"/>
        <w:jc w:val="both"/>
        <w:rPr/>
      </w:pPr>
      <w:r w:rsidDel="00000000" w:rsidR="00000000" w:rsidRPr="00000000">
        <w:rPr>
          <w:rtl w:val="0"/>
        </w:rPr>
        <w:t xml:space="preserve">Bristow, C., Henson, S., Burns, F. and Sabin, C. (2022) ‘Managing frailty in people with human immunodeficiency virus’, Nursing Older People, 34(5), pp. 20-26.</w:t>
      </w:r>
    </w:p>
    <w:p w:rsidR="00000000" w:rsidDel="00000000" w:rsidP="00000000" w:rsidRDefault="00000000" w:rsidRPr="00000000" w14:paraId="0000007C">
      <w:pPr>
        <w:spacing w:after="120" w:line="360" w:lineRule="auto"/>
        <w:ind w:left="720" w:hanging="720"/>
        <w:jc w:val="both"/>
        <w:rPr/>
      </w:pPr>
      <w:r w:rsidDel="00000000" w:rsidR="00000000" w:rsidRPr="00000000">
        <w:rPr>
          <w:rtl w:val="0"/>
        </w:rPr>
        <w:t xml:space="preserve">Brown, D.A., O’Brien, K.K., Crawford, A., Evans, D., McDonagh, T. and Solomon, P. (2022) ‘Prevalence, severity, and risk factors of disability among adults living with HIV in London, UK’, AIDS Care, 34(11), pp. 1378-1386.</w:t>
      </w:r>
    </w:p>
    <w:p w:rsidR="00000000" w:rsidDel="00000000" w:rsidP="00000000" w:rsidRDefault="00000000" w:rsidRPr="00000000" w14:paraId="0000007D">
      <w:pPr>
        <w:spacing w:after="120" w:line="360" w:lineRule="auto"/>
        <w:ind w:left="720" w:hanging="720"/>
        <w:jc w:val="both"/>
        <w:rPr/>
      </w:pPr>
      <w:r w:rsidDel="00000000" w:rsidR="00000000" w:rsidRPr="00000000">
        <w:rPr>
          <w:rtl w:val="0"/>
        </w:rPr>
        <w:t xml:space="preserve">Cambiano, V., Miners, A., Lampe, F.C., McCormack, S., Gill, O.N., Hart, G., Cairns, G., Thompson, M., Delpech, V., Rodger, A.J. and Phillips, A.N. (2023) ‘The effect of combination prevention strategies on HIV incidence among gay and bisexual men who have sex with men in the UK: A model-based analysis’, Lancet HIV, 10(11), pp. e713-e722.</w:t>
      </w:r>
    </w:p>
    <w:p w:rsidR="00000000" w:rsidDel="00000000" w:rsidP="00000000" w:rsidRDefault="00000000" w:rsidRPr="00000000" w14:paraId="0000007E">
      <w:pPr>
        <w:spacing w:after="120" w:line="360" w:lineRule="auto"/>
        <w:ind w:left="720" w:hanging="720"/>
        <w:jc w:val="both"/>
        <w:rPr/>
      </w:pPr>
      <w:r w:rsidDel="00000000" w:rsidR="00000000" w:rsidRPr="00000000">
        <w:rPr>
          <w:rtl w:val="0"/>
        </w:rPr>
        <w:t xml:space="preserve">Chatzi, G., Whyte, S., Flores, A., Meacock, R. and Sutton, M. (2023). Could diabetes prevention programmes result in the reduction of health inequalities? Evidence from the English programme', Diabetic Medicine, 40(8), e15077.</w:t>
      </w:r>
    </w:p>
    <w:p w:rsidR="00000000" w:rsidDel="00000000" w:rsidP="00000000" w:rsidRDefault="00000000" w:rsidRPr="00000000" w14:paraId="0000007F">
      <w:pPr>
        <w:spacing w:after="120" w:line="360" w:lineRule="auto"/>
        <w:ind w:left="720" w:hanging="720"/>
        <w:jc w:val="both"/>
        <w:rPr/>
      </w:pPr>
      <w:r w:rsidDel="00000000" w:rsidR="00000000" w:rsidRPr="00000000">
        <w:rPr>
          <w:rtl w:val="0"/>
        </w:rPr>
        <w:t xml:space="preserve">Dolby, T., Finning, K., Baker, A., Khunti, K., Razieh, C. and Majeed, A. (2022) ‘Monitoring sociodemographic inequality in COVID-19 vaccination uptake in England: A national linked data study’, Journal of Epidemiology and Community Health, 76(7), pp. 646-652.</w:t>
      </w:r>
    </w:p>
    <w:p w:rsidR="00000000" w:rsidDel="00000000" w:rsidP="00000000" w:rsidRDefault="00000000" w:rsidRPr="00000000" w14:paraId="00000080">
      <w:pPr>
        <w:spacing w:after="120" w:line="360" w:lineRule="auto"/>
        <w:ind w:left="720" w:hanging="720"/>
        <w:jc w:val="both"/>
        <w:rPr/>
      </w:pPr>
      <w:r w:rsidDel="00000000" w:rsidR="00000000" w:rsidRPr="00000000">
        <w:rPr>
          <w:rtl w:val="0"/>
        </w:rPr>
        <w:t xml:space="preserve">Euvrard, J., Sabin, C.A., Vickerman, P. and Delpech, V. (2024) ‘The cyclical cascade of HIV care’, Lancet HIV, 11(6), pp. e391-e399.</w:t>
      </w:r>
    </w:p>
    <w:p w:rsidR="00000000" w:rsidDel="00000000" w:rsidP="00000000" w:rsidRDefault="00000000" w:rsidRPr="00000000" w14:paraId="00000081">
      <w:pPr>
        <w:spacing w:after="120" w:line="360" w:lineRule="auto"/>
        <w:ind w:left="720" w:hanging="720"/>
        <w:jc w:val="both"/>
        <w:rPr/>
      </w:pPr>
      <w:r w:rsidDel="00000000" w:rsidR="00000000" w:rsidRPr="00000000">
        <w:rPr>
          <w:rtl w:val="0"/>
        </w:rPr>
        <w:t xml:space="preserve">Hayanga, B., Walley, J., Griffiths, C., Johnson, M. and Bhopal, R. (2021) ‘Ethnic inequalities in healthcare use and care quality among people with multiple long-term conditions in the UK: A systematic review and narrative synthesis’, International Journal for Equity in Health, 20, 256.</w:t>
      </w:r>
    </w:p>
    <w:p w:rsidR="00000000" w:rsidDel="00000000" w:rsidP="00000000" w:rsidRDefault="00000000" w:rsidRPr="00000000" w14:paraId="00000082">
      <w:pPr>
        <w:spacing w:after="120" w:line="360" w:lineRule="auto"/>
        <w:ind w:left="720" w:hanging="720"/>
        <w:jc w:val="both"/>
        <w:rPr/>
      </w:pPr>
      <w:r w:rsidDel="00000000" w:rsidR="00000000" w:rsidRPr="00000000">
        <w:rPr>
          <w:rtl w:val="0"/>
        </w:rPr>
        <w:t xml:space="preserve">Indravudh, P.P., Neuman, M., Chilongosi, R., d’Elbée, M., Morozoff, C., Nyirenda, R., et al. (2021) ‘Effect of community-led delivery of HIV self-testing on HIV testing and antiretroviral therapy initiation in Malawi: A cluster-randomised trial’, PLoS Medicine, 18(5), e1003608.</w:t>
      </w:r>
    </w:p>
    <w:p w:rsidR="00000000" w:rsidDel="00000000" w:rsidP="00000000" w:rsidRDefault="00000000" w:rsidRPr="00000000" w14:paraId="00000083">
      <w:pPr>
        <w:spacing w:after="120" w:line="360" w:lineRule="auto"/>
        <w:ind w:left="720" w:hanging="720"/>
        <w:jc w:val="both"/>
        <w:rPr/>
      </w:pPr>
      <w:r w:rsidDel="00000000" w:rsidR="00000000" w:rsidRPr="00000000">
        <w:rPr>
          <w:rtl w:val="0"/>
        </w:rPr>
        <w:t xml:space="preserve">Kamenshchikova, A., den Daas, C., Burns, F., Fakoya, I., Desgrees-du-Lou, A. and the WHO Working Group (2024) ‘Interventions to ensure access to and continuity of HIV care for international migrants: An evidence synthesis’, Lancet HIV, 11(12), pp. e873-e884.</w:t>
      </w:r>
    </w:p>
    <w:p w:rsidR="00000000" w:rsidDel="00000000" w:rsidP="00000000" w:rsidRDefault="00000000" w:rsidRPr="00000000" w14:paraId="00000084">
      <w:pPr>
        <w:spacing w:after="120" w:line="360" w:lineRule="auto"/>
        <w:ind w:left="720" w:hanging="720"/>
        <w:jc w:val="both"/>
        <w:rPr/>
      </w:pPr>
      <w:r w:rsidDel="00000000" w:rsidR="00000000" w:rsidRPr="00000000">
        <w:rPr>
          <w:rtl w:val="0"/>
        </w:rPr>
        <w:t xml:space="preserve">MacDonald, J., Flowers, P., Nguyen, V.K., Young, I., Eadie, J., Frankis, J. and Estcourt, C. (2023) ‘Improving HIV pre-exposure prophylaxis adherence and retention in care: A process evaluation of Scotland’s PrEP programme’, Sexually Transmitted Infections, 99(7), pp. 514-521.</w:t>
      </w:r>
    </w:p>
    <w:p w:rsidR="00000000" w:rsidDel="00000000" w:rsidP="00000000" w:rsidRDefault="00000000" w:rsidRPr="00000000" w14:paraId="00000085">
      <w:pPr>
        <w:spacing w:after="120" w:line="360" w:lineRule="auto"/>
        <w:ind w:left="720" w:hanging="720"/>
        <w:jc w:val="both"/>
        <w:rPr/>
      </w:pPr>
      <w:r w:rsidDel="00000000" w:rsidR="00000000" w:rsidRPr="00000000">
        <w:rPr>
          <w:rtl w:val="0"/>
        </w:rPr>
        <w:t xml:space="preserve">MacLellan, J., Wallace, S., Dalky, H., Opondo, C., Puthussery, S. and Bick, D. (2022) ‘Black, Asian and minority ethnic women’s experiences of maternity services in the UK: An evidence synthesis’, Midwifery, 107, 103277.</w:t>
      </w:r>
    </w:p>
    <w:p w:rsidR="00000000" w:rsidDel="00000000" w:rsidP="00000000" w:rsidRDefault="00000000" w:rsidRPr="00000000" w14:paraId="00000086">
      <w:pPr>
        <w:spacing w:after="120" w:line="360" w:lineRule="auto"/>
        <w:ind w:left="720" w:hanging="720"/>
        <w:jc w:val="both"/>
        <w:rPr/>
      </w:pPr>
      <w:r w:rsidDel="00000000" w:rsidR="00000000" w:rsidRPr="00000000">
        <w:rPr>
          <w:rtl w:val="0"/>
        </w:rPr>
        <w:t xml:space="preserve">Magadi, J.P. and Madise, N.J. (2022) ‘Ethnic inequalities in patient satisfaction with primary health care in England: Evidence from recent General Practice Patient Surveys’, Journal of Racial and Ethnic Health Disparities, 9(6), pp. 2202-2214.</w:t>
      </w:r>
    </w:p>
    <w:p w:rsidR="00000000" w:rsidDel="00000000" w:rsidP="00000000" w:rsidRDefault="00000000" w:rsidRPr="00000000" w14:paraId="00000087">
      <w:pPr>
        <w:spacing w:after="120" w:line="360" w:lineRule="auto"/>
        <w:ind w:left="720" w:hanging="720"/>
        <w:jc w:val="both"/>
        <w:rPr/>
      </w:pPr>
      <w:r w:rsidDel="00000000" w:rsidR="00000000" w:rsidRPr="00000000">
        <w:rPr>
          <w:rtl w:val="0"/>
        </w:rPr>
        <w:t xml:space="preserve">Martins, T., Lyratzopoulos, G., Abel, G.A., Saunders, C.L., Rachet, B. and Wardle, J. (2022) ‘Ethnic inequalities in routes to diagnosis of cancer in the UK’, British Journal of Cancer, 127(4), pp. 720-729.</w:t>
      </w:r>
    </w:p>
    <w:p w:rsidR="00000000" w:rsidDel="00000000" w:rsidP="00000000" w:rsidRDefault="00000000" w:rsidRPr="00000000" w14:paraId="00000088">
      <w:pPr>
        <w:spacing w:after="120" w:line="360" w:lineRule="auto"/>
        <w:ind w:left="720" w:hanging="720"/>
        <w:jc w:val="both"/>
        <w:rPr/>
      </w:pPr>
      <w:r w:rsidDel="00000000" w:rsidR="00000000" w:rsidRPr="00000000">
        <w:rPr>
          <w:rtl w:val="0"/>
        </w:rPr>
        <w:t xml:space="preserve">Mathur, R., Palla, L., Farmer, R.E., Chaturvedi, N., Sattar, N. and Khunti, K. (2022) ‘Ethnic differences in type 2 diabetes subgroups in the UK: A real-world data study using the East London Database’, Diabetic Medicine, 39(8), e14879.</w:t>
      </w:r>
    </w:p>
    <w:p w:rsidR="00000000" w:rsidDel="00000000" w:rsidP="00000000" w:rsidRDefault="00000000" w:rsidRPr="00000000" w14:paraId="00000089">
      <w:pPr>
        <w:spacing w:after="120" w:line="360" w:lineRule="auto"/>
        <w:ind w:left="720" w:hanging="720"/>
        <w:jc w:val="both"/>
        <w:rPr/>
      </w:pPr>
      <w:r w:rsidDel="00000000" w:rsidR="00000000" w:rsidRPr="00000000">
        <w:rPr>
          <w:rtl w:val="0"/>
        </w:rPr>
        <w:t xml:space="preserve">Mody, A., Syed, H. and Geng, E.H. (2024) ‘HIV epidemiology, prevention, treatment, and implementation science: Current trends and future directions’, BMJ, 384, e075174.</w:t>
      </w:r>
    </w:p>
    <w:p w:rsidR="00000000" w:rsidDel="00000000" w:rsidP="00000000" w:rsidRDefault="00000000" w:rsidRPr="00000000" w14:paraId="0000008A">
      <w:pPr>
        <w:spacing w:after="120" w:line="360" w:lineRule="auto"/>
        <w:ind w:left="720" w:hanging="720"/>
        <w:jc w:val="both"/>
        <w:rPr/>
      </w:pPr>
      <w:r w:rsidDel="00000000" w:rsidR="00000000" w:rsidRPr="00000000">
        <w:rPr>
          <w:rtl w:val="0"/>
        </w:rPr>
        <w:t xml:space="preserve">Muller, P., Draycott, T., Groom, K., Brocklehurst, P. and Kurinczuk, J.J. (2023) ‘Induction of labour at 39 weeks and adverse outcomes in low-risk pregnancies according to ethnicity, socioeconomic deprivation, and parity: A national cohort study in England’, PLoS Medicine, 20(7), e1004259.</w:t>
      </w:r>
    </w:p>
    <w:p w:rsidR="00000000" w:rsidDel="00000000" w:rsidP="00000000" w:rsidRDefault="00000000" w:rsidRPr="00000000" w14:paraId="0000008B">
      <w:pPr>
        <w:spacing w:after="120" w:line="360" w:lineRule="auto"/>
        <w:ind w:left="720" w:hanging="720"/>
        <w:jc w:val="both"/>
        <w:rPr/>
      </w:pPr>
      <w:r w:rsidDel="00000000" w:rsidR="00000000" w:rsidRPr="00000000">
        <w:rPr>
          <w:rtl w:val="0"/>
        </w:rPr>
        <w:t xml:space="preserve">Nebbia, G., Russell, C., Bower, M., et al. (2022) ‘VirA+EmiC project: Evaluating real-world effectiveness and sustainability of universal emergency department electronic patient record opt-out blood-borne virus testing’, Journal of Viral Hepatitis, 29(7), pp. 519-528.</w:t>
      </w:r>
    </w:p>
    <w:p w:rsidR="00000000" w:rsidDel="00000000" w:rsidP="00000000" w:rsidRDefault="00000000" w:rsidRPr="00000000" w14:paraId="0000008C">
      <w:pPr>
        <w:spacing w:after="120" w:line="360" w:lineRule="auto"/>
        <w:ind w:left="720" w:hanging="720"/>
        <w:jc w:val="both"/>
        <w:rPr/>
      </w:pPr>
      <w:r w:rsidDel="00000000" w:rsidR="00000000" w:rsidRPr="00000000">
        <w:rPr>
          <w:rtl w:val="0"/>
        </w:rPr>
        <w:t xml:space="preserve">Payagala, S., Bärnighausen, T. and Geldsetzer, P. (2024) ‘The global burden of HIV’, Nature Reviews Disease Primers, 10, 12.</w:t>
      </w:r>
    </w:p>
    <w:p w:rsidR="00000000" w:rsidDel="00000000" w:rsidP="00000000" w:rsidRDefault="00000000" w:rsidRPr="00000000" w14:paraId="0000008D">
      <w:pPr>
        <w:spacing w:after="120" w:line="360" w:lineRule="auto"/>
        <w:ind w:left="720" w:hanging="720"/>
        <w:jc w:val="both"/>
        <w:rPr/>
      </w:pPr>
      <w:r w:rsidDel="00000000" w:rsidR="00000000" w:rsidRPr="00000000">
        <w:rPr>
          <w:rtl w:val="0"/>
        </w:rPr>
        <w:t xml:space="preserve">Petersen, J., Morgan, A.R., Butt, J. and Raine, R. (2022) ‘Ethnic disparities in preventable hospitalisation in England: An analysis of 916,375 emergency admissions’, Journal of Epidemiology and Community Health, 76(1), pp. 85-91.</w:t>
      </w:r>
    </w:p>
    <w:p w:rsidR="00000000" w:rsidDel="00000000" w:rsidP="00000000" w:rsidRDefault="00000000" w:rsidRPr="00000000" w14:paraId="0000008E">
      <w:pPr>
        <w:spacing w:after="120" w:line="360" w:lineRule="auto"/>
        <w:ind w:left="720" w:hanging="720"/>
        <w:jc w:val="both"/>
        <w:rPr/>
      </w:pPr>
      <w:r w:rsidDel="00000000" w:rsidR="00000000" w:rsidRPr="00000000">
        <w:rPr>
          <w:rtl w:val="0"/>
        </w:rPr>
        <w:t xml:space="preserve">Pinho-Gomes, A.C., Chandrasekhar, R., Schofield, P., McCarthy, A., Sze, S. and Bottle, A. (2023) ‘Inequalities in smoking among pregnant women in North West London: A cross-sectional study by ethnicity and deprivation’, BMJ Open, 13(4), e069198.</w:t>
      </w:r>
    </w:p>
    <w:p w:rsidR="00000000" w:rsidDel="00000000" w:rsidP="00000000" w:rsidRDefault="00000000" w:rsidRPr="00000000" w14:paraId="0000008F">
      <w:pPr>
        <w:spacing w:after="120" w:line="360" w:lineRule="auto"/>
        <w:ind w:left="720" w:hanging="720"/>
        <w:jc w:val="both"/>
        <w:rPr/>
      </w:pPr>
      <w:r w:rsidDel="00000000" w:rsidR="00000000" w:rsidRPr="00000000">
        <w:rPr>
          <w:rtl w:val="0"/>
        </w:rPr>
        <w:t xml:space="preserve">Prajapati, R., Liebling, H. and Sallah, D. (2022) ‘Accessing mental health services: A systematic review and meta-ethnography of South Asian people’s lived experiences in the UK’, International Journal of Environmental Research and Public Health, 19(7), 4207.</w:t>
      </w:r>
    </w:p>
    <w:p w:rsidR="00000000" w:rsidDel="00000000" w:rsidP="00000000" w:rsidRDefault="00000000" w:rsidRPr="00000000" w14:paraId="00000090">
      <w:pPr>
        <w:spacing w:after="120" w:line="360" w:lineRule="auto"/>
        <w:ind w:left="720" w:hanging="720"/>
        <w:jc w:val="both"/>
        <w:rPr/>
      </w:pPr>
      <w:r w:rsidDel="00000000" w:rsidR="00000000" w:rsidRPr="00000000">
        <w:rPr>
          <w:rtl w:val="0"/>
        </w:rPr>
        <w:t xml:space="preserve">Razieh, C., Zaccardi, F., Kunutsor, S.K., Yates, T., Khunti, K. and Davies, M.J. (2022) ‘Differences in the risk of cardiovascular disease across ethnic groups in people living in the UK’, Atherosclerosis, 357, pp. 30-37.</w:t>
      </w:r>
    </w:p>
    <w:p w:rsidR="00000000" w:rsidDel="00000000" w:rsidP="00000000" w:rsidRDefault="00000000" w:rsidRPr="00000000" w14:paraId="00000091">
      <w:pPr>
        <w:spacing w:after="120" w:line="360" w:lineRule="auto"/>
        <w:ind w:left="720" w:hanging="720"/>
        <w:jc w:val="both"/>
        <w:rPr/>
      </w:pPr>
      <w:r w:rsidDel="00000000" w:rsidR="00000000" w:rsidRPr="00000000">
        <w:rPr>
          <w:rtl w:val="0"/>
        </w:rPr>
        <w:t xml:space="preserve">Simmons, R., Croxford, S., Burns, F., Cooke, G.S., Delpech, V. and Connor, N. (2023) ‘Blood-borne virus testing in emergency departments: A systematic review and meta-analysis’, HIV Medicine, 24(1), pp. 3-16.</w:t>
      </w:r>
    </w:p>
    <w:p w:rsidR="00000000" w:rsidDel="00000000" w:rsidP="00000000" w:rsidRDefault="00000000" w:rsidRPr="00000000" w14:paraId="00000092">
      <w:pPr>
        <w:spacing w:after="120" w:line="360" w:lineRule="auto"/>
        <w:ind w:left="720" w:hanging="720"/>
        <w:jc w:val="both"/>
        <w:rPr/>
      </w:pPr>
      <w:r w:rsidDel="00000000" w:rsidR="00000000" w:rsidRPr="00000000">
        <w:rPr>
          <w:rtl w:val="0"/>
        </w:rPr>
        <w:t xml:space="preserve">Trickey, A., Sabin, C.A., Burkholder, G., Crane, H.M., d’Arminio Monforte, A., Gill, M.J., et al. (2024) ‘Excess mortality attributable to AIDS among people living with HIV with high antiretroviral therapy coverage’, Lancet HIV, 11(11), pp. e742-e751.</w:t>
      </w:r>
    </w:p>
    <w:p w:rsidR="00000000" w:rsidDel="00000000" w:rsidP="00000000" w:rsidRDefault="00000000" w:rsidRPr="00000000" w14:paraId="00000093">
      <w:pPr>
        <w:spacing w:after="120" w:line="360" w:lineRule="auto"/>
        <w:ind w:left="720" w:hanging="720"/>
        <w:jc w:val="both"/>
        <w:rPr/>
      </w:pPr>
      <w:r w:rsidDel="00000000" w:rsidR="00000000" w:rsidRPr="00000000">
        <w:rPr>
          <w:rtl w:val="0"/>
        </w:rPr>
        <w:t xml:space="preserve">Wagner, A.D., Wanyenze, R.K., Bukenya, D., Matovu, J.K.B. and Siedner, M.J. (2023) ‘Demand creation for HIV testing services: A systematic review and meta-analysis’, PLoS Medicine, 20(3), e1004169.</w:t>
      </w:r>
    </w:p>
    <w:p w:rsidR="00000000" w:rsidDel="00000000" w:rsidP="00000000" w:rsidRDefault="00000000" w:rsidRPr="00000000" w14:paraId="00000094">
      <w:pPr>
        <w:spacing w:after="120" w:line="360" w:lineRule="auto"/>
        <w:ind w:left="720" w:hanging="720"/>
        <w:jc w:val="both"/>
        <w:rPr/>
      </w:pPr>
      <w:r w:rsidDel="00000000" w:rsidR="00000000" w:rsidRPr="00000000">
        <w:rPr>
          <w:rtl w:val="0"/>
        </w:rPr>
        <w:t xml:space="preserve">Watkinson, R.E., Williams, R., Gillibrand, S., Sanders, C. and Sutton, M. (2022) ‘Ethnic inequalities in COVID-19 vaccine uptake and comparison with seasonal influenza vaccine uptake in Greater Manchester, UK: A cohort study’, PLoS Medicine, 19(3), e1003932.</w:t>
      </w:r>
    </w:p>
    <w:p w:rsidR="00000000" w:rsidDel="00000000" w:rsidP="00000000" w:rsidRDefault="00000000" w:rsidRPr="00000000" w14:paraId="00000095">
      <w:pPr>
        <w:spacing w:after="120" w:line="360" w:lineRule="auto"/>
        <w:ind w:left="720" w:hanging="720"/>
        <w:jc w:val="both"/>
        <w:rPr/>
      </w:pPr>
      <w:r w:rsidDel="00000000" w:rsidR="00000000" w:rsidRPr="00000000">
        <w:rPr>
          <w:rtl w:val="0"/>
        </w:rPr>
        <w:t xml:space="preserve">Whitlock, G., Burns, F., Edwards, S., FitzGerald, M., Nwokolo, N. and Saunders, J. (2025) ‘HIV prevention in London, UK, from 2017 to 2024’, HIV Medicine, 26(1), pp. 45-56.</w:t>
      </w:r>
    </w:p>
    <w:p w:rsidR="00000000" w:rsidDel="00000000" w:rsidP="00000000" w:rsidRDefault="00000000" w:rsidRPr="00000000" w14:paraId="00000096">
      <w:pPr>
        <w:spacing w:after="120" w:line="360" w:lineRule="auto"/>
        <w:ind w:left="720" w:hanging="720"/>
        <w:jc w:val="both"/>
        <w:rPr/>
      </w:pPr>
      <w:r w:rsidDel="00000000" w:rsidR="00000000" w:rsidRPr="00000000">
        <w:rPr>
          <w:rtl w:val="0"/>
        </w:rPr>
        <w:t xml:space="preserve">Winsper, C., McCrone, P., Martin, J., McManus, S. and Bhui, K. (2024) ‘The impact of reduced routine community mental healthcare during the COVID-19 pandemic on ethnic inequalities in mental healthcare in England’, British Journal of Psychiatry, 224(2), pp. 63-70.</w:t>
      </w:r>
    </w:p>
    <w:p w:rsidR="00000000" w:rsidDel="00000000" w:rsidP="00000000" w:rsidRDefault="00000000" w:rsidRPr="00000000" w14:paraId="00000097">
      <w:pPr>
        <w:spacing w:after="120" w:line="360" w:lineRule="auto"/>
        <w:ind w:left="720" w:hanging="720"/>
        <w:jc w:val="both"/>
        <w:rPr/>
      </w:pPr>
      <w:r w:rsidDel="00000000" w:rsidR="00000000" w:rsidRPr="00000000">
        <w:rPr>
          <w:rtl w:val="0"/>
        </w:rPr>
        <w:t xml:space="preserve">Zhang, Y., Yu, C., Jahanshahi, A.A. and Lau, J.T.F. (2022) ‘Use of quality-of-life instruments for people living with HIV: A systematic review and meta-analysis’, AIDS Care, 34(10), pp. 1237-1248.</w:t>
      </w:r>
    </w:p>
    <w:sectPr>
      <w:pgSz w:h="15840" w:w="12240" w:orient="portrait"/>
      <w:pgMar w:bottom="1152" w:top="1152"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b w:val="1"/>
      <w:bCs w:val="1"/>
      <w:color w:val="000000"/>
    </w:rPr>
  </w:style>
  <w:style w:type="paragraph" w:styleId="Heading2">
    <w:name w:val="heading 2"/>
    <w:basedOn w:val="Normal"/>
    <w:next w:val="Normal"/>
    <w:pPr>
      <w:keepNext w:val="1"/>
      <w:keepLines w:val="1"/>
      <w:spacing w:after="0" w:before="200" w:lineRule="auto"/>
    </w:pPr>
    <w:rPr>
      <w:i w:val="1"/>
      <w:iCs w:val="1"/>
      <w:color w:val="000000"/>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28"/>
      <w:szCs w:val="28"/>
    </w:r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