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09F22E" w14:textId="70302C24" w:rsidR="00861326" w:rsidRDefault="0037694D">
      <w:pPr>
        <w:rPr>
          <w:rFonts w:asciiTheme="minorHAnsi" w:hAnsiTheme="minorHAnsi" w:cstheme="minorHAnsi"/>
          <w:u w:val="single"/>
        </w:rPr>
      </w:pPr>
      <w:r>
        <w:rPr>
          <w:rFonts w:asciiTheme="minorHAnsi" w:hAnsiTheme="minorHAnsi" w:cstheme="minorHAnsi"/>
          <w:noProof/>
          <w:u w:val="single"/>
        </w:rPr>
        <w:drawing>
          <wp:anchor distT="0" distB="0" distL="114300" distR="114300" simplePos="0" relativeHeight="251659264" behindDoc="0" locked="0" layoutInCell="1" allowOverlap="1" wp14:anchorId="5DD5F5DB" wp14:editId="31B17539">
            <wp:simplePos x="0" y="0"/>
            <wp:positionH relativeFrom="margin">
              <wp:align>center</wp:align>
            </wp:positionH>
            <wp:positionV relativeFrom="paragraph">
              <wp:posOffset>4048125</wp:posOffset>
            </wp:positionV>
            <wp:extent cx="6699885" cy="4419600"/>
            <wp:effectExtent l="0" t="0" r="571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_20180329 (2).jpg"/>
                    <pic:cNvPicPr/>
                  </pic:nvPicPr>
                  <pic:blipFill rotWithShape="1">
                    <a:blip r:embed="rId4">
                      <a:extLst>
                        <a:ext uri="{28A0092B-C50C-407E-A947-70E740481C1C}">
                          <a14:useLocalDpi xmlns:a14="http://schemas.microsoft.com/office/drawing/2010/main" val="0"/>
                        </a:ext>
                      </a:extLst>
                    </a:blip>
                    <a:srcRect l="12630" t="6881" r="1452" b="51948"/>
                    <a:stretch/>
                  </pic:blipFill>
                  <pic:spPr bwMode="auto">
                    <a:xfrm>
                      <a:off x="0" y="0"/>
                      <a:ext cx="6699885" cy="441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246F5">
        <w:rPr>
          <w:rFonts w:asciiTheme="minorHAnsi" w:hAnsiTheme="minorHAnsi" w:cstheme="minorHAnsi"/>
          <w:noProof/>
          <w:u w:val="single"/>
        </w:rPr>
        <w:drawing>
          <wp:anchor distT="0" distB="0" distL="114300" distR="114300" simplePos="0" relativeHeight="251658240" behindDoc="0" locked="0" layoutInCell="1" allowOverlap="1" wp14:anchorId="3FA509EA" wp14:editId="04556FCF">
            <wp:simplePos x="0" y="0"/>
            <wp:positionH relativeFrom="margin">
              <wp:align>center</wp:align>
            </wp:positionH>
            <wp:positionV relativeFrom="paragraph">
              <wp:posOffset>0</wp:posOffset>
            </wp:positionV>
            <wp:extent cx="6605270" cy="3838575"/>
            <wp:effectExtent l="0" t="0" r="508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an_20180329.jpg"/>
                    <pic:cNvPicPr/>
                  </pic:nvPicPr>
                  <pic:blipFill rotWithShape="1">
                    <a:blip r:embed="rId5">
                      <a:extLst>
                        <a:ext uri="{28A0092B-C50C-407E-A947-70E740481C1C}">
                          <a14:useLocalDpi xmlns:a14="http://schemas.microsoft.com/office/drawing/2010/main" val="0"/>
                        </a:ext>
                      </a:extLst>
                    </a:blip>
                    <a:srcRect l="15455" t="13039" r="3612" b="52793"/>
                    <a:stretch/>
                  </pic:blipFill>
                  <pic:spPr bwMode="auto">
                    <a:xfrm>
                      <a:off x="0" y="0"/>
                      <a:ext cx="6605270" cy="3838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1326">
        <w:rPr>
          <w:rFonts w:asciiTheme="minorHAnsi" w:hAnsiTheme="minorHAnsi" w:cstheme="minorHAnsi"/>
          <w:u w:val="single"/>
        </w:rPr>
        <w:br w:type="page"/>
      </w:r>
    </w:p>
    <w:p w14:paraId="1BEF4FE8" w14:textId="72F5BF7A" w:rsidR="00861326" w:rsidRDefault="0037694D">
      <w:pPr>
        <w:rPr>
          <w:rFonts w:asciiTheme="minorHAnsi" w:hAnsiTheme="minorHAnsi" w:cstheme="minorHAnsi"/>
          <w:u w:val="single"/>
        </w:rPr>
      </w:pPr>
      <w:r>
        <w:rPr>
          <w:rFonts w:asciiTheme="minorHAnsi" w:hAnsiTheme="minorHAnsi" w:cstheme="minorHAnsi"/>
          <w:noProof/>
          <w:u w:val="single"/>
        </w:rPr>
        <w:lastRenderedPageBreak/>
        <w:drawing>
          <wp:anchor distT="0" distB="0" distL="114300" distR="114300" simplePos="0" relativeHeight="251660288" behindDoc="0" locked="0" layoutInCell="1" allowOverlap="1" wp14:anchorId="2A3F4310" wp14:editId="62D1C6D1">
            <wp:simplePos x="0" y="0"/>
            <wp:positionH relativeFrom="margin">
              <wp:posOffset>-351155</wp:posOffset>
            </wp:positionH>
            <wp:positionV relativeFrom="paragraph">
              <wp:posOffset>113665</wp:posOffset>
            </wp:positionV>
            <wp:extent cx="6444753" cy="620077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_20180329 (3).jpg"/>
                    <pic:cNvPicPr/>
                  </pic:nvPicPr>
                  <pic:blipFill rotWithShape="1">
                    <a:blip r:embed="rId6">
                      <a:extLst>
                        <a:ext uri="{28A0092B-C50C-407E-A947-70E740481C1C}">
                          <a14:useLocalDpi xmlns:a14="http://schemas.microsoft.com/office/drawing/2010/main" val="0"/>
                        </a:ext>
                      </a:extLst>
                    </a:blip>
                    <a:srcRect l="24928" t="4105" r="9261" b="49896"/>
                    <a:stretch/>
                  </pic:blipFill>
                  <pic:spPr bwMode="auto">
                    <a:xfrm>
                      <a:off x="0" y="0"/>
                      <a:ext cx="6444753" cy="6200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1326">
        <w:rPr>
          <w:rFonts w:asciiTheme="minorHAnsi" w:hAnsiTheme="minorHAnsi" w:cstheme="minorHAnsi"/>
          <w:u w:val="single"/>
        </w:rPr>
        <w:br w:type="page"/>
      </w:r>
    </w:p>
    <w:p w14:paraId="1D77F55C" w14:textId="2B1A293F" w:rsidR="00861326" w:rsidRDefault="0037694D">
      <w:pPr>
        <w:rPr>
          <w:rFonts w:asciiTheme="minorHAnsi" w:hAnsiTheme="minorHAnsi" w:cstheme="minorHAnsi"/>
          <w:u w:val="single"/>
        </w:rPr>
      </w:pPr>
      <w:r>
        <w:rPr>
          <w:rFonts w:asciiTheme="minorHAnsi" w:hAnsiTheme="minorHAnsi" w:cstheme="minorHAnsi"/>
          <w:noProof/>
          <w:u w:val="single"/>
        </w:rPr>
        <w:lastRenderedPageBreak/>
        <w:drawing>
          <wp:anchor distT="0" distB="0" distL="114300" distR="114300" simplePos="0" relativeHeight="251661312" behindDoc="0" locked="0" layoutInCell="1" allowOverlap="1" wp14:anchorId="25AD1B59" wp14:editId="400E1CEB">
            <wp:simplePos x="0" y="0"/>
            <wp:positionH relativeFrom="column">
              <wp:posOffset>-333375</wp:posOffset>
            </wp:positionH>
            <wp:positionV relativeFrom="paragraph">
              <wp:posOffset>104775</wp:posOffset>
            </wp:positionV>
            <wp:extent cx="6283325" cy="6010275"/>
            <wp:effectExtent l="0" t="0" r="317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_20180329 (4).jpg"/>
                    <pic:cNvPicPr/>
                  </pic:nvPicPr>
                  <pic:blipFill rotWithShape="1">
                    <a:blip r:embed="rId7">
                      <a:extLst>
                        <a:ext uri="{28A0092B-C50C-407E-A947-70E740481C1C}">
                          <a14:useLocalDpi xmlns:a14="http://schemas.microsoft.com/office/drawing/2010/main" val="0"/>
                        </a:ext>
                      </a:extLst>
                    </a:blip>
                    <a:srcRect l="16286" t="9056" r="26379" b="51102"/>
                    <a:stretch/>
                  </pic:blipFill>
                  <pic:spPr bwMode="auto">
                    <a:xfrm>
                      <a:off x="0" y="0"/>
                      <a:ext cx="6283325" cy="6010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1326">
        <w:rPr>
          <w:rFonts w:asciiTheme="minorHAnsi" w:hAnsiTheme="minorHAnsi" w:cstheme="minorHAnsi"/>
          <w:u w:val="single"/>
        </w:rPr>
        <w:br w:type="page"/>
      </w:r>
      <w:bookmarkStart w:id="0" w:name="_GoBack"/>
      <w:bookmarkEnd w:id="0"/>
    </w:p>
    <w:p w14:paraId="4FB8220B" w14:textId="52B8FABD" w:rsidR="00250266" w:rsidRDefault="00250266">
      <w:pPr>
        <w:rPr>
          <w:rFonts w:asciiTheme="minorHAnsi" w:hAnsiTheme="minorHAnsi" w:cstheme="minorHAnsi"/>
          <w:u w:val="single"/>
        </w:rPr>
      </w:pPr>
      <w:r>
        <w:rPr>
          <w:rFonts w:asciiTheme="minorHAnsi" w:hAnsiTheme="minorHAnsi" w:cstheme="minorHAnsi"/>
          <w:u w:val="single"/>
        </w:rPr>
        <w:lastRenderedPageBreak/>
        <w:t>Mollusc Report</w:t>
      </w:r>
    </w:p>
    <w:p w14:paraId="65C2558E" w14:textId="6803C8B4" w:rsidR="00250266" w:rsidRDefault="00DB38F0">
      <w:pPr>
        <w:rPr>
          <w:rFonts w:asciiTheme="minorHAnsi" w:hAnsiTheme="minorHAnsi" w:cstheme="minorHAnsi"/>
        </w:rPr>
      </w:pPr>
      <w:r>
        <w:rPr>
          <w:rFonts w:asciiTheme="minorHAnsi" w:hAnsiTheme="minorHAnsi" w:cstheme="minorHAnsi"/>
        </w:rPr>
        <w:t xml:space="preserve">There are many things that can be learnt from the study of molluscs. These may include the change in environment of an area over time </w:t>
      </w:r>
      <w:r w:rsidR="00366912">
        <w:rPr>
          <w:rFonts w:asciiTheme="minorHAnsi" w:hAnsiTheme="minorHAnsi" w:cstheme="minorHAnsi"/>
        </w:rPr>
        <w:t xml:space="preserve">in a </w:t>
      </w:r>
      <w:proofErr w:type="gramStart"/>
      <w:r w:rsidR="00366912">
        <w:rPr>
          <w:rFonts w:asciiTheme="minorHAnsi" w:hAnsiTheme="minorHAnsi" w:cstheme="minorHAnsi"/>
        </w:rPr>
        <w:t>particular area</w:t>
      </w:r>
      <w:proofErr w:type="gramEnd"/>
      <w:r w:rsidR="00366912">
        <w:rPr>
          <w:rFonts w:asciiTheme="minorHAnsi" w:hAnsiTheme="minorHAnsi" w:cstheme="minorHAnsi"/>
        </w:rPr>
        <w:t xml:space="preserve">. You can find out from the type of molluscs the kind of environment there was in the stratigraphic layers of the site. They also make it possible to figure out the </w:t>
      </w:r>
      <w:proofErr w:type="gramStart"/>
      <w:r w:rsidR="00BA0E3D">
        <w:rPr>
          <w:rFonts w:asciiTheme="minorHAnsi" w:hAnsiTheme="minorHAnsi" w:cstheme="minorHAnsi"/>
        </w:rPr>
        <w:t>time period</w:t>
      </w:r>
      <w:proofErr w:type="gramEnd"/>
      <w:r w:rsidR="00BA0E3D">
        <w:rPr>
          <w:rFonts w:asciiTheme="minorHAnsi" w:hAnsiTheme="minorHAnsi" w:cstheme="minorHAnsi"/>
        </w:rPr>
        <w:t xml:space="preserve"> that you may be looking at for a site as </w:t>
      </w:r>
      <w:r w:rsidR="00657BDE">
        <w:rPr>
          <w:rFonts w:asciiTheme="minorHAnsi" w:hAnsiTheme="minorHAnsi" w:cstheme="minorHAnsi"/>
        </w:rPr>
        <w:t xml:space="preserve">a significant change will be reflected in the molluscs found as well as in the other items that are found. </w:t>
      </w:r>
    </w:p>
    <w:p w14:paraId="74378378" w14:textId="5433930F" w:rsidR="00657BDE" w:rsidRDefault="00657BDE">
      <w:pPr>
        <w:rPr>
          <w:rFonts w:asciiTheme="minorHAnsi" w:hAnsiTheme="minorHAnsi" w:cstheme="minorHAnsi"/>
        </w:rPr>
      </w:pPr>
      <w:r>
        <w:rPr>
          <w:rFonts w:asciiTheme="minorHAnsi" w:hAnsiTheme="minorHAnsi" w:cstheme="minorHAnsi"/>
        </w:rPr>
        <w:t xml:space="preserve">There are </w:t>
      </w:r>
      <w:proofErr w:type="gramStart"/>
      <w:r>
        <w:rPr>
          <w:rFonts w:asciiTheme="minorHAnsi" w:hAnsiTheme="minorHAnsi" w:cstheme="minorHAnsi"/>
        </w:rPr>
        <w:t>a number of</w:t>
      </w:r>
      <w:proofErr w:type="gramEnd"/>
      <w:r>
        <w:rPr>
          <w:rFonts w:asciiTheme="minorHAnsi" w:hAnsiTheme="minorHAnsi" w:cstheme="minorHAnsi"/>
        </w:rPr>
        <w:t xml:space="preserve"> taphonomic problems that may occur from the interpretation of molluscs from unit 8 in figure 1. This is </w:t>
      </w:r>
      <w:proofErr w:type="gramStart"/>
      <w:r>
        <w:rPr>
          <w:rFonts w:asciiTheme="minorHAnsi" w:hAnsiTheme="minorHAnsi" w:cstheme="minorHAnsi"/>
        </w:rPr>
        <w:t>due to the fact that</w:t>
      </w:r>
      <w:proofErr w:type="gramEnd"/>
      <w:r>
        <w:rPr>
          <w:rFonts w:asciiTheme="minorHAnsi" w:hAnsiTheme="minorHAnsi" w:cstheme="minorHAnsi"/>
        </w:rPr>
        <w:t xml:space="preserve"> it </w:t>
      </w:r>
      <w:r w:rsidR="0058624F">
        <w:rPr>
          <w:rFonts w:asciiTheme="minorHAnsi" w:hAnsiTheme="minorHAnsi" w:cstheme="minorHAnsi"/>
        </w:rPr>
        <w:t xml:space="preserve">could </w:t>
      </w:r>
      <w:r>
        <w:rPr>
          <w:rFonts w:asciiTheme="minorHAnsi" w:hAnsiTheme="minorHAnsi" w:cstheme="minorHAnsi"/>
        </w:rPr>
        <w:t>be an ancient river bed, and this provides difficulty in that rivers carried all kinds of material along the river course.</w:t>
      </w:r>
      <w:r w:rsidR="0058624F">
        <w:rPr>
          <w:rFonts w:asciiTheme="minorHAnsi" w:hAnsiTheme="minorHAnsi" w:cstheme="minorHAnsi"/>
        </w:rPr>
        <w:t xml:space="preserve"> </w:t>
      </w:r>
      <w:r w:rsidR="00436439">
        <w:rPr>
          <w:rFonts w:asciiTheme="minorHAnsi" w:hAnsiTheme="minorHAnsi" w:cstheme="minorHAnsi"/>
        </w:rPr>
        <w:t xml:space="preserve">There is also the possibility of this being a ditch fill as this can occur due to human interaction with the landscape. There are issues with this as well. These may arise from </w:t>
      </w:r>
      <w:r w:rsidR="008361BE">
        <w:rPr>
          <w:rFonts w:asciiTheme="minorHAnsi" w:hAnsiTheme="minorHAnsi" w:cstheme="minorHAnsi"/>
        </w:rPr>
        <w:t xml:space="preserve">the fact that “it is usually, though not always, possible to tell whether a layer has been thrown into the ditch deliberately or has silted naturally due to weathering.” (Barker, 2013). This can provide issues when trying to interpret the sample. </w:t>
      </w:r>
      <w:r>
        <w:rPr>
          <w:rFonts w:asciiTheme="minorHAnsi" w:hAnsiTheme="minorHAnsi" w:cstheme="minorHAnsi"/>
        </w:rPr>
        <w:t xml:space="preserve">This therefore may lead to the </w:t>
      </w:r>
      <w:r w:rsidR="0068058F">
        <w:rPr>
          <w:rFonts w:asciiTheme="minorHAnsi" w:hAnsiTheme="minorHAnsi" w:cstheme="minorHAnsi"/>
        </w:rPr>
        <w:t xml:space="preserve">material not providing an accurate representation. There are also issues when taking the samples </w:t>
      </w:r>
      <w:r w:rsidR="00587E16">
        <w:rPr>
          <w:rFonts w:asciiTheme="minorHAnsi" w:hAnsiTheme="minorHAnsi" w:cstheme="minorHAnsi"/>
        </w:rPr>
        <w:t xml:space="preserve">as “specialists cannot always visit and undertake sampling themselves, and consequently the nature of the sample provided for the analysis ranges greatly from the downright useless to excellent.” (Allen, 2017). </w:t>
      </w:r>
      <w:r w:rsidR="00C11307">
        <w:rPr>
          <w:rFonts w:asciiTheme="minorHAnsi" w:hAnsiTheme="minorHAnsi" w:cstheme="minorHAnsi"/>
        </w:rPr>
        <w:t xml:space="preserve">This may also bring about </w:t>
      </w:r>
      <w:r w:rsidR="00323359">
        <w:rPr>
          <w:rFonts w:asciiTheme="minorHAnsi" w:hAnsiTheme="minorHAnsi" w:cstheme="minorHAnsi"/>
        </w:rPr>
        <w:t xml:space="preserve">taphonomic problems in the interpretation of the molluscs as the samples may include multiple layers </w:t>
      </w:r>
      <w:proofErr w:type="gramStart"/>
      <w:r w:rsidR="00323359">
        <w:rPr>
          <w:rFonts w:asciiTheme="minorHAnsi" w:hAnsiTheme="minorHAnsi" w:cstheme="minorHAnsi"/>
        </w:rPr>
        <w:t>and also</w:t>
      </w:r>
      <w:proofErr w:type="gramEnd"/>
      <w:r w:rsidR="00323359">
        <w:rPr>
          <w:rFonts w:asciiTheme="minorHAnsi" w:hAnsiTheme="minorHAnsi" w:cstheme="minorHAnsi"/>
        </w:rPr>
        <w:t xml:space="preserve"> the molluscs within the stratigraphic layer of the sample may have been crushed. </w:t>
      </w:r>
      <w:r w:rsidR="00146522">
        <w:rPr>
          <w:rFonts w:asciiTheme="minorHAnsi" w:hAnsiTheme="minorHAnsi" w:cstheme="minorHAnsi"/>
        </w:rPr>
        <w:t xml:space="preserve">There is also the difficulty that </w:t>
      </w:r>
      <w:r w:rsidR="008731DB">
        <w:rPr>
          <w:rFonts w:asciiTheme="minorHAnsi" w:hAnsiTheme="minorHAnsi" w:cstheme="minorHAnsi"/>
        </w:rPr>
        <w:t>“it is imperative that they are recovered from soil samples processed appropriately, rather than hand-picked on site. Hand-collected shells have limited palaeoenvironmental value;”</w:t>
      </w:r>
      <w:r w:rsidR="007E73E1">
        <w:rPr>
          <w:rFonts w:asciiTheme="minorHAnsi" w:hAnsiTheme="minorHAnsi" w:cstheme="minorHAnsi"/>
        </w:rPr>
        <w:t xml:space="preserve"> (Allen, 2017)</w:t>
      </w:r>
      <w:r w:rsidR="008731DB">
        <w:rPr>
          <w:rFonts w:asciiTheme="minorHAnsi" w:hAnsiTheme="minorHAnsi" w:cstheme="minorHAnsi"/>
        </w:rPr>
        <w:t xml:space="preserve">. This then makes </w:t>
      </w:r>
      <w:r w:rsidR="0058624F">
        <w:rPr>
          <w:rFonts w:asciiTheme="minorHAnsi" w:hAnsiTheme="minorHAnsi" w:cstheme="minorHAnsi"/>
        </w:rPr>
        <w:t>their</w:t>
      </w:r>
      <w:r w:rsidR="008731DB">
        <w:rPr>
          <w:rFonts w:asciiTheme="minorHAnsi" w:hAnsiTheme="minorHAnsi" w:cstheme="minorHAnsi"/>
        </w:rPr>
        <w:t xml:space="preserve"> potential limitations to the interpretations that can be made. </w:t>
      </w:r>
      <w:r w:rsidR="00C013C0">
        <w:rPr>
          <w:rFonts w:asciiTheme="minorHAnsi" w:hAnsiTheme="minorHAnsi" w:cstheme="minorHAnsi"/>
        </w:rPr>
        <w:t xml:space="preserve">There are also issues in interpreting a sample from this layer of the excavation as it is below </w:t>
      </w:r>
      <w:proofErr w:type="gramStart"/>
      <w:r w:rsidR="00C013C0">
        <w:rPr>
          <w:rFonts w:asciiTheme="minorHAnsi" w:hAnsiTheme="minorHAnsi" w:cstheme="minorHAnsi"/>
        </w:rPr>
        <w:t>a number of</w:t>
      </w:r>
      <w:proofErr w:type="gramEnd"/>
      <w:r w:rsidR="00C013C0">
        <w:rPr>
          <w:rFonts w:asciiTheme="minorHAnsi" w:hAnsiTheme="minorHAnsi" w:cstheme="minorHAnsi"/>
        </w:rPr>
        <w:t xml:space="preserve"> periods of occupation. This can be seen from the Ebbsfleet sherd found in the layer above. This type of pottery is more commonly known as Peterborough Ware and “three types o</w:t>
      </w:r>
      <w:r w:rsidR="00DC66C6">
        <w:rPr>
          <w:rFonts w:asciiTheme="minorHAnsi" w:hAnsiTheme="minorHAnsi" w:cstheme="minorHAnsi"/>
        </w:rPr>
        <w:t xml:space="preserve">r sub-styles of Peterborough Ware are found in East Anglia. Ebbsfleet bowls are simple,” (Percival, 2016). The fact that there was pottery found just above this layer may also mean that </w:t>
      </w:r>
      <w:r w:rsidR="00C91B2F">
        <w:rPr>
          <w:rFonts w:asciiTheme="minorHAnsi" w:hAnsiTheme="minorHAnsi" w:cstheme="minorHAnsi"/>
        </w:rPr>
        <w:t xml:space="preserve">building occurred which may have brought material from lower stratigraphic layers towards the surface. </w:t>
      </w:r>
    </w:p>
    <w:p w14:paraId="1A5753F2" w14:textId="55B9E4BD" w:rsidR="00116236" w:rsidRDefault="00CA3676">
      <w:pPr>
        <w:rPr>
          <w:rFonts w:asciiTheme="minorHAnsi" w:hAnsiTheme="minorHAnsi" w:cstheme="minorHAnsi"/>
        </w:rPr>
      </w:pPr>
      <w:r>
        <w:rPr>
          <w:rFonts w:asciiTheme="minorHAnsi" w:hAnsiTheme="minorHAnsi" w:cstheme="minorHAnsi"/>
        </w:rPr>
        <w:t xml:space="preserve">When considering Figure 2 there </w:t>
      </w:r>
      <w:r w:rsidR="007C47DA">
        <w:rPr>
          <w:rFonts w:asciiTheme="minorHAnsi" w:hAnsiTheme="minorHAnsi" w:cstheme="minorHAnsi"/>
        </w:rPr>
        <w:t>are</w:t>
      </w:r>
      <w:r w:rsidR="00E77D91">
        <w:rPr>
          <w:rFonts w:asciiTheme="minorHAnsi" w:hAnsiTheme="minorHAnsi" w:cstheme="minorHAnsi"/>
        </w:rPr>
        <w:t xml:space="preserve"> </w:t>
      </w:r>
      <w:proofErr w:type="gramStart"/>
      <w:r w:rsidR="007C47DA">
        <w:rPr>
          <w:rFonts w:asciiTheme="minorHAnsi" w:hAnsiTheme="minorHAnsi" w:cstheme="minorHAnsi"/>
        </w:rPr>
        <w:t>a number of</w:t>
      </w:r>
      <w:proofErr w:type="gramEnd"/>
      <w:r w:rsidR="007C47DA">
        <w:rPr>
          <w:rFonts w:asciiTheme="minorHAnsi" w:hAnsiTheme="minorHAnsi" w:cstheme="minorHAnsi"/>
        </w:rPr>
        <w:t xml:space="preserve"> changes that can be seen in the diagram particularly in regard to the </w:t>
      </w:r>
      <w:r w:rsidR="00D97748">
        <w:rPr>
          <w:rFonts w:asciiTheme="minorHAnsi" w:hAnsiTheme="minorHAnsi" w:cstheme="minorHAnsi"/>
        </w:rPr>
        <w:t xml:space="preserve">change of the types of molluscs depending on the </w:t>
      </w:r>
      <w:r w:rsidR="000D0755">
        <w:rPr>
          <w:rFonts w:asciiTheme="minorHAnsi" w:hAnsiTheme="minorHAnsi" w:cstheme="minorHAnsi"/>
        </w:rPr>
        <w:t xml:space="preserve">environment and </w:t>
      </w:r>
      <w:r w:rsidR="00C337BC">
        <w:rPr>
          <w:rFonts w:asciiTheme="minorHAnsi" w:hAnsiTheme="minorHAnsi" w:cstheme="minorHAnsi"/>
        </w:rPr>
        <w:t xml:space="preserve">what the area is being used for. </w:t>
      </w:r>
      <w:r w:rsidR="00E77D91">
        <w:rPr>
          <w:rFonts w:asciiTheme="minorHAnsi" w:hAnsiTheme="minorHAnsi" w:cstheme="minorHAnsi"/>
        </w:rPr>
        <w:t xml:space="preserve">There is a large change over in the molluscs that are found with an increase of most of the last 6 groups of molluscs. This during a change in the environment from open woodland to </w:t>
      </w:r>
      <w:r w:rsidR="00681A8A">
        <w:rPr>
          <w:rFonts w:asciiTheme="minorHAnsi" w:hAnsiTheme="minorHAnsi" w:cstheme="minorHAnsi"/>
        </w:rPr>
        <w:t>clearance and the grassland and dry grassland. There was also an earlier change when the environment went from Tundra to open woodland and the</w:t>
      </w:r>
      <w:r w:rsidR="00B773CB">
        <w:rPr>
          <w:rFonts w:asciiTheme="minorHAnsi" w:hAnsiTheme="minorHAnsi" w:cstheme="minorHAnsi"/>
        </w:rPr>
        <w:t xml:space="preserve"> types of mollusc that were found </w:t>
      </w:r>
      <w:r w:rsidR="007B5B33">
        <w:rPr>
          <w:rFonts w:asciiTheme="minorHAnsi" w:hAnsiTheme="minorHAnsi" w:cstheme="minorHAnsi"/>
        </w:rPr>
        <w:t xml:space="preserve">with </w:t>
      </w:r>
      <w:proofErr w:type="gramStart"/>
      <w:r w:rsidR="007B5B33">
        <w:rPr>
          <w:rFonts w:asciiTheme="minorHAnsi" w:hAnsiTheme="minorHAnsi" w:cstheme="minorHAnsi"/>
        </w:rPr>
        <w:t>the majority of</w:t>
      </w:r>
      <w:proofErr w:type="gramEnd"/>
      <w:r w:rsidR="007B5B33">
        <w:rPr>
          <w:rFonts w:asciiTheme="minorHAnsi" w:hAnsiTheme="minorHAnsi" w:cstheme="minorHAnsi"/>
        </w:rPr>
        <w:t xml:space="preserve"> the molluscs being found being in the last few mollusc types. This then changed with there being more of the initial types of mollusc on the diagram. This emphasises how the molluscs prefer specific environments as their numbers vary depending on the changes that occur. These may have been caused by </w:t>
      </w:r>
      <w:r w:rsidR="0093383E">
        <w:rPr>
          <w:rFonts w:asciiTheme="minorHAnsi" w:hAnsiTheme="minorHAnsi" w:cstheme="minorHAnsi"/>
        </w:rPr>
        <w:t>changes in the climate of the world at the time. The analysis of molluscs if often used to determine this “</w:t>
      </w:r>
      <w:r w:rsidR="00645E20">
        <w:rPr>
          <w:rFonts w:asciiTheme="minorHAnsi" w:hAnsiTheme="minorHAnsi" w:cstheme="minorHAnsi"/>
        </w:rPr>
        <w:t>palaeographers</w:t>
      </w:r>
      <w:r w:rsidR="0093383E">
        <w:rPr>
          <w:rFonts w:asciiTheme="minorHAnsi" w:hAnsiTheme="minorHAnsi" w:cstheme="minorHAnsi"/>
        </w:rPr>
        <w:t xml:space="preserve"> initially concentrated on land snail analyses to examine the major climatic changes </w:t>
      </w:r>
      <w:r w:rsidR="00645E20">
        <w:rPr>
          <w:rFonts w:asciiTheme="minorHAnsi" w:hAnsiTheme="minorHAnsi" w:cstheme="minorHAnsi"/>
        </w:rPr>
        <w:t xml:space="preserve">between and within the glacial and interglacial environments” (Allen, 2017). There is also the fact that “these studies examined broad vegetation histories relating to the late glacial and post-glacial climatic developments. This information could, however, be used to examine the changes and modification of that vegetation cover by human action </w:t>
      </w:r>
      <w:proofErr w:type="spellStart"/>
      <w:r w:rsidR="00645E20">
        <w:rPr>
          <w:rFonts w:asciiTheme="minorHAnsi" w:hAnsiTheme="minorHAnsi" w:cstheme="minorHAnsi"/>
        </w:rPr>
        <w:t>ie</w:t>
      </w:r>
      <w:proofErr w:type="spellEnd"/>
      <w:r w:rsidR="00645E20">
        <w:rPr>
          <w:rFonts w:asciiTheme="minorHAnsi" w:hAnsiTheme="minorHAnsi" w:cstheme="minorHAnsi"/>
        </w:rPr>
        <w:t xml:space="preserve">, land-use – thus taking land </w:t>
      </w:r>
      <w:r w:rsidR="00E11FD9">
        <w:rPr>
          <w:rFonts w:asciiTheme="minorHAnsi" w:hAnsiTheme="minorHAnsi" w:cstheme="minorHAnsi"/>
        </w:rPr>
        <w:t xml:space="preserve">snail analysis from geography and palaeography into the realms of archaeology and environmental archaeology.” (Allen, 2017). </w:t>
      </w:r>
      <w:r w:rsidR="003D433F">
        <w:rPr>
          <w:rFonts w:asciiTheme="minorHAnsi" w:hAnsiTheme="minorHAnsi" w:cstheme="minorHAnsi"/>
        </w:rPr>
        <w:t xml:space="preserve">This therefore shows how the analysis of land snails provides an insight into the local environment and how they can be sensitive </w:t>
      </w:r>
      <w:r w:rsidR="003D433F">
        <w:rPr>
          <w:rFonts w:asciiTheme="minorHAnsi" w:hAnsiTheme="minorHAnsi" w:cstheme="minorHAnsi"/>
        </w:rPr>
        <w:lastRenderedPageBreak/>
        <w:t xml:space="preserve">to climatic change. Land snails “reflect local conditions, and can be responsive to changes in microclimate, particularly to changes in temperature and rainfall.” (Renfrew and Bahn, 2016). </w:t>
      </w:r>
      <w:r w:rsidR="007506E5">
        <w:rPr>
          <w:rFonts w:asciiTheme="minorHAnsi" w:hAnsiTheme="minorHAnsi" w:cstheme="minorHAnsi"/>
        </w:rPr>
        <w:t xml:space="preserve">This may account for the changes in the molluscs that are found as on the diagram there appears to be a high degree of change to the environment of the change. This may also indicate the fact that it likely occurred in a </w:t>
      </w:r>
      <w:r w:rsidR="00674251">
        <w:rPr>
          <w:rFonts w:asciiTheme="minorHAnsi" w:hAnsiTheme="minorHAnsi" w:cstheme="minorHAnsi"/>
        </w:rPr>
        <w:t xml:space="preserve">late </w:t>
      </w:r>
      <w:r w:rsidR="007506E5">
        <w:rPr>
          <w:rFonts w:asciiTheme="minorHAnsi" w:hAnsiTheme="minorHAnsi" w:cstheme="minorHAnsi"/>
        </w:rPr>
        <w:t xml:space="preserve">glacial period. This is </w:t>
      </w:r>
      <w:proofErr w:type="gramStart"/>
      <w:r w:rsidR="007506E5">
        <w:rPr>
          <w:rFonts w:asciiTheme="minorHAnsi" w:hAnsiTheme="minorHAnsi" w:cstheme="minorHAnsi"/>
        </w:rPr>
        <w:t>due to the fact that</w:t>
      </w:r>
      <w:proofErr w:type="gramEnd"/>
      <w:r w:rsidR="00674251">
        <w:rPr>
          <w:rFonts w:asciiTheme="minorHAnsi" w:hAnsiTheme="minorHAnsi" w:cstheme="minorHAnsi"/>
        </w:rPr>
        <w:t xml:space="preserve"> it “is characterised by a large form of </w:t>
      </w:r>
      <w:proofErr w:type="spellStart"/>
      <w:r w:rsidR="00674251">
        <w:rPr>
          <w:rFonts w:asciiTheme="minorHAnsi" w:hAnsiTheme="minorHAnsi" w:cstheme="minorHAnsi"/>
          <w:i/>
        </w:rPr>
        <w:t>Pupilla</w:t>
      </w:r>
      <w:proofErr w:type="spellEnd"/>
      <w:r w:rsidR="00674251">
        <w:rPr>
          <w:rFonts w:asciiTheme="minorHAnsi" w:hAnsiTheme="minorHAnsi" w:cstheme="minorHAnsi"/>
          <w:i/>
        </w:rPr>
        <w:t xml:space="preserve"> </w:t>
      </w:r>
      <w:proofErr w:type="spellStart"/>
      <w:r w:rsidR="00674251">
        <w:rPr>
          <w:rFonts w:asciiTheme="minorHAnsi" w:hAnsiTheme="minorHAnsi" w:cstheme="minorHAnsi"/>
          <w:i/>
        </w:rPr>
        <w:t>muscorum</w:t>
      </w:r>
      <w:proofErr w:type="spellEnd"/>
      <w:r w:rsidR="00674251">
        <w:rPr>
          <w:rFonts w:asciiTheme="minorHAnsi" w:hAnsiTheme="minorHAnsi" w:cstheme="minorHAnsi"/>
        </w:rPr>
        <w:t xml:space="preserve">, as well as </w:t>
      </w:r>
      <w:proofErr w:type="spellStart"/>
      <w:r w:rsidR="00674251">
        <w:rPr>
          <w:rFonts w:asciiTheme="minorHAnsi" w:hAnsiTheme="minorHAnsi" w:cstheme="minorHAnsi"/>
          <w:i/>
        </w:rPr>
        <w:t>Vallonia</w:t>
      </w:r>
      <w:proofErr w:type="spellEnd"/>
      <w:r w:rsidR="00674251">
        <w:rPr>
          <w:rFonts w:asciiTheme="minorHAnsi" w:hAnsiTheme="minorHAnsi" w:cstheme="minorHAnsi"/>
          <w:i/>
        </w:rPr>
        <w:t xml:space="preserve"> </w:t>
      </w:r>
      <w:proofErr w:type="spellStart"/>
      <w:r w:rsidR="00674251">
        <w:rPr>
          <w:rFonts w:asciiTheme="minorHAnsi" w:hAnsiTheme="minorHAnsi" w:cstheme="minorHAnsi"/>
          <w:i/>
        </w:rPr>
        <w:t>costata</w:t>
      </w:r>
      <w:proofErr w:type="spellEnd"/>
      <w:r w:rsidR="006E06D4">
        <w:rPr>
          <w:rFonts w:asciiTheme="minorHAnsi" w:hAnsiTheme="minorHAnsi" w:cstheme="minorHAnsi"/>
        </w:rPr>
        <w:t>” (Wilkinson</w:t>
      </w:r>
      <w:r w:rsidR="00C336EF">
        <w:rPr>
          <w:rFonts w:asciiTheme="minorHAnsi" w:hAnsiTheme="minorHAnsi" w:cstheme="minorHAnsi"/>
        </w:rPr>
        <w:t xml:space="preserve"> and Stevens</w:t>
      </w:r>
      <w:r w:rsidR="006E06D4">
        <w:rPr>
          <w:rFonts w:asciiTheme="minorHAnsi" w:hAnsiTheme="minorHAnsi" w:cstheme="minorHAnsi"/>
        </w:rPr>
        <w:t>, 2003). This pattern can be seen in figure 2 as there is a higher level of both these species than there has been in the earlier stratigraphic layers at this site.</w:t>
      </w:r>
      <w:r w:rsidR="00CE32E7">
        <w:rPr>
          <w:rFonts w:asciiTheme="minorHAnsi" w:hAnsiTheme="minorHAnsi" w:cstheme="minorHAnsi"/>
        </w:rPr>
        <w:t xml:space="preserve"> </w:t>
      </w:r>
      <w:r w:rsidR="0016038E">
        <w:rPr>
          <w:rFonts w:asciiTheme="minorHAnsi" w:hAnsiTheme="minorHAnsi" w:cstheme="minorHAnsi"/>
        </w:rPr>
        <w:t xml:space="preserve">The type of grassland that was there at this period can also be determined through the </w:t>
      </w:r>
      <w:r w:rsidR="00DE493F">
        <w:rPr>
          <w:rFonts w:asciiTheme="minorHAnsi" w:hAnsiTheme="minorHAnsi" w:cstheme="minorHAnsi"/>
        </w:rPr>
        <w:t xml:space="preserve">types of environment which these molluscs prefer. </w:t>
      </w:r>
      <w:r w:rsidR="00590A4D">
        <w:rPr>
          <w:rFonts w:asciiTheme="minorHAnsi" w:hAnsiTheme="minorHAnsi" w:cstheme="minorHAnsi"/>
        </w:rPr>
        <w:t xml:space="preserve">These </w:t>
      </w:r>
      <w:proofErr w:type="gramStart"/>
      <w:r w:rsidR="00590A4D">
        <w:rPr>
          <w:rFonts w:asciiTheme="minorHAnsi" w:hAnsiTheme="minorHAnsi" w:cstheme="minorHAnsi"/>
        </w:rPr>
        <w:t>particular types</w:t>
      </w:r>
      <w:proofErr w:type="gramEnd"/>
      <w:r w:rsidR="00590A4D">
        <w:rPr>
          <w:rFonts w:asciiTheme="minorHAnsi" w:hAnsiTheme="minorHAnsi" w:cstheme="minorHAnsi"/>
        </w:rPr>
        <w:t xml:space="preserve"> of molluscs “inhabit dryland environments devoid of shade such as those found in ploughed farmland or in steppe.” (Wilkinson and Stevens, 2013). </w:t>
      </w:r>
      <w:r w:rsidR="004050D3">
        <w:rPr>
          <w:rFonts w:asciiTheme="minorHAnsi" w:hAnsiTheme="minorHAnsi" w:cstheme="minorHAnsi"/>
        </w:rPr>
        <w:t xml:space="preserve">This implies that the area had very little plants other than </w:t>
      </w:r>
      <w:r w:rsidR="007F3BD6">
        <w:rPr>
          <w:rFonts w:asciiTheme="minorHAnsi" w:hAnsiTheme="minorHAnsi" w:cstheme="minorHAnsi"/>
        </w:rPr>
        <w:t xml:space="preserve">grass and therefore may have been made into arable land for farming. </w:t>
      </w:r>
      <w:r w:rsidR="000A691F">
        <w:rPr>
          <w:rFonts w:asciiTheme="minorHAnsi" w:hAnsiTheme="minorHAnsi" w:cstheme="minorHAnsi"/>
        </w:rPr>
        <w:t xml:space="preserve">Based on the changes in environment at this site across a long period of time this site appears to be Neolithic in origin. This is </w:t>
      </w:r>
      <w:proofErr w:type="gramStart"/>
      <w:r w:rsidR="000A691F">
        <w:rPr>
          <w:rFonts w:asciiTheme="minorHAnsi" w:hAnsiTheme="minorHAnsi" w:cstheme="minorHAnsi"/>
        </w:rPr>
        <w:t>due to the fact that</w:t>
      </w:r>
      <w:proofErr w:type="gramEnd"/>
      <w:r w:rsidR="000A691F">
        <w:rPr>
          <w:rFonts w:asciiTheme="minorHAnsi" w:hAnsiTheme="minorHAnsi" w:cstheme="minorHAnsi"/>
        </w:rPr>
        <w:t xml:space="preserve"> the Neolithic is characterised by</w:t>
      </w:r>
      <w:r w:rsidR="000C7908">
        <w:rPr>
          <w:rFonts w:asciiTheme="minorHAnsi" w:hAnsiTheme="minorHAnsi" w:cstheme="minorHAnsi"/>
        </w:rPr>
        <w:t xml:space="preserve"> a</w:t>
      </w:r>
      <w:r w:rsidR="000A691F">
        <w:rPr>
          <w:rFonts w:asciiTheme="minorHAnsi" w:hAnsiTheme="minorHAnsi" w:cstheme="minorHAnsi"/>
        </w:rPr>
        <w:t xml:space="preserve"> “</w:t>
      </w:r>
      <w:r w:rsidR="000C7908">
        <w:rPr>
          <w:rFonts w:asciiTheme="minorHAnsi" w:hAnsiTheme="minorHAnsi" w:cstheme="minorHAnsi"/>
        </w:rPr>
        <w:t>long period of grassland, probably maintained by grazing</w:t>
      </w:r>
      <w:r w:rsidR="001F1439">
        <w:rPr>
          <w:rFonts w:asciiTheme="minorHAnsi" w:hAnsiTheme="minorHAnsi" w:cstheme="minorHAnsi"/>
        </w:rPr>
        <w:t xml:space="preserve">. Woodland clearance, ploughing &amp; possibly other forms of tilling.” (Allen, 2017). </w:t>
      </w:r>
      <w:r w:rsidR="00360751">
        <w:rPr>
          <w:rFonts w:asciiTheme="minorHAnsi" w:hAnsiTheme="minorHAnsi" w:cstheme="minorHAnsi"/>
        </w:rPr>
        <w:t>This can be seen to be the changes in the land from figure 2 therefore suggesting that these changes occurred during the Neolithic period. The earlier change from tundra to open woodland may have been a natural transition from the late glacial period which tends to be “subarctic environment, probably tundra.” (Allen, 2017) to the Mesolithic which is characterised by “open woodland.” (Allen, 2017). Therefore</w:t>
      </w:r>
      <w:r w:rsidR="00116236">
        <w:rPr>
          <w:rFonts w:asciiTheme="minorHAnsi" w:hAnsiTheme="minorHAnsi" w:cstheme="minorHAnsi"/>
        </w:rPr>
        <w:t>,</w:t>
      </w:r>
      <w:r w:rsidR="00360751">
        <w:rPr>
          <w:rFonts w:asciiTheme="minorHAnsi" w:hAnsiTheme="minorHAnsi" w:cstheme="minorHAnsi"/>
        </w:rPr>
        <w:t xml:space="preserve"> this site provides evidence from the Late glacial period to the Neolithic. </w:t>
      </w:r>
    </w:p>
    <w:p w14:paraId="57890C7D" w14:textId="314916D6" w:rsidR="00116236" w:rsidRDefault="00116236">
      <w:pPr>
        <w:rPr>
          <w:rFonts w:asciiTheme="minorHAnsi" w:hAnsiTheme="minorHAnsi" w:cstheme="minorHAnsi"/>
        </w:rPr>
      </w:pPr>
      <w:r>
        <w:rPr>
          <w:rFonts w:asciiTheme="minorHAnsi" w:hAnsiTheme="minorHAnsi" w:cstheme="minorHAnsi"/>
        </w:rPr>
        <w:t xml:space="preserve">This shows that there is a lot that can be learnt from the study of molluscs. It is possible to derive climatic changes and to determine the time periods of the site and what it may have been used for. This provides an insight into being able to reconstruct past landscapes and environments and to contextualise other sites in the surrounding area. They also ultimately can lead to a clearer understanding of the past and the uses of </w:t>
      </w:r>
      <w:proofErr w:type="gramStart"/>
      <w:r w:rsidR="00AD087C">
        <w:rPr>
          <w:rFonts w:asciiTheme="minorHAnsi" w:hAnsiTheme="minorHAnsi" w:cstheme="minorHAnsi"/>
        </w:rPr>
        <w:t>particular areas</w:t>
      </w:r>
      <w:proofErr w:type="gramEnd"/>
      <w:r w:rsidR="00AD087C">
        <w:rPr>
          <w:rFonts w:asciiTheme="minorHAnsi" w:hAnsiTheme="minorHAnsi" w:cstheme="minorHAnsi"/>
        </w:rPr>
        <w:t xml:space="preserve"> around the world, as long as they are sampled correctly. </w:t>
      </w:r>
    </w:p>
    <w:p w14:paraId="347A2FE1" w14:textId="0AB9F0CB" w:rsidR="00254008" w:rsidRDefault="00360751">
      <w:pPr>
        <w:rPr>
          <w:rFonts w:asciiTheme="minorHAnsi" w:hAnsiTheme="minorHAnsi" w:cstheme="minorHAnsi"/>
        </w:rPr>
      </w:pPr>
      <w:r>
        <w:rPr>
          <w:rFonts w:asciiTheme="minorHAnsi" w:hAnsiTheme="minorHAnsi" w:cstheme="minorHAnsi"/>
        </w:rPr>
        <w:t xml:space="preserve">  </w:t>
      </w:r>
      <w:r w:rsidR="00AB2A6A">
        <w:rPr>
          <w:rFonts w:asciiTheme="minorHAnsi" w:hAnsiTheme="minorHAnsi" w:cstheme="minorHAnsi"/>
        </w:rPr>
        <w:t xml:space="preserve">                                                         </w:t>
      </w:r>
    </w:p>
    <w:p w14:paraId="6F1E801E" w14:textId="0025F836" w:rsidR="00904E17" w:rsidRDefault="00904E17">
      <w:pPr>
        <w:rPr>
          <w:rFonts w:asciiTheme="minorHAnsi" w:hAnsiTheme="minorHAnsi" w:cstheme="minorHAnsi"/>
        </w:rPr>
      </w:pPr>
    </w:p>
    <w:p w14:paraId="4BAFE617" w14:textId="361ADC38" w:rsidR="00904E17" w:rsidRDefault="00904E17">
      <w:pPr>
        <w:rPr>
          <w:rFonts w:asciiTheme="minorHAnsi" w:hAnsiTheme="minorHAnsi" w:cstheme="minorHAnsi"/>
        </w:rPr>
      </w:pPr>
    </w:p>
    <w:p w14:paraId="3F7F2CBB" w14:textId="66D56B17" w:rsidR="00904E17" w:rsidRDefault="00904E17">
      <w:pPr>
        <w:rPr>
          <w:rFonts w:asciiTheme="minorHAnsi" w:hAnsiTheme="minorHAnsi" w:cstheme="minorHAnsi"/>
        </w:rPr>
      </w:pPr>
    </w:p>
    <w:p w14:paraId="247A334A" w14:textId="7F0E60DD" w:rsidR="00173FAD" w:rsidRDefault="00173FAD">
      <w:pPr>
        <w:rPr>
          <w:rFonts w:asciiTheme="minorHAnsi" w:hAnsiTheme="minorHAnsi" w:cstheme="minorHAnsi"/>
        </w:rPr>
      </w:pPr>
    </w:p>
    <w:p w14:paraId="65A70D52" w14:textId="54B6F98D" w:rsidR="00173FAD" w:rsidRDefault="00173FAD">
      <w:pPr>
        <w:rPr>
          <w:rFonts w:asciiTheme="minorHAnsi" w:hAnsiTheme="minorHAnsi" w:cstheme="minorHAnsi"/>
        </w:rPr>
      </w:pPr>
    </w:p>
    <w:p w14:paraId="0A906C3E" w14:textId="61954E14" w:rsidR="00173FAD" w:rsidRDefault="00173FAD">
      <w:pPr>
        <w:rPr>
          <w:rFonts w:asciiTheme="minorHAnsi" w:hAnsiTheme="minorHAnsi" w:cstheme="minorHAnsi"/>
        </w:rPr>
      </w:pPr>
    </w:p>
    <w:p w14:paraId="37E14103" w14:textId="5787F192" w:rsidR="00173FAD" w:rsidRDefault="00173FAD">
      <w:pPr>
        <w:rPr>
          <w:rFonts w:asciiTheme="minorHAnsi" w:hAnsiTheme="minorHAnsi" w:cstheme="minorHAnsi"/>
        </w:rPr>
      </w:pPr>
    </w:p>
    <w:p w14:paraId="154B53F2" w14:textId="05E01F98" w:rsidR="00173FAD" w:rsidRDefault="00173FAD">
      <w:pPr>
        <w:rPr>
          <w:rFonts w:asciiTheme="minorHAnsi" w:hAnsiTheme="minorHAnsi" w:cstheme="minorHAnsi"/>
        </w:rPr>
      </w:pPr>
    </w:p>
    <w:p w14:paraId="0228B1EF" w14:textId="6E3EDBA3" w:rsidR="00173FAD" w:rsidRDefault="00173FAD">
      <w:pPr>
        <w:rPr>
          <w:rFonts w:asciiTheme="minorHAnsi" w:hAnsiTheme="minorHAnsi" w:cstheme="minorHAnsi"/>
        </w:rPr>
      </w:pPr>
    </w:p>
    <w:p w14:paraId="7C7CF6CC" w14:textId="6114E752" w:rsidR="00173FAD" w:rsidRDefault="00173FAD">
      <w:pPr>
        <w:rPr>
          <w:rFonts w:asciiTheme="minorHAnsi" w:hAnsiTheme="minorHAnsi" w:cstheme="minorHAnsi"/>
        </w:rPr>
      </w:pPr>
    </w:p>
    <w:p w14:paraId="79FB0E53" w14:textId="2F6188AE" w:rsidR="00173FAD" w:rsidRDefault="00173FAD">
      <w:pPr>
        <w:rPr>
          <w:rFonts w:asciiTheme="minorHAnsi" w:hAnsiTheme="minorHAnsi" w:cstheme="minorHAnsi"/>
        </w:rPr>
      </w:pPr>
    </w:p>
    <w:p w14:paraId="4BC53EDF" w14:textId="6909CBAC" w:rsidR="00173FAD" w:rsidRDefault="00173FAD">
      <w:pPr>
        <w:rPr>
          <w:rFonts w:asciiTheme="minorHAnsi" w:hAnsiTheme="minorHAnsi" w:cstheme="minorHAnsi"/>
        </w:rPr>
      </w:pPr>
    </w:p>
    <w:p w14:paraId="37D77D72" w14:textId="0DDACCA8" w:rsidR="00173FAD" w:rsidRDefault="00173FAD">
      <w:pPr>
        <w:rPr>
          <w:rFonts w:asciiTheme="minorHAnsi" w:hAnsiTheme="minorHAnsi" w:cstheme="minorHAnsi"/>
          <w:u w:val="single"/>
        </w:rPr>
      </w:pPr>
      <w:r>
        <w:rPr>
          <w:rFonts w:asciiTheme="minorHAnsi" w:hAnsiTheme="minorHAnsi" w:cstheme="minorHAnsi"/>
          <w:u w:val="single"/>
        </w:rPr>
        <w:lastRenderedPageBreak/>
        <w:t>Bibliography</w:t>
      </w:r>
    </w:p>
    <w:p w14:paraId="1DEA1310" w14:textId="01C5CDFE" w:rsidR="002640AC" w:rsidRPr="00521369" w:rsidRDefault="002640AC">
      <w:pPr>
        <w:rPr>
          <w:rFonts w:asciiTheme="minorHAnsi" w:hAnsiTheme="minorHAnsi" w:cstheme="minorHAnsi"/>
        </w:rPr>
      </w:pPr>
      <w:r>
        <w:rPr>
          <w:rFonts w:asciiTheme="minorHAnsi" w:hAnsiTheme="minorHAnsi" w:cstheme="minorHAnsi"/>
        </w:rPr>
        <w:t xml:space="preserve">Allen, M.J., 2017. </w:t>
      </w:r>
      <w:r w:rsidR="00521369">
        <w:rPr>
          <w:rFonts w:asciiTheme="minorHAnsi" w:hAnsiTheme="minorHAnsi" w:cstheme="minorHAnsi"/>
          <w:i/>
        </w:rPr>
        <w:t>Molluscs in Archaeology Methods, approaches and applications</w:t>
      </w:r>
      <w:r w:rsidR="00521369">
        <w:rPr>
          <w:rFonts w:asciiTheme="minorHAnsi" w:hAnsiTheme="minorHAnsi" w:cstheme="minorHAnsi"/>
        </w:rPr>
        <w:t>. Oxbow Books. Oxford</w:t>
      </w:r>
    </w:p>
    <w:p w14:paraId="0391BCA9" w14:textId="599D920C" w:rsidR="002539FA" w:rsidRDefault="002539FA" w:rsidP="002539FA">
      <w:pPr>
        <w:rPr>
          <w:rFonts w:asciiTheme="minorHAnsi" w:hAnsiTheme="minorHAnsi" w:cstheme="minorHAnsi"/>
        </w:rPr>
      </w:pPr>
      <w:r w:rsidRPr="002539FA">
        <w:rPr>
          <w:rFonts w:asciiTheme="minorHAnsi" w:hAnsiTheme="minorHAnsi" w:cstheme="minorHAnsi"/>
        </w:rPr>
        <w:t xml:space="preserve">Barker, P., 2013. </w:t>
      </w:r>
      <w:r w:rsidRPr="002539FA">
        <w:rPr>
          <w:rFonts w:asciiTheme="minorHAnsi" w:hAnsiTheme="minorHAnsi" w:cstheme="minorHAnsi"/>
          <w:i/>
        </w:rPr>
        <w:t>Techniques of Archaeological Investigation</w:t>
      </w:r>
      <w:r w:rsidRPr="002539FA">
        <w:rPr>
          <w:rFonts w:asciiTheme="minorHAnsi" w:hAnsiTheme="minorHAnsi" w:cstheme="minorHAnsi"/>
        </w:rPr>
        <w:t>. Routledge. Oxon.</w:t>
      </w:r>
    </w:p>
    <w:p w14:paraId="0CF8A9E8" w14:textId="29A59B6C" w:rsidR="007E73E1" w:rsidRDefault="007E73E1" w:rsidP="002539FA">
      <w:pPr>
        <w:rPr>
          <w:rFonts w:asciiTheme="minorHAnsi" w:hAnsiTheme="minorHAnsi" w:cstheme="minorHAnsi"/>
        </w:rPr>
      </w:pPr>
      <w:r>
        <w:rPr>
          <w:rFonts w:asciiTheme="minorHAnsi" w:hAnsiTheme="minorHAnsi" w:cstheme="minorHAnsi"/>
        </w:rPr>
        <w:t xml:space="preserve">Percival, S., 2016. </w:t>
      </w:r>
      <w:r>
        <w:rPr>
          <w:rFonts w:asciiTheme="minorHAnsi" w:hAnsiTheme="minorHAnsi" w:cstheme="minorHAnsi"/>
          <w:i/>
        </w:rPr>
        <w:t>An Introduction to Neolithic to Mid Bronze Age Prehistoric Pottery of Cambridgeshire</w:t>
      </w:r>
      <w:r>
        <w:rPr>
          <w:rFonts w:asciiTheme="minorHAnsi" w:hAnsiTheme="minorHAnsi" w:cstheme="minorHAnsi"/>
        </w:rPr>
        <w:t>. Jigsaw Cambridgeshire.</w:t>
      </w:r>
    </w:p>
    <w:p w14:paraId="4C6A9AFE" w14:textId="665A729A" w:rsidR="007E73E1" w:rsidRDefault="007E73E1" w:rsidP="007E73E1">
      <w:pPr>
        <w:spacing w:after="0" w:line="240" w:lineRule="auto"/>
        <w:rPr>
          <w:rFonts w:asciiTheme="minorHAnsi" w:hAnsiTheme="minorHAnsi" w:cstheme="minorHAnsi"/>
        </w:rPr>
      </w:pPr>
      <w:r w:rsidRPr="007E73E1">
        <w:rPr>
          <w:rFonts w:asciiTheme="minorHAnsi" w:hAnsiTheme="minorHAnsi" w:cstheme="minorHAnsi"/>
        </w:rPr>
        <w:t>Renfrew, C., Bahn, P., 201</w:t>
      </w:r>
      <w:r>
        <w:rPr>
          <w:rFonts w:asciiTheme="minorHAnsi" w:hAnsiTheme="minorHAnsi" w:cstheme="minorHAnsi"/>
        </w:rPr>
        <w:t>6</w:t>
      </w:r>
      <w:r w:rsidRPr="007E73E1">
        <w:rPr>
          <w:rFonts w:asciiTheme="minorHAnsi" w:hAnsiTheme="minorHAnsi" w:cstheme="minorHAnsi"/>
        </w:rPr>
        <w:t xml:space="preserve">. </w:t>
      </w:r>
      <w:r w:rsidRPr="007E73E1">
        <w:rPr>
          <w:rFonts w:asciiTheme="minorHAnsi" w:hAnsiTheme="minorHAnsi" w:cstheme="minorHAnsi"/>
          <w:i/>
        </w:rPr>
        <w:t>Archaeology: Theories, Methods and Practice</w:t>
      </w:r>
      <w:r w:rsidRPr="007E73E1">
        <w:rPr>
          <w:rFonts w:asciiTheme="minorHAnsi" w:hAnsiTheme="minorHAnsi" w:cstheme="minorHAnsi"/>
        </w:rPr>
        <w:t>. Thames and Hudson. London.</w:t>
      </w:r>
    </w:p>
    <w:p w14:paraId="36EB705D" w14:textId="01426147" w:rsidR="007E73E1" w:rsidRDefault="007E73E1" w:rsidP="007E73E1">
      <w:pPr>
        <w:spacing w:after="0" w:line="240" w:lineRule="auto"/>
        <w:rPr>
          <w:rFonts w:asciiTheme="minorHAnsi" w:hAnsiTheme="minorHAnsi" w:cstheme="minorHAnsi"/>
        </w:rPr>
      </w:pPr>
    </w:p>
    <w:p w14:paraId="5A7CD54A" w14:textId="77777777" w:rsidR="007E73E1" w:rsidRPr="007E73E1" w:rsidRDefault="007E73E1" w:rsidP="007E73E1">
      <w:pPr>
        <w:spacing w:after="0" w:line="240" w:lineRule="auto"/>
        <w:rPr>
          <w:rFonts w:asciiTheme="minorHAnsi" w:hAnsiTheme="minorHAnsi" w:cstheme="minorHAnsi"/>
        </w:rPr>
      </w:pPr>
      <w:r w:rsidRPr="007E73E1">
        <w:rPr>
          <w:rFonts w:asciiTheme="minorHAnsi" w:hAnsiTheme="minorHAnsi" w:cstheme="minorHAnsi"/>
        </w:rPr>
        <w:t xml:space="preserve">Wilkinson, K., Stevens, C., 2003. </w:t>
      </w:r>
      <w:r w:rsidRPr="007E73E1">
        <w:rPr>
          <w:rFonts w:asciiTheme="minorHAnsi" w:hAnsiTheme="minorHAnsi" w:cstheme="minorHAnsi"/>
          <w:i/>
        </w:rPr>
        <w:t>Environmental Archaeology: Approaches, Techniques &amp; Applications</w:t>
      </w:r>
      <w:r w:rsidRPr="007E73E1">
        <w:rPr>
          <w:rFonts w:asciiTheme="minorHAnsi" w:hAnsiTheme="minorHAnsi" w:cstheme="minorHAnsi"/>
        </w:rPr>
        <w:t xml:space="preserve">. Tempus Publishing Ltd. Gloucestershire. </w:t>
      </w:r>
    </w:p>
    <w:p w14:paraId="6A9A8AD3" w14:textId="77777777" w:rsidR="007E73E1" w:rsidRDefault="007E73E1" w:rsidP="007E73E1">
      <w:pPr>
        <w:spacing w:after="0" w:line="240" w:lineRule="auto"/>
        <w:rPr>
          <w:rFonts w:asciiTheme="minorHAnsi" w:hAnsiTheme="minorHAnsi" w:cstheme="minorHAnsi"/>
        </w:rPr>
      </w:pPr>
    </w:p>
    <w:p w14:paraId="46F9A4FE" w14:textId="723B7498" w:rsidR="007E73E1" w:rsidRDefault="007E73E1" w:rsidP="007E73E1">
      <w:pPr>
        <w:spacing w:after="0" w:line="240" w:lineRule="auto"/>
        <w:rPr>
          <w:rFonts w:asciiTheme="minorHAnsi" w:hAnsiTheme="minorHAnsi" w:cstheme="minorHAnsi"/>
        </w:rPr>
      </w:pPr>
    </w:p>
    <w:p w14:paraId="6DF4E0A1" w14:textId="77777777" w:rsidR="007E73E1" w:rsidRPr="007E73E1" w:rsidRDefault="007E73E1" w:rsidP="007E73E1">
      <w:pPr>
        <w:spacing w:after="0" w:line="240" w:lineRule="auto"/>
        <w:rPr>
          <w:rFonts w:asciiTheme="minorHAnsi" w:hAnsiTheme="minorHAnsi" w:cstheme="minorHAnsi"/>
        </w:rPr>
      </w:pPr>
    </w:p>
    <w:p w14:paraId="51484E8F" w14:textId="77777777" w:rsidR="007E73E1" w:rsidRPr="007E73E1" w:rsidRDefault="007E73E1" w:rsidP="002539FA">
      <w:pPr>
        <w:rPr>
          <w:rFonts w:asciiTheme="minorHAnsi" w:hAnsiTheme="minorHAnsi" w:cstheme="minorHAnsi"/>
        </w:rPr>
      </w:pPr>
    </w:p>
    <w:p w14:paraId="2158EC3A" w14:textId="77777777" w:rsidR="002539FA" w:rsidRPr="002539FA" w:rsidRDefault="002539FA" w:rsidP="002539FA">
      <w:pPr>
        <w:rPr>
          <w:rFonts w:asciiTheme="minorHAnsi" w:hAnsiTheme="minorHAnsi" w:cstheme="minorHAnsi"/>
        </w:rPr>
      </w:pPr>
    </w:p>
    <w:p w14:paraId="2C6719AD" w14:textId="77777777" w:rsidR="00173FAD" w:rsidRPr="00173FAD" w:rsidRDefault="00173FAD">
      <w:pPr>
        <w:rPr>
          <w:rFonts w:asciiTheme="minorHAnsi" w:hAnsiTheme="minorHAnsi" w:cstheme="minorHAnsi"/>
          <w:u w:val="single"/>
        </w:rPr>
      </w:pPr>
    </w:p>
    <w:sectPr w:rsidR="00173FAD" w:rsidRPr="00173F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266"/>
    <w:rsid w:val="000A691F"/>
    <w:rsid w:val="000C7908"/>
    <w:rsid w:val="000D0755"/>
    <w:rsid w:val="00116236"/>
    <w:rsid w:val="00125D58"/>
    <w:rsid w:val="00137DE0"/>
    <w:rsid w:val="00146522"/>
    <w:rsid w:val="0016038E"/>
    <w:rsid w:val="00173FAD"/>
    <w:rsid w:val="001F1439"/>
    <w:rsid w:val="00250266"/>
    <w:rsid w:val="002539FA"/>
    <w:rsid w:val="00254008"/>
    <w:rsid w:val="002640AC"/>
    <w:rsid w:val="00323359"/>
    <w:rsid w:val="00360751"/>
    <w:rsid w:val="00366912"/>
    <w:rsid w:val="0037694D"/>
    <w:rsid w:val="003D433F"/>
    <w:rsid w:val="004050D3"/>
    <w:rsid w:val="00436439"/>
    <w:rsid w:val="00521369"/>
    <w:rsid w:val="0058624F"/>
    <w:rsid w:val="00587E16"/>
    <w:rsid w:val="00590A4D"/>
    <w:rsid w:val="00645E20"/>
    <w:rsid w:val="00657BDE"/>
    <w:rsid w:val="00674251"/>
    <w:rsid w:val="0068058F"/>
    <w:rsid w:val="00681A8A"/>
    <w:rsid w:val="006E06D4"/>
    <w:rsid w:val="007506E5"/>
    <w:rsid w:val="007B5B33"/>
    <w:rsid w:val="007C47DA"/>
    <w:rsid w:val="007E73E1"/>
    <w:rsid w:val="007F3BD6"/>
    <w:rsid w:val="008361BE"/>
    <w:rsid w:val="00861326"/>
    <w:rsid w:val="008644FC"/>
    <w:rsid w:val="008731DB"/>
    <w:rsid w:val="00904E17"/>
    <w:rsid w:val="009246F5"/>
    <w:rsid w:val="0093383E"/>
    <w:rsid w:val="00A716F1"/>
    <w:rsid w:val="00AA29B4"/>
    <w:rsid w:val="00AB2A6A"/>
    <w:rsid w:val="00AD087C"/>
    <w:rsid w:val="00B773CB"/>
    <w:rsid w:val="00BA0E3D"/>
    <w:rsid w:val="00C013C0"/>
    <w:rsid w:val="00C11307"/>
    <w:rsid w:val="00C336EF"/>
    <w:rsid w:val="00C337BC"/>
    <w:rsid w:val="00C91B2F"/>
    <w:rsid w:val="00CA3676"/>
    <w:rsid w:val="00CE32E7"/>
    <w:rsid w:val="00D57179"/>
    <w:rsid w:val="00D85D84"/>
    <w:rsid w:val="00D97748"/>
    <w:rsid w:val="00DB38F0"/>
    <w:rsid w:val="00DC66C6"/>
    <w:rsid w:val="00DE493F"/>
    <w:rsid w:val="00E11FD9"/>
    <w:rsid w:val="00E77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36335"/>
  <w15:chartTrackingRefBased/>
  <w15:docId w15:val="{F2CB9596-DFA1-46C8-894B-6AFADF90A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2588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4" Type="http://schemas.openxmlformats.org/officeDocument/2006/relationships/image" Target="media/image1.jp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668</TotalTime>
  <Pages>6</Pages>
  <Words>1122</Words>
  <Characters>6401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Blakemore (1500318)</dc:creator>
  <cp:keywords/>
  <dc:description/>
  <cp:lastModifiedBy>Laura Blakemore (1500318)</cp:lastModifiedBy>
  <cp:revision>38</cp:revision>
  <dcterms:created xsi:type="dcterms:W3CDTF">2018-03-28T15:52:00Z</dcterms:created>
  <dcterms:modified xsi:type="dcterms:W3CDTF">2018-03-29T16:38:00Z</dcterms:modified>
</cp:coreProperties>
</file>