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rPr>
          <w:sz w:val="32"/>
          <w:szCs w:val="32"/>
        </w:rPr>
      </w:pPr>
      <w:r>
        <w:rPr>
          <w:sz w:val="32"/>
          <w:szCs w:val="32"/>
          <w:rtl w:val="0"/>
          <w:lang w:val="en-US"/>
        </w:rPr>
        <w:t>Event Risk Assessment:</w:t>
      </w:r>
    </w:p>
    <w:p>
      <w:pPr>
        <w:pStyle w:val="Body"/>
      </w:pPr>
    </w:p>
    <w:p>
      <w:pPr>
        <w:pStyle w:val="Body"/>
      </w:pPr>
      <w:r>
        <w:rPr>
          <w:rtl w:val="0"/>
          <w:lang w:val="de-DE"/>
        </w:rPr>
        <w:t>Title:</w:t>
      </w:r>
      <w:r>
        <w:rPr>
          <w:rtl w:val="0"/>
          <w:lang w:val="en-US"/>
        </w:rPr>
        <w:t xml:space="preserve"> Service users out on a trip </w:t>
      </w:r>
    </w:p>
    <w:p>
      <w:pPr>
        <w:pStyle w:val="Body"/>
      </w:pPr>
      <w:r>
        <w:rPr>
          <w:rtl w:val="0"/>
          <w:lang w:val="de-DE"/>
        </w:rPr>
        <w:t>Date:</w:t>
      </w:r>
      <w:r>
        <w:rPr>
          <w:rtl w:val="0"/>
          <w:lang w:val="en-US"/>
        </w:rPr>
        <w:t xml:space="preserve"> 25/04/2019</w:t>
      </w:r>
    </w:p>
    <w:p>
      <w:pPr>
        <w:pStyle w:val="Body"/>
      </w:pPr>
    </w:p>
    <w:tbl>
      <w:tblPr>
        <w:tblW w:w="849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655"/>
        <w:gridCol w:w="5840"/>
      </w:tblGrid>
      <w:tr>
        <w:tblPrEx>
          <w:shd w:val="clear" w:color="auto" w:fill="ced7e7"/>
        </w:tblPrEx>
        <w:trPr>
          <w:trHeight w:val="612" w:hRule="atLeast"/>
        </w:trPr>
        <w:tc>
          <w:tcPr>
            <w:tcW w:type="dxa" w:w="26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4"/>
                <w:szCs w:val="24"/>
                <w:rtl w:val="0"/>
                <w:lang w:val="en-US"/>
              </w:rPr>
              <w:t>Event Description</w:t>
            </w:r>
          </w:p>
        </w:tc>
        <w:tc>
          <w:tcPr>
            <w:tcW w:type="dxa" w:w="5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 xml:space="preserve">Service users trip on the company vehicle for an ice cream and/or coffee </w:t>
            </w:r>
          </w:p>
        </w:tc>
      </w:tr>
      <w:tr>
        <w:tblPrEx>
          <w:shd w:val="clear" w:color="auto" w:fill="ced7e7"/>
        </w:tblPrEx>
        <w:trPr>
          <w:trHeight w:val="290" w:hRule="atLeast"/>
        </w:trPr>
        <w:tc>
          <w:tcPr>
            <w:tcW w:type="dxa" w:w="26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4"/>
                <w:szCs w:val="24"/>
                <w:rtl w:val="0"/>
                <w:lang w:val="en-US"/>
              </w:rPr>
              <w:t>Department:</w:t>
            </w:r>
          </w:p>
        </w:tc>
        <w:tc>
          <w:tcPr>
            <w:tcW w:type="dxa" w:w="5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Nursing home</w:t>
            </w:r>
          </w:p>
        </w:tc>
      </w:tr>
      <w:tr>
        <w:tblPrEx>
          <w:shd w:val="clear" w:color="auto" w:fill="ced7e7"/>
        </w:tblPrEx>
        <w:trPr>
          <w:trHeight w:val="290" w:hRule="atLeast"/>
        </w:trPr>
        <w:tc>
          <w:tcPr>
            <w:tcW w:type="dxa" w:w="26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4"/>
                <w:szCs w:val="24"/>
                <w:rtl w:val="0"/>
                <w:lang w:val="en-US"/>
              </w:rPr>
              <w:t>Event Location:</w:t>
            </w:r>
          </w:p>
        </w:tc>
        <w:tc>
          <w:tcPr>
            <w:tcW w:type="dxa" w:w="5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 xml:space="preserve">Nursing home car park </w:t>
            </w:r>
          </w:p>
        </w:tc>
      </w:tr>
      <w:tr>
        <w:tblPrEx>
          <w:shd w:val="clear" w:color="auto" w:fill="ced7e7"/>
        </w:tblPrEx>
        <w:trPr>
          <w:trHeight w:val="612" w:hRule="atLeast"/>
        </w:trPr>
        <w:tc>
          <w:tcPr>
            <w:tcW w:type="dxa" w:w="26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4"/>
                <w:szCs w:val="24"/>
                <w:rtl w:val="0"/>
                <w:lang w:val="en-US"/>
              </w:rPr>
              <w:t>Event Organiser (Module Lead) Name</w:t>
            </w:r>
          </w:p>
        </w:tc>
        <w:tc>
          <w:tcPr>
            <w:tcW w:type="dxa" w:w="5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 xml:space="preserve">Activities co-ordinator </w:t>
            </w:r>
          </w:p>
        </w:tc>
      </w:tr>
      <w:tr>
        <w:tblPrEx>
          <w:shd w:val="clear" w:color="auto" w:fill="ced7e7"/>
        </w:tblPrEx>
        <w:trPr>
          <w:trHeight w:val="290" w:hRule="atLeast"/>
        </w:trPr>
        <w:tc>
          <w:tcPr>
            <w:tcW w:type="dxa" w:w="26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4"/>
                <w:szCs w:val="24"/>
                <w:rtl w:val="0"/>
                <w:lang w:val="en-US"/>
              </w:rPr>
              <w:t xml:space="preserve">Student Event Manager </w:t>
            </w:r>
          </w:p>
        </w:tc>
        <w:tc>
          <w:tcPr>
            <w:tcW w:type="dxa" w:w="5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90" w:hRule="atLeast"/>
        </w:trPr>
        <w:tc>
          <w:tcPr>
            <w:tcW w:type="dxa" w:w="26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4"/>
                <w:szCs w:val="24"/>
                <w:rtl w:val="0"/>
                <w:lang w:val="en-US"/>
              </w:rPr>
              <w:t>Student Treasurer</w:t>
            </w:r>
          </w:p>
        </w:tc>
        <w:tc>
          <w:tcPr>
            <w:tcW w:type="dxa" w:w="5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612" w:hRule="atLeast"/>
        </w:trPr>
        <w:tc>
          <w:tcPr>
            <w:tcW w:type="dxa" w:w="26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4"/>
                <w:szCs w:val="24"/>
                <w:rtl w:val="0"/>
                <w:lang w:val="en-US"/>
              </w:rPr>
              <w:t>Numbers of s</w:t>
            </w:r>
            <w:r>
              <w:rPr>
                <w:sz w:val="24"/>
                <w:szCs w:val="24"/>
                <w:rtl w:val="0"/>
                <w:lang w:val="en-US"/>
              </w:rPr>
              <w:t xml:space="preserve">ervice users attending </w:t>
            </w:r>
          </w:p>
        </w:tc>
        <w:tc>
          <w:tcPr>
            <w:tcW w:type="dxa" w:w="5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 xml:space="preserve">4 service users attending </w:t>
            </w:r>
          </w:p>
        </w:tc>
      </w:tr>
      <w:tr>
        <w:tblPrEx>
          <w:shd w:val="clear" w:color="auto" w:fill="ced7e7"/>
        </w:tblPrEx>
        <w:trPr>
          <w:trHeight w:val="3510" w:hRule="atLeast"/>
        </w:trPr>
        <w:tc>
          <w:tcPr>
            <w:tcW w:type="dxa" w:w="26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4"/>
                <w:szCs w:val="24"/>
                <w:rtl w:val="0"/>
                <w:lang w:val="en-US"/>
              </w:rPr>
              <w:t>Service users</w:t>
            </w:r>
            <w:r>
              <w:rPr>
                <w:sz w:val="24"/>
                <w:szCs w:val="24"/>
                <w:rtl w:val="0"/>
                <w:lang w:val="en-US"/>
              </w:rPr>
              <w:t xml:space="preserve"> with addition</w:t>
            </w:r>
            <w:r>
              <w:rPr>
                <w:sz w:val="24"/>
                <w:szCs w:val="24"/>
                <w:rtl w:val="0"/>
                <w:lang w:val="en-US"/>
              </w:rPr>
              <w:t>al needs</w:t>
            </w:r>
            <w:r>
              <w:rPr>
                <w:sz w:val="24"/>
                <w:szCs w:val="24"/>
                <w:rtl w:val="0"/>
                <w:lang w:val="en-US"/>
              </w:rPr>
              <w:t xml:space="preserve"> (please describe)</w:t>
            </w:r>
          </w:p>
        </w:tc>
        <w:tc>
          <w:tcPr>
            <w:tcW w:type="dxa" w:w="5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 xml:space="preserve">All service users have additional needs.  Two service users are in a wheelchair who require a lift access to the bus.  Also, the two other service users, who are mobile, struggle accessing the bus via the step, therefore they also need access to the lift to access the bus.  The two service users in wheelchairs require thickener within their drinks, one with two scoops of thickener and one with three scoops of thickener They also require assistance with feeding and giving drinks.  One of the service users who are mobile require a zimmer frame when mobilising.   </w:t>
            </w:r>
          </w:p>
        </w:tc>
      </w:tr>
      <w:tr>
        <w:tblPrEx>
          <w:shd w:val="clear" w:color="auto" w:fill="ced7e7"/>
        </w:tblPrEx>
        <w:trPr>
          <w:trHeight w:val="612" w:hRule="atLeast"/>
        </w:trPr>
        <w:tc>
          <w:tcPr>
            <w:tcW w:type="dxa" w:w="26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4"/>
                <w:szCs w:val="24"/>
                <w:rtl w:val="0"/>
                <w:lang w:val="en-US"/>
              </w:rPr>
              <w:t>Numbers of staff attending</w:t>
            </w:r>
          </w:p>
        </w:tc>
        <w:tc>
          <w:tcPr>
            <w:tcW w:type="dxa" w:w="5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3 members of staff (2 carers and 1 driver)</w:t>
            </w:r>
          </w:p>
        </w:tc>
      </w:tr>
      <w:tr>
        <w:tblPrEx>
          <w:shd w:val="clear" w:color="auto" w:fill="ced7e7"/>
        </w:tblPrEx>
        <w:trPr>
          <w:trHeight w:val="612" w:hRule="atLeast"/>
        </w:trPr>
        <w:tc>
          <w:tcPr>
            <w:tcW w:type="dxa" w:w="26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4"/>
                <w:szCs w:val="24"/>
                <w:rtl w:val="0"/>
                <w:lang w:val="en-US"/>
              </w:rPr>
              <w:t>Number of first aiders attending</w:t>
            </w:r>
          </w:p>
        </w:tc>
        <w:tc>
          <w:tcPr>
            <w:tcW w:type="dxa" w:w="5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3 first aiders attending (2 carers and 1 driver)</w:t>
            </w:r>
          </w:p>
        </w:tc>
      </w:tr>
      <w:tr>
        <w:tblPrEx>
          <w:shd w:val="clear" w:color="auto" w:fill="ced7e7"/>
        </w:tblPrEx>
        <w:trPr>
          <w:trHeight w:val="290" w:hRule="atLeast"/>
        </w:trPr>
        <w:tc>
          <w:tcPr>
            <w:tcW w:type="dxa" w:w="26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4"/>
                <w:szCs w:val="24"/>
                <w:rtl w:val="0"/>
                <w:lang w:val="en-US"/>
              </w:rPr>
              <w:t>Start Date:</w:t>
            </w:r>
          </w:p>
        </w:tc>
        <w:tc>
          <w:tcPr>
            <w:tcW w:type="dxa" w:w="5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color w:val="808080"/>
                <w:sz w:val="24"/>
                <w:szCs w:val="24"/>
                <w:u w:color="808080"/>
                <w:rtl w:val="0"/>
                <w:lang w:val="en-US"/>
              </w:rPr>
              <w:t>20/04/2019</w:t>
            </w:r>
          </w:p>
        </w:tc>
      </w:tr>
      <w:tr>
        <w:tblPrEx>
          <w:shd w:val="clear" w:color="auto" w:fill="ced7e7"/>
        </w:tblPrEx>
        <w:trPr>
          <w:trHeight w:val="290" w:hRule="atLeast"/>
        </w:trPr>
        <w:tc>
          <w:tcPr>
            <w:tcW w:type="dxa" w:w="26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4"/>
                <w:szCs w:val="24"/>
                <w:rtl w:val="0"/>
                <w:lang w:val="en-US"/>
              </w:rPr>
              <w:t>Return Date:</w:t>
            </w:r>
          </w:p>
        </w:tc>
        <w:tc>
          <w:tcPr>
            <w:tcW w:type="dxa" w:w="5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color w:val="808080"/>
                <w:sz w:val="24"/>
                <w:szCs w:val="24"/>
                <w:u w:color="808080"/>
                <w:rtl w:val="0"/>
                <w:lang w:val="en-US"/>
              </w:rPr>
              <w:t>20/04/2019</w:t>
            </w:r>
          </w:p>
        </w:tc>
      </w:tr>
      <w:tr>
        <w:tblPrEx>
          <w:shd w:val="clear" w:color="auto" w:fill="ced7e7"/>
        </w:tblPrEx>
        <w:trPr>
          <w:trHeight w:val="1256" w:hRule="atLeast"/>
        </w:trPr>
        <w:tc>
          <w:tcPr>
            <w:tcW w:type="dxa" w:w="26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4"/>
                <w:szCs w:val="24"/>
                <w:rtl w:val="0"/>
                <w:lang w:val="en-US"/>
              </w:rPr>
              <w:t>Event Details:</w:t>
            </w:r>
          </w:p>
        </w:tc>
        <w:tc>
          <w:tcPr>
            <w:tcW w:type="dxa" w:w="5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 xml:space="preserve">5 service users are attending a trip on the company vehicle with three members of staff who are taking the service users out for an ice cream and/or a coffee as it was a nice sunny day. </w:t>
            </w:r>
          </w:p>
        </w:tc>
      </w:tr>
    </w:tbl>
    <w:p>
      <w:pPr>
        <w:pStyle w:val="Body"/>
        <w:widowControl w:val="0"/>
        <w:spacing w:line="240" w:lineRule="auto"/>
      </w:pPr>
    </w:p>
    <w:p>
      <w:pPr>
        <w:pStyle w:val="Body"/>
      </w:pPr>
    </w:p>
    <w:p>
      <w:pPr>
        <w:pStyle w:val="Body"/>
        <w:rPr>
          <w:sz w:val="32"/>
          <w:szCs w:val="32"/>
        </w:rPr>
      </w:pPr>
      <w:r>
        <w:rPr>
          <w:sz w:val="32"/>
          <w:szCs w:val="32"/>
          <w:rtl w:val="0"/>
          <w:lang w:val="en-US"/>
        </w:rPr>
        <w:t xml:space="preserve">Examination and Description of Health and Safety Legislation Included </w:t>
      </w:r>
      <w:r>
        <w:rPr>
          <w:sz w:val="28"/>
          <w:szCs w:val="28"/>
          <w:rtl w:val="0"/>
          <w:lang w:val="en-US"/>
        </w:rPr>
        <w:t>(750 words minimum)</w:t>
      </w:r>
    </w:p>
    <w:tbl>
      <w:tblPr>
        <w:tblW w:w="849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495"/>
      </w:tblGrid>
      <w:tr>
        <w:tblPrEx>
          <w:shd w:val="clear" w:color="auto" w:fill="ced7e7"/>
        </w:tblPrEx>
        <w:trPr>
          <w:trHeight w:val="18354" w:hRule="atLeast"/>
        </w:trPr>
        <w:tc>
          <w:tcPr>
            <w:tcW w:type="dxa" w:w="84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tl w:val="0"/>
                <w:lang w:val="en-US"/>
              </w:rPr>
              <w:t xml:space="preserve">One main priority within the workplace is to keep all members of staff and service users safe and this is why rules and health and safety regulations are put in place to protect people.  A hazard is when someone hurts themselves physically or mentally, physically can be anything involved with electricity and/or chemicals.  A risk is hone there is a chance of harm to someone, even it is a high or low risk (Health and Safety Executive, 2019).  There are a few health and safety legislations that will be required for this assessment, firstly the food and safety act (1990) will be considered as service users will be consuming food and drinks and two service users have additional needs, as they require thickener in their fluids to promote swallowing.  The second health and safety legislation that will be used will be the control of hazardous substances to health (COSHH).  This will be considered because chemicals could possibly be used to clean the bus after service users have eaten and drank.  Another legislation that could potentially be used is the </w:t>
            </w:r>
            <w:r>
              <w:rPr>
                <w:rtl w:val="0"/>
                <w:lang w:val="en-US"/>
              </w:rPr>
              <w:t xml:space="preserve">Reporting Injuries Diseases and dangerous Occurrences Regulation </w:t>
            </w:r>
            <w:r>
              <w:rPr>
                <w:rtl w:val="0"/>
                <w:lang w:val="en-US"/>
              </w:rPr>
              <w:t>(</w:t>
            </w:r>
            <w:r>
              <w:rPr>
                <w:rtl w:val="0"/>
                <w:lang w:val="es-ES_tradnl"/>
              </w:rPr>
              <w:t>RIDDOR</w:t>
            </w:r>
            <w:r>
              <w:rPr>
                <w:rtl w:val="0"/>
                <w:lang w:val="en-US"/>
              </w:rPr>
              <w:t xml:space="preserve">).  According to the Health and safety executive (2019) If a service user or a member of staff was to harm themselves while out on the trip, or at any time, this could be anything from fractures, burns or any other serious injury this regulation would be used.  The health and safety (first aid) regulation 1981 could also be used because if a service user or staff member became ill or injured while out on the trip, another member of staff who had first aid training, would be expected to give attention immediately to the ill or injured person (Health and safety executive, 2019).  The </w:t>
            </w:r>
            <w:r>
              <w:rPr>
                <w:rtl w:val="0"/>
                <w:lang w:val="en-US"/>
              </w:rPr>
              <w:t>Reporting of Injuries, Diseases and Dangerous Occurrences Regulations 1995</w:t>
            </w:r>
            <w:r>
              <w:rPr>
                <w:rtl w:val="0"/>
                <w:lang w:val="en-US"/>
              </w:rPr>
              <w:t xml:space="preserve"> could also be used within the risk assessment because if a service user or a member of staff was to become seriously injured, become ill from a work-related disease or even a dangerous occurrence where an accident nearly happened was to occur, this regulation would be used.  Again, if a member of the public was to become injured the reporting of injuries, diseases and dangerous occurrences regulations 1995 would be used (occupational safety and health consultants register, 2015).  For the protection and safety of staff members, while taking the service users out, the </w:t>
            </w:r>
            <w:r>
              <w:rPr>
                <w:rtl w:val="0"/>
                <w:lang w:val="en-US"/>
              </w:rPr>
              <w:t>Management of Health and Safety at Work Regulations 1999</w:t>
            </w:r>
            <w:r>
              <w:rPr>
                <w:rtl w:val="0"/>
                <w:lang w:val="en-US"/>
              </w:rPr>
              <w:t xml:space="preserve"> would be used.  This would be considered because staff must be safe and protected to what they could be exposed to in the work environment (legislation, 2019).  As two service users require a wheelchair, staff will be expected (if able) to push the wheelchairs onto the lift which will allow the service users to enter the bus, this is manual handling (Health and safety executive, 2019).  Therefore, the</w:t>
            </w:r>
            <w:r>
              <w:rPr>
                <w:rtl w:val="0"/>
                <w:lang w:val="en-US"/>
              </w:rPr>
              <w:t xml:space="preserve"> Management of Health and Safety at Work Regulations 1999</w:t>
            </w:r>
            <w:r>
              <w:rPr>
                <w:rtl w:val="0"/>
                <w:lang w:val="en-US"/>
              </w:rPr>
              <w:t xml:space="preserve"> will be used.  Again, as a service user requires a zimmer frame and assistance and guidance to stand and sit down, </w:t>
            </w:r>
            <w:r>
              <w:rPr>
                <w:rtl w:val="0"/>
                <w:lang w:val="en-US"/>
              </w:rPr>
              <w:t>he Management of Health and Safety at Work Regulations 1999</w:t>
            </w:r>
            <w:r>
              <w:rPr>
                <w:rtl w:val="0"/>
                <w:lang w:val="en-US"/>
              </w:rPr>
              <w:t xml:space="preserve"> will be used as a member of staff is assisting a service user to transfer (Health and safety, 2019). </w:t>
            </w: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pPr>
            <w:r>
              <w:rPr>
                <w:lang w:val="en-US"/>
              </w:rPr>
            </w:r>
          </w:p>
        </w:tc>
      </w:tr>
    </w:tbl>
    <w:p>
      <w:pPr>
        <w:pStyle w:val="Body"/>
        <w:widowControl w:val="0"/>
        <w:spacing w:line="240" w:lineRule="auto"/>
        <w:rPr>
          <w:sz w:val="32"/>
          <w:szCs w:val="32"/>
        </w:rPr>
      </w:pPr>
    </w:p>
    <w:p>
      <w:pPr>
        <w:pStyle w:val="Body"/>
        <w:jc w:val="both"/>
        <w:rPr>
          <w:b w:val="1"/>
          <w:bCs w:val="1"/>
          <w:u w:val="single"/>
        </w:rPr>
      </w:pPr>
    </w:p>
    <w:p>
      <w:pPr>
        <w:pStyle w:val="Body"/>
        <w:sectPr>
          <w:headerReference w:type="default" r:id="rId4"/>
          <w:headerReference w:type="first" r:id="rId5"/>
          <w:footerReference w:type="default" r:id="rId6"/>
          <w:footerReference w:type="first" r:id="rId7"/>
          <w:pgSz w:w="11900" w:h="16840" w:orient="portrait"/>
          <w:pgMar w:top="1701" w:right="1701" w:bottom="1559" w:left="1701" w:header="708" w:footer="708"/>
          <w:titlePg w:val="1"/>
          <w:bidi w:val="0"/>
        </w:sectPr>
      </w:pPr>
    </w:p>
    <w:p>
      <w:pPr>
        <w:pStyle w:val="Body"/>
        <w:rPr>
          <w:sz w:val="32"/>
          <w:szCs w:val="32"/>
        </w:rPr>
      </w:pPr>
      <w:r>
        <w:rPr>
          <w:sz w:val="32"/>
          <w:szCs w:val="32"/>
          <w:rtl w:val="0"/>
          <w:lang w:val="en-US"/>
        </w:rPr>
        <w:t>Event Risk Assessment</w:t>
      </w:r>
    </w:p>
    <w:p>
      <w:pPr>
        <w:pStyle w:val="Body"/>
      </w:pPr>
    </w:p>
    <w:tbl>
      <w:tblPr>
        <w:tblW w:w="902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44"/>
        <w:gridCol w:w="2100"/>
        <w:gridCol w:w="1370"/>
        <w:gridCol w:w="2009"/>
        <w:gridCol w:w="1735"/>
        <w:gridCol w:w="731"/>
        <w:gridCol w:w="731"/>
      </w:tblGrid>
      <w:tr>
        <w:tblPrEx>
          <w:shd w:val="clear" w:color="auto" w:fill="ced7e7"/>
        </w:tblPrEx>
        <w:trPr>
          <w:trHeight w:val="1089" w:hRule="atLeast"/>
        </w:trPr>
        <w:tc>
          <w:tcPr>
            <w:tcW w:type="dxa" w:w="3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Body"/>
              <w:jc w:val="center"/>
            </w:pPr>
            <w:r>
              <w:rPr>
                <w:rtl w:val="0"/>
                <w:lang w:val="en-US"/>
              </w:rPr>
              <w:t>Ref</w:t>
            </w:r>
          </w:p>
        </w:tc>
        <w:tc>
          <w:tcPr>
            <w:tcW w:type="dxa" w:w="21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Body"/>
              <w:jc w:val="center"/>
              <w:rPr/>
            </w:pPr>
            <w:r>
              <w:rPr>
                <w:rtl w:val="0"/>
                <w:lang w:val="en-US"/>
              </w:rPr>
              <w:t>Hazard / Task / Activity</w:t>
            </w:r>
          </w:p>
          <w:p>
            <w:pPr>
              <w:pStyle w:val="Body"/>
              <w:bidi w:val="0"/>
              <w:ind w:left="0" w:right="0" w:firstLine="0"/>
              <w:jc w:val="center"/>
              <w:rPr>
                <w:rtl w:val="0"/>
              </w:rPr>
            </w:pPr>
            <w:r>
              <w:rPr>
                <w:rtl w:val="0"/>
                <w:lang w:val="en-US"/>
              </w:rPr>
              <w:t xml:space="preserve"> Area of Concern</w:t>
            </w:r>
          </w:p>
        </w:tc>
        <w:tc>
          <w:tcPr>
            <w:tcW w:type="dxa" w:w="13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Body"/>
              <w:jc w:val="center"/>
            </w:pPr>
            <w:r>
              <w:rPr>
                <w:rtl w:val="0"/>
                <w:lang w:val="en-US"/>
              </w:rPr>
              <w:t>Persons at Risk</w:t>
            </w:r>
          </w:p>
        </w:tc>
        <w:tc>
          <w:tcPr>
            <w:tcW w:type="dxa" w:w="20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Body"/>
              <w:jc w:val="center"/>
            </w:pPr>
            <w:r>
              <w:rPr>
                <w:rtl w:val="0"/>
                <w:lang w:val="en-US"/>
              </w:rPr>
              <w:t>Existing Controls</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Body"/>
              <w:jc w:val="center"/>
            </w:pPr>
            <w:r>
              <w:rPr>
                <w:rtl w:val="0"/>
                <w:lang w:val="en-US"/>
              </w:rPr>
              <w:t>Describe Any Further Controls Actions Needed</w:t>
            </w:r>
          </w:p>
        </w:tc>
        <w:tc>
          <w:tcPr>
            <w:tcW w:type="dxa" w:w="7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Body"/>
              <w:jc w:val="center"/>
            </w:pPr>
            <w:r>
              <w:rPr>
                <w:rtl w:val="0"/>
                <w:lang w:val="en-US"/>
              </w:rPr>
              <w:t>Actions By Whom</w:t>
            </w:r>
          </w:p>
        </w:tc>
        <w:tc>
          <w:tcPr>
            <w:tcW w:type="dxa" w:w="7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Body"/>
            </w:pPr>
            <w:r>
              <w:rPr>
                <w:rtl w:val="0"/>
                <w:lang w:val="en-US"/>
              </w:rPr>
              <w:t>Action By When</w:t>
            </w:r>
          </w:p>
        </w:tc>
      </w:tr>
      <w:tr>
        <w:tblPrEx>
          <w:shd w:val="clear" w:color="auto" w:fill="ced7e7"/>
        </w:tblPrEx>
        <w:trPr>
          <w:trHeight w:val="3562" w:hRule="atLeast"/>
        </w:trPr>
        <w:tc>
          <w:tcPr>
            <w:tcW w:type="dxa" w:w="3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lang w:val="en-US"/>
              </w:rPr>
            </w:pPr>
          </w:p>
          <w:p>
            <w:pPr>
              <w:pStyle w:val="Body"/>
              <w:bidi w:val="0"/>
              <w:ind w:left="0" w:right="0" w:firstLine="0"/>
              <w:jc w:val="left"/>
              <w:rPr>
                <w:rtl w:val="0"/>
              </w:rPr>
            </w:pPr>
            <w:r>
              <w:rPr>
                <w:rtl w:val="0"/>
                <w:lang w:val="en-US"/>
              </w:rPr>
              <w:t>1</w:t>
            </w:r>
          </w:p>
        </w:tc>
        <w:tc>
          <w:tcPr>
            <w:tcW w:type="dxa" w:w="21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Chocking Hazard </w:t>
            </w:r>
          </w:p>
        </w:tc>
        <w:tc>
          <w:tcPr>
            <w:tcW w:type="dxa" w:w="13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service user </w:t>
            </w:r>
          </w:p>
        </w:tc>
        <w:tc>
          <w:tcPr>
            <w:tcW w:type="dxa" w:w="20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thickener for fluids to promote swallowing. assisted feeding and/or 1:1 observation.  First aid training if chocking was to occur. Tilt wheelchairs upright for feeding and drinking.   </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If incident was to become worse, 999 would be called </w:t>
            </w:r>
          </w:p>
        </w:tc>
        <w:tc>
          <w:tcPr>
            <w:tcW w:type="dxa" w:w="7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2"/>
                <w:szCs w:val="22"/>
                <w:u w:val="none" w:color="000000"/>
                <w:vertAlign w:val="baseline"/>
                <w:rtl w:val="0"/>
              </w:rPr>
              <w:t xml:space="preserve">staff members, then manager will be informed. </w:t>
            </w:r>
          </w:p>
        </w:tc>
        <w:tc>
          <w:tcPr>
            <w:tcW w:type="dxa" w:w="7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Before event </w:t>
            </w:r>
          </w:p>
        </w:tc>
      </w:tr>
      <w:tr>
        <w:tblPrEx>
          <w:shd w:val="clear" w:color="auto" w:fill="ced7e7"/>
        </w:tblPrEx>
        <w:trPr>
          <w:trHeight w:val="3562" w:hRule="atLeast"/>
        </w:trPr>
        <w:tc>
          <w:tcPr>
            <w:tcW w:type="dxa" w:w="3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lang w:val="en-US"/>
              </w:rPr>
            </w:pPr>
          </w:p>
          <w:p>
            <w:pPr>
              <w:pStyle w:val="Body"/>
              <w:bidi w:val="0"/>
              <w:ind w:left="0" w:right="0" w:firstLine="0"/>
              <w:jc w:val="left"/>
              <w:rPr>
                <w:rtl w:val="0"/>
              </w:rPr>
            </w:pPr>
            <w:r>
              <w:rPr>
                <w:rtl w:val="0"/>
                <w:lang w:val="en-US"/>
              </w:rPr>
              <w:t>2</w:t>
            </w:r>
          </w:p>
        </w:tc>
        <w:tc>
          <w:tcPr>
            <w:tcW w:type="dxa" w:w="21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Injury to a service user, a staff member or a member of the public</w:t>
            </w:r>
          </w:p>
        </w:tc>
        <w:tc>
          <w:tcPr>
            <w:tcW w:type="dxa" w:w="13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service user, staff, public </w:t>
            </w:r>
          </w:p>
        </w:tc>
        <w:tc>
          <w:tcPr>
            <w:tcW w:type="dxa" w:w="20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staff are present to protect and support service users and public.  If a service user, staff member or member of the public was to become injured , they would report it to the manager asap. </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Staff members are available to re-assure service users or a member of the public if an injury was to occur. If injury required urgent attention, 999 would be contacted immediately </w:t>
            </w:r>
          </w:p>
        </w:tc>
        <w:tc>
          <w:tcPr>
            <w:tcW w:type="dxa" w:w="7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2"/>
                <w:szCs w:val="22"/>
                <w:u w:val="none" w:color="000000"/>
                <w:vertAlign w:val="baseline"/>
                <w:rtl w:val="0"/>
              </w:rPr>
              <w:t xml:space="preserve">staff members and manager would be informed </w:t>
            </w:r>
          </w:p>
        </w:tc>
        <w:tc>
          <w:tcPr>
            <w:tcW w:type="dxa" w:w="7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Before event </w:t>
            </w:r>
          </w:p>
        </w:tc>
      </w:tr>
      <w:tr>
        <w:tblPrEx>
          <w:shd w:val="clear" w:color="auto" w:fill="ced7e7"/>
        </w:tblPrEx>
        <w:trPr>
          <w:trHeight w:val="3286" w:hRule="atLeast"/>
        </w:trPr>
        <w:tc>
          <w:tcPr>
            <w:tcW w:type="dxa" w:w="3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lang w:val="en-US"/>
              </w:rPr>
            </w:pPr>
          </w:p>
          <w:p>
            <w:pPr>
              <w:pStyle w:val="Body"/>
              <w:bidi w:val="0"/>
              <w:ind w:left="0" w:right="0" w:firstLine="0"/>
              <w:jc w:val="left"/>
              <w:rPr>
                <w:rtl w:val="0"/>
              </w:rPr>
            </w:pPr>
            <w:r>
              <w:rPr>
                <w:rtl w:val="0"/>
                <w:lang w:val="en-US"/>
              </w:rPr>
              <w:t>3</w:t>
            </w:r>
          </w:p>
        </w:tc>
        <w:tc>
          <w:tcPr>
            <w:tcW w:type="dxa" w:w="21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Trp/fall hazard </w:t>
            </w:r>
          </w:p>
        </w:tc>
        <w:tc>
          <w:tcPr>
            <w:tcW w:type="dxa" w:w="13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service user </w:t>
            </w:r>
          </w:p>
        </w:tc>
        <w:tc>
          <w:tcPr>
            <w:tcW w:type="dxa" w:w="20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Staff are available to support and guide service users to ensure they are safe.  One service user requires a zimmer frame to mobilise, this can help. </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If a fall was to occur, staff are able to re-assure service user, dial 999 if applicable.</w:t>
            </w:r>
          </w:p>
        </w:tc>
        <w:tc>
          <w:tcPr>
            <w:tcW w:type="dxa" w:w="7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2"/>
                <w:szCs w:val="22"/>
                <w:u w:val="none" w:color="000000"/>
                <w:vertAlign w:val="baseline"/>
                <w:rtl w:val="0"/>
              </w:rPr>
              <w:t xml:space="preserve">staff members and reported to manager immediately </w:t>
            </w:r>
          </w:p>
        </w:tc>
        <w:tc>
          <w:tcPr>
            <w:tcW w:type="dxa" w:w="7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Before event </w:t>
            </w:r>
          </w:p>
        </w:tc>
      </w:tr>
      <w:tr>
        <w:tblPrEx>
          <w:shd w:val="clear" w:color="auto" w:fill="ced7e7"/>
        </w:tblPrEx>
        <w:trPr>
          <w:trHeight w:val="4114" w:hRule="atLeast"/>
        </w:trPr>
        <w:tc>
          <w:tcPr>
            <w:tcW w:type="dxa" w:w="3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lang w:val="en-US"/>
              </w:rPr>
            </w:pPr>
          </w:p>
          <w:p>
            <w:pPr>
              <w:pStyle w:val="Body"/>
              <w:bidi w:val="0"/>
              <w:ind w:left="0" w:right="0" w:firstLine="0"/>
              <w:jc w:val="left"/>
              <w:rPr>
                <w:rtl w:val="0"/>
              </w:rPr>
            </w:pPr>
            <w:r>
              <w:rPr>
                <w:rtl w:val="0"/>
                <w:lang w:val="en-US"/>
              </w:rPr>
              <w:t>4</w:t>
            </w:r>
          </w:p>
        </w:tc>
        <w:tc>
          <w:tcPr>
            <w:tcW w:type="dxa" w:w="21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Accessing destination when walking to coffee shop.</w:t>
            </w:r>
          </w:p>
        </w:tc>
        <w:tc>
          <w:tcPr>
            <w:tcW w:type="dxa" w:w="13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service users</w:t>
            </w:r>
          </w:p>
        </w:tc>
        <w:tc>
          <w:tcPr>
            <w:tcW w:type="dxa" w:w="20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Staff are available to assist service users safely to destination </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If a service user was to abscond for example: a staff member would intervene to return the service user back safely.</w:t>
            </w:r>
          </w:p>
        </w:tc>
        <w:tc>
          <w:tcPr>
            <w:tcW w:type="dxa" w:w="7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2"/>
                <w:szCs w:val="22"/>
                <w:u w:val="none" w:color="000000"/>
                <w:vertAlign w:val="baseline"/>
                <w:rtl w:val="0"/>
              </w:rPr>
              <w:t xml:space="preserve">staff members available and manager would be informed immediately </w:t>
            </w:r>
          </w:p>
        </w:tc>
        <w:tc>
          <w:tcPr>
            <w:tcW w:type="dxa" w:w="7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Before event </w:t>
            </w:r>
          </w:p>
        </w:tc>
      </w:tr>
      <w:tr>
        <w:tblPrEx>
          <w:shd w:val="clear" w:color="auto" w:fill="ced7e7"/>
        </w:tblPrEx>
        <w:trPr>
          <w:trHeight w:val="3010" w:hRule="atLeast"/>
        </w:trPr>
        <w:tc>
          <w:tcPr>
            <w:tcW w:type="dxa" w:w="3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lang w:val="en-US"/>
              </w:rPr>
            </w:pPr>
          </w:p>
          <w:p>
            <w:pPr>
              <w:pStyle w:val="Body"/>
              <w:bidi w:val="0"/>
              <w:ind w:left="0" w:right="0" w:firstLine="0"/>
              <w:jc w:val="left"/>
              <w:rPr>
                <w:rtl w:val="0"/>
              </w:rPr>
            </w:pPr>
            <w:r>
              <w:rPr>
                <w:rtl w:val="0"/>
                <w:lang w:val="en-US"/>
              </w:rPr>
              <w:t>5</w:t>
            </w:r>
          </w:p>
        </w:tc>
        <w:tc>
          <w:tcPr>
            <w:tcW w:type="dxa" w:w="21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As service user showing signs of a behaviour that can be seen as challenging </w:t>
            </w:r>
          </w:p>
        </w:tc>
        <w:tc>
          <w:tcPr>
            <w:tcW w:type="dxa" w:w="13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Service users, public members, staff </w:t>
            </w:r>
          </w:p>
        </w:tc>
        <w:tc>
          <w:tcPr>
            <w:tcW w:type="dxa" w:w="20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Staff members are available to deescalate the situation and re-assure service users </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If service users are still unsettled, manager would be informed for help/support.</w:t>
            </w:r>
          </w:p>
        </w:tc>
        <w:tc>
          <w:tcPr>
            <w:tcW w:type="dxa" w:w="7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2"/>
                <w:szCs w:val="22"/>
                <w:u w:val="none" w:color="000000"/>
                <w:vertAlign w:val="baseline"/>
                <w:rtl w:val="0"/>
              </w:rPr>
              <w:t>staff members available and manger to be informed</w:t>
            </w:r>
          </w:p>
        </w:tc>
        <w:tc>
          <w:tcPr>
            <w:tcW w:type="dxa" w:w="7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00" w:line="276"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before the event</w:t>
            </w:r>
          </w:p>
        </w:tc>
      </w:tr>
    </w:tbl>
    <w:p>
      <w:pPr>
        <w:pStyle w:val="Body"/>
        <w:widowControl w:val="0"/>
        <w:spacing w:line="240" w:lineRule="auto"/>
      </w:pPr>
    </w:p>
    <w:p>
      <w:pPr>
        <w:pStyle w:val="Body"/>
        <w:rPr>
          <w:sz w:val="18"/>
          <w:szCs w:val="18"/>
        </w:rPr>
      </w:pPr>
    </w:p>
    <w:p>
      <w:pPr>
        <w:pStyle w:val="Body"/>
      </w:pPr>
    </w:p>
    <w:p>
      <w:pPr>
        <w:pStyle w:val="Body"/>
        <w:sectPr>
          <w:headerReference w:type="default" r:id="rId8"/>
          <w:footerReference w:type="default" r:id="rId9"/>
          <w:pgSz w:w="11900" w:h="16840" w:orient="portrait"/>
          <w:pgMar w:top="1440" w:right="1440" w:bottom="1440" w:left="1440" w:header="708" w:footer="708"/>
          <w:bidi w:val="0"/>
        </w:sectPr>
      </w:pPr>
    </w:p>
    <w:p>
      <w:pPr>
        <w:pStyle w:val="Body"/>
      </w:pPr>
    </w:p>
    <w:p>
      <w:pPr>
        <w:pStyle w:val="Body"/>
        <w:rPr>
          <w:sz w:val="32"/>
          <w:szCs w:val="32"/>
        </w:rPr>
      </w:pPr>
      <w:r>
        <w:rPr>
          <w:sz w:val="32"/>
          <w:szCs w:val="32"/>
          <w:rtl w:val="0"/>
          <w:lang w:val="en-US"/>
        </w:rPr>
        <w:t xml:space="preserve">Review of Risk Assessment Process </w:t>
      </w:r>
      <w:r>
        <w:rPr>
          <w:sz w:val="28"/>
          <w:szCs w:val="28"/>
          <w:rtl w:val="0"/>
          <w:lang w:val="en-US"/>
        </w:rPr>
        <w:t>(250 words)</w:t>
      </w:r>
    </w:p>
    <w:tbl>
      <w:tblPr>
        <w:tblW w:w="852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818"/>
        <w:gridCol w:w="6704"/>
      </w:tblGrid>
      <w:tr>
        <w:tblPrEx>
          <w:shd w:val="clear" w:color="auto" w:fill="ced7e7"/>
        </w:tblPrEx>
        <w:trPr>
          <w:trHeight w:val="250" w:hRule="atLeast"/>
        </w:trPr>
        <w:tc>
          <w:tcPr>
            <w:tcW w:type="dxa" w:w="18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tl w:val="0"/>
                <w:lang w:val="en-US"/>
              </w:rPr>
              <w:t>Review Date:</w:t>
            </w:r>
          </w:p>
        </w:tc>
        <w:tc>
          <w:tcPr>
            <w:tcW w:type="dxa" w:w="6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color w:val="808080"/>
                <w:u w:color="808080"/>
                <w:rtl w:val="0"/>
                <w:lang w:val="en-US"/>
              </w:rPr>
              <w:t>20/04/2019</w:t>
            </w:r>
          </w:p>
        </w:tc>
      </w:tr>
    </w:tbl>
    <w:p>
      <w:pPr>
        <w:pStyle w:val="Body"/>
        <w:widowControl w:val="0"/>
        <w:spacing w:line="240" w:lineRule="auto"/>
        <w:rPr>
          <w:sz w:val="32"/>
          <w:szCs w:val="32"/>
        </w:rPr>
      </w:pPr>
    </w:p>
    <w:p>
      <w:pPr>
        <w:pStyle w:val="Body"/>
        <w:widowControl w:val="0"/>
        <w:spacing w:line="240" w:lineRule="auto"/>
        <w:rPr>
          <w:u w:val="single"/>
        </w:rPr>
      </w:pPr>
      <w:r>
        <w:rPr>
          <w:sz w:val="32"/>
          <w:szCs w:val="32"/>
          <w:rtl w:val="0"/>
          <w:lang w:val="en-US"/>
        </w:rPr>
        <w:t xml:space="preserve">Health and safety legislations are vital and are put into place to protect and ensure the safety of service users , within their home and staff who are at work.  If these were not in place, incidents may not be documented correctly which can make it look as though the incident did not happen.  There are different legislations for that cover different areas and/or incidents within the workplace.  Unfortunately accidents/incidents can occur within the workplace therefore, action needs to be taken by correctly documenting these under the correct legislations.  If failure to do so, legal action can be taken if health and safety legislations have been breached.  The company can be fined or can go to jail (Moore blatch, 2019).  All staff are to follow the health and safety regulations and it is their responsibility to report to the nurse in charge/manager if there are any incidents/accidents with a service user(s) and/or staff member(s).  </w:t>
      </w:r>
    </w:p>
    <w:p>
      <w:pPr>
        <w:pStyle w:val="Body"/>
        <w:jc w:val="both"/>
        <w:rPr>
          <w:u w:val="single"/>
        </w:rPr>
      </w:pPr>
    </w:p>
    <w:p>
      <w:pPr>
        <w:pStyle w:val="Body"/>
        <w:jc w:val="both"/>
        <w:rPr>
          <w:u w:val="single"/>
        </w:rPr>
      </w:pPr>
    </w:p>
    <w:p>
      <w:pPr>
        <w:pStyle w:val="Body"/>
        <w:jc w:val="both"/>
        <w:rPr>
          <w:rFonts w:ascii="Calibri" w:cs="Calibri" w:hAnsi="Calibri" w:eastAsia="Calibri"/>
          <w:b w:val="1"/>
          <w:bCs w:val="1"/>
          <w:u w:val="single"/>
        </w:rPr>
      </w:pPr>
      <w:r>
        <w:rPr>
          <w:rFonts w:ascii="Calibri" w:cs="Calibri" w:hAnsi="Calibri" w:eastAsia="Calibri"/>
          <w:b w:val="1"/>
          <w:bCs w:val="1"/>
          <w:u w:val="single"/>
          <w:rtl w:val="0"/>
          <w:lang w:val="en-US"/>
        </w:rPr>
        <w:t>FULL RISK ASSESSMENTS MUST BE COMPLETED FOR ALL VISITS</w:t>
      </w:r>
    </w:p>
    <w:p>
      <w:pPr>
        <w:pStyle w:val="Body"/>
        <w:jc w:val="both"/>
        <w:rPr>
          <w:rFonts w:ascii="Calibri" w:cs="Calibri" w:hAnsi="Calibri" w:eastAsia="Calibri"/>
          <w:b w:val="1"/>
          <w:bCs w:val="1"/>
        </w:rPr>
      </w:pPr>
      <w:r>
        <w:rPr>
          <w:rFonts w:ascii="Calibri" w:cs="Calibri" w:hAnsi="Calibri" w:eastAsia="Calibri"/>
          <w:b w:val="1"/>
          <w:bCs w:val="1"/>
          <w:rtl w:val="0"/>
          <w:lang w:val="en-US"/>
        </w:rPr>
        <w:t>NOTES:</w:t>
        <w:tab/>
      </w:r>
    </w:p>
    <w:p>
      <w:pPr>
        <w:pStyle w:val="List Paragraph"/>
        <w:numPr>
          <w:ilvl w:val="0"/>
          <w:numId w:val="2"/>
        </w:numPr>
        <w:bidi w:val="0"/>
        <w:ind w:right="0"/>
        <w:jc w:val="both"/>
        <w:rPr>
          <w:b w:val="1"/>
          <w:bCs w:val="1"/>
          <w:rtl w:val="0"/>
          <w:lang w:val="en-US"/>
        </w:rPr>
      </w:pPr>
      <w:r>
        <w:rPr>
          <w:b w:val="1"/>
          <w:bCs w:val="1"/>
          <w:rtl w:val="0"/>
          <w:lang w:val="en-US"/>
        </w:rPr>
        <w:t>In the event of any student or member of staff listed below failing to attend for whatever reasons his/her name must be given to the Faculty Secretary.</w:t>
      </w:r>
    </w:p>
    <w:p>
      <w:pPr>
        <w:pStyle w:val="Body"/>
        <w:numPr>
          <w:ilvl w:val="0"/>
          <w:numId w:val="2"/>
        </w:numPr>
        <w:bidi w:val="0"/>
        <w:spacing w:after="0" w:line="240" w:lineRule="auto"/>
        <w:ind w:right="0"/>
        <w:jc w:val="both"/>
        <w:rPr>
          <w:b w:val="1"/>
          <w:bCs w:val="1"/>
          <w:rtl w:val="0"/>
          <w:lang w:val="en-US"/>
        </w:rPr>
      </w:pPr>
      <w:r>
        <w:rPr>
          <w:b w:val="1"/>
          <w:bCs w:val="1"/>
          <w:rtl w:val="0"/>
          <w:lang w:val="en-US"/>
        </w:rPr>
        <w:t xml:space="preserve">For purposes of Health Insurance the Tutor-in-Charge of the visit must make known to all members participating in the visit, the provisions contained in the relevant Insurance Notes. </w:t>
      </w:r>
    </w:p>
    <w:p>
      <w:pPr>
        <w:pStyle w:val="Body"/>
        <w:spacing w:after="0" w:line="240" w:lineRule="auto"/>
        <w:ind w:left="720" w:firstLine="0"/>
        <w:jc w:val="both"/>
        <w:rPr>
          <w:b w:val="1"/>
          <w:bCs w:val="1"/>
        </w:rPr>
      </w:pPr>
    </w:p>
    <w:p>
      <w:pPr>
        <w:pStyle w:val="List Paragraph"/>
        <w:numPr>
          <w:ilvl w:val="0"/>
          <w:numId w:val="2"/>
        </w:numPr>
        <w:bidi w:val="0"/>
        <w:ind w:right="0"/>
        <w:jc w:val="both"/>
        <w:rPr>
          <w:b w:val="1"/>
          <w:bCs w:val="1"/>
          <w:rtl w:val="0"/>
          <w:lang w:val="en-US"/>
        </w:rPr>
      </w:pPr>
      <w:r>
        <w:rPr>
          <w:b w:val="1"/>
          <w:bCs w:val="1"/>
          <w:rtl w:val="0"/>
          <w:lang w:val="en-US"/>
        </w:rPr>
        <w:t>The Event Manager must deliver to Module Lead of the proposed Educational Visit ALL names and mobile numbers of all Students who have agreed to participate in the Activity.</w:t>
      </w: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r>
        <w:rPr>
          <w:rtl w:val="0"/>
          <w:lang w:val="en-US"/>
        </w:rPr>
        <w:t xml:space="preserve">Health and safety executive (2019) legislation </w:t>
      </w:r>
      <w:r>
        <w:rPr>
          <w:rStyle w:val="Hyperlink.0"/>
        </w:rPr>
        <w:fldChar w:fldCharType="begin" w:fldLock="0"/>
      </w:r>
      <w:r>
        <w:rPr>
          <w:rStyle w:val="Hyperlink.0"/>
        </w:rPr>
        <w:instrText xml:space="preserve"> HYPERLINK "http://www.hse.gov.uk/firstaid/legislation.htm#offshore"</w:instrText>
      </w:r>
      <w:r>
        <w:rPr>
          <w:rStyle w:val="Hyperlink.0"/>
        </w:rPr>
        <w:fldChar w:fldCharType="separate" w:fldLock="0"/>
      </w:r>
      <w:r>
        <w:rPr>
          <w:rStyle w:val="Hyperlink.0"/>
          <w:rtl w:val="0"/>
          <w:lang w:val="en-US"/>
        </w:rPr>
        <w:t>http://www.hse.gov.uk/firstaid/legislation.htm#offshore</w:t>
      </w:r>
      <w:r>
        <w:rPr/>
        <w:fldChar w:fldCharType="end" w:fldLock="0"/>
      </w:r>
      <w:r>
        <w:rPr>
          <w:rtl w:val="0"/>
          <w:lang w:val="en-US"/>
        </w:rPr>
        <w:t xml:space="preserve"> [accessed on: 02/05/2019]</w:t>
      </w:r>
    </w:p>
    <w:p>
      <w:pPr>
        <w:pStyle w:val="Body"/>
      </w:pPr>
      <w:r>
        <w:rPr>
          <w:rtl w:val="0"/>
          <w:lang w:val="en-US"/>
        </w:rPr>
        <w:t xml:space="preserve">Health and safety executive (2019) </w:t>
      </w:r>
      <w:r>
        <w:rPr>
          <w:i w:val="1"/>
          <w:iCs w:val="1"/>
          <w:rtl w:val="0"/>
          <w:lang w:val="en-US"/>
        </w:rPr>
        <w:t>Types of reportable incidents</w:t>
      </w:r>
      <w:r>
        <w:rPr>
          <w:i w:val="1"/>
          <w:iCs w:val="1"/>
          <w:rtl w:val="0"/>
          <w:lang w:val="en-US"/>
        </w:rPr>
        <w:t xml:space="preserve"> </w:t>
      </w:r>
      <w:r>
        <w:rPr>
          <w:rStyle w:val="Hyperlink.0"/>
        </w:rPr>
        <w:fldChar w:fldCharType="begin" w:fldLock="0"/>
      </w:r>
      <w:r>
        <w:rPr>
          <w:rStyle w:val="Hyperlink.0"/>
        </w:rPr>
        <w:instrText xml:space="preserve"> HYPERLINK "http://www.hse.gov.uk/riddor/reportable-incidents.htm"</w:instrText>
      </w:r>
      <w:r>
        <w:rPr>
          <w:rStyle w:val="Hyperlink.0"/>
        </w:rPr>
        <w:fldChar w:fldCharType="separate" w:fldLock="0"/>
      </w:r>
      <w:r>
        <w:rPr>
          <w:rStyle w:val="Hyperlink.0"/>
          <w:rtl w:val="0"/>
          <w:lang w:val="en-US"/>
        </w:rPr>
        <w:t>http://www.hse.gov.uk/riddor/reportable-incidents.htm</w:t>
      </w:r>
      <w:r>
        <w:rPr/>
        <w:fldChar w:fldCharType="end" w:fldLock="0"/>
      </w:r>
      <w:r>
        <w:rPr>
          <w:i w:val="1"/>
          <w:iCs w:val="1"/>
          <w:rtl w:val="0"/>
          <w:lang w:val="en-US"/>
        </w:rPr>
        <w:t xml:space="preserve"> </w:t>
      </w:r>
      <w:r>
        <w:rPr>
          <w:rtl w:val="0"/>
          <w:lang w:val="en-US"/>
        </w:rPr>
        <w:t>[accessed on: 02/05/2019]</w:t>
      </w:r>
    </w:p>
    <w:p>
      <w:pPr>
        <w:pStyle w:val="Body"/>
      </w:pPr>
      <w:r>
        <w:rPr>
          <w:rtl w:val="0"/>
          <w:lang w:val="en-US"/>
        </w:rPr>
        <w:t>Health and safety (2019)</w:t>
      </w:r>
      <w:r>
        <w:rPr>
          <w:i w:val="1"/>
          <w:iCs w:val="1"/>
          <w:rtl w:val="0"/>
          <w:lang w:val="en-US"/>
        </w:rPr>
        <w:t xml:space="preserve"> </w:t>
      </w:r>
      <w:r>
        <w:rPr>
          <w:i w:val="1"/>
          <w:iCs w:val="1"/>
          <w:rtl w:val="0"/>
          <w:lang w:val="en-US"/>
        </w:rPr>
        <w:t>Manual Handling Operations Regulations 1992 (as amended) (MHOR)</w:t>
      </w:r>
      <w:r>
        <w:rPr>
          <w:i w:val="1"/>
          <w:iCs w:val="1"/>
          <w:rtl w:val="0"/>
          <w:lang w:val="en-US"/>
        </w:rPr>
        <w:t xml:space="preserve"> </w:t>
      </w:r>
      <w:r>
        <w:rPr>
          <w:rStyle w:val="Hyperlink.0"/>
        </w:rPr>
        <w:fldChar w:fldCharType="begin" w:fldLock="0"/>
      </w:r>
      <w:r>
        <w:rPr>
          <w:rStyle w:val="Hyperlink.0"/>
        </w:rPr>
        <w:instrText xml:space="preserve"> HYPERLINK "http://www.hse.gov.uk/msd/backpain/employers/mhor.htm"</w:instrText>
      </w:r>
      <w:r>
        <w:rPr>
          <w:rStyle w:val="Hyperlink.0"/>
        </w:rPr>
        <w:fldChar w:fldCharType="separate" w:fldLock="0"/>
      </w:r>
      <w:r>
        <w:rPr>
          <w:rStyle w:val="Hyperlink.0"/>
          <w:rtl w:val="0"/>
          <w:lang w:val="en-US"/>
        </w:rPr>
        <w:t>http://www.hse.gov.uk/msd/backpain/employers/mhor.htm</w:t>
      </w:r>
      <w:r>
        <w:rPr/>
        <w:fldChar w:fldCharType="end" w:fldLock="0"/>
      </w:r>
      <w:r>
        <w:rPr>
          <w:i w:val="1"/>
          <w:iCs w:val="1"/>
          <w:rtl w:val="0"/>
          <w:lang w:val="en-US"/>
        </w:rPr>
        <w:t xml:space="preserve"> </w:t>
      </w:r>
      <w:r>
        <w:rPr>
          <w:rtl w:val="0"/>
          <w:lang w:val="en-US"/>
        </w:rPr>
        <w:t>[accessed on: 02/05/2019]</w:t>
      </w:r>
    </w:p>
    <w:p>
      <w:pPr>
        <w:pStyle w:val="Body"/>
      </w:pPr>
      <w:r>
        <w:rPr>
          <w:rtl w:val="0"/>
          <w:lang w:val="en-US"/>
        </w:rPr>
        <w:t xml:space="preserve">Legislation (2019) </w:t>
      </w:r>
      <w:r>
        <w:rPr>
          <w:i w:val="1"/>
          <w:iCs w:val="1"/>
          <w:rtl w:val="0"/>
          <w:lang w:val="en-US"/>
        </w:rPr>
        <w:t>food and safety act 1990</w:t>
      </w:r>
      <w:r>
        <w:rPr>
          <w:rtl w:val="0"/>
          <w:lang w:val="en-US"/>
        </w:rPr>
        <w:t xml:space="preserve"> </w:t>
      </w:r>
      <w:r>
        <w:rPr>
          <w:rStyle w:val="Hyperlink.0"/>
        </w:rPr>
        <w:fldChar w:fldCharType="begin" w:fldLock="0"/>
      </w:r>
      <w:r>
        <w:rPr>
          <w:rStyle w:val="Hyperlink.0"/>
        </w:rPr>
        <w:instrText xml:space="preserve"> HYPERLINK "https://www.legislation.gov.uk/ukpga/1990/16/section/16"</w:instrText>
      </w:r>
      <w:r>
        <w:rPr>
          <w:rStyle w:val="Hyperlink.0"/>
        </w:rPr>
        <w:fldChar w:fldCharType="separate" w:fldLock="0"/>
      </w:r>
      <w:r>
        <w:rPr>
          <w:rStyle w:val="Hyperlink.0"/>
          <w:rtl w:val="0"/>
          <w:lang w:val="en-US"/>
        </w:rPr>
        <w:t>https://www.legislation.gov.uk/ukpga/1990/16/section/16</w:t>
      </w:r>
      <w:r>
        <w:rPr/>
        <w:fldChar w:fldCharType="end" w:fldLock="0"/>
      </w:r>
      <w:r>
        <w:rPr>
          <w:rtl w:val="0"/>
          <w:lang w:val="en-US"/>
        </w:rPr>
        <w:t xml:space="preserve"> accessed on: 02/05/2019</w:t>
      </w:r>
    </w:p>
    <w:p>
      <w:pPr>
        <w:pStyle w:val="Body"/>
      </w:pPr>
      <w:r>
        <w:rPr>
          <w:rtl w:val="0"/>
          <w:lang w:val="en-US"/>
        </w:rPr>
        <w:t xml:space="preserve">Legislation (2019) </w:t>
      </w:r>
      <w:r>
        <w:rPr>
          <w:i w:val="1"/>
          <w:iCs w:val="1"/>
          <w:rtl w:val="0"/>
          <w:lang w:val="en-US"/>
        </w:rPr>
        <w:t>The Management of Health and Safety at Work Regulations 1999</w:t>
      </w:r>
      <w:r>
        <w:rPr>
          <w:i w:val="1"/>
          <w:iCs w:val="1"/>
          <w:rtl w:val="0"/>
          <w:lang w:val="en-US"/>
        </w:rPr>
        <w:t xml:space="preserve"> </w:t>
      </w:r>
      <w:r>
        <w:rPr>
          <w:rStyle w:val="Hyperlink.0"/>
        </w:rPr>
        <w:fldChar w:fldCharType="begin" w:fldLock="0"/>
      </w:r>
      <w:r>
        <w:rPr>
          <w:rStyle w:val="Hyperlink.0"/>
        </w:rPr>
        <w:instrText xml:space="preserve"> HYPERLINK "http://www.legislation.gov.uk/uksi/1999/3242/regulation/3/made"</w:instrText>
      </w:r>
      <w:r>
        <w:rPr>
          <w:rStyle w:val="Hyperlink.0"/>
        </w:rPr>
        <w:fldChar w:fldCharType="separate" w:fldLock="0"/>
      </w:r>
      <w:r>
        <w:rPr>
          <w:rStyle w:val="Hyperlink.0"/>
          <w:rtl w:val="0"/>
          <w:lang w:val="en-US"/>
        </w:rPr>
        <w:t>http://www.legislation.gov.uk/uksi/1999/3242/regulation/3/made</w:t>
      </w:r>
      <w:r>
        <w:rPr/>
        <w:fldChar w:fldCharType="end" w:fldLock="0"/>
      </w:r>
      <w:r>
        <w:rPr>
          <w:i w:val="1"/>
          <w:iCs w:val="1"/>
          <w:rtl w:val="0"/>
          <w:lang w:val="en-US"/>
        </w:rPr>
        <w:t xml:space="preserve"> </w:t>
      </w:r>
      <w:r>
        <w:rPr>
          <w:rtl w:val="0"/>
          <w:lang w:val="en-US"/>
        </w:rPr>
        <w:t>[accessed on: 02/03/2019]</w:t>
      </w:r>
    </w:p>
    <w:p>
      <w:pPr>
        <w:pStyle w:val="Body"/>
      </w:pPr>
      <w:r>
        <w:rPr>
          <w:rtl w:val="0"/>
          <w:lang w:val="en-US"/>
        </w:rPr>
        <w:t xml:space="preserve">Moore blatch (2019) </w:t>
      </w:r>
      <w:r>
        <w:rPr>
          <w:i w:val="1"/>
          <w:iCs w:val="1"/>
          <w:rtl w:val="0"/>
          <w:lang w:val="en-US"/>
        </w:rPr>
        <w:t>Consequences of a health and safety breach</w:t>
      </w:r>
      <w:r>
        <w:rPr>
          <w:i w:val="1"/>
          <w:iCs w:val="1"/>
          <w:rtl w:val="0"/>
          <w:lang w:val="en-US"/>
        </w:rPr>
        <w:t xml:space="preserve"> </w:t>
      </w:r>
      <w:r>
        <w:rPr>
          <w:rStyle w:val="Hyperlink.0"/>
        </w:rPr>
        <w:fldChar w:fldCharType="begin" w:fldLock="0"/>
      </w:r>
      <w:r>
        <w:rPr>
          <w:rStyle w:val="Hyperlink.0"/>
        </w:rPr>
        <w:instrText xml:space="preserve"> HYPERLINK "https://www.mooreblatch.com/business/health-and-safety/consequences-of-a-health-and-safety-breach/"</w:instrText>
      </w:r>
      <w:r>
        <w:rPr>
          <w:rStyle w:val="Hyperlink.0"/>
        </w:rPr>
        <w:fldChar w:fldCharType="separate" w:fldLock="0"/>
      </w:r>
      <w:r>
        <w:rPr>
          <w:rStyle w:val="Hyperlink.0"/>
          <w:rtl w:val="0"/>
          <w:lang w:val="en-US"/>
        </w:rPr>
        <w:t>https://www.mooreblatch.com/business/health-and-safety/consequences-of-a-health-and-safety-breach/</w:t>
      </w:r>
      <w:r>
        <w:rPr/>
        <w:fldChar w:fldCharType="end" w:fldLock="0"/>
      </w:r>
      <w:r>
        <w:rPr>
          <w:i w:val="1"/>
          <w:iCs w:val="1"/>
          <w:rtl w:val="0"/>
          <w:lang w:val="en-US"/>
        </w:rPr>
        <w:t xml:space="preserve"> </w:t>
      </w:r>
      <w:r>
        <w:rPr>
          <w:rtl w:val="0"/>
          <w:lang w:val="en-US"/>
        </w:rPr>
        <w:t>[accessed on: 03/05/2019]</w:t>
      </w:r>
    </w:p>
    <w:p>
      <w:pPr>
        <w:pStyle w:val="Body"/>
      </w:pPr>
      <w:r>
        <w:rPr>
          <w:rtl w:val="0"/>
          <w:lang w:val="en-US"/>
        </w:rPr>
        <w:t xml:space="preserve">occupational safety and health consultants register (2015) </w:t>
      </w:r>
      <w:r>
        <w:rPr>
          <w:i w:val="1"/>
          <w:iCs w:val="1"/>
          <w:rtl w:val="0"/>
        </w:rPr>
        <w:t xml:space="preserve">RIDDOR </w:t>
      </w:r>
      <w:r>
        <w:rPr>
          <w:i w:val="1"/>
          <w:iCs w:val="1"/>
          <w:rtl w:val="0"/>
        </w:rPr>
        <w:t xml:space="preserve">– </w:t>
      </w:r>
      <w:r>
        <w:rPr>
          <w:i w:val="1"/>
          <w:iCs w:val="1"/>
          <w:rtl w:val="0"/>
          <w:lang w:val="en-US"/>
        </w:rPr>
        <w:t>Reporting of Injuries, Diseases and Dangerous Occurrences Regulations</w:t>
      </w:r>
      <w:r>
        <w:rPr>
          <w:i w:val="1"/>
          <w:iCs w:val="1"/>
          <w:rtl w:val="0"/>
          <w:lang w:val="en-US"/>
        </w:rPr>
        <w:t xml:space="preserve"> </w:t>
      </w:r>
      <w:r>
        <w:rPr>
          <w:rStyle w:val="Hyperlink.0"/>
        </w:rPr>
        <w:fldChar w:fldCharType="begin" w:fldLock="0"/>
      </w:r>
      <w:r>
        <w:rPr>
          <w:rStyle w:val="Hyperlink.0"/>
        </w:rPr>
        <w:instrText xml:space="preserve"> HYPERLINK "https://www.oshcr.org/riddor-reporting-of-injuries-diseases-and-dangerous-occurrences-regulations/"</w:instrText>
      </w:r>
      <w:r>
        <w:rPr>
          <w:rStyle w:val="Hyperlink.0"/>
        </w:rPr>
        <w:fldChar w:fldCharType="separate" w:fldLock="0"/>
      </w:r>
      <w:r>
        <w:rPr>
          <w:rStyle w:val="Hyperlink.0"/>
          <w:rtl w:val="0"/>
          <w:lang w:val="en-US"/>
        </w:rPr>
        <w:t>https://www.oshcr.org/riddor-reporting-of-injuries-diseases-and-dangerous-occurrences-regulations/</w:t>
      </w:r>
      <w:r>
        <w:rPr/>
        <w:fldChar w:fldCharType="end" w:fldLock="0"/>
      </w:r>
      <w:r>
        <w:rPr>
          <w:i w:val="1"/>
          <w:iCs w:val="1"/>
          <w:rtl w:val="0"/>
          <w:lang w:val="en-US"/>
        </w:rPr>
        <w:t xml:space="preserve"> </w:t>
      </w:r>
      <w:r>
        <w:rPr>
          <w:rtl w:val="0"/>
          <w:lang w:val="en-US"/>
        </w:rPr>
        <w:t>[accessed on: 02/05/2019]</w:t>
      </w:r>
    </w:p>
    <w:p>
      <w:pPr>
        <w:pStyle w:val="Body"/>
      </w:pPr>
      <w:r>
        <w:rPr>
          <w:i w:val="1"/>
          <w:iCs w:val="1"/>
        </w:rPr>
      </w:r>
    </w:p>
    <w:sectPr>
      <w:headerReference w:type="default" r:id="rId10"/>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8505"/>
        <w:tab w:val="right" w:pos="9000"/>
        <w:tab w:val="clear" w:pos="9026"/>
      </w:tabs>
      <w:jc w:val="both"/>
    </w:pPr>
    <w:r>
      <w:rPr>
        <w:rtl w:val="0"/>
        <w:lang w:val="en-US"/>
      </w:rPr>
      <w:t>Trinity St. David</w:t>
      <w:tab/>
      <w:t xml:space="preserve">Page </w:t>
    </w:r>
    <w:r>
      <w:rPr/>
      <w:fldChar w:fldCharType="begin" w:fldLock="0"/>
    </w:r>
    <w:r>
      <w:instrText xml:space="preserve"> PAGE </w:instrText>
    </w:r>
    <w:r>
      <w:rPr/>
      <w:fldChar w:fldCharType="separate" w:fldLock="0"/>
    </w:r>
    <w:r>
      <w:t>4</w:t>
    </w:r>
    <w:r>
      <w:rPr/>
      <w:fldChar w:fldCharType="end" w:fldLock="0"/>
    </w:r>
    <w:r>
      <w:rPr>
        <w:rtl w:val="0"/>
        <w:lang w:val="en-US"/>
      </w:rPr>
      <w:t xml:space="preserve"> of </w:t>
    </w:r>
    <w:r>
      <w:rPr/>
      <w:fldChar w:fldCharType="begin" w:fldLock="0"/>
    </w:r>
    <w:r>
      <w:instrText xml:space="preserve"> NUMPAGES </w:instrText>
    </w:r>
    <w:r>
      <w:rPr/>
      <w:fldChar w:fldCharType="separate" w:fldLock="0"/>
    </w:r>
    <w:r>
      <w:t>8</w:t>
    </w:r>
    <w:r>
      <w:rPr/>
      <w:fldChar w:fldCharType="end" w:fldLock="0"/>
    </w: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both"/>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00"/>
        <w:tab w:val="clear" w:pos="9026"/>
      </w:tabs>
      <w:jc w:val="right"/>
      <w:rPr>
        <w:sz w:val="16"/>
        <w:szCs w:val="16"/>
      </w:rPr>
    </w:pPr>
    <w:r>
      <mc:AlternateContent>
        <mc:Choice Requires="wps">
          <w:drawing>
            <wp:anchor distT="152400" distB="152400" distL="152400" distR="152400" simplePos="0" relativeHeight="251658240" behindDoc="1" locked="0" layoutInCell="1" allowOverlap="1">
              <wp:simplePos x="0" y="0"/>
              <wp:positionH relativeFrom="page">
                <wp:posOffset>1047750</wp:posOffset>
              </wp:positionH>
              <wp:positionV relativeFrom="page">
                <wp:posOffset>626109</wp:posOffset>
              </wp:positionV>
              <wp:extent cx="5457825" cy="0"/>
              <wp:effectExtent l="0" t="0" r="0" b="0"/>
              <wp:wrapNone/>
              <wp:docPr id="1073741826" name="officeArt object" descr="Straight Connector 8"/>
              <wp:cNvGraphicFramePr/>
              <a:graphic xmlns:a="http://schemas.openxmlformats.org/drawingml/2006/main">
                <a:graphicData uri="http://schemas.microsoft.com/office/word/2010/wordprocessingShape">
                  <wps:wsp>
                    <wps:cNvSpPr/>
                    <wps:spPr>
                      <a:xfrm>
                        <a:off x="0" y="0"/>
                        <a:ext cx="5457825" cy="0"/>
                      </a:xfrm>
                      <a:prstGeom prst="line">
                        <a:avLst/>
                      </a:prstGeom>
                      <a:noFill/>
                      <a:ln w="9525" cap="flat">
                        <a:solidFill>
                          <a:srgbClr val="000000"/>
                        </a:solidFill>
                        <a:prstDash val="solid"/>
                        <a:round/>
                      </a:ln>
                      <a:effectLst/>
                    </wps:spPr>
                    <wps:bodyPr/>
                  </wps:wsp>
                </a:graphicData>
              </a:graphic>
            </wp:anchor>
          </w:drawing>
        </mc:Choice>
        <mc:Fallback>
          <w:pict>
            <v:line id="_x0000_s1026" style="visibility:visible;position:absolute;margin-left:82.5pt;margin-top:49.3pt;width:429.8pt;height:0.0pt;z-index:-251658240;mso-position-horizontal:absolute;mso-position-horizontal-relative:page;mso-position-vertical:absolute;mso-position-vertical-relative:page;mso-wrap-distance-left:12.0pt;mso-wrap-distance-top:12.0pt;mso-wrap-distance-right:12.0pt;mso-wrap-distance-bottom:12.0pt;">
              <v:fill on="f"/>
              <v:stroke filltype="solid" color="#000000" opacity="100.0%" weight="0.8pt" dashstyle="solid" endcap="flat" joinstyle="round" linestyle="single" startarrow="none" startarrowwidth="medium" startarrowlength="medium" endarrow="none" endarrowwidth="medium" endarrowlength="medium"/>
              <w10:wrap type="none" side="bothSides" anchorx="page" anchory="page"/>
            </v:line>
          </w:pict>
        </mc:Fallback>
      </mc:AlternateContent>
    </w:r>
    <w:r>
      <mc:AlternateContent>
        <mc:Choice Requires="wps">
          <w:drawing>
            <wp:anchor distT="152400" distB="152400" distL="152400" distR="152400" simplePos="0" relativeHeight="251659264" behindDoc="1" locked="0" layoutInCell="1" allowOverlap="1">
              <wp:simplePos x="0" y="0"/>
              <wp:positionH relativeFrom="page">
                <wp:posOffset>1047750</wp:posOffset>
              </wp:positionH>
              <wp:positionV relativeFrom="page">
                <wp:posOffset>9981565</wp:posOffset>
              </wp:positionV>
              <wp:extent cx="5457825" cy="0"/>
              <wp:effectExtent l="0" t="0" r="0" b="0"/>
              <wp:wrapNone/>
              <wp:docPr id="1073741827" name="officeArt object" descr="Straight Connector 7"/>
              <wp:cNvGraphicFramePr/>
              <a:graphic xmlns:a="http://schemas.openxmlformats.org/drawingml/2006/main">
                <a:graphicData uri="http://schemas.microsoft.com/office/word/2010/wordprocessingShape">
                  <wps:wsp>
                    <wps:cNvSpPr/>
                    <wps:spPr>
                      <a:xfrm>
                        <a:off x="0" y="0"/>
                        <a:ext cx="5457825" cy="0"/>
                      </a:xfrm>
                      <a:prstGeom prst="line">
                        <a:avLst/>
                      </a:prstGeom>
                      <a:noFill/>
                      <a:ln w="9525" cap="flat">
                        <a:solidFill>
                          <a:srgbClr val="000000"/>
                        </a:solidFill>
                        <a:prstDash val="solid"/>
                        <a:round/>
                      </a:ln>
                      <a:effectLst/>
                    </wps:spPr>
                    <wps:bodyPr/>
                  </wps:wsp>
                </a:graphicData>
              </a:graphic>
            </wp:anchor>
          </w:drawing>
        </mc:Choice>
        <mc:Fallback>
          <w:pict>
            <v:line id="_x0000_s1027" style="visibility:visible;position:absolute;margin-left:82.5pt;margin-top:786.0pt;width:429.8pt;height:0.0pt;z-index:-251657216;mso-position-horizontal:absolute;mso-position-horizontal-relative:page;mso-position-vertical:absolute;mso-position-vertical-relative:page;mso-wrap-distance-left:12.0pt;mso-wrap-distance-top:12.0pt;mso-wrap-distance-right:12.0pt;mso-wrap-distance-bottom:12.0pt;">
              <v:fill on="f"/>
              <v:stroke filltype="solid" color="#000000" opacity="100.0%" weight="0.8pt" dashstyle="solid" endcap="flat" joinstyle="round" linestyle="single" startarrow="none" startarrowwidth="medium" startarrowlength="medium" endarrow="none" endarrowwidth="medium" endarrowlength="medium"/>
              <w10:wrap type="none" side="bothSides" anchorx="page" anchory="page"/>
            </v:line>
          </w:pict>
        </mc:Fallback>
      </mc:AlternateContent>
    </w:r>
    <w:r>
      <w:drawing>
        <wp:inline distT="0" distB="0" distL="0" distR="0">
          <wp:extent cx="2019300" cy="438150"/>
          <wp:effectExtent l="0" t="0" r="0" b="0"/>
          <wp:docPr id="1073741825" name="officeArt object" descr="SMULogo"/>
          <wp:cNvGraphicFramePr/>
          <a:graphic xmlns:a="http://schemas.openxmlformats.org/drawingml/2006/main">
            <a:graphicData uri="http://schemas.openxmlformats.org/drawingml/2006/picture">
              <pic:pic xmlns:pic="http://schemas.openxmlformats.org/drawingml/2006/picture">
                <pic:nvPicPr>
                  <pic:cNvPr id="1073741825" name="SMULogo" descr="SMULogo"/>
                  <pic:cNvPicPr>
                    <a:picLocks noChangeAspect="1"/>
                  </pic:cNvPicPr>
                </pic:nvPicPr>
                <pic:blipFill>
                  <a:blip r:embed="rId1">
                    <a:extLst/>
                  </a:blip>
                  <a:stretch>
                    <a:fillRect/>
                  </a:stretch>
                </pic:blipFill>
                <pic:spPr>
                  <a:xfrm>
                    <a:off x="0" y="0"/>
                    <a:ext cx="2019300" cy="438150"/>
                  </a:xfrm>
                  <a:prstGeom prst="rect">
                    <a:avLst/>
                  </a:prstGeom>
                  <a:ln w="12700" cap="flat">
                    <a:noFill/>
                    <a:miter lim="400000"/>
                  </a:ln>
                  <a:effectLst/>
                </pic:spPr>
              </pic:pic>
            </a:graphicData>
          </a:graphic>
        </wp:inline>
      </w:drawing>
    </w:r>
  </w:p>
  <w:p>
    <w:pPr>
      <w:pStyle w:val="header"/>
      <w:tabs>
        <w:tab w:val="right" w:pos="9000"/>
        <w:tab w:val="clear" w:pos="9026"/>
      </w:tabs>
      <w:rPr>
        <w:sz w:val="16"/>
        <w:szCs w:val="16"/>
      </w:rPr>
    </w:pPr>
  </w:p>
  <w:p>
    <w:pPr>
      <w:pStyle w:val="header"/>
      <w:tabs>
        <w:tab w:val="right" w:pos="8505"/>
        <w:tab w:val="right" w:pos="9000"/>
        <w:tab w:val="clear" w:pos="9026"/>
      </w:tabs>
    </w:pPr>
    <w:r>
      <w:rPr>
        <w:sz w:val="16"/>
        <w:szCs w:val="16"/>
        <w:rtl w:val="0"/>
        <w:lang w:val="en-US"/>
      </w:rPr>
      <w:t xml:space="preserve">Event Risk Assessment </w:t>
      <w:tab/>
      <w:tab/>
    </w:r>
  </w:p>
  <w:p>
    <w:pPr>
      <w:pStyle w:val="Body"/>
    </w:pPr>
  </w:p>
  <w:p>
    <w:pPr>
      <w:pStyle w:val="header"/>
      <w:tabs>
        <w:tab w:val="right" w:pos="9000"/>
        <w:tab w:val="right" w:pos="9000"/>
        <w:tab w:val="clear" w:pos="9026"/>
      </w:tabs>
    </w:pPr>
    <w:r>
      <w:tab/>
      <w:tab/>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00"/>
        <w:tab w:val="clear" w:pos="9026"/>
      </w:tabs>
      <w:jc w:val="right"/>
    </w:pPr>
    <w:r>
      <w:drawing>
        <wp:inline distT="0" distB="0" distL="0" distR="0">
          <wp:extent cx="2019300" cy="438150"/>
          <wp:effectExtent l="0" t="0" r="0" b="0"/>
          <wp:docPr id="1073741828" name="officeArt object" descr="SMULogo"/>
          <wp:cNvGraphicFramePr/>
          <a:graphic xmlns:a="http://schemas.openxmlformats.org/drawingml/2006/main">
            <a:graphicData uri="http://schemas.openxmlformats.org/drawingml/2006/picture">
              <pic:pic xmlns:pic="http://schemas.openxmlformats.org/drawingml/2006/picture">
                <pic:nvPicPr>
                  <pic:cNvPr id="1073741828" name="SMULogo" descr="SMULogo"/>
                  <pic:cNvPicPr>
                    <a:picLocks noChangeAspect="1"/>
                  </pic:cNvPicPr>
                </pic:nvPicPr>
                <pic:blipFill>
                  <a:blip r:embed="rId1">
                    <a:extLst/>
                  </a:blip>
                  <a:stretch>
                    <a:fillRect/>
                  </a:stretch>
                </pic:blipFill>
                <pic:spPr>
                  <a:xfrm>
                    <a:off x="0" y="0"/>
                    <a:ext cx="2019300" cy="438150"/>
                  </a:xfrm>
                  <a:prstGeom prst="rect">
                    <a:avLst/>
                  </a:prstGeom>
                  <a:ln w="12700" cap="flat">
                    <a:noFill/>
                    <a:miter lim="400000"/>
                  </a:ln>
                  <a:effectLst/>
                </pic:spPr>
              </pic:pic>
            </a:graphicData>
          </a:graphic>
        </wp:inline>
      </w:drawing>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00"/>
        <w:tab w:val="clear" w:pos="9026"/>
      </w:tabs>
      <w:jc w:val="right"/>
    </w:pPr>
    <w:r>
      <w:drawing>
        <wp:anchor distT="152400" distB="152400" distL="152400" distR="152400" simplePos="0" relativeHeight="251658240" behindDoc="1" locked="0" layoutInCell="1" allowOverlap="1">
          <wp:simplePos x="0" y="0"/>
          <wp:positionH relativeFrom="page">
            <wp:posOffset>4162425</wp:posOffset>
          </wp:positionH>
          <wp:positionV relativeFrom="page">
            <wp:posOffset>447676</wp:posOffset>
          </wp:positionV>
          <wp:extent cx="1552575" cy="622378"/>
          <wp:effectExtent l="0" t="0" r="0" b="0"/>
          <wp:wrapNone/>
          <wp:docPr id="1073741829" name="officeArt object" descr="https://upload.wikimedia.org/wikipedia/en/f/fe/TSDLogo.png"/>
          <wp:cNvGraphicFramePr/>
          <a:graphic xmlns:a="http://schemas.openxmlformats.org/drawingml/2006/main">
            <a:graphicData uri="http://schemas.openxmlformats.org/drawingml/2006/picture">
              <pic:pic xmlns:pic="http://schemas.openxmlformats.org/drawingml/2006/picture">
                <pic:nvPicPr>
                  <pic:cNvPr id="1073741829" name="https://upload.wikimedia.org/wikipedia/en/f/fe/TSDLogo.png" descr="https://upload.wikimedia.org/wikipedia/en/f/fe/TSDLogo.png"/>
                  <pic:cNvPicPr>
                    <a:picLocks noChangeAspect="1"/>
                  </pic:cNvPicPr>
                </pic:nvPicPr>
                <pic:blipFill>
                  <a:blip r:embed="rId1">
                    <a:extLst/>
                  </a:blip>
                  <a:stretch>
                    <a:fillRect/>
                  </a:stretch>
                </pic:blipFill>
                <pic:spPr>
                  <a:xfrm>
                    <a:off x="0" y="0"/>
                    <a:ext cx="1552575" cy="622378"/>
                  </a:xfrm>
                  <a:prstGeom prst="rect">
                    <a:avLst/>
                  </a:prstGeom>
                  <a:ln w="12700" cap="flat">
                    <a:noFill/>
                    <a:miter lim="400000"/>
                  </a:ln>
                  <a:effectLst/>
                </pic:spPr>
              </pic:pic>
            </a:graphicData>
          </a:graphic>
        </wp:anchor>
      </w:drawing>
    </w:r>
    <w:r>
      <mc:AlternateContent>
        <mc:Choice Requires="wps">
          <w:drawing>
            <wp:anchor distT="152400" distB="152400" distL="152400" distR="152400" simplePos="0" relativeHeight="251659264" behindDoc="1" locked="0" layoutInCell="1" allowOverlap="1">
              <wp:simplePos x="0" y="0"/>
              <wp:positionH relativeFrom="page">
                <wp:posOffset>882014</wp:posOffset>
              </wp:positionH>
              <wp:positionV relativeFrom="page">
                <wp:posOffset>6849109</wp:posOffset>
              </wp:positionV>
              <wp:extent cx="5457825" cy="0"/>
              <wp:effectExtent l="0" t="0" r="0" b="0"/>
              <wp:wrapNone/>
              <wp:docPr id="1073741830" name="officeArt object" descr="Straight Connector 3"/>
              <wp:cNvGraphicFramePr/>
              <a:graphic xmlns:a="http://schemas.openxmlformats.org/drawingml/2006/main">
                <a:graphicData uri="http://schemas.microsoft.com/office/word/2010/wordprocessingShape">
                  <wps:wsp>
                    <wps:cNvSpPr/>
                    <wps:spPr>
                      <a:xfrm>
                        <a:off x="0" y="0"/>
                        <a:ext cx="5457825" cy="0"/>
                      </a:xfrm>
                      <a:prstGeom prst="line">
                        <a:avLst/>
                      </a:prstGeom>
                      <a:noFill/>
                      <a:ln w="9525" cap="flat">
                        <a:solidFill>
                          <a:srgbClr val="000000"/>
                        </a:solidFill>
                        <a:prstDash val="solid"/>
                        <a:round/>
                      </a:ln>
                      <a:effectLst/>
                    </wps:spPr>
                    <wps:bodyPr/>
                  </wps:wsp>
                </a:graphicData>
              </a:graphic>
            </wp:anchor>
          </w:drawing>
        </mc:Choice>
        <mc:Fallback>
          <w:pict>
            <v:line id="_x0000_s1028" style="visibility:visible;position:absolute;margin-left:69.4pt;margin-top:539.3pt;width:429.8pt;height:0.0pt;z-index:-251657216;mso-position-horizontal:absolute;mso-position-horizontal-relative:page;mso-position-vertical:absolute;mso-position-vertical-relative:page;mso-wrap-distance-left:12.0pt;mso-wrap-distance-top:12.0pt;mso-wrap-distance-right:12.0pt;mso-wrap-distance-bottom:12.0pt;">
              <v:fill on="f"/>
              <v:stroke filltype="solid" color="#000000" opacity="100.0%" weight="0.8pt" dashstyle="solid" endcap="flat" joinstyle="round" linestyle="single" startarrow="none" startarrowwidth="medium" startarrowlength="medium" endarrow="none" endarrowwidth="medium" endarrowlength="medium"/>
              <w10:wrap type="none" side="bothSides" anchorx="page" anchory="page"/>
            </v:line>
          </w:pict>
        </mc:Fallback>
      </mc:AlternateContent>
    </w:r>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drawing>
        <wp:anchor distT="152400" distB="152400" distL="152400" distR="152400" simplePos="0" relativeHeight="251658240" behindDoc="1" locked="0" layoutInCell="1" allowOverlap="1">
          <wp:simplePos x="0" y="0"/>
          <wp:positionH relativeFrom="page">
            <wp:posOffset>4162425</wp:posOffset>
          </wp:positionH>
          <wp:positionV relativeFrom="page">
            <wp:posOffset>447676</wp:posOffset>
          </wp:positionV>
          <wp:extent cx="1552575" cy="622378"/>
          <wp:effectExtent l="0" t="0" r="0" b="0"/>
          <wp:wrapNone/>
          <wp:docPr id="1073741831" name="officeArt object" descr="https://upload.wikimedia.org/wikipedia/en/f/fe/TSDLogo.png"/>
          <wp:cNvGraphicFramePr/>
          <a:graphic xmlns:a="http://schemas.openxmlformats.org/drawingml/2006/main">
            <a:graphicData uri="http://schemas.openxmlformats.org/drawingml/2006/picture">
              <pic:pic xmlns:pic="http://schemas.openxmlformats.org/drawingml/2006/picture">
                <pic:nvPicPr>
                  <pic:cNvPr id="1073741831" name="https://upload.wikimedia.org/wikipedia/en/f/fe/TSDLogo.png" descr="https://upload.wikimedia.org/wikipedia/en/f/fe/TSDLogo.png"/>
                  <pic:cNvPicPr>
                    <a:picLocks noChangeAspect="1"/>
                  </pic:cNvPicPr>
                </pic:nvPicPr>
                <pic:blipFill>
                  <a:blip r:embed="rId1">
                    <a:extLst/>
                  </a:blip>
                  <a:stretch>
                    <a:fillRect/>
                  </a:stretch>
                </pic:blipFill>
                <pic:spPr>
                  <a:xfrm>
                    <a:off x="0" y="0"/>
                    <a:ext cx="1552575" cy="622378"/>
                  </a:xfrm>
                  <a:prstGeom prst="rect">
                    <a:avLst/>
                  </a:prstGeom>
                  <a:ln w="12700" cap="flat">
                    <a:noFill/>
                    <a:miter lim="400000"/>
                  </a:ln>
                  <a:effectLst/>
                </pic:spPr>
              </pic:pic>
            </a:graphicData>
          </a:graphic>
        </wp:anchor>
      </w:drawing>
    </w:r>
    <w:r>
      <mc:AlternateContent>
        <mc:Choice Requires="wps">
          <w:drawing>
            <wp:anchor distT="152400" distB="152400" distL="152400" distR="152400" simplePos="0" relativeHeight="251659264" behindDoc="1" locked="0" layoutInCell="1" allowOverlap="1">
              <wp:simplePos x="0" y="0"/>
              <wp:positionH relativeFrom="page">
                <wp:posOffset>882014</wp:posOffset>
              </wp:positionH>
              <wp:positionV relativeFrom="page">
                <wp:posOffset>6849109</wp:posOffset>
              </wp:positionV>
              <wp:extent cx="5457825" cy="0"/>
              <wp:effectExtent l="0" t="0" r="0" b="0"/>
              <wp:wrapNone/>
              <wp:docPr id="1073741832" name="officeArt object" descr="Straight Connector 3"/>
              <wp:cNvGraphicFramePr/>
              <a:graphic xmlns:a="http://schemas.openxmlformats.org/drawingml/2006/main">
                <a:graphicData uri="http://schemas.microsoft.com/office/word/2010/wordprocessingShape">
                  <wps:wsp>
                    <wps:cNvSpPr/>
                    <wps:spPr>
                      <a:xfrm>
                        <a:off x="0" y="0"/>
                        <a:ext cx="5457825" cy="0"/>
                      </a:xfrm>
                      <a:prstGeom prst="line">
                        <a:avLst/>
                      </a:prstGeom>
                      <a:noFill/>
                      <a:ln w="9525" cap="flat">
                        <a:solidFill>
                          <a:srgbClr val="000000"/>
                        </a:solidFill>
                        <a:prstDash val="solid"/>
                        <a:round/>
                      </a:ln>
                      <a:effectLst/>
                    </wps:spPr>
                    <wps:bodyPr/>
                  </wps:wsp>
                </a:graphicData>
              </a:graphic>
            </wp:anchor>
          </w:drawing>
        </mc:Choice>
        <mc:Fallback>
          <w:pict>
            <v:line id="_x0000_s1029" style="visibility:visible;position:absolute;margin-left:69.4pt;margin-top:539.3pt;width:429.8pt;height:0.0pt;z-index:-251657216;mso-position-horizontal:absolute;mso-position-horizontal-relative:page;mso-position-vertical:absolute;mso-position-vertical-relative:page;mso-wrap-distance-left:12.0pt;mso-wrap-distance-top:12.0pt;mso-wrap-distance-right:12.0pt;mso-wrap-distance-bottom:12.0pt;">
              <v:fill on="f"/>
              <v:stroke filltype="solid" color="#000000" opacity="100.0%" weight="0.8pt" dashstyle="solid" endcap="flat" joinstyle="round" linestyle="single" startarrow="none" startarrowwidth="medium" startarrowlength="medium" endarrow="none" endarrowwidth="medium" endarrowlength="medium"/>
              <w10:wrap type="none" side="bothSides" anchorx="page" anchory="page"/>
            </v:line>
          </w:pict>
        </mc:Fallback>
      </mc:AlternateContent>
    </w: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lowerRoman"/>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Roman"/>
      <w:suff w:val="tab"/>
      <w:lvlText w:val="(%2)"/>
      <w:lvlJc w:val="left"/>
      <w:pPr>
        <w:ind w:left="10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lowerRoman"/>
      <w:suff w:val="tab"/>
      <w:lvlText w:val="(%4)"/>
      <w:lvlJc w:val="left"/>
      <w:pPr>
        <w:ind w:left="25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Roman"/>
      <w:suff w:val="tab"/>
      <w:lvlText w:val="(%5)"/>
      <w:lvlJc w:val="left"/>
      <w:pPr>
        <w:ind w:left="32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lowerRoman"/>
      <w:suff w:val="tab"/>
      <w:lvlText w:val="(%7)"/>
      <w:lvlJc w:val="left"/>
      <w:pPr>
        <w:ind w:left="46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Roman"/>
      <w:suff w:val="tab"/>
      <w:lvlText w:val="(%8)"/>
      <w:lvlJc w:val="left"/>
      <w:pPr>
        <w:ind w:left="54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vertAlign w:val="baseline"/>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200" w:line="276" w:lineRule="auto"/>
      <w:ind w:left="7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numbering" w:styleId="Imported Style 1">
    <w:name w:val="Imported Style 1"/>
    <w:pPr>
      <w:numPr>
        <w:numId w:val="1"/>
      </w:numPr>
    </w:pPr>
  </w:style>
  <w:style w:type="character" w:styleId="Link">
    <w:name w:val="Link"/>
    <w:rPr>
      <w:color w:val="0000ff"/>
      <w:u w:val="single" w:color="0000ff"/>
    </w:rPr>
  </w:style>
  <w:style w:type="character" w:styleId="Hyperlink.0">
    <w:name w:val="Hyperlink.0"/>
    <w:basedOn w:val="Link"/>
    <w:next w:val="Hyperlink.0"/>
    <w:rPr>
      <w:color w:val="000000"/>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header" Target="header3.xml"/><Relationship Id="rId9" Type="http://schemas.openxmlformats.org/officeDocument/2006/relationships/footer" Target="footer3.xml"/><Relationship Id="rId10" Type="http://schemas.openxmlformats.org/officeDocument/2006/relationships/header" Target="header4.xml"/><Relationship Id="rId11" Type="http://schemas.openxmlformats.org/officeDocument/2006/relationships/numbering" Target="numbering.xml"/><Relationship Id="rId12" Type="http://schemas.openxmlformats.org/officeDocument/2006/relationships/theme" Target="theme/theme1.xml"/></Relationships>

</file>

<file path=word/_rels/header1.xml.rels><?xml version="1.0" encoding="UTF-8"?>
<Relationships xmlns="http://schemas.openxmlformats.org/package/2006/relationships"><Relationship Id="rId1" Type="http://schemas.openxmlformats.org/officeDocument/2006/relationships/image" Target="media/image1.png"/></Relationships>

</file>

<file path=word/_rels/header2.xml.rels><?xml version="1.0" encoding="UTF-8"?>
<Relationships xmlns="http://schemas.openxmlformats.org/package/2006/relationships"><Relationship Id="rId1" Type="http://schemas.openxmlformats.org/officeDocument/2006/relationships/image" Target="media/image1.png"/></Relationships>

</file>

<file path=word/_rels/header3.xml.rels><?xml version="1.0" encoding="UTF-8"?>
<Relationships xmlns="http://schemas.openxmlformats.org/package/2006/relationships"><Relationship Id="rId1" Type="http://schemas.openxmlformats.org/officeDocument/2006/relationships/image" Target="media/image2.png"/></Relationships>

</file>

<file path=word/_rels/header4.xml.rels><?xml version="1.0" encoding="UTF-8"?>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