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999624" w14:textId="77777777" w:rsidR="00B4188F" w:rsidRPr="00B4188F" w:rsidRDefault="00B4188F" w:rsidP="00B4188F">
      <w:pPr>
        <w:rPr>
          <w:rFonts w:ascii="Bahnschrift Light" w:hAnsi="Bahnschrift Light"/>
          <w:color w:val="FFC000"/>
          <w:sz w:val="36"/>
          <w:szCs w:val="36"/>
        </w:rPr>
      </w:pPr>
      <w:r w:rsidRPr="00B4188F">
        <w:rPr>
          <w:rFonts w:ascii="Bahnschrift Light" w:hAnsi="Bahnschrift Light"/>
          <w:color w:val="FFC000"/>
          <w:sz w:val="36"/>
          <w:szCs w:val="36"/>
        </w:rPr>
        <w:t>Student Name: Alexandru Taran</w:t>
      </w:r>
    </w:p>
    <w:p w14:paraId="6721D7AA" w14:textId="1DB9619E" w:rsidR="00B4188F" w:rsidRPr="00B4188F" w:rsidRDefault="00B4188F" w:rsidP="00B4188F">
      <w:pPr>
        <w:rPr>
          <w:rFonts w:ascii="Bahnschrift Light" w:hAnsi="Bahnschrift Light"/>
          <w:color w:val="FFC000"/>
          <w:sz w:val="36"/>
          <w:szCs w:val="36"/>
        </w:rPr>
      </w:pPr>
      <w:r w:rsidRPr="00B4188F">
        <w:rPr>
          <w:rFonts w:ascii="Bahnschrift Light" w:hAnsi="Bahnschrift Light"/>
          <w:color w:val="FFC000"/>
          <w:sz w:val="36"/>
          <w:szCs w:val="36"/>
        </w:rPr>
        <w:t>Student Number: [</w:t>
      </w:r>
      <w:r>
        <w:rPr>
          <w:rFonts w:ascii="Bahnschrift Light" w:hAnsi="Bahnschrift Light"/>
          <w:color w:val="FFC000"/>
          <w:sz w:val="36"/>
          <w:szCs w:val="36"/>
        </w:rPr>
        <w:t>2427100</w:t>
      </w:r>
      <w:r w:rsidRPr="00B4188F">
        <w:rPr>
          <w:rFonts w:ascii="Bahnschrift Light" w:hAnsi="Bahnschrift Light"/>
          <w:color w:val="FFC000"/>
          <w:sz w:val="36"/>
          <w:szCs w:val="36"/>
        </w:rPr>
        <w:t>]</w:t>
      </w:r>
    </w:p>
    <w:p w14:paraId="0A520B5B" w14:textId="68B1A458" w:rsidR="00B4188F" w:rsidRPr="00B4188F" w:rsidRDefault="00B4188F" w:rsidP="00B4188F">
      <w:pPr>
        <w:rPr>
          <w:rFonts w:ascii="Bahnschrift Light" w:hAnsi="Bahnschrift Light"/>
          <w:color w:val="FFC000"/>
          <w:sz w:val="36"/>
          <w:szCs w:val="36"/>
        </w:rPr>
      </w:pPr>
      <w:r w:rsidRPr="00B4188F">
        <w:rPr>
          <w:rFonts w:ascii="Bahnschrift Light" w:hAnsi="Bahnschrift Light"/>
          <w:color w:val="FFC000"/>
          <w:sz w:val="36"/>
          <w:szCs w:val="36"/>
        </w:rPr>
        <w:t>Module Code &amp; Title: [</w:t>
      </w:r>
      <w:r>
        <w:rPr>
          <w:rFonts w:ascii="Bahnschrift Light" w:hAnsi="Bahnschrift Light"/>
          <w:color w:val="FFC000"/>
          <w:sz w:val="36"/>
          <w:szCs w:val="36"/>
        </w:rPr>
        <w:t>Developing and Managing individuals and Teams LCLM5002</w:t>
      </w:r>
      <w:r w:rsidRPr="00B4188F">
        <w:rPr>
          <w:rFonts w:ascii="Bahnschrift Light" w:hAnsi="Bahnschrift Light"/>
          <w:color w:val="FFC000"/>
          <w:sz w:val="36"/>
          <w:szCs w:val="36"/>
        </w:rPr>
        <w:t>]</w:t>
      </w:r>
    </w:p>
    <w:p w14:paraId="08346D06" w14:textId="088A5C95" w:rsidR="0003215F" w:rsidRDefault="00B4188F" w:rsidP="00B4188F">
      <w:pPr>
        <w:rPr>
          <w:rFonts w:ascii="Bahnschrift Light" w:hAnsi="Bahnschrift Light"/>
          <w:color w:val="FFC000"/>
          <w:sz w:val="36"/>
          <w:szCs w:val="36"/>
        </w:rPr>
      </w:pPr>
      <w:r w:rsidRPr="00B4188F">
        <w:rPr>
          <w:rFonts w:ascii="Bahnschrift Light" w:hAnsi="Bahnschrift Light"/>
          <w:color w:val="FFC000"/>
          <w:sz w:val="36"/>
          <w:szCs w:val="36"/>
        </w:rPr>
        <w:t>Assignment Title: HR Challenges and Contemporary Practices in Balfour Beatty</w:t>
      </w:r>
    </w:p>
    <w:p w14:paraId="6DDC3847" w14:textId="77777777" w:rsidR="0003215F" w:rsidRDefault="0003215F" w:rsidP="00E74C01">
      <w:pPr>
        <w:rPr>
          <w:rFonts w:ascii="Bahnschrift Light" w:hAnsi="Bahnschrift Light"/>
          <w:color w:val="FFC000"/>
          <w:sz w:val="36"/>
          <w:szCs w:val="36"/>
        </w:rPr>
      </w:pPr>
    </w:p>
    <w:p w14:paraId="27D04B9D" w14:textId="5E473C2B" w:rsidR="0003215F" w:rsidRDefault="00E74C01" w:rsidP="00E74C01">
      <w:pPr>
        <w:rPr>
          <w:rFonts w:ascii="Bahnschrift Light" w:hAnsi="Bahnschrift Light"/>
          <w:color w:val="FFC000"/>
          <w:sz w:val="36"/>
          <w:szCs w:val="36"/>
        </w:rPr>
      </w:pPr>
      <w:r w:rsidRPr="0003215F">
        <w:rPr>
          <w:rFonts w:ascii="Bahnschrift Light" w:hAnsi="Bahnschrift Light"/>
          <w:color w:val="FFC000"/>
          <w:sz w:val="36"/>
          <w:szCs w:val="36"/>
        </w:rPr>
        <w:t xml:space="preserve"> </w:t>
      </w:r>
      <w:r w:rsidR="0003215F">
        <w:rPr>
          <w:rFonts w:ascii="Bahnschrift Light" w:hAnsi="Bahnschrift Light"/>
          <w:noProof/>
          <w:color w:val="FFC000"/>
          <w:sz w:val="36"/>
          <w:szCs w:val="36"/>
        </w:rPr>
        <w:drawing>
          <wp:inline distT="0" distB="0" distL="0" distR="0" wp14:anchorId="3BFB25D5" wp14:editId="3467E2E5">
            <wp:extent cx="5760732" cy="954026"/>
            <wp:effectExtent l="0" t="0" r="0" b="0"/>
            <wp:docPr id="1"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black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60732" cy="954026"/>
                    </a:xfrm>
                    <a:prstGeom prst="rect">
                      <a:avLst/>
                    </a:prstGeom>
                  </pic:spPr>
                </pic:pic>
              </a:graphicData>
            </a:graphic>
          </wp:inline>
        </w:drawing>
      </w:r>
    </w:p>
    <w:p w14:paraId="5C9AA587" w14:textId="77777777" w:rsidR="0003215F" w:rsidRDefault="0003215F" w:rsidP="00E74C01">
      <w:pPr>
        <w:rPr>
          <w:rFonts w:ascii="Bahnschrift Light" w:hAnsi="Bahnschrift Light"/>
          <w:color w:val="FFC000"/>
          <w:sz w:val="36"/>
          <w:szCs w:val="36"/>
        </w:rPr>
      </w:pPr>
    </w:p>
    <w:p w14:paraId="0C5D6C29" w14:textId="7CF1A02C" w:rsidR="00E74C01" w:rsidRPr="0003215F" w:rsidRDefault="00E74C01" w:rsidP="00E74C01">
      <w:pPr>
        <w:rPr>
          <w:rFonts w:ascii="Bahnschrift Light" w:hAnsi="Bahnschrift Light"/>
          <w:color w:val="FFC000"/>
          <w:sz w:val="36"/>
          <w:szCs w:val="36"/>
        </w:rPr>
      </w:pPr>
      <w:r w:rsidRPr="0003215F">
        <w:rPr>
          <w:rFonts w:ascii="Bahnschrift Light" w:hAnsi="Bahnschrift Light"/>
          <w:color w:val="FFC000"/>
          <w:sz w:val="36"/>
          <w:szCs w:val="36"/>
        </w:rPr>
        <w:t xml:space="preserve">1. Introduction </w:t>
      </w:r>
    </w:p>
    <w:p w14:paraId="770B1365"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Balfour Beatty plc is a leading UK-based international infrastructure company </w:t>
      </w:r>
      <w:proofErr w:type="spellStart"/>
      <w:r w:rsidRPr="0003215F">
        <w:rPr>
          <w:rFonts w:ascii="Bahnschrift Light" w:hAnsi="Bahnschrift Light"/>
          <w:color w:val="0A2F41" w:themeColor="accent1" w:themeShade="80"/>
          <w:sz w:val="24"/>
          <w:szCs w:val="24"/>
        </w:rPr>
        <w:t>specialising</w:t>
      </w:r>
      <w:proofErr w:type="spellEnd"/>
      <w:r w:rsidRPr="0003215F">
        <w:rPr>
          <w:rFonts w:ascii="Bahnschrift Light" w:hAnsi="Bahnschrift Light"/>
          <w:color w:val="0A2F41" w:themeColor="accent1" w:themeShade="80"/>
          <w:sz w:val="24"/>
          <w:szCs w:val="24"/>
        </w:rPr>
        <w:t xml:space="preserve"> in construction, engineering, and support services. With over 27,000 employees, the company delivers major projects such as HS2, Sizewell C nuclear station, Net Zero Teesside, and various transport and utility schemes. As an HR practitioner, this report analyses three critical challenges: meeting technological advancement, talent acquisition and retention, and advancing Diversity, Equity and Inclusion (DEI). These issues are amplified in the UK construction sector by chronic skills shortages, an ageing workforce, rapid </w:t>
      </w:r>
      <w:proofErr w:type="spellStart"/>
      <w:r w:rsidRPr="0003215F">
        <w:rPr>
          <w:rFonts w:ascii="Bahnschrift Light" w:hAnsi="Bahnschrift Light"/>
          <w:color w:val="0A2F41" w:themeColor="accent1" w:themeShade="80"/>
          <w:sz w:val="24"/>
          <w:szCs w:val="24"/>
        </w:rPr>
        <w:t>digitalisation</w:t>
      </w:r>
      <w:proofErr w:type="spellEnd"/>
      <w:r w:rsidRPr="0003215F">
        <w:rPr>
          <w:rFonts w:ascii="Bahnschrift Light" w:hAnsi="Bahnschrift Light"/>
          <w:color w:val="0A2F41" w:themeColor="accent1" w:themeShade="80"/>
          <w:sz w:val="24"/>
          <w:szCs w:val="24"/>
        </w:rPr>
        <w:t xml:space="preserve">, regulatory pressures, and societal demands for inclusive workplaces (Balfour Beatty, 2025a; CIPD, 2024; World Economic Forum, 2025). </w:t>
      </w:r>
    </w:p>
    <w:p w14:paraId="7EF3F3DC"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The report explains the specific factors at Balfour Beatty, evaluates contemporary HR practices, critically assesses how departmental managers can implement them urgently, and offers conclusions with recommendations. Analysis draws on the company’s Building New Futures Sustainability Strategy (updated 2025), Value Everyone UK D&amp;I Action Plan 2023-2025, digital investments (including the £7.2 million Microsoft 365 Copilot rollout), recent annual reports, and peer-reviewed literature (Balfour Beatty, 2025b; Rana et al., 2021; Suresh et al., 2024). </w:t>
      </w:r>
    </w:p>
    <w:p w14:paraId="6FDF4DF5"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lastRenderedPageBreak/>
        <w:t>This structured approach demonstrates strategic HRM application in a real-world, project-based environment.</w:t>
      </w:r>
    </w:p>
    <w:p w14:paraId="64BEA6C3" w14:textId="7F0F66CA" w:rsidR="00E74C01" w:rsidRPr="0003215F" w:rsidRDefault="00E74C01" w:rsidP="00E74C01">
      <w:pPr>
        <w:rPr>
          <w:rFonts w:ascii="Bahnschrift Light" w:hAnsi="Bahnschrift Light"/>
          <w:color w:val="FFC000"/>
          <w:sz w:val="36"/>
          <w:szCs w:val="36"/>
        </w:rPr>
      </w:pPr>
      <w:r w:rsidRPr="0003215F">
        <w:rPr>
          <w:rFonts w:ascii="Bahnschrift Light" w:hAnsi="Bahnschrift Light"/>
          <w:color w:val="FFC000"/>
          <w:sz w:val="36"/>
          <w:szCs w:val="36"/>
        </w:rPr>
        <w:t xml:space="preserve">2. Explanation of Specific Factors </w:t>
      </w:r>
    </w:p>
    <w:p w14:paraId="0110834D"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Balfour Beatty operates in a complex, project-based industry influenced by UK net-zero goals, infrastructure investment, tight margins, and competition. The three HR factors are interlinked and impact productivity, innovation, and sustainability.</w:t>
      </w:r>
    </w:p>
    <w:p w14:paraId="7189C922"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Meeting Technological Advancement</w:t>
      </w:r>
    </w:p>
    <w:p w14:paraId="4DF604FA"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Construction has historically lagged in productivity. Balfour Beatty adopted a “digital-first” mindset, establishing a secure data lake in 2018. Key investments include BIM, VR/AR </w:t>
      </w:r>
      <w:proofErr w:type="spellStart"/>
      <w:r w:rsidRPr="0003215F">
        <w:rPr>
          <w:rFonts w:ascii="Bahnschrift Light" w:hAnsi="Bahnschrift Light"/>
          <w:color w:val="0A2F41" w:themeColor="accent1" w:themeShade="80"/>
          <w:sz w:val="24"/>
          <w:szCs w:val="24"/>
        </w:rPr>
        <w:t>visualisation</w:t>
      </w:r>
      <w:proofErr w:type="spellEnd"/>
      <w:r w:rsidRPr="0003215F">
        <w:rPr>
          <w:rFonts w:ascii="Bahnschrift Light" w:hAnsi="Bahnschrift Light"/>
          <w:color w:val="0A2F41" w:themeColor="accent1" w:themeShade="80"/>
          <w:sz w:val="24"/>
          <w:szCs w:val="24"/>
        </w:rPr>
        <w:t xml:space="preserve">, OpenSpace reality capture, AI safety cameras, predictive analytics, and the major 2025 Microsoft 365 Copilot rollout — one of the largest AI deployments in UK construction (Balfour Beatty, 2025b). </w:t>
      </w:r>
    </w:p>
    <w:p w14:paraId="7229D84A"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Specific factors include:</w:t>
      </w:r>
    </w:p>
    <w:p w14:paraId="4A5B772F"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Digital skills gap — many site operatives and managers lack proficiency in AI, data analytics, and digital tools, causing </w:t>
      </w:r>
      <w:proofErr w:type="spellStart"/>
      <w:r w:rsidRPr="0003215F">
        <w:rPr>
          <w:rFonts w:ascii="Bahnschrift Light" w:hAnsi="Bahnschrift Light"/>
          <w:color w:val="0A2F41" w:themeColor="accent1" w:themeShade="80"/>
          <w:sz w:val="24"/>
          <w:szCs w:val="24"/>
        </w:rPr>
        <w:t>under-utilisation</w:t>
      </w:r>
      <w:proofErr w:type="spellEnd"/>
      <w:r w:rsidRPr="0003215F">
        <w:rPr>
          <w:rFonts w:ascii="Bahnschrift Light" w:hAnsi="Bahnschrift Light"/>
          <w:color w:val="0A2F41" w:themeColor="accent1" w:themeShade="80"/>
          <w:sz w:val="24"/>
          <w:szCs w:val="24"/>
        </w:rPr>
        <w:t xml:space="preserve"> and resistance.</w:t>
      </w:r>
    </w:p>
    <w:p w14:paraId="31F819EC"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Project-based workforce structure — frequent team changes hinder consistent training and knowledge retention.</w:t>
      </w:r>
    </w:p>
    <w:p w14:paraId="16073007"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Pressure for rapid ROI alongside CDM 2015 safety compliance and carbon reduction targets.</w:t>
      </w:r>
    </w:p>
    <w:p w14:paraId="2CCA4659"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Cybersecurity risks and change management challenges, especially for older workers fearing job displacement (Zhang et al., 2023; Maliha et al., 2025). </w:t>
      </w:r>
    </w:p>
    <w:p w14:paraId="66F99AF2"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Without action, the company risks missing productivity gains and competitive positioning.</w:t>
      </w:r>
    </w:p>
    <w:p w14:paraId="10BA3538"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Talent Acquisition and Retention</w:t>
      </w:r>
    </w:p>
    <w:p w14:paraId="5298701F"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The UK construction sector faces severe skills shortages due to Brexit, retiring workers, and competition from other industries. Balfour Beatty’s 2025 Annual Report identifies the widening skills gap as a strategic risk amid high infrastructure demand (Balfour Beatty, 2025a). </w:t>
      </w:r>
    </w:p>
    <w:p w14:paraId="3D1239BE"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Key factors include:</w:t>
      </w:r>
    </w:p>
    <w:p w14:paraId="7F3DF7C0"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Negative industry perception as physically demanding, cyclical, and male-dominated, deterring young and diverse talent.</w:t>
      </w:r>
    </w:p>
    <w:p w14:paraId="075676C4"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High turnover from long hours, site mobility, project endings, and poor work-life balance.</w:t>
      </w:r>
    </w:p>
    <w:p w14:paraId="1B16F3FA"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lastRenderedPageBreak/>
        <w:t>•  Demand for specialist skills in digital construction, green technologies, and STEM.</w:t>
      </w:r>
    </w:p>
    <w:p w14:paraId="5A9A8F31"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Erosion of psychological contract — employees expect development, wellbeing, and flexibility (Nazir, 2025; </w:t>
      </w:r>
      <w:proofErr w:type="spellStart"/>
      <w:r w:rsidRPr="0003215F">
        <w:rPr>
          <w:rFonts w:ascii="Bahnschrift Light" w:hAnsi="Bahnschrift Light"/>
          <w:color w:val="0A2F41" w:themeColor="accent1" w:themeShade="80"/>
          <w:sz w:val="24"/>
          <w:szCs w:val="24"/>
        </w:rPr>
        <w:t>Presbitero</w:t>
      </w:r>
      <w:proofErr w:type="spellEnd"/>
      <w:r w:rsidRPr="0003215F">
        <w:rPr>
          <w:rFonts w:ascii="Bahnschrift Light" w:hAnsi="Bahnschrift Light"/>
          <w:color w:val="0A2F41" w:themeColor="accent1" w:themeShade="80"/>
          <w:sz w:val="24"/>
          <w:szCs w:val="24"/>
        </w:rPr>
        <w:t xml:space="preserve">, 2025; CIPD, 2024). </w:t>
      </w:r>
    </w:p>
    <w:p w14:paraId="76742EAD"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The company exceeds </w:t>
      </w:r>
      <w:proofErr w:type="gramStart"/>
      <w:r w:rsidRPr="0003215F">
        <w:rPr>
          <w:rFonts w:ascii="Bahnschrift Light" w:hAnsi="Bahnschrift Light"/>
          <w:color w:val="0A2F41" w:themeColor="accent1" w:themeShade="80"/>
          <w:sz w:val="24"/>
          <w:szCs w:val="24"/>
        </w:rPr>
        <w:t>The</w:t>
      </w:r>
      <w:proofErr w:type="gramEnd"/>
      <w:r w:rsidRPr="0003215F">
        <w:rPr>
          <w:rFonts w:ascii="Bahnschrift Light" w:hAnsi="Bahnschrift Light"/>
          <w:color w:val="0A2F41" w:themeColor="accent1" w:themeShade="80"/>
          <w:sz w:val="24"/>
          <w:szCs w:val="24"/>
        </w:rPr>
        <w:t xml:space="preserve"> 5% Club target with strong earn-and-learn </w:t>
      </w:r>
      <w:proofErr w:type="spellStart"/>
      <w:r w:rsidRPr="0003215F">
        <w:rPr>
          <w:rFonts w:ascii="Bahnschrift Light" w:hAnsi="Bahnschrift Light"/>
          <w:color w:val="0A2F41" w:themeColor="accent1" w:themeShade="80"/>
          <w:sz w:val="24"/>
          <w:szCs w:val="24"/>
        </w:rPr>
        <w:t>programmes</w:t>
      </w:r>
      <w:proofErr w:type="spellEnd"/>
      <w:r w:rsidRPr="0003215F">
        <w:rPr>
          <w:rFonts w:ascii="Bahnschrift Light" w:hAnsi="Bahnschrift Light"/>
          <w:color w:val="0A2F41" w:themeColor="accent1" w:themeShade="80"/>
          <w:sz w:val="24"/>
          <w:szCs w:val="24"/>
        </w:rPr>
        <w:t>, yet retention remains challenging.</w:t>
      </w:r>
    </w:p>
    <w:p w14:paraId="622FA7EB"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Diversity, Equity and Inclusion (DEI)</w:t>
      </w:r>
    </w:p>
    <w:p w14:paraId="5949D2FD"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Construction is one of the least diverse UK sectors. Balfour Beatty’s Value Everyone strategy sets 2030 targets under Building New Futures: 50% increase in female colleagues and 60% increase in Black, Asian, and Minority Ethnic representation (2021 baseline).</w:t>
      </w:r>
    </w:p>
    <w:p w14:paraId="00300DFA" w14:textId="55CCAF85"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In 2024, 26% of UK early careers hires were female and over 20% from minority ethnic backgrounds (Balfour Beatty, 2025b). </w:t>
      </w:r>
    </w:p>
    <w:p w14:paraId="4E94F009"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Persistent factors:</w:t>
      </w:r>
    </w:p>
    <w:p w14:paraId="42C9564C"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Unconscious bias in recruitment and promotion.</w:t>
      </w:r>
    </w:p>
    <w:p w14:paraId="41007F58"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Exclusionary site cultures (facilities, language, inflexible patterns).</w:t>
      </w:r>
    </w:p>
    <w:p w14:paraId="4B2235B9"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Under-representation in senior and technical roles.</w:t>
      </w:r>
    </w:p>
    <w:p w14:paraId="7A73E37A"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Measurement difficulties in a </w:t>
      </w:r>
      <w:proofErr w:type="spellStart"/>
      <w:r w:rsidRPr="0003215F">
        <w:rPr>
          <w:rFonts w:ascii="Bahnschrift Light" w:hAnsi="Bahnschrift Light"/>
          <w:color w:val="0A2F41" w:themeColor="accent1" w:themeShade="80"/>
          <w:sz w:val="24"/>
          <w:szCs w:val="24"/>
        </w:rPr>
        <w:t>decentralised</w:t>
      </w:r>
      <w:proofErr w:type="spellEnd"/>
      <w:r w:rsidRPr="0003215F">
        <w:rPr>
          <w:rFonts w:ascii="Bahnschrift Light" w:hAnsi="Bahnschrift Light"/>
          <w:color w:val="0A2F41" w:themeColor="accent1" w:themeShade="80"/>
          <w:sz w:val="24"/>
          <w:szCs w:val="24"/>
        </w:rPr>
        <w:t xml:space="preserve"> structure (Suresh et al., 2024; Zhao, 2025). </w:t>
      </w:r>
    </w:p>
    <w:p w14:paraId="4AEAC764"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Initiatives include Breaking Barriers Pathways, Evolve </w:t>
      </w:r>
      <w:proofErr w:type="spellStart"/>
      <w:r w:rsidRPr="0003215F">
        <w:rPr>
          <w:rFonts w:ascii="Bahnschrift Light" w:hAnsi="Bahnschrift Light"/>
          <w:color w:val="0A2F41" w:themeColor="accent1" w:themeShade="80"/>
          <w:sz w:val="24"/>
          <w:szCs w:val="24"/>
        </w:rPr>
        <w:t>programme</w:t>
      </w:r>
      <w:proofErr w:type="spellEnd"/>
      <w:r w:rsidRPr="0003215F">
        <w:rPr>
          <w:rFonts w:ascii="Bahnschrift Light" w:hAnsi="Bahnschrift Light"/>
          <w:color w:val="0A2F41" w:themeColor="accent1" w:themeShade="80"/>
          <w:sz w:val="24"/>
          <w:szCs w:val="24"/>
        </w:rPr>
        <w:t>, Right to Respect, affinity networks, and reverse mentoring. These three areas interconnect: technology adoption requires skilled diverse talent, while DEI boosts retention and innovation.</w:t>
      </w:r>
    </w:p>
    <w:p w14:paraId="2BF01BC6" w14:textId="511B6FB3" w:rsidR="00E74C01" w:rsidRPr="0003215F" w:rsidRDefault="00E74C01" w:rsidP="00E74C01">
      <w:pPr>
        <w:rPr>
          <w:rFonts w:ascii="Bahnschrift Light" w:hAnsi="Bahnschrift Light"/>
          <w:color w:val="FFC000"/>
          <w:sz w:val="40"/>
          <w:szCs w:val="40"/>
        </w:rPr>
      </w:pPr>
      <w:r w:rsidRPr="0003215F">
        <w:rPr>
          <w:rFonts w:ascii="Bahnschrift Light" w:hAnsi="Bahnschrift Light"/>
          <w:color w:val="FFC000"/>
          <w:sz w:val="40"/>
          <w:szCs w:val="40"/>
        </w:rPr>
        <w:t xml:space="preserve">3. Evaluation of Different Contemporary HR Practices </w:t>
      </w:r>
    </w:p>
    <w:p w14:paraId="3566499B"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Contemporary HR practices are strategic, data-driven, and inclusive. Balfour Beatty can adapt the following:</w:t>
      </w:r>
    </w:p>
    <w:p w14:paraId="30228E82"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For Technological Advancement</w:t>
      </w:r>
    </w:p>
    <w:p w14:paraId="38C1EAD7"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Digital HRM integrated with the data lake for real-time skills-gap analysis and </w:t>
      </w:r>
      <w:proofErr w:type="spellStart"/>
      <w:r w:rsidRPr="0003215F">
        <w:rPr>
          <w:rFonts w:ascii="Bahnschrift Light" w:hAnsi="Bahnschrift Light"/>
          <w:color w:val="0A2F41" w:themeColor="accent1" w:themeShade="80"/>
          <w:sz w:val="24"/>
          <w:szCs w:val="24"/>
        </w:rPr>
        <w:t>personalised</w:t>
      </w:r>
      <w:proofErr w:type="spellEnd"/>
      <w:r w:rsidRPr="0003215F">
        <w:rPr>
          <w:rFonts w:ascii="Bahnschrift Light" w:hAnsi="Bahnschrift Light"/>
          <w:color w:val="0A2F41" w:themeColor="accent1" w:themeShade="80"/>
          <w:sz w:val="24"/>
          <w:szCs w:val="24"/>
        </w:rPr>
        <w:t xml:space="preserve"> learning (micro-credentials, VR simulations).</w:t>
      </w:r>
    </w:p>
    <w:p w14:paraId="025B1D3D"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Agile workforce planning with university partnerships.</w:t>
      </w:r>
    </w:p>
    <w:p w14:paraId="7C7D6C8C"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AI-supported change management and predictive analytics.</w:t>
      </w:r>
    </w:p>
    <w:p w14:paraId="72BA2A53"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lastRenderedPageBreak/>
        <w:t xml:space="preserve">Strengths include productivity and safety gains (Rana et al., 2021). Limitations: high costs, digital divide, and privacy issues (Zhang et al., 2023; Deloitte, 2025). </w:t>
      </w:r>
    </w:p>
    <w:p w14:paraId="6AF69F78"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For Talent Acquisition and Retention</w:t>
      </w:r>
    </w:p>
    <w:p w14:paraId="1250BF66"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Skills-based hiring and proactive sourcing (e.g., </w:t>
      </w:r>
      <w:proofErr w:type="spellStart"/>
      <w:r w:rsidRPr="0003215F">
        <w:rPr>
          <w:rFonts w:ascii="Bahnschrift Light" w:hAnsi="Bahnschrift Light"/>
          <w:color w:val="0A2F41" w:themeColor="accent1" w:themeShade="80"/>
          <w:sz w:val="24"/>
          <w:szCs w:val="24"/>
        </w:rPr>
        <w:t>Beamery</w:t>
      </w:r>
      <w:proofErr w:type="spellEnd"/>
      <w:r w:rsidRPr="0003215F">
        <w:rPr>
          <w:rFonts w:ascii="Bahnschrift Light" w:hAnsi="Bahnschrift Light"/>
          <w:color w:val="0A2F41" w:themeColor="accent1" w:themeShade="80"/>
          <w:sz w:val="24"/>
          <w:szCs w:val="24"/>
        </w:rPr>
        <w:t xml:space="preserve"> platform).</w:t>
      </w:r>
    </w:p>
    <w:p w14:paraId="3ECB68D2"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  Total rewards, career lattices, wellbeing </w:t>
      </w:r>
      <w:proofErr w:type="spellStart"/>
      <w:r w:rsidRPr="0003215F">
        <w:rPr>
          <w:rFonts w:ascii="Bahnschrift Light" w:hAnsi="Bahnschrift Light"/>
          <w:color w:val="0A2F41" w:themeColor="accent1" w:themeShade="80"/>
          <w:sz w:val="24"/>
          <w:szCs w:val="24"/>
        </w:rPr>
        <w:t>programmes</w:t>
      </w:r>
      <w:proofErr w:type="spellEnd"/>
      <w:r w:rsidRPr="0003215F">
        <w:rPr>
          <w:rFonts w:ascii="Bahnschrift Light" w:hAnsi="Bahnschrift Light"/>
          <w:color w:val="0A2F41" w:themeColor="accent1" w:themeShade="80"/>
          <w:sz w:val="24"/>
          <w:szCs w:val="24"/>
        </w:rPr>
        <w:t>, stay interviews, and flexible models where feasible.</w:t>
      </w:r>
    </w:p>
    <w:p w14:paraId="1C81260B"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These enhance engagement in high-pressure environments (CIPD, 2024; Nazir, 2025). </w:t>
      </w:r>
    </w:p>
    <w:p w14:paraId="219D4119"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For DEI</w:t>
      </w:r>
    </w:p>
    <w:p w14:paraId="28D73267"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Blind recruitment, AI bias-reduction tools, metrics-linked KPIs, targeted pipelines, and supplier diversity.</w:t>
      </w:r>
    </w:p>
    <w:p w14:paraId="62B5567C" w14:textId="77777777" w:rsidR="00E74C01" w:rsidRPr="0003215F"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Cultural interventions via training, networks, and mentoring.</w:t>
      </w:r>
    </w:p>
    <w:p w14:paraId="61C3AE4F" w14:textId="77777777" w:rsidR="00E74C01" w:rsidRDefault="00E74C01" w:rsidP="00E74C01">
      <w:pPr>
        <w:rPr>
          <w:rFonts w:ascii="Bahnschrift Light" w:hAnsi="Bahnschrift Light"/>
          <w:color w:val="0A2F41" w:themeColor="accent1" w:themeShade="80"/>
          <w:sz w:val="24"/>
          <w:szCs w:val="24"/>
        </w:rPr>
      </w:pPr>
      <w:r w:rsidRPr="0003215F">
        <w:rPr>
          <w:rFonts w:ascii="Bahnschrift Light" w:hAnsi="Bahnschrift Light"/>
          <w:color w:val="0A2F41" w:themeColor="accent1" w:themeShade="80"/>
          <w:sz w:val="24"/>
          <w:szCs w:val="24"/>
        </w:rPr>
        <w:t xml:space="preserve">Evidence shows improved attraction, retention, and innovation in construction (Suresh et al., 2024; Zhao, 2025). </w:t>
      </w:r>
    </w:p>
    <w:p w14:paraId="4DA0635A" w14:textId="77777777" w:rsidR="0003215F" w:rsidRPr="0003215F" w:rsidRDefault="0003215F" w:rsidP="0003215F">
      <w:pPr>
        <w:rPr>
          <w:rFonts w:ascii="Bahnschrift Light" w:hAnsi="Bahnschrift Light"/>
          <w:color w:val="0A2F41" w:themeColor="accent1" w:themeShade="80"/>
        </w:rPr>
      </w:pPr>
      <w:r w:rsidRPr="0003215F">
        <w:rPr>
          <w:rFonts w:ascii="Bahnschrift Light" w:hAnsi="Bahnschrift Light"/>
          <w:color w:val="0A2F41" w:themeColor="accent1" w:themeShade="80"/>
        </w:rPr>
        <w:t>Table 1: Comparative Evaluation of Contemporary HR Practices at Balfour Beatty</w:t>
      </w:r>
    </w:p>
    <w:p w14:paraId="1B209FD5" w14:textId="77777777" w:rsidR="0003215F" w:rsidRPr="0003215F" w:rsidRDefault="0003215F" w:rsidP="00E74C01">
      <w:pPr>
        <w:rPr>
          <w:rFonts w:ascii="Bahnschrift Light" w:hAnsi="Bahnschrift Light"/>
          <w:color w:val="0A2F41" w:themeColor="accent1" w:themeShade="80"/>
          <w:sz w:val="24"/>
          <w:szCs w:val="24"/>
        </w:rPr>
      </w:pPr>
    </w:p>
    <w:tbl>
      <w:tblPr>
        <w:tblStyle w:val="GridTable4-Accent5"/>
        <w:tblpPr w:leftFromText="180" w:rightFromText="180" w:vertAnchor="text" w:horzAnchor="margin" w:tblpXSpec="center" w:tblpY="-4681"/>
        <w:tblW w:w="10557" w:type="dxa"/>
        <w:tblLook w:val="04A0" w:firstRow="1" w:lastRow="0" w:firstColumn="1" w:lastColumn="0" w:noHBand="0" w:noVBand="1"/>
      </w:tblPr>
      <w:tblGrid>
        <w:gridCol w:w="1980"/>
        <w:gridCol w:w="1984"/>
        <w:gridCol w:w="1985"/>
        <w:gridCol w:w="2268"/>
        <w:gridCol w:w="2332"/>
        <w:gridCol w:w="8"/>
      </w:tblGrid>
      <w:tr w:rsidR="0003215F" w:rsidRPr="00465B32" w14:paraId="7DD37828" w14:textId="77777777" w:rsidTr="0003215F">
        <w:trPr>
          <w:gridAfter w:val="1"/>
          <w:cnfStyle w:val="100000000000" w:firstRow="1" w:lastRow="0" w:firstColumn="0" w:lastColumn="0" w:oddVBand="0" w:evenVBand="0" w:oddHBand="0" w:evenHBand="0" w:firstRowFirstColumn="0" w:firstRowLastColumn="0" w:lastRowFirstColumn="0" w:lastRowLastColumn="0"/>
          <w:wAfter w:w="8" w:type="dxa"/>
          <w:trHeight w:val="416"/>
        </w:trPr>
        <w:tc>
          <w:tcPr>
            <w:cnfStyle w:val="001000000000" w:firstRow="0" w:lastRow="0" w:firstColumn="1" w:lastColumn="0" w:oddVBand="0" w:evenVBand="0" w:oddHBand="0" w:evenHBand="0" w:firstRowFirstColumn="0" w:firstRowLastColumn="0" w:lastRowFirstColumn="0" w:lastRowLastColumn="0"/>
            <w:tcW w:w="1980" w:type="dxa"/>
          </w:tcPr>
          <w:p w14:paraId="31FA3882" w14:textId="77777777" w:rsidR="0003215F" w:rsidRPr="00465B32" w:rsidRDefault="0003215F" w:rsidP="0003215F">
            <w:pPr>
              <w:rPr>
                <w:color w:val="000000" w:themeColor="text1"/>
                <w:sz w:val="24"/>
                <w:szCs w:val="24"/>
              </w:rPr>
            </w:pPr>
            <w:r w:rsidRPr="00465B32">
              <w:rPr>
                <w:color w:val="000000" w:themeColor="text1"/>
                <w:sz w:val="24"/>
                <w:szCs w:val="24"/>
              </w:rPr>
              <w:t>Factor</w:t>
            </w:r>
          </w:p>
        </w:tc>
        <w:tc>
          <w:tcPr>
            <w:tcW w:w="1984" w:type="dxa"/>
          </w:tcPr>
          <w:p w14:paraId="6756B0BC" w14:textId="77777777" w:rsidR="0003215F" w:rsidRPr="00465B32" w:rsidRDefault="0003215F" w:rsidP="0003215F">
            <w:pPr>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Practice</w:t>
            </w:r>
          </w:p>
        </w:tc>
        <w:tc>
          <w:tcPr>
            <w:tcW w:w="1985" w:type="dxa"/>
          </w:tcPr>
          <w:p w14:paraId="03C71084" w14:textId="77777777" w:rsidR="0003215F" w:rsidRPr="00465B32" w:rsidRDefault="0003215F" w:rsidP="0003215F">
            <w:pPr>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Strengths</w:t>
            </w:r>
          </w:p>
          <w:p w14:paraId="06D140DE" w14:textId="77777777" w:rsidR="0003215F" w:rsidRPr="00465B32" w:rsidRDefault="0003215F" w:rsidP="0003215F">
            <w:pPr>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p>
        </w:tc>
        <w:tc>
          <w:tcPr>
            <w:tcW w:w="2268" w:type="dxa"/>
          </w:tcPr>
          <w:p w14:paraId="24B23EDF" w14:textId="77777777" w:rsidR="0003215F" w:rsidRPr="00465B32" w:rsidRDefault="0003215F" w:rsidP="0003215F">
            <w:pPr>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Limitations</w:t>
            </w:r>
          </w:p>
        </w:tc>
        <w:tc>
          <w:tcPr>
            <w:tcW w:w="2332" w:type="dxa"/>
          </w:tcPr>
          <w:p w14:paraId="6522A9A8" w14:textId="77777777" w:rsidR="0003215F" w:rsidRPr="00465B32" w:rsidRDefault="0003215F" w:rsidP="0003215F">
            <w:pPr>
              <w:cnfStyle w:val="100000000000" w:firstRow="1"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Evidence/Source</w:t>
            </w:r>
          </w:p>
        </w:tc>
      </w:tr>
      <w:tr w:rsidR="0003215F" w:rsidRPr="00465B32" w14:paraId="332C49D0" w14:textId="77777777" w:rsidTr="0003215F">
        <w:trPr>
          <w:gridAfter w:val="1"/>
          <w:cnfStyle w:val="000000100000" w:firstRow="0" w:lastRow="0" w:firstColumn="0" w:lastColumn="0" w:oddVBand="0" w:evenVBand="0" w:oddHBand="1" w:evenHBand="0" w:firstRowFirstColumn="0" w:firstRowLastColumn="0" w:lastRowFirstColumn="0" w:lastRowLastColumn="0"/>
          <w:wAfter w:w="8" w:type="dxa"/>
          <w:trHeight w:val="338"/>
        </w:trPr>
        <w:tc>
          <w:tcPr>
            <w:cnfStyle w:val="001000000000" w:firstRow="0" w:lastRow="0" w:firstColumn="1" w:lastColumn="0" w:oddVBand="0" w:evenVBand="0" w:oddHBand="0" w:evenHBand="0" w:firstRowFirstColumn="0" w:firstRowLastColumn="0" w:lastRowFirstColumn="0" w:lastRowLastColumn="0"/>
            <w:tcW w:w="1980" w:type="dxa"/>
          </w:tcPr>
          <w:p w14:paraId="34B5867A" w14:textId="77777777" w:rsidR="0003215F" w:rsidRPr="00465B32" w:rsidRDefault="0003215F" w:rsidP="0003215F">
            <w:pPr>
              <w:rPr>
                <w:color w:val="000000" w:themeColor="text1"/>
                <w:sz w:val="24"/>
                <w:szCs w:val="24"/>
              </w:rPr>
            </w:pPr>
            <w:r w:rsidRPr="00465B32">
              <w:rPr>
                <w:color w:val="000000" w:themeColor="text1"/>
                <w:sz w:val="24"/>
                <w:szCs w:val="24"/>
              </w:rPr>
              <w:t>DEI</w:t>
            </w:r>
          </w:p>
        </w:tc>
        <w:tc>
          <w:tcPr>
            <w:tcW w:w="1984" w:type="dxa"/>
          </w:tcPr>
          <w:p w14:paraId="32F4B82F"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AI Bias Tools &amp; Accountability KPIs</w:t>
            </w:r>
          </w:p>
          <w:p w14:paraId="714AAFF3"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1985" w:type="dxa"/>
          </w:tcPr>
          <w:p w14:paraId="594CE50D"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Improved diversity metrics, innovation</w:t>
            </w:r>
          </w:p>
          <w:p w14:paraId="75FC1396"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2268" w:type="dxa"/>
          </w:tcPr>
          <w:p w14:paraId="628868F6"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Measurement challenges, superficial compliance</w:t>
            </w:r>
          </w:p>
          <w:p w14:paraId="262F8ECB"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2332" w:type="dxa"/>
          </w:tcPr>
          <w:p w14:paraId="0985CB08"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Suresh et al. (2024); Zhao (2025)</w:t>
            </w:r>
          </w:p>
          <w:p w14:paraId="6CCA97BE"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r>
      <w:tr w:rsidR="0003215F" w:rsidRPr="00465B32" w14:paraId="7FCE982C" w14:textId="77777777" w:rsidTr="0003215F">
        <w:trPr>
          <w:gridAfter w:val="1"/>
          <w:wAfter w:w="8" w:type="dxa"/>
          <w:trHeight w:val="338"/>
        </w:trPr>
        <w:tc>
          <w:tcPr>
            <w:cnfStyle w:val="001000000000" w:firstRow="0" w:lastRow="0" w:firstColumn="1" w:lastColumn="0" w:oddVBand="0" w:evenVBand="0" w:oddHBand="0" w:evenHBand="0" w:firstRowFirstColumn="0" w:firstRowLastColumn="0" w:lastRowFirstColumn="0" w:lastRowLastColumn="0"/>
            <w:tcW w:w="1980" w:type="dxa"/>
          </w:tcPr>
          <w:p w14:paraId="451878B8" w14:textId="77777777" w:rsidR="0003215F" w:rsidRPr="00465B32" w:rsidRDefault="0003215F" w:rsidP="0003215F">
            <w:pPr>
              <w:rPr>
                <w:color w:val="000000" w:themeColor="text1"/>
                <w:sz w:val="24"/>
                <w:szCs w:val="24"/>
              </w:rPr>
            </w:pPr>
            <w:r w:rsidRPr="00465B32">
              <w:rPr>
                <w:color w:val="000000" w:themeColor="text1"/>
                <w:sz w:val="24"/>
                <w:szCs w:val="24"/>
              </w:rPr>
              <w:t>Technological Advancement</w:t>
            </w:r>
          </w:p>
          <w:p w14:paraId="56DC019C" w14:textId="77777777" w:rsidR="0003215F" w:rsidRPr="00465B32" w:rsidRDefault="0003215F" w:rsidP="0003215F">
            <w:pPr>
              <w:rPr>
                <w:color w:val="000000" w:themeColor="text1"/>
                <w:sz w:val="24"/>
                <w:szCs w:val="24"/>
              </w:rPr>
            </w:pPr>
          </w:p>
        </w:tc>
        <w:tc>
          <w:tcPr>
            <w:tcW w:w="1984" w:type="dxa"/>
          </w:tcPr>
          <w:p w14:paraId="5136A48C"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Skills-based hiring &amp; Total Rewards</w:t>
            </w:r>
          </w:p>
          <w:p w14:paraId="385377C3"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tcW w:w="1985" w:type="dxa"/>
          </w:tcPr>
          <w:p w14:paraId="752632B4"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Higher engagement, reduced turnover</w:t>
            </w:r>
          </w:p>
          <w:p w14:paraId="55740C70"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tcW w:w="2268" w:type="dxa"/>
          </w:tcPr>
          <w:p w14:paraId="600E1800"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Cultural resistance on sites</w:t>
            </w:r>
          </w:p>
          <w:p w14:paraId="17BBA6BF"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c>
          <w:tcPr>
            <w:tcW w:w="2332" w:type="dxa"/>
          </w:tcPr>
          <w:p w14:paraId="14F8B2B3"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p w14:paraId="23EC312E"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r w:rsidRPr="00465B32">
              <w:rPr>
                <w:color w:val="000000" w:themeColor="text1"/>
                <w:sz w:val="24"/>
                <w:szCs w:val="24"/>
              </w:rPr>
              <w:t>CIPD (2024); Nazir (2025)</w:t>
            </w:r>
          </w:p>
          <w:p w14:paraId="3727755F" w14:textId="77777777" w:rsidR="0003215F" w:rsidRPr="00465B32" w:rsidRDefault="0003215F" w:rsidP="0003215F">
            <w:pPr>
              <w:cnfStyle w:val="000000000000" w:firstRow="0" w:lastRow="0" w:firstColumn="0" w:lastColumn="0" w:oddVBand="0" w:evenVBand="0" w:oddHBand="0" w:evenHBand="0" w:firstRowFirstColumn="0" w:firstRowLastColumn="0" w:lastRowFirstColumn="0" w:lastRowLastColumn="0"/>
              <w:rPr>
                <w:color w:val="000000" w:themeColor="text1"/>
                <w:sz w:val="24"/>
                <w:szCs w:val="24"/>
              </w:rPr>
            </w:pPr>
          </w:p>
        </w:tc>
      </w:tr>
      <w:tr w:rsidR="0003215F" w14:paraId="2BD86265" w14:textId="77777777" w:rsidTr="0003215F">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1980" w:type="dxa"/>
          </w:tcPr>
          <w:p w14:paraId="33B0C7F2" w14:textId="77777777" w:rsidR="0003215F" w:rsidRPr="00465B32" w:rsidRDefault="0003215F" w:rsidP="0003215F">
            <w:pPr>
              <w:rPr>
                <w:color w:val="000000" w:themeColor="text1"/>
                <w:sz w:val="24"/>
                <w:szCs w:val="24"/>
              </w:rPr>
            </w:pPr>
            <w:r w:rsidRPr="00465B32">
              <w:rPr>
                <w:color w:val="000000" w:themeColor="text1"/>
                <w:sz w:val="24"/>
                <w:szCs w:val="24"/>
              </w:rPr>
              <w:t>Talent Acquisition &amp; Retention</w:t>
            </w:r>
          </w:p>
          <w:p w14:paraId="1FF3616A" w14:textId="77777777" w:rsidR="0003215F" w:rsidRPr="00465B32" w:rsidRDefault="0003215F" w:rsidP="0003215F">
            <w:pPr>
              <w:rPr>
                <w:color w:val="000000" w:themeColor="text1"/>
                <w:sz w:val="24"/>
                <w:szCs w:val="24"/>
              </w:rPr>
            </w:pPr>
          </w:p>
        </w:tc>
        <w:tc>
          <w:tcPr>
            <w:tcW w:w="1984" w:type="dxa"/>
          </w:tcPr>
          <w:p w14:paraId="56ECD275"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Digital HRM &amp; People Analytics</w:t>
            </w:r>
          </w:p>
          <w:p w14:paraId="5652C01F"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1985" w:type="dxa"/>
          </w:tcPr>
          <w:p w14:paraId="3FA15B80"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 xml:space="preserve">Real-time insights, </w:t>
            </w:r>
            <w:proofErr w:type="spellStart"/>
            <w:r w:rsidRPr="00465B32">
              <w:rPr>
                <w:color w:val="000000" w:themeColor="text1"/>
                <w:sz w:val="24"/>
                <w:szCs w:val="24"/>
              </w:rPr>
              <w:t>personalised</w:t>
            </w:r>
            <w:proofErr w:type="spellEnd"/>
            <w:r w:rsidRPr="00465B32">
              <w:rPr>
                <w:color w:val="000000" w:themeColor="text1"/>
                <w:sz w:val="24"/>
                <w:szCs w:val="24"/>
              </w:rPr>
              <w:t xml:space="preserve"> training</w:t>
            </w:r>
          </w:p>
          <w:p w14:paraId="2C40091B"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2268" w:type="dxa"/>
          </w:tcPr>
          <w:p w14:paraId="2FAA0EDA"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p w14:paraId="2A0883F5"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Cost, digital divide, privacy</w:t>
            </w:r>
          </w:p>
          <w:p w14:paraId="23BB21C7"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c>
          <w:tcPr>
            <w:tcW w:w="2340" w:type="dxa"/>
            <w:gridSpan w:val="2"/>
          </w:tcPr>
          <w:p w14:paraId="5D0B859D"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r w:rsidRPr="00465B32">
              <w:rPr>
                <w:color w:val="000000" w:themeColor="text1"/>
                <w:sz w:val="24"/>
                <w:szCs w:val="24"/>
              </w:rPr>
              <w:t>Zhang et al. (2023); Balfour Beatty (2025b)</w:t>
            </w:r>
          </w:p>
          <w:p w14:paraId="1E11CC54" w14:textId="77777777" w:rsidR="0003215F" w:rsidRPr="00465B32" w:rsidRDefault="0003215F" w:rsidP="0003215F">
            <w:pPr>
              <w:cnfStyle w:val="000000100000" w:firstRow="0" w:lastRow="0" w:firstColumn="0" w:lastColumn="0" w:oddVBand="0" w:evenVBand="0" w:oddHBand="1" w:evenHBand="0" w:firstRowFirstColumn="0" w:firstRowLastColumn="0" w:lastRowFirstColumn="0" w:lastRowLastColumn="0"/>
              <w:rPr>
                <w:color w:val="000000" w:themeColor="text1"/>
                <w:sz w:val="24"/>
                <w:szCs w:val="24"/>
              </w:rPr>
            </w:pPr>
          </w:p>
        </w:tc>
      </w:tr>
    </w:tbl>
    <w:p w14:paraId="2B02EFAE" w14:textId="06157223" w:rsidR="00E74C01" w:rsidRDefault="00E74C01" w:rsidP="00E74C01">
      <w:r>
        <w:t xml:space="preserve"> </w:t>
      </w:r>
    </w:p>
    <w:p w14:paraId="44179160" w14:textId="63A9CCC7" w:rsidR="00E74C01" w:rsidRDefault="00E74C01" w:rsidP="00E74C01"/>
    <w:p w14:paraId="5730DCD3" w14:textId="77777777" w:rsidR="00E74C01" w:rsidRPr="00465B32" w:rsidRDefault="00E74C01" w:rsidP="00E74C01">
      <w:pPr>
        <w:rPr>
          <w:rStyle w:val="IntenseEmphasis"/>
          <w:rFonts w:ascii="Bahnschrift SemiBold SemiConden" w:hAnsi="Bahnschrift SemiBold SemiConden"/>
          <w:color w:val="FF0000"/>
          <w:sz w:val="32"/>
          <w:szCs w:val="32"/>
        </w:rPr>
      </w:pPr>
    </w:p>
    <w:p w14:paraId="08947966"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lastRenderedPageBreak/>
        <w:t xml:space="preserve">Overall evaluation: Practices are synergistic — digital tools enable </w:t>
      </w:r>
      <w:proofErr w:type="spellStart"/>
      <w:r w:rsidRPr="00465B32">
        <w:rPr>
          <w:rStyle w:val="IntenseEmphasis"/>
          <w:rFonts w:ascii="Bahnschrift SemiBold SemiConden" w:hAnsi="Bahnschrift SemiBold SemiConden"/>
          <w:color w:val="FF0000"/>
          <w:sz w:val="32"/>
          <w:szCs w:val="32"/>
        </w:rPr>
        <w:t>personalised</w:t>
      </w:r>
      <w:proofErr w:type="spellEnd"/>
      <w:r w:rsidRPr="00465B32">
        <w:rPr>
          <w:rStyle w:val="IntenseEmphasis"/>
          <w:rFonts w:ascii="Bahnschrift SemiBold SemiConden" w:hAnsi="Bahnschrift SemiBold SemiConden"/>
          <w:color w:val="FF0000"/>
          <w:sz w:val="32"/>
          <w:szCs w:val="32"/>
        </w:rPr>
        <w:t xml:space="preserve"> talent and DEI interventions. Success depends on cultural alignment and leadership commitment.</w:t>
      </w:r>
    </w:p>
    <w:p w14:paraId="2B384B79" w14:textId="77777777" w:rsidR="00E74C01" w:rsidRPr="0003215F" w:rsidRDefault="00E74C01" w:rsidP="00E74C01">
      <w:pPr>
        <w:rPr>
          <w:rStyle w:val="IntenseEmphasis"/>
          <w:rFonts w:ascii="Bahnschrift SemiBold SemiConden" w:hAnsi="Bahnschrift SemiBold SemiConden"/>
          <w:color w:val="FFC000"/>
          <w:sz w:val="40"/>
          <w:szCs w:val="40"/>
        </w:rPr>
      </w:pPr>
      <w:r w:rsidRPr="0003215F">
        <w:rPr>
          <w:rStyle w:val="IntenseEmphasis"/>
          <w:rFonts w:ascii="Bahnschrift SemiBold SemiConden" w:hAnsi="Bahnschrift SemiBold SemiConden"/>
          <w:color w:val="FFC000"/>
          <w:sz w:val="40"/>
          <w:szCs w:val="40"/>
        </w:rPr>
        <w:t xml:space="preserve">4. Critical Evaluation of How Departmental Managers Can Ensure Implementation as a Matter of Urgency </w:t>
      </w:r>
    </w:p>
    <w:p w14:paraId="4302035D" w14:textId="7C42D6D3" w:rsidR="00E74C01" w:rsidRPr="00465B32" w:rsidRDefault="00E74C01" w:rsidP="00E74C01">
      <w:pPr>
        <w:rPr>
          <w:rStyle w:val="IntenseEmphasis"/>
          <w:rFonts w:ascii="Bahnschrift SemiBold SemiConden" w:hAnsi="Bahnschrift SemiBold SemiConden"/>
          <w:color w:val="FF0000"/>
          <w:sz w:val="32"/>
          <w:szCs w:val="32"/>
        </w:rPr>
      </w:pPr>
    </w:p>
    <w:p w14:paraId="3F47E14D"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xml:space="preserve">In Balfour Beatty’s </w:t>
      </w:r>
      <w:proofErr w:type="spellStart"/>
      <w:r w:rsidRPr="00465B32">
        <w:rPr>
          <w:rStyle w:val="IntenseEmphasis"/>
          <w:rFonts w:ascii="Bahnschrift SemiBold SemiConden" w:hAnsi="Bahnschrift SemiBold SemiConden"/>
          <w:color w:val="FF0000"/>
          <w:sz w:val="32"/>
          <w:szCs w:val="32"/>
        </w:rPr>
        <w:t>decentralised</w:t>
      </w:r>
      <w:proofErr w:type="spellEnd"/>
      <w:r w:rsidRPr="00465B32">
        <w:rPr>
          <w:rStyle w:val="IntenseEmphasis"/>
          <w:rFonts w:ascii="Bahnschrift SemiBold SemiConden" w:hAnsi="Bahnschrift SemiBold SemiConden"/>
          <w:color w:val="FF0000"/>
          <w:sz w:val="32"/>
          <w:szCs w:val="32"/>
        </w:rPr>
        <w:t>, project-based structure, departmental and project managers are pivotal for urgent implementation.</w:t>
      </w:r>
    </w:p>
    <w:p w14:paraId="439B0AA2"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Key mechanisms include:</w:t>
      </w:r>
    </w:p>
    <w:p w14:paraId="2DF3C384"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Integrating digital upskilling, retention, and DEI targets into personal KPIs and bonuses.</w:t>
      </w:r>
    </w:p>
    <w:p w14:paraId="7BA0708C"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Delivering regular toolbox talks, inclusive leadership training, and Right to Respect sessions.</w:t>
      </w:r>
    </w:p>
    <w:p w14:paraId="550AA3A5"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Allocating ring-fenced budgets for site-specific training and pilots.</w:t>
      </w:r>
    </w:p>
    <w:p w14:paraId="1434C34A"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Monitoring via monthly local dashboards with escalation to senior leadership.</w:t>
      </w:r>
    </w:p>
    <w:p w14:paraId="4734B943"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xml:space="preserve">Critical perspective: Managers’ proximity enables contextual adaptation (e.g., neurodiverse site adjustments), yet project delivery pressures often </w:t>
      </w:r>
      <w:proofErr w:type="spellStart"/>
      <w:r w:rsidRPr="00465B32">
        <w:rPr>
          <w:rStyle w:val="IntenseEmphasis"/>
          <w:rFonts w:ascii="Bahnschrift SemiBold SemiConden" w:hAnsi="Bahnschrift SemiBold SemiConden"/>
          <w:color w:val="FF0000"/>
          <w:sz w:val="32"/>
          <w:szCs w:val="32"/>
        </w:rPr>
        <w:t>deprioritise</w:t>
      </w:r>
      <w:proofErr w:type="spellEnd"/>
      <w:r w:rsidRPr="00465B32">
        <w:rPr>
          <w:rStyle w:val="IntenseEmphasis"/>
          <w:rFonts w:ascii="Bahnschrift SemiBold SemiConden" w:hAnsi="Bahnschrift SemiBold SemiConden"/>
          <w:color w:val="FF0000"/>
          <w:sz w:val="32"/>
          <w:szCs w:val="32"/>
        </w:rPr>
        <w:t xml:space="preserve"> people issues. Over-reliance on metrics risks “tick-box” compliance. Literature highlights persistent tensions between short-term targets and long-term development in construction (Maliha et al., 2025; Deloitte, 2025). </w:t>
      </w:r>
    </w:p>
    <w:p w14:paraId="4CB40ED7"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Success requires senior sponsorship, HR business partner support, quick-win communication (e.g., Copilot case studies), and phased rollouts tied to project milestones to prevent initiative fatigue.</w:t>
      </w:r>
    </w:p>
    <w:p w14:paraId="32AA1D3B" w14:textId="32268986"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xml:space="preserve">5. Conclusion and Recommendations </w:t>
      </w:r>
    </w:p>
    <w:p w14:paraId="43303314"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lastRenderedPageBreak/>
        <w:t>Technological advancement, talent management, and DEI are interconnected strategic imperatives for Balfour Beatty.</w:t>
      </w:r>
    </w:p>
    <w:p w14:paraId="2B246D85" w14:textId="44F7D969"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Addressing them holistically will enhance productivity, innovation, safety, and competitive advantage in delivering UK infrastructure.</w:t>
      </w:r>
    </w:p>
    <w:p w14:paraId="2F8A4655"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Recommendations:</w:t>
      </w:r>
    </w:p>
    <w:p w14:paraId="66B8FB80"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Launch a company-wide Digital &amp; Future Skills Academy module by Q3 2026.</w:t>
      </w:r>
    </w:p>
    <w:p w14:paraId="6195486C"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Embed DEI, upskilling, and retention KPIs in all managerial scorecards with quarterly reviews.</w:t>
      </w:r>
    </w:p>
    <w:p w14:paraId="370838CB"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Pilot AI-enhanced blind recruitment across all business units within 12 months.</w:t>
      </w:r>
    </w:p>
    <w:p w14:paraId="51778A41"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Commission independent annual audits of 2030 D&amp;I targets.</w:t>
      </w:r>
    </w:p>
    <w:p w14:paraId="71FFB687"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Establish cross-functional “People, Digital and Inclusion” forums for knowledge sharing.</w:t>
      </w:r>
    </w:p>
    <w:p w14:paraId="7A0A4DDA"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 xml:space="preserve">•  Deliver mandatory manager capability </w:t>
      </w:r>
      <w:proofErr w:type="spellStart"/>
      <w:r w:rsidRPr="00465B32">
        <w:rPr>
          <w:rStyle w:val="IntenseEmphasis"/>
          <w:rFonts w:ascii="Bahnschrift SemiBold SemiConden" w:hAnsi="Bahnschrift SemiBold SemiConden"/>
          <w:color w:val="FF0000"/>
          <w:sz w:val="32"/>
          <w:szCs w:val="32"/>
        </w:rPr>
        <w:t>programmes</w:t>
      </w:r>
      <w:proofErr w:type="spellEnd"/>
      <w:r w:rsidRPr="00465B32">
        <w:rPr>
          <w:rStyle w:val="IntenseEmphasis"/>
          <w:rFonts w:ascii="Bahnschrift SemiBold SemiConden" w:hAnsi="Bahnschrift SemiBold SemiConden"/>
          <w:color w:val="FF0000"/>
          <w:sz w:val="32"/>
          <w:szCs w:val="32"/>
        </w:rPr>
        <w:t xml:space="preserve"> on inclusive leadership and digital change management.</w:t>
      </w:r>
    </w:p>
    <w:p w14:paraId="7859AB4A" w14:textId="77777777" w:rsidR="00E74C01" w:rsidRPr="00465B32" w:rsidRDefault="00E74C01" w:rsidP="00E74C01">
      <w:pPr>
        <w:rPr>
          <w:rStyle w:val="IntenseEmphasis"/>
          <w:rFonts w:ascii="Bahnschrift SemiBold SemiConden" w:hAnsi="Bahnschrift SemiBold SemiConden"/>
          <w:color w:val="FF0000"/>
          <w:sz w:val="32"/>
          <w:szCs w:val="32"/>
        </w:rPr>
      </w:pPr>
      <w:r w:rsidRPr="00465B32">
        <w:rPr>
          <w:rStyle w:val="IntenseEmphasis"/>
          <w:rFonts w:ascii="Bahnschrift SemiBold SemiConden" w:hAnsi="Bahnschrift SemiBold SemiConden"/>
          <w:color w:val="FF0000"/>
          <w:sz w:val="32"/>
          <w:szCs w:val="32"/>
        </w:rPr>
        <w:t>Urgent, coordinated action supported by HR, executives, and managers will position Balfour Beatty as an industry leader in sustainable and inclusive infrastructure delivery.</w:t>
      </w:r>
    </w:p>
    <w:p w14:paraId="230D22E8" w14:textId="23065501" w:rsidR="00E74C01" w:rsidRPr="00465B32" w:rsidRDefault="00E74C01" w:rsidP="00465B32">
      <w:pPr>
        <w:pStyle w:val="Title"/>
        <w:rPr>
          <w:color w:val="47D459" w:themeColor="accent3" w:themeTint="99"/>
        </w:rPr>
      </w:pPr>
      <w:r w:rsidRPr="00465B32">
        <w:rPr>
          <w:color w:val="47D459" w:themeColor="accent3" w:themeTint="99"/>
        </w:rPr>
        <w:t xml:space="preserve">References </w:t>
      </w:r>
    </w:p>
    <w:p w14:paraId="4A00DCD9" w14:textId="77777777" w:rsidR="00E74C01" w:rsidRPr="0003215F" w:rsidRDefault="00E74C01" w:rsidP="00E74C01">
      <w:pPr>
        <w:rPr>
          <w:sz w:val="32"/>
          <w:szCs w:val="32"/>
        </w:rPr>
      </w:pPr>
      <w:r w:rsidRPr="0003215F">
        <w:rPr>
          <w:sz w:val="32"/>
          <w:szCs w:val="32"/>
        </w:rPr>
        <w:t>1.  Balfour Beatty (2025a) Annual Report and Accounts 2025.</w:t>
      </w:r>
    </w:p>
    <w:p w14:paraId="1E253E03" w14:textId="77777777" w:rsidR="00E74C01" w:rsidRPr="0003215F" w:rsidRDefault="00E74C01" w:rsidP="00E74C01">
      <w:pPr>
        <w:rPr>
          <w:sz w:val="32"/>
          <w:szCs w:val="32"/>
        </w:rPr>
      </w:pPr>
      <w:r w:rsidRPr="0003215F">
        <w:rPr>
          <w:sz w:val="32"/>
          <w:szCs w:val="32"/>
        </w:rPr>
        <w:t>2.  Balfour Beatty (2025b) Building New Futures Sustainability Strategy.</w:t>
      </w:r>
    </w:p>
    <w:p w14:paraId="15C8B004" w14:textId="77777777" w:rsidR="00E74C01" w:rsidRPr="0003215F" w:rsidRDefault="00E74C01" w:rsidP="00E74C01">
      <w:pPr>
        <w:rPr>
          <w:sz w:val="32"/>
          <w:szCs w:val="32"/>
        </w:rPr>
      </w:pPr>
      <w:r w:rsidRPr="0003215F">
        <w:rPr>
          <w:sz w:val="32"/>
          <w:szCs w:val="32"/>
        </w:rPr>
        <w:t>3.  Balfour Beatty (2025c) Value Everyone UK D&amp;I Action Plan.</w:t>
      </w:r>
    </w:p>
    <w:p w14:paraId="4F154266" w14:textId="77777777" w:rsidR="00E74C01" w:rsidRPr="0003215F" w:rsidRDefault="00E74C01" w:rsidP="00E74C01">
      <w:pPr>
        <w:rPr>
          <w:sz w:val="32"/>
          <w:szCs w:val="32"/>
        </w:rPr>
      </w:pPr>
      <w:r w:rsidRPr="0003215F">
        <w:rPr>
          <w:sz w:val="32"/>
          <w:szCs w:val="32"/>
        </w:rPr>
        <w:lastRenderedPageBreak/>
        <w:t>4.  CIPD (2024) Resource and Talent Planning Report.</w:t>
      </w:r>
    </w:p>
    <w:p w14:paraId="7DA11EB0" w14:textId="77777777" w:rsidR="00E74C01" w:rsidRPr="0003215F" w:rsidRDefault="00E74C01" w:rsidP="00E74C01">
      <w:pPr>
        <w:rPr>
          <w:sz w:val="32"/>
          <w:szCs w:val="32"/>
        </w:rPr>
      </w:pPr>
      <w:r w:rsidRPr="0003215F">
        <w:rPr>
          <w:sz w:val="32"/>
          <w:szCs w:val="32"/>
        </w:rPr>
        <w:t>5.  Rana, G. et al. (2021) ‘Industry 4.0 HRM practices’, Strategic HR Review.</w:t>
      </w:r>
    </w:p>
    <w:p w14:paraId="29234BC3" w14:textId="77777777" w:rsidR="00E74C01" w:rsidRPr="0003215F" w:rsidRDefault="00E74C01" w:rsidP="00E74C01">
      <w:pPr>
        <w:rPr>
          <w:sz w:val="32"/>
          <w:szCs w:val="32"/>
        </w:rPr>
      </w:pPr>
      <w:r w:rsidRPr="0003215F">
        <w:rPr>
          <w:sz w:val="32"/>
          <w:szCs w:val="32"/>
        </w:rPr>
        <w:t>6.  Zhang, J. et al. (2023) ‘HRM digital transformation’, Journal of Business Research.</w:t>
      </w:r>
    </w:p>
    <w:p w14:paraId="4A1E3B33" w14:textId="77777777" w:rsidR="00E74C01" w:rsidRPr="0003215F" w:rsidRDefault="00E74C01" w:rsidP="00E74C01">
      <w:pPr>
        <w:rPr>
          <w:sz w:val="32"/>
          <w:szCs w:val="32"/>
        </w:rPr>
      </w:pPr>
      <w:r w:rsidRPr="0003215F">
        <w:rPr>
          <w:sz w:val="32"/>
          <w:szCs w:val="32"/>
        </w:rPr>
        <w:t>7.  Nazir, M.A. (2025) ‘Strategic HR in construction’, Construction Management and Economics.</w:t>
      </w:r>
    </w:p>
    <w:p w14:paraId="04D1F8AF" w14:textId="77777777" w:rsidR="00E74C01" w:rsidRPr="0003215F" w:rsidRDefault="00E74C01" w:rsidP="00E74C01">
      <w:pPr>
        <w:rPr>
          <w:sz w:val="32"/>
          <w:szCs w:val="32"/>
        </w:rPr>
      </w:pPr>
      <w:r w:rsidRPr="0003215F">
        <w:rPr>
          <w:sz w:val="32"/>
          <w:szCs w:val="32"/>
        </w:rPr>
        <w:t>8.  Suresh et al. (2024) ‘Workforce diversity in construction’, Engineering, Construction and Architectural Management.</w:t>
      </w:r>
    </w:p>
    <w:p w14:paraId="063E0D4C" w14:textId="77777777" w:rsidR="00E74C01" w:rsidRPr="0003215F" w:rsidRDefault="00E74C01" w:rsidP="00E74C01">
      <w:pPr>
        <w:rPr>
          <w:sz w:val="32"/>
          <w:szCs w:val="32"/>
        </w:rPr>
      </w:pPr>
      <w:r w:rsidRPr="0003215F">
        <w:rPr>
          <w:sz w:val="32"/>
          <w:szCs w:val="32"/>
        </w:rPr>
        <w:t>9.  Zhao, Z. (2025) ‘Inclusive HRM practices’, PMC.</w:t>
      </w:r>
    </w:p>
    <w:p w14:paraId="1590C72C" w14:textId="77777777" w:rsidR="00E74C01" w:rsidRPr="0003215F" w:rsidRDefault="00E74C01" w:rsidP="00E74C01">
      <w:pPr>
        <w:rPr>
          <w:sz w:val="32"/>
          <w:szCs w:val="32"/>
        </w:rPr>
      </w:pPr>
      <w:r w:rsidRPr="0003215F">
        <w:rPr>
          <w:sz w:val="32"/>
          <w:szCs w:val="32"/>
        </w:rPr>
        <w:t>10.  Maliha, M.N. et al. (2025) ‘HRM in AEC industry’, Journal of Civil Engineering and Management.</w:t>
      </w:r>
    </w:p>
    <w:p w14:paraId="6E359D0D" w14:textId="77777777" w:rsidR="00E74C01" w:rsidRPr="0003215F" w:rsidRDefault="00E74C01" w:rsidP="00E74C01">
      <w:pPr>
        <w:rPr>
          <w:sz w:val="32"/>
          <w:szCs w:val="32"/>
        </w:rPr>
      </w:pPr>
      <w:r w:rsidRPr="0003215F">
        <w:rPr>
          <w:sz w:val="32"/>
          <w:szCs w:val="32"/>
        </w:rPr>
        <w:t xml:space="preserve">11.  </w:t>
      </w:r>
      <w:proofErr w:type="spellStart"/>
      <w:r w:rsidRPr="0003215F">
        <w:rPr>
          <w:sz w:val="32"/>
          <w:szCs w:val="32"/>
        </w:rPr>
        <w:t>Presbitero</w:t>
      </w:r>
      <w:proofErr w:type="spellEnd"/>
      <w:r w:rsidRPr="0003215F">
        <w:rPr>
          <w:sz w:val="32"/>
          <w:szCs w:val="32"/>
        </w:rPr>
        <w:t>, A. (2025) ‘Employee retention’, Journal of Business Research.</w:t>
      </w:r>
    </w:p>
    <w:p w14:paraId="19D6F329" w14:textId="77777777" w:rsidR="00E74C01" w:rsidRPr="0003215F" w:rsidRDefault="00E74C01" w:rsidP="00E74C01">
      <w:pPr>
        <w:rPr>
          <w:sz w:val="32"/>
          <w:szCs w:val="32"/>
        </w:rPr>
      </w:pPr>
      <w:r w:rsidRPr="0003215F">
        <w:rPr>
          <w:sz w:val="32"/>
          <w:szCs w:val="32"/>
        </w:rPr>
        <w:t>12.  World Economic Forum (2025) Future of Jobs Report.</w:t>
      </w:r>
    </w:p>
    <w:p w14:paraId="663B340C" w14:textId="77777777" w:rsidR="00E74C01" w:rsidRPr="0003215F" w:rsidRDefault="00E74C01" w:rsidP="00E74C01">
      <w:pPr>
        <w:rPr>
          <w:sz w:val="32"/>
          <w:szCs w:val="32"/>
        </w:rPr>
      </w:pPr>
      <w:r w:rsidRPr="0003215F">
        <w:rPr>
          <w:sz w:val="32"/>
          <w:szCs w:val="32"/>
        </w:rPr>
        <w:t>13.  Deloitte (2025) 2026 Engineering and Construction Industry Outlook.</w:t>
      </w:r>
    </w:p>
    <w:p w14:paraId="1C0A9141" w14:textId="0848AD7E" w:rsidR="004C50F2" w:rsidRDefault="00E74C01" w:rsidP="00E74C01">
      <w:r w:rsidRPr="0003215F">
        <w:rPr>
          <w:sz w:val="32"/>
          <w:szCs w:val="32"/>
        </w:rPr>
        <w:t>14.  Additional recent sources from academic journals on DEI and digital HR in construction</w:t>
      </w:r>
      <w:r>
        <w:t>.</w:t>
      </w:r>
    </w:p>
    <w:sectPr w:rsidR="004C50F2" w:rsidSect="00957C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hnschrift Light">
    <w:panose1 w:val="020B0502040204020203"/>
    <w:charset w:val="CC"/>
    <w:family w:val="swiss"/>
    <w:pitch w:val="variable"/>
    <w:sig w:usb0="A00002C7" w:usb1="00000002" w:usb2="00000000" w:usb3="00000000" w:csb0="0000019F" w:csb1="00000000"/>
  </w:font>
  <w:font w:name="Bahnschrift SemiBold SemiConden">
    <w:panose1 w:val="020B0502040204020203"/>
    <w:charset w:val="CC"/>
    <w:family w:val="swiss"/>
    <w:pitch w:val="variable"/>
    <w:sig w:usb0="A00002C7"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C01"/>
    <w:rsid w:val="0003215F"/>
    <w:rsid w:val="00241B31"/>
    <w:rsid w:val="00465B32"/>
    <w:rsid w:val="004C50F2"/>
    <w:rsid w:val="00957C02"/>
    <w:rsid w:val="00A553B1"/>
    <w:rsid w:val="00B4188F"/>
    <w:rsid w:val="00E74C01"/>
    <w:rsid w:val="00E87199"/>
    <w:rsid w:val="00F86353"/>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BD420"/>
  <w15:chartTrackingRefBased/>
  <w15:docId w15:val="{4532CBF5-9BF0-43C3-A018-A57EF3858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4C01"/>
  </w:style>
  <w:style w:type="paragraph" w:styleId="Heading1">
    <w:name w:val="heading 1"/>
    <w:basedOn w:val="Normal"/>
    <w:next w:val="Normal"/>
    <w:link w:val="Heading1Char"/>
    <w:uiPriority w:val="9"/>
    <w:qFormat/>
    <w:rsid w:val="00E74C01"/>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E74C01"/>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E74C01"/>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E74C01"/>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E74C01"/>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E74C01"/>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E74C01"/>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E74C01"/>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E74C01"/>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4C01"/>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E74C01"/>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E74C01"/>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E74C01"/>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E74C01"/>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E74C01"/>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E74C01"/>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E74C01"/>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E74C01"/>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E74C01"/>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74C01"/>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74C01"/>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74C01"/>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E74C01"/>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74C01"/>
    <w:rPr>
      <w:i/>
      <w:iCs/>
      <w:color w:val="262626" w:themeColor="text1" w:themeTint="D9"/>
    </w:rPr>
  </w:style>
  <w:style w:type="paragraph" w:styleId="ListParagraph">
    <w:name w:val="List Paragraph"/>
    <w:basedOn w:val="Normal"/>
    <w:uiPriority w:val="34"/>
    <w:qFormat/>
    <w:rsid w:val="00E74C01"/>
    <w:pPr>
      <w:ind w:left="720"/>
      <w:contextualSpacing/>
    </w:pPr>
  </w:style>
  <w:style w:type="character" w:styleId="IntenseEmphasis">
    <w:name w:val="Intense Emphasis"/>
    <w:basedOn w:val="DefaultParagraphFont"/>
    <w:uiPriority w:val="21"/>
    <w:qFormat/>
    <w:rsid w:val="00E74C01"/>
    <w:rPr>
      <w:b/>
      <w:bCs/>
      <w:i/>
      <w:iCs/>
    </w:rPr>
  </w:style>
  <w:style w:type="paragraph" w:styleId="IntenseQuote">
    <w:name w:val="Intense Quote"/>
    <w:basedOn w:val="Normal"/>
    <w:next w:val="Normal"/>
    <w:link w:val="IntenseQuoteChar"/>
    <w:uiPriority w:val="30"/>
    <w:qFormat/>
    <w:rsid w:val="00E74C01"/>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E74C01"/>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E74C01"/>
    <w:rPr>
      <w:b/>
      <w:bCs/>
      <w:smallCaps/>
      <w:color w:val="4EA72E" w:themeColor="accent6"/>
    </w:rPr>
  </w:style>
  <w:style w:type="paragraph" w:styleId="Caption">
    <w:name w:val="caption"/>
    <w:basedOn w:val="Normal"/>
    <w:next w:val="Normal"/>
    <w:uiPriority w:val="35"/>
    <w:semiHidden/>
    <w:unhideWhenUsed/>
    <w:qFormat/>
    <w:rsid w:val="00E74C01"/>
    <w:pPr>
      <w:spacing w:line="240" w:lineRule="auto"/>
    </w:pPr>
    <w:rPr>
      <w:b/>
      <w:bCs/>
      <w:smallCaps/>
      <w:color w:val="595959" w:themeColor="text1" w:themeTint="A6"/>
    </w:rPr>
  </w:style>
  <w:style w:type="character" w:styleId="Strong">
    <w:name w:val="Strong"/>
    <w:basedOn w:val="DefaultParagraphFont"/>
    <w:uiPriority w:val="22"/>
    <w:qFormat/>
    <w:rsid w:val="00E74C01"/>
    <w:rPr>
      <w:b/>
      <w:bCs/>
    </w:rPr>
  </w:style>
  <w:style w:type="character" w:styleId="Emphasis">
    <w:name w:val="Emphasis"/>
    <w:basedOn w:val="DefaultParagraphFont"/>
    <w:uiPriority w:val="20"/>
    <w:qFormat/>
    <w:rsid w:val="00E74C01"/>
    <w:rPr>
      <w:i/>
      <w:iCs/>
      <w:color w:val="4EA72E" w:themeColor="accent6"/>
    </w:rPr>
  </w:style>
  <w:style w:type="paragraph" w:styleId="NoSpacing">
    <w:name w:val="No Spacing"/>
    <w:uiPriority w:val="1"/>
    <w:qFormat/>
    <w:rsid w:val="00E74C01"/>
    <w:pPr>
      <w:spacing w:after="0" w:line="240" w:lineRule="auto"/>
    </w:pPr>
  </w:style>
  <w:style w:type="character" w:styleId="SubtleEmphasis">
    <w:name w:val="Subtle Emphasis"/>
    <w:basedOn w:val="DefaultParagraphFont"/>
    <w:uiPriority w:val="19"/>
    <w:qFormat/>
    <w:rsid w:val="00E74C01"/>
    <w:rPr>
      <w:i/>
      <w:iCs/>
    </w:rPr>
  </w:style>
  <w:style w:type="character" w:styleId="SubtleReference">
    <w:name w:val="Subtle Reference"/>
    <w:basedOn w:val="DefaultParagraphFont"/>
    <w:uiPriority w:val="31"/>
    <w:qFormat/>
    <w:rsid w:val="00E74C01"/>
    <w:rPr>
      <w:smallCaps/>
      <w:color w:val="595959" w:themeColor="text1" w:themeTint="A6"/>
    </w:rPr>
  </w:style>
  <w:style w:type="character" w:styleId="BookTitle">
    <w:name w:val="Book Title"/>
    <w:basedOn w:val="DefaultParagraphFont"/>
    <w:uiPriority w:val="33"/>
    <w:qFormat/>
    <w:rsid w:val="00E74C01"/>
    <w:rPr>
      <w:b/>
      <w:bCs/>
      <w:caps w:val="0"/>
      <w:smallCaps/>
      <w:spacing w:val="7"/>
      <w:sz w:val="21"/>
      <w:szCs w:val="21"/>
    </w:rPr>
  </w:style>
  <w:style w:type="paragraph" w:styleId="TOCHeading">
    <w:name w:val="TOC Heading"/>
    <w:basedOn w:val="Heading1"/>
    <w:next w:val="Normal"/>
    <w:uiPriority w:val="39"/>
    <w:semiHidden/>
    <w:unhideWhenUsed/>
    <w:qFormat/>
    <w:rsid w:val="00E74C01"/>
    <w:pPr>
      <w:outlineLvl w:val="9"/>
    </w:pPr>
  </w:style>
  <w:style w:type="table" w:styleId="TableGrid">
    <w:name w:val="Table Grid"/>
    <w:basedOn w:val="TableNormal"/>
    <w:uiPriority w:val="39"/>
    <w:rsid w:val="00E74C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465B32"/>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TotalTime>
  <Pages>1</Pages>
  <Words>1520</Words>
  <Characters>8666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Taran (2427100)</dc:creator>
  <cp:keywords/>
  <dc:description/>
  <cp:lastModifiedBy>Alexandru Taran (2427100)</cp:lastModifiedBy>
  <cp:revision>4</cp:revision>
  <dcterms:created xsi:type="dcterms:W3CDTF">2026-04-27T17:59:00Z</dcterms:created>
  <dcterms:modified xsi:type="dcterms:W3CDTF">2026-04-27T18:33:00Z</dcterms:modified>
</cp:coreProperties>
</file>