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5384490A"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30E83992" w:rsidR="007D1947" w:rsidRDefault="008868D5">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Innovation and Sustainability</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111FD545" w:rsidR="007D1947" w:rsidRDefault="008868D5">
              <w:pPr>
                <w:pStyle w:val="NoSpacing"/>
                <w:jc w:val="center"/>
                <w:rPr>
                  <w:color w:val="5B9BD5" w:themeColor="accent1"/>
                  <w:sz w:val="28"/>
                  <w:szCs w:val="28"/>
                </w:rPr>
              </w:pPr>
              <w:r>
                <w:rPr>
                  <w:color w:val="5B9BD5" w:themeColor="accent1"/>
                  <w:sz w:val="28"/>
                  <w:szCs w:val="28"/>
                </w:rPr>
                <w:t>Emily Thomas 2418089</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77DC2A5D" w:rsidR="007D1947" w:rsidRDefault="003701CD">
                                    <w:pPr>
                                      <w:pStyle w:val="NoSpacing"/>
                                      <w:spacing w:after="40"/>
                                      <w:jc w:val="center"/>
                                      <w:rPr>
                                        <w:caps/>
                                        <w:color w:val="5B9BD5" w:themeColor="accent1"/>
                                        <w:sz w:val="28"/>
                                        <w:szCs w:val="28"/>
                                      </w:rPr>
                                    </w:pPr>
                                    <w:r>
                                      <w:rPr>
                                        <w:caps/>
                                        <w:color w:val="5B9BD5" w:themeColor="accent1"/>
                                        <w:sz w:val="28"/>
                                        <w:szCs w:val="28"/>
                                      </w:rPr>
                                      <w:t>May 12</w:t>
                                    </w:r>
                                    <w:r w:rsidR="008868D5">
                                      <w:rPr>
                                        <w:caps/>
                                        <w:color w:val="5B9BD5" w:themeColor="accent1"/>
                                        <w:sz w:val="28"/>
                                        <w:szCs w:val="28"/>
                                      </w:rPr>
                                      <w:t>, 2025</w:t>
                                    </w:r>
                                  </w:p>
                                </w:sdtContent>
                              </w:sdt>
                              <w:p w14:paraId="69E98CB3" w14:textId="77777777" w:rsidR="007D1947" w:rsidRDefault="003351F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3351F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05-12T00:00:00Z">
                              <w:dateFormat w:val="MMMM d, yyyy"/>
                              <w:lid w:val="en-US"/>
                              <w:storeMappedDataAs w:val="dateTime"/>
                              <w:calendar w:val="gregorian"/>
                            </w:date>
                          </w:sdtPr>
                          <w:sdtEndPr/>
                          <w:sdtContent>
                            <w:p w14:paraId="52BAF8D9" w14:textId="77DC2A5D" w:rsidR="007D1947" w:rsidRDefault="003701CD">
                              <w:pPr>
                                <w:pStyle w:val="NoSpacing"/>
                                <w:spacing w:after="40"/>
                                <w:jc w:val="center"/>
                                <w:rPr>
                                  <w:caps/>
                                  <w:color w:val="5B9BD5" w:themeColor="accent1"/>
                                  <w:sz w:val="28"/>
                                  <w:szCs w:val="28"/>
                                </w:rPr>
                              </w:pPr>
                              <w:r>
                                <w:rPr>
                                  <w:caps/>
                                  <w:color w:val="5B9BD5" w:themeColor="accent1"/>
                                  <w:sz w:val="28"/>
                                  <w:szCs w:val="28"/>
                                </w:rPr>
                                <w:t>May 12</w:t>
                              </w:r>
                              <w:r w:rsidR="008868D5">
                                <w:rPr>
                                  <w:caps/>
                                  <w:color w:val="5B9BD5" w:themeColor="accent1"/>
                                  <w:sz w:val="28"/>
                                  <w:szCs w:val="28"/>
                                </w:rPr>
                                <w:t>, 2025</w:t>
                              </w:r>
                            </w:p>
                          </w:sdtContent>
                        </w:sdt>
                        <w:p w14:paraId="69E98CB3" w14:textId="77777777" w:rsidR="007D1947" w:rsidRDefault="003351F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3351F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197932365"/>
          <w:r>
            <w:lastRenderedPageBreak/>
            <w:t>Executive Summary</w:t>
          </w:r>
          <w:bookmarkEnd w:id="0"/>
        </w:p>
        <w:p w14:paraId="62AB7F7D" w14:textId="00AB4F8C" w:rsidR="007D1947" w:rsidRPr="00B007B1" w:rsidRDefault="000F2ECB">
          <w:pPr>
            <w:rPr>
              <w:rFonts w:ascii="Arial" w:hAnsi="Arial" w:cs="Arial"/>
            </w:rPr>
          </w:pPr>
          <w:r w:rsidRPr="00B007B1">
            <w:rPr>
              <w:rFonts w:ascii="Arial" w:hAnsi="Arial" w:cs="Arial"/>
            </w:rPr>
            <w:t>To summarise the main findings of the report:</w:t>
          </w:r>
        </w:p>
        <w:p w14:paraId="11064515" w14:textId="56D46B5F" w:rsidR="000F2ECB" w:rsidRDefault="000F2ECB" w:rsidP="007D6214">
          <w:pPr>
            <w:rPr>
              <w:rFonts w:ascii="Arial" w:hAnsi="Arial" w:cs="Arial"/>
            </w:rPr>
          </w:pPr>
          <w:r w:rsidRPr="00B007B1">
            <w:rPr>
              <w:rFonts w:ascii="Arial" w:hAnsi="Arial" w:cs="Arial"/>
            </w:rPr>
            <w:t>There was a change in equipment on production lines where obsolete equipment was replaced by more sensitive equipment X-Rite ERX-145 machines.</w:t>
          </w:r>
          <w:r w:rsidR="002A1355" w:rsidRPr="00B007B1">
            <w:rPr>
              <w:rFonts w:ascii="Arial" w:hAnsi="Arial" w:cs="Arial"/>
            </w:rPr>
            <w:t xml:space="preserve"> </w:t>
          </w:r>
          <w:r w:rsidRPr="00B007B1">
            <w:rPr>
              <w:rFonts w:ascii="Arial" w:hAnsi="Arial" w:cs="Arial"/>
            </w:rPr>
            <w:t>The driving forces for change were rising customer complaints, outdated equipment and misaligned measurement technologies.</w:t>
          </w:r>
          <w:r w:rsidR="002A1355" w:rsidRPr="00B007B1">
            <w:rPr>
              <w:rFonts w:ascii="Arial" w:hAnsi="Arial" w:cs="Arial"/>
            </w:rPr>
            <w:t xml:space="preserve"> The transition to the new technology was </w:t>
          </w:r>
          <w:r w:rsidR="00B76999" w:rsidRPr="00B007B1">
            <w:rPr>
              <w:rFonts w:ascii="Arial" w:hAnsi="Arial" w:cs="Arial"/>
            </w:rPr>
            <w:t xml:space="preserve">disrupted by </w:t>
          </w:r>
          <w:r w:rsidR="00734E80">
            <w:rPr>
              <w:rFonts w:ascii="Arial" w:hAnsi="Arial" w:cs="Arial"/>
            </w:rPr>
            <w:t xml:space="preserve">equipment failures, lack of training and poor planning for change. Lewin’s Forcefield analysis </w:t>
          </w:r>
          <w:r w:rsidR="00144F2C">
            <w:rPr>
              <w:rFonts w:ascii="Arial" w:hAnsi="Arial" w:cs="Arial"/>
            </w:rPr>
            <w:t xml:space="preserve">showed resistance outweighed the driving forces, Kotter’s 8 step model was not formally applied which led to </w:t>
          </w:r>
          <w:r w:rsidR="00312B84">
            <w:rPr>
              <w:rFonts w:ascii="Arial" w:hAnsi="Arial" w:cs="Arial"/>
            </w:rPr>
            <w:t xml:space="preserve">poor planning and engagement opportunities. Herzberg’s theory showed the lack of hygiene </w:t>
          </w:r>
          <w:r w:rsidR="00376418">
            <w:rPr>
              <w:rFonts w:ascii="Arial" w:hAnsi="Arial" w:cs="Arial"/>
            </w:rPr>
            <w:t>factors,</w:t>
          </w:r>
          <w:r w:rsidR="00312B84">
            <w:rPr>
              <w:rFonts w:ascii="Arial" w:hAnsi="Arial" w:cs="Arial"/>
            </w:rPr>
            <w:t xml:space="preserve"> </w:t>
          </w:r>
          <w:r w:rsidR="00920BC9">
            <w:rPr>
              <w:rFonts w:ascii="Arial" w:hAnsi="Arial" w:cs="Arial"/>
            </w:rPr>
            <w:t>and this caused demotivation amongst employees which improved once the issues were addressed.</w:t>
          </w:r>
        </w:p>
        <w:p w14:paraId="64D18A94" w14:textId="3D37D4CF" w:rsidR="00920BC9" w:rsidRPr="00B007B1" w:rsidRDefault="00376418" w:rsidP="007D6214">
          <w:pPr>
            <w:rPr>
              <w:rFonts w:ascii="Arial" w:hAnsi="Arial" w:cs="Arial"/>
            </w:rPr>
          </w:pPr>
          <w:r>
            <w:rPr>
              <w:rFonts w:ascii="Arial" w:hAnsi="Arial" w:cs="Arial"/>
            </w:rPr>
            <w:t xml:space="preserve">To conclude </w:t>
          </w:r>
          <w:r w:rsidR="003C308B" w:rsidRPr="003C308B">
            <w:rPr>
              <w:rFonts w:ascii="Arial" w:hAnsi="Arial" w:cs="Arial"/>
            </w:rPr>
            <w:t>the</w:t>
          </w:r>
          <w:r w:rsidR="003C308B" w:rsidRPr="003C308B">
            <w:rPr>
              <w:rFonts w:ascii="Arial" w:hAnsi="Arial" w:cs="Arial"/>
            </w:rPr>
            <w:t xml:space="preserve"> change was ultimately successful but poorly managed at first due to a lack of planning and structure. Applying change management and motivation models could have reduced resistance and improved the rollout</w:t>
          </w:r>
          <w:r w:rsidR="00D96EC3">
            <w:rPr>
              <w:rFonts w:ascii="Arial" w:hAnsi="Arial" w:cs="Arial"/>
            </w:rPr>
            <w:t xml:space="preserve"> of the change</w:t>
          </w:r>
          <w:r w:rsidR="003C308B" w:rsidRPr="003C308B">
            <w:rPr>
              <w:rFonts w:ascii="Arial" w:hAnsi="Arial" w:cs="Arial"/>
            </w:rPr>
            <w:t>. The experience highlighted the need for clear communication, early stakeholder involvement, and structured support to ensure long-term success in future organisational changes.</w:t>
          </w:r>
        </w:p>
        <w:p w14:paraId="090CA2F3" w14:textId="77777777" w:rsidR="000F2ECB" w:rsidRDefault="000F2ECB" w:rsidP="007D6214"/>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3BCB3EB4" w14:textId="4766545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Default="007D1947">
              <w:pPr>
                <w:pStyle w:val="TOCHeading"/>
              </w:pPr>
              <w:r>
                <w:t>Table of Contents</w:t>
              </w:r>
            </w:p>
            <w:p w14:paraId="234F4FAD" w14:textId="7EC3790C" w:rsidR="00D96EC3" w:rsidRDefault="007D1947">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7932365" w:history="1">
                <w:r w:rsidR="00D96EC3" w:rsidRPr="000A0874">
                  <w:rPr>
                    <w:rStyle w:val="Hyperlink"/>
                    <w:noProof/>
                  </w:rPr>
                  <w:t>Executive Summary</w:t>
                </w:r>
                <w:r w:rsidR="00D96EC3">
                  <w:rPr>
                    <w:noProof/>
                    <w:webHidden/>
                  </w:rPr>
                  <w:tab/>
                </w:r>
                <w:r w:rsidR="00D96EC3">
                  <w:rPr>
                    <w:noProof/>
                    <w:webHidden/>
                  </w:rPr>
                  <w:fldChar w:fldCharType="begin"/>
                </w:r>
                <w:r w:rsidR="00D96EC3">
                  <w:rPr>
                    <w:noProof/>
                    <w:webHidden/>
                  </w:rPr>
                  <w:instrText xml:space="preserve"> PAGEREF _Toc197932365 \h </w:instrText>
                </w:r>
                <w:r w:rsidR="00D96EC3">
                  <w:rPr>
                    <w:noProof/>
                    <w:webHidden/>
                  </w:rPr>
                </w:r>
                <w:r w:rsidR="00D96EC3">
                  <w:rPr>
                    <w:noProof/>
                    <w:webHidden/>
                  </w:rPr>
                  <w:fldChar w:fldCharType="separate"/>
                </w:r>
                <w:r w:rsidR="00D96EC3">
                  <w:rPr>
                    <w:noProof/>
                    <w:webHidden/>
                  </w:rPr>
                  <w:t>1</w:t>
                </w:r>
                <w:r w:rsidR="00D96EC3">
                  <w:rPr>
                    <w:noProof/>
                    <w:webHidden/>
                  </w:rPr>
                  <w:fldChar w:fldCharType="end"/>
                </w:r>
              </w:hyperlink>
            </w:p>
            <w:p w14:paraId="34B076EA" w14:textId="46FF72A7" w:rsidR="00D96EC3" w:rsidRDefault="00D96EC3">
              <w:pPr>
                <w:pStyle w:val="TOC1"/>
                <w:tabs>
                  <w:tab w:val="right" w:leader="dot" w:pos="9016"/>
                </w:tabs>
                <w:rPr>
                  <w:rFonts w:eastAsiaTheme="minorEastAsia"/>
                  <w:noProof/>
                  <w:kern w:val="2"/>
                  <w:sz w:val="24"/>
                  <w:szCs w:val="24"/>
                  <w:lang w:eastAsia="en-GB"/>
                  <w14:ligatures w14:val="standardContextual"/>
                </w:rPr>
              </w:pPr>
              <w:hyperlink w:anchor="_Toc197932366" w:history="1">
                <w:r w:rsidRPr="000A0874">
                  <w:rPr>
                    <w:rStyle w:val="Hyperlink"/>
                    <w:noProof/>
                  </w:rPr>
                  <w:t>Introduction</w:t>
                </w:r>
                <w:r>
                  <w:rPr>
                    <w:noProof/>
                    <w:webHidden/>
                  </w:rPr>
                  <w:tab/>
                </w:r>
                <w:r>
                  <w:rPr>
                    <w:noProof/>
                    <w:webHidden/>
                  </w:rPr>
                  <w:fldChar w:fldCharType="begin"/>
                </w:r>
                <w:r>
                  <w:rPr>
                    <w:noProof/>
                    <w:webHidden/>
                  </w:rPr>
                  <w:instrText xml:space="preserve"> PAGEREF _Toc197932366 \h </w:instrText>
                </w:r>
                <w:r>
                  <w:rPr>
                    <w:noProof/>
                    <w:webHidden/>
                  </w:rPr>
                </w:r>
                <w:r>
                  <w:rPr>
                    <w:noProof/>
                    <w:webHidden/>
                  </w:rPr>
                  <w:fldChar w:fldCharType="separate"/>
                </w:r>
                <w:r>
                  <w:rPr>
                    <w:noProof/>
                    <w:webHidden/>
                  </w:rPr>
                  <w:t>4</w:t>
                </w:r>
                <w:r>
                  <w:rPr>
                    <w:noProof/>
                    <w:webHidden/>
                  </w:rPr>
                  <w:fldChar w:fldCharType="end"/>
                </w:r>
              </w:hyperlink>
            </w:p>
            <w:p w14:paraId="70CECB64" w14:textId="27870DDD" w:rsidR="00D96EC3" w:rsidRDefault="00D96EC3">
              <w:pPr>
                <w:pStyle w:val="TOC1"/>
                <w:tabs>
                  <w:tab w:val="right" w:leader="dot" w:pos="9016"/>
                </w:tabs>
                <w:rPr>
                  <w:rFonts w:eastAsiaTheme="minorEastAsia"/>
                  <w:noProof/>
                  <w:kern w:val="2"/>
                  <w:sz w:val="24"/>
                  <w:szCs w:val="24"/>
                  <w:lang w:eastAsia="en-GB"/>
                  <w14:ligatures w14:val="standardContextual"/>
                </w:rPr>
              </w:pPr>
              <w:hyperlink w:anchor="_Toc197932367" w:history="1">
                <w:r w:rsidRPr="000A0874">
                  <w:rPr>
                    <w:rStyle w:val="Hyperlink"/>
                    <w:noProof/>
                  </w:rPr>
                  <w:t>Main Findings</w:t>
                </w:r>
                <w:r>
                  <w:rPr>
                    <w:noProof/>
                    <w:webHidden/>
                  </w:rPr>
                  <w:tab/>
                </w:r>
                <w:r>
                  <w:rPr>
                    <w:noProof/>
                    <w:webHidden/>
                  </w:rPr>
                  <w:fldChar w:fldCharType="begin"/>
                </w:r>
                <w:r>
                  <w:rPr>
                    <w:noProof/>
                    <w:webHidden/>
                  </w:rPr>
                  <w:instrText xml:space="preserve"> PAGEREF _Toc197932367 \h </w:instrText>
                </w:r>
                <w:r>
                  <w:rPr>
                    <w:noProof/>
                    <w:webHidden/>
                  </w:rPr>
                </w:r>
                <w:r>
                  <w:rPr>
                    <w:noProof/>
                    <w:webHidden/>
                  </w:rPr>
                  <w:fldChar w:fldCharType="separate"/>
                </w:r>
                <w:r>
                  <w:rPr>
                    <w:noProof/>
                    <w:webHidden/>
                  </w:rPr>
                  <w:t>6</w:t>
                </w:r>
                <w:r>
                  <w:rPr>
                    <w:noProof/>
                    <w:webHidden/>
                  </w:rPr>
                  <w:fldChar w:fldCharType="end"/>
                </w:r>
              </w:hyperlink>
            </w:p>
            <w:p w14:paraId="485DBA1B" w14:textId="48C2565D" w:rsidR="00D96EC3" w:rsidRDefault="00D96EC3">
              <w:pPr>
                <w:pStyle w:val="TOC1"/>
                <w:tabs>
                  <w:tab w:val="right" w:leader="dot" w:pos="9016"/>
                </w:tabs>
                <w:rPr>
                  <w:rFonts w:eastAsiaTheme="minorEastAsia"/>
                  <w:noProof/>
                  <w:kern w:val="2"/>
                  <w:sz w:val="24"/>
                  <w:szCs w:val="24"/>
                  <w:lang w:eastAsia="en-GB"/>
                  <w14:ligatures w14:val="standardContextual"/>
                </w:rPr>
              </w:pPr>
              <w:hyperlink w:anchor="_Toc197932368" w:history="1">
                <w:r w:rsidRPr="000A0874">
                  <w:rPr>
                    <w:rStyle w:val="Hyperlink"/>
                    <w:noProof/>
                  </w:rPr>
                  <w:t>Conclusion</w:t>
                </w:r>
                <w:r>
                  <w:rPr>
                    <w:noProof/>
                    <w:webHidden/>
                  </w:rPr>
                  <w:tab/>
                </w:r>
                <w:r>
                  <w:rPr>
                    <w:noProof/>
                    <w:webHidden/>
                  </w:rPr>
                  <w:fldChar w:fldCharType="begin"/>
                </w:r>
                <w:r>
                  <w:rPr>
                    <w:noProof/>
                    <w:webHidden/>
                  </w:rPr>
                  <w:instrText xml:space="preserve"> PAGEREF _Toc197932368 \h </w:instrText>
                </w:r>
                <w:r>
                  <w:rPr>
                    <w:noProof/>
                    <w:webHidden/>
                  </w:rPr>
                </w:r>
                <w:r>
                  <w:rPr>
                    <w:noProof/>
                    <w:webHidden/>
                  </w:rPr>
                  <w:fldChar w:fldCharType="separate"/>
                </w:r>
                <w:r>
                  <w:rPr>
                    <w:noProof/>
                    <w:webHidden/>
                  </w:rPr>
                  <w:t>14</w:t>
                </w:r>
                <w:r>
                  <w:rPr>
                    <w:noProof/>
                    <w:webHidden/>
                  </w:rPr>
                  <w:fldChar w:fldCharType="end"/>
                </w:r>
              </w:hyperlink>
            </w:p>
            <w:p w14:paraId="4EB98489" w14:textId="554555BE" w:rsidR="00D96EC3" w:rsidRDefault="00D96EC3">
              <w:pPr>
                <w:pStyle w:val="TOC1"/>
                <w:tabs>
                  <w:tab w:val="right" w:leader="dot" w:pos="9016"/>
                </w:tabs>
                <w:rPr>
                  <w:rFonts w:eastAsiaTheme="minorEastAsia"/>
                  <w:noProof/>
                  <w:kern w:val="2"/>
                  <w:sz w:val="24"/>
                  <w:szCs w:val="24"/>
                  <w:lang w:eastAsia="en-GB"/>
                  <w14:ligatures w14:val="standardContextual"/>
                </w:rPr>
              </w:pPr>
              <w:hyperlink w:anchor="_Toc197932369" w:history="1">
                <w:r w:rsidRPr="000A0874">
                  <w:rPr>
                    <w:rStyle w:val="Hyperlink"/>
                    <w:noProof/>
                  </w:rPr>
                  <w:t>Bibliography</w:t>
                </w:r>
                <w:r>
                  <w:rPr>
                    <w:noProof/>
                    <w:webHidden/>
                  </w:rPr>
                  <w:tab/>
                </w:r>
                <w:r>
                  <w:rPr>
                    <w:noProof/>
                    <w:webHidden/>
                  </w:rPr>
                  <w:fldChar w:fldCharType="begin"/>
                </w:r>
                <w:r>
                  <w:rPr>
                    <w:noProof/>
                    <w:webHidden/>
                  </w:rPr>
                  <w:instrText xml:space="preserve"> PAGEREF _Toc197932369 \h </w:instrText>
                </w:r>
                <w:r>
                  <w:rPr>
                    <w:noProof/>
                    <w:webHidden/>
                  </w:rPr>
                </w:r>
                <w:r>
                  <w:rPr>
                    <w:noProof/>
                    <w:webHidden/>
                  </w:rPr>
                  <w:fldChar w:fldCharType="separate"/>
                </w:r>
                <w:r>
                  <w:rPr>
                    <w:noProof/>
                    <w:webHidden/>
                  </w:rPr>
                  <w:t>16</w:t>
                </w:r>
                <w:r>
                  <w:rPr>
                    <w:noProof/>
                    <w:webHidden/>
                  </w:rPr>
                  <w:fldChar w:fldCharType="end"/>
                </w:r>
              </w:hyperlink>
            </w:p>
            <w:p w14:paraId="05194699" w14:textId="5AFB3615" w:rsidR="007D1947" w:rsidRDefault="007D1947">
              <w:r>
                <w:rPr>
                  <w:b/>
                  <w:bCs/>
                  <w:noProof/>
                </w:rPr>
                <w:fldChar w:fldCharType="end"/>
              </w:r>
              <w:r w:rsidR="00D00415">
                <w:rPr>
                  <w:b/>
                  <w:bCs/>
                  <w:noProof/>
                </w:rPr>
                <w:t xml:space="preserve"> </w:t>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37D2056" w:rsidR="007D1947" w:rsidRDefault="007D1947"/>
        <w:p w14:paraId="224E6CBE" w14:textId="2009EF64" w:rsidR="00693E27" w:rsidRDefault="00693E27"/>
        <w:p w14:paraId="383193F7" w14:textId="610643E5" w:rsidR="00693E27" w:rsidRDefault="00693E27"/>
        <w:p w14:paraId="486787E0" w14:textId="46D4747E" w:rsidR="00693E27" w:rsidRDefault="00693E27"/>
        <w:p w14:paraId="5F85D0A0" w14:textId="2BA17593" w:rsidR="00693E27" w:rsidRDefault="00693E27"/>
        <w:p w14:paraId="6C284E02" w14:textId="77777777" w:rsidR="00693E27" w:rsidRDefault="00693E27"/>
        <w:p w14:paraId="655F29CA" w14:textId="77777777" w:rsidR="007D1947" w:rsidRDefault="007D1947"/>
        <w:p w14:paraId="6304F323" w14:textId="6336CCF3" w:rsidR="00F01B26" w:rsidRPr="00F01B26" w:rsidRDefault="007D1947" w:rsidP="00F01B26">
          <w:pPr>
            <w:pStyle w:val="Heading1"/>
          </w:pPr>
          <w:bookmarkStart w:id="1" w:name="_Toc197932366"/>
          <w:r>
            <w:t>Introduction</w:t>
          </w:r>
          <w:bookmarkEnd w:id="1"/>
          <w:r w:rsidR="00480872">
            <w:t xml:space="preserve"> </w:t>
          </w:r>
          <w:r w:rsidR="00E91208">
            <w:t xml:space="preserve"> </w:t>
          </w:r>
        </w:p>
        <w:p w14:paraId="4FF05EBB" w14:textId="77777777" w:rsidR="00F01B26" w:rsidRDefault="00F01B26" w:rsidP="00F01B26">
          <w:pPr>
            <w:spacing w:line="360" w:lineRule="auto"/>
            <w:rPr>
              <w:rFonts w:ascii="Arial" w:hAnsi="Arial" w:cs="Arial"/>
            </w:rPr>
          </w:pPr>
          <w:r>
            <w:rPr>
              <w:rFonts w:ascii="Arial" w:hAnsi="Arial" w:cs="Arial"/>
            </w:rPr>
            <w:t xml:space="preserve">TATA Steel Limited is a steel making company that has headquarters in India </w:t>
          </w:r>
          <w:r w:rsidRPr="00E12AF2">
            <w:rPr>
              <w:rFonts w:ascii="Arial" w:hAnsi="Arial" w:cs="Arial"/>
            </w:rPr>
            <w:t>(www.tata.com, n.d.)</w:t>
          </w:r>
          <w:r>
            <w:rPr>
              <w:rFonts w:ascii="Arial" w:hAnsi="Arial" w:cs="Arial"/>
            </w:rPr>
            <w:t xml:space="preserve">, but the site that will be discussed in this report is based in Shotton, North Wales. At this site there are several production lines, three coil coating lines, one is galvanising where steel coils are galvanised, and the other two lines are </w:t>
          </w:r>
          <w:proofErr w:type="spellStart"/>
          <w:r>
            <w:rPr>
              <w:rFonts w:ascii="Arial" w:hAnsi="Arial" w:cs="Arial"/>
            </w:rPr>
            <w:t>Colorcoat</w:t>
          </w:r>
          <w:proofErr w:type="spellEnd"/>
          <w:r>
            <w:rPr>
              <w:rFonts w:ascii="Arial" w:hAnsi="Arial" w:cs="Arial"/>
            </w:rPr>
            <w:t xml:space="preserve"> where the galvanised coils are coated with paint. </w:t>
          </w:r>
          <w:r w:rsidRPr="000F611B">
            <w:rPr>
              <w:rFonts w:ascii="Arial" w:hAnsi="Arial" w:cs="Arial"/>
            </w:rPr>
            <w:t>(Tata Steel UK, 2024)</w:t>
          </w:r>
          <w:r>
            <w:rPr>
              <w:rFonts w:ascii="Arial" w:hAnsi="Arial" w:cs="Arial"/>
            </w:rPr>
            <w:t xml:space="preserve">. The products from the </w:t>
          </w:r>
          <w:proofErr w:type="spellStart"/>
          <w:r>
            <w:rPr>
              <w:rFonts w:ascii="Arial" w:hAnsi="Arial" w:cs="Arial"/>
            </w:rPr>
            <w:t>Colorcoat</w:t>
          </w:r>
          <w:proofErr w:type="spellEnd"/>
          <w:r>
            <w:rPr>
              <w:rFonts w:ascii="Arial" w:hAnsi="Arial" w:cs="Arial"/>
            </w:rPr>
            <w:t xml:space="preserve"> lines can vary in the paint systems, colours and even emboss patterns. As part of the end of line release specifications on the two </w:t>
          </w:r>
          <w:proofErr w:type="spellStart"/>
          <w:r>
            <w:rPr>
              <w:rFonts w:ascii="Arial" w:hAnsi="Arial" w:cs="Arial"/>
            </w:rPr>
            <w:t>Colorcoat</w:t>
          </w:r>
          <w:proofErr w:type="spellEnd"/>
          <w:r>
            <w:rPr>
              <w:rFonts w:ascii="Arial" w:hAnsi="Arial" w:cs="Arial"/>
            </w:rPr>
            <w:t xml:space="preserve"> lines there are machines that measure the colour compared to the standard that was agreed with the customer. The change within the organisation that will be discussed within this report is a change of colour machine used within the laboratories. This change had a huge impact on the manufacturing plant, the technical department and incoming supply of materials such as paint due to the new equipment being a different brand, measuring technologies, set up and operation. The colour machine is detrimental to the production line as the </w:t>
          </w:r>
          <w:proofErr w:type="spellStart"/>
          <w:r>
            <w:rPr>
              <w:rFonts w:ascii="Arial" w:hAnsi="Arial" w:cs="Arial"/>
            </w:rPr>
            <w:t>Colorcoat</w:t>
          </w:r>
          <w:proofErr w:type="spellEnd"/>
          <w:r>
            <w:rPr>
              <w:rFonts w:ascii="Arial" w:hAnsi="Arial" w:cs="Arial"/>
            </w:rPr>
            <w:t xml:space="preserve"> lines cannot run without this equipment. The brand of equipment is X-Rite, and the Machines are called ERX-145.</w:t>
          </w:r>
        </w:p>
        <w:p w14:paraId="536EFDAE" w14:textId="77777777" w:rsidR="00F01B26" w:rsidRPr="00746330" w:rsidRDefault="00F01B26" w:rsidP="00F01B26">
          <w:pPr>
            <w:spacing w:line="360" w:lineRule="auto"/>
            <w:rPr>
              <w:rFonts w:ascii="Arial" w:hAnsi="Arial" w:cs="Arial"/>
            </w:rPr>
          </w:pPr>
          <w:r>
            <w:rPr>
              <w:rFonts w:ascii="Arial" w:hAnsi="Arial" w:cs="Arial"/>
            </w:rPr>
            <w:t>This change was viewed differently by different departments, Technical Dept anticipated a lot of work but good results, Manufacturing anticipated their quality being affected and did not want to change their current procedures. Change management is a structural approach for planning and implementing a new way of operating within an organisation.</w:t>
          </w:r>
          <w:r w:rsidRPr="00746330">
            <w:rPr>
              <w:rFonts w:ascii="Times New Roman" w:eastAsia="Times New Roman" w:hAnsi="Times New Roman" w:cs="Times New Roman"/>
              <w:lang w:eastAsia="en-GB"/>
            </w:rPr>
            <w:t xml:space="preserve"> </w:t>
          </w:r>
          <w:r w:rsidRPr="00746330">
            <w:rPr>
              <w:rFonts w:ascii="Arial" w:hAnsi="Arial" w:cs="Arial"/>
            </w:rPr>
            <w:t>(Miranda and Bottorff, 2021)</w:t>
          </w:r>
          <w:r>
            <w:rPr>
              <w:rFonts w:ascii="Arial" w:hAnsi="Arial" w:cs="Arial"/>
            </w:rPr>
            <w:t>. Change management models exist to be used in these situations to provide guidance and direction for managers as these models are based on experience.</w:t>
          </w:r>
          <w:r w:rsidRPr="0002212D">
            <w:rPr>
              <w:rFonts w:ascii="Times New Roman" w:eastAsia="Times New Roman" w:hAnsi="Times New Roman" w:cs="Times New Roman"/>
              <w:lang w:eastAsia="en-GB"/>
            </w:rPr>
            <w:t xml:space="preserve"> </w:t>
          </w:r>
          <w:r w:rsidRPr="0002212D">
            <w:rPr>
              <w:rFonts w:ascii="Arial" w:hAnsi="Arial" w:cs="Arial"/>
            </w:rPr>
            <w:t>(Lewis, 2020)</w:t>
          </w:r>
        </w:p>
        <w:p w14:paraId="5DBAD65B" w14:textId="77777777" w:rsidR="004A11F6" w:rsidRDefault="004A11F6" w:rsidP="00F01B26">
          <w:pPr>
            <w:spacing w:line="360" w:lineRule="auto"/>
          </w:pPr>
        </w:p>
        <w:p w14:paraId="5AD4FC36" w14:textId="77777777" w:rsidR="004A11F6" w:rsidRDefault="004A11F6" w:rsidP="00F01B26">
          <w:pPr>
            <w:spacing w:line="360" w:lineRule="auto"/>
          </w:pPr>
        </w:p>
        <w:p w14:paraId="37DC88C5" w14:textId="77777777" w:rsidR="004A11F6" w:rsidRDefault="004A11F6" w:rsidP="00F01B26">
          <w:pPr>
            <w:spacing w:line="360" w:lineRule="auto"/>
          </w:pPr>
        </w:p>
        <w:p w14:paraId="2277CFA6" w14:textId="77777777" w:rsidR="004A11F6" w:rsidRDefault="004A11F6" w:rsidP="00F01B26">
          <w:pPr>
            <w:spacing w:line="360" w:lineRule="auto"/>
          </w:pPr>
        </w:p>
        <w:p w14:paraId="6965E43A" w14:textId="77777777" w:rsidR="004A11F6" w:rsidRDefault="004A11F6" w:rsidP="00F01B26">
          <w:pPr>
            <w:spacing w:line="360" w:lineRule="auto"/>
          </w:pPr>
        </w:p>
        <w:p w14:paraId="04F16582" w14:textId="77777777" w:rsidR="004A11F6" w:rsidRDefault="004A11F6" w:rsidP="00F01B26">
          <w:pPr>
            <w:spacing w:line="360" w:lineRule="auto"/>
          </w:pPr>
        </w:p>
        <w:p w14:paraId="3BCFD6F0" w14:textId="77777777" w:rsidR="004A11F6" w:rsidRDefault="004A11F6" w:rsidP="00F01B26">
          <w:pPr>
            <w:spacing w:line="360" w:lineRule="auto"/>
          </w:pPr>
        </w:p>
        <w:p w14:paraId="2F757D32" w14:textId="3BBE73A9" w:rsidR="00F01B26" w:rsidRDefault="00F01B26" w:rsidP="00F01B26">
          <w:pPr>
            <w:spacing w:line="360" w:lineRule="auto"/>
          </w:pPr>
        </w:p>
        <w:p w14:paraId="2E293EB9" w14:textId="77777777" w:rsidR="00480872" w:rsidRDefault="00480872" w:rsidP="00F01B26">
          <w:pPr>
            <w:pStyle w:val="Heading1"/>
            <w:spacing w:line="360" w:lineRule="auto"/>
          </w:pPr>
          <w:bookmarkStart w:id="2" w:name="_Toc197932367"/>
          <w:r>
            <w:t xml:space="preserve">Main </w:t>
          </w:r>
          <w:r w:rsidRPr="008D4C45">
            <w:t>Findings</w:t>
          </w:r>
          <w:bookmarkEnd w:id="2"/>
        </w:p>
        <w:p w14:paraId="72A0603E" w14:textId="3CC99DBB" w:rsidR="00F01B26" w:rsidRPr="00A96527" w:rsidRDefault="00F01B26" w:rsidP="00F01B26">
          <w:pPr>
            <w:spacing w:line="360" w:lineRule="auto"/>
            <w:rPr>
              <w:rFonts w:ascii="Arial" w:hAnsi="Arial" w:cs="Arial"/>
            </w:rPr>
          </w:pPr>
          <w:r w:rsidRPr="00A96527">
            <w:rPr>
              <w:rFonts w:ascii="Arial" w:hAnsi="Arial" w:cs="Arial"/>
            </w:rPr>
            <w:t xml:space="preserve">The change of Colour Measurement equipment is a significant as they are the most important part of the end of line release specification. The previous machine that was used for end of line colour release, was handheld, measured with direct contact to the sample and it measured at a 10° angle. The new machine sits on a stand which does not touch the sample being measured, it must sit exactly 50mm away, and measures at a 45° angle. Within the two </w:t>
          </w:r>
          <w:proofErr w:type="spellStart"/>
          <w:r w:rsidR="00A96527">
            <w:rPr>
              <w:rFonts w:ascii="Arial" w:hAnsi="Arial" w:cs="Arial"/>
            </w:rPr>
            <w:t>Colorcoat</w:t>
          </w:r>
          <w:proofErr w:type="spellEnd"/>
          <w:r w:rsidR="00A96527">
            <w:rPr>
              <w:rFonts w:ascii="Arial" w:hAnsi="Arial" w:cs="Arial"/>
            </w:rPr>
            <w:t xml:space="preserve"> </w:t>
          </w:r>
          <w:r w:rsidRPr="00A96527">
            <w:rPr>
              <w:rFonts w:ascii="Arial" w:hAnsi="Arial" w:cs="Arial"/>
            </w:rPr>
            <w:t xml:space="preserve">Line labs and the main Day Laboratory there would be 3 new lab machines. Another part of this change is the online measurement equipment will be replaced by these machines; the old online measurement equipment was X-Rite however they were old models. There is one online measurement head on each of the two </w:t>
          </w:r>
          <w:proofErr w:type="spellStart"/>
          <w:r w:rsidRPr="00A96527">
            <w:rPr>
              <w:rFonts w:ascii="Arial" w:hAnsi="Arial" w:cs="Arial"/>
            </w:rPr>
            <w:t>Colorcoat</w:t>
          </w:r>
          <w:proofErr w:type="spellEnd"/>
          <w:r w:rsidRPr="00A96527">
            <w:rPr>
              <w:rFonts w:ascii="Arial" w:hAnsi="Arial" w:cs="Arial"/>
            </w:rPr>
            <w:t xml:space="preserve"> lines. The new measuring technology was more sensitive than the old due to the previously mentioned differences. For example, two samples differing in gloss, the colour measured on the X-Rite would be very different as the gloss would alter the appearance of the colour whereas the Datacolor measurements would be closer as it doesn’t see gloss.</w:t>
          </w:r>
        </w:p>
        <w:p w14:paraId="0D9914B3" w14:textId="77777777" w:rsidR="00F01B26" w:rsidRPr="00A96527" w:rsidRDefault="00F01B26" w:rsidP="00F01B26">
          <w:pPr>
            <w:spacing w:line="360" w:lineRule="auto"/>
            <w:rPr>
              <w:rFonts w:ascii="Arial" w:hAnsi="Arial" w:cs="Arial"/>
            </w:rPr>
          </w:pPr>
          <w:r w:rsidRPr="00A96527">
            <w:rPr>
              <w:rFonts w:ascii="Arial" w:hAnsi="Arial" w:cs="Arial"/>
            </w:rPr>
            <w:t>There were several drivers for this change, the first being the current equipment was becoming obsolete and there was no current suitable handheld device available on the market for our processes. Both of these drivers for change were external however there were an internal drivers too, the number of colour complaints was increasing so better colour measurement technology was discussed, the other driver was that the two current technologies of colour measurement did not match up and any trends seen in the online measurements could not be seen with the laboratory equipment so it was necessary to align technologies.</w:t>
          </w:r>
        </w:p>
        <w:p w14:paraId="44BBD957" w14:textId="77777777" w:rsidR="00F01B26" w:rsidRPr="00A96527" w:rsidRDefault="00F01B26" w:rsidP="00F01B26">
          <w:pPr>
            <w:spacing w:line="360" w:lineRule="auto"/>
            <w:rPr>
              <w:rFonts w:ascii="Arial" w:hAnsi="Arial" w:cs="Arial"/>
            </w:rPr>
          </w:pPr>
          <w:r w:rsidRPr="00A96527">
            <w:rPr>
              <w:rFonts w:ascii="Arial" w:hAnsi="Arial" w:cs="Arial"/>
            </w:rPr>
            <w:t xml:space="preserve">The intended goals for this change were to align measurement, improve complaints, and have more reliable equipment. Technicians within this change were to support the manufacturing teams by training and providing guidance until confidence from the teams and higher management teams had grown and we would be able to use the new X-Rite equipment for end of line release. </w:t>
          </w:r>
        </w:p>
        <w:p w14:paraId="1DF8B965" w14:textId="0156A596" w:rsidR="00F01B26" w:rsidRPr="00A96527" w:rsidRDefault="00F01B26" w:rsidP="00F01B26">
          <w:pPr>
            <w:spacing w:line="360" w:lineRule="auto"/>
            <w:rPr>
              <w:rFonts w:ascii="Arial" w:hAnsi="Arial" w:cs="Arial"/>
            </w:rPr>
          </w:pPr>
          <w:r w:rsidRPr="00A96527">
            <w:rPr>
              <w:rFonts w:ascii="Arial" w:hAnsi="Arial" w:cs="Arial"/>
            </w:rPr>
            <w:t xml:space="preserve">The initial plan was to use both machines </w:t>
          </w:r>
          <w:r w:rsidR="00D00415" w:rsidRPr="00A96527">
            <w:rPr>
              <w:rFonts w:ascii="Arial" w:hAnsi="Arial" w:cs="Arial"/>
            </w:rPr>
            <w:t>alongside</w:t>
          </w:r>
          <w:r w:rsidRPr="00A96527">
            <w:rPr>
              <w:rFonts w:ascii="Arial" w:hAnsi="Arial" w:cs="Arial"/>
            </w:rPr>
            <w:t xml:space="preserve"> each other whilst assessing the quality of the standards that had been loaded into the machine, this data was to be assessed by Technicians until most of the standards of frequent runners were of good quality. The equipment was being installed at the end of January, after 3 months of standard updates and information from daily testing we were going to look at switching over to use the new equipment as release. During these 3 months, all operators would’ve been trained and had </w:t>
          </w:r>
          <w:r w:rsidRPr="00A96527">
            <w:rPr>
              <w:rFonts w:ascii="Arial" w:hAnsi="Arial" w:cs="Arial"/>
            </w:rPr>
            <w:lastRenderedPageBreak/>
            <w:t xml:space="preserve">time to practise with the machine. However, this did not go to plan, there were several occasions throughout February where the old equipment failed, and the operators were given instructions to use equipment that not everyone was trained on until the next working day where the day teams could fix the old equipment. </w:t>
          </w:r>
        </w:p>
        <w:p w14:paraId="69ED276A" w14:textId="77777777" w:rsidR="00F01B26" w:rsidRPr="00A96527" w:rsidRDefault="00F01B26" w:rsidP="00F01B26">
          <w:pPr>
            <w:spacing w:line="360" w:lineRule="auto"/>
            <w:rPr>
              <w:rFonts w:ascii="Arial" w:hAnsi="Arial" w:cs="Arial"/>
            </w:rPr>
          </w:pPr>
          <w:r w:rsidRPr="00A96527">
            <w:rPr>
              <w:rFonts w:ascii="Arial" w:hAnsi="Arial" w:cs="Arial"/>
            </w:rPr>
            <w:t>The failures of the old equipment had not been factored into the time scales of preparation to use the new equipment, the plan failed 1</w:t>
          </w:r>
          <w:r w:rsidRPr="00A96527">
            <w:rPr>
              <w:rFonts w:ascii="Arial" w:hAnsi="Arial" w:cs="Arial"/>
              <w:vertAlign w:val="superscript"/>
            </w:rPr>
            <w:t>st</w:t>
          </w:r>
          <w:r w:rsidRPr="00A96527">
            <w:rPr>
              <w:rFonts w:ascii="Arial" w:hAnsi="Arial" w:cs="Arial"/>
            </w:rPr>
            <w:t xml:space="preserve"> March where there were no more of the old equipment that were usable. </w:t>
          </w:r>
        </w:p>
        <w:p w14:paraId="4A0DF189" w14:textId="77777777" w:rsidR="00F01B26" w:rsidRPr="00A96527" w:rsidRDefault="00F01B26" w:rsidP="00F01B26">
          <w:pPr>
            <w:spacing w:line="360" w:lineRule="auto"/>
            <w:rPr>
              <w:rFonts w:ascii="Arial" w:hAnsi="Arial" w:cs="Arial"/>
            </w:rPr>
          </w:pPr>
          <w:r w:rsidRPr="00A96527">
            <w:rPr>
              <w:rFonts w:ascii="Arial" w:hAnsi="Arial" w:cs="Arial"/>
            </w:rPr>
            <w:t xml:space="preserve">In preparation for this impromptu changeover, there had been a management of change carried out but there was no consideration for the failure of old machines. It was also noted that the training of all operators needed to be completed before the instruments went live, this did not happen. The operators on shift had to teach their other colleagues with the support of the two Technicians within the technical department. These technicians also had to manage the schedules to ensure that the standards had been loaded into the instrument the day before as not all standards had been loaded. </w:t>
          </w:r>
        </w:p>
        <w:p w14:paraId="13F8016B" w14:textId="77777777" w:rsidR="00F01B26" w:rsidRPr="00A96527" w:rsidRDefault="00F01B26" w:rsidP="00F01B26">
          <w:pPr>
            <w:spacing w:line="360" w:lineRule="auto"/>
            <w:rPr>
              <w:rFonts w:ascii="Arial" w:hAnsi="Arial" w:cs="Arial"/>
            </w:rPr>
          </w:pPr>
          <w:r w:rsidRPr="00A96527">
            <w:rPr>
              <w:rFonts w:ascii="Arial" w:hAnsi="Arial" w:cs="Arial"/>
            </w:rPr>
            <w:t>The plan would’ve worked well and efficiently if there had not been such a large failure. This then led to poor management of who was trained and what was working well until this point. Manufacturing and management teams had the opinion that if production was not being disrupted the changeover was being managed sufficiently, however in Technical there was no traceability. One of the few benefits of this failure was that there was an increase in communication between the manufacturing teams and technical. This improved the speed at which the standards issues were resolved.</w:t>
          </w:r>
        </w:p>
        <w:p w14:paraId="3A8AB7F9" w14:textId="56D64ACE" w:rsidR="00F01B26" w:rsidRPr="00A96527" w:rsidRDefault="00F01B26" w:rsidP="00F01B26">
          <w:pPr>
            <w:spacing w:line="360" w:lineRule="auto"/>
            <w:rPr>
              <w:rFonts w:ascii="Arial" w:hAnsi="Arial" w:cs="Arial"/>
            </w:rPr>
          </w:pPr>
          <w:r w:rsidRPr="00A96527">
            <w:rPr>
              <w:rFonts w:ascii="Arial" w:hAnsi="Arial" w:cs="Arial"/>
            </w:rPr>
            <w:t>One change management model that can be used is Lewin’s Model; it is one of the earliest models in change management. This structured approach aids management and organisations in helping the preparation of the change and solidify the change effectively.</w:t>
          </w:r>
          <w:r w:rsidRPr="00A96527">
            <w:rPr>
              <w:rFonts w:ascii="Arial" w:eastAsia="Times New Roman" w:hAnsi="Arial" w:cs="Arial"/>
              <w:lang w:eastAsia="en-GB"/>
            </w:rPr>
            <w:t xml:space="preserve"> </w:t>
          </w:r>
          <w:r w:rsidRPr="00A96527">
            <w:rPr>
              <w:rFonts w:ascii="Arial" w:hAnsi="Arial" w:cs="Arial"/>
            </w:rPr>
            <w:t>(</w:t>
          </w:r>
          <w:proofErr w:type="spellStart"/>
          <w:r w:rsidRPr="00A96527">
            <w:rPr>
              <w:rFonts w:ascii="Arial" w:hAnsi="Arial" w:cs="Arial"/>
            </w:rPr>
            <w:t>Prosci</w:t>
          </w:r>
          <w:proofErr w:type="spellEnd"/>
          <w:r w:rsidRPr="00A96527">
            <w:rPr>
              <w:rFonts w:ascii="Arial" w:hAnsi="Arial" w:cs="Arial"/>
            </w:rPr>
            <w:t>, 2024).</w:t>
          </w:r>
          <w:r w:rsidR="00D54292">
            <w:rPr>
              <w:rFonts w:ascii="Arial" w:hAnsi="Arial" w:cs="Arial"/>
            </w:rPr>
            <w:t xml:space="preserve"> </w:t>
          </w:r>
          <w:r w:rsidRPr="00A96527">
            <w:rPr>
              <w:rFonts w:ascii="Arial" w:hAnsi="Arial" w:cs="Arial"/>
            </w:rPr>
            <w:t>The model has 3 steps, step one being to unfreeze so to take apart the existing ways of doing things, step 2 is to make the change, step 3 is to put the pieces back together in the new way (refreeze). (Lewin and Cartwright, 1951)</w:t>
          </w:r>
        </w:p>
        <w:p w14:paraId="76C0A06C" w14:textId="77777777" w:rsidR="00F01B26" w:rsidRPr="00A96527" w:rsidRDefault="00F01B26" w:rsidP="00F01B26">
          <w:pPr>
            <w:spacing w:line="360" w:lineRule="auto"/>
            <w:ind w:left="360"/>
            <w:rPr>
              <w:rFonts w:ascii="Arial" w:hAnsi="Arial" w:cs="Arial"/>
            </w:rPr>
          </w:pPr>
          <w:r w:rsidRPr="00A96527">
            <w:rPr>
              <w:rFonts w:ascii="Arial" w:hAnsi="Arial" w:cs="Arial"/>
            </w:rPr>
            <w:lastRenderedPageBreak/>
            <w:drawing>
              <wp:inline distT="0" distB="0" distL="0" distR="0" wp14:anchorId="3B2045E8" wp14:editId="60269F29">
                <wp:extent cx="4534293" cy="2522439"/>
                <wp:effectExtent l="0" t="0" r="0" b="0"/>
                <wp:docPr id="1937734554" name="Picture 1" descr="A diagram of a chan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734554" name="Picture 1" descr="A diagram of a change&#10;&#10;AI-generated content may be incorrect."/>
                        <pic:cNvPicPr/>
                      </pic:nvPicPr>
                      <pic:blipFill>
                        <a:blip r:embed="rId12"/>
                        <a:stretch>
                          <a:fillRect/>
                        </a:stretch>
                      </pic:blipFill>
                      <pic:spPr>
                        <a:xfrm>
                          <a:off x="0" y="0"/>
                          <a:ext cx="4534293" cy="2522439"/>
                        </a:xfrm>
                        <a:prstGeom prst="rect">
                          <a:avLst/>
                        </a:prstGeom>
                      </pic:spPr>
                    </pic:pic>
                  </a:graphicData>
                </a:graphic>
              </wp:inline>
            </w:drawing>
          </w:r>
        </w:p>
        <w:p w14:paraId="56D74EB0" w14:textId="77777777" w:rsidR="00F01B26" w:rsidRPr="00A96527" w:rsidRDefault="00F01B26" w:rsidP="00F01B26">
          <w:pPr>
            <w:spacing w:line="360" w:lineRule="auto"/>
            <w:ind w:left="360"/>
            <w:rPr>
              <w:rFonts w:ascii="Arial" w:hAnsi="Arial" w:cs="Arial"/>
            </w:rPr>
          </w:pPr>
          <w:r w:rsidRPr="00197BE2">
            <w:rPr>
              <w:rFonts w:ascii="Arial" w:hAnsi="Arial" w:cs="Arial"/>
            </w:rPr>
            <w:t>(Lewis, 2020)</w:t>
          </w:r>
        </w:p>
        <w:p w14:paraId="1CF28EBB" w14:textId="77777777" w:rsidR="00F01B26" w:rsidRPr="00A96527" w:rsidRDefault="00F01B26" w:rsidP="00F01B26">
          <w:pPr>
            <w:spacing w:line="360" w:lineRule="auto"/>
            <w:ind w:left="360"/>
            <w:rPr>
              <w:rFonts w:ascii="Arial" w:hAnsi="Arial" w:cs="Arial"/>
            </w:rPr>
          </w:pPr>
        </w:p>
        <w:p w14:paraId="205A58C7" w14:textId="77777777" w:rsidR="00F01B26" w:rsidRPr="00A96527" w:rsidRDefault="00F01B26" w:rsidP="00F01B26">
          <w:pPr>
            <w:spacing w:line="360" w:lineRule="auto"/>
            <w:rPr>
              <w:rFonts w:ascii="Arial" w:hAnsi="Arial" w:cs="Arial"/>
            </w:rPr>
          </w:pPr>
          <w:r w:rsidRPr="00A96527">
            <w:rPr>
              <w:rFonts w:ascii="Arial" w:hAnsi="Arial" w:cs="Arial"/>
            </w:rPr>
            <w:t>When applying Lewin’s Forcefield of analysis as a tool for organisational changes where there is a need to balance both forces supporting and against the changes. These forces can be identified by using tools such as SWOT or PESTLE. (Tahir, 2019)</w:t>
          </w:r>
        </w:p>
        <w:p w14:paraId="450C90A7" w14:textId="77777777" w:rsidR="00F01B26" w:rsidRPr="00A96527" w:rsidRDefault="00F01B26" w:rsidP="00F01B26">
          <w:pPr>
            <w:spacing w:line="360" w:lineRule="auto"/>
            <w:ind w:left="360"/>
            <w:rPr>
              <w:rFonts w:ascii="Arial" w:hAnsi="Arial" w:cs="Arial"/>
            </w:rPr>
          </w:pPr>
          <w:r w:rsidRPr="00A96527">
            <w:rPr>
              <w:rFonts w:ascii="Arial" w:hAnsi="Arial" w:cs="Arial"/>
              <w:noProof/>
            </w:rPr>
            <w:drawing>
              <wp:inline distT="0" distB="0" distL="0" distR="0" wp14:anchorId="44B4C57B" wp14:editId="6608D480">
                <wp:extent cx="3907971" cy="3038322"/>
                <wp:effectExtent l="0" t="0" r="0" b="0"/>
                <wp:docPr id="377949055" name="Picture 1" descr="Kurt Lewin's Force Field Analysi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rt Lewin's Force Field Analysis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913478" cy="3042604"/>
                        </a:xfrm>
                        <a:prstGeom prst="rect">
                          <a:avLst/>
                        </a:prstGeom>
                        <a:noFill/>
                        <a:ln>
                          <a:noFill/>
                        </a:ln>
                      </pic:spPr>
                    </pic:pic>
                  </a:graphicData>
                </a:graphic>
              </wp:inline>
            </w:drawing>
          </w:r>
        </w:p>
        <w:p w14:paraId="0E161FA7" w14:textId="77777777" w:rsidR="00F01B26" w:rsidRPr="003570A1" w:rsidRDefault="00F01B26" w:rsidP="00F01B26">
          <w:pPr>
            <w:spacing w:before="80" w:after="40" w:line="360" w:lineRule="auto"/>
            <w:ind w:left="360"/>
            <w:rPr>
              <w:rFonts w:ascii="Arial" w:hAnsi="Arial" w:cs="Arial"/>
            </w:rPr>
          </w:pPr>
          <w:r w:rsidRPr="003570A1">
            <w:rPr>
              <w:rFonts w:ascii="Arial" w:hAnsi="Arial" w:cs="Arial"/>
            </w:rPr>
            <w:t>(Connelly, 2023)</w:t>
          </w:r>
        </w:p>
        <w:p w14:paraId="01C8FA00" w14:textId="77777777" w:rsidR="00F01B26" w:rsidRPr="00A96527" w:rsidRDefault="00F01B26" w:rsidP="00F01B26">
          <w:pPr>
            <w:spacing w:line="360" w:lineRule="auto"/>
            <w:rPr>
              <w:rFonts w:ascii="Arial" w:hAnsi="Arial" w:cs="Arial"/>
            </w:rPr>
          </w:pPr>
          <w:r w:rsidRPr="00A96527">
            <w:rPr>
              <w:rFonts w:ascii="Arial" w:hAnsi="Arial" w:cs="Arial"/>
            </w:rPr>
            <w:t xml:space="preserve">In the table below are the driving and resisting forces, each scored to represent how big of an impact those forces have. </w:t>
          </w:r>
        </w:p>
        <w:p w14:paraId="162B8B8C" w14:textId="77777777" w:rsidR="00F01B26" w:rsidRPr="00A96527" w:rsidRDefault="00F01B26" w:rsidP="00F01B26">
          <w:pPr>
            <w:spacing w:line="360" w:lineRule="auto"/>
            <w:ind w:left="360"/>
            <w:rPr>
              <w:rFonts w:ascii="Arial" w:hAnsi="Arial" w:cs="Arial"/>
            </w:rPr>
          </w:pPr>
        </w:p>
        <w:tbl>
          <w:tblPr>
            <w:tblStyle w:val="TableGrid"/>
            <w:tblW w:w="0" w:type="auto"/>
            <w:tblInd w:w="360" w:type="dxa"/>
            <w:tblLook w:val="04A0" w:firstRow="1" w:lastRow="0" w:firstColumn="1" w:lastColumn="0" w:noHBand="0" w:noVBand="1"/>
          </w:tblPr>
          <w:tblGrid>
            <w:gridCol w:w="2915"/>
            <w:gridCol w:w="2881"/>
            <w:gridCol w:w="2860"/>
          </w:tblGrid>
          <w:tr w:rsidR="00F01B26" w:rsidRPr="00A96527" w14:paraId="70257E9E" w14:textId="77777777" w:rsidTr="00340AAD">
            <w:tc>
              <w:tcPr>
                <w:tcW w:w="3005" w:type="dxa"/>
              </w:tcPr>
              <w:p w14:paraId="1F954085"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lastRenderedPageBreak/>
                  <w:t>Force</w:t>
                </w:r>
              </w:p>
            </w:tc>
            <w:tc>
              <w:tcPr>
                <w:tcW w:w="3005" w:type="dxa"/>
              </w:tcPr>
              <w:p w14:paraId="3BD903CF"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Type</w:t>
                </w:r>
              </w:p>
            </w:tc>
            <w:tc>
              <w:tcPr>
                <w:tcW w:w="3006" w:type="dxa"/>
              </w:tcPr>
              <w:p w14:paraId="0F73FFB5"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Score (1-5)</w:t>
                </w:r>
              </w:p>
            </w:tc>
          </w:tr>
          <w:tr w:rsidR="00F01B26" w:rsidRPr="00A96527" w14:paraId="71469EF9" w14:textId="77777777" w:rsidTr="00340AAD">
            <w:tc>
              <w:tcPr>
                <w:tcW w:w="3005" w:type="dxa"/>
              </w:tcPr>
              <w:p w14:paraId="6977789E"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New Technology</w:t>
                </w:r>
              </w:p>
            </w:tc>
            <w:tc>
              <w:tcPr>
                <w:tcW w:w="3005" w:type="dxa"/>
              </w:tcPr>
              <w:p w14:paraId="275B441B"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Driving</w:t>
                </w:r>
              </w:p>
            </w:tc>
            <w:tc>
              <w:tcPr>
                <w:tcW w:w="3006" w:type="dxa"/>
              </w:tcPr>
              <w:p w14:paraId="73507933"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2</w:t>
                </w:r>
              </w:p>
            </w:tc>
          </w:tr>
          <w:tr w:rsidR="00F01B26" w:rsidRPr="00A96527" w14:paraId="613FAB4A" w14:textId="77777777" w:rsidTr="00340AAD">
            <w:tc>
              <w:tcPr>
                <w:tcW w:w="3005" w:type="dxa"/>
              </w:tcPr>
              <w:p w14:paraId="3D4DA3A1"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Management pressure</w:t>
                </w:r>
              </w:p>
            </w:tc>
            <w:tc>
              <w:tcPr>
                <w:tcW w:w="3005" w:type="dxa"/>
              </w:tcPr>
              <w:p w14:paraId="668B23FD"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Driving</w:t>
                </w:r>
              </w:p>
            </w:tc>
            <w:tc>
              <w:tcPr>
                <w:tcW w:w="3006" w:type="dxa"/>
              </w:tcPr>
              <w:p w14:paraId="02F08C36"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5</w:t>
                </w:r>
              </w:p>
            </w:tc>
          </w:tr>
          <w:tr w:rsidR="00F01B26" w:rsidRPr="00A96527" w14:paraId="02267A78" w14:textId="77777777" w:rsidTr="00340AAD">
            <w:tc>
              <w:tcPr>
                <w:tcW w:w="3005" w:type="dxa"/>
              </w:tcPr>
              <w:p w14:paraId="629B0E26"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incentives</w:t>
                </w:r>
              </w:p>
            </w:tc>
            <w:tc>
              <w:tcPr>
                <w:tcW w:w="3005" w:type="dxa"/>
              </w:tcPr>
              <w:p w14:paraId="717AB798"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Driving</w:t>
                </w:r>
              </w:p>
            </w:tc>
            <w:tc>
              <w:tcPr>
                <w:tcW w:w="3006" w:type="dxa"/>
              </w:tcPr>
              <w:p w14:paraId="0BE242B9"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2</w:t>
                </w:r>
              </w:p>
            </w:tc>
          </w:tr>
          <w:tr w:rsidR="00F01B26" w:rsidRPr="00A96527" w14:paraId="43AF1E48" w14:textId="77777777" w:rsidTr="00340AAD">
            <w:tc>
              <w:tcPr>
                <w:tcW w:w="3005" w:type="dxa"/>
              </w:tcPr>
              <w:p w14:paraId="1934F71B"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Improved customer perception</w:t>
                </w:r>
              </w:p>
            </w:tc>
            <w:tc>
              <w:tcPr>
                <w:tcW w:w="3005" w:type="dxa"/>
              </w:tcPr>
              <w:p w14:paraId="1FF8926A"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Driving</w:t>
                </w:r>
              </w:p>
            </w:tc>
            <w:tc>
              <w:tcPr>
                <w:tcW w:w="3006" w:type="dxa"/>
              </w:tcPr>
              <w:p w14:paraId="1E15C18E"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4</w:t>
                </w:r>
              </w:p>
            </w:tc>
          </w:tr>
          <w:tr w:rsidR="00F01B26" w:rsidRPr="00A96527" w14:paraId="051B3764" w14:textId="77777777" w:rsidTr="00340AAD">
            <w:tc>
              <w:tcPr>
                <w:tcW w:w="3005" w:type="dxa"/>
              </w:tcPr>
              <w:p w14:paraId="302984C0"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Old Habits of employees</w:t>
                </w:r>
              </w:p>
            </w:tc>
            <w:tc>
              <w:tcPr>
                <w:tcW w:w="3005" w:type="dxa"/>
              </w:tcPr>
              <w:p w14:paraId="43D6965D"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 xml:space="preserve">Resisting </w:t>
                </w:r>
              </w:p>
            </w:tc>
            <w:tc>
              <w:tcPr>
                <w:tcW w:w="3006" w:type="dxa"/>
              </w:tcPr>
              <w:p w14:paraId="1A5334BF"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4</w:t>
                </w:r>
              </w:p>
            </w:tc>
          </w:tr>
          <w:tr w:rsidR="00F01B26" w:rsidRPr="00A96527" w14:paraId="6F24F617" w14:textId="77777777" w:rsidTr="00340AAD">
            <w:tc>
              <w:tcPr>
                <w:tcW w:w="3005" w:type="dxa"/>
              </w:tcPr>
              <w:p w14:paraId="0028AD0E"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Lack of training</w:t>
                </w:r>
              </w:p>
            </w:tc>
            <w:tc>
              <w:tcPr>
                <w:tcW w:w="3005" w:type="dxa"/>
              </w:tcPr>
              <w:p w14:paraId="3383AEA1"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Resisting</w:t>
                </w:r>
              </w:p>
            </w:tc>
            <w:tc>
              <w:tcPr>
                <w:tcW w:w="3006" w:type="dxa"/>
              </w:tcPr>
              <w:p w14:paraId="5DCF2756"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2</w:t>
                </w:r>
              </w:p>
            </w:tc>
          </w:tr>
          <w:tr w:rsidR="00F01B26" w:rsidRPr="00A96527" w14:paraId="01BCD6AF" w14:textId="77777777" w:rsidTr="00340AAD">
            <w:tc>
              <w:tcPr>
                <w:tcW w:w="3005" w:type="dxa"/>
              </w:tcPr>
              <w:p w14:paraId="7801C71D"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Expensive</w:t>
                </w:r>
              </w:p>
            </w:tc>
            <w:tc>
              <w:tcPr>
                <w:tcW w:w="3005" w:type="dxa"/>
              </w:tcPr>
              <w:p w14:paraId="77409FFD"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Resisting</w:t>
                </w:r>
              </w:p>
            </w:tc>
            <w:tc>
              <w:tcPr>
                <w:tcW w:w="3006" w:type="dxa"/>
              </w:tcPr>
              <w:p w14:paraId="0546A1E1"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3</w:t>
                </w:r>
              </w:p>
            </w:tc>
          </w:tr>
          <w:tr w:rsidR="00F01B26" w:rsidRPr="00A96527" w14:paraId="4BC9A08D" w14:textId="77777777" w:rsidTr="00340AAD">
            <w:tc>
              <w:tcPr>
                <w:tcW w:w="3005" w:type="dxa"/>
              </w:tcPr>
              <w:p w14:paraId="4484B5EA"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Organisational culture</w:t>
                </w:r>
              </w:p>
            </w:tc>
            <w:tc>
              <w:tcPr>
                <w:tcW w:w="3005" w:type="dxa"/>
              </w:tcPr>
              <w:p w14:paraId="3243B0A5"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Resisting</w:t>
                </w:r>
              </w:p>
            </w:tc>
            <w:tc>
              <w:tcPr>
                <w:tcW w:w="3006" w:type="dxa"/>
              </w:tcPr>
              <w:p w14:paraId="69DC843A"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3</w:t>
                </w:r>
              </w:p>
            </w:tc>
          </w:tr>
          <w:tr w:rsidR="00F01B26" w:rsidRPr="00A96527" w14:paraId="5B9E6699" w14:textId="77777777" w:rsidTr="00340AAD">
            <w:tc>
              <w:tcPr>
                <w:tcW w:w="3005" w:type="dxa"/>
              </w:tcPr>
              <w:p w14:paraId="11212841"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No set time scale</w:t>
                </w:r>
              </w:p>
            </w:tc>
            <w:tc>
              <w:tcPr>
                <w:tcW w:w="3005" w:type="dxa"/>
              </w:tcPr>
              <w:p w14:paraId="4011EFB9"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Resisting</w:t>
                </w:r>
              </w:p>
            </w:tc>
            <w:tc>
              <w:tcPr>
                <w:tcW w:w="3006" w:type="dxa"/>
              </w:tcPr>
              <w:p w14:paraId="0B266932" w14:textId="77777777" w:rsidR="00F01B26" w:rsidRPr="00A96527" w:rsidRDefault="00F01B26" w:rsidP="00F01B26">
                <w:pPr>
                  <w:spacing w:line="360" w:lineRule="auto"/>
                  <w:rPr>
                    <w:rFonts w:ascii="Arial" w:hAnsi="Arial" w:cs="Arial"/>
                    <w:sz w:val="22"/>
                    <w:szCs w:val="22"/>
                  </w:rPr>
                </w:pPr>
                <w:r w:rsidRPr="00A96527">
                  <w:rPr>
                    <w:rFonts w:ascii="Arial" w:hAnsi="Arial" w:cs="Arial"/>
                    <w:sz w:val="22"/>
                    <w:szCs w:val="22"/>
                  </w:rPr>
                  <w:t>5</w:t>
                </w:r>
              </w:p>
            </w:tc>
          </w:tr>
        </w:tbl>
        <w:p w14:paraId="66D2E7B4" w14:textId="77777777" w:rsidR="00F01B26" w:rsidRPr="00A96527" w:rsidRDefault="00F01B26" w:rsidP="00F01B26">
          <w:pPr>
            <w:spacing w:line="360" w:lineRule="auto"/>
            <w:ind w:left="360"/>
            <w:rPr>
              <w:rFonts w:ascii="Arial" w:hAnsi="Arial" w:cs="Arial"/>
            </w:rPr>
          </w:pPr>
        </w:p>
        <w:p w14:paraId="440FC25A" w14:textId="77777777" w:rsidR="00F01B26" w:rsidRPr="00A96527" w:rsidRDefault="00F01B26" w:rsidP="00F01B26">
          <w:pPr>
            <w:spacing w:line="360" w:lineRule="auto"/>
            <w:rPr>
              <w:rFonts w:ascii="Arial" w:hAnsi="Arial" w:cs="Arial"/>
            </w:rPr>
          </w:pPr>
          <w:r w:rsidRPr="00A96527">
            <w:rPr>
              <w:rFonts w:ascii="Arial" w:hAnsi="Arial" w:cs="Arial"/>
            </w:rPr>
            <w:t>The driving forces in this organisational change are new technology, pressure from management and incentives. New technology is always a good investment and even though replacing this much equipment at once is expensive it is justified and has many benefits. The pressure from management is due to the old equipment being unreliable the other driving force being incentives is that the bonuses are partially calculated from customer claims so an improvement in quality can improve the bonus for the site.</w:t>
          </w:r>
        </w:p>
        <w:p w14:paraId="2B9FC7FE" w14:textId="0F0E82F8" w:rsidR="00F01B26" w:rsidRPr="00A96527" w:rsidRDefault="00F01B26" w:rsidP="00F01B26">
          <w:pPr>
            <w:spacing w:line="360" w:lineRule="auto"/>
            <w:rPr>
              <w:rFonts w:ascii="Arial" w:hAnsi="Arial" w:cs="Arial"/>
            </w:rPr>
          </w:pPr>
          <w:r w:rsidRPr="00A96527">
            <w:rPr>
              <w:rFonts w:ascii="Arial" w:hAnsi="Arial" w:cs="Arial"/>
            </w:rPr>
            <w:t xml:space="preserve">On the other hand, there are restraining forces, in this case it includes old habits of employees and organisational culture. Generally, there is some resistance </w:t>
          </w:r>
          <w:r w:rsidR="00A96527" w:rsidRPr="00A96527">
            <w:rPr>
              <w:rFonts w:ascii="Arial" w:hAnsi="Arial" w:cs="Arial"/>
            </w:rPr>
            <w:t>for any</w:t>
          </w:r>
          <w:r w:rsidRPr="00A96527">
            <w:rPr>
              <w:rFonts w:ascii="Arial" w:hAnsi="Arial" w:cs="Arial"/>
            </w:rPr>
            <w:t xml:space="preserve"> change especially one that affects daily work. Many employees are unwilling to train and since this new equipment is more sensitive it means they will initially have more quality holds which is tracked for each shift. This is also where organisational culture comes in, many shifts and team leaders are not open to changing over to a machine they know will affect their quality numbers, opinions given when the initial roll out began was that they would use the old equipment until they possibly could as the numbers were ‘better’. Another resisting force is there was no set time scale, which meant there was resistance to using the new equipment. </w:t>
          </w:r>
        </w:p>
        <w:p w14:paraId="2BC83830" w14:textId="6B011126" w:rsidR="00F01B26" w:rsidRPr="00A96527" w:rsidRDefault="00F01B26" w:rsidP="00F01B26">
          <w:pPr>
            <w:spacing w:line="360" w:lineRule="auto"/>
            <w:rPr>
              <w:rFonts w:ascii="Arial" w:hAnsi="Arial" w:cs="Arial"/>
            </w:rPr>
          </w:pPr>
          <w:r w:rsidRPr="00A96527">
            <w:rPr>
              <w:rFonts w:ascii="Arial" w:hAnsi="Arial" w:cs="Arial"/>
            </w:rPr>
            <w:t>Through this analysis, the score for driving forces was thirteen, with the resisting forces scoring at seventeen. This shows that the resisting forces were stronger than the driving forces which means there needed to be more effort for this change to be successful and by limiting the resistance or an increase in the driving forces</w:t>
          </w:r>
          <w:r w:rsidR="00AA4C51">
            <w:rPr>
              <w:rFonts w:ascii="Arial" w:hAnsi="Arial" w:cs="Arial"/>
            </w:rPr>
            <w:t xml:space="preserve">, this could be done </w:t>
          </w:r>
          <w:r w:rsidR="009D571C">
            <w:rPr>
              <w:rFonts w:ascii="Arial" w:hAnsi="Arial" w:cs="Arial"/>
            </w:rPr>
            <w:t xml:space="preserve">by addressing issues with employees through open dialogue or </w:t>
          </w:r>
          <w:r w:rsidR="00E8029B">
            <w:rPr>
              <w:rFonts w:ascii="Arial" w:hAnsi="Arial" w:cs="Arial"/>
            </w:rPr>
            <w:t xml:space="preserve">proving additional resources to support the </w:t>
          </w:r>
          <w:proofErr w:type="gramStart"/>
          <w:r w:rsidR="00E8029B">
            <w:rPr>
              <w:rFonts w:ascii="Arial" w:hAnsi="Arial" w:cs="Arial"/>
            </w:rPr>
            <w:t xml:space="preserve">change </w:t>
          </w:r>
          <w:r w:rsidR="00AA4C51">
            <w:rPr>
              <w:rFonts w:ascii="Arial" w:hAnsi="Arial" w:cs="Arial"/>
            </w:rPr>
            <w:t xml:space="preserve"> </w:t>
          </w:r>
          <w:r w:rsidR="00671928" w:rsidRPr="00671928">
            <w:rPr>
              <w:rFonts w:ascii="Arial" w:hAnsi="Arial" w:cs="Arial"/>
            </w:rPr>
            <w:t>(</w:t>
          </w:r>
          <w:proofErr w:type="gramEnd"/>
          <w:r w:rsidR="00671928" w:rsidRPr="00671928">
            <w:rPr>
              <w:rFonts w:ascii="Arial" w:hAnsi="Arial" w:cs="Arial"/>
            </w:rPr>
            <w:t>Six Sigma, 2024)</w:t>
          </w:r>
          <w:r w:rsidR="00E8029B">
            <w:rPr>
              <w:rFonts w:ascii="Arial" w:hAnsi="Arial" w:cs="Arial"/>
            </w:rPr>
            <w:t>.</w:t>
          </w:r>
          <w:r w:rsidRPr="00A96527">
            <w:rPr>
              <w:rFonts w:ascii="Arial" w:hAnsi="Arial" w:cs="Arial"/>
            </w:rPr>
            <w:t xml:space="preserve"> With the failure occurring, resisting factors contributed to the change not being successful. After a significant amount of time the outcome of this change had benefitted the company in the ways that it intended.</w:t>
          </w:r>
        </w:p>
        <w:p w14:paraId="4B045BB3" w14:textId="77777777" w:rsidR="00F01B26" w:rsidRPr="00A96527" w:rsidRDefault="00F01B26" w:rsidP="00F01B26">
          <w:pPr>
            <w:tabs>
              <w:tab w:val="left" w:pos="2292"/>
            </w:tabs>
            <w:spacing w:line="360" w:lineRule="auto"/>
            <w:rPr>
              <w:rFonts w:ascii="Arial" w:hAnsi="Arial" w:cs="Arial"/>
            </w:rPr>
          </w:pPr>
          <w:r w:rsidRPr="00A96527">
            <w:rPr>
              <w:rFonts w:ascii="Arial" w:hAnsi="Arial" w:cs="Arial"/>
              <w:noProof/>
            </w:rPr>
            <w:lastRenderedPageBreak/>
            <w:drawing>
              <wp:inline distT="0" distB="0" distL="0" distR="0" wp14:anchorId="073A72E7" wp14:editId="6856C4D5">
                <wp:extent cx="5731510" cy="3209925"/>
                <wp:effectExtent l="0" t="0" r="2540" b="9525"/>
                <wp:docPr id="839079585" name="Picture 1" descr="Kotters 8 step change model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tters 8 step change model diagra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209925"/>
                        </a:xfrm>
                        <a:prstGeom prst="rect">
                          <a:avLst/>
                        </a:prstGeom>
                        <a:noFill/>
                        <a:ln>
                          <a:noFill/>
                        </a:ln>
                      </pic:spPr>
                    </pic:pic>
                  </a:graphicData>
                </a:graphic>
              </wp:inline>
            </w:drawing>
          </w:r>
        </w:p>
        <w:p w14:paraId="013EB9FF" w14:textId="77777777" w:rsidR="00F01B26" w:rsidRPr="00AB4166" w:rsidRDefault="00F01B26" w:rsidP="00F01B26">
          <w:pPr>
            <w:spacing w:before="80" w:after="40" w:line="360" w:lineRule="auto"/>
            <w:rPr>
              <w:rFonts w:ascii="Arial" w:hAnsi="Arial" w:cs="Arial"/>
            </w:rPr>
          </w:pPr>
          <w:r w:rsidRPr="00AB4166">
            <w:rPr>
              <w:rFonts w:ascii="Arial" w:hAnsi="Arial" w:cs="Arial"/>
            </w:rPr>
            <w:t>(</w:t>
          </w:r>
          <w:proofErr w:type="spellStart"/>
          <w:r w:rsidRPr="00AB4166">
            <w:rPr>
              <w:rFonts w:ascii="Arial" w:hAnsi="Arial" w:cs="Arial"/>
            </w:rPr>
            <w:t>BiteSize</w:t>
          </w:r>
          <w:proofErr w:type="spellEnd"/>
          <w:r w:rsidRPr="00AB4166">
            <w:rPr>
              <w:rFonts w:ascii="Arial" w:hAnsi="Arial" w:cs="Arial"/>
            </w:rPr>
            <w:t xml:space="preserve"> Learning, 2024)</w:t>
          </w:r>
        </w:p>
        <w:p w14:paraId="5E72288D" w14:textId="77777777" w:rsidR="00F01B26" w:rsidRPr="00A96527" w:rsidRDefault="00F01B26" w:rsidP="00F01B26">
          <w:pPr>
            <w:spacing w:line="360" w:lineRule="auto"/>
            <w:rPr>
              <w:rFonts w:ascii="Arial" w:hAnsi="Arial" w:cs="Arial"/>
            </w:rPr>
          </w:pPr>
        </w:p>
        <w:p w14:paraId="5C8A9CE9" w14:textId="77777777" w:rsidR="00F01B26" w:rsidRPr="00A96527" w:rsidRDefault="00F01B26" w:rsidP="00F01B26">
          <w:pPr>
            <w:spacing w:line="360" w:lineRule="auto"/>
            <w:rPr>
              <w:rFonts w:ascii="Arial" w:hAnsi="Arial" w:cs="Arial"/>
            </w:rPr>
          </w:pPr>
          <w:r w:rsidRPr="00A96527">
            <w:rPr>
              <w:rFonts w:ascii="Arial" w:hAnsi="Arial" w:cs="Arial"/>
            </w:rPr>
            <w:t>Shown above is the Kotter’s 8-step change model, this is a structured approach to implementing changes.</w:t>
          </w:r>
        </w:p>
        <w:p w14:paraId="4CB28D55" w14:textId="77617937" w:rsidR="00F01B26" w:rsidRPr="00A96527" w:rsidRDefault="00F01B26" w:rsidP="00F01B26">
          <w:pPr>
            <w:pStyle w:val="ListParagraph"/>
            <w:numPr>
              <w:ilvl w:val="0"/>
              <w:numId w:val="1"/>
            </w:numPr>
            <w:rPr>
              <w:rFonts w:ascii="Arial" w:hAnsi="Arial" w:cs="Arial"/>
              <w:sz w:val="22"/>
              <w:szCs w:val="22"/>
            </w:rPr>
          </w:pPr>
          <w:r w:rsidRPr="00A96527">
            <w:rPr>
              <w:rFonts w:ascii="Arial" w:hAnsi="Arial" w:cs="Arial"/>
              <w:sz w:val="22"/>
              <w:szCs w:val="22"/>
            </w:rPr>
            <w:t>Creating a sense of urgency is the first step according to Kotter (20</w:t>
          </w:r>
          <w:r w:rsidR="003C70AF" w:rsidRPr="00A96527">
            <w:rPr>
              <w:rFonts w:ascii="Arial" w:hAnsi="Arial" w:cs="Arial"/>
              <w:sz w:val="22"/>
              <w:szCs w:val="22"/>
            </w:rPr>
            <w:t>06</w:t>
          </w:r>
          <w:r w:rsidRPr="00A96527">
            <w:rPr>
              <w:rFonts w:ascii="Arial" w:hAnsi="Arial" w:cs="Arial"/>
              <w:sz w:val="22"/>
              <w:szCs w:val="22"/>
            </w:rPr>
            <w:t>) as it inspires people to act and builds momentum. An increase in customer complaints and obsolete instruments creates an urgent need for changing to an alternative that is more sensitive to changes in colour.</w:t>
          </w:r>
        </w:p>
        <w:p w14:paraId="78E4C4ED" w14:textId="17D9EAA6" w:rsidR="00F01B26" w:rsidRPr="00A96527" w:rsidRDefault="00F01B26" w:rsidP="00F01B26">
          <w:pPr>
            <w:pStyle w:val="ListParagraph"/>
            <w:numPr>
              <w:ilvl w:val="0"/>
              <w:numId w:val="1"/>
            </w:numPr>
            <w:rPr>
              <w:rFonts w:ascii="Arial" w:hAnsi="Arial" w:cs="Arial"/>
              <w:sz w:val="22"/>
              <w:szCs w:val="22"/>
            </w:rPr>
          </w:pPr>
          <w:r w:rsidRPr="00A96527">
            <w:rPr>
              <w:rFonts w:ascii="Arial" w:hAnsi="Arial" w:cs="Arial"/>
              <w:sz w:val="22"/>
              <w:szCs w:val="22"/>
            </w:rPr>
            <w:t>Build a guiding coalition is the 2</w:t>
          </w:r>
          <w:r w:rsidRPr="00A96527">
            <w:rPr>
              <w:rFonts w:ascii="Arial" w:hAnsi="Arial" w:cs="Arial"/>
              <w:sz w:val="22"/>
              <w:szCs w:val="22"/>
              <w:vertAlign w:val="superscript"/>
            </w:rPr>
            <w:t>nd</w:t>
          </w:r>
          <w:r w:rsidRPr="00A96527">
            <w:rPr>
              <w:rFonts w:ascii="Arial" w:hAnsi="Arial" w:cs="Arial"/>
              <w:sz w:val="22"/>
              <w:szCs w:val="22"/>
            </w:rPr>
            <w:t xml:space="preserve"> step according to Kotter (20</w:t>
          </w:r>
          <w:r w:rsidR="003C70AF" w:rsidRPr="00A96527">
            <w:rPr>
              <w:rFonts w:ascii="Arial" w:hAnsi="Arial" w:cs="Arial"/>
              <w:sz w:val="22"/>
              <w:szCs w:val="22"/>
            </w:rPr>
            <w:t>06</w:t>
          </w:r>
          <w:r w:rsidRPr="00A96527">
            <w:rPr>
              <w:rFonts w:ascii="Arial" w:hAnsi="Arial" w:cs="Arial"/>
              <w:sz w:val="22"/>
              <w:szCs w:val="22"/>
            </w:rPr>
            <w:t>) because there needs to be a volunteer network of committed people to guide and coordinate. This should be a small group, each section should nominate a manager, team leader and operator/technician.</w:t>
          </w:r>
        </w:p>
        <w:p w14:paraId="7B63AA23" w14:textId="243321D1" w:rsidR="00F01B26" w:rsidRPr="00A96527" w:rsidRDefault="003C70AF" w:rsidP="00F01B26">
          <w:pPr>
            <w:pStyle w:val="ListParagraph"/>
            <w:numPr>
              <w:ilvl w:val="0"/>
              <w:numId w:val="1"/>
            </w:numPr>
            <w:rPr>
              <w:rFonts w:ascii="Arial" w:hAnsi="Arial" w:cs="Arial"/>
              <w:sz w:val="22"/>
              <w:szCs w:val="22"/>
            </w:rPr>
          </w:pPr>
          <w:r w:rsidRPr="00A96527">
            <w:rPr>
              <w:rFonts w:ascii="Arial" w:hAnsi="Arial" w:cs="Arial"/>
              <w:sz w:val="22"/>
              <w:szCs w:val="22"/>
            </w:rPr>
            <w:t>The 3</w:t>
          </w:r>
          <w:r w:rsidRPr="00A96527">
            <w:rPr>
              <w:rFonts w:ascii="Arial" w:hAnsi="Arial" w:cs="Arial"/>
              <w:sz w:val="22"/>
              <w:szCs w:val="22"/>
              <w:vertAlign w:val="superscript"/>
            </w:rPr>
            <w:t>rd</w:t>
          </w:r>
          <w:r w:rsidRPr="00A96527">
            <w:rPr>
              <w:rFonts w:ascii="Arial" w:hAnsi="Arial" w:cs="Arial"/>
              <w:sz w:val="22"/>
              <w:szCs w:val="22"/>
            </w:rPr>
            <w:t xml:space="preserve"> step according to Kotter (2006) is to f</w:t>
          </w:r>
          <w:r w:rsidR="00F01B26" w:rsidRPr="00A96527">
            <w:rPr>
              <w:rFonts w:ascii="Arial" w:hAnsi="Arial" w:cs="Arial"/>
              <w:sz w:val="22"/>
              <w:szCs w:val="22"/>
            </w:rPr>
            <w:t xml:space="preserve">orm a strategic vision to clarify how the future will look compared to how it is currently and how to make it a reality The vision for this </w:t>
          </w:r>
          <w:r w:rsidRPr="00A96527">
            <w:rPr>
              <w:rFonts w:ascii="Arial" w:hAnsi="Arial" w:cs="Arial"/>
              <w:sz w:val="22"/>
              <w:szCs w:val="22"/>
            </w:rPr>
            <w:t>case</w:t>
          </w:r>
          <w:r w:rsidR="00F01B26" w:rsidRPr="00A96527">
            <w:rPr>
              <w:rFonts w:ascii="Arial" w:hAnsi="Arial" w:cs="Arial"/>
              <w:sz w:val="22"/>
              <w:szCs w:val="22"/>
            </w:rPr>
            <w:t xml:space="preserve"> focuses on quality products delivered to customers and consistent results in the laboratory and in-line.</w:t>
          </w:r>
        </w:p>
        <w:p w14:paraId="3982EC3D" w14:textId="62A0BB97" w:rsidR="00F01B26" w:rsidRPr="00A96527" w:rsidRDefault="00F01B26" w:rsidP="00F01B26">
          <w:pPr>
            <w:pStyle w:val="ListParagraph"/>
            <w:numPr>
              <w:ilvl w:val="0"/>
              <w:numId w:val="1"/>
            </w:numPr>
            <w:rPr>
              <w:rFonts w:ascii="Arial" w:hAnsi="Arial" w:cs="Arial"/>
              <w:sz w:val="22"/>
              <w:szCs w:val="22"/>
            </w:rPr>
          </w:pPr>
          <w:r w:rsidRPr="00A96527">
            <w:rPr>
              <w:rFonts w:ascii="Arial" w:hAnsi="Arial" w:cs="Arial"/>
              <w:sz w:val="22"/>
              <w:szCs w:val="22"/>
            </w:rPr>
            <w:t>Enlist a volunteer army, this is the 4</w:t>
          </w:r>
          <w:r w:rsidRPr="00A96527">
            <w:rPr>
              <w:rFonts w:ascii="Arial" w:hAnsi="Arial" w:cs="Arial"/>
              <w:sz w:val="22"/>
              <w:szCs w:val="22"/>
              <w:vertAlign w:val="superscript"/>
            </w:rPr>
            <w:t>th</w:t>
          </w:r>
          <w:r w:rsidRPr="00A96527">
            <w:rPr>
              <w:rFonts w:ascii="Arial" w:hAnsi="Arial" w:cs="Arial"/>
              <w:sz w:val="22"/>
              <w:szCs w:val="22"/>
            </w:rPr>
            <w:t xml:space="preserve"> step according to Kotter (20</w:t>
          </w:r>
          <w:r w:rsidR="00756DB8" w:rsidRPr="00A96527">
            <w:rPr>
              <w:rFonts w:ascii="Arial" w:hAnsi="Arial" w:cs="Arial"/>
              <w:sz w:val="22"/>
              <w:szCs w:val="22"/>
            </w:rPr>
            <w:t>06</w:t>
          </w:r>
          <w:r w:rsidRPr="00A96527">
            <w:rPr>
              <w:rFonts w:ascii="Arial" w:hAnsi="Arial" w:cs="Arial"/>
              <w:sz w:val="22"/>
              <w:szCs w:val="22"/>
            </w:rPr>
            <w:t xml:space="preserve">) as when there are large scale changes you need lots of people </w:t>
          </w:r>
          <w:proofErr w:type="spellStart"/>
          <w:r w:rsidRPr="00A96527">
            <w:rPr>
              <w:rFonts w:ascii="Arial" w:hAnsi="Arial" w:cs="Arial"/>
              <w:sz w:val="22"/>
              <w:szCs w:val="22"/>
            </w:rPr>
            <w:t>tp</w:t>
          </w:r>
          <w:proofErr w:type="spellEnd"/>
          <w:r w:rsidRPr="00A96527">
            <w:rPr>
              <w:rFonts w:ascii="Arial" w:hAnsi="Arial" w:cs="Arial"/>
              <w:sz w:val="22"/>
              <w:szCs w:val="22"/>
            </w:rPr>
            <w:t xml:space="preserve"> come together </w:t>
          </w:r>
          <w:proofErr w:type="spellStart"/>
          <w:r w:rsidRPr="00A96527">
            <w:rPr>
              <w:rFonts w:ascii="Arial" w:hAnsi="Arial" w:cs="Arial"/>
              <w:sz w:val="22"/>
              <w:szCs w:val="22"/>
            </w:rPr>
            <w:t>tp</w:t>
          </w:r>
          <w:proofErr w:type="spellEnd"/>
          <w:r w:rsidRPr="00A96527">
            <w:rPr>
              <w:rFonts w:ascii="Arial" w:hAnsi="Arial" w:cs="Arial"/>
              <w:sz w:val="22"/>
              <w:szCs w:val="22"/>
            </w:rPr>
            <w:t xml:space="preserve"> help turn the vision to a reality, they need to be individually wanting to contribute and want to have the same goal. In this example, employees are encouraged to trial the equipment as this gives valued feedback from experience.</w:t>
          </w:r>
        </w:p>
        <w:p w14:paraId="6EADACCF" w14:textId="1E86F5E8" w:rsidR="00F01B26" w:rsidRPr="00A96527" w:rsidRDefault="00F01B26" w:rsidP="00F01B26">
          <w:pPr>
            <w:pStyle w:val="ListParagraph"/>
            <w:numPr>
              <w:ilvl w:val="0"/>
              <w:numId w:val="1"/>
            </w:numPr>
            <w:rPr>
              <w:rFonts w:ascii="Arial" w:hAnsi="Arial" w:cs="Arial"/>
              <w:sz w:val="22"/>
              <w:szCs w:val="22"/>
            </w:rPr>
          </w:pPr>
          <w:r w:rsidRPr="00A96527">
            <w:rPr>
              <w:rFonts w:ascii="Arial" w:hAnsi="Arial" w:cs="Arial"/>
              <w:sz w:val="22"/>
              <w:szCs w:val="22"/>
            </w:rPr>
            <w:lastRenderedPageBreak/>
            <w:t>According to Kotter (20</w:t>
          </w:r>
          <w:r w:rsidR="003C70AF" w:rsidRPr="00A96527">
            <w:rPr>
              <w:rFonts w:ascii="Arial" w:hAnsi="Arial" w:cs="Arial"/>
              <w:sz w:val="22"/>
              <w:szCs w:val="22"/>
            </w:rPr>
            <w:t>06</w:t>
          </w:r>
          <w:r w:rsidRPr="00A96527">
            <w:rPr>
              <w:rFonts w:ascii="Arial" w:hAnsi="Arial" w:cs="Arial"/>
              <w:sz w:val="22"/>
              <w:szCs w:val="22"/>
            </w:rPr>
            <w:t>), the 5</w:t>
          </w:r>
          <w:r w:rsidRPr="00A96527">
            <w:rPr>
              <w:rFonts w:ascii="Arial" w:hAnsi="Arial" w:cs="Arial"/>
              <w:sz w:val="22"/>
              <w:szCs w:val="22"/>
              <w:vertAlign w:val="superscript"/>
            </w:rPr>
            <w:t>th</w:t>
          </w:r>
          <w:r w:rsidRPr="00A96527">
            <w:rPr>
              <w:rFonts w:ascii="Arial" w:hAnsi="Arial" w:cs="Arial"/>
              <w:sz w:val="22"/>
              <w:szCs w:val="22"/>
            </w:rPr>
            <w:t xml:space="preserve"> step is to enable action by removing barriers and obstacles that may delay progress and enable them to work across silos. For this change, in-depth training should be offered with easy guides for use provided to operators, and constant support from technical experts.</w:t>
          </w:r>
        </w:p>
        <w:p w14:paraId="17CB7A70" w14:textId="4889C21B" w:rsidR="00F01B26" w:rsidRPr="00A96527" w:rsidRDefault="00F01B26" w:rsidP="00F01B26">
          <w:pPr>
            <w:pStyle w:val="ListParagraph"/>
            <w:numPr>
              <w:ilvl w:val="0"/>
              <w:numId w:val="1"/>
            </w:numPr>
            <w:rPr>
              <w:rFonts w:ascii="Arial" w:hAnsi="Arial" w:cs="Arial"/>
              <w:sz w:val="22"/>
              <w:szCs w:val="22"/>
            </w:rPr>
          </w:pPr>
          <w:r w:rsidRPr="00A96527">
            <w:rPr>
              <w:rFonts w:ascii="Arial" w:hAnsi="Arial" w:cs="Arial"/>
              <w:sz w:val="22"/>
              <w:szCs w:val="22"/>
            </w:rPr>
            <w:t>The 6</w:t>
          </w:r>
          <w:r w:rsidRPr="00A96527">
            <w:rPr>
              <w:rFonts w:ascii="Arial" w:hAnsi="Arial" w:cs="Arial"/>
              <w:sz w:val="22"/>
              <w:szCs w:val="22"/>
              <w:vertAlign w:val="superscript"/>
            </w:rPr>
            <w:t>th</w:t>
          </w:r>
          <w:r w:rsidRPr="00A96527">
            <w:rPr>
              <w:rFonts w:ascii="Arial" w:hAnsi="Arial" w:cs="Arial"/>
              <w:sz w:val="22"/>
              <w:szCs w:val="22"/>
            </w:rPr>
            <w:t xml:space="preserve"> step according to Kotter (20</w:t>
          </w:r>
          <w:r w:rsidR="003C70AF" w:rsidRPr="00A96527">
            <w:rPr>
              <w:rFonts w:ascii="Arial" w:hAnsi="Arial" w:cs="Arial"/>
              <w:sz w:val="22"/>
              <w:szCs w:val="22"/>
            </w:rPr>
            <w:t>06</w:t>
          </w:r>
          <w:r w:rsidRPr="00A96527">
            <w:rPr>
              <w:rFonts w:ascii="Arial" w:hAnsi="Arial" w:cs="Arial"/>
              <w:sz w:val="22"/>
              <w:szCs w:val="22"/>
            </w:rPr>
            <w:t xml:space="preserve">) is to generate short term wins as this can help energise volunteers as they can easily see progress </w:t>
          </w:r>
          <w:r w:rsidR="008D54DF" w:rsidRPr="00A96527">
            <w:rPr>
              <w:rFonts w:ascii="Arial" w:hAnsi="Arial" w:cs="Arial"/>
              <w:sz w:val="22"/>
              <w:szCs w:val="22"/>
            </w:rPr>
            <w:t>in</w:t>
          </w:r>
          <w:r w:rsidRPr="00A96527">
            <w:rPr>
              <w:rFonts w:ascii="Arial" w:hAnsi="Arial" w:cs="Arial"/>
              <w:sz w:val="22"/>
              <w:szCs w:val="22"/>
            </w:rPr>
            <w:t xml:space="preserve"> this example, the number of operators trained could be tracked weekly, and standards that had been improved, number of complaints (when trackable)</w:t>
          </w:r>
        </w:p>
        <w:p w14:paraId="7424CA44" w14:textId="3395F351" w:rsidR="00F01B26" w:rsidRPr="00A96527" w:rsidRDefault="00F01B26" w:rsidP="00F01B26">
          <w:pPr>
            <w:pStyle w:val="ListParagraph"/>
            <w:numPr>
              <w:ilvl w:val="0"/>
              <w:numId w:val="1"/>
            </w:numPr>
            <w:rPr>
              <w:rFonts w:ascii="Arial" w:hAnsi="Arial" w:cs="Arial"/>
              <w:sz w:val="22"/>
              <w:szCs w:val="22"/>
            </w:rPr>
          </w:pPr>
          <w:r w:rsidRPr="00A96527">
            <w:rPr>
              <w:rFonts w:ascii="Arial" w:hAnsi="Arial" w:cs="Arial"/>
              <w:sz w:val="22"/>
              <w:szCs w:val="22"/>
            </w:rPr>
            <w:t>Step 7 of Kotter’s model is to sustain acceleration (Kotter, 20</w:t>
          </w:r>
          <w:r w:rsidR="003C70AF" w:rsidRPr="00A96527">
            <w:rPr>
              <w:rFonts w:ascii="Arial" w:hAnsi="Arial" w:cs="Arial"/>
              <w:sz w:val="22"/>
              <w:szCs w:val="22"/>
            </w:rPr>
            <w:t>06</w:t>
          </w:r>
          <w:r w:rsidRPr="00A96527">
            <w:rPr>
              <w:rFonts w:ascii="Arial" w:hAnsi="Arial" w:cs="Arial"/>
              <w:sz w:val="22"/>
              <w:szCs w:val="22"/>
            </w:rPr>
            <w:t>) this is important as after the first few successes the change needs to be pushed harder in order not to lose motivation and to improve structures and policies. Through succession encourage suppliers to invest in the same equipment as to improve their quality performance. Better goalkeepers and increasing standards turnover etc as employees will have a better idea on what is required after seeing initial successes.</w:t>
          </w:r>
        </w:p>
        <w:p w14:paraId="427079A8" w14:textId="7F3BCEE1" w:rsidR="00F01B26" w:rsidRPr="00A96527" w:rsidRDefault="00F01B26" w:rsidP="00F01B26">
          <w:pPr>
            <w:pStyle w:val="ListParagraph"/>
            <w:numPr>
              <w:ilvl w:val="0"/>
              <w:numId w:val="1"/>
            </w:numPr>
            <w:rPr>
              <w:rFonts w:ascii="Arial" w:hAnsi="Arial" w:cs="Arial"/>
              <w:sz w:val="22"/>
              <w:szCs w:val="22"/>
            </w:rPr>
          </w:pPr>
          <w:r w:rsidRPr="00A96527">
            <w:rPr>
              <w:rFonts w:ascii="Arial" w:hAnsi="Arial" w:cs="Arial"/>
              <w:sz w:val="22"/>
              <w:szCs w:val="22"/>
            </w:rPr>
            <w:t>The final step according to Kotter (20</w:t>
          </w:r>
          <w:r w:rsidR="003C70AF" w:rsidRPr="00A96527">
            <w:rPr>
              <w:rFonts w:ascii="Arial" w:hAnsi="Arial" w:cs="Arial"/>
              <w:sz w:val="22"/>
              <w:szCs w:val="22"/>
            </w:rPr>
            <w:t>06</w:t>
          </w:r>
          <w:r w:rsidRPr="00A96527">
            <w:rPr>
              <w:rFonts w:ascii="Arial" w:hAnsi="Arial" w:cs="Arial"/>
              <w:sz w:val="22"/>
              <w:szCs w:val="22"/>
            </w:rPr>
            <w:t>) is to institute change, so to make the change part of the culture</w:t>
          </w:r>
        </w:p>
        <w:p w14:paraId="6FF7EBAF" w14:textId="77777777" w:rsidR="00F01B26" w:rsidRPr="00A96527" w:rsidRDefault="00F01B26" w:rsidP="00F01B26">
          <w:pPr>
            <w:pStyle w:val="ListParagraph"/>
            <w:rPr>
              <w:rFonts w:ascii="Arial" w:hAnsi="Arial" w:cs="Arial"/>
              <w:sz w:val="22"/>
              <w:szCs w:val="22"/>
            </w:rPr>
          </w:pPr>
          <w:r w:rsidRPr="00A96527">
            <w:rPr>
              <w:rFonts w:ascii="Arial" w:hAnsi="Arial" w:cs="Arial"/>
              <w:sz w:val="22"/>
              <w:szCs w:val="22"/>
            </w:rPr>
            <w:t>The new colour measurement equipment becomes end of line quality release and continuous training passed on to manufacturing teams.</w:t>
          </w:r>
        </w:p>
        <w:p w14:paraId="1519879F" w14:textId="77777777" w:rsidR="00F01B26" w:rsidRPr="00A96527" w:rsidRDefault="00F01B26" w:rsidP="00F01B26">
          <w:pPr>
            <w:pStyle w:val="ListParagraph"/>
            <w:rPr>
              <w:rFonts w:ascii="Arial" w:hAnsi="Arial" w:cs="Arial"/>
              <w:sz w:val="22"/>
              <w:szCs w:val="22"/>
            </w:rPr>
          </w:pPr>
          <w:r w:rsidRPr="00A96527">
            <w:rPr>
              <w:rFonts w:ascii="Arial" w:hAnsi="Arial" w:cs="Arial"/>
              <w:sz w:val="22"/>
              <w:szCs w:val="22"/>
            </w:rPr>
            <w:t>(Kotter, 2025)</w:t>
          </w:r>
        </w:p>
        <w:p w14:paraId="0F7499BC" w14:textId="77777777" w:rsidR="00F01B26" w:rsidRPr="00A96527" w:rsidRDefault="00F01B26" w:rsidP="003D695C">
          <w:pPr>
            <w:spacing w:line="360" w:lineRule="auto"/>
            <w:rPr>
              <w:rFonts w:ascii="Arial" w:hAnsi="Arial" w:cs="Arial"/>
            </w:rPr>
          </w:pPr>
          <w:r w:rsidRPr="00A96527">
            <w:rPr>
              <w:rFonts w:ascii="Arial" w:hAnsi="Arial" w:cs="Arial"/>
            </w:rPr>
            <w:t xml:space="preserve">Encouraging stakeholders’ involvement and communication would be to include employees early during the change as they have practical experience. It would also be beneficial to hold discussions where all involved are able to ask questions about the change for example why it is happening and how it affects them. (Strategists, 2023). This change had no formal plan such as Kotter’s’ 8-step change model, if there was then the failure could’ve been planned for better and more people included from the start. </w:t>
          </w:r>
        </w:p>
        <w:p w14:paraId="4141C2EB" w14:textId="37C9A19C" w:rsidR="00F01B26" w:rsidRPr="00A96527" w:rsidRDefault="00F01B26" w:rsidP="00F01B26">
          <w:pPr>
            <w:spacing w:line="360" w:lineRule="auto"/>
            <w:rPr>
              <w:rFonts w:ascii="Arial" w:hAnsi="Arial" w:cs="Arial"/>
            </w:rPr>
          </w:pPr>
          <w:r w:rsidRPr="00564EAE">
            <w:rPr>
              <w:rFonts w:ascii="Arial" w:hAnsi="Arial" w:cs="Arial"/>
            </w:rPr>
            <w:t>Herzberg’s Motivation-Hygiene Theory</w:t>
          </w:r>
          <w:r w:rsidRPr="00A96527">
            <w:rPr>
              <w:rFonts w:ascii="Arial" w:hAnsi="Arial" w:cs="Arial"/>
            </w:rPr>
            <w:t xml:space="preserve"> outlines that humans are motivated by two things: motivators and hygiene factors. (Kurt, 2021)</w:t>
          </w:r>
          <w:r w:rsidR="00A96527" w:rsidRPr="00A96527">
            <w:rPr>
              <w:rFonts w:ascii="Arial" w:hAnsi="Arial" w:cs="Arial"/>
            </w:rPr>
            <w:t xml:space="preserve"> (Herzberg, 1959)</w:t>
          </w:r>
          <w:r w:rsidRPr="00A96527">
            <w:rPr>
              <w:rFonts w:ascii="Arial" w:hAnsi="Arial" w:cs="Arial"/>
            </w:rPr>
            <w:t xml:space="preserve">. </w:t>
          </w:r>
        </w:p>
        <w:p w14:paraId="12DF95EE" w14:textId="77777777" w:rsidR="00F01B26" w:rsidRPr="00A96527" w:rsidRDefault="00F01B26" w:rsidP="00F01B26">
          <w:pPr>
            <w:spacing w:line="360" w:lineRule="auto"/>
            <w:rPr>
              <w:rFonts w:ascii="Arial" w:hAnsi="Arial" w:cs="Arial"/>
            </w:rPr>
          </w:pPr>
        </w:p>
        <w:p w14:paraId="268775CC" w14:textId="77777777" w:rsidR="00F01B26" w:rsidRPr="00A96527" w:rsidRDefault="00F01B26" w:rsidP="00F01B26">
          <w:pPr>
            <w:spacing w:line="360" w:lineRule="auto"/>
            <w:rPr>
              <w:rFonts w:ascii="Arial" w:hAnsi="Arial" w:cs="Arial"/>
            </w:rPr>
          </w:pPr>
          <w:r w:rsidRPr="00A96527">
            <w:rPr>
              <w:rFonts w:ascii="Arial" w:hAnsi="Arial" w:cs="Arial"/>
              <w:noProof/>
            </w:rPr>
            <w:lastRenderedPageBreak/>
            <w:drawing>
              <wp:inline distT="0" distB="0" distL="0" distR="0" wp14:anchorId="406E9659" wp14:editId="6D8AAE9E">
                <wp:extent cx="5731510" cy="2994025"/>
                <wp:effectExtent l="0" t="0" r="2540" b="0"/>
                <wp:docPr id="537172118" name="Picture 2" descr="A diagram of a motivat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172118" name="Picture 2" descr="A diagram of a motivator&#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994025"/>
                        </a:xfrm>
                        <a:prstGeom prst="rect">
                          <a:avLst/>
                        </a:prstGeom>
                        <a:noFill/>
                        <a:ln>
                          <a:noFill/>
                        </a:ln>
                      </pic:spPr>
                    </pic:pic>
                  </a:graphicData>
                </a:graphic>
              </wp:inline>
            </w:drawing>
          </w:r>
        </w:p>
        <w:p w14:paraId="35BEDEA3" w14:textId="77777777" w:rsidR="00F01B26" w:rsidRPr="00A96527" w:rsidRDefault="00F01B26" w:rsidP="00F01B26">
          <w:pPr>
            <w:spacing w:line="360" w:lineRule="auto"/>
            <w:rPr>
              <w:rFonts w:ascii="Arial" w:hAnsi="Arial" w:cs="Arial"/>
            </w:rPr>
          </w:pPr>
          <w:r w:rsidRPr="004B1740">
            <w:rPr>
              <w:rFonts w:ascii="Arial" w:hAnsi="Arial" w:cs="Arial"/>
            </w:rPr>
            <w:t>(Kurt, 2021)</w:t>
          </w:r>
        </w:p>
        <w:p w14:paraId="766FF0A6" w14:textId="77777777" w:rsidR="00F01B26" w:rsidRPr="00564EAE" w:rsidRDefault="00F01B26" w:rsidP="00F01B26">
          <w:pPr>
            <w:spacing w:before="80" w:after="40" w:line="360" w:lineRule="auto"/>
            <w:rPr>
              <w:rFonts w:ascii="Arial" w:hAnsi="Arial" w:cs="Arial"/>
            </w:rPr>
          </w:pPr>
          <w:r w:rsidRPr="00A96527">
            <w:rPr>
              <w:rFonts w:ascii="Arial" w:hAnsi="Arial" w:cs="Arial"/>
            </w:rPr>
            <w:t>It is useful for</w:t>
          </w:r>
          <w:r w:rsidRPr="00564EAE">
            <w:rPr>
              <w:rFonts w:ascii="Arial" w:hAnsi="Arial" w:cs="Arial"/>
            </w:rPr>
            <w:t xml:space="preserve"> understanding employee reactions to the introduction of new colour equipment. Initially, the</w:t>
          </w:r>
          <w:r w:rsidRPr="00A96527">
            <w:rPr>
              <w:rFonts w:ascii="Arial" w:hAnsi="Arial" w:cs="Arial"/>
            </w:rPr>
            <w:t>re was frustration</w:t>
          </w:r>
          <w:r w:rsidRPr="00564EAE">
            <w:rPr>
              <w:rFonts w:ascii="Arial" w:hAnsi="Arial" w:cs="Arial"/>
            </w:rPr>
            <w:t xml:space="preserve"> due to missing hygiene factors</w:t>
          </w:r>
          <w:r w:rsidRPr="00A96527">
            <w:rPr>
              <w:rFonts w:ascii="Arial" w:hAnsi="Arial" w:cs="Arial"/>
            </w:rPr>
            <w:t xml:space="preserve"> such as </w:t>
          </w:r>
          <w:r w:rsidRPr="00564EAE">
            <w:rPr>
              <w:rFonts w:ascii="Arial" w:hAnsi="Arial" w:cs="Arial"/>
            </w:rPr>
            <w:t xml:space="preserve">lack of </w:t>
          </w:r>
          <w:r w:rsidRPr="00A96527">
            <w:rPr>
              <w:rFonts w:ascii="Arial" w:hAnsi="Arial" w:cs="Arial"/>
            </w:rPr>
            <w:t xml:space="preserve">training, communication </w:t>
          </w:r>
          <w:r w:rsidRPr="00564EAE">
            <w:rPr>
              <w:rFonts w:ascii="Arial" w:hAnsi="Arial" w:cs="Arial"/>
            </w:rPr>
            <w:t>and unclear procedures</w:t>
          </w:r>
          <w:r w:rsidRPr="00A96527">
            <w:rPr>
              <w:rFonts w:ascii="Arial" w:eastAsia="Times New Roman" w:hAnsi="Arial" w:cs="Arial"/>
              <w:lang w:eastAsia="en-GB"/>
            </w:rPr>
            <w:t xml:space="preserve"> </w:t>
          </w:r>
          <w:r w:rsidRPr="00A96527">
            <w:rPr>
              <w:rFonts w:ascii="Arial" w:hAnsi="Arial" w:cs="Arial"/>
            </w:rPr>
            <w:t>(Juneja, 2025).</w:t>
          </w:r>
          <w:r w:rsidRPr="00564EAE">
            <w:rPr>
              <w:rFonts w:ascii="Arial" w:hAnsi="Arial" w:cs="Arial"/>
            </w:rPr>
            <w:t xml:space="preserve"> Th</w:t>
          </w:r>
          <w:r w:rsidRPr="00A96527">
            <w:rPr>
              <w:rFonts w:ascii="Arial" w:hAnsi="Arial" w:cs="Arial"/>
            </w:rPr>
            <w:t>is</w:t>
          </w:r>
          <w:r w:rsidRPr="00564EAE">
            <w:rPr>
              <w:rFonts w:ascii="Arial" w:hAnsi="Arial" w:cs="Arial"/>
            </w:rPr>
            <w:t xml:space="preserve"> led to frustration and resistance among some operators, who felt unprepared and unsupported. However, once these issues were addressed</w:t>
          </w:r>
          <w:r w:rsidRPr="00A96527">
            <w:rPr>
              <w:rFonts w:ascii="Arial" w:hAnsi="Arial" w:cs="Arial"/>
            </w:rPr>
            <w:t>, employees</w:t>
          </w:r>
          <w:r w:rsidRPr="00564EAE">
            <w:rPr>
              <w:rFonts w:ascii="Arial" w:hAnsi="Arial" w:cs="Arial"/>
            </w:rPr>
            <w:t xml:space="preserve"> were given opportunities to achieve measurable improvements in product </w:t>
          </w:r>
          <w:r w:rsidRPr="00A96527">
            <w:rPr>
              <w:rFonts w:ascii="Arial" w:hAnsi="Arial" w:cs="Arial"/>
            </w:rPr>
            <w:t>quality</w:t>
          </w:r>
          <w:r w:rsidRPr="00564EAE">
            <w:rPr>
              <w:rFonts w:ascii="Arial" w:hAnsi="Arial" w:cs="Arial"/>
            </w:rPr>
            <w:t xml:space="preserve">. </w:t>
          </w:r>
          <w:r w:rsidRPr="00A96527">
            <w:rPr>
              <w:rFonts w:ascii="Arial" w:hAnsi="Arial" w:cs="Arial"/>
            </w:rPr>
            <w:t>T</w:t>
          </w:r>
          <w:r w:rsidRPr="00564EAE">
            <w:rPr>
              <w:rFonts w:ascii="Arial" w:hAnsi="Arial" w:cs="Arial"/>
            </w:rPr>
            <w:t xml:space="preserve">he equipment change </w:t>
          </w:r>
          <w:r w:rsidRPr="00A96527">
            <w:rPr>
              <w:rFonts w:ascii="Arial" w:hAnsi="Arial" w:cs="Arial"/>
            </w:rPr>
            <w:t>was viewed not</w:t>
          </w:r>
          <w:r w:rsidRPr="00564EAE">
            <w:rPr>
              <w:rFonts w:ascii="Arial" w:hAnsi="Arial" w:cs="Arial"/>
            </w:rPr>
            <w:t xml:space="preserve"> just as a technical upgrade but as a chance for personal development</w:t>
          </w:r>
          <w:r w:rsidRPr="00A96527">
            <w:rPr>
              <w:rFonts w:ascii="Arial" w:hAnsi="Arial" w:cs="Arial"/>
            </w:rPr>
            <w:t xml:space="preserve"> as less experiences technicians were able to get recognition for their hard work and later could be relied upon for their new expertise and they had the opportunity to gain trust from manufacturing teams they would otherwise take longer to build a relationship with.</w:t>
          </w:r>
          <w:r w:rsidRPr="00564EAE">
            <w:rPr>
              <w:rFonts w:ascii="Arial" w:hAnsi="Arial" w:cs="Arial"/>
            </w:rPr>
            <w:t xml:space="preserve"> This demonstrates the importance of managing both hygiene and motivator factors during organisational change.</w:t>
          </w:r>
          <w:r w:rsidRPr="00A96527">
            <w:rPr>
              <w:rFonts w:ascii="Arial" w:hAnsi="Arial" w:cs="Arial"/>
            </w:rPr>
            <w:t xml:space="preserve"> (Nickerson, 2025). A limitation to this theory is that it assumed that people are motivated by responsibility and a benefit Is that the management can reduce hygiene factors as they know what they are (</w:t>
          </w:r>
          <w:proofErr w:type="spellStart"/>
          <w:r w:rsidRPr="00A96527">
            <w:rPr>
              <w:rFonts w:ascii="Arial" w:hAnsi="Arial" w:cs="Arial"/>
            </w:rPr>
            <w:t>Jerd</w:t>
          </w:r>
          <w:proofErr w:type="spellEnd"/>
          <w:r w:rsidRPr="00A96527">
            <w:rPr>
              <w:rFonts w:ascii="Arial" w:hAnsi="Arial" w:cs="Arial"/>
            </w:rPr>
            <w:t xml:space="preserve">, 2023). </w:t>
          </w:r>
        </w:p>
        <w:p w14:paraId="3F6FFD8D" w14:textId="77777777" w:rsidR="00F01B26" w:rsidRPr="00A96527" w:rsidRDefault="00F01B26" w:rsidP="00F01B26">
          <w:pPr>
            <w:spacing w:line="360" w:lineRule="auto"/>
            <w:rPr>
              <w:rFonts w:ascii="Arial" w:hAnsi="Arial" w:cs="Arial"/>
            </w:rPr>
          </w:pPr>
          <w:r w:rsidRPr="00A96527">
            <w:rPr>
              <w:rFonts w:ascii="Arial" w:hAnsi="Arial" w:cs="Arial"/>
            </w:rPr>
            <w:t>Supporting employees through the equipment upgrade required clear communication, practical training, and ongoing recognition. Involving people in the early stages would create a sense of ownership, while training and structured feedback could help address skill gaps. Applying Herzberg’s theory would’ve ensured both hygiene needs and motivators were addressed to support the transition better. (Mister, 2015)</w:t>
          </w:r>
        </w:p>
        <w:p w14:paraId="488C4168" w14:textId="393E1A49" w:rsidR="005014C5" w:rsidRPr="003D695C" w:rsidRDefault="003D695C" w:rsidP="005014C5">
          <w:pPr>
            <w:rPr>
              <w:rFonts w:ascii="Arial" w:hAnsi="Arial" w:cs="Arial"/>
            </w:rPr>
          </w:pPr>
          <w:r>
            <w:rPr>
              <w:rFonts w:ascii="Arial" w:hAnsi="Arial" w:cs="Arial"/>
            </w:rPr>
            <w:br w:type="page"/>
          </w:r>
        </w:p>
        <w:p w14:paraId="5C67928C" w14:textId="78E21885" w:rsidR="00AA2A91" w:rsidRDefault="00AA2A91" w:rsidP="00AA2A91">
          <w:pPr>
            <w:pStyle w:val="Heading1"/>
          </w:pPr>
          <w:bookmarkStart w:id="3" w:name="_Toc197932368"/>
          <w:r>
            <w:lastRenderedPageBreak/>
            <w:t>Conclusion</w:t>
          </w:r>
          <w:bookmarkEnd w:id="3"/>
          <w:r w:rsidR="00D854A5">
            <w:t xml:space="preserve"> </w:t>
          </w:r>
        </w:p>
        <w:p w14:paraId="0C6DEB97" w14:textId="50121E1E" w:rsidR="00AA2A91" w:rsidRPr="00A96527" w:rsidRDefault="00F01B26" w:rsidP="000F2ECB">
          <w:pPr>
            <w:spacing w:line="360" w:lineRule="auto"/>
            <w:rPr>
              <w:rFonts w:ascii="Arial" w:hAnsi="Arial" w:cs="Arial"/>
            </w:rPr>
          </w:pPr>
          <w:r w:rsidRPr="00A96527">
            <w:rPr>
              <w:rFonts w:ascii="Arial" w:hAnsi="Arial" w:cs="Arial"/>
            </w:rPr>
            <w:t xml:space="preserve">The change in </w:t>
          </w:r>
          <w:r w:rsidR="000F2ECB" w:rsidRPr="00A96527">
            <w:rPr>
              <w:rFonts w:ascii="Arial" w:hAnsi="Arial" w:cs="Arial"/>
            </w:rPr>
            <w:t xml:space="preserve">colour machine at TATA Steel Shotton’s site was an inevitable change but was managed poorly. There was a lack of planning, training and failures of equipment that was not anticipated that led to resistance and delays. Applying models such as Kotter’s 8 step model </w:t>
          </w:r>
          <w:r w:rsidR="008106DC">
            <w:rPr>
              <w:rFonts w:ascii="Arial" w:hAnsi="Arial" w:cs="Arial"/>
            </w:rPr>
            <w:t xml:space="preserve">(Kotter, 2006) </w:t>
          </w:r>
          <w:r w:rsidR="000F2ECB" w:rsidRPr="00A96527">
            <w:rPr>
              <w:rFonts w:ascii="Arial" w:hAnsi="Arial" w:cs="Arial"/>
            </w:rPr>
            <w:t>or Lewins Forcefield analysis</w:t>
          </w:r>
          <w:r w:rsidR="0078672E">
            <w:rPr>
              <w:rFonts w:ascii="Arial" w:hAnsi="Arial" w:cs="Arial"/>
            </w:rPr>
            <w:t xml:space="preserve"> (Lewin and Cartwright, 1951</w:t>
          </w:r>
          <w:r w:rsidR="008D54DF">
            <w:rPr>
              <w:rFonts w:ascii="Arial" w:hAnsi="Arial" w:cs="Arial"/>
            </w:rPr>
            <w:t xml:space="preserve">) </w:t>
          </w:r>
          <w:r w:rsidR="008D54DF" w:rsidRPr="00A96527">
            <w:rPr>
              <w:rFonts w:ascii="Arial" w:hAnsi="Arial" w:cs="Arial"/>
            </w:rPr>
            <w:t>could’ve</w:t>
          </w:r>
          <w:r w:rsidR="000F2ECB" w:rsidRPr="00A96527">
            <w:rPr>
              <w:rFonts w:ascii="Arial" w:hAnsi="Arial" w:cs="Arial"/>
            </w:rPr>
            <w:t xml:space="preserve"> prevented disruption and improved outcomes if a structured approach was taken from the start. Herzberg’s theory shows the importance of addressing hygiene and motivational factors to support employees</w:t>
          </w:r>
          <w:r w:rsidR="008106DC">
            <w:rPr>
              <w:rFonts w:ascii="Arial" w:hAnsi="Arial" w:cs="Arial"/>
            </w:rPr>
            <w:t xml:space="preserve"> (Herzberg, 1959)</w:t>
          </w:r>
          <w:r w:rsidR="000F2ECB" w:rsidRPr="00A96527">
            <w:rPr>
              <w:rFonts w:ascii="Arial" w:hAnsi="Arial" w:cs="Arial"/>
            </w:rPr>
            <w:t>. Ultimately there were long term benefits for quality and alignment of equipment yet showed the importance of preparation, communication and employee involvement during future changes.</w:t>
          </w:r>
        </w:p>
        <w:p w14:paraId="6FF3B474" w14:textId="77777777" w:rsidR="00AA2A91" w:rsidRDefault="00AA2A91" w:rsidP="00AA2A91"/>
        <w:p w14:paraId="735EB39C" w14:textId="77777777" w:rsidR="00AA2A91" w:rsidRDefault="00AA2A91" w:rsidP="00AA2A91"/>
        <w:p w14:paraId="131D500D" w14:textId="77777777" w:rsidR="00AA2A91" w:rsidRDefault="00AA2A91" w:rsidP="00AA2A91"/>
        <w:p w14:paraId="6694B73F" w14:textId="77777777" w:rsidR="00AA2A91" w:rsidRDefault="00AA2A91" w:rsidP="00AA2A91"/>
        <w:p w14:paraId="7246D263" w14:textId="77777777" w:rsidR="00AA2A91" w:rsidRDefault="00AA2A91" w:rsidP="00AA2A91"/>
        <w:p w14:paraId="22020C63" w14:textId="77777777" w:rsidR="00AA2A91" w:rsidRDefault="00AA2A91" w:rsidP="00AA2A91"/>
        <w:p w14:paraId="43A20583" w14:textId="77777777" w:rsidR="00AA2A91" w:rsidRDefault="00AA2A91" w:rsidP="00AA2A91"/>
        <w:p w14:paraId="39BA3A5F" w14:textId="77777777" w:rsidR="00AA2A91" w:rsidRDefault="00AA2A91" w:rsidP="00AA2A91"/>
        <w:p w14:paraId="385E28CD" w14:textId="77777777" w:rsidR="00AA2A91" w:rsidRDefault="00AA2A91" w:rsidP="00AA2A91"/>
        <w:p w14:paraId="0F501598" w14:textId="77777777" w:rsidR="00AA2A91" w:rsidRDefault="00AA2A91" w:rsidP="00AA2A91"/>
        <w:p w14:paraId="0E5928E3" w14:textId="77777777" w:rsidR="00AA2A91" w:rsidRDefault="00AA2A91" w:rsidP="00AA2A91"/>
        <w:p w14:paraId="0D823694" w14:textId="77777777" w:rsidR="00AA2A91" w:rsidRDefault="00AA2A91" w:rsidP="00AA2A91"/>
        <w:p w14:paraId="57748263" w14:textId="77777777" w:rsidR="00AA2A91" w:rsidRDefault="00AA2A91" w:rsidP="00AA2A91"/>
        <w:p w14:paraId="2BBAF9C4" w14:textId="77777777" w:rsidR="00AA2A91" w:rsidRDefault="00AA2A91" w:rsidP="00AA2A91"/>
        <w:p w14:paraId="3F0C99F6" w14:textId="77777777" w:rsidR="00AA2A91" w:rsidRDefault="00AA2A91" w:rsidP="00AA2A91"/>
        <w:p w14:paraId="617B5053" w14:textId="77777777" w:rsidR="00AA2A91" w:rsidRDefault="00AA2A91" w:rsidP="00AA2A91"/>
        <w:p w14:paraId="52C577D0" w14:textId="77777777" w:rsidR="00AA2A91" w:rsidRDefault="00AA2A91" w:rsidP="00AA2A91"/>
        <w:p w14:paraId="7C924378" w14:textId="77777777" w:rsidR="00AA2A91" w:rsidRDefault="00AA2A91" w:rsidP="00AA2A91"/>
        <w:p w14:paraId="12335BCA" w14:textId="77777777" w:rsidR="00AA2A91" w:rsidRDefault="00AA2A91" w:rsidP="00AA2A91"/>
        <w:p w14:paraId="57551E56" w14:textId="77777777" w:rsidR="00AA2A91" w:rsidRDefault="00AA2A91" w:rsidP="00AA2A91"/>
        <w:p w14:paraId="7779ADCB" w14:textId="77777777" w:rsidR="00AA2A91" w:rsidRDefault="00AA2A91" w:rsidP="00AA2A91"/>
        <w:p w14:paraId="5F66F620" w14:textId="0717432A" w:rsidR="00AA2A91" w:rsidRDefault="003D695C" w:rsidP="00AA2A91">
          <w:r>
            <w:br w:type="page"/>
          </w:r>
        </w:p>
        <w:p w14:paraId="7202FDFC" w14:textId="77777777" w:rsidR="00AA2A91" w:rsidRPr="00AA2A91" w:rsidRDefault="00AA2A91" w:rsidP="00AA2A91">
          <w:pPr>
            <w:pStyle w:val="Heading1"/>
          </w:pPr>
          <w:bookmarkStart w:id="4" w:name="_Toc197932369"/>
          <w:r>
            <w:lastRenderedPageBreak/>
            <w:t>Bibliography</w:t>
          </w:r>
          <w:bookmarkEnd w:id="4"/>
        </w:p>
        <w:p w14:paraId="4AE799BE" w14:textId="77777777" w:rsidR="00AB303B" w:rsidRDefault="003351F0" w:rsidP="00AB303B"/>
      </w:sdtContent>
    </w:sdt>
    <w:p w14:paraId="2CDF0D09" w14:textId="38A5C79D" w:rsidR="00AB303B" w:rsidRPr="00AB303B" w:rsidRDefault="00AB303B" w:rsidP="00AB303B">
      <w:proofErr w:type="spellStart"/>
      <w:r w:rsidRPr="00AB303B">
        <w:rPr>
          <w:rFonts w:ascii="Arial" w:hAnsi="Arial" w:cs="Arial"/>
        </w:rPr>
        <w:t>BiteSize</w:t>
      </w:r>
      <w:proofErr w:type="spellEnd"/>
      <w:r w:rsidRPr="00AB303B">
        <w:rPr>
          <w:rFonts w:ascii="Arial" w:hAnsi="Arial" w:cs="Arial"/>
        </w:rPr>
        <w:t xml:space="preserve"> Learning (2024). </w:t>
      </w:r>
      <w:r w:rsidRPr="00AB303B">
        <w:rPr>
          <w:rFonts w:ascii="Arial" w:hAnsi="Arial" w:cs="Arial"/>
          <w:i/>
          <w:iCs/>
        </w:rPr>
        <w:t>Kotter’s 8-Step change model, explained</w:t>
      </w:r>
      <w:r w:rsidRPr="00AB303B">
        <w:rPr>
          <w:rFonts w:ascii="Arial" w:hAnsi="Arial" w:cs="Arial"/>
        </w:rPr>
        <w:t xml:space="preserve">. [online] </w:t>
      </w:r>
      <w:proofErr w:type="spellStart"/>
      <w:r w:rsidRPr="00AB303B">
        <w:rPr>
          <w:rFonts w:ascii="Arial" w:hAnsi="Arial" w:cs="Arial"/>
        </w:rPr>
        <w:t>BiteSize</w:t>
      </w:r>
      <w:proofErr w:type="spellEnd"/>
      <w:r w:rsidRPr="00AB303B">
        <w:rPr>
          <w:rFonts w:ascii="Arial" w:hAnsi="Arial" w:cs="Arial"/>
        </w:rPr>
        <w:t xml:space="preserve"> Learning. Available at: https://www.bitesizelearning.co.uk/resources/kotters-8-step-change-model.</w:t>
      </w:r>
    </w:p>
    <w:p w14:paraId="0403CBBE" w14:textId="77777777" w:rsidR="00AB303B" w:rsidRPr="00AB303B" w:rsidRDefault="00AB303B" w:rsidP="00AB303B">
      <w:pPr>
        <w:rPr>
          <w:rFonts w:ascii="Arial" w:hAnsi="Arial" w:cs="Arial"/>
        </w:rPr>
      </w:pPr>
      <w:r w:rsidRPr="00AB303B">
        <w:rPr>
          <w:rFonts w:ascii="Arial" w:hAnsi="Arial" w:cs="Arial"/>
        </w:rPr>
        <w:t xml:space="preserve">Connelly, M. (2023). </w:t>
      </w:r>
      <w:r w:rsidRPr="00AB303B">
        <w:rPr>
          <w:rFonts w:ascii="Arial" w:hAnsi="Arial" w:cs="Arial"/>
          <w:i/>
          <w:iCs/>
        </w:rPr>
        <w:t>Lewin’s Force Field Analysis Explained</w:t>
      </w:r>
      <w:r w:rsidRPr="00AB303B">
        <w:rPr>
          <w:rFonts w:ascii="Arial" w:hAnsi="Arial" w:cs="Arial"/>
        </w:rPr>
        <w:t>. [online] Change Management Coach. Available at: https://www.change-management-coach.com/force-field-analysis.html.</w:t>
      </w:r>
    </w:p>
    <w:p w14:paraId="20ABF7B7" w14:textId="77777777" w:rsidR="00AB303B" w:rsidRPr="00AB303B" w:rsidRDefault="00AB303B" w:rsidP="00AB303B">
      <w:pPr>
        <w:rPr>
          <w:rFonts w:ascii="Arial" w:hAnsi="Arial" w:cs="Arial"/>
        </w:rPr>
      </w:pPr>
      <w:r w:rsidRPr="00AB303B">
        <w:rPr>
          <w:rFonts w:ascii="Arial" w:hAnsi="Arial" w:cs="Arial"/>
        </w:rPr>
        <w:t xml:space="preserve">Herzberg, F. (1959). </w:t>
      </w:r>
      <w:r w:rsidRPr="00AB303B">
        <w:rPr>
          <w:rFonts w:ascii="Arial" w:hAnsi="Arial" w:cs="Arial"/>
          <w:i/>
          <w:iCs/>
        </w:rPr>
        <w:t>The Motivation to Work</w:t>
      </w:r>
      <w:r w:rsidRPr="00AB303B">
        <w:rPr>
          <w:rFonts w:ascii="Arial" w:hAnsi="Arial" w:cs="Arial"/>
        </w:rPr>
        <w:t>. 2nd ed. New York: John Wiley &amp; Sons.</w:t>
      </w:r>
    </w:p>
    <w:p w14:paraId="004AEA19" w14:textId="77777777" w:rsidR="00AB303B" w:rsidRPr="00AB303B" w:rsidRDefault="00AB303B" w:rsidP="00AB303B">
      <w:pPr>
        <w:rPr>
          <w:rFonts w:ascii="Arial" w:hAnsi="Arial" w:cs="Arial"/>
        </w:rPr>
      </w:pPr>
      <w:proofErr w:type="spellStart"/>
      <w:r w:rsidRPr="00AB303B">
        <w:rPr>
          <w:rFonts w:ascii="Arial" w:hAnsi="Arial" w:cs="Arial"/>
        </w:rPr>
        <w:t>Jerd</w:t>
      </w:r>
      <w:proofErr w:type="spellEnd"/>
      <w:r w:rsidRPr="00AB303B">
        <w:rPr>
          <w:rFonts w:ascii="Arial" w:hAnsi="Arial" w:cs="Arial"/>
        </w:rPr>
        <w:t xml:space="preserve"> (2023). </w:t>
      </w:r>
      <w:r w:rsidRPr="00AB303B">
        <w:rPr>
          <w:rFonts w:ascii="Arial" w:hAnsi="Arial" w:cs="Arial"/>
          <w:i/>
          <w:iCs/>
        </w:rPr>
        <w:t>Evaluate Herzberg’s theory.</w:t>
      </w:r>
      <w:r w:rsidRPr="00AB303B">
        <w:rPr>
          <w:rFonts w:ascii="Arial" w:hAnsi="Arial" w:cs="Arial"/>
        </w:rPr>
        <w:t xml:space="preserve"> [online] getrevising.co.uk. Available at: https://getrevising.co.uk/grids/evaluate-herzbergs-theory.</w:t>
      </w:r>
    </w:p>
    <w:p w14:paraId="5503608D" w14:textId="77777777" w:rsidR="00AB303B" w:rsidRPr="00AB303B" w:rsidRDefault="00AB303B" w:rsidP="00AB303B">
      <w:pPr>
        <w:rPr>
          <w:rFonts w:ascii="Arial" w:hAnsi="Arial" w:cs="Arial"/>
        </w:rPr>
      </w:pPr>
      <w:r w:rsidRPr="00AB303B">
        <w:rPr>
          <w:rFonts w:ascii="Arial" w:hAnsi="Arial" w:cs="Arial"/>
        </w:rPr>
        <w:t xml:space="preserve">Juneja, P. (2025). </w:t>
      </w:r>
      <w:proofErr w:type="spellStart"/>
      <w:r w:rsidRPr="00AB303B">
        <w:rPr>
          <w:rFonts w:ascii="Arial" w:hAnsi="Arial" w:cs="Arial"/>
          <w:i/>
          <w:iCs/>
        </w:rPr>
        <w:t>Herzbergs</w:t>
      </w:r>
      <w:proofErr w:type="spellEnd"/>
      <w:r w:rsidRPr="00AB303B">
        <w:rPr>
          <w:rFonts w:ascii="Arial" w:hAnsi="Arial" w:cs="Arial"/>
          <w:i/>
          <w:iCs/>
        </w:rPr>
        <w:t xml:space="preserve"> Two-Factor Theory of Motivation</w:t>
      </w:r>
      <w:r w:rsidRPr="00AB303B">
        <w:rPr>
          <w:rFonts w:ascii="Arial" w:hAnsi="Arial" w:cs="Arial"/>
        </w:rPr>
        <w:t>. [online] Management Study Guide. Available at: https://www.managementstudyguide.com/herzbergs-theory-motivation.htm.</w:t>
      </w:r>
    </w:p>
    <w:p w14:paraId="7D9BE626" w14:textId="77777777" w:rsidR="00AB303B" w:rsidRPr="00AB303B" w:rsidRDefault="00AB303B" w:rsidP="00AB303B">
      <w:pPr>
        <w:rPr>
          <w:rFonts w:ascii="Arial" w:hAnsi="Arial" w:cs="Arial"/>
        </w:rPr>
      </w:pPr>
      <w:r w:rsidRPr="00AB303B">
        <w:rPr>
          <w:rFonts w:ascii="Arial" w:hAnsi="Arial" w:cs="Arial"/>
        </w:rPr>
        <w:t xml:space="preserve">Kotter, J. (2025). </w:t>
      </w:r>
      <w:r w:rsidRPr="00AB303B">
        <w:rPr>
          <w:rFonts w:ascii="Arial" w:hAnsi="Arial" w:cs="Arial"/>
          <w:i/>
          <w:iCs/>
        </w:rPr>
        <w:t>The 8 steps for leading change</w:t>
      </w:r>
      <w:r w:rsidRPr="00AB303B">
        <w:rPr>
          <w:rFonts w:ascii="Arial" w:hAnsi="Arial" w:cs="Arial"/>
        </w:rPr>
        <w:t>. [online] Kotter. Available at: https://www.kotterinc.com/methodology/8-steps/.</w:t>
      </w:r>
    </w:p>
    <w:p w14:paraId="60D941BB" w14:textId="77777777" w:rsidR="00AB303B" w:rsidRPr="00AB303B" w:rsidRDefault="00AB303B" w:rsidP="00AB303B">
      <w:pPr>
        <w:rPr>
          <w:rFonts w:ascii="Arial" w:hAnsi="Arial" w:cs="Arial"/>
        </w:rPr>
      </w:pPr>
      <w:r w:rsidRPr="00AB303B">
        <w:rPr>
          <w:rFonts w:ascii="Arial" w:hAnsi="Arial" w:cs="Arial"/>
        </w:rPr>
        <w:t xml:space="preserve">Kotter, J.P. (2012). </w:t>
      </w:r>
      <w:r w:rsidRPr="00AB303B">
        <w:rPr>
          <w:rFonts w:ascii="Arial" w:hAnsi="Arial" w:cs="Arial"/>
          <w:i/>
          <w:iCs/>
        </w:rPr>
        <w:t>Leading Change</w:t>
      </w:r>
      <w:r w:rsidRPr="00AB303B">
        <w:rPr>
          <w:rFonts w:ascii="Arial" w:hAnsi="Arial" w:cs="Arial"/>
        </w:rPr>
        <w:t>. Boston, Massachusetts: Harvard Business Review Press.</w:t>
      </w:r>
    </w:p>
    <w:p w14:paraId="09BB7B94" w14:textId="77777777" w:rsidR="00AB303B" w:rsidRPr="00AB303B" w:rsidRDefault="00AB303B" w:rsidP="00AB303B">
      <w:pPr>
        <w:rPr>
          <w:rFonts w:ascii="Arial" w:hAnsi="Arial" w:cs="Arial"/>
        </w:rPr>
      </w:pPr>
      <w:r w:rsidRPr="00AB303B">
        <w:rPr>
          <w:rFonts w:ascii="Arial" w:hAnsi="Arial" w:cs="Arial"/>
        </w:rPr>
        <w:t xml:space="preserve">Kotter, J.P., Mueller, P. and Holger Rathgeber (2006). </w:t>
      </w:r>
      <w:r w:rsidRPr="00AB303B">
        <w:rPr>
          <w:rFonts w:ascii="Arial" w:hAnsi="Arial" w:cs="Arial"/>
          <w:i/>
          <w:iCs/>
        </w:rPr>
        <w:t xml:space="preserve">Our iceberg is </w:t>
      </w:r>
      <w:proofErr w:type="gramStart"/>
      <w:r w:rsidRPr="00AB303B">
        <w:rPr>
          <w:rFonts w:ascii="Arial" w:hAnsi="Arial" w:cs="Arial"/>
          <w:i/>
          <w:iCs/>
        </w:rPr>
        <w:t>melting :</w:t>
      </w:r>
      <w:proofErr w:type="gramEnd"/>
      <w:r w:rsidRPr="00AB303B">
        <w:rPr>
          <w:rFonts w:ascii="Arial" w:hAnsi="Arial" w:cs="Arial"/>
          <w:i/>
          <w:iCs/>
        </w:rPr>
        <w:t xml:space="preserve"> change and succeed under adverse conditions</w:t>
      </w:r>
      <w:r w:rsidRPr="00AB303B">
        <w:rPr>
          <w:rFonts w:ascii="Arial" w:hAnsi="Arial" w:cs="Arial"/>
        </w:rPr>
        <w:t>. London: Macmillan.</w:t>
      </w:r>
    </w:p>
    <w:p w14:paraId="78808BAB" w14:textId="77777777" w:rsidR="00AB303B" w:rsidRPr="00AB303B" w:rsidRDefault="00AB303B" w:rsidP="00AB303B">
      <w:pPr>
        <w:rPr>
          <w:rFonts w:ascii="Arial" w:hAnsi="Arial" w:cs="Arial"/>
        </w:rPr>
      </w:pPr>
      <w:r w:rsidRPr="00AB303B">
        <w:rPr>
          <w:rFonts w:ascii="Arial" w:hAnsi="Arial" w:cs="Arial"/>
        </w:rPr>
        <w:t xml:space="preserve">Kurt, S. (2021). </w:t>
      </w:r>
      <w:r w:rsidRPr="00AB303B">
        <w:rPr>
          <w:rFonts w:ascii="Arial" w:hAnsi="Arial" w:cs="Arial"/>
          <w:i/>
          <w:iCs/>
        </w:rPr>
        <w:t>Herzberg’s motivation-hygiene theory: Two-Factor</w:t>
      </w:r>
      <w:r w:rsidRPr="00AB303B">
        <w:rPr>
          <w:rFonts w:ascii="Arial" w:hAnsi="Arial" w:cs="Arial"/>
        </w:rPr>
        <w:t>. [online] Education Library. Available at: https://educationlibrary.org/herzbergs-motivation-hygiene-theory-two-factor/.</w:t>
      </w:r>
    </w:p>
    <w:p w14:paraId="767B1415" w14:textId="77777777" w:rsidR="00AB303B" w:rsidRPr="00AB303B" w:rsidRDefault="00AB303B" w:rsidP="00AB303B">
      <w:pPr>
        <w:rPr>
          <w:rFonts w:ascii="Arial" w:hAnsi="Arial" w:cs="Arial"/>
        </w:rPr>
      </w:pPr>
      <w:r w:rsidRPr="00AB303B">
        <w:rPr>
          <w:rFonts w:ascii="Arial" w:hAnsi="Arial" w:cs="Arial"/>
        </w:rPr>
        <w:t xml:space="preserve">Lewin, K. and Cartwright, D. (1951). </w:t>
      </w:r>
      <w:r w:rsidRPr="00AB303B">
        <w:rPr>
          <w:rFonts w:ascii="Arial" w:hAnsi="Arial" w:cs="Arial"/>
          <w:i/>
          <w:iCs/>
        </w:rPr>
        <w:t>Field theory in social science</w:t>
      </w:r>
      <w:r w:rsidRPr="00AB303B">
        <w:rPr>
          <w:rFonts w:ascii="Arial" w:hAnsi="Arial" w:cs="Arial"/>
        </w:rPr>
        <w:t>. New York: Harper &amp; Bros.</w:t>
      </w:r>
    </w:p>
    <w:p w14:paraId="6ABE584C" w14:textId="77777777" w:rsidR="00AB303B" w:rsidRPr="00AB303B" w:rsidRDefault="00AB303B" w:rsidP="00AB303B">
      <w:pPr>
        <w:rPr>
          <w:rFonts w:ascii="Arial" w:hAnsi="Arial" w:cs="Arial"/>
        </w:rPr>
      </w:pPr>
      <w:r w:rsidRPr="00AB303B">
        <w:rPr>
          <w:rFonts w:ascii="Arial" w:hAnsi="Arial" w:cs="Arial"/>
        </w:rPr>
        <w:t xml:space="preserve">Lewis, J. (2020). </w:t>
      </w:r>
      <w:r w:rsidRPr="00AB303B">
        <w:rPr>
          <w:rFonts w:ascii="Arial" w:hAnsi="Arial" w:cs="Arial"/>
          <w:i/>
          <w:iCs/>
        </w:rPr>
        <w:t xml:space="preserve">HOW TO FAIL AT CHANGE </w:t>
      </w:r>
      <w:proofErr w:type="gramStart"/>
      <w:r w:rsidRPr="00AB303B">
        <w:rPr>
          <w:rFonts w:ascii="Arial" w:hAnsi="Arial" w:cs="Arial"/>
          <w:i/>
          <w:iCs/>
        </w:rPr>
        <w:t>MANAGEMENT :</w:t>
      </w:r>
      <w:proofErr w:type="gramEnd"/>
      <w:r w:rsidRPr="00AB303B">
        <w:rPr>
          <w:rFonts w:ascii="Arial" w:hAnsi="Arial" w:cs="Arial"/>
          <w:i/>
          <w:iCs/>
        </w:rPr>
        <w:t xml:space="preserve"> a manager’s guide to the pitfalls of managing change.</w:t>
      </w:r>
      <w:r w:rsidRPr="00AB303B">
        <w:rPr>
          <w:rFonts w:ascii="Arial" w:hAnsi="Arial" w:cs="Arial"/>
        </w:rPr>
        <w:t xml:space="preserve"> S.L.: Business Expert Press.</w:t>
      </w:r>
    </w:p>
    <w:p w14:paraId="234E4064" w14:textId="77777777" w:rsidR="00AB303B" w:rsidRPr="00AB303B" w:rsidRDefault="00AB303B" w:rsidP="00AB303B">
      <w:pPr>
        <w:rPr>
          <w:rFonts w:ascii="Arial" w:hAnsi="Arial" w:cs="Arial"/>
        </w:rPr>
      </w:pPr>
      <w:r w:rsidRPr="00AB303B">
        <w:rPr>
          <w:rFonts w:ascii="Arial" w:hAnsi="Arial" w:cs="Arial"/>
        </w:rPr>
        <w:t xml:space="preserve">Miranda, D. and Bottorff, C. (2021). </w:t>
      </w:r>
      <w:r w:rsidRPr="00AB303B">
        <w:rPr>
          <w:rFonts w:ascii="Arial" w:hAnsi="Arial" w:cs="Arial"/>
          <w:i/>
          <w:iCs/>
        </w:rPr>
        <w:t xml:space="preserve">The Four Principles </w:t>
      </w:r>
      <w:proofErr w:type="gramStart"/>
      <w:r w:rsidRPr="00AB303B">
        <w:rPr>
          <w:rFonts w:ascii="Arial" w:hAnsi="Arial" w:cs="Arial"/>
          <w:i/>
          <w:iCs/>
        </w:rPr>
        <w:t>Of</w:t>
      </w:r>
      <w:proofErr w:type="gramEnd"/>
      <w:r w:rsidRPr="00AB303B">
        <w:rPr>
          <w:rFonts w:ascii="Arial" w:hAnsi="Arial" w:cs="Arial"/>
          <w:i/>
          <w:iCs/>
        </w:rPr>
        <w:t xml:space="preserve"> Change Management</w:t>
      </w:r>
      <w:r w:rsidRPr="00AB303B">
        <w:rPr>
          <w:rFonts w:ascii="Arial" w:hAnsi="Arial" w:cs="Arial"/>
        </w:rPr>
        <w:t>. [online] Forbes Advisor. Available at: https://www.forbes.com/advisor/business/principles-of-change-management/.</w:t>
      </w:r>
    </w:p>
    <w:p w14:paraId="0C08FB92" w14:textId="77777777" w:rsidR="00AB303B" w:rsidRPr="00AB303B" w:rsidRDefault="00AB303B" w:rsidP="00AB303B">
      <w:pPr>
        <w:rPr>
          <w:rFonts w:ascii="Arial" w:hAnsi="Arial" w:cs="Arial"/>
        </w:rPr>
      </w:pPr>
      <w:r w:rsidRPr="00AB303B">
        <w:rPr>
          <w:rFonts w:ascii="Arial" w:hAnsi="Arial" w:cs="Arial"/>
        </w:rPr>
        <w:t xml:space="preserve">Mister, N. (2015). </w:t>
      </w:r>
      <w:r w:rsidRPr="00AB303B">
        <w:rPr>
          <w:rFonts w:ascii="Arial" w:hAnsi="Arial" w:cs="Arial"/>
          <w:i/>
          <w:iCs/>
        </w:rPr>
        <w:t>Organisational Change Guidance | Human Resources</w:t>
      </w:r>
      <w:r w:rsidRPr="00AB303B">
        <w:rPr>
          <w:rFonts w:ascii="Arial" w:hAnsi="Arial" w:cs="Arial"/>
        </w:rPr>
        <w:t>. [online] Cam.ac.uk. Available at: https://www.hr.admin.cam.ac.uk/policies-procedures/organisational-change-guidance/organisational-change-guidance-6.</w:t>
      </w:r>
    </w:p>
    <w:p w14:paraId="4FA7CF34" w14:textId="77777777" w:rsidR="00AB303B" w:rsidRPr="00AB303B" w:rsidRDefault="00AB303B" w:rsidP="00AB303B">
      <w:pPr>
        <w:rPr>
          <w:rFonts w:ascii="Arial" w:hAnsi="Arial" w:cs="Arial"/>
        </w:rPr>
      </w:pPr>
      <w:r w:rsidRPr="00AB303B">
        <w:rPr>
          <w:rFonts w:ascii="Arial" w:hAnsi="Arial" w:cs="Arial"/>
        </w:rPr>
        <w:t xml:space="preserve">Nickerson, C. (2025). </w:t>
      </w:r>
      <w:r w:rsidRPr="00AB303B">
        <w:rPr>
          <w:rFonts w:ascii="Arial" w:hAnsi="Arial" w:cs="Arial"/>
          <w:i/>
          <w:iCs/>
        </w:rPr>
        <w:t>Herzberg’s two-factor Theory of motivation-hygiene</w:t>
      </w:r>
      <w:r w:rsidRPr="00AB303B">
        <w:rPr>
          <w:rFonts w:ascii="Arial" w:hAnsi="Arial" w:cs="Arial"/>
        </w:rPr>
        <w:t>. [online] Simply Psychology. Available at: https://www.simplypsychology.org/herzbergs-two-factor-theory.html.</w:t>
      </w:r>
    </w:p>
    <w:p w14:paraId="73C4DC73" w14:textId="77777777" w:rsidR="00AB303B" w:rsidRPr="00AB303B" w:rsidRDefault="00AB303B" w:rsidP="00AB303B">
      <w:pPr>
        <w:rPr>
          <w:rFonts w:ascii="Arial" w:hAnsi="Arial" w:cs="Arial"/>
        </w:rPr>
      </w:pPr>
      <w:proofErr w:type="spellStart"/>
      <w:r w:rsidRPr="00AB303B">
        <w:rPr>
          <w:rFonts w:ascii="Arial" w:hAnsi="Arial" w:cs="Arial"/>
        </w:rPr>
        <w:t>Prosci</w:t>
      </w:r>
      <w:proofErr w:type="spellEnd"/>
      <w:r w:rsidRPr="00AB303B">
        <w:rPr>
          <w:rFonts w:ascii="Arial" w:hAnsi="Arial" w:cs="Arial"/>
        </w:rPr>
        <w:t xml:space="preserve"> (2024). </w:t>
      </w:r>
      <w:r w:rsidRPr="00AB303B">
        <w:rPr>
          <w:rFonts w:ascii="Arial" w:hAnsi="Arial" w:cs="Arial"/>
          <w:i/>
          <w:iCs/>
        </w:rPr>
        <w:t>What Is Lewin’s Change Theory? Explanation, Pros and Cons</w:t>
      </w:r>
      <w:r w:rsidRPr="00AB303B">
        <w:rPr>
          <w:rFonts w:ascii="Arial" w:hAnsi="Arial" w:cs="Arial"/>
        </w:rPr>
        <w:t>. [online] Prosci.com. Available at: https://www.prosci.com/blog/lewins-change-theory.</w:t>
      </w:r>
    </w:p>
    <w:p w14:paraId="624A0A75" w14:textId="77777777" w:rsidR="00AB303B" w:rsidRPr="00AB303B" w:rsidRDefault="00AB303B" w:rsidP="00AB303B">
      <w:pPr>
        <w:rPr>
          <w:rFonts w:ascii="Arial" w:hAnsi="Arial" w:cs="Arial"/>
        </w:rPr>
      </w:pPr>
      <w:r w:rsidRPr="00AB303B">
        <w:rPr>
          <w:rFonts w:ascii="Arial" w:hAnsi="Arial" w:cs="Arial"/>
        </w:rPr>
        <w:t xml:space="preserve">Six Sigma (2024). </w:t>
      </w:r>
      <w:r w:rsidRPr="00AB303B">
        <w:rPr>
          <w:rFonts w:ascii="Arial" w:hAnsi="Arial" w:cs="Arial"/>
          <w:i/>
          <w:iCs/>
        </w:rPr>
        <w:t xml:space="preserve">Lewin’s Force Field Analysis in Change Management. What, </w:t>
      </w:r>
      <w:proofErr w:type="gramStart"/>
      <w:r w:rsidRPr="00AB303B">
        <w:rPr>
          <w:rFonts w:ascii="Arial" w:hAnsi="Arial" w:cs="Arial"/>
          <w:i/>
          <w:iCs/>
        </w:rPr>
        <w:t>Why</w:t>
      </w:r>
      <w:proofErr w:type="gramEnd"/>
      <w:r w:rsidRPr="00AB303B">
        <w:rPr>
          <w:rFonts w:ascii="Arial" w:hAnsi="Arial" w:cs="Arial"/>
          <w:i/>
          <w:iCs/>
        </w:rPr>
        <w:t>, and How</w:t>
      </w:r>
      <w:r w:rsidRPr="00AB303B">
        <w:rPr>
          <w:rFonts w:ascii="Arial" w:hAnsi="Arial" w:cs="Arial"/>
        </w:rPr>
        <w:t>. [online] SixSigma.us. Available at: https://www.6sigma.us/six-sigma-in-focus/lewin-force-field-analysis-in-change-management/.</w:t>
      </w:r>
    </w:p>
    <w:p w14:paraId="4D800CE2" w14:textId="77777777" w:rsidR="00AB303B" w:rsidRPr="00AB303B" w:rsidRDefault="00AB303B" w:rsidP="00AB303B">
      <w:pPr>
        <w:rPr>
          <w:rFonts w:ascii="Arial" w:hAnsi="Arial" w:cs="Arial"/>
        </w:rPr>
      </w:pPr>
      <w:r w:rsidRPr="00AB303B">
        <w:rPr>
          <w:rFonts w:ascii="Arial" w:hAnsi="Arial" w:cs="Arial"/>
        </w:rPr>
        <w:lastRenderedPageBreak/>
        <w:t xml:space="preserve">Strategists, C. (2023). </w:t>
      </w:r>
      <w:r w:rsidRPr="00AB303B">
        <w:rPr>
          <w:rFonts w:ascii="Arial" w:hAnsi="Arial" w:cs="Arial"/>
          <w:i/>
          <w:iCs/>
        </w:rPr>
        <w:t>The Role of Engaging Stakeholders in Change Management</w:t>
      </w:r>
      <w:r w:rsidRPr="00AB303B">
        <w:rPr>
          <w:rFonts w:ascii="Arial" w:hAnsi="Arial" w:cs="Arial"/>
        </w:rPr>
        <w:t>. [online] Change Strategists. Available at: https://changestrategists.com/the-role-of-engaging-stakeholders-in-change-management/.</w:t>
      </w:r>
    </w:p>
    <w:p w14:paraId="447B26E6" w14:textId="77777777" w:rsidR="00AB303B" w:rsidRPr="00AB303B" w:rsidRDefault="00AB303B" w:rsidP="00AB303B">
      <w:pPr>
        <w:rPr>
          <w:rFonts w:ascii="Arial" w:hAnsi="Arial" w:cs="Arial"/>
        </w:rPr>
      </w:pPr>
      <w:r w:rsidRPr="00AB303B">
        <w:rPr>
          <w:rFonts w:ascii="Arial" w:hAnsi="Arial" w:cs="Arial"/>
        </w:rPr>
        <w:t xml:space="preserve">Tahir, U. (2019). </w:t>
      </w:r>
      <w:r w:rsidRPr="00AB303B">
        <w:rPr>
          <w:rFonts w:ascii="Arial" w:hAnsi="Arial" w:cs="Arial"/>
          <w:i/>
          <w:iCs/>
        </w:rPr>
        <w:t>Lewin’s Force Field Analysis (Change Management)</w:t>
      </w:r>
      <w:r w:rsidRPr="00AB303B">
        <w:rPr>
          <w:rFonts w:ascii="Arial" w:hAnsi="Arial" w:cs="Arial"/>
        </w:rPr>
        <w:t>. [online] Change Management Insight. Available at: https://changemanagementinsight.com/lewins-force-field-analysis-change-management/.</w:t>
      </w:r>
    </w:p>
    <w:p w14:paraId="43901581" w14:textId="77777777" w:rsidR="00AB303B" w:rsidRPr="00AB303B" w:rsidRDefault="00AB303B" w:rsidP="00AB303B">
      <w:pPr>
        <w:rPr>
          <w:rFonts w:ascii="Arial" w:hAnsi="Arial" w:cs="Arial"/>
        </w:rPr>
      </w:pPr>
      <w:r w:rsidRPr="00AB303B">
        <w:rPr>
          <w:rFonts w:ascii="Arial" w:hAnsi="Arial" w:cs="Arial"/>
        </w:rPr>
        <w:t xml:space="preserve">Tata Steel UK. (2024). </w:t>
      </w:r>
      <w:r w:rsidRPr="00AB303B">
        <w:rPr>
          <w:rFonts w:ascii="Arial" w:hAnsi="Arial" w:cs="Arial"/>
          <w:i/>
          <w:iCs/>
        </w:rPr>
        <w:t>Shotton</w:t>
      </w:r>
      <w:r w:rsidRPr="00AB303B">
        <w:rPr>
          <w:rFonts w:ascii="Arial" w:hAnsi="Arial" w:cs="Arial"/>
        </w:rPr>
        <w:t>. [online] Available at: https://www.tatasteeluk.com/construction/sustainability/performance-at-our-sites/shotton.</w:t>
      </w:r>
    </w:p>
    <w:p w14:paraId="0995C870" w14:textId="77777777" w:rsidR="00AB303B" w:rsidRPr="00AB303B" w:rsidRDefault="00AB303B" w:rsidP="00AB303B">
      <w:pPr>
        <w:rPr>
          <w:rFonts w:ascii="Arial" w:hAnsi="Arial" w:cs="Arial"/>
        </w:rPr>
      </w:pPr>
      <w:r w:rsidRPr="00AB303B">
        <w:rPr>
          <w:rFonts w:ascii="Arial" w:hAnsi="Arial" w:cs="Arial"/>
        </w:rPr>
        <w:t xml:space="preserve">www.tata.com. (n.d.). </w:t>
      </w:r>
      <w:r w:rsidRPr="00AB303B">
        <w:rPr>
          <w:rFonts w:ascii="Arial" w:hAnsi="Arial" w:cs="Arial"/>
          <w:i/>
          <w:iCs/>
        </w:rPr>
        <w:t>Tata Steel | Business | Tata group</w:t>
      </w:r>
      <w:r w:rsidRPr="00AB303B">
        <w:rPr>
          <w:rFonts w:ascii="Arial" w:hAnsi="Arial" w:cs="Arial"/>
        </w:rPr>
        <w:t>. [online] Available at: https://www.tata.com/business/tata-steel.</w:t>
      </w:r>
    </w:p>
    <w:p w14:paraId="7F890C1F" w14:textId="779BD7A8" w:rsidR="00CA09F3" w:rsidRDefault="00CA09F3"/>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A256436"/>
    <w:multiLevelType w:val="hybridMultilevel"/>
    <w:tmpl w:val="76DEB9A6"/>
    <w:lvl w:ilvl="0" w:tplc="C2FE2E30">
      <w:start w:val="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2F6AE2"/>
    <w:multiLevelType w:val="hybridMultilevel"/>
    <w:tmpl w:val="EE524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0617089">
    <w:abstractNumId w:val="1"/>
  </w:num>
  <w:num w:numId="2" w16cid:durableId="669018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2C6"/>
    <w:rsid w:val="000F2ECB"/>
    <w:rsid w:val="00107936"/>
    <w:rsid w:val="00115B96"/>
    <w:rsid w:val="00135A46"/>
    <w:rsid w:val="00144F2C"/>
    <w:rsid w:val="00292977"/>
    <w:rsid w:val="002A1355"/>
    <w:rsid w:val="00312B84"/>
    <w:rsid w:val="00324CCD"/>
    <w:rsid w:val="003351F0"/>
    <w:rsid w:val="003701CD"/>
    <w:rsid w:val="00376418"/>
    <w:rsid w:val="003C308B"/>
    <w:rsid w:val="003C70AF"/>
    <w:rsid w:val="003D695C"/>
    <w:rsid w:val="00480872"/>
    <w:rsid w:val="004A11F6"/>
    <w:rsid w:val="004D519C"/>
    <w:rsid w:val="005014C5"/>
    <w:rsid w:val="00671928"/>
    <w:rsid w:val="00693E27"/>
    <w:rsid w:val="006F3E88"/>
    <w:rsid w:val="00734E80"/>
    <w:rsid w:val="00756DB8"/>
    <w:rsid w:val="0078672E"/>
    <w:rsid w:val="007D1947"/>
    <w:rsid w:val="007D6214"/>
    <w:rsid w:val="008106DC"/>
    <w:rsid w:val="008868D5"/>
    <w:rsid w:val="008D4C45"/>
    <w:rsid w:val="008D54DF"/>
    <w:rsid w:val="00920BC9"/>
    <w:rsid w:val="00931CAA"/>
    <w:rsid w:val="009D571C"/>
    <w:rsid w:val="00A12B58"/>
    <w:rsid w:val="00A4233F"/>
    <w:rsid w:val="00A96527"/>
    <w:rsid w:val="00AA2A91"/>
    <w:rsid w:val="00AA4C51"/>
    <w:rsid w:val="00AB303B"/>
    <w:rsid w:val="00B007B1"/>
    <w:rsid w:val="00B76999"/>
    <w:rsid w:val="00B94DB5"/>
    <w:rsid w:val="00CA09F3"/>
    <w:rsid w:val="00D00415"/>
    <w:rsid w:val="00D54292"/>
    <w:rsid w:val="00D854A5"/>
    <w:rsid w:val="00D96EC3"/>
    <w:rsid w:val="00E8029B"/>
    <w:rsid w:val="00E91208"/>
    <w:rsid w:val="00F01B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table" w:styleId="TableGrid">
    <w:name w:val="Table Grid"/>
    <w:basedOn w:val="TableNormal"/>
    <w:uiPriority w:val="39"/>
    <w:rsid w:val="008868D5"/>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68D5"/>
    <w:pPr>
      <w:spacing w:before="80" w:after="40" w:line="360" w:lineRule="auto"/>
      <w:ind w:left="720"/>
      <w:contextualSpacing/>
    </w:pPr>
    <w:rPr>
      <w:kern w:val="2"/>
      <w:sz w:val="24"/>
      <w:szCs w:val="24"/>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263474">
      <w:bodyDiv w:val="1"/>
      <w:marLeft w:val="0"/>
      <w:marRight w:val="0"/>
      <w:marTop w:val="0"/>
      <w:marBottom w:val="0"/>
      <w:divBdr>
        <w:top w:val="none" w:sz="0" w:space="0" w:color="auto"/>
        <w:left w:val="none" w:sz="0" w:space="0" w:color="auto"/>
        <w:bottom w:val="none" w:sz="0" w:space="0" w:color="auto"/>
        <w:right w:val="none" w:sz="0" w:space="0" w:color="auto"/>
      </w:divBdr>
      <w:divsChild>
        <w:div w:id="146437919">
          <w:marLeft w:val="0"/>
          <w:marRight w:val="0"/>
          <w:marTop w:val="0"/>
          <w:marBottom w:val="0"/>
          <w:divBdr>
            <w:top w:val="none" w:sz="0" w:space="0" w:color="auto"/>
            <w:left w:val="none" w:sz="0" w:space="0" w:color="auto"/>
            <w:bottom w:val="none" w:sz="0" w:space="0" w:color="auto"/>
            <w:right w:val="none" w:sz="0" w:space="0" w:color="auto"/>
          </w:divBdr>
        </w:div>
      </w:divsChild>
    </w:div>
    <w:div w:id="106970259">
      <w:bodyDiv w:val="1"/>
      <w:marLeft w:val="0"/>
      <w:marRight w:val="0"/>
      <w:marTop w:val="0"/>
      <w:marBottom w:val="0"/>
      <w:divBdr>
        <w:top w:val="none" w:sz="0" w:space="0" w:color="auto"/>
        <w:left w:val="none" w:sz="0" w:space="0" w:color="auto"/>
        <w:bottom w:val="none" w:sz="0" w:space="0" w:color="auto"/>
        <w:right w:val="none" w:sz="0" w:space="0" w:color="auto"/>
      </w:divBdr>
      <w:divsChild>
        <w:div w:id="18556998">
          <w:marLeft w:val="0"/>
          <w:marRight w:val="0"/>
          <w:marTop w:val="0"/>
          <w:marBottom w:val="0"/>
          <w:divBdr>
            <w:top w:val="none" w:sz="0" w:space="0" w:color="auto"/>
            <w:left w:val="none" w:sz="0" w:space="0" w:color="auto"/>
            <w:bottom w:val="none" w:sz="0" w:space="0" w:color="auto"/>
            <w:right w:val="none" w:sz="0" w:space="0" w:color="auto"/>
          </w:divBdr>
        </w:div>
      </w:divsChild>
    </w:div>
    <w:div w:id="234241151">
      <w:bodyDiv w:val="1"/>
      <w:marLeft w:val="0"/>
      <w:marRight w:val="0"/>
      <w:marTop w:val="0"/>
      <w:marBottom w:val="0"/>
      <w:divBdr>
        <w:top w:val="none" w:sz="0" w:space="0" w:color="auto"/>
        <w:left w:val="none" w:sz="0" w:space="0" w:color="auto"/>
        <w:bottom w:val="none" w:sz="0" w:space="0" w:color="auto"/>
        <w:right w:val="none" w:sz="0" w:space="0" w:color="auto"/>
      </w:divBdr>
      <w:divsChild>
        <w:div w:id="1168669281">
          <w:marLeft w:val="0"/>
          <w:marRight w:val="0"/>
          <w:marTop w:val="0"/>
          <w:marBottom w:val="0"/>
          <w:divBdr>
            <w:top w:val="none" w:sz="0" w:space="0" w:color="auto"/>
            <w:left w:val="none" w:sz="0" w:space="0" w:color="auto"/>
            <w:bottom w:val="none" w:sz="0" w:space="0" w:color="auto"/>
            <w:right w:val="none" w:sz="0" w:space="0" w:color="auto"/>
          </w:divBdr>
        </w:div>
      </w:divsChild>
    </w:div>
    <w:div w:id="662438013">
      <w:bodyDiv w:val="1"/>
      <w:marLeft w:val="0"/>
      <w:marRight w:val="0"/>
      <w:marTop w:val="0"/>
      <w:marBottom w:val="0"/>
      <w:divBdr>
        <w:top w:val="none" w:sz="0" w:space="0" w:color="auto"/>
        <w:left w:val="none" w:sz="0" w:space="0" w:color="auto"/>
        <w:bottom w:val="none" w:sz="0" w:space="0" w:color="auto"/>
        <w:right w:val="none" w:sz="0" w:space="0" w:color="auto"/>
      </w:divBdr>
      <w:divsChild>
        <w:div w:id="1747529635">
          <w:marLeft w:val="0"/>
          <w:marRight w:val="0"/>
          <w:marTop w:val="0"/>
          <w:marBottom w:val="0"/>
          <w:divBdr>
            <w:top w:val="none" w:sz="0" w:space="0" w:color="auto"/>
            <w:left w:val="none" w:sz="0" w:space="0" w:color="auto"/>
            <w:bottom w:val="none" w:sz="0" w:space="0" w:color="auto"/>
            <w:right w:val="none" w:sz="0" w:space="0" w:color="auto"/>
          </w:divBdr>
        </w:div>
      </w:divsChild>
    </w:div>
    <w:div w:id="1231695908">
      <w:bodyDiv w:val="1"/>
      <w:marLeft w:val="0"/>
      <w:marRight w:val="0"/>
      <w:marTop w:val="0"/>
      <w:marBottom w:val="0"/>
      <w:divBdr>
        <w:top w:val="none" w:sz="0" w:space="0" w:color="auto"/>
        <w:left w:val="none" w:sz="0" w:space="0" w:color="auto"/>
        <w:bottom w:val="none" w:sz="0" w:space="0" w:color="auto"/>
        <w:right w:val="none" w:sz="0" w:space="0" w:color="auto"/>
      </w:divBdr>
      <w:divsChild>
        <w:div w:id="801000265">
          <w:marLeft w:val="0"/>
          <w:marRight w:val="0"/>
          <w:marTop w:val="0"/>
          <w:marBottom w:val="0"/>
          <w:divBdr>
            <w:top w:val="none" w:sz="0" w:space="0" w:color="auto"/>
            <w:left w:val="none" w:sz="0" w:space="0" w:color="auto"/>
            <w:bottom w:val="none" w:sz="0" w:space="0" w:color="auto"/>
            <w:right w:val="none" w:sz="0" w:space="0" w:color="auto"/>
          </w:divBdr>
        </w:div>
      </w:divsChild>
    </w:div>
    <w:div w:id="1435396190">
      <w:bodyDiv w:val="1"/>
      <w:marLeft w:val="0"/>
      <w:marRight w:val="0"/>
      <w:marTop w:val="0"/>
      <w:marBottom w:val="0"/>
      <w:divBdr>
        <w:top w:val="none" w:sz="0" w:space="0" w:color="auto"/>
        <w:left w:val="none" w:sz="0" w:space="0" w:color="auto"/>
        <w:bottom w:val="none" w:sz="0" w:space="0" w:color="auto"/>
        <w:right w:val="none" w:sz="0" w:space="0" w:color="auto"/>
      </w:divBdr>
      <w:divsChild>
        <w:div w:id="835726084">
          <w:marLeft w:val="0"/>
          <w:marRight w:val="0"/>
          <w:marTop w:val="0"/>
          <w:marBottom w:val="0"/>
          <w:divBdr>
            <w:top w:val="none" w:sz="0" w:space="0" w:color="auto"/>
            <w:left w:val="none" w:sz="0" w:space="0" w:color="auto"/>
            <w:bottom w:val="none" w:sz="0" w:space="0" w:color="auto"/>
            <w:right w:val="none" w:sz="0" w:space="0" w:color="auto"/>
          </w:divBdr>
        </w:div>
      </w:divsChild>
    </w:div>
    <w:div w:id="1643998654">
      <w:bodyDiv w:val="1"/>
      <w:marLeft w:val="0"/>
      <w:marRight w:val="0"/>
      <w:marTop w:val="0"/>
      <w:marBottom w:val="0"/>
      <w:divBdr>
        <w:top w:val="none" w:sz="0" w:space="0" w:color="auto"/>
        <w:left w:val="none" w:sz="0" w:space="0" w:color="auto"/>
        <w:bottom w:val="none" w:sz="0" w:space="0" w:color="auto"/>
        <w:right w:val="none" w:sz="0" w:space="0" w:color="auto"/>
      </w:divBdr>
    </w:div>
    <w:div w:id="1942562694">
      <w:bodyDiv w:val="1"/>
      <w:marLeft w:val="0"/>
      <w:marRight w:val="0"/>
      <w:marTop w:val="0"/>
      <w:marBottom w:val="0"/>
      <w:divBdr>
        <w:top w:val="none" w:sz="0" w:space="0" w:color="auto"/>
        <w:left w:val="none" w:sz="0" w:space="0" w:color="auto"/>
        <w:bottom w:val="none" w:sz="0" w:space="0" w:color="auto"/>
        <w:right w:val="none" w:sz="0" w:space="0" w:color="auto"/>
      </w:divBdr>
    </w:div>
    <w:div w:id="2003854329">
      <w:bodyDiv w:val="1"/>
      <w:marLeft w:val="0"/>
      <w:marRight w:val="0"/>
      <w:marTop w:val="0"/>
      <w:marBottom w:val="0"/>
      <w:divBdr>
        <w:top w:val="none" w:sz="0" w:space="0" w:color="auto"/>
        <w:left w:val="none" w:sz="0" w:space="0" w:color="auto"/>
        <w:bottom w:val="none" w:sz="0" w:space="0" w:color="auto"/>
        <w:right w:val="none" w:sz="0" w:space="0" w:color="auto"/>
      </w:divBdr>
    </w:div>
    <w:div w:id="20653246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5" Type="http://schemas.openxmlformats.org/officeDocument/2006/relationships/customXml" Target="../customXml/item5.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42260"/>
    <w:rsid w:val="002450A7"/>
    <w:rsid w:val="003203C2"/>
    <w:rsid w:val="004D25D2"/>
    <w:rsid w:val="006F3E88"/>
    <w:rsid w:val="008F39E1"/>
    <w:rsid w:val="009D7389"/>
    <w:rsid w:val="00A34C42"/>
    <w:rsid w:val="00B94DB5"/>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2025-05-12T00:00:00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7325b408fe4bb242f1dd9cbd62b23a80">
  <xsd:schema xmlns:xsd="http://www.w3.org/2001/XMLSchema" xmlns:xs="http://www.w3.org/2001/XMLSchema" xmlns:p="http://schemas.microsoft.com/office/2006/metadata/properties" xmlns:ns3="170d7878-6d73-463a-a069-a6c57769e00c" targetNamespace="http://schemas.microsoft.com/office/2006/metadata/properties" ma:root="true" ma:fieldsID="8f6f32832af2bde4e81fa0445a8632c4"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9A4411D-997F-8045-84F8-91606ACD0EC1}">
  <ds:schemaRefs>
    <ds:schemaRef ds:uri="http://schemas.openxmlformats.org/officeDocument/2006/bibliography"/>
  </ds:schemaRefs>
</ds:datastoreItem>
</file>

<file path=customXml/itemProps3.xml><?xml version="1.0" encoding="utf-8"?>
<ds:datastoreItem xmlns:ds="http://schemas.openxmlformats.org/officeDocument/2006/customXml" ds:itemID="{49AC7BDE-7DCA-412B-9B2F-D224166710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0D09088-A72E-4F23-A5DC-76A6AB40C15B}">
  <ds:schemaRefs>
    <ds:schemaRef ds:uri="http://schemas.microsoft.com/sharepoint/v3/contenttype/forms"/>
  </ds:schemaRefs>
</ds:datastoreItem>
</file>

<file path=customXml/itemProps5.xml><?xml version="1.0" encoding="utf-8"?>
<ds:datastoreItem xmlns:ds="http://schemas.openxmlformats.org/officeDocument/2006/customXml" ds:itemID="{D1D0D54E-BF51-4F7B-9DB0-C18333D285A1}">
  <ds:schemaRefs>
    <ds:schemaRef ds:uri="http://purl.org/dc/elements/1.1/"/>
    <ds:schemaRef ds:uri="http://www.w3.org/XML/1998/namespace"/>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170d7878-6d73-463a-a069-a6c57769e00c"/>
    <ds:schemaRef ds:uri="http://purl.org/dc/dcmityp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3005</Words>
  <Characters>17131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Management Innovation and Sustainability</vt:lpstr>
    </vt:vector>
  </TitlesOfParts>
  <Company>University of Wales Trinity Saint David</Company>
  <LinksUpToDate>false</LinksUpToDate>
  <CharactersWithSpaces>20096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Innovation and Sustainability</dc:title>
  <dc:subject>Emily Thomas 2418089</dc:subject>
  <dc:creator>Marie Pitson</dc:creator>
  <cp:keywords/>
  <dc:description/>
  <cp:lastModifiedBy>Emily Thomas (2418089)</cp:lastModifiedBy>
  <cp:revision>2</cp:revision>
  <dcterms:created xsi:type="dcterms:W3CDTF">2025-05-12T08:13:00Z</dcterms:created>
  <dcterms:modified xsi:type="dcterms:W3CDTF">2025-05-12T08:13:00Z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