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jc w:val="center"/>
        <w:rPr>
          <w:b w:val="1"/>
          <w:bCs w:val="1"/>
          <w:sz w:val="32"/>
          <w:szCs w:val="32"/>
          <w:u w:val="single"/>
        </w:rPr>
      </w:pPr>
      <w:r>
        <mc:AlternateContent>
          <mc:Choice Requires="wps">
            <w:drawing xmlns:a="http://schemas.openxmlformats.org/drawingml/2006/main">
              <wp:anchor distT="0" distB="0" distL="0" distR="0" simplePos="0" relativeHeight="251659264" behindDoc="0" locked="0" layoutInCell="1" allowOverlap="1">
                <wp:simplePos x="0" y="0"/>
                <wp:positionH relativeFrom="margin">
                  <wp:posOffset>-295290</wp:posOffset>
                </wp:positionH>
                <wp:positionV relativeFrom="page">
                  <wp:posOffset>876300</wp:posOffset>
                </wp:positionV>
                <wp:extent cx="6635751" cy="31750"/>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6635751" cy="31750"/>
                        </a:xfrm>
                        <a:prstGeom prst="line">
                          <a:avLst/>
                        </a:prstGeom>
                        <a:noFill/>
                        <a:ln w="6350" cap="flat">
                          <a:solidFill>
                            <a:schemeClr val="accent1"/>
                          </a:solidFill>
                          <a:prstDash val="solid"/>
                          <a:miter lim="800000"/>
                        </a:ln>
                        <a:effectLst/>
                      </wps:spPr>
                      <wps:bodyPr/>
                    </wps:wsp>
                  </a:graphicData>
                </a:graphic>
              </wp:anchor>
            </w:drawing>
          </mc:Choice>
          <mc:Fallback>
            <w:pict>
              <v:line id="_x0000_s1026" style="visibility:visible;position:absolute;margin-left:-23.3pt;margin-top:69.0pt;width:522.5pt;height:2.5pt;z-index:251659264;mso-position-horizontal:absolute;mso-position-horizontal-relative:margin;mso-position-vertical:absolute;mso-position-vertical-relative:page;mso-wrap-distance-left:0.0pt;mso-wrap-distance-top:0.0pt;mso-wrap-distance-right:0.0pt;mso-wrap-distance-bottom:0.0pt;flip:y;">
                <v:fill on="f"/>
                <v:stroke filltype="solid" color="#4472C4" opacity="100.0%" weight="0.5pt" dashstyle="solid" endcap="flat" miterlimit="800.0%" joinstyle="miter" linestyle="single" startarrow="none" startarrowwidth="medium" startarrowlength="medium" endarrow="none" endarrowwidth="medium" endarrowlength="medium"/>
                <w10:wrap type="none" side="bothSides" anchorx="margin" anchory="page"/>
              </v:line>
            </w:pict>
          </mc:Fallback>
        </mc:AlternateContent>
      </w:r>
    </w:p>
    <w:p>
      <w:pPr>
        <w:pStyle w:val="Body"/>
        <w:rPr>
          <w:shd w:val="clear" w:color="auto" w:fill="ffff00"/>
        </w:rPr>
      </w:pPr>
    </w:p>
    <w:p>
      <w:pPr>
        <w:pStyle w:val="Body"/>
        <w:jc w:val="center"/>
        <w:rPr>
          <w:b w:val="1"/>
          <w:bCs w:val="1"/>
          <w:sz w:val="32"/>
          <w:szCs w:val="32"/>
          <w:shd w:val="clear" w:color="auto" w:fill="ffff00"/>
        </w:rPr>
      </w:pPr>
    </w:p>
    <w:p>
      <w:pPr>
        <w:pStyle w:val="Body"/>
        <w:jc w:val="center"/>
        <w:rPr>
          <w:b w:val="1"/>
          <w:bCs w:val="1"/>
          <w:sz w:val="32"/>
          <w:szCs w:val="32"/>
          <w:shd w:val="clear" w:color="auto" w:fill="ffff00"/>
        </w:rPr>
      </w:pPr>
    </w:p>
    <w:p>
      <w:pPr>
        <w:pStyle w:val="Body"/>
        <w:jc w:val="center"/>
        <w:rPr>
          <w:b w:val="1"/>
          <w:bCs w:val="1"/>
          <w:sz w:val="32"/>
          <w:szCs w:val="32"/>
        </w:rPr>
      </w:pPr>
    </w:p>
    <w:p>
      <w:pPr>
        <w:pStyle w:val="Body"/>
        <w:jc w:val="center"/>
        <w:rPr>
          <w:b w:val="1"/>
          <w:bCs w:val="1"/>
          <w:sz w:val="32"/>
          <w:szCs w:val="32"/>
        </w:rPr>
      </w:pPr>
    </w:p>
    <w:p>
      <w:pPr>
        <w:pStyle w:val="Default"/>
        <w:spacing w:before="0" w:line="240" w:lineRule="auto"/>
        <w:jc w:val="center"/>
        <w:rPr>
          <w:rFonts w:ascii="Arial" w:cs="Arial" w:hAnsi="Arial" w:eastAsia="Arial"/>
          <w:b w:val="1"/>
          <w:bCs w:val="1"/>
          <w:sz w:val="32"/>
          <w:szCs w:val="32"/>
          <w:u w:color="000000"/>
        </w:rPr>
      </w:pPr>
      <w:r>
        <w:rPr>
          <w:rFonts w:ascii="Arial" w:hAnsi="Arial"/>
          <w:b w:val="1"/>
          <w:bCs w:val="1"/>
          <w:sz w:val="32"/>
          <w:szCs w:val="32"/>
          <w:u w:color="000000"/>
          <w:rtl w:val="0"/>
          <w:lang w:val="en-US"/>
        </w:rPr>
        <w:t xml:space="preserve">A critical review of the current reward package for employees within the Visitor Attractions business area of </w:t>
      </w:r>
      <w:r>
        <w:rPr>
          <w:rFonts w:ascii="Arial" w:hAnsi="Arial"/>
          <w:b w:val="1"/>
          <w:bCs w:val="1"/>
          <w:sz w:val="32"/>
          <w:szCs w:val="32"/>
          <w:u w:color="000000"/>
          <w:rtl w:val="0"/>
          <w:lang w:val="en-US"/>
        </w:rPr>
        <w:t>Dwr Cymru Welsh Water</w:t>
      </w:r>
    </w:p>
    <w:p>
      <w:pPr>
        <w:pStyle w:val="Body"/>
        <w:jc w:val="center"/>
        <w:rPr>
          <w:b w:val="1"/>
          <w:bCs w:val="1"/>
          <w:sz w:val="36"/>
          <w:szCs w:val="36"/>
        </w:rPr>
      </w:pPr>
    </w:p>
    <w:p>
      <w:pPr>
        <w:pStyle w:val="Body"/>
        <w:spacing w:line="360" w:lineRule="auto"/>
        <w:rPr>
          <w:rFonts w:ascii="Roboto" w:cs="Roboto" w:hAnsi="Roboto" w:eastAsia="Roboto"/>
          <w:outline w:val="0"/>
          <w:color w:val="112846"/>
          <w:sz w:val="27"/>
          <w:szCs w:val="27"/>
          <w:u w:color="112846"/>
          <w14:textFill>
            <w14:solidFill>
              <w14:srgbClr w14:val="112846"/>
            </w14:solidFill>
          </w14:textFill>
        </w:rPr>
      </w:pPr>
    </w:p>
    <w:p>
      <w:pPr>
        <w:pStyle w:val="Body"/>
        <w:spacing w:line="360" w:lineRule="auto"/>
        <w:jc w:val="center"/>
        <w:rPr>
          <w:rFonts w:ascii="Roboto" w:cs="Roboto" w:hAnsi="Roboto" w:eastAsia="Roboto"/>
          <w:outline w:val="0"/>
          <w:color w:val="112846"/>
          <w:sz w:val="27"/>
          <w:szCs w:val="27"/>
          <w:u w:color="112846"/>
          <w14:textFill>
            <w14:solidFill>
              <w14:srgbClr w14:val="112846"/>
            </w14:solidFill>
          </w14:textFill>
        </w:rPr>
      </w:pPr>
      <w:r>
        <w:rPr>
          <w:rFonts w:ascii="Roboto" w:cs="Roboto" w:hAnsi="Roboto" w:eastAsia="Roboto"/>
          <w:sz w:val="27"/>
          <w:szCs w:val="27"/>
          <w:u w:color="112846"/>
          <w:rtl w:val="0"/>
          <w:lang w:val="en-US"/>
        </w:rPr>
        <w:t xml:space="preserve">Supplementary Notes to Academic Poster </w:t>
      </w:r>
      <w:r>
        <w:rPr>
          <w:rFonts w:ascii="Roboto" w:cs="Roboto" w:hAnsi="Roboto" w:eastAsia="Roboto"/>
          <w:sz w:val="27"/>
          <w:szCs w:val="27"/>
          <w:u w:color="112846"/>
          <w:rtl w:val="0"/>
          <w:lang w:val="en-US"/>
        </w:rPr>
        <w:t>- Task 1</w:t>
      </w:r>
    </w:p>
    <w:p>
      <w:pPr>
        <w:pStyle w:val="Body"/>
        <w:spacing w:line="360" w:lineRule="auto"/>
        <w:rPr>
          <w:rFonts w:ascii="Roboto" w:cs="Roboto" w:hAnsi="Roboto" w:eastAsia="Roboto"/>
          <w:outline w:val="0"/>
          <w:color w:val="112846"/>
          <w:sz w:val="27"/>
          <w:szCs w:val="27"/>
          <w:u w:color="112846"/>
          <w14:textFill>
            <w14:solidFill>
              <w14:srgbClr w14:val="112846"/>
            </w14:solidFill>
          </w14:textFill>
        </w:rPr>
      </w:pPr>
    </w:p>
    <w:p>
      <w:pPr>
        <w:pStyle w:val="Body"/>
        <w:spacing w:line="360" w:lineRule="auto"/>
        <w:rPr>
          <w:rFonts w:ascii="Roboto" w:cs="Roboto" w:hAnsi="Roboto" w:eastAsia="Roboto"/>
          <w:outline w:val="0"/>
          <w:color w:val="112846"/>
          <w:sz w:val="27"/>
          <w:szCs w:val="27"/>
          <w:u w:color="112846"/>
          <w14:textFill>
            <w14:solidFill>
              <w14:srgbClr w14:val="112846"/>
            </w14:solidFill>
          </w14:textFill>
        </w:rPr>
      </w:pPr>
    </w:p>
    <w:p>
      <w:pPr>
        <w:pStyle w:val="Body"/>
        <w:spacing w:line="360" w:lineRule="auto"/>
        <w:rPr>
          <w:rFonts w:ascii="Roboto" w:cs="Roboto" w:hAnsi="Roboto" w:eastAsia="Roboto"/>
          <w:outline w:val="0"/>
          <w:color w:val="112846"/>
          <w:sz w:val="27"/>
          <w:szCs w:val="27"/>
          <w:u w:color="112846"/>
          <w14:textFill>
            <w14:solidFill>
              <w14:srgbClr w14:val="112846"/>
            </w14:solidFill>
          </w14:textFill>
        </w:rPr>
      </w:pPr>
    </w:p>
    <w:p>
      <w:pPr>
        <w:pStyle w:val="Body"/>
        <w:spacing w:line="360" w:lineRule="auto"/>
        <w:rPr>
          <w:rFonts w:ascii="Roboto" w:cs="Roboto" w:hAnsi="Roboto" w:eastAsia="Roboto"/>
          <w:outline w:val="0"/>
          <w:color w:val="112846"/>
          <w:sz w:val="27"/>
          <w:szCs w:val="27"/>
          <w:u w:color="112846"/>
          <w14:textFill>
            <w14:solidFill>
              <w14:srgbClr w14:val="112846"/>
            </w14:solidFill>
          </w14:textFill>
        </w:rPr>
      </w:pPr>
    </w:p>
    <w:p>
      <w:pPr>
        <w:pStyle w:val="Body"/>
        <w:spacing w:line="360" w:lineRule="auto"/>
        <w:rPr>
          <w:rFonts w:ascii="Roboto" w:cs="Roboto" w:hAnsi="Roboto" w:eastAsia="Roboto"/>
          <w:outline w:val="0"/>
          <w:color w:val="112846"/>
          <w:sz w:val="28"/>
          <w:szCs w:val="28"/>
          <w:u w:color="112846"/>
          <w14:textFill>
            <w14:solidFill>
              <w14:srgbClr w14:val="112846"/>
            </w14:solidFill>
          </w14:textFill>
        </w:rPr>
      </w:pPr>
    </w:p>
    <w:p>
      <w:pPr>
        <w:pStyle w:val="Body"/>
        <w:spacing w:line="360" w:lineRule="auto"/>
        <w:jc w:val="center"/>
        <w:rPr>
          <w:b w:val="1"/>
          <w:bCs w:val="1"/>
          <w:sz w:val="28"/>
          <w:szCs w:val="28"/>
        </w:rPr>
      </w:pPr>
      <w:r>
        <w:rPr>
          <w:b w:val="1"/>
          <w:bCs w:val="1"/>
          <w:sz w:val="28"/>
          <w:szCs w:val="28"/>
          <w:rtl w:val="0"/>
          <w:lang w:val="de-DE"/>
        </w:rPr>
        <w:t xml:space="preserve">Name: </w:t>
      </w:r>
      <w:r>
        <w:rPr>
          <w:b w:val="1"/>
          <w:bCs w:val="1"/>
          <w:sz w:val="28"/>
          <w:szCs w:val="28"/>
          <w:rtl w:val="0"/>
          <w:lang w:val="en-US"/>
        </w:rPr>
        <w:t>Callum Griffiths-Barlow</w:t>
      </w:r>
    </w:p>
    <w:p>
      <w:pPr>
        <w:pStyle w:val="Body"/>
        <w:spacing w:line="360" w:lineRule="auto"/>
        <w:jc w:val="center"/>
        <w:rPr>
          <w:b w:val="1"/>
          <w:bCs w:val="1"/>
          <w:sz w:val="28"/>
          <w:szCs w:val="28"/>
        </w:rPr>
      </w:pPr>
      <w:r>
        <w:rPr>
          <w:b w:val="1"/>
          <w:bCs w:val="1"/>
          <w:sz w:val="28"/>
          <w:szCs w:val="28"/>
          <w:rtl w:val="0"/>
          <w:lang w:val="en-US"/>
        </w:rPr>
        <w:t xml:space="preserve">Student number: </w:t>
      </w:r>
      <w:r>
        <w:rPr>
          <w:b w:val="1"/>
          <w:bCs w:val="1"/>
          <w:sz w:val="28"/>
          <w:szCs w:val="28"/>
          <w:rtl w:val="0"/>
          <w:lang w:val="en-US"/>
        </w:rPr>
        <w:t>2316490</w:t>
      </w:r>
    </w:p>
    <w:p>
      <w:pPr>
        <w:pStyle w:val="Body"/>
        <w:spacing w:line="360" w:lineRule="auto"/>
        <w:jc w:val="center"/>
        <w:rPr>
          <w:b w:val="1"/>
          <w:bCs w:val="1"/>
          <w:sz w:val="28"/>
          <w:szCs w:val="28"/>
        </w:rPr>
      </w:pPr>
      <w:r>
        <w:rPr>
          <w:b w:val="1"/>
          <w:bCs w:val="1"/>
          <w:sz w:val="28"/>
          <w:szCs w:val="28"/>
          <w:rtl w:val="0"/>
          <w:lang w:val="en-US"/>
        </w:rPr>
        <w:t xml:space="preserve">Word Count: </w:t>
      </w:r>
      <w:r>
        <w:rPr>
          <w:b w:val="1"/>
          <w:bCs w:val="1"/>
          <w:sz w:val="28"/>
          <w:szCs w:val="28"/>
          <w:rtl w:val="0"/>
          <w:lang w:val="en-US"/>
        </w:rPr>
        <w:t>3934</w:t>
      </w:r>
    </w:p>
    <w:p>
      <w:pPr>
        <w:pStyle w:val="Body"/>
        <w:jc w:val="center"/>
        <w:rPr>
          <w:shd w:val="clear" w:color="auto" w:fill="ffff00"/>
        </w:rPr>
      </w:pPr>
    </w:p>
    <w:p>
      <w:pPr>
        <w:pStyle w:val="Body"/>
        <w:jc w:val="center"/>
      </w:pPr>
    </w:p>
    <w:p>
      <w:pPr>
        <w:pStyle w:val="Body"/>
        <w:rPr>
          <w:shd w:val="clear" w:color="auto" w:fill="ffff00"/>
        </w:rPr>
      </w:pPr>
    </w:p>
    <w:p>
      <w:pPr>
        <w:pStyle w:val="Body"/>
        <w:rPr>
          <w:shd w:val="clear" w:color="auto" w:fill="ffff00"/>
        </w:rPr>
      </w:pPr>
    </w:p>
    <w:p>
      <w:pPr>
        <w:pStyle w:val="Body"/>
      </w:pPr>
    </w:p>
    <w:p>
      <w:pPr>
        <w:pStyle w:val="Body"/>
      </w:pPr>
    </w:p>
    <w:p>
      <w:pPr>
        <w:pStyle w:val="TOC Heading"/>
        <w:jc w:val="center"/>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Table of Contents</w:t>
      </w:r>
    </w:p>
    <w:p>
      <w:pPr>
        <w:pStyle w:val="Body"/>
      </w:pPr>
      <w:r>
        <w:rPr>
          <w:b w:val="1"/>
          <w:bCs w:val="1"/>
          <w:outline w:val="0"/>
          <w:color w:val="000000"/>
          <w:u w:color="000000"/>
          <w14:textFill>
            <w14:solidFill>
              <w14:srgbClr w14:val="000000"/>
            </w14:solidFill>
          </w14:textFill>
        </w:rPr>
        <w:fldChar w:fldCharType="begin" w:fldLock="0"/>
      </w:r>
      <w:r>
        <w:rPr>
          <w:b w:val="1"/>
          <w:bCs w:val="1"/>
          <w:outline w:val="0"/>
          <w:color w:val="000000"/>
          <w:u w:color="000000"/>
          <w14:textFill>
            <w14:solidFill>
              <w14:srgbClr w14:val="000000"/>
            </w14:solidFill>
          </w14:textFill>
        </w:rPr>
        <w:instrText xml:space="preserve"> TOC \o 1-2 </w:instrText>
      </w:r>
      <w:r>
        <w:rPr>
          <w:b w:val="1"/>
          <w:bCs w:val="1"/>
          <w:outline w:val="0"/>
          <w:color w:val="000000"/>
          <w:u w:color="000000"/>
          <w14:textFill>
            <w14:solidFill>
              <w14:srgbClr w14:val="000000"/>
            </w14:solidFill>
          </w14:textFill>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Literature Review</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Methodology</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lang w:val="en-US"/>
        </w:rPr>
        <w:t>Aim and Objectives</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lang w:val="en-US"/>
        </w:rPr>
        <w:t>Research Methodology</w:t>
        <w:tab/>
      </w:r>
      <w:r>
        <w:rPr/>
        <w:fldChar w:fldCharType="begin" w:fldLock="0"/>
      </w:r>
      <w:r>
        <w:instrText xml:space="preserve"> PAGEREF _Toc4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lang w:val="en-US"/>
        </w:rPr>
        <w:t>Research participants</w:t>
        <w:tab/>
      </w:r>
      <w:r>
        <w:rPr/>
        <w:fldChar w:fldCharType="begin" w:fldLock="0"/>
      </w:r>
      <w:r>
        <w:instrText xml:space="preserve"> PAGEREF _Toc5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lang w:val="en-US"/>
        </w:rPr>
        <w:t>Reliability, validity, and research limitations</w:t>
        <w:tab/>
      </w:r>
      <w:r>
        <w:rPr/>
        <w:fldChar w:fldCharType="begin" w:fldLock="0"/>
      </w:r>
      <w:r>
        <w:instrText xml:space="preserve"> PAGEREF _Toc6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Research Findings</w:t>
        <w:tab/>
      </w:r>
      <w:r>
        <w:rPr/>
        <w:fldChar w:fldCharType="begin" w:fldLock="0"/>
      </w:r>
      <w:r>
        <w:instrText xml:space="preserve"> PAGEREF _Toc7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Conclusion</w:t>
        <w:tab/>
      </w:r>
      <w:r>
        <w:rPr/>
        <w:fldChar w:fldCharType="begin" w:fldLock="0"/>
      </w:r>
      <w:r>
        <w:instrText xml:space="preserve"> PAGEREF _Toc8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Academic Poster Content</w:t>
        <w:tab/>
      </w:r>
      <w:r>
        <w:rPr/>
        <w:fldChar w:fldCharType="begin" w:fldLock="0"/>
      </w:r>
      <w:r>
        <w:instrText xml:space="preserve"> PAGEREF _Toc9 \h </w:instrText>
      </w:r>
      <w:r>
        <w:rPr/>
        <w:fldChar w:fldCharType="separate" w:fldLock="0"/>
      </w:r>
      <w:r>
        <w:rPr>
          <w:rFonts w:cs="Arial Unicode MS" w:eastAsia="Arial Unicode MS"/>
          <w:rtl w:val="0"/>
        </w:rPr>
        <w:t>10</w:t>
      </w:r>
      <w:r>
        <w:rPr/>
        <w:fldChar w:fldCharType="end" w:fldLock="0"/>
      </w:r>
    </w:p>
    <w:p>
      <w:pPr>
        <w:pStyle w:val="TOC 1"/>
      </w:pPr>
      <w:r>
        <w:rPr>
          <w:rFonts w:cs="Arial Unicode MS" w:eastAsia="Arial Unicode MS"/>
          <w:rtl w:val="0"/>
        </w:rPr>
        <w:t>Reference List</w:t>
        <w:tab/>
      </w:r>
      <w:r>
        <w:rPr/>
        <w:fldChar w:fldCharType="begin" w:fldLock="0"/>
      </w:r>
      <w:r>
        <w:instrText xml:space="preserve"> PAGEREF _Toc10 \h </w:instrText>
      </w:r>
      <w:r>
        <w:rPr/>
        <w:fldChar w:fldCharType="separate" w:fldLock="0"/>
      </w:r>
      <w:r>
        <w:rPr>
          <w:rFonts w:cs="Arial Unicode MS" w:eastAsia="Arial Unicode MS"/>
          <w:rtl w:val="0"/>
        </w:rPr>
        <w:t>13</w:t>
      </w:r>
      <w:r>
        <w:rPr/>
        <w:fldChar w:fldCharType="end" w:fldLock="0"/>
      </w:r>
    </w:p>
    <w:p>
      <w:pPr>
        <w:pStyle w:val="TOC 1"/>
      </w:pPr>
      <w:r>
        <w:rPr>
          <w:rFonts w:cs="Arial Unicode MS" w:eastAsia="Arial Unicode MS"/>
          <w:rtl w:val="0"/>
        </w:rPr>
        <w:t>Appendices</w:t>
        <w:tab/>
      </w:r>
      <w:r>
        <w:rPr/>
        <w:fldChar w:fldCharType="begin" w:fldLock="0"/>
      </w:r>
      <w:r>
        <w:instrText xml:space="preserve"> PAGEREF _Toc11 \h </w:instrText>
      </w:r>
      <w:r>
        <w:rPr/>
        <w:fldChar w:fldCharType="separate" w:fldLock="0"/>
      </w:r>
      <w:r>
        <w:rPr>
          <w:rFonts w:cs="Arial Unicode MS" w:eastAsia="Arial Unicode MS"/>
          <w:rtl w:val="0"/>
        </w:rPr>
        <w:t>15</w:t>
      </w:r>
      <w:r>
        <w:rPr/>
        <w:fldChar w:fldCharType="end" w:fldLock="0"/>
      </w:r>
    </w:p>
    <w:p>
      <w:pPr>
        <w:pStyle w:val="Body"/>
        <w:rPr>
          <w:rFonts w:ascii="Calibri" w:cs="Calibri" w:hAnsi="Calibri" w:eastAsia="Calibri"/>
          <w:kern w:val="2"/>
          <w:shd w:val="nil" w:color="auto" w:fill="auto"/>
        </w:rPr>
      </w:pPr>
      <w:r>
        <w:rPr>
          <w:b w:val="1"/>
          <w:bCs w:val="1"/>
          <w:outline w:val="0"/>
          <w:color w:val="000000"/>
          <w:u w:color="000000"/>
          <w14:textFill>
            <w14:solidFill>
              <w14:srgbClr w14:val="000000"/>
            </w14:solidFill>
          </w14:textFill>
        </w:rPr>
        <w:fldChar w:fldCharType="end" w:fldLock="0"/>
      </w:r>
    </w:p>
    <w:p>
      <w:pPr>
        <w:pStyle w:val="Body"/>
      </w:pPr>
    </w:p>
    <w:p>
      <w:pPr>
        <w:pStyle w:val="Body"/>
      </w:pPr>
    </w:p>
    <w:p>
      <w:pPr>
        <w:pStyle w:val="Body"/>
      </w:pPr>
    </w:p>
    <w:p>
      <w:pPr>
        <w:pStyle w:val="Body"/>
        <w:spacing w:line="480" w:lineRule="auto"/>
      </w:pPr>
    </w:p>
    <w:p>
      <w:pPr>
        <w:pStyle w:val="Heading"/>
        <w:ind w:firstLine="720"/>
        <w:jc w:val="left"/>
        <w:rPr>
          <w:outline w:val="0"/>
          <w:color w:val="ff2600"/>
          <w14:textFill>
            <w14:solidFill>
              <w14:srgbClr w14:val="FF2600"/>
            </w14:solidFill>
          </w14:textFill>
        </w:rPr>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rPr>
          <w:b w:val="1"/>
          <w:bCs w:val="1"/>
        </w:rPr>
      </w:pPr>
    </w:p>
    <w:p>
      <w:pPr>
        <w:pStyle w:val="Heading"/>
        <w:rPr>
          <w:b w:val="1"/>
          <w:bCs w:val="1"/>
        </w:rPr>
      </w:pPr>
      <w:bookmarkStart w:name="_Toc" w:id="0"/>
      <w:r>
        <w:rPr>
          <w:rFonts w:cs="Arial Unicode MS" w:eastAsia="Arial Unicode MS"/>
          <w:b w:val="1"/>
          <w:bCs w:val="1"/>
          <w:rtl w:val="0"/>
          <w:lang w:val="fr-FR"/>
        </w:rPr>
        <w:t>Introduction</w:t>
      </w:r>
      <w:bookmarkEnd w:id="0"/>
    </w:p>
    <w:p>
      <w:pPr>
        <w:pStyle w:val="Body"/>
        <w:jc w:val="both"/>
      </w:pPr>
      <w:r>
        <w:rPr>
          <w:rtl w:val="0"/>
          <w:lang w:val="en-US"/>
        </w:rPr>
        <w:t>Dwr Cymru Welsh Water (DCWW) operates 5 visitor attraction (VA) sites across Wales, offering a variety of water and land based activities, along side a catering function. The main aim of this business area is to work with local communities through engagement projects and employment opportunities (DCWW, 2024). Financially, the aim is to not make a profit but to reinvest any revenue generated back into the individual sites to continue its operation. However, due to various economic pressures, such as the pandemic, cost of living crisis and competition, a new business direction needs to be explored in order to streamline operations, increase constituency and bring the business in line with the hospitality industry.</w:t>
      </w:r>
    </w:p>
    <w:p>
      <w:pPr>
        <w:pStyle w:val="Body"/>
        <w:jc w:val="both"/>
      </w:pPr>
      <w:r>
        <w:rPr>
          <w:rtl w:val="0"/>
          <w:lang w:val="en-US"/>
        </w:rPr>
        <w:t>Operating under the umbrella of DCWW, VA has a number of challenges which need to be addressed, namely the reward package of a utility company being imposed on a hospitality function. This misalignment is causing several issues in the day to day operation, with revenues not being high enough to sustain the full reward package that DCWW offers the rest of the business. The hospitality industry as a whole is struggling due to external forces so having pressures from within the Company is only compounding the issues (Access, 2024).</w:t>
      </w:r>
    </w:p>
    <w:p>
      <w:pPr>
        <w:pStyle w:val="Body"/>
        <w:jc w:val="both"/>
      </w:pPr>
      <w:r>
        <w:rPr>
          <w:rtl w:val="0"/>
          <w:lang w:val="en-US"/>
        </w:rPr>
        <w:t xml:space="preserve">The main area that needs further exploration is the total reward package on offer for colleagues (sick pay, family friendly schemes, contract types and rates of pay, including overtime). The aim is to provide a set of recommendations so the business can incorporate strategic business changes to future proof itself whilst in keeping with its </w:t>
      </w:r>
      <w:r>
        <w:rPr>
          <w:rtl w:val="0"/>
          <w:lang w:val="en-US"/>
        </w:rPr>
        <w:t>‘</w:t>
      </w:r>
      <w:r>
        <w:rPr>
          <w:rtl w:val="0"/>
          <w:lang w:val="en-US"/>
        </w:rPr>
        <w:t>Fair and Just</w:t>
      </w:r>
      <w:r>
        <w:rPr>
          <w:rtl w:val="0"/>
          <w:lang w:val="en-US"/>
        </w:rPr>
        <w:t xml:space="preserve">’ </w:t>
      </w:r>
      <w:r>
        <w:rPr>
          <w:rtl w:val="0"/>
          <w:lang w:val="en-US"/>
        </w:rPr>
        <w:t>cultural approach.</w:t>
      </w:r>
    </w:p>
    <w:p>
      <w:pPr>
        <w:pStyle w:val="Body"/>
        <w:jc w:val="both"/>
      </w:pPr>
      <w:r>
        <w:rPr>
          <w:rtl w:val="0"/>
          <w:lang w:val="en-US"/>
        </w:rPr>
        <w:t xml:space="preserve">Given the nature of the topic, a mixture of qualitative and quantitative research methods will be used to find out how VA currently operates at site level and also to highlight the costs of certain reward package elements, such as pay related benefits. The use of Thematic analysis will be useful here so themes and patterns can be exposed and explored (Dovetail Editorial Team, 2023). </w:t>
      </w:r>
    </w:p>
    <w:p>
      <w:pPr>
        <w:pStyle w:val="Body"/>
        <w:jc w:val="both"/>
      </w:pPr>
    </w:p>
    <w:p>
      <w:pPr>
        <w:pStyle w:val="Heading"/>
        <w:rPr>
          <w:b w:val="1"/>
          <w:bCs w:val="1"/>
        </w:rPr>
      </w:pPr>
      <w:bookmarkStart w:name="_Toc1" w:id="1"/>
      <w:r>
        <w:rPr>
          <w:rFonts w:cs="Arial Unicode MS" w:eastAsia="Arial Unicode MS"/>
          <w:b w:val="1"/>
          <w:bCs w:val="1"/>
          <w:rtl w:val="0"/>
          <w:lang w:val="en-US"/>
        </w:rPr>
        <w:t>Literature Review</w:t>
      </w:r>
      <w:bookmarkEnd w:id="1"/>
    </w:p>
    <w:p>
      <w:pPr>
        <w:pStyle w:val="Body"/>
        <w:jc w:val="both"/>
      </w:pPr>
      <w:r>
        <w:rPr>
          <w:rtl w:val="0"/>
          <w:lang w:val="en-US"/>
        </w:rPr>
        <w:t xml:space="preserve">Historically, the hospitality industry has been lean in terms of employee reward, with many roles being paid at minimum wage with limited benefits attached, such as lack of company sick pay. Given the nature of the visitor attraction function within DCWW, it was important to research how the industry currently operates and what the difference is, both financially and ethically, for the employer and employee. With DCWW offering a very generous reward package to its hospitality staff, it was essential to benchmark this against the industry norm for companies of a similar service level to know where changes could be made. </w:t>
      </w:r>
    </w:p>
    <w:p>
      <w:pPr>
        <w:pStyle w:val="Body"/>
        <w:jc w:val="both"/>
      </w:pPr>
      <w:r>
        <w:rPr>
          <w:rtl w:val="0"/>
          <w:lang w:val="en-US"/>
        </w:rPr>
        <w:t xml:space="preserve">According to </w:t>
      </w:r>
      <w:r>
        <w:rPr>
          <w:rtl w:val="0"/>
          <w:lang w:val="en-US"/>
        </w:rPr>
        <w:t>Greedy (2021)</w:t>
      </w:r>
      <w:r>
        <w:rPr>
          <w:rtl w:val="0"/>
          <w:lang w:val="en-US"/>
        </w:rPr>
        <w:t xml:space="preserve">, since Brexit, companies have had to be creative in how they attract and retain their workforce due to large numbers of current and prospective employees returning to their native EU countries. This has included paying above the minimum wage and offering flexible working hours and shift patterns. Changing approach to employee reward is positive for the employee, but with the living and minimum wages continuing to increase year on year, the hospitality industry needs to balance how they implement these changes whilst maintaining customer expectations and profit margins. </w:t>
      </w:r>
      <w:r>
        <w:rPr>
          <w:rtl w:val="0"/>
          <w:lang w:val="en-US"/>
        </w:rPr>
        <w:t>Vita Mojo (2024</w:t>
      </w:r>
      <w:r>
        <w:rPr>
          <w:rtl w:val="0"/>
          <w:lang w:val="en-US"/>
        </w:rPr>
        <w:t>) found that businesses need to be creative with how to manage the increasing costs of employee reward. Passing the cost onto the consumer can be seen as a negative but it</w:t>
      </w:r>
      <w:r>
        <w:rPr>
          <w:rtl w:val="0"/>
          <w:lang w:val="en-US"/>
        </w:rPr>
        <w:t>’</w:t>
      </w:r>
      <w:r>
        <w:rPr>
          <w:rtl w:val="0"/>
          <w:lang w:val="en-US"/>
        </w:rPr>
        <w:t>s inevitable that this happens as costs and overheads can only be cut so far before it</w:t>
      </w:r>
      <w:r>
        <w:rPr>
          <w:rtl w:val="0"/>
          <w:lang w:val="en-US"/>
        </w:rPr>
        <w:t>’</w:t>
      </w:r>
      <w:r>
        <w:rPr>
          <w:rtl w:val="0"/>
          <w:lang w:val="en-US"/>
        </w:rPr>
        <w:t>s essential that more revenue needs to come in to aid in passing benefits  onto employees and meeting legal obligations. This also gives the business the opportunity to build cash reserves to future proof and develop the business going forwards, which in turn can provide job security for employees. This is further backed up by the fact that consumers prefer to spend their money at establishments that treat their workforce well, even if this means spending more on products so employer brand is important here (Melilla, 2022).</w:t>
      </w:r>
    </w:p>
    <w:p>
      <w:pPr>
        <w:pStyle w:val="Body"/>
        <w:jc w:val="both"/>
      </w:pPr>
      <w:r>
        <w:rPr>
          <w:rtl w:val="0"/>
          <w:lang w:val="en-US"/>
        </w:rPr>
        <w:t xml:space="preserve">Perception also puts hospitality wages down as low, with little to no career progression, so many individuals see the industry as a temporary move rather than a career opportunity. According to </w:t>
      </w:r>
      <w:r>
        <w:rPr>
          <w:rtl w:val="0"/>
          <w:lang w:val="en-US"/>
        </w:rPr>
        <w:t>Wickens</w:t>
      </w:r>
      <w:r>
        <w:rPr>
          <w:rtl w:val="0"/>
          <w:lang w:val="en-US"/>
        </w:rPr>
        <w:t xml:space="preserve"> (2021), the opposite has been found to be true with over 90% of employers paying above the living wage and since the Covid-19 pandemic, 58% of companies have increase their benefit package in order to attract larger numbers of candidates. </w:t>
      </w:r>
    </w:p>
    <w:p>
      <w:pPr>
        <w:pStyle w:val="Body"/>
        <w:jc w:val="both"/>
        <w:rPr>
          <w:shd w:val="clear" w:color="auto" w:fill="ffffff"/>
          <w:lang w:val="en-US"/>
        </w:rPr>
      </w:pPr>
      <w:r>
        <w:rPr>
          <w:rtl w:val="0"/>
          <w:lang w:val="en-US"/>
        </w:rPr>
        <w:t xml:space="preserve">A study by Fitriano, Jufrizen and Rohim (2023), found that the hospitality sector needed to focus on the diversity of roles within the company and evaluate the reward elements according to those roles. These will aid in both attracting employees and also retaining them and keeping them engaged. It was highlighted that financial and non-financial benefits all have their part to play in the employee journey, so employers need to think about what their workforce need and want as each employer has their own unique set of circumstances. This can include better work/life balance, through improved shift patterns and rostering practises, and incentive based performance monitoring to encourage employees to consistently provide a high level of service and thus being rewarded for it. </w:t>
      </w:r>
      <w:r>
        <w:rPr>
          <w:rtl w:val="0"/>
          <w:lang w:val="en-US"/>
        </w:rPr>
        <w:t>These measures don</w:t>
      </w:r>
      <w:r>
        <w:rPr>
          <w:rtl w:val="0"/>
          <w:lang w:val="en-US"/>
        </w:rPr>
        <w:t>’</w:t>
      </w:r>
      <w:r>
        <w:rPr>
          <w:rtl w:val="0"/>
          <w:lang w:val="en-US"/>
        </w:rPr>
        <w:t>t need to come at a high cost to the employer, just diligent organisation by the management team.</w:t>
      </w:r>
      <w:r>
        <w:rPr>
          <w:rtl w:val="0"/>
          <w:lang w:val="en-US"/>
        </w:rPr>
        <w:t xml:space="preserve"> Complacency comes from both employees and employers so showing appreciation to the workforce can have a greater response than salary increases, for example. This is further backed up by </w:t>
      </w:r>
      <w:r>
        <w:rPr>
          <w:rtl w:val="0"/>
          <w:lang w:val="en-US"/>
        </w:rPr>
        <w:t>Navel Al-Tawil</w:t>
      </w:r>
      <w:r>
        <w:rPr>
          <w:rtl w:val="0"/>
          <w:lang w:val="en-US"/>
        </w:rPr>
        <w:t xml:space="preserve"> and </w:t>
      </w:r>
      <w:r>
        <w:rPr>
          <w:rtl w:val="0"/>
          <w:lang w:val="en-US"/>
        </w:rPr>
        <w:t>Younies</w:t>
      </w:r>
      <w:r>
        <w:rPr>
          <w:rtl w:val="0"/>
          <w:lang w:val="en-US"/>
        </w:rPr>
        <w:t xml:space="preserve"> (</w:t>
      </w:r>
      <w:r>
        <w:rPr>
          <w:shd w:val="clear" w:color="auto" w:fill="ffffff"/>
          <w:rtl w:val="0"/>
          <w:lang w:val="en-US"/>
        </w:rPr>
        <w:t>2021)</w:t>
      </w:r>
      <w:r>
        <w:rPr>
          <w:shd w:val="clear" w:color="auto" w:fill="ffffff"/>
          <w:rtl w:val="0"/>
          <w:lang w:val="en-US"/>
        </w:rPr>
        <w:t>, who conducted a study of hospitality workers in the United Arab Emirates which showed that not employees value monetary benefits in the same. This way of thinking would benefit DCWW when constructing a more suitable reward package for their visitor attraction function as there could be many reward elements that employees would greatly value which don</w:t>
      </w:r>
      <w:r>
        <w:rPr>
          <w:shd w:val="clear" w:color="auto" w:fill="ffffff"/>
          <w:rtl w:val="0"/>
          <w:lang w:val="en-US"/>
        </w:rPr>
        <w:t>’</w:t>
      </w:r>
      <w:r>
        <w:rPr>
          <w:shd w:val="clear" w:color="auto" w:fill="ffffff"/>
          <w:rtl w:val="0"/>
          <w:lang w:val="en-US"/>
        </w:rPr>
        <w:t>t put a sizeable financial burden on the business. It may come down to process changes for the business and management team and a shift in culture.</w:t>
      </w:r>
    </w:p>
    <w:p>
      <w:pPr>
        <w:pStyle w:val="Body"/>
        <w:jc w:val="both"/>
      </w:pPr>
    </w:p>
    <w:p>
      <w:pPr>
        <w:pStyle w:val="Heading"/>
        <w:rPr>
          <w:b w:val="1"/>
          <w:bCs w:val="1"/>
        </w:rPr>
      </w:pPr>
      <w:bookmarkStart w:name="_Toc2" w:id="2"/>
      <w:r>
        <w:rPr>
          <w:rFonts w:cs="Arial Unicode MS" w:eastAsia="Arial Unicode MS"/>
          <w:b w:val="1"/>
          <w:bCs w:val="1"/>
          <w:rtl w:val="0"/>
          <w:lang w:val="en-US"/>
        </w:rPr>
        <w:t>Methodology</w:t>
      </w:r>
      <w:bookmarkEnd w:id="2"/>
    </w:p>
    <w:p>
      <w:pPr>
        <w:pStyle w:val="Heading 2"/>
        <w:rPr>
          <w:b w:val="1"/>
          <w:bCs w:val="1"/>
        </w:rPr>
      </w:pPr>
    </w:p>
    <w:p>
      <w:pPr>
        <w:pStyle w:val="Heading 2"/>
        <w:jc w:val="both"/>
      </w:pPr>
      <w:bookmarkStart w:name="_Toc3" w:id="3"/>
      <w:r>
        <w:rPr>
          <w:rtl w:val="0"/>
          <w:lang w:val="en-US"/>
        </w:rPr>
        <w:t>Aim and Objectives</w:t>
      </w:r>
      <w:bookmarkEnd w:id="3"/>
    </w:p>
    <w:p>
      <w:pPr>
        <w:pStyle w:val="Body"/>
        <w:jc w:val="both"/>
      </w:pPr>
      <w:r>
        <w:rPr>
          <w:rtl w:val="0"/>
          <w:lang w:val="en-US"/>
        </w:rPr>
        <w:t xml:space="preserve">During this research project, the aim was to produce a vision that will enable DCWW to take their Visitor Attraction business area forward sustainably. This was achieved through changes to their total </w:t>
      </w:r>
      <w:r>
        <w:rPr>
          <w:rtl w:val="0"/>
          <w:lang w:val="en-US"/>
        </w:rPr>
        <w:t xml:space="preserve">employee </w:t>
      </w:r>
      <w:r>
        <w:rPr>
          <w:rtl w:val="0"/>
          <w:lang w:val="en-US"/>
        </w:rPr>
        <w:t xml:space="preserve">reward package. </w:t>
      </w:r>
    </w:p>
    <w:p>
      <w:pPr>
        <w:pStyle w:val="Body"/>
        <w:jc w:val="both"/>
      </w:pPr>
      <w:r>
        <w:rPr>
          <w:rtl w:val="0"/>
          <w:lang w:val="en-US"/>
        </w:rPr>
        <w:t>A key objective was to look at the reward package as a whole, and use the DCWW Fair &amp; Just approach when making recommendations. The aim was to produce a sustainable way forward with a thread of fairness and ethical behaviour throughout.</w:t>
      </w:r>
    </w:p>
    <w:p>
      <w:pPr>
        <w:pStyle w:val="Body"/>
        <w:jc w:val="both"/>
      </w:pPr>
      <w:r>
        <w:rPr>
          <w:rtl w:val="0"/>
          <w:lang w:val="en-US"/>
        </w:rPr>
        <w:t>Considerations had to be given to external influences, such as Brexit on the challenges with attraction and retention and legislative enforcement through living wage rises and how DCWW value their human capital (</w:t>
      </w:r>
      <w:r>
        <w:rPr>
          <w:rtl w:val="0"/>
          <w:lang w:val="en-US"/>
        </w:rPr>
        <w:t xml:space="preserve">Chapuzet, A </w:t>
      </w:r>
      <w:r>
        <w:rPr>
          <w:rtl w:val="0"/>
          <w:lang w:val="en-US"/>
        </w:rPr>
        <w:t>et al</w:t>
      </w:r>
      <w:r>
        <w:rPr>
          <w:rtl w:val="0"/>
          <w:lang w:val="en-US"/>
        </w:rPr>
        <w:t>.</w:t>
      </w:r>
      <w:r>
        <w:rPr>
          <w:i w:val="1"/>
          <w:iCs w:val="1"/>
          <w:rtl w:val="0"/>
          <w:lang w:val="en-US"/>
        </w:rPr>
        <w:t xml:space="preserve">, </w:t>
      </w:r>
      <w:r>
        <w:rPr>
          <w:rtl w:val="0"/>
          <w:lang w:val="en-US"/>
        </w:rPr>
        <w:t>2021)</w:t>
      </w:r>
      <w:r>
        <w:rPr>
          <w:rtl w:val="0"/>
          <w:lang w:val="en-US"/>
        </w:rPr>
        <w:t>.</w:t>
      </w:r>
    </w:p>
    <w:p>
      <w:pPr>
        <w:pStyle w:val="Body"/>
        <w:jc w:val="both"/>
      </w:pPr>
    </w:p>
    <w:p>
      <w:pPr>
        <w:pStyle w:val="Body"/>
        <w:jc w:val="both"/>
        <w:rPr>
          <w:u w:val="single"/>
        </w:rPr>
      </w:pPr>
      <w:r>
        <w:rPr>
          <w:u w:val="single"/>
          <w:rtl w:val="0"/>
          <w:lang w:val="en-US"/>
        </w:rPr>
        <w:t>Research Philosophy</w:t>
      </w:r>
    </w:p>
    <w:p>
      <w:pPr>
        <w:pStyle w:val="Body"/>
        <w:jc w:val="both"/>
        <w:rPr>
          <w:u w:val="single"/>
        </w:rPr>
      </w:pPr>
      <w:r>
        <w:rPr>
          <w:rtl w:val="0"/>
          <w:lang w:val="en-US"/>
        </w:rPr>
        <w:t>With the aims and objectives at the forefront, it was key to focus on the correct areas of the business in order to gain relevant results. Focusing on current policy and how that is applied in reality was important to understand where things work and don</w:t>
      </w:r>
      <w:r>
        <w:rPr>
          <w:rtl w:val="0"/>
          <w:lang w:val="en-US"/>
        </w:rPr>
        <w:t>’</w:t>
      </w:r>
      <w:r>
        <w:rPr>
          <w:rtl w:val="0"/>
          <w:lang w:val="en-US"/>
        </w:rPr>
        <w:t>t work, but also to gain participants opinion on how they feel it is successful and not so. The majority of the management team have come from hospitality positions in other organisations so their experience was integral to gaining a clear view on what they feel needs to change to get visitor attraction on a different path.</w:t>
      </w:r>
    </w:p>
    <w:p>
      <w:pPr>
        <w:pStyle w:val="Body"/>
        <w:jc w:val="both"/>
      </w:pPr>
      <w:r>
        <w:rPr>
          <w:rtl w:val="0"/>
          <w:lang w:val="en-US"/>
        </w:rPr>
        <w:t>When planning the research method, the Saunders research onion was utilised to ensure the decisions made could be justified and would contribute to the aims and objectives (GradCoach, 2022).</w:t>
      </w:r>
    </w:p>
    <w:p>
      <w:pPr>
        <w:pStyle w:val="Body"/>
        <w:jc w:val="both"/>
      </w:pPr>
      <w:r>
        <w:rPr>
          <w:rtl w:val="0"/>
          <w:lang w:val="en-US"/>
        </w:rPr>
        <w:t xml:space="preserve"> </w:t>
      </w:r>
    </w:p>
    <w:p>
      <w:pPr>
        <w:pStyle w:val="Body"/>
        <w:jc w:val="both"/>
      </w:pPr>
    </w:p>
    <w:p>
      <w:pPr>
        <w:pStyle w:val="Body"/>
        <w:jc w:val="both"/>
      </w:pPr>
    </w:p>
    <w:p>
      <w:pPr>
        <w:pStyle w:val="Body"/>
        <w:jc w:val="both"/>
      </w:pPr>
    </w:p>
    <w:p>
      <w:pPr>
        <w:pStyle w:val="Body"/>
        <w:jc w:val="both"/>
      </w:pPr>
    </w:p>
    <w:p>
      <w:pPr>
        <w:pStyle w:val="Body"/>
        <w:jc w:val="both"/>
      </w:pPr>
    </w:p>
    <w:p>
      <w:pPr>
        <w:pStyle w:val="Body"/>
        <w:jc w:val="both"/>
      </w:pPr>
      <w:r>
        <w:drawing xmlns:a="http://schemas.openxmlformats.org/drawingml/2006/main">
          <wp:anchor distT="152400" distB="152400" distL="152400" distR="152400" simplePos="0" relativeHeight="251660288" behindDoc="0" locked="0" layoutInCell="1" allowOverlap="1">
            <wp:simplePos x="0" y="0"/>
            <wp:positionH relativeFrom="margin">
              <wp:posOffset>701408</wp:posOffset>
            </wp:positionH>
            <wp:positionV relativeFrom="line">
              <wp:posOffset>-152399</wp:posOffset>
            </wp:positionV>
            <wp:extent cx="4534433" cy="2888482"/>
            <wp:effectExtent l="0" t="0" r="0" b="0"/>
            <wp:wrapThrough wrapText="bothSides" distL="152400" distR="152400">
              <wp:wrapPolygon edited="1">
                <wp:start x="0" y="0"/>
                <wp:lineTo x="21600" y="0"/>
                <wp:lineTo x="21600" y="21600"/>
                <wp:lineTo x="0" y="21600"/>
                <wp:lineTo x="0" y="0"/>
              </wp:wrapPolygon>
            </wp:wrapThrough>
            <wp:docPr id="1073741827" name="officeArt object" descr="Screenshot 2024-09-30 at 11.41.19.png"/>
            <wp:cNvGraphicFramePr/>
            <a:graphic xmlns:a="http://schemas.openxmlformats.org/drawingml/2006/main">
              <a:graphicData uri="http://schemas.openxmlformats.org/drawingml/2006/picture">
                <pic:pic xmlns:pic="http://schemas.openxmlformats.org/drawingml/2006/picture">
                  <pic:nvPicPr>
                    <pic:cNvPr id="1073741827" name="Screenshot 2024-09-30 at 11.41.19.png" descr="Screenshot 2024-09-30 at 11.41.19.png"/>
                    <pic:cNvPicPr>
                      <a:picLocks noChangeAspect="1"/>
                    </pic:cNvPicPr>
                  </pic:nvPicPr>
                  <pic:blipFill>
                    <a:blip r:embed="rId4">
                      <a:extLst/>
                    </a:blip>
                    <a:stretch>
                      <a:fillRect/>
                    </a:stretch>
                  </pic:blipFill>
                  <pic:spPr>
                    <a:xfrm>
                      <a:off x="0" y="0"/>
                      <a:ext cx="4534433" cy="2888482"/>
                    </a:xfrm>
                    <a:prstGeom prst="rect">
                      <a:avLst/>
                    </a:prstGeom>
                    <a:ln w="12700" cap="flat">
                      <a:noFill/>
                      <a:miter lim="400000"/>
                    </a:ln>
                    <a:effectLst/>
                  </pic:spPr>
                </pic:pic>
              </a:graphicData>
            </a:graphic>
          </wp:anchor>
        </w:drawing>
      </w: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rPr>
          <w:u w:val="single"/>
        </w:rPr>
      </w:pPr>
      <w:r>
        <w:rPr>
          <w:rtl w:val="0"/>
          <w:lang w:val="en-US"/>
        </w:rPr>
        <w:t>Figure 1 - Research Onion (Saunders et al., 2019)</w:t>
      </w:r>
    </w:p>
    <w:p>
      <w:pPr>
        <w:pStyle w:val="Body"/>
        <w:jc w:val="both"/>
        <w:rPr>
          <w:u w:val="single"/>
        </w:rPr>
      </w:pPr>
    </w:p>
    <w:p>
      <w:pPr>
        <w:pStyle w:val="Heading 2"/>
        <w:jc w:val="both"/>
      </w:pPr>
      <w:bookmarkStart w:name="_Toc4" w:id="4"/>
      <w:r>
        <w:rPr>
          <w:rtl w:val="0"/>
          <w:lang w:val="en-US"/>
        </w:rPr>
        <w:t xml:space="preserve">Research Methodology </w:t>
      </w:r>
      <w:bookmarkEnd w:id="4"/>
    </w:p>
    <w:p>
      <w:pPr>
        <w:pStyle w:val="List Paragraph"/>
        <w:ind w:left="0" w:firstLine="0"/>
        <w:jc w:val="both"/>
      </w:pPr>
      <w:r>
        <w:rPr>
          <w:rtl w:val="0"/>
          <w:lang w:val="en-US"/>
        </w:rPr>
        <w:t xml:space="preserve">Due to the variety of information that was needed for this project, a mixed method approach was taken to include both qualitative and quantitative. The reasoning behind this was that opinions from individuals, internal and external, were needed to gain a deeper understanding of the reality of the business area, but this also needed to be backed up by the financial data of the operation. The feelings and emotional view was important as well as the cold, hard data (Office for Health Improvement and Disparities, 2020). </w:t>
      </w:r>
    </w:p>
    <w:p>
      <w:pPr>
        <w:pStyle w:val="List Paragraph"/>
        <w:ind w:left="0" w:firstLine="0"/>
        <w:jc w:val="both"/>
      </w:pPr>
      <w:r>
        <w:rPr>
          <w:rtl w:val="0"/>
          <w:lang w:val="en-US"/>
        </w:rPr>
        <w:t>Using a mixed method approach did identify some problems when taking opinion and data into account as some examples didn</w:t>
      </w:r>
      <w:r>
        <w:rPr>
          <w:rtl w:val="0"/>
          <w:lang w:val="en-US"/>
        </w:rPr>
        <w:t>’</w:t>
      </w:r>
      <w:r>
        <w:rPr>
          <w:rtl w:val="0"/>
          <w:lang w:val="en-US"/>
        </w:rPr>
        <w:t xml:space="preserve">t harmonise, which fed into how changes should be recommended.  </w:t>
      </w:r>
    </w:p>
    <w:p>
      <w:pPr>
        <w:pStyle w:val="Heading 2"/>
        <w:jc w:val="both"/>
      </w:pPr>
    </w:p>
    <w:p>
      <w:pPr>
        <w:pStyle w:val="Heading 2"/>
        <w:jc w:val="both"/>
      </w:pPr>
      <w:bookmarkStart w:name="_Toc5" w:id="5"/>
      <w:r>
        <w:rPr>
          <w:rtl w:val="0"/>
          <w:lang w:val="en-US"/>
        </w:rPr>
        <w:t xml:space="preserve">Research participants </w:t>
      </w:r>
      <w:bookmarkEnd w:id="5"/>
    </w:p>
    <w:p>
      <w:pPr>
        <w:pStyle w:val="List Paragraph"/>
        <w:ind w:left="0" w:firstLine="0"/>
        <w:jc w:val="both"/>
      </w:pPr>
      <w:r>
        <w:rPr>
          <w:rtl w:val="0"/>
          <w:lang w:val="en-US"/>
        </w:rPr>
        <w:t xml:space="preserve">During this project, several stakeholders were engaged, both internal and external, in order to gain a well rounded outcome. Internally, visitor attraction managers, the head of visitor attraction operations and the head of service were all engaged due to their significance in running the business area and their influence on decision making. Externally, the HR director for Bluestone Resort was interviewed to gain the perspective of someone working in a similar industry and geographical location. Bluestone is one of our key competitors so it was important to understand how they are working differently when it comes to their employee reward. </w:t>
      </w:r>
    </w:p>
    <w:p>
      <w:pPr>
        <w:pStyle w:val="Heading 2"/>
        <w:jc w:val="both"/>
      </w:pPr>
    </w:p>
    <w:p>
      <w:pPr>
        <w:pStyle w:val="Heading 2"/>
        <w:jc w:val="both"/>
      </w:pPr>
      <w:bookmarkStart w:name="_Toc6" w:id="6"/>
      <w:r>
        <w:rPr>
          <w:rtl w:val="0"/>
          <w:lang w:val="en-US"/>
        </w:rPr>
        <w:t>Reliability, validity, and research limitations</w:t>
      </w:r>
      <w:bookmarkEnd w:id="6"/>
    </w:p>
    <w:p>
      <w:pPr>
        <w:pStyle w:val="Body"/>
      </w:pPr>
      <w:r>
        <w:rPr>
          <w:rFonts w:cs="Arial Unicode MS" w:eastAsia="Arial Unicode MS"/>
          <w:rtl w:val="0"/>
          <w:lang w:val="en-US"/>
        </w:rPr>
        <w:t>When benchmarking against the hospitality sector, it was difficult as companies tend to only promote their reward package when it is positive or outside of the norm. This put a limitation on the amount of first hand knowledge that could be obtained, but did highlight where the upper limit is when comparing certain benefits (Barrett, 2024).</w:t>
      </w:r>
    </w:p>
    <w:p>
      <w:pPr>
        <w:pStyle w:val="Body"/>
      </w:pPr>
      <w:r>
        <w:rPr>
          <w:rFonts w:cs="Arial Unicode MS" w:eastAsia="Arial Unicode MS"/>
          <w:rtl w:val="0"/>
          <w:lang w:val="en-US"/>
        </w:rPr>
        <w:t xml:space="preserve">With the participants, there were individuals who, through their presence in the focus groups, </w:t>
      </w:r>
      <w:r>
        <w:rPr>
          <w:rFonts w:cs="Arial Unicode MS" w:eastAsia="Arial Unicode MS"/>
          <w:rtl w:val="0"/>
          <w:lang w:val="en-US"/>
        </w:rPr>
        <w:t xml:space="preserve">could </w:t>
      </w:r>
      <w:r>
        <w:rPr>
          <w:rFonts w:cs="Arial Unicode MS" w:eastAsia="Arial Unicode MS"/>
          <w:rtl w:val="0"/>
          <w:lang w:val="en-US"/>
        </w:rPr>
        <w:t xml:space="preserve">have </w:t>
      </w:r>
      <w:r>
        <w:rPr>
          <w:rFonts w:cs="Arial Unicode MS" w:eastAsia="Arial Unicode MS"/>
          <w:rtl w:val="0"/>
          <w:lang w:val="en-US"/>
        </w:rPr>
        <w:t>affect</w:t>
      </w:r>
      <w:r>
        <w:rPr>
          <w:rFonts w:cs="Arial Unicode MS" w:eastAsia="Arial Unicode MS"/>
          <w:rtl w:val="0"/>
          <w:lang w:val="en-US"/>
        </w:rPr>
        <w:t>ed the</w:t>
      </w:r>
      <w:r>
        <w:rPr>
          <w:rFonts w:cs="Arial Unicode MS" w:eastAsia="Arial Unicode MS"/>
          <w:rtl w:val="0"/>
          <w:lang w:val="en-US"/>
        </w:rPr>
        <w:t xml:space="preserve"> reliability and validity of </w:t>
      </w:r>
      <w:r>
        <w:rPr>
          <w:rFonts w:cs="Arial Unicode MS" w:eastAsia="Arial Unicode MS"/>
          <w:rtl w:val="0"/>
          <w:lang w:val="en-US"/>
        </w:rPr>
        <w:t xml:space="preserve">the </w:t>
      </w:r>
      <w:r>
        <w:rPr>
          <w:rFonts w:cs="Arial Unicode MS" w:eastAsia="Arial Unicode MS"/>
          <w:rtl w:val="0"/>
          <w:lang w:val="en-US"/>
        </w:rPr>
        <w:t>research</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specifically the Head of Service. This could have prevented some of the managers from restricting their honesty and openness. There was consideration given to asking the individual to not participate but it wouldn</w:t>
      </w:r>
      <w:r>
        <w:rPr>
          <w:rFonts w:cs="Arial Unicode MS" w:eastAsia="Arial Unicode MS" w:hint="default"/>
          <w:rtl w:val="0"/>
          <w:lang w:val="en-US"/>
        </w:rPr>
        <w:t>’</w:t>
      </w:r>
      <w:r>
        <w:rPr>
          <w:rFonts w:cs="Arial Unicode MS" w:eastAsia="Arial Unicode MS"/>
          <w:rtl w:val="0"/>
          <w:lang w:val="en-US"/>
        </w:rPr>
        <w:t xml:space="preserve">t have been practical due to the nature of the task at hand (Chapman and McNeill, 2005). </w:t>
      </w:r>
    </w:p>
    <w:p>
      <w:pPr>
        <w:pStyle w:val="Body"/>
      </w:pPr>
      <w:r>
        <w:rPr>
          <w:rFonts w:cs="Arial Unicode MS" w:eastAsia="Arial Unicode MS"/>
          <w:rtl w:val="0"/>
          <w:lang w:val="en-US"/>
        </w:rPr>
        <w:t xml:space="preserve">As the research progressed, it became apparent that two of the managers had </w:t>
      </w:r>
      <w:r>
        <w:rPr>
          <w:rFonts w:cs="Arial Unicode MS" w:eastAsia="Arial Unicode MS"/>
          <w:rtl w:val="0"/>
          <w:lang w:val="en-US"/>
        </w:rPr>
        <w:t>a negative outlook, bringing problems not solutions to the sessions. This was in stark contrast to the other participants.</w:t>
      </w:r>
    </w:p>
    <w:p>
      <w:pPr>
        <w:pStyle w:val="Body"/>
      </w:pPr>
    </w:p>
    <w:p>
      <w:pPr>
        <w:pStyle w:val="Body"/>
        <w:jc w:val="both"/>
        <w:rPr>
          <w:u w:val="single"/>
        </w:rPr>
      </w:pPr>
      <w:r>
        <w:rPr>
          <w:u w:val="single"/>
          <w:rtl w:val="0"/>
          <w:lang w:val="en-US"/>
        </w:rPr>
        <w:t>How the research data was analysed</w:t>
      </w:r>
    </w:p>
    <w:p>
      <w:pPr>
        <w:pStyle w:val="Body"/>
        <w:jc w:val="both"/>
        <w:rPr>
          <w:u w:val="single"/>
        </w:rPr>
      </w:pPr>
      <w:r>
        <w:rPr>
          <w:rtl w:val="0"/>
          <w:lang w:val="en-US"/>
        </w:rPr>
        <w:t xml:space="preserve">Thematic analysis was used to identify common themes and trends in the research findings. This helped highlight areas of concern and where change was needed most to help achieve the overall objective. Given the diverse make up of the participants, the findings showed differing views depending on who you focused on and what their agenda and knowledge set was. This in itself shows where organisational changes potentially need to be made as managerial decisions could also be negatively influencing the output of some sites (Crosley, 2021). </w:t>
      </w:r>
    </w:p>
    <w:p>
      <w:pPr>
        <w:pStyle w:val="Body"/>
      </w:pPr>
    </w:p>
    <w:p>
      <w:pPr>
        <w:pStyle w:val="Heading"/>
        <w:rPr>
          <w:b w:val="1"/>
          <w:bCs w:val="1"/>
        </w:rPr>
      </w:pPr>
      <w:bookmarkStart w:name="_Toc7" w:id="7"/>
      <w:r>
        <w:rPr>
          <w:rFonts w:cs="Arial Unicode MS" w:eastAsia="Arial Unicode MS"/>
          <w:b w:val="1"/>
          <w:bCs w:val="1"/>
          <w:rtl w:val="0"/>
          <w:lang w:val="en-US"/>
        </w:rPr>
        <w:t>Research Findings</w:t>
      </w:r>
      <w:bookmarkEnd w:id="7"/>
    </w:p>
    <w:p>
      <w:pPr>
        <w:pStyle w:val="Body"/>
        <w:jc w:val="both"/>
        <w:rPr>
          <w:b w:val="1"/>
          <w:bCs w:val="1"/>
        </w:rPr>
      </w:pPr>
    </w:p>
    <w:p>
      <w:pPr>
        <w:pStyle w:val="Body"/>
        <w:jc w:val="both"/>
      </w:pPr>
      <w:r>
        <w:rPr>
          <w:rtl w:val="0"/>
          <w:lang w:val="en-US"/>
        </w:rPr>
        <w:t>Having used a mixed method approach, different ways of analysing the data was needed. Thematic analysis was applied when reviewing the qualitative data that was collected through interviews and focus groups. Whereas the quantitative data, a more manual style was needed in order to convert the raw payroll figures into a format that could be explored and used to provide recommendations.</w:t>
      </w:r>
    </w:p>
    <w:p>
      <w:pPr>
        <w:pStyle w:val="Body"/>
        <w:jc w:val="both"/>
      </w:pPr>
    </w:p>
    <w:p>
      <w:pPr>
        <w:pStyle w:val="Body"/>
      </w:pPr>
      <w:r>
        <w:rPr>
          <w:rFonts w:cs="Arial Unicode MS" w:eastAsia="Arial Unicode MS"/>
          <w:u w:val="single"/>
          <w:rtl w:val="0"/>
          <w:lang w:val="en-US"/>
        </w:rPr>
        <w:t>Current Reward Package Benchmarking</w:t>
      </w:r>
      <w:r>
        <w:rPr>
          <w:rFonts w:cs="Arial Unicode MS" w:eastAsia="Arial Unicode MS"/>
          <w:rtl w:val="0"/>
          <w:lang w:val="en-US"/>
        </w:rPr>
        <w:t xml:space="preserve"> </w:t>
      </w:r>
    </w:p>
    <w:p>
      <w:pPr>
        <w:pStyle w:val="List Paragraph"/>
        <w:ind w:left="0" w:firstLine="0"/>
        <w:jc w:val="both"/>
      </w:pPr>
      <w:r>
        <w:rPr>
          <w:rtl w:val="0"/>
          <w:lang w:val="en-US"/>
        </w:rPr>
        <w:t>When comparing DCWW</w:t>
      </w:r>
      <w:r>
        <w:rPr>
          <w:rtl w:val="0"/>
          <w:lang w:val="en-US"/>
        </w:rPr>
        <w:t>’</w:t>
      </w:r>
      <w:r>
        <w:rPr>
          <w:rtl w:val="0"/>
          <w:lang w:val="en-US"/>
        </w:rPr>
        <w:t xml:space="preserve">s current reward package to that of the hospitality sector, it became clear that there was a sizeable disparity with colleagues receiving a far more beneficial reward when compared to their external colleagues. Areas including salary, overtime, bonus scheme and company sick pay being a selection of benefits not commonly found in the sector. </w:t>
      </w:r>
    </w:p>
    <w:p>
      <w:pPr>
        <w:pStyle w:val="List Paragraph"/>
        <w:ind w:left="0" w:firstLine="0"/>
        <w:jc w:val="both"/>
        <w:rPr>
          <w:lang w:val="en-US"/>
        </w:rPr>
      </w:pPr>
      <w:r>
        <w:rPr>
          <w:rtl w:val="0"/>
          <w:lang w:val="en-US"/>
        </w:rPr>
        <w:t xml:space="preserve">However, there were some elements that are becoming progressively more common given the ongoing battle to attract and retain candidates in the hospitality sector. According to </w:t>
      </w:r>
      <w:r>
        <w:rPr>
          <w:rtl w:val="0"/>
          <w:lang w:val="en-US"/>
        </w:rPr>
        <w:t>Caterer.co</w:t>
      </w:r>
      <w:r>
        <w:rPr>
          <w:rtl w:val="0"/>
          <w:lang w:val="en-US"/>
        </w:rPr>
        <w:t>m</w:t>
      </w:r>
      <w:r>
        <w:rPr>
          <w:rtl w:val="0"/>
          <w:lang w:val="en-US"/>
        </w:rPr>
        <w:t xml:space="preserve"> (2023</w:t>
      </w:r>
      <w:r>
        <w:rPr>
          <w:rtl w:val="0"/>
          <w:lang w:val="en-US"/>
        </w:rPr>
        <w:t xml:space="preserve">), hospitality employers are highlighting benefits that DCWW already offers to colleagues as retention factors, namely bonus, enhanced annual leave, generous pension and competitive salary. </w:t>
      </w:r>
    </w:p>
    <w:p>
      <w:pPr>
        <w:pStyle w:val="List Paragraph"/>
        <w:ind w:left="0" w:firstLine="0"/>
        <w:jc w:val="both"/>
      </w:pPr>
      <w:r>
        <w:rPr>
          <w:rtl w:val="0"/>
          <w:lang w:val="en-US"/>
        </w:rPr>
        <w:t xml:space="preserve">When interviewing James Griffith, Visitor Attraction Manager, in relation to overtime rates, he said </w:t>
      </w:r>
      <w:r>
        <w:rPr>
          <w:rtl w:val="0"/>
          <w:lang w:val="en-US"/>
        </w:rPr>
        <w:t>‘</w:t>
      </w:r>
      <w:r>
        <w:rPr>
          <w:rtl w:val="0"/>
          <w:lang w:val="en-US"/>
        </w:rPr>
        <w:t>It</w:t>
      </w:r>
      <w:r>
        <w:rPr>
          <w:rtl w:val="0"/>
          <w:lang w:val="en-US"/>
        </w:rPr>
        <w:t>’</w:t>
      </w:r>
      <w:r>
        <w:rPr>
          <w:rtl w:val="0"/>
          <w:lang w:val="en-US"/>
        </w:rPr>
        <w:t>s a very antiquated approach to offer double time on bank holidays, it</w:t>
      </w:r>
      <w:r>
        <w:rPr>
          <w:rtl w:val="0"/>
          <w:lang w:val="en-US"/>
        </w:rPr>
        <w:t>’</w:t>
      </w:r>
      <w:r>
        <w:rPr>
          <w:rtl w:val="0"/>
          <w:lang w:val="en-US"/>
        </w:rPr>
        <w:t>s just not done anymore</w:t>
      </w:r>
      <w:r>
        <w:rPr>
          <w:rtl w:val="0"/>
          <w:lang w:val="en-US"/>
        </w:rPr>
        <w:t>’</w:t>
      </w:r>
      <w:r>
        <w:rPr>
          <w:rtl w:val="0"/>
          <w:lang w:val="en-US"/>
        </w:rPr>
        <w:t>. This allowed the whole overtime piece to be looked at in a different light as it</w:t>
      </w:r>
      <w:r>
        <w:rPr>
          <w:rtl w:val="0"/>
          <w:lang w:val="en-US"/>
        </w:rPr>
        <w:t>’</w:t>
      </w:r>
      <w:r>
        <w:rPr>
          <w:rtl w:val="0"/>
          <w:lang w:val="en-US"/>
        </w:rPr>
        <w:t>s a process that DCWW have imposed on VA, one that places a significant financial burden on a business area is that different and unique to the rest of the Company. This raised that an approach of strategic reward needs to be taken in order to create a reward package that balances and supports both the organisation and the employees, something that is currently far too swayed to the latter (CIPD, 2024b). This ethos also creates stronger links between VA</w:t>
      </w:r>
      <w:r>
        <w:rPr>
          <w:rtl w:val="0"/>
          <w:lang w:val="en-US"/>
        </w:rPr>
        <w:t>’</w:t>
      </w:r>
      <w:r>
        <w:rPr>
          <w:rtl w:val="0"/>
          <w:lang w:val="en-US"/>
        </w:rPr>
        <w:t>s strategic objectives and the total reward package offered, as this business area is tightly controlled by cost so the employee package needs to be in harmony with that, not a burden to future growth.</w:t>
      </w:r>
    </w:p>
    <w:p>
      <w:pPr>
        <w:pStyle w:val="List Paragraph"/>
        <w:ind w:left="0" w:firstLine="0"/>
        <w:jc w:val="both"/>
      </w:pPr>
      <w:r>
        <w:rPr>
          <w:rtl w:val="0"/>
          <w:lang w:val="en-US"/>
        </w:rPr>
        <w:t xml:space="preserve">When delving into the research findings, there were certain points that did not harmonise, such as the quantitative data differing to manager opinion given in the focus groups. It became apparent that certain managers have not been following correct process when managing overtime, resulting in colleagues incorrectly receiving payments. This has ultimately contributed to the need for a project of this nature due to the cost implication. This eluded that there was a lack of understanding amongst certain individuals of what rate of pay should apply when and how an annualised contract is to be managed. </w:t>
      </w:r>
    </w:p>
    <w:p>
      <w:pPr>
        <w:pStyle w:val="Body"/>
      </w:pPr>
    </w:p>
    <w:p>
      <w:pPr>
        <w:pStyle w:val="Body"/>
        <w:rPr>
          <w:u w:val="single"/>
        </w:rPr>
      </w:pPr>
      <w:r>
        <w:rPr>
          <w:u w:val="single"/>
          <w:rtl w:val="0"/>
          <w:lang w:val="en-US"/>
        </w:rPr>
        <w:t>Casual Contracts and Working Patterns</w:t>
      </w:r>
    </w:p>
    <w:p>
      <w:pPr>
        <w:pStyle w:val="Body"/>
        <w:jc w:val="both"/>
      </w:pPr>
      <w:r>
        <w:rPr>
          <w:rtl w:val="0"/>
          <w:lang w:val="en-US"/>
        </w:rPr>
        <w:t>A significant number of colleagues are on casual contracts, something which the business area needs in order to operate seasonally. Some departments, though, use them as standard rather than evaluating the business need. This is something that is not conducive to a Fair &amp; Just working environment as it limits job security and doesn</w:t>
      </w:r>
      <w:r>
        <w:rPr>
          <w:rtl w:val="0"/>
          <w:lang w:val="en-US"/>
        </w:rPr>
        <w:t>’</w:t>
      </w:r>
      <w:r>
        <w:rPr>
          <w:rtl w:val="0"/>
          <w:lang w:val="en-US"/>
        </w:rPr>
        <w:t>t instil job empowerment which can have an impact on overall employee engagement (Fitriano, Jufrizen and Rohim, 2023).</w:t>
      </w:r>
    </w:p>
    <w:p>
      <w:pPr>
        <w:pStyle w:val="Body"/>
        <w:jc w:val="both"/>
      </w:pPr>
      <w:r>
        <w:rPr>
          <w:rtl w:val="0"/>
          <w:lang w:val="en-US"/>
        </w:rPr>
        <w:t>There are also internal factors that put casual colleagues at a disadvantage if they are in fact being used in the same manner as contracted colleagues in terms of reliable and working hours. DCWW doesn</w:t>
      </w:r>
      <w:r>
        <w:rPr>
          <w:rtl w:val="0"/>
          <w:lang w:val="en-US"/>
        </w:rPr>
        <w:t>’</w:t>
      </w:r>
      <w:r>
        <w:rPr>
          <w:rtl w:val="0"/>
          <w:lang w:val="en-US"/>
        </w:rPr>
        <w:t>t offer casual colleagues company sick pay, entitlement to bonus or progression in salary when managing performance (CIPD, 2024a). There is a significant fairness angle that needs addressing here, as Colleague A could be contracted 37hours with Colleague B on a casual contract and working 37hours consistently. If they both go off on sick leave, Colleague B will only receive Statutory Sick Pay (SSP), with Colleague A receiving their full salary, in line with DCWW policy, but their work output and contribution to the role is the same.</w:t>
      </w:r>
    </w:p>
    <w:p>
      <w:pPr>
        <w:pStyle w:val="Body"/>
        <w:jc w:val="both"/>
      </w:pPr>
      <w:r>
        <w:rPr>
          <w:rtl w:val="0"/>
          <w:lang w:val="en-US"/>
        </w:rPr>
        <w:t>The management team had differing views on casual colleague utilisation, with some feeling that they used in the correct manner but then others acknowledging that they need to review their structure and create core teams in their departments with additional contracted employees.</w:t>
      </w:r>
    </w:p>
    <w:p>
      <w:pPr>
        <w:pStyle w:val="Body"/>
      </w:pPr>
    </w:p>
    <w:p>
      <w:pPr>
        <w:pStyle w:val="Body"/>
        <w:jc w:val="both"/>
        <w:rPr>
          <w:u w:val="single"/>
        </w:rPr>
      </w:pPr>
      <w:r>
        <w:rPr>
          <w:u w:val="single"/>
          <w:rtl w:val="0"/>
          <w:lang w:val="en-US"/>
        </w:rPr>
        <w:t>Sick Pay and Family Friendly Schemes</w:t>
      </w:r>
    </w:p>
    <w:p>
      <w:pPr>
        <w:pStyle w:val="Body"/>
        <w:jc w:val="both"/>
      </w:pPr>
      <w:r>
        <w:rPr>
          <w:rtl w:val="0"/>
          <w:lang w:val="en-US"/>
        </w:rPr>
        <w:t>The company sick pay and family friendly offering have shown as favourable when compared to the wider industry. Both elements when offered above the statutory minimums are not common in the hospitality sector, with little in the way of publicly available information directly from employers. Benchmarking resources have shown that company</w:t>
      </w:r>
      <w:r>
        <w:rPr>
          <w:rtl w:val="0"/>
          <w:lang w:val="en-US"/>
        </w:rPr>
        <w:t>’</w:t>
      </w:r>
      <w:r>
        <w:rPr>
          <w:rtl w:val="0"/>
          <w:lang w:val="en-US"/>
        </w:rPr>
        <w:t>s are more willing to promote their offering when it is above what is expected, such as enhanced family leave</w:t>
      </w:r>
      <w:r>
        <w:rPr>
          <w:rtl w:val="0"/>
        </w:rPr>
        <w:t xml:space="preserve"> (Waddell, 2021)</w:t>
      </w:r>
      <w:r>
        <w:rPr>
          <w:rtl w:val="0"/>
          <w:lang w:val="en-US"/>
        </w:rPr>
        <w:t xml:space="preserve">. This is something DCWW already offer so should be promoting this far better than they currently do, especially when recruiting hospitality roles. </w:t>
      </w:r>
    </w:p>
    <w:p>
      <w:pPr>
        <w:pStyle w:val="Body"/>
        <w:jc w:val="both"/>
      </w:pPr>
      <w:r>
        <w:rPr>
          <w:rtl w:val="0"/>
          <w:lang w:val="en-US"/>
        </w:rPr>
        <w:t>Analysis of the cost of company sick pay showed that it is a utilised, but well managed element of the reward package, with managers clearly following the policies and processes put in place to support colleagues and therefore not abuse the entitlement given. From an employee engagement and fairness perspective, having a company sick pay entitlement gives a sense of financial security to employees. Removing such a benefit could present consequences to DCWW in the form of presenteeism and lower output and employees coming to work unwell and potentially affecting other employees. The latter could result in an operational issue where there aren</w:t>
      </w:r>
      <w:r>
        <w:rPr>
          <w:rtl w:val="0"/>
          <w:lang w:val="en-US"/>
        </w:rPr>
        <w:t>’</w:t>
      </w:r>
      <w:r>
        <w:rPr>
          <w:rtl w:val="0"/>
          <w:lang w:val="en-US"/>
        </w:rPr>
        <w:t xml:space="preserve">t enough staff to operate certain functions (leavedates.com, No Date). </w:t>
      </w:r>
    </w:p>
    <w:p>
      <w:pPr>
        <w:pStyle w:val="Body"/>
        <w:jc w:val="both"/>
      </w:pPr>
    </w:p>
    <w:p>
      <w:pPr>
        <w:pStyle w:val="Heading"/>
        <w:rPr>
          <w:b w:val="1"/>
          <w:bCs w:val="1"/>
        </w:rPr>
      </w:pPr>
      <w:bookmarkStart w:name="_Toc8" w:id="8"/>
      <w:r>
        <w:rPr>
          <w:rFonts w:cs="Arial Unicode MS" w:eastAsia="Arial Unicode MS"/>
          <w:b w:val="1"/>
          <w:bCs w:val="1"/>
          <w:rtl w:val="0"/>
          <w:lang w:val="it-IT"/>
        </w:rPr>
        <w:t>Conclusio</w:t>
      </w:r>
      <w:r>
        <w:rPr>
          <w:rFonts w:cs="Arial Unicode MS" w:eastAsia="Arial Unicode MS"/>
          <w:b w:val="1"/>
          <w:bCs w:val="1"/>
          <w:rtl w:val="0"/>
          <w:lang w:val="en-US"/>
        </w:rPr>
        <w:t>n</w:t>
      </w:r>
      <w:bookmarkEnd w:id="8"/>
    </w:p>
    <w:p>
      <w:pPr>
        <w:pStyle w:val="Body"/>
        <w:jc w:val="both"/>
        <w:rPr>
          <w:b w:val="1"/>
          <w:bCs w:val="1"/>
        </w:rPr>
      </w:pPr>
    </w:p>
    <w:p>
      <w:pPr>
        <w:pStyle w:val="Body"/>
        <w:jc w:val="both"/>
        <w:rPr>
          <w:b w:val="1"/>
          <w:bCs w:val="1"/>
        </w:rPr>
      </w:pPr>
      <w:r>
        <w:rPr>
          <w:rtl w:val="0"/>
          <w:lang w:val="en-US"/>
        </w:rPr>
        <w:t xml:space="preserve">With the aim of finding a way, for the Visitor Attraction function to sustainably continue operating through its reward package, several points have come out of the research conducted to aid in developing a way forward. </w:t>
      </w:r>
    </w:p>
    <w:p>
      <w:pPr>
        <w:pStyle w:val="Body"/>
        <w:jc w:val="both"/>
      </w:pPr>
      <w:r>
        <w:rPr>
          <w:rtl w:val="0"/>
          <w:lang w:val="en-US"/>
        </w:rPr>
        <w:t xml:space="preserve">Overall, the current reward package offered by DCWW to its employees in Visitor Attractions has the makings of a solid, well round set of benefits. However, given the unusual set up of the business are within a utility company, there are some aspect that need adjusting in order to allow it to harmonise with the objectives and operating environment of a hospitality venture. </w:t>
      </w:r>
    </w:p>
    <w:p>
      <w:pPr>
        <w:pStyle w:val="Body"/>
        <w:jc w:val="both"/>
      </w:pPr>
      <w:r>
        <w:rPr>
          <w:rtl w:val="0"/>
          <w:lang w:val="en-US"/>
        </w:rPr>
        <w:t>The main element that needs changing is the overtime arrangement due to its overly generous rates. These give very little room for manoeuvre when managers are trying to keep payroll costs low in order to enhance overall financial performance.</w:t>
      </w:r>
    </w:p>
    <w:p>
      <w:pPr>
        <w:pStyle w:val="Body"/>
        <w:jc w:val="both"/>
      </w:pPr>
      <w:r>
        <w:rPr>
          <w:rtl w:val="0"/>
          <w:lang w:val="en-US"/>
        </w:rPr>
        <w:t>Other parts of the reward package are also generous but are at the forefront of the hospitality sectors change to how employees are retained and candidates attracted (</w:t>
      </w:r>
      <w:r>
        <w:rPr>
          <w:rtl w:val="0"/>
          <w:lang w:val="en-US"/>
        </w:rPr>
        <w:t>Caterer.com</w:t>
      </w:r>
      <w:r>
        <w:rPr>
          <w:rtl w:val="0"/>
          <w:lang w:val="en-US"/>
        </w:rPr>
        <w:t xml:space="preserve">, </w:t>
      </w:r>
      <w:r>
        <w:rPr>
          <w:rtl w:val="0"/>
          <w:lang w:val="en-US"/>
        </w:rPr>
        <w:t>2023)</w:t>
      </w:r>
      <w:r>
        <w:rPr>
          <w:rtl w:val="0"/>
          <w:lang w:val="en-US"/>
        </w:rPr>
        <w:t>. This gives DCWW a good footing in the industry, coupled together with good pay conditions.</w:t>
      </w:r>
    </w:p>
    <w:p>
      <w:pPr>
        <w:pStyle w:val="Body"/>
        <w:jc w:val="both"/>
      </w:pPr>
      <w:r>
        <w:rPr>
          <w:rtl w:val="0"/>
          <w:lang w:val="en-US"/>
        </w:rPr>
        <w:t xml:space="preserve">During the research collection phase, potential performance concerns have been highlighted with a small selection of the management team not following due process, with financial consequences attached. Given the number of managers who have correctly followed the processes, there is little to justify that the understanding is down to clarity of process, but more of a potential training issue or lack of care and attention. Addressing this is imperative as it could hinder any future processes that are put in place. </w:t>
      </w:r>
    </w:p>
    <w:p>
      <w:pPr>
        <w:pStyle w:val="Body"/>
      </w:pPr>
    </w:p>
    <w:p>
      <w:pPr>
        <w:pStyle w:val="Heading"/>
      </w:pPr>
      <w:bookmarkStart w:name="_Toc9" w:id="9"/>
      <w:r>
        <w:rPr>
          <w:rFonts w:cs="Arial Unicode MS" w:eastAsia="Arial Unicode MS"/>
          <w:b w:val="1"/>
          <w:bCs w:val="1"/>
          <w:rtl w:val="0"/>
          <w:lang w:val="en-US"/>
        </w:rPr>
        <w:t>Academic Poster Content</w:t>
      </w:r>
      <w:bookmarkEnd w:id="9"/>
    </w:p>
    <w:p>
      <w:pPr>
        <w:pStyle w:val="Body"/>
      </w:pPr>
    </w:p>
    <w:p>
      <w:pPr>
        <w:pStyle w:val="Body"/>
        <w:jc w:val="both"/>
      </w:pPr>
      <w:r>
        <w:rPr>
          <w:rtl w:val="0"/>
          <w:lang w:val="en-US"/>
        </w:rPr>
        <w:t>Introduction</w:t>
      </w:r>
    </w:p>
    <w:p>
      <w:pPr>
        <w:pStyle w:val="Body"/>
        <w:jc w:val="both"/>
      </w:pPr>
      <w:r>
        <w:rPr>
          <w:rtl w:val="0"/>
          <w:lang w:val="en-US"/>
        </w:rPr>
        <w:t>As with many company</w:t>
      </w:r>
      <w:r>
        <w:rPr>
          <w:rtl w:val="0"/>
          <w:lang w:val="en-US"/>
        </w:rPr>
        <w:t>’</w:t>
      </w:r>
      <w:r>
        <w:rPr>
          <w:rtl w:val="0"/>
          <w:lang w:val="en-US"/>
        </w:rPr>
        <w:t>s in the current economic climate, Dwr Cymru Welsh Water (DCWW) is faced with operational challenges when it comes to its Visitor Attraction (VA) business (Access, 2024). When VA was formed, the standard DCWW reward package was adopted, something which in today</w:t>
      </w:r>
      <w:r>
        <w:rPr>
          <w:rtl w:val="0"/>
          <w:lang w:val="en-US"/>
        </w:rPr>
        <w:t>’</w:t>
      </w:r>
      <w:r>
        <w:rPr>
          <w:rtl w:val="0"/>
          <w:lang w:val="en-US"/>
        </w:rPr>
        <w:t>s environment is not sustainable. An independent review has been conducted to evaluate the current offering and offer adjustments that can be made, in line with the industry standard but in keeping with the Company</w:t>
      </w:r>
      <w:r>
        <w:rPr>
          <w:rtl w:val="0"/>
          <w:lang w:val="en-US"/>
        </w:rPr>
        <w:t>’</w:t>
      </w:r>
      <w:r>
        <w:rPr>
          <w:rtl w:val="0"/>
          <w:lang w:val="en-US"/>
        </w:rPr>
        <w:t xml:space="preserve">s </w:t>
      </w:r>
      <w:r>
        <w:rPr>
          <w:rtl w:val="0"/>
          <w:lang w:val="en-US"/>
        </w:rPr>
        <w:t>‘</w:t>
      </w:r>
      <w:r>
        <w:rPr>
          <w:rtl w:val="0"/>
          <w:lang w:val="en-US"/>
        </w:rPr>
        <w:t>Fair &amp; Just</w:t>
      </w:r>
      <w:r>
        <w:rPr>
          <w:rtl w:val="0"/>
          <w:lang w:val="en-US"/>
        </w:rPr>
        <w:t xml:space="preserve">’ </w:t>
      </w:r>
      <w:r>
        <w:rPr>
          <w:rtl w:val="0"/>
          <w:lang w:val="en-US"/>
        </w:rPr>
        <w:t>cultural approach.</w:t>
      </w:r>
    </w:p>
    <w:p>
      <w:pPr>
        <w:pStyle w:val="Body"/>
        <w:jc w:val="both"/>
      </w:pPr>
    </w:p>
    <w:p>
      <w:pPr>
        <w:pStyle w:val="Body"/>
        <w:jc w:val="both"/>
      </w:pPr>
      <w:r>
        <w:rPr>
          <w:rtl w:val="0"/>
          <w:lang w:val="en-US"/>
        </w:rPr>
        <w:t>Literature Review</w:t>
      </w:r>
    </w:p>
    <w:p>
      <w:pPr>
        <w:pStyle w:val="Body"/>
        <w:jc w:val="both"/>
      </w:pPr>
      <w:r>
        <w:rPr>
          <w:rtl w:val="0"/>
          <w:lang w:val="en-US"/>
        </w:rPr>
        <w:t>Traditionally, the hospitality industry hasn</w:t>
      </w:r>
      <w:r>
        <w:rPr>
          <w:rtl w:val="0"/>
          <w:lang w:val="en-US"/>
        </w:rPr>
        <w:t>’</w:t>
      </w:r>
      <w:r>
        <w:rPr>
          <w:rtl w:val="0"/>
          <w:lang w:val="en-US"/>
        </w:rPr>
        <w:t>t been the most attractive when it comes to employee reward, with minimum wage being the average wage and limited benefits attached, such as lack of company sick pay.</w:t>
      </w:r>
    </w:p>
    <w:p>
      <w:pPr>
        <w:pStyle w:val="Body"/>
        <w:jc w:val="both"/>
      </w:pPr>
      <w:r>
        <w:rPr>
          <w:rtl w:val="0"/>
          <w:lang w:val="en-US"/>
        </w:rPr>
        <w:t xml:space="preserve">Brexit has made companies change how they operate in order to attract and retain talent due to large numbers of the available workforce retuning tot heir home countries in the EU (Greedy, 2021). Examples include changing salaries to be above the minimum wage and offering flexible working hours and shift patterns. With changes of this nature, there are going to be increased costs to the employer, but it does offer a more positive job proposition to the employee. For this to be sustainable, employers need to balance how they implement these changes whilst maintaining customer expectations and profit margins. </w:t>
      </w:r>
      <w:r>
        <w:rPr>
          <w:rtl w:val="0"/>
          <w:lang w:val="en-US"/>
        </w:rPr>
        <w:t>Vita Mojo (2024</w:t>
      </w:r>
      <w:r>
        <w:rPr>
          <w:rtl w:val="0"/>
          <w:lang w:val="en-US"/>
        </w:rPr>
        <w:t>) suggested that passing the cost onto the consumer can initially be seen as a negative, but that, if carried out in a sensible and reasonable manner it can help limit the amount that overheads are cut. Ethical employment is something that customers are actively interested in and it has been shown that they prefer to spend their money at establishments that share in this ethos, helping to increase revenue (Melilla, 2022).</w:t>
      </w:r>
    </w:p>
    <w:p>
      <w:pPr>
        <w:pStyle w:val="Body"/>
        <w:jc w:val="both"/>
      </w:pPr>
      <w:r>
        <w:rPr>
          <w:rtl w:val="0"/>
          <w:lang w:val="en-US"/>
        </w:rPr>
        <w:t>Perception of wages in the hospitality sector is historically low and not seen as an industry to build a career in, more of a temporary step. However, research has found that in reality this isn</w:t>
      </w:r>
      <w:r>
        <w:rPr>
          <w:rtl w:val="0"/>
          <w:lang w:val="en-US"/>
        </w:rPr>
        <w:t>’</w:t>
      </w:r>
      <w:r>
        <w:rPr>
          <w:rtl w:val="0"/>
          <w:lang w:val="en-US"/>
        </w:rPr>
        <w:t>t case, with over 90% of employers now paying above the living wage and due to external factors, 58% of companies have increase their reward package improve attraction (</w:t>
      </w:r>
      <w:r>
        <w:rPr>
          <w:rtl w:val="0"/>
          <w:lang w:val="en-US"/>
        </w:rPr>
        <w:t>Wickens, 2021)</w:t>
      </w:r>
      <w:r>
        <w:rPr>
          <w:rtl w:val="0"/>
          <w:lang w:val="en-US"/>
        </w:rPr>
        <w:t xml:space="preserve">. </w:t>
      </w:r>
    </w:p>
    <w:p>
      <w:pPr>
        <w:pStyle w:val="Body"/>
        <w:jc w:val="both"/>
        <w:rPr>
          <w:shd w:val="clear" w:color="auto" w:fill="ffffff"/>
          <w:lang w:val="en-US"/>
        </w:rPr>
      </w:pPr>
      <w:r>
        <w:rPr>
          <w:rtl w:val="0"/>
          <w:lang w:val="en-US"/>
        </w:rPr>
        <w:t>A recent study highlighted that financial and non-financial benefits are equally as important, so employers should be evaluating what their workforce actually wants and needs as apposed to following what their competitors are doing</w:t>
      </w:r>
      <w:r>
        <w:rPr>
          <w:rtl w:val="0"/>
          <w:lang w:val="en-US"/>
        </w:rPr>
        <w:t xml:space="preserve"> (Fitriano, Jufrizen and Rohim, 2023). Examples include improvements to working hours and shift patterns and incentive based performance management. Managers should focus on job </w:t>
      </w:r>
      <w:r>
        <w:rPr>
          <w:rtl w:val="0"/>
          <w:lang w:val="en-US"/>
        </w:rPr>
        <w:t>appreciation as this can have a greater response from employees than salary increases (</w:t>
      </w:r>
      <w:r>
        <w:rPr>
          <w:rtl w:val="0"/>
          <w:lang w:val="en-US"/>
        </w:rPr>
        <w:t>Navel Al-Tawil</w:t>
      </w:r>
      <w:r>
        <w:rPr>
          <w:rtl w:val="0"/>
          <w:lang w:val="en-US"/>
        </w:rPr>
        <w:t xml:space="preserve"> and </w:t>
      </w:r>
      <w:r>
        <w:rPr>
          <w:rtl w:val="0"/>
          <w:lang w:val="en-US"/>
        </w:rPr>
        <w:t>Younies</w:t>
      </w:r>
      <w:r>
        <w:rPr>
          <w:rtl w:val="0"/>
          <w:lang w:val="en-US"/>
        </w:rPr>
        <w:t xml:space="preserve">, </w:t>
      </w:r>
      <w:r>
        <w:rPr>
          <w:shd w:val="clear" w:color="auto" w:fill="ffffff"/>
          <w:rtl w:val="0"/>
          <w:lang w:val="en-US"/>
        </w:rPr>
        <w:t>2021)</w:t>
      </w:r>
      <w:r>
        <w:rPr>
          <w:shd w:val="clear" w:color="auto" w:fill="ffffff"/>
          <w:rtl w:val="0"/>
          <w:lang w:val="en-US"/>
        </w:rPr>
        <w:t xml:space="preserve">. </w:t>
      </w:r>
    </w:p>
    <w:p>
      <w:pPr>
        <w:pStyle w:val="Body"/>
        <w:jc w:val="both"/>
      </w:pPr>
    </w:p>
    <w:p>
      <w:pPr>
        <w:pStyle w:val="Body"/>
        <w:jc w:val="both"/>
      </w:pPr>
      <w:r>
        <w:rPr>
          <w:rtl w:val="0"/>
          <w:lang w:val="en-US"/>
        </w:rPr>
        <w:t>Methodology</w:t>
      </w:r>
    </w:p>
    <w:p>
      <w:pPr>
        <w:pStyle w:val="Body"/>
        <w:jc w:val="both"/>
      </w:pPr>
      <w:r>
        <w:rPr>
          <w:rtl w:val="0"/>
          <w:lang w:val="en-US"/>
        </w:rPr>
        <w:t>T</w:t>
      </w:r>
      <w:r>
        <w:rPr>
          <w:rtl w:val="0"/>
          <w:lang w:val="en-US"/>
        </w:rPr>
        <w:t>he aim was to identify ways for DCWW to continue their Visitor Attraction business area in a more sustainable way.</w:t>
      </w:r>
    </w:p>
    <w:p>
      <w:pPr>
        <w:pStyle w:val="Body"/>
        <w:jc w:val="both"/>
      </w:pPr>
      <w:r>
        <w:rPr>
          <w:rtl w:val="0"/>
          <w:lang w:val="en-US"/>
        </w:rPr>
        <w:t>It was key for DCWW's Fair &amp; Just approach to be taken when analysing the findings to formulate recommendations. This was done in conjunction with external influences, such as Brexit and legislative changes through living wage rises (</w:t>
      </w:r>
      <w:r>
        <w:rPr>
          <w:rtl w:val="0"/>
          <w:lang w:val="en-US"/>
        </w:rPr>
        <w:t xml:space="preserve">Chapuzet, A </w:t>
      </w:r>
      <w:r>
        <w:rPr>
          <w:rtl w:val="0"/>
          <w:lang w:val="en-US"/>
        </w:rPr>
        <w:t>et al</w:t>
      </w:r>
      <w:r>
        <w:rPr>
          <w:rtl w:val="0"/>
          <w:lang w:val="en-US"/>
        </w:rPr>
        <w:t>.</w:t>
      </w:r>
      <w:r>
        <w:rPr>
          <w:i w:val="1"/>
          <w:iCs w:val="1"/>
          <w:rtl w:val="0"/>
          <w:lang w:val="en-US"/>
        </w:rPr>
        <w:t xml:space="preserve">, </w:t>
      </w:r>
      <w:r>
        <w:rPr>
          <w:rtl w:val="0"/>
          <w:lang w:val="en-US"/>
        </w:rPr>
        <w:t>2021)</w:t>
      </w:r>
      <w:r>
        <w:rPr>
          <w:rtl w:val="0"/>
          <w:lang w:val="en-US"/>
        </w:rPr>
        <w:t>.</w:t>
      </w:r>
    </w:p>
    <w:p>
      <w:pPr>
        <w:pStyle w:val="Body"/>
        <w:jc w:val="both"/>
        <w:rPr>
          <w:u w:val="single"/>
        </w:rPr>
      </w:pPr>
      <w:r>
        <w:rPr>
          <w:rtl w:val="0"/>
          <w:lang w:val="en-US"/>
        </w:rPr>
        <w:t xml:space="preserve">Focus groups and interviews with internal and external stakeholders were carried out to see how processes are carried out in reality and to help bring payroll figures to life through exploration and explanation of day to day operations. </w:t>
      </w:r>
    </w:p>
    <w:p>
      <w:pPr>
        <w:pStyle w:val="Body"/>
        <w:jc w:val="both"/>
      </w:pPr>
      <w:r>
        <w:rPr>
          <w:rtl w:val="0"/>
          <w:lang w:val="en-US"/>
        </w:rPr>
        <w:t>Saunders</w:t>
      </w:r>
      <w:r>
        <w:rPr>
          <w:rtl w:val="0"/>
          <w:lang w:val="en-US"/>
        </w:rPr>
        <w:t xml:space="preserve">’ </w:t>
      </w:r>
      <w:r>
        <w:rPr>
          <w:rtl w:val="0"/>
          <w:lang w:val="en-US"/>
        </w:rPr>
        <w:t>research onion has been utilised ensuring decisions could be justified and with the aims and objectives taken in account (GradCoach, 2022).</w:t>
      </w:r>
    </w:p>
    <w:p>
      <w:pPr>
        <w:pStyle w:val="List Paragraph"/>
        <w:ind w:left="0" w:firstLine="0"/>
        <w:jc w:val="both"/>
      </w:pPr>
      <w:r>
        <w:rPr>
          <w:rtl w:val="0"/>
          <w:lang w:val="en-US"/>
        </w:rPr>
        <w:t xml:space="preserve">A mixed method approach covering both qualitative and quantitative research. This brought the feelings and emotions together with the data to paint a fuller picture (Office for Health Improvement and Disparities, 2020). </w:t>
      </w:r>
    </w:p>
    <w:p>
      <w:pPr>
        <w:pStyle w:val="List Paragraph"/>
        <w:ind w:left="0" w:firstLine="0"/>
        <w:jc w:val="both"/>
      </w:pPr>
      <w:r>
        <w:rPr>
          <w:rtl w:val="0"/>
          <w:lang w:val="en-US"/>
        </w:rPr>
        <w:t>This approach also highlighted some areas where certain examples didn</w:t>
      </w:r>
      <w:r>
        <w:rPr>
          <w:rtl w:val="0"/>
          <w:lang w:val="en-US"/>
        </w:rPr>
        <w:t>’</w:t>
      </w:r>
      <w:r>
        <w:rPr>
          <w:rtl w:val="0"/>
          <w:lang w:val="en-US"/>
        </w:rPr>
        <w:t xml:space="preserve">t harmonise, which has contributed to the recommendations for further improvement.   </w:t>
      </w:r>
    </w:p>
    <w:p>
      <w:pPr>
        <w:pStyle w:val="Body"/>
        <w:jc w:val="both"/>
      </w:pPr>
      <w:r>
        <w:rPr>
          <w:rtl w:val="0"/>
          <w:lang w:val="en-US"/>
        </w:rPr>
        <w:t>Thematic analysis was used to identify common themes and trends, which helped highlight areas of concern and where change was needed. The findings did show differing views within the focus groups, which is positive due to various personalities and management styles. This in itself shows where organisational changes potentially need to be made as managerial decisions could also be negatively influencing the output of some sites (Crosley, 2021).</w:t>
      </w:r>
    </w:p>
    <w:p>
      <w:pPr>
        <w:pStyle w:val="Body"/>
        <w:jc w:val="both"/>
      </w:pPr>
    </w:p>
    <w:p>
      <w:pPr>
        <w:pStyle w:val="Body"/>
        <w:jc w:val="both"/>
      </w:pPr>
      <w:r>
        <w:rPr>
          <w:rtl w:val="0"/>
          <w:lang w:val="en-US"/>
        </w:rPr>
        <w:t>Research Findings</w:t>
      </w:r>
    </w:p>
    <w:p>
      <w:pPr>
        <w:pStyle w:val="List Paragraph"/>
        <w:ind w:left="0" w:firstLine="0"/>
        <w:jc w:val="both"/>
      </w:pPr>
      <w:r>
        <w:rPr>
          <w:rtl w:val="0"/>
          <w:lang w:val="en-US"/>
        </w:rPr>
        <w:t xml:space="preserve">Areas including salary, overtime, bonus scheme and company sick pay were identified as benefits not commonly found in the hospitality sector. </w:t>
      </w:r>
    </w:p>
    <w:p>
      <w:pPr>
        <w:pStyle w:val="List Paragraph"/>
        <w:ind w:left="0" w:firstLine="0"/>
        <w:jc w:val="both"/>
        <w:rPr>
          <w:lang w:val="en-US"/>
        </w:rPr>
      </w:pPr>
      <w:r>
        <w:rPr>
          <w:rtl w:val="0"/>
          <w:lang w:val="en-US"/>
        </w:rPr>
        <w:t xml:space="preserve">However, according to </w:t>
      </w:r>
      <w:r>
        <w:rPr>
          <w:rtl w:val="0"/>
          <w:lang w:val="en-US"/>
        </w:rPr>
        <w:t>Caterer.co</w:t>
      </w:r>
      <w:r>
        <w:rPr>
          <w:rtl w:val="0"/>
          <w:lang w:val="en-US"/>
        </w:rPr>
        <w:t>m</w:t>
      </w:r>
      <w:r>
        <w:rPr>
          <w:rtl w:val="0"/>
          <w:lang w:val="en-US"/>
        </w:rPr>
        <w:t xml:space="preserve"> (2023</w:t>
      </w:r>
      <w:r>
        <w:rPr>
          <w:rtl w:val="0"/>
          <w:lang w:val="en-US"/>
        </w:rPr>
        <w:t xml:space="preserve">), hospitality employers are implementing  existing DCWW benefits as retention factors, namely bonus, enhanced annual leave, generous pension and competitive salary. </w:t>
      </w:r>
    </w:p>
    <w:p>
      <w:pPr>
        <w:pStyle w:val="List Paragraph"/>
        <w:ind w:left="0" w:firstLine="0"/>
        <w:jc w:val="both"/>
      </w:pPr>
      <w:r>
        <w:rPr>
          <w:rtl w:val="0"/>
          <w:lang w:val="en-US"/>
        </w:rPr>
        <w:t>It became evident that the gap between industry norm and that of DCWW</w:t>
      </w:r>
      <w:r>
        <w:rPr>
          <w:rtl w:val="0"/>
          <w:lang w:val="en-US"/>
        </w:rPr>
        <w:t>’</w:t>
      </w:r>
      <w:r>
        <w:rPr>
          <w:rtl w:val="0"/>
          <w:lang w:val="en-US"/>
        </w:rPr>
        <w:t>s offering was wide, which strengthened the need for a new direction in strategic reward to be taken to create a package that is fair for all, and prepared the business for the future (CIPD, 2024b). This ethos will create clearer links with VA</w:t>
      </w:r>
      <w:r>
        <w:rPr>
          <w:rtl w:val="0"/>
          <w:lang w:val="en-US"/>
        </w:rPr>
        <w:t>’</w:t>
      </w:r>
      <w:r>
        <w:rPr>
          <w:rtl w:val="0"/>
          <w:lang w:val="en-US"/>
        </w:rPr>
        <w:t>s strategic objectives, given the cost control needed for such an area.</w:t>
      </w:r>
    </w:p>
    <w:p>
      <w:pPr>
        <w:pStyle w:val="Body"/>
        <w:jc w:val="both"/>
      </w:pPr>
      <w:r>
        <w:rPr>
          <w:rtl w:val="0"/>
          <w:lang w:val="en-US"/>
        </w:rPr>
        <w:t>To foster a Fair &amp; Just working environment, a review of casual contracts will take place to ensure they are being utilised correctly. Improper use of casual employees impacts on job security and overall employee engagement (Fitriano, Jufrizen and Rohim, 2023).</w:t>
      </w:r>
    </w:p>
    <w:p>
      <w:pPr>
        <w:pStyle w:val="Body"/>
        <w:jc w:val="both"/>
      </w:pPr>
      <w:r>
        <w:rPr>
          <w:rtl w:val="0"/>
          <w:lang w:val="en-US"/>
        </w:rPr>
        <w:t>DCWW doesn</w:t>
      </w:r>
      <w:r>
        <w:rPr>
          <w:rtl w:val="0"/>
          <w:lang w:val="en-US"/>
        </w:rPr>
        <w:t>’</w:t>
      </w:r>
      <w:r>
        <w:rPr>
          <w:rtl w:val="0"/>
          <w:lang w:val="en-US"/>
        </w:rPr>
        <w:t xml:space="preserve">t offer casual colleagues company sick pay, entitlement to bonus or progression in salary when managing performance (CIPD, 2024a). </w:t>
      </w:r>
    </w:p>
    <w:p>
      <w:pPr>
        <w:pStyle w:val="Body"/>
        <w:jc w:val="both"/>
      </w:pPr>
      <w:r>
        <w:rPr>
          <w:rtl w:val="0"/>
          <w:lang w:val="en-US"/>
        </w:rPr>
        <w:t xml:space="preserve">The management team have acknowledged a review is needed to ensure consistency and fairness across all sites. </w:t>
      </w:r>
    </w:p>
    <w:p>
      <w:pPr>
        <w:pStyle w:val="Body"/>
        <w:jc w:val="both"/>
      </w:pPr>
      <w:r>
        <w:rPr>
          <w:rtl w:val="0"/>
          <w:lang w:val="en-US"/>
        </w:rPr>
        <w:t>A positive finding has been the company</w:t>
      </w:r>
      <w:r>
        <w:rPr>
          <w:rtl w:val="0"/>
          <w:lang w:val="en-US"/>
        </w:rPr>
        <w:t>’</w:t>
      </w:r>
      <w:r>
        <w:rPr>
          <w:rtl w:val="0"/>
          <w:lang w:val="en-US"/>
        </w:rPr>
        <w:t>s sick pay and family friendly offering when compared to the industry. External benchmarking has shown that DCWW</w:t>
      </w:r>
      <w:r>
        <w:rPr>
          <w:rtl w:val="0"/>
          <w:lang w:val="en-US"/>
        </w:rPr>
        <w:t>’</w:t>
      </w:r>
      <w:r>
        <w:rPr>
          <w:rtl w:val="0"/>
          <w:lang w:val="en-US"/>
        </w:rPr>
        <w:t xml:space="preserve">s promotion of these benefits needs to improve as competitors are promoting their offering when it is above the statutory level </w:t>
      </w:r>
      <w:r>
        <w:rPr>
          <w:rtl w:val="0"/>
        </w:rPr>
        <w:t>(Waddell, 2021)</w:t>
      </w:r>
      <w:r>
        <w:rPr>
          <w:rtl w:val="0"/>
          <w:lang w:val="en-US"/>
        </w:rPr>
        <w:t>.</w:t>
      </w:r>
    </w:p>
    <w:p>
      <w:pPr>
        <w:pStyle w:val="Body"/>
        <w:jc w:val="both"/>
      </w:pPr>
      <w:r>
        <w:rPr>
          <w:rtl w:val="0"/>
          <w:lang w:val="en-US"/>
        </w:rPr>
        <w:t>Analysis of company sick pay has shown it is utilised, but well managed, by managers in line with policy. Retaining a company sick pay entitlement gives a sense of financial security to employees and a competitive edge to the business. There would be consequences to DCWW through presenteeism, reduced output and operational challenges due to employee coming to work unwell (leavedates.com, No Date).</w:t>
      </w:r>
    </w:p>
    <w:p>
      <w:pPr>
        <w:pStyle w:val="Body"/>
        <w:jc w:val="both"/>
      </w:pPr>
    </w:p>
    <w:p>
      <w:pPr>
        <w:pStyle w:val="Body"/>
        <w:jc w:val="both"/>
      </w:pPr>
      <w:r>
        <w:rPr>
          <w:rtl w:val="0"/>
          <w:lang w:val="en-US"/>
        </w:rPr>
        <w:t>Conclusion</w:t>
      </w:r>
    </w:p>
    <w:p>
      <w:pPr>
        <w:pStyle w:val="Body"/>
        <w:jc w:val="both"/>
      </w:pPr>
      <w:r>
        <w:rPr>
          <w:rtl w:val="0"/>
          <w:lang w:val="en-US"/>
        </w:rPr>
        <w:t>Extensive benchmarking, internal and external research has established that DCWW does have a generous reward package, too generous in some aspects. In order to sustain the operation moving forward, several areas have been highlighted as needing  attention, namely overtime rates of pay and working windows. It has been reassuring that, according to Caterer.com (2023), several of the Company</w:t>
      </w:r>
      <w:r>
        <w:rPr>
          <w:rtl w:val="0"/>
          <w:lang w:val="en-US"/>
        </w:rPr>
        <w:t>’</w:t>
      </w:r>
      <w:r>
        <w:rPr>
          <w:rtl w:val="0"/>
          <w:lang w:val="en-US"/>
        </w:rPr>
        <w:t xml:space="preserve">s benefits, such as Company sick pay, bonus scheme and enhanced family friendly policies, are ahead of where there majority of the sector are, promoting DCWW as industry leading in the hospitality space. </w:t>
      </w:r>
    </w:p>
    <w:p>
      <w:pPr>
        <w:pStyle w:val="Body"/>
      </w:pPr>
    </w:p>
    <w:p>
      <w:pPr>
        <w:pStyle w:val="Heading"/>
        <w:rPr>
          <w:b w:val="1"/>
          <w:bCs w:val="1"/>
        </w:rPr>
      </w:pPr>
      <w:bookmarkStart w:name="_Toc10" w:id="10"/>
      <w:r>
        <w:rPr>
          <w:rFonts w:cs="Arial Unicode MS" w:eastAsia="Arial Unicode MS"/>
          <w:b w:val="1"/>
          <w:bCs w:val="1"/>
          <w:rtl w:val="0"/>
          <w:lang w:val="pt-PT"/>
        </w:rPr>
        <w:t>Reference List</w:t>
      </w:r>
      <w:bookmarkEnd w:id="10"/>
    </w:p>
    <w:p>
      <w:pPr>
        <w:pStyle w:val="TOC Heading"/>
        <w:keepNext w:val="0"/>
        <w:keepLines w:val="0"/>
        <w:spacing w:before="0" w:line="240" w:lineRule="auto"/>
        <w:jc w:val="both"/>
        <w:rPr>
          <w:rFonts w:ascii="Arial" w:cs="Arial" w:hAnsi="Arial" w:eastAsia="Arial"/>
          <w:outline w:val="0"/>
          <w:color w:val="000000"/>
          <w:sz w:val="22"/>
          <w:szCs w:val="22"/>
          <w:u w:color="000000"/>
          <w:shd w:val="nil" w:color="auto" w:fill="auto"/>
          <w:lang w:val="en-US"/>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r>
        <w:rPr>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Access. (2024). </w:t>
      </w:r>
      <w:r>
        <w:rPr>
          <w:rFonts w:ascii="Arial" w:hAnsi="Arial"/>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Surviving The Cost of Living Crisis in Hospitality</w:t>
      </w:r>
      <w:r>
        <w:rPr>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Available at: </w:t>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fldChar w:fldCharType="begin" w:fldLock="0"/>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instrText xml:space="preserve"> HYPERLINK "https://www.theaccessgroup.com/en-gb/blog/hos-how-the-cost-of-living-is-impacting-hospitality/"</w:instrText>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fldChar w:fldCharType="separate" w:fldLock="0"/>
      </w:r>
      <w:r>
        <w:rPr>
          <w:rStyle w:val="Hyperlink.0"/>
          <w:rFonts w:ascii="Arial" w:hAnsi="Arial"/>
          <w:outline w:val="0"/>
          <w:color w:val="0000ff"/>
          <w:sz w:val="24"/>
          <w:szCs w:val="24"/>
          <w:u w:val="single" w:color="0000ff"/>
          <w:rtl w:val="0"/>
          <w:lang w:val="en-US"/>
          <w14:textOutline w14:w="12700" w14:cap="flat">
            <w14:noFill/>
            <w14:miter w14:lim="400000"/>
          </w14:textOutline>
          <w14:textFill>
            <w14:solidFill>
              <w14:srgbClr w14:val="0000FF"/>
            </w14:solidFill>
          </w14:textFill>
        </w:rPr>
        <w:t>https://www.theaccessgroup.com/en-gb/blog/hos-how-the-cost-of-living-is-impacting-hospitality/</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(Accessed 9th July 2024).</w:t>
      </w: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Barrett, S. (2024) </w:t>
      </w:r>
      <w:r>
        <w:rPr>
          <w:rStyle w:val="None"/>
          <w:rFonts w:ascii="Arial" w:hAnsi="Arial"/>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Savvy Hotels offers competitive reward package to attract and engage staff</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Available at: </w:t>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fldChar w:fldCharType="begin" w:fldLock="0"/>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instrText xml:space="preserve"> HYPERLINK "https://employeebenefits.co.uk/savvy-hotels-offers-competitive-reward-package-to-attract-and-engage-staff/"</w:instrText>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fldChar w:fldCharType="separate" w:fldLock="0"/>
      </w:r>
      <w:r>
        <w:rPr>
          <w:rStyle w:val="Hyperlink.0"/>
          <w:rFonts w:ascii="Arial" w:hAnsi="Arial"/>
          <w:outline w:val="0"/>
          <w:color w:val="0000ff"/>
          <w:sz w:val="24"/>
          <w:szCs w:val="24"/>
          <w:u w:val="single" w:color="0000ff"/>
          <w:rtl w:val="0"/>
          <w:lang w:val="en-US"/>
          <w14:textOutline w14:w="12700" w14:cap="flat">
            <w14:noFill/>
            <w14:miter w14:lim="400000"/>
          </w14:textOutline>
          <w14:textFill>
            <w14:solidFill>
              <w14:srgbClr w14:val="0000FF"/>
            </w14:solidFill>
          </w14:textFill>
        </w:rPr>
        <w:t>https://employeebenefits.co.uk/savvy-hotels-offers-competitive-reward-package-to-attract-and-engage-staff/</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(Accessed 10th July 2024).</w:t>
      </w:r>
    </w:p>
    <w:p>
      <w:pPr>
        <w:pStyle w:val="TOC Heading"/>
        <w:keepNext w:val="0"/>
        <w:keepLines w:val="0"/>
        <w:spacing w:before="0" w:line="240" w:lineRule="auto"/>
        <w:jc w:val="both"/>
        <w:rPr>
          <w:rStyle w:val="None"/>
          <w:rFonts w:ascii="Arial" w:cs="Arial" w:hAnsi="Arial" w:eastAsia="Arial"/>
          <w:outline w:val="0"/>
          <w:color w:val="000000"/>
          <w:sz w:val="24"/>
          <w:szCs w:val="24"/>
          <w:u w:color="000000"/>
          <w:lang w:val="en-US"/>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Caterer.com. (2023). </w:t>
      </w:r>
      <w:r>
        <w:rPr>
          <w:rStyle w:val="None"/>
          <w:rFonts w:ascii="Arial" w:hAnsi="Arial"/>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Hospitality Hiring Insider Q1 2023</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Available at: </w:t>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fldChar w:fldCharType="begin" w:fldLock="0"/>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instrText xml:space="preserve"> HYPERLINK "https://www.caterer.com/recruiters/file/general/Caterer-Hospitality-Hiring-Insider-Q1-2023.pdf?WT.mc_id=E_A_BA_HHITQ12023_download"</w:instrText>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fldChar w:fldCharType="separate" w:fldLock="0"/>
      </w:r>
      <w:r>
        <w:rPr>
          <w:rStyle w:val="Hyperlink.0"/>
          <w:rFonts w:ascii="Arial" w:hAnsi="Arial"/>
          <w:outline w:val="0"/>
          <w:color w:val="0000ff"/>
          <w:sz w:val="24"/>
          <w:szCs w:val="24"/>
          <w:u w:val="single" w:color="0000ff"/>
          <w:rtl w:val="0"/>
          <w:lang w:val="en-US"/>
          <w14:textOutline w14:w="12700" w14:cap="flat">
            <w14:noFill/>
            <w14:miter w14:lim="400000"/>
          </w14:textOutline>
          <w14:textFill>
            <w14:solidFill>
              <w14:srgbClr w14:val="0000FF"/>
            </w14:solidFill>
          </w14:textFill>
        </w:rPr>
        <w:t>https://www.caterer.com/recruiters/file/general/Caterer-Hospitality-Hiring-Insider-Q1-2023.pdf?WT.mc_id=E_A_BA_HHITQ12023_download</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(Accessed 9th July 2024).</w:t>
      </w: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Fonts w:ascii="Arial" w:cs="Arial" w:hAnsi="Arial" w:eastAsia="Arial"/>
          <w:outline w:val="0"/>
          <w:color w:val="000000"/>
          <w:sz w:val="24"/>
          <w:szCs w:val="24"/>
          <w:u w:color="000000"/>
          <w:rtl w:val="0"/>
          <w14:textOutline w14:w="12700" w14:cap="flat">
            <w14:noFill/>
            <w14:miter w14:lim="400000"/>
          </w14:textOutline>
          <w14:textFill>
            <w14:solidFill>
              <w14:srgbClr w14:val="000000"/>
            </w14:solidFill>
          </w14:textFill>
        </w:rPr>
      </w:pP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Chapuzet, A </w:t>
      </w:r>
      <w:r>
        <w:rPr>
          <w:rStyle w:val="None"/>
          <w:rFonts w:ascii="Arial" w:hAnsi="Arial"/>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et al</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(2021) </w:t>
      </w:r>
      <w:r>
        <w:rPr>
          <w:rStyle w:val="None"/>
          <w:rFonts w:ascii="Arial" w:hAnsi="Arial" w:hint="default"/>
          <w:outline w:val="0"/>
          <w:color w:val="000000"/>
          <w:sz w:val="24"/>
          <w:szCs w:val="24"/>
          <w:u w:color="000000"/>
          <w:rtl w:val="0"/>
          <w:lang w:val="en-US"/>
          <w14:textOutline w14:w="12700" w14:cap="flat">
            <w14:noFill/>
            <w14:miter w14:lim="400000"/>
          </w14:textOutline>
          <w14:textFill>
            <w14:solidFill>
              <w14:srgbClr w14:val="000000"/>
            </w14:solidFill>
          </w14:textFill>
        </w:rPr>
        <w:t>‘</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Cost Competitiveness and Structural changes of The Hospitality Sector in Europe</w:t>
      </w:r>
      <w:r>
        <w:rPr>
          <w:rStyle w:val="None"/>
          <w:rFonts w:ascii="Arial" w:hAnsi="Arial" w:hint="default"/>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w:t>
      </w:r>
      <w:r>
        <w:rPr>
          <w:rStyle w:val="None"/>
          <w:rFonts w:ascii="Arial" w:hAnsi="Arial"/>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Tamansiswa Accounting Journal International,</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3(1), pp. 21-24. Available at: </w:t>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fldChar w:fldCharType="begin" w:fldLock="0"/>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instrText xml:space="preserve"> HYPERLINK "https://jurnal.stiekn.ac.id/index.php/jmj/article/download/33/32"</w:instrText>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fldChar w:fldCharType="separate" w:fldLock="0"/>
      </w:r>
      <w:r>
        <w:rPr>
          <w:rStyle w:val="Hyperlink.0"/>
          <w:rFonts w:ascii="Arial" w:hAnsi="Arial"/>
          <w:outline w:val="0"/>
          <w:color w:val="0000ff"/>
          <w:sz w:val="24"/>
          <w:szCs w:val="24"/>
          <w:u w:val="single" w:color="0000ff"/>
          <w:rtl w:val="0"/>
          <w:lang w:val="en-US"/>
          <w14:textOutline w14:w="12700" w14:cap="flat">
            <w14:noFill/>
            <w14:miter w14:lim="400000"/>
          </w14:textOutline>
          <w14:textFill>
            <w14:solidFill>
              <w14:srgbClr w14:val="0000FF"/>
            </w14:solidFill>
          </w14:textFill>
        </w:rPr>
        <w:t>https://jurnal.stiekn.ac.id/index.php/jmj/article/download/33/32</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p>
    <w:p>
      <w:pPr>
        <w:pStyle w:val="TOC Heading"/>
        <w:keepNext w:val="0"/>
        <w:keepLines w:val="0"/>
        <w:bidi w:val="0"/>
        <w:spacing w:before="0" w:line="240" w:lineRule="auto"/>
        <w:ind w:left="0" w:right="0" w:firstLine="0"/>
        <w:jc w:val="both"/>
        <w:rPr>
          <w:rFonts w:ascii="Arial" w:cs="Arial" w:hAnsi="Arial" w:eastAsia="Arial"/>
          <w:outline w:val="0"/>
          <w:color w:val="000000"/>
          <w:sz w:val="24"/>
          <w:szCs w:val="24"/>
          <w:u w:color="000000"/>
          <w:rtl w:val="0"/>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Fonts w:ascii="Arial" w:cs="Arial" w:hAnsi="Arial" w:eastAsia="Arial"/>
          <w:outline w:val="0"/>
          <w:color w:val="000000"/>
          <w:sz w:val="24"/>
          <w:szCs w:val="24"/>
          <w:u w:color="000000"/>
          <w:rtl w:val="0"/>
          <w14:textOutline w14:w="12700" w14:cap="flat">
            <w14:noFill/>
            <w14:miter w14:lim="400000"/>
          </w14:textOutline>
          <w14:textFill>
            <w14:solidFill>
              <w14:srgbClr w14:val="000000"/>
            </w14:solidFill>
          </w14:textFill>
        </w:rPr>
      </w:pP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CIPD. (2024a) </w:t>
      </w:r>
      <w:r>
        <w:rPr>
          <w:rStyle w:val="None"/>
          <w:rFonts w:ascii="Arial" w:hAnsi="Arial"/>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Reward: an introduction</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Available at: </w:t>
      </w:r>
      <w:r>
        <w:rPr>
          <w:rStyle w:val="Hyperlink.1"/>
          <w:rFonts w:ascii="Arial" w:cs="Arial" w:hAnsi="Arial" w:eastAsia="Arial"/>
          <w:outline w:val="0"/>
          <w:color w:val="0000ff"/>
          <w:sz w:val="24"/>
          <w:szCs w:val="24"/>
          <w:u w:val="single" w:color="0000ff"/>
          <w14:textOutline w14:w="12700" w14:cap="flat">
            <w14:noFill/>
            <w14:miter w14:lim="400000"/>
          </w14:textOutline>
          <w14:textFill>
            <w14:solidFill>
              <w14:srgbClr w14:val="0000FF"/>
            </w14:solidFill>
          </w14:textFill>
        </w:rPr>
        <w:fldChar w:fldCharType="begin" w:fldLock="0"/>
      </w:r>
      <w:r>
        <w:rPr>
          <w:rStyle w:val="Hyperlink.1"/>
          <w:rFonts w:ascii="Arial" w:cs="Arial" w:hAnsi="Arial" w:eastAsia="Arial"/>
          <w:outline w:val="0"/>
          <w:color w:val="0000ff"/>
          <w:sz w:val="24"/>
          <w:szCs w:val="24"/>
          <w:u w:val="single" w:color="0000ff"/>
          <w14:textOutline w14:w="12700" w14:cap="flat">
            <w14:noFill/>
            <w14:miter w14:lim="400000"/>
          </w14:textOutline>
          <w14:textFill>
            <w14:solidFill>
              <w14:srgbClr w14:val="0000FF"/>
            </w14:solidFill>
          </w14:textFill>
        </w:rPr>
        <w:instrText xml:space="preserve"> HYPERLINK "https://www.cipd.org/uk/knowledge/factsheets/reward-factsheet/"</w:instrText>
      </w:r>
      <w:r>
        <w:rPr>
          <w:rStyle w:val="Hyperlink.1"/>
          <w:rFonts w:ascii="Arial" w:cs="Arial" w:hAnsi="Arial" w:eastAsia="Arial"/>
          <w:outline w:val="0"/>
          <w:color w:val="0000ff"/>
          <w:sz w:val="24"/>
          <w:szCs w:val="24"/>
          <w:u w:val="single" w:color="0000ff"/>
          <w14:textOutline w14:w="12700" w14:cap="flat">
            <w14:noFill/>
            <w14:miter w14:lim="400000"/>
          </w14:textOutline>
          <w14:textFill>
            <w14:solidFill>
              <w14:srgbClr w14:val="0000FF"/>
            </w14:solidFill>
          </w14:textFill>
        </w:rPr>
        <w:fldChar w:fldCharType="separate" w:fldLock="0"/>
      </w:r>
      <w:r>
        <w:rPr>
          <w:rStyle w:val="Hyperlink.1"/>
          <w:rFonts w:ascii="Arial" w:hAnsi="Arial"/>
          <w:outline w:val="0"/>
          <w:color w:val="0000ff"/>
          <w:sz w:val="24"/>
          <w:szCs w:val="24"/>
          <w:u w:val="single" w:color="0000ff"/>
          <w:rtl w:val="0"/>
          <w:lang w:val="en-US"/>
          <w14:textOutline w14:w="12700" w14:cap="flat">
            <w14:noFill/>
            <w14:miter w14:lim="400000"/>
          </w14:textOutline>
          <w14:textFill>
            <w14:solidFill>
              <w14:srgbClr w14:val="0000FF"/>
            </w14:solidFill>
          </w14:textFill>
        </w:rPr>
        <w:t>https://www.cipd.org/uk/knowledge/factsheets/reward-factsheet/</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r>
        <w:rPr>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(Accessed 11th July 2024).</w:t>
      </w:r>
    </w:p>
    <w:p>
      <w:pPr>
        <w:pStyle w:val="TOC Heading"/>
        <w:keepNext w:val="0"/>
        <w:keepLines w:val="0"/>
        <w:bidi w:val="0"/>
        <w:spacing w:before="0" w:line="240" w:lineRule="auto"/>
        <w:ind w:left="0" w:right="0" w:firstLine="0"/>
        <w:jc w:val="both"/>
        <w:rPr>
          <w:rFonts w:ascii="Arial" w:cs="Arial" w:hAnsi="Arial" w:eastAsia="Arial"/>
          <w:outline w:val="0"/>
          <w:color w:val="000000"/>
          <w:sz w:val="24"/>
          <w:szCs w:val="24"/>
          <w:u w:color="000000"/>
          <w:rtl w:val="0"/>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Fonts w:ascii="Arial" w:cs="Arial" w:hAnsi="Arial" w:eastAsia="Arial"/>
          <w:outline w:val="0"/>
          <w:color w:val="000000"/>
          <w:sz w:val="24"/>
          <w:szCs w:val="24"/>
          <w:u w:color="000000"/>
          <w:rtl w:val="0"/>
          <w14:textOutline w14:w="12700" w14:cap="flat">
            <w14:noFill/>
            <w14:miter w14:lim="400000"/>
          </w14:textOutline>
          <w14:textFill>
            <w14:solidFill>
              <w14:srgbClr w14:val="000000"/>
            </w14:solidFill>
          </w14:textFill>
        </w:rPr>
      </w:pPr>
      <w:r>
        <w:rPr>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CIPD. (2024b). </w:t>
      </w:r>
      <w:r>
        <w:rPr>
          <w:rStyle w:val="None"/>
          <w:rFonts w:ascii="Arial" w:hAnsi="Arial"/>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Strategic reward and total reward</w:t>
      </w:r>
      <w:r>
        <w:rPr>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Available at: </w:t>
      </w:r>
      <w:r>
        <w:rPr>
          <w:rStyle w:val="Hyperlink.1"/>
          <w:rFonts w:ascii="Arial" w:cs="Arial" w:hAnsi="Arial" w:eastAsia="Arial"/>
          <w:outline w:val="0"/>
          <w:color w:val="0000ff"/>
          <w:sz w:val="24"/>
          <w:szCs w:val="24"/>
          <w:u w:val="single" w:color="0000ff"/>
          <w14:textOutline w14:w="12700" w14:cap="flat">
            <w14:noFill/>
            <w14:miter w14:lim="400000"/>
          </w14:textOutline>
          <w14:textFill>
            <w14:solidFill>
              <w14:srgbClr w14:val="0000FF"/>
            </w14:solidFill>
          </w14:textFill>
        </w:rPr>
        <w:fldChar w:fldCharType="begin" w:fldLock="0"/>
      </w:r>
      <w:r>
        <w:rPr>
          <w:rStyle w:val="Hyperlink.1"/>
          <w:rFonts w:ascii="Arial" w:cs="Arial" w:hAnsi="Arial" w:eastAsia="Arial"/>
          <w:outline w:val="0"/>
          <w:color w:val="0000ff"/>
          <w:sz w:val="24"/>
          <w:szCs w:val="24"/>
          <w:u w:val="single" w:color="0000ff"/>
          <w14:textOutline w14:w="12700" w14:cap="flat">
            <w14:noFill/>
            <w14:miter w14:lim="400000"/>
          </w14:textOutline>
          <w14:textFill>
            <w14:solidFill>
              <w14:srgbClr w14:val="0000FF"/>
            </w14:solidFill>
          </w14:textFill>
        </w:rPr>
        <w:instrText xml:space="preserve"> HYPERLINK "https://www.cipd.org/uk/knowledge/factsheets/strategic-total-factsheet/"</w:instrText>
      </w:r>
      <w:r>
        <w:rPr>
          <w:rStyle w:val="Hyperlink.1"/>
          <w:rFonts w:ascii="Arial" w:cs="Arial" w:hAnsi="Arial" w:eastAsia="Arial"/>
          <w:outline w:val="0"/>
          <w:color w:val="0000ff"/>
          <w:sz w:val="24"/>
          <w:szCs w:val="24"/>
          <w:u w:val="single" w:color="0000ff"/>
          <w14:textOutline w14:w="12700" w14:cap="flat">
            <w14:noFill/>
            <w14:miter w14:lim="400000"/>
          </w14:textOutline>
          <w14:textFill>
            <w14:solidFill>
              <w14:srgbClr w14:val="0000FF"/>
            </w14:solidFill>
          </w14:textFill>
        </w:rPr>
        <w:fldChar w:fldCharType="separate" w:fldLock="0"/>
      </w:r>
      <w:r>
        <w:rPr>
          <w:rStyle w:val="Hyperlink.1"/>
          <w:rFonts w:ascii="Arial" w:hAnsi="Arial"/>
          <w:outline w:val="0"/>
          <w:color w:val="0000ff"/>
          <w:sz w:val="24"/>
          <w:szCs w:val="24"/>
          <w:u w:val="single" w:color="0000ff"/>
          <w:rtl w:val="0"/>
          <w:lang w:val="en-US"/>
          <w14:textOutline w14:w="12700" w14:cap="flat">
            <w14:noFill/>
            <w14:miter w14:lim="400000"/>
          </w14:textOutline>
          <w14:textFill>
            <w14:solidFill>
              <w14:srgbClr w14:val="0000FF"/>
            </w14:solidFill>
          </w14:textFill>
        </w:rPr>
        <w:t>https://www.cipd.org/uk/knowledge/factsheets/strategic-total-factsheet/</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r>
        <w:rPr>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(Accessed 11th July 2024).</w:t>
      </w:r>
    </w:p>
    <w:p>
      <w:pPr>
        <w:pStyle w:val="TOC Heading"/>
        <w:keepNext w:val="0"/>
        <w:keepLines w:val="0"/>
        <w:bidi w:val="0"/>
        <w:spacing w:before="0" w:line="240" w:lineRule="auto"/>
        <w:ind w:left="0" w:right="0" w:firstLine="0"/>
        <w:jc w:val="both"/>
        <w:rPr>
          <w:rFonts w:ascii="Arial" w:cs="Arial" w:hAnsi="Arial" w:eastAsia="Arial"/>
          <w:outline w:val="0"/>
          <w:color w:val="000000"/>
          <w:sz w:val="24"/>
          <w:szCs w:val="24"/>
          <w:u w:color="000000"/>
          <w:rtl w:val="0"/>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Fonts w:ascii="Arial" w:cs="Arial" w:hAnsi="Arial" w:eastAsia="Arial"/>
          <w:outline w:val="0"/>
          <w:color w:val="000000"/>
          <w:sz w:val="24"/>
          <w:szCs w:val="24"/>
          <w:u w:color="000000"/>
          <w:rtl w:val="0"/>
          <w14:textOutline w14:w="12700" w14:cap="flat">
            <w14:noFill/>
            <w14:miter w14:lim="400000"/>
          </w14:textOutline>
          <w14:textFill>
            <w14:solidFill>
              <w14:srgbClr w14:val="000000"/>
            </w14:solidFill>
          </w14:textFill>
        </w:rPr>
      </w:pPr>
      <w:r>
        <w:rPr>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Crosley, J. (2021) What is Thematic Analysis? Available at: </w:t>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fldChar w:fldCharType="begin" w:fldLock="0"/>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instrText xml:space="preserve"> HYPERLINK "https://gradcoach.com/what-is-thematic-analysis/"</w:instrText>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fldChar w:fldCharType="separate" w:fldLock="0"/>
      </w:r>
      <w:r>
        <w:rPr>
          <w:rStyle w:val="Link"/>
          <w:rFonts w:ascii="Arial" w:hAnsi="Arial"/>
          <w:outline w:val="0"/>
          <w:color w:val="0563c1"/>
          <w:sz w:val="24"/>
          <w:szCs w:val="24"/>
          <w:u w:val="single" w:color="0563c1"/>
          <w:rtl w:val="0"/>
          <w:lang w:val="en-US"/>
          <w14:textOutline w14:w="12700" w14:cap="flat">
            <w14:noFill/>
            <w14:miter w14:lim="400000"/>
          </w14:textOutline>
          <w14:textFill>
            <w14:solidFill>
              <w14:srgbClr w14:val="0563C1"/>
            </w14:solidFill>
          </w14:textFill>
        </w:rPr>
        <w:t>https://gradcoach.com/what-is-thematic-analysis/</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r>
        <w:rPr>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(accessed 16th September 2024). </w:t>
      </w:r>
    </w:p>
    <w:p>
      <w:pPr>
        <w:pStyle w:val="TOC Heading"/>
        <w:keepNext w:val="0"/>
        <w:keepLines w:val="0"/>
        <w:bidi w:val="0"/>
        <w:spacing w:before="0" w:line="240" w:lineRule="auto"/>
        <w:ind w:left="0" w:right="0" w:firstLine="0"/>
        <w:jc w:val="both"/>
        <w:rPr>
          <w:rFonts w:ascii="Arial" w:cs="Arial" w:hAnsi="Arial" w:eastAsia="Arial"/>
          <w:outline w:val="0"/>
          <w:color w:val="000000"/>
          <w:sz w:val="24"/>
          <w:szCs w:val="24"/>
          <w:u w:color="000000"/>
          <w:rtl w:val="0"/>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Fonts w:ascii="Arial" w:cs="Arial" w:hAnsi="Arial" w:eastAsia="Arial"/>
          <w:outline w:val="0"/>
          <w:color w:val="000000"/>
          <w:sz w:val="24"/>
          <w:szCs w:val="24"/>
          <w:u w:color="000000"/>
          <w:rtl w:val="0"/>
          <w14:textOutline w14:w="12700" w14:cap="flat">
            <w14:noFill/>
            <w14:miter w14:lim="400000"/>
          </w14:textOutline>
          <w14:textFill>
            <w14:solidFill>
              <w14:srgbClr w14:val="000000"/>
            </w14:solidFill>
          </w14:textFill>
        </w:rPr>
      </w:pPr>
      <w:r>
        <w:rPr>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Dovetail Editorial Team. (2023). </w:t>
      </w:r>
      <w:r>
        <w:rPr>
          <w:rStyle w:val="None"/>
          <w:rFonts w:ascii="Arial" w:hAnsi="Arial"/>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How to do thematic analysis</w:t>
      </w:r>
      <w:r>
        <w:rPr>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Available at: </w:t>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fldChar w:fldCharType="begin" w:fldLock="0"/>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instrText xml:space="preserve"> HYPERLINK "https://dovetail.com/research/thematic-analysis/"</w:instrText>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fldChar w:fldCharType="separate" w:fldLock="0"/>
      </w:r>
      <w:r>
        <w:rPr>
          <w:rStyle w:val="Link"/>
          <w:rFonts w:ascii="Arial" w:hAnsi="Arial"/>
          <w:outline w:val="0"/>
          <w:color w:val="0563c1"/>
          <w:sz w:val="24"/>
          <w:szCs w:val="24"/>
          <w:u w:val="single" w:color="0563c1"/>
          <w:rtl w:val="0"/>
          <w:lang w:val="en-US"/>
          <w14:textOutline w14:w="12700" w14:cap="flat">
            <w14:noFill/>
            <w14:miter w14:lim="400000"/>
          </w14:textOutline>
          <w14:textFill>
            <w14:solidFill>
              <w14:srgbClr w14:val="0563C1"/>
            </w14:solidFill>
          </w14:textFill>
        </w:rPr>
        <w:t>https://dovetail.com/research/thematic-analysis/</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r>
        <w:rPr>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(Accessed 28th August 2024). </w:t>
      </w:r>
    </w:p>
    <w:p>
      <w:pPr>
        <w:pStyle w:val="TOC Heading"/>
        <w:keepNext w:val="0"/>
        <w:keepLines w:val="0"/>
        <w:spacing w:before="0" w:line="240" w:lineRule="auto"/>
        <w:jc w:val="both"/>
        <w:rPr>
          <w:rStyle w:val="None"/>
          <w:rFonts w:ascii="Arial" w:cs="Arial" w:hAnsi="Arial" w:eastAsia="Arial"/>
          <w:outline w:val="0"/>
          <w:color w:val="000000"/>
          <w:sz w:val="24"/>
          <w:szCs w:val="24"/>
          <w:u w:color="000000"/>
          <w:lang w:val="en-US"/>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Fitriano, C, Jufrizen, K, Rohim, C. (2023) </w:t>
      </w:r>
      <w:r>
        <w:rPr>
          <w:rStyle w:val="None"/>
          <w:rFonts w:ascii="Arial" w:hAnsi="Arial" w:hint="default"/>
          <w:outline w:val="0"/>
          <w:color w:val="000000"/>
          <w:sz w:val="24"/>
          <w:szCs w:val="24"/>
          <w:u w:color="000000"/>
          <w:rtl w:val="0"/>
          <w:lang w:val="en-US"/>
          <w14:textOutline w14:w="12700" w14:cap="flat">
            <w14:noFill/>
            <w14:miter w14:lim="400000"/>
          </w14:textOutline>
          <w14:textFill>
            <w14:solidFill>
              <w14:srgbClr w14:val="000000"/>
            </w14:solidFill>
          </w14:textFill>
        </w:rPr>
        <w:t>‘</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Reward Systems and Performance of Employees in Hospitality Industry. A Case Study of Shangri-La Singapore</w:t>
      </w:r>
      <w:r>
        <w:rPr>
          <w:rStyle w:val="None"/>
          <w:rFonts w:ascii="Arial" w:hAnsi="Arial" w:hint="default"/>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w:t>
      </w:r>
      <w:r>
        <w:rPr>
          <w:rStyle w:val="None"/>
          <w:rFonts w:ascii="Arial" w:hAnsi="Arial"/>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Journal of Human Resource &amp; Leadership</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7(5), pp. 12-22. Available at: </w:t>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fldChar w:fldCharType="begin" w:fldLock="0"/>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instrText xml:space="preserve"> HYPERLINK "https://doi.org/10.53819/81018102t5242"</w:instrText>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fldChar w:fldCharType="separate" w:fldLock="0"/>
      </w:r>
      <w:r>
        <w:rPr>
          <w:rStyle w:val="Link"/>
          <w:rFonts w:ascii="Arial" w:hAnsi="Arial"/>
          <w:outline w:val="0"/>
          <w:color w:val="0563c1"/>
          <w:sz w:val="24"/>
          <w:szCs w:val="24"/>
          <w:u w:val="single" w:color="0563c1"/>
          <w:rtl w:val="0"/>
          <w:lang w:val="en-US"/>
          <w14:textOutline w14:w="12700" w14:cap="flat">
            <w14:noFill/>
            <w14:miter w14:lim="400000"/>
          </w14:textOutline>
          <w14:textFill>
            <w14:solidFill>
              <w14:srgbClr w14:val="0563C1"/>
            </w14:solidFill>
          </w14:textFill>
        </w:rPr>
        <w:t>https://doi.org/10.53819/81018102t5242</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GradCoach. (2022) </w:t>
      </w:r>
      <w:r>
        <w:rPr>
          <w:rStyle w:val="None"/>
          <w:rFonts w:ascii="Arial" w:hAnsi="Arial"/>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Saunders</w:t>
      </w:r>
      <w:r>
        <w:rPr>
          <w:rStyle w:val="None"/>
          <w:rFonts w:ascii="Arial" w:hAnsi="Arial" w:hint="default"/>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w:t>
      </w:r>
      <w:r>
        <w:rPr>
          <w:rStyle w:val="None"/>
          <w:rFonts w:ascii="Arial" w:hAnsi="Arial"/>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Research Onion Model: Simple Explanation + Examples (Research Methodology 101 Lecture)</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6 April. Available at: </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https://youtu.be/Yoq-x4eVn6A?si=6x4zpjOuIuPcAa5m</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(Accessed 18th September 2024).</w:t>
      </w: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Fonts w:ascii="Arial" w:cs="Arial" w:hAnsi="Arial" w:eastAsia="Arial"/>
          <w:outline w:val="0"/>
          <w:color w:val="000000"/>
          <w:sz w:val="24"/>
          <w:szCs w:val="24"/>
          <w:u w:color="000000"/>
          <w:rtl w:val="0"/>
          <w14:textOutline w14:w="12700" w14:cap="flat">
            <w14:noFill/>
            <w14:miter w14:lim="400000"/>
          </w14:textOutline>
          <w14:textFill>
            <w14:solidFill>
              <w14:srgbClr w14:val="000000"/>
            </w14:solidFill>
          </w14:textFill>
        </w:rPr>
      </w:pP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Greedy, E. (2021). </w:t>
      </w:r>
      <w:r>
        <w:rPr>
          <w:rStyle w:val="None"/>
          <w:rFonts w:ascii="Arial" w:hAnsi="Arial"/>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Hospitality sector offering more employee benefits </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Available at: </w:t>
      </w: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fldChar w:fldCharType="begin" w:fldLock="0"/>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instrText xml:space="preserve"> HYPERLINK "https://www.hrmagazine.co.uk/content/news/hospitality-sector-offering-more-employee-benefits/"</w:instrText>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fldChar w:fldCharType="separate" w:fldLock="0"/>
      </w:r>
      <w:r>
        <w:rPr>
          <w:rStyle w:val="Hyperlink.0"/>
          <w:rFonts w:ascii="Arial" w:hAnsi="Arial"/>
          <w:outline w:val="0"/>
          <w:color w:val="0000ff"/>
          <w:sz w:val="24"/>
          <w:szCs w:val="24"/>
          <w:u w:val="single" w:color="0000ff"/>
          <w:rtl w:val="0"/>
          <w:lang w:val="en-US"/>
          <w14:textOutline w14:w="12700" w14:cap="flat">
            <w14:noFill/>
            <w14:miter w14:lim="400000"/>
          </w14:textOutline>
          <w14:textFill>
            <w14:solidFill>
              <w14:srgbClr w14:val="0000FF"/>
            </w14:solidFill>
          </w14:textFill>
        </w:rPr>
        <w:t>https://www.hrmagazine.co.uk/content/news/hospitality-sector-offering-more-employee-benefits/</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(Accessed 9th July 2024).</w:t>
      </w: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Leavedates.com. (No Date). Why Pay More? The Case for a generous Sick Pay Policy Available at: </w:t>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fldChar w:fldCharType="begin" w:fldLock="0"/>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instrText xml:space="preserve"> HYPERLINK "https://www.leavedates.com/articles/generous-sick-pay-policy#benefits"</w:instrText>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fldChar w:fldCharType="separate" w:fldLock="0"/>
      </w:r>
      <w:r>
        <w:rPr>
          <w:rStyle w:val="Link"/>
          <w:rFonts w:ascii="Arial" w:hAnsi="Arial"/>
          <w:outline w:val="0"/>
          <w:color w:val="0563c1"/>
          <w:sz w:val="24"/>
          <w:szCs w:val="24"/>
          <w:u w:val="single" w:color="0563c1"/>
          <w:rtl w:val="0"/>
          <w:lang w:val="en-US"/>
          <w14:textOutline w14:w="12700" w14:cap="flat">
            <w14:noFill/>
            <w14:miter w14:lim="400000"/>
          </w14:textOutline>
          <w14:textFill>
            <w14:solidFill>
              <w14:srgbClr w14:val="0563C1"/>
            </w14:solidFill>
          </w14:textFill>
        </w:rPr>
        <w:t>https://www.leavedates.com/articles/generous-sick-pay-policy#benefits</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(Accessed 30th September 2024). </w:t>
      </w: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3a3a3a"/>
          <w:shd w:val="nil" w:color="auto" w:fill="auto"/>
          <w:rtl w:val="0"/>
          <w:lang w:val="en-US"/>
          <w14:textOutline w14:w="12700" w14:cap="flat">
            <w14:noFill/>
            <w14:miter w14:lim="400000"/>
          </w14:textOutline>
          <w14:textFill>
            <w14:solidFill>
              <w14:srgbClr w14:val="000000"/>
            </w14:solidFill>
          </w14:textFill>
        </w:rPr>
      </w:pPr>
      <w:r>
        <w:rPr>
          <w:rStyle w:val="None"/>
          <w:rFonts w:ascii="Arial" w:hAnsi="Arial"/>
          <w:outline w:val="0"/>
          <w:color w:val="000000"/>
          <w:sz w:val="24"/>
          <w:szCs w:val="24"/>
          <w:u w:color="ff0000"/>
          <w:shd w:val="clear" w:color="auto" w:fill="ffffff"/>
          <w:rtl w:val="0"/>
          <w:lang w:val="en-US"/>
          <w14:textOutline w14:w="12700" w14:cap="flat">
            <w14:noFill/>
            <w14:miter w14:lim="400000"/>
          </w14:textOutline>
          <w14:textFill>
            <w14:solidFill>
              <w14:srgbClr w14:val="000000"/>
            </w14:solidFill>
          </w14:textFill>
        </w:rPr>
        <w:t>McNeill, P. and Chapman, S. (2005)</w:t>
      </w:r>
      <w:r>
        <w:rPr>
          <w:rStyle w:val="None"/>
          <w:rFonts w:ascii="Arial" w:hAnsi="Arial" w:hint="default"/>
          <w:outline w:val="0"/>
          <w:color w:val="000000"/>
          <w:sz w:val="24"/>
          <w:szCs w:val="24"/>
          <w:u w:color="ff0000"/>
          <w:shd w:val="clear" w:color="auto" w:fill="ffffff"/>
          <w:rtl w:val="0"/>
          <w:lang w:val="en-US"/>
          <w14:textOutline w14:w="12700" w14:cap="flat">
            <w14:noFill/>
            <w14:miter w14:lim="400000"/>
          </w14:textOutline>
          <w14:textFill>
            <w14:solidFill>
              <w14:srgbClr w14:val="000000"/>
            </w14:solidFill>
          </w14:textFill>
        </w:rPr>
        <w:t> </w:t>
      </w:r>
      <w:r>
        <w:rPr>
          <w:rStyle w:val="None"/>
          <w:rFonts w:ascii="Arial" w:hAnsi="Arial"/>
          <w:i w:val="1"/>
          <w:iCs w:val="1"/>
          <w:outline w:val="0"/>
          <w:color w:val="000000"/>
          <w:sz w:val="24"/>
          <w:szCs w:val="24"/>
          <w:u w:color="ff0000"/>
          <w:shd w:val="clear" w:color="auto" w:fill="ffffff"/>
          <w:rtl w:val="0"/>
          <w:lang w:val="en-US"/>
          <w14:textOutline w14:w="12700" w14:cap="flat">
            <w14:noFill/>
            <w14:miter w14:lim="400000"/>
          </w14:textOutline>
          <w14:textFill>
            <w14:solidFill>
              <w14:srgbClr w14:val="000000"/>
            </w14:solidFill>
          </w14:textFill>
        </w:rPr>
        <w:t>Research methods</w:t>
      </w:r>
      <w:r>
        <w:rPr>
          <w:rStyle w:val="None"/>
          <w:rFonts w:ascii="Arial" w:hAnsi="Arial"/>
          <w:outline w:val="0"/>
          <w:color w:val="000000"/>
          <w:sz w:val="24"/>
          <w:szCs w:val="24"/>
          <w:u w:color="ff0000"/>
          <w:shd w:val="clear" w:color="auto" w:fill="ffffff"/>
          <w:rtl w:val="0"/>
          <w:lang w:val="en-US"/>
          <w14:textOutline w14:w="12700" w14:cap="flat">
            <w14:noFill/>
            <w14:miter w14:lim="400000"/>
          </w14:textOutline>
          <w14:textFill>
            <w14:solidFill>
              <w14:srgbClr w14:val="000000"/>
            </w14:solidFill>
          </w14:textFill>
        </w:rPr>
        <w:t>. 3rd ed. London</w:t>
      </w:r>
      <w:r>
        <w:rPr>
          <w:rStyle w:val="None"/>
          <w:rFonts w:ascii="Arial" w:hAnsi="Arial"/>
          <w:outline w:val="0"/>
          <w:color w:val="000000"/>
          <w:sz w:val="24"/>
          <w:szCs w:val="24"/>
          <w:u w:color="ff0000"/>
          <w:shd w:val="clear" w:color="auto" w:fill="ffffff"/>
          <w:rtl w:val="0"/>
          <w:lang w:val="en-US"/>
          <w14:textOutline w14:w="12700" w14:cap="flat">
            <w14:noFill/>
            <w14:miter w14:lim="400000"/>
          </w14:textOutline>
          <w14:textFill>
            <w14:solidFill>
              <w14:srgbClr w14:val="000000"/>
            </w14:solidFill>
          </w14:textFill>
        </w:rPr>
        <w:t>:</w:t>
      </w:r>
      <w:r>
        <w:rPr>
          <w:rStyle w:val="None"/>
          <w:rFonts w:ascii="Arial" w:hAnsi="Arial"/>
          <w:outline w:val="0"/>
          <w:color w:val="000000"/>
          <w:sz w:val="24"/>
          <w:szCs w:val="24"/>
          <w:u w:color="ff0000"/>
          <w:shd w:val="clear" w:color="auto" w:fill="ffffff"/>
          <w:rtl w:val="0"/>
          <w:lang w:val="en-US"/>
          <w14:textOutline w14:w="12700" w14:cap="flat">
            <w14:noFill/>
            <w14:miter w14:lim="400000"/>
          </w14:textOutline>
          <w14:textFill>
            <w14:solidFill>
              <w14:srgbClr w14:val="000000"/>
            </w14:solidFill>
          </w14:textFill>
        </w:rPr>
        <w:t xml:space="preserve"> Routledge.</w:t>
      </w: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Melilla, G. (2022) Most say they would pay more for products from companies with reputations for doing good: Gallup Available at: </w:t>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fldChar w:fldCharType="begin" w:fldLock="0"/>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instrText xml:space="preserve"> HYPERLINK "https://thehill.com/changing-america/enrichment/arts-culture/3765129-most-say-they-would-pay-more-for-products-from-companies-with-reputations-for-doing-good-gallup/"</w:instrText>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fldChar w:fldCharType="separate" w:fldLock="0"/>
      </w:r>
      <w:r>
        <w:rPr>
          <w:rStyle w:val="Link"/>
          <w:rFonts w:ascii="Arial" w:hAnsi="Arial"/>
          <w:outline w:val="0"/>
          <w:color w:val="0563c1"/>
          <w:sz w:val="24"/>
          <w:szCs w:val="24"/>
          <w:u w:val="single" w:color="0563c1"/>
          <w:rtl w:val="0"/>
          <w:lang w:val="en-US"/>
          <w14:textOutline w14:w="12700" w14:cap="flat">
            <w14:noFill/>
            <w14:miter w14:lim="400000"/>
          </w14:textOutline>
          <w14:textFill>
            <w14:solidFill>
              <w14:srgbClr w14:val="0563C1"/>
            </w14:solidFill>
          </w14:textFill>
        </w:rPr>
        <w:t>https://thehill.com/changing-america/enrichment/arts-culture/3765129-most-say-they-would-pay-more-for-products-from-companies-with-reputations-for-doing-good-gallup/</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(Accessed 9th September 2024).</w:t>
      </w: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p>
    <w:p>
      <w:pPr>
        <w:pStyle w:val="Default"/>
        <w:spacing w:before="0" w:line="240" w:lineRule="auto"/>
        <w:jc w:val="left"/>
        <w:rPr>
          <w:rFonts w:ascii="Arial" w:cs="Arial" w:hAnsi="Arial" w:eastAsia="Arial"/>
          <w:outline w:val="0"/>
          <w:color w:val="555555"/>
          <w:u w:color="555555"/>
          <w14:textOutline w14:w="12700" w14:cap="flat">
            <w14:noFill/>
            <w14:miter w14:lim="400000"/>
          </w14:textOutline>
          <w14:textFill>
            <w14:solidFill>
              <w14:srgbClr w14:val="555555"/>
            </w14:solidFill>
          </w14:textFill>
        </w:rPr>
      </w:pPr>
      <w:r>
        <w:rPr>
          <w:rStyle w:val="None"/>
          <w:rFonts w:ascii="Arial" w:hAnsi="Arial"/>
          <w:outline w:val="0"/>
          <w:color w:val="000000"/>
          <w:u w:color="000000"/>
          <w:rtl w:val="0"/>
          <w:lang w:val="en-US"/>
          <w14:textOutline w14:w="12700" w14:cap="flat">
            <w14:noFill/>
            <w14:miter w14:lim="400000"/>
          </w14:textOutline>
          <w14:textFill>
            <w14:solidFill>
              <w14:srgbClr w14:val="000000"/>
            </w14:solidFill>
          </w14:textFill>
        </w:rPr>
        <w:t>Navel Al-Tawil, T, Younies</w:t>
      </w:r>
      <w:r>
        <w:rPr>
          <w:rStyle w:val="None"/>
          <w:rFonts w:ascii="Arial" w:hAnsi="Arial"/>
          <w:outline w:val="0"/>
          <w:color w:val="000000"/>
          <w:u w:color="000000"/>
          <w:shd w:val="clear" w:color="auto" w:fill="ffffff"/>
          <w:rtl w:val="0"/>
          <w:lang w:val="en-US"/>
          <w14:textOutline w14:w="12700" w14:cap="flat">
            <w14:noFill/>
            <w14:miter w14:lim="400000"/>
          </w14:textOutline>
          <w14:textFill>
            <w14:solidFill>
              <w14:srgbClr w14:val="000000"/>
            </w14:solidFill>
          </w14:textFill>
        </w:rPr>
        <w:t xml:space="preserve">, H. (2021). </w:t>
      </w:r>
      <w:r>
        <w:rPr>
          <w:rStyle w:val="None"/>
          <w:rFonts w:ascii="Arial" w:hAnsi="Arial" w:hint="default"/>
          <w:outline w:val="0"/>
          <w:color w:val="000000"/>
          <w:u w:color="000000"/>
          <w:shd w:val="clear" w:color="auto" w:fill="ffffff"/>
          <w:rtl w:val="0"/>
          <w:lang w:val="en-US"/>
          <w14:textOutline w14:w="12700" w14:cap="flat">
            <w14:noFill/>
            <w14:miter w14:lim="400000"/>
          </w14:textOutline>
          <w14:textFill>
            <w14:solidFill>
              <w14:srgbClr w14:val="000000"/>
            </w14:solidFill>
          </w14:textFill>
        </w:rPr>
        <w:t>‘</w:t>
      </w:r>
      <w:r>
        <w:rPr>
          <w:rStyle w:val="None"/>
          <w:rFonts w:ascii="Arial" w:hAnsi="Arial"/>
          <w:outline w:val="0"/>
          <w:color w:val="000000"/>
          <w:u w:color="000000"/>
          <w:shd w:val="clear" w:color="auto" w:fill="ffffff"/>
          <w:rtl w:val="0"/>
          <w:lang w:val="en-US"/>
          <w14:textOutline w14:w="12700" w14:cap="flat">
            <w14:noFill/>
            <w14:miter w14:lim="400000"/>
          </w14:textOutline>
          <w14:textFill>
            <w14:solidFill>
              <w14:srgbClr w14:val="000000"/>
            </w14:solidFill>
          </w14:textFill>
        </w:rPr>
        <w:t>Hospitality workers</w:t>
      </w:r>
      <w:r>
        <w:rPr>
          <w:rStyle w:val="None"/>
          <w:rFonts w:ascii="Arial Unicode MS" w:hAnsi="Arial Unicode MS" w:hint="default"/>
          <w:outline w:val="0"/>
          <w:color w:val="000000"/>
          <w:u w:color="000000"/>
          <w:shd w:val="clear" w:color="auto" w:fill="ffffff"/>
          <w:rtl w:val="1"/>
          <w:lang w:val="ar-SA" w:bidi="ar-SA"/>
          <w14:textOutline w14:w="12700" w14:cap="flat">
            <w14:noFill/>
            <w14:miter w14:lim="400000"/>
          </w14:textOutline>
          <w14:textFill>
            <w14:solidFill>
              <w14:srgbClr w14:val="000000"/>
            </w14:solidFill>
          </w14:textFill>
        </w:rPr>
        <w:t xml:space="preserve">’ </w:t>
      </w:r>
      <w:r>
        <w:rPr>
          <w:rStyle w:val="None"/>
          <w:rFonts w:ascii="Arial" w:hAnsi="Arial"/>
          <w:outline w:val="0"/>
          <w:color w:val="000000"/>
          <w:u w:color="000000"/>
          <w:shd w:val="clear" w:color="auto" w:fill="ffffff"/>
          <w:rtl w:val="0"/>
          <w:lang w:val="en-US"/>
          <w14:textOutline w14:w="12700" w14:cap="flat">
            <w14:noFill/>
            <w14:miter w14:lim="400000"/>
          </w14:textOutline>
          <w14:textFill>
            <w14:solidFill>
              <w14:srgbClr w14:val="000000"/>
            </w14:solidFill>
          </w14:textFill>
        </w:rPr>
        <w:t>reward and recognition</w:t>
      </w:r>
      <w:r>
        <w:rPr>
          <w:rStyle w:val="None"/>
          <w:rFonts w:ascii="Arial" w:hAnsi="Arial" w:hint="default"/>
          <w:outline w:val="0"/>
          <w:color w:val="000000"/>
          <w:u w:color="000000"/>
          <w:shd w:val="clear" w:color="auto" w:fill="ffffff"/>
          <w:rtl w:val="0"/>
          <w:lang w:val="en-US"/>
          <w14:textOutline w14:w="12700" w14:cap="flat">
            <w14:noFill/>
            <w14:miter w14:lim="400000"/>
          </w14:textOutline>
          <w14:textFill>
            <w14:solidFill>
              <w14:srgbClr w14:val="000000"/>
            </w14:solidFill>
          </w14:textFill>
        </w:rPr>
        <w:t>’</w:t>
      </w:r>
      <w:r>
        <w:rPr>
          <w:rStyle w:val="None"/>
          <w:rFonts w:ascii="Arial" w:hAnsi="Arial"/>
          <w:outline w:val="0"/>
          <w:color w:val="000000"/>
          <w:u w:color="000000"/>
          <w:shd w:val="clear" w:color="auto" w:fill="ffffff"/>
          <w:rtl w:val="0"/>
          <w:lang w:val="en-US"/>
          <w14:textOutline w14:w="12700" w14:cap="flat">
            <w14:noFill/>
            <w14:miter w14:lim="400000"/>
          </w14:textOutline>
          <w14:textFill>
            <w14:solidFill>
              <w14:srgbClr w14:val="000000"/>
            </w14:solidFill>
          </w14:textFill>
        </w:rPr>
        <w:t>.</w:t>
      </w:r>
      <w:r>
        <w:rPr>
          <w:rStyle w:val="None"/>
          <w:rFonts w:ascii="Arial" w:hAnsi="Arial" w:hint="default"/>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rStyle w:val="None"/>
          <w:rFonts w:ascii="Arial" w:hAnsi="Arial"/>
          <w:i w:val="1"/>
          <w:iCs w:val="1"/>
          <w:outline w:val="0"/>
          <w:color w:val="000000"/>
          <w:u w:color="000000"/>
          <w:shd w:val="clear" w:color="auto" w:fill="ffffff"/>
          <w:rtl w:val="0"/>
          <w:lang w:val="en-US"/>
          <w14:textOutline w14:w="12700" w14:cap="flat">
            <w14:noFill/>
            <w14:miter w14:lim="400000"/>
          </w14:textOutline>
          <w14:textFill>
            <w14:solidFill>
              <w14:srgbClr w14:val="000000"/>
            </w14:solidFill>
          </w14:textFill>
        </w:rPr>
        <w:t>International Journal of Law and Management,</w:t>
      </w:r>
      <w:r>
        <w:rPr>
          <w:rStyle w:val="None"/>
          <w:rFonts w:ascii="Arial" w:hAnsi="Arial" w:hint="default"/>
          <w:i w:val="1"/>
          <w:iCs w:val="1"/>
          <w:outline w:val="0"/>
          <w:color w:val="000000"/>
          <w:u w:color="000000"/>
          <w:shd w:val="clear" w:color="auto" w:fill="ffffff"/>
          <w:rtl w:val="0"/>
          <w:lang w:val="en-US"/>
          <w14:textOutline w14:w="12700" w14:cap="flat">
            <w14:noFill/>
            <w14:miter w14:lim="400000"/>
          </w14:textOutline>
          <w14:textFill>
            <w14:solidFill>
              <w14:srgbClr w14:val="000000"/>
            </w14:solidFill>
          </w14:textFill>
        </w:rPr>
        <w:t> </w:t>
      </w:r>
      <w:r>
        <w:rPr>
          <w:rStyle w:val="None"/>
          <w:rFonts w:ascii="Arial" w:hAnsi="Arial"/>
          <w:outline w:val="0"/>
          <w:color w:val="000000"/>
          <w:u w:color="000000"/>
          <w:shd w:val="clear" w:color="auto" w:fill="ffffff"/>
          <w:rtl w:val="0"/>
          <w:lang w:val="en-US"/>
          <w14:textOutline w14:w="12700" w14:cap="flat">
            <w14:noFill/>
            <w14:miter w14:lim="400000"/>
          </w14:textOutline>
          <w14:textFill>
            <w14:solidFill>
              <w14:srgbClr w14:val="000000"/>
            </w14:solidFill>
          </w14:textFill>
        </w:rPr>
        <w:t>63(2), pp. 157-171. Available at:</w:t>
      </w:r>
      <w:r>
        <w:rPr>
          <w:rStyle w:val="None"/>
          <w:rFonts w:ascii="Arial" w:hAnsi="Arial"/>
          <w:outline w:val="0"/>
          <w:color w:val="555555"/>
          <w:u w:color="555555"/>
          <w:shd w:val="clear" w:color="auto" w:fill="ffffff"/>
          <w:rtl w:val="0"/>
          <w:lang w:val="en-US"/>
          <w14:textOutline w14:w="12700" w14:cap="flat">
            <w14:noFill/>
            <w14:miter w14:lim="400000"/>
          </w14:textOutline>
          <w14:textFill>
            <w14:solidFill>
              <w14:srgbClr w14:val="555555"/>
            </w14:solidFill>
          </w14:textFill>
        </w:rPr>
        <w:t xml:space="preserve"> </w:t>
      </w:r>
      <w:r>
        <w:rPr>
          <w:rStyle w:val="Hyperlink.2"/>
          <w:rFonts w:ascii="Arial" w:cs="Arial" w:hAnsi="Arial" w:eastAsia="Arial"/>
          <w:outline w:val="0"/>
          <w:color w:val="0000ff"/>
          <w:u w:val="single" w:color="0000ff"/>
          <w:shd w:val="clear" w:color="auto" w:fill="ffffff"/>
          <w:lang w:val="en-US"/>
          <w14:textOutline w14:w="12700" w14:cap="flat">
            <w14:noFill/>
            <w14:miter w14:lim="400000"/>
          </w14:textOutline>
          <w14:textFill>
            <w14:solidFill>
              <w14:srgbClr w14:val="0000FF"/>
            </w14:solidFill>
          </w14:textFill>
        </w:rPr>
        <w:fldChar w:fldCharType="begin" w:fldLock="0"/>
      </w:r>
      <w:r>
        <w:rPr>
          <w:rStyle w:val="Hyperlink.2"/>
          <w:rFonts w:ascii="Arial" w:cs="Arial" w:hAnsi="Arial" w:eastAsia="Arial"/>
          <w:outline w:val="0"/>
          <w:color w:val="0000ff"/>
          <w:u w:val="single" w:color="0000ff"/>
          <w:shd w:val="clear" w:color="auto" w:fill="ffffff"/>
          <w:lang w:val="en-US"/>
          <w14:textOutline w14:w="12700" w14:cap="flat">
            <w14:noFill/>
            <w14:miter w14:lim="400000"/>
          </w14:textOutline>
          <w14:textFill>
            <w14:solidFill>
              <w14:srgbClr w14:val="0000FF"/>
            </w14:solidFill>
          </w14:textFill>
        </w:rPr>
        <w:instrText xml:space="preserve"> HYPERLINK "https://www.proquest.com/scholarly-journals/hospitality-workers-reward-recognition/docview/2534193899/se-2?accountid=130472"</w:instrText>
      </w:r>
      <w:r>
        <w:rPr>
          <w:rStyle w:val="Hyperlink.2"/>
          <w:rFonts w:ascii="Arial" w:cs="Arial" w:hAnsi="Arial" w:eastAsia="Arial"/>
          <w:outline w:val="0"/>
          <w:color w:val="0000ff"/>
          <w:u w:val="single" w:color="0000ff"/>
          <w:shd w:val="clear" w:color="auto" w:fill="ffffff"/>
          <w:lang w:val="en-US"/>
          <w14:textOutline w14:w="12700" w14:cap="flat">
            <w14:noFill/>
            <w14:miter w14:lim="400000"/>
          </w14:textOutline>
          <w14:textFill>
            <w14:solidFill>
              <w14:srgbClr w14:val="0000FF"/>
            </w14:solidFill>
          </w14:textFill>
        </w:rPr>
        <w:fldChar w:fldCharType="separate" w:fldLock="0"/>
      </w:r>
      <w:r>
        <w:rPr>
          <w:rStyle w:val="Hyperlink.2"/>
          <w:rFonts w:ascii="Arial" w:hAnsi="Arial"/>
          <w:outline w:val="0"/>
          <w:color w:val="0000ff"/>
          <w:u w:val="single" w:color="0000ff"/>
          <w:shd w:val="clear" w:color="auto" w:fill="ffffff"/>
          <w:rtl w:val="0"/>
          <w:lang w:val="en-US"/>
          <w14:textOutline w14:w="12700" w14:cap="flat">
            <w14:noFill/>
            <w14:miter w14:lim="400000"/>
          </w14:textOutline>
          <w14:textFill>
            <w14:solidFill>
              <w14:srgbClr w14:val="0000FF"/>
            </w14:solidFill>
          </w14:textFill>
        </w:rPr>
        <w:t>https://www.proquest.com/scholarly-journals/hospitality-workers-reward-recognition/docview/2534193899/se-2?accountid=130472</w:t>
      </w:r>
      <w:r>
        <w:rPr>
          <w:rFonts w:ascii="Arial" w:cs="Arial" w:hAnsi="Arial" w:eastAsia="Arial"/>
          <w:outline w:val="0"/>
          <w:color w:val="555555"/>
          <w:u w:color="555555"/>
          <w14:textOutline w14:w="12700" w14:cap="flat">
            <w14:noFill/>
            <w14:miter w14:lim="400000"/>
          </w14:textOutline>
          <w14:textFill>
            <w14:solidFill>
              <w14:srgbClr w14:val="555555"/>
            </w14:solidFill>
          </w14:textFill>
        </w:rPr>
        <w:fldChar w:fldCharType="end" w:fldLock="0"/>
      </w:r>
    </w:p>
    <w:p>
      <w:pPr>
        <w:pStyle w:val="TOC Heading"/>
        <w:keepNext w:val="0"/>
        <w:keepLines w:val="0"/>
        <w:spacing w:before="0" w:line="240" w:lineRule="auto"/>
        <w:jc w:val="both"/>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both"/>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pPr>
      <w:r>
        <w:rPr>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Office for Health Improvement and Disparities. (2020). </w:t>
      </w:r>
      <w:r>
        <w:rPr>
          <w:rStyle w:val="None"/>
          <w:rFonts w:ascii="Arial" w:hAnsi="Arial"/>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Mixed methods study</w:t>
      </w:r>
      <w:r>
        <w:rPr>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Available at: </w:t>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fldChar w:fldCharType="begin" w:fldLock="0"/>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instrText xml:space="preserve"> HYPERLINK "https://www.gov.uk/guidance/mixed-methods-study"</w:instrText>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fldChar w:fldCharType="separate" w:fldLock="0"/>
      </w:r>
      <w:r>
        <w:rPr>
          <w:rStyle w:val="Link"/>
          <w:rFonts w:ascii="Arial" w:hAnsi="Arial"/>
          <w:outline w:val="0"/>
          <w:color w:val="0563c1"/>
          <w:sz w:val="24"/>
          <w:szCs w:val="24"/>
          <w:u w:val="single" w:color="0563c1"/>
          <w:rtl w:val="0"/>
          <w:lang w:val="en-US"/>
          <w14:textOutline w14:w="12700" w14:cap="flat">
            <w14:noFill/>
            <w14:miter w14:lim="400000"/>
          </w14:textOutline>
          <w14:textFill>
            <w14:solidFill>
              <w14:srgbClr w14:val="0563C1"/>
            </w14:solidFill>
          </w14:textFill>
        </w:rPr>
        <w:t>https://www.gov.uk/guidance/mixed-methods-study</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r>
        <w:rPr>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(Accessed 15th September 2024). </w:t>
      </w:r>
    </w:p>
    <w:p>
      <w:pPr>
        <w:pStyle w:val="TOC Heading"/>
        <w:keepNext w:val="0"/>
        <w:keepLines w:val="0"/>
        <w:spacing w:before="0" w:line="240" w:lineRule="auto"/>
        <w:jc w:val="both"/>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pPr>
    </w:p>
    <w:p>
      <w:pPr>
        <w:pStyle w:val="Default"/>
        <w:bidi w:val="0"/>
        <w:spacing w:before="0" w:line="240" w:lineRule="auto"/>
        <w:ind w:left="0" w:right="0" w:firstLine="0"/>
        <w:jc w:val="left"/>
        <w:rPr>
          <w:rStyle w:val="None"/>
          <w:rFonts w:ascii="Arial" w:cs="Arial" w:hAnsi="Arial" w:eastAsia="Arial"/>
          <w:rtl w:val="0"/>
        </w:rPr>
      </w:pPr>
      <w:r>
        <w:rPr>
          <w:rStyle w:val="None"/>
          <w:rFonts w:ascii="Arial" w:hAnsi="Arial"/>
          <w:rtl w:val="0"/>
          <w:lang w:val="en-US"/>
        </w:rPr>
        <w:t>Saunders, N. K., Lewis, P., and Thornhill, A. (2019). Research Methods for Business Students</w:t>
      </w:r>
      <w:r>
        <w:rPr>
          <w:rStyle w:val="None"/>
          <w:rFonts w:ascii="Arial" w:hAnsi="Arial"/>
          <w:rtl w:val="0"/>
          <w:lang w:val="en-US"/>
        </w:rPr>
        <w:t>.</w:t>
      </w:r>
      <w:r>
        <w:rPr>
          <w:rStyle w:val="None"/>
          <w:rFonts w:ascii="Arial" w:hAnsi="Arial"/>
          <w:rtl w:val="0"/>
          <w:lang w:val="en-US"/>
        </w:rPr>
        <w:t xml:space="preserve"> 8th</w:t>
      </w:r>
      <w:r>
        <w:rPr>
          <w:rStyle w:val="None"/>
          <w:rFonts w:ascii="Arial" w:hAnsi="Arial"/>
          <w:rtl w:val="0"/>
          <w:lang w:val="en-US"/>
        </w:rPr>
        <w:t xml:space="preserve"> ed</w:t>
      </w:r>
      <w:r>
        <w:rPr>
          <w:rStyle w:val="None"/>
          <w:rFonts w:ascii="Arial" w:hAnsi="Arial"/>
          <w:rtl w:val="0"/>
          <w:lang w:val="en-US"/>
        </w:rPr>
        <w:t>. London: Pearson Education.</w:t>
      </w:r>
    </w:p>
    <w:p>
      <w:pPr>
        <w:pStyle w:val="TOC Heading"/>
        <w:keepNext w:val="0"/>
        <w:keepLines w:val="0"/>
        <w:spacing w:before="0" w:line="240" w:lineRule="auto"/>
        <w:jc w:val="both"/>
        <w:rPr>
          <w:rStyle w:val="None"/>
          <w:rFonts w:ascii="Arial" w:cs="Arial" w:hAnsi="Arial" w:eastAsia="Arial"/>
          <w:outline w:val="0"/>
          <w:color w:val="000000"/>
          <w:sz w:val="24"/>
          <w:szCs w:val="24"/>
          <w:u w:color="000000"/>
          <w:lang w:val="en-US"/>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Vita Mojo. (2024)</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w:t>
      </w:r>
      <w:r>
        <w:rPr>
          <w:rStyle w:val="None"/>
          <w:rFonts w:ascii="Arial" w:hAnsi="Arial"/>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The minimum wage increase: Kate Nicholls on how hospitality can still thrive</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Available at: </w:t>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fldChar w:fldCharType="begin" w:fldLock="0"/>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instrText xml:space="preserve"> HYPERLINK "https://www.vitamojo.com/blog/minimum-wage-increase-kate-nicholls-on-how-hospitality-can-still-thrive/"</w:instrText>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fldChar w:fldCharType="separate" w:fldLock="0"/>
      </w:r>
      <w:r>
        <w:rPr>
          <w:rStyle w:val="Hyperlink.0"/>
          <w:rFonts w:ascii="Arial" w:hAnsi="Arial"/>
          <w:outline w:val="0"/>
          <w:color w:val="0000ff"/>
          <w:sz w:val="24"/>
          <w:szCs w:val="24"/>
          <w:u w:val="single" w:color="0000ff"/>
          <w:rtl w:val="0"/>
          <w:lang w:val="en-US"/>
          <w14:textOutline w14:w="12700" w14:cap="flat">
            <w14:noFill/>
            <w14:miter w14:lim="400000"/>
          </w14:textOutline>
          <w14:textFill>
            <w14:solidFill>
              <w14:srgbClr w14:val="0000FF"/>
            </w14:solidFill>
          </w14:textFill>
        </w:rPr>
        <w:t>https://www.vitamojo.com/blog/minimum-wage-increase-kate-nicholls-on-how-hospitality-can-still-thrive/</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(Accessed 10th July 2024).</w:t>
      </w: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Waddell, E. (2021). </w:t>
      </w:r>
      <w:r>
        <w:rPr>
          <w:rStyle w:val="None"/>
          <w:rFonts w:ascii="Arial" w:hAnsi="Arial"/>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CH&amp;CO sets new standard in hospitality employee benefits</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Available at: </w:t>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fldChar w:fldCharType="begin" w:fldLock="0"/>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instrText xml:space="preserve"> HYPERLINK "https://www.publicsectorcatering.co.uk/news/chco-sets-new-standard-hospitality-employee-benefits"</w:instrText>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fldChar w:fldCharType="separate" w:fldLock="0"/>
      </w:r>
      <w:r>
        <w:rPr>
          <w:rStyle w:val="Link"/>
          <w:rFonts w:ascii="Arial" w:hAnsi="Arial"/>
          <w:outline w:val="0"/>
          <w:color w:val="0563c1"/>
          <w:sz w:val="24"/>
          <w:szCs w:val="24"/>
          <w:u w:val="single" w:color="0563c1"/>
          <w:rtl w:val="0"/>
          <w:lang w:val="en-US"/>
          <w14:textOutline w14:w="12700" w14:cap="flat">
            <w14:noFill/>
            <w14:miter w14:lim="400000"/>
          </w14:textOutline>
          <w14:textFill>
            <w14:solidFill>
              <w14:srgbClr w14:val="0563C1"/>
            </w14:solidFill>
          </w14:textFill>
        </w:rPr>
        <w:t>https://www.publicsectorcatering.co.uk/news/chco-sets-new-standard-hospitality-employee-benefits</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(Accessed 23rd September 2024).</w:t>
      </w: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rtl w:val="0"/>
          <w:lang w:val="en-US"/>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Fonts w:ascii="Arial" w:cs="Arial" w:hAnsi="Arial" w:eastAsia="Arial"/>
          <w:outline w:val="0"/>
          <w:color w:val="000000"/>
          <w:sz w:val="24"/>
          <w:szCs w:val="24"/>
          <w:u w:color="000000"/>
          <w:rtl w:val="0"/>
          <w14:textOutline w14:w="12700" w14:cap="flat">
            <w14:noFill/>
            <w14:miter w14:lim="400000"/>
          </w14:textOutline>
          <w14:textFill>
            <w14:solidFill>
              <w14:srgbClr w14:val="000000"/>
            </w14:solidFill>
          </w14:textFill>
        </w:rPr>
      </w:pP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Welsh Water. (2024). </w:t>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fldChar w:fldCharType="begin" w:fldLock="0"/>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instrText xml:space="preserve"> HYPERLINK "https://lisvane-llanishen.com/about-us/"</w:instrText>
      </w:r>
      <w:r>
        <w:rPr>
          <w:rStyle w:val="Link"/>
          <w:rFonts w:ascii="Arial" w:cs="Arial" w:hAnsi="Arial" w:eastAsia="Arial"/>
          <w:outline w:val="0"/>
          <w:color w:val="0563c1"/>
          <w:sz w:val="24"/>
          <w:szCs w:val="24"/>
          <w:u w:val="single" w:color="0563c1"/>
          <w14:textOutline w14:w="12700" w14:cap="flat">
            <w14:noFill/>
            <w14:miter w14:lim="400000"/>
          </w14:textOutline>
          <w14:textFill>
            <w14:solidFill>
              <w14:srgbClr w14:val="0563C1"/>
            </w14:solidFill>
          </w14:textFill>
        </w:rPr>
        <w:fldChar w:fldCharType="separate" w:fldLock="0"/>
      </w:r>
      <w:r>
        <w:rPr>
          <w:rStyle w:val="Link"/>
          <w:rFonts w:ascii="Arial" w:hAnsi="Arial"/>
          <w:outline w:val="0"/>
          <w:color w:val="0563c1"/>
          <w:sz w:val="24"/>
          <w:szCs w:val="24"/>
          <w:u w:val="single" w:color="0563c1"/>
          <w:rtl w:val="0"/>
          <w:lang w:val="en-US"/>
          <w14:textOutline w14:w="12700" w14:cap="flat">
            <w14:noFill/>
            <w14:miter w14:lim="400000"/>
          </w14:textOutline>
          <w14:textFill>
            <w14:solidFill>
              <w14:srgbClr w14:val="0563C1"/>
            </w14:solidFill>
          </w14:textFill>
        </w:rPr>
        <w:t>https://lisvane-llanishen.com/about-us/</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w:t>
      </w:r>
    </w:p>
    <w:p>
      <w:pPr>
        <w:pStyle w:val="TOC Heading"/>
        <w:keepNext w:val="0"/>
        <w:keepLines w:val="0"/>
        <w:spacing w:before="0" w:line="240" w:lineRule="auto"/>
        <w:jc w:val="both"/>
        <w:rPr>
          <w:rStyle w:val="None"/>
          <w:rFonts w:ascii="Arial" w:cs="Arial" w:hAnsi="Arial" w:eastAsia="Arial"/>
          <w:outline w:val="0"/>
          <w:color w:val="000000"/>
          <w:sz w:val="24"/>
          <w:szCs w:val="24"/>
          <w:u w:color="000000"/>
          <w:lang w:val="en-US"/>
          <w14:textOutline w14:w="12700" w14:cap="flat">
            <w14:noFill/>
            <w14:miter w14:lim="400000"/>
          </w14:textOutline>
          <w14:textFill>
            <w14:solidFill>
              <w14:srgbClr w14:val="000000"/>
            </w14:solidFill>
          </w14:textFill>
        </w:rPr>
      </w:pPr>
    </w:p>
    <w:p>
      <w:pPr>
        <w:pStyle w:val="TOC Heading"/>
        <w:keepNext w:val="0"/>
        <w:keepLines w:val="0"/>
        <w:bidi w:val="0"/>
        <w:spacing w:before="0" w:line="240" w:lineRule="auto"/>
        <w:ind w:left="0" w:right="0" w:firstLine="0"/>
        <w:jc w:val="both"/>
        <w:rPr>
          <w:rStyle w:val="None"/>
          <w:rFonts w:ascii="Arial" w:cs="Arial" w:hAnsi="Arial" w:eastAsia="Arial"/>
          <w:outline w:val="0"/>
          <w:color w:val="000000"/>
          <w:sz w:val="24"/>
          <w:szCs w:val="24"/>
          <w:u w:color="000000"/>
          <w:shd w:val="nil" w:color="auto" w:fill="auto"/>
          <w:rtl w:val="0"/>
          <w14:textOutline w14:w="12700" w14:cap="flat">
            <w14:noFill/>
            <w14:miter w14:lim="400000"/>
          </w14:textOutline>
          <w14:textFill>
            <w14:solidFill>
              <w14:srgbClr w14:val="000000"/>
            </w14:solidFill>
          </w14:textFill>
        </w:rPr>
      </w:pP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Wickens, Z. (2021). </w:t>
      </w:r>
      <w:r>
        <w:rPr>
          <w:rStyle w:val="None"/>
          <w:rFonts w:ascii="Arial" w:hAnsi="Arial"/>
          <w:i w:val="1"/>
          <w:iCs w:val="1"/>
          <w:outline w:val="0"/>
          <w:color w:val="000000"/>
          <w:sz w:val="24"/>
          <w:szCs w:val="24"/>
          <w:u w:color="000000"/>
          <w:rtl w:val="0"/>
          <w:lang w:val="en-US"/>
          <w14:textOutline w14:w="12700" w14:cap="flat">
            <w14:noFill/>
            <w14:miter w14:lim="400000"/>
          </w14:textOutline>
          <w14:textFill>
            <w14:solidFill>
              <w14:srgbClr w14:val="000000"/>
            </w14:solidFill>
          </w14:textFill>
        </w:rPr>
        <w:t>58% of hospitality employers increased their benefits</w:t>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Available at: </w:t>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fldChar w:fldCharType="begin" w:fldLock="0"/>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instrText xml:space="preserve"> HYPERLINK "https://employeebenefits.co.uk/58-hospitality-employers-increased-benefits/"</w:instrText>
      </w:r>
      <w:r>
        <w:rPr>
          <w:rStyle w:val="Hyperlink.0"/>
          <w:rFonts w:ascii="Arial" w:cs="Arial" w:hAnsi="Arial" w:eastAsia="Arial"/>
          <w:outline w:val="0"/>
          <w:color w:val="0000ff"/>
          <w:sz w:val="24"/>
          <w:szCs w:val="24"/>
          <w:u w:val="single" w:color="0000ff"/>
          <w:lang w:val="en-US"/>
          <w14:textOutline w14:w="12700" w14:cap="flat">
            <w14:noFill/>
            <w14:miter w14:lim="400000"/>
          </w14:textOutline>
          <w14:textFill>
            <w14:solidFill>
              <w14:srgbClr w14:val="0000FF"/>
            </w14:solidFill>
          </w14:textFill>
        </w:rPr>
        <w:fldChar w:fldCharType="separate" w:fldLock="0"/>
      </w:r>
      <w:r>
        <w:rPr>
          <w:rStyle w:val="Hyperlink.0"/>
          <w:rFonts w:ascii="Arial" w:hAnsi="Arial"/>
          <w:outline w:val="0"/>
          <w:color w:val="0000ff"/>
          <w:sz w:val="24"/>
          <w:szCs w:val="24"/>
          <w:u w:val="single" w:color="0000ff"/>
          <w:rtl w:val="0"/>
          <w:lang w:val="en-US"/>
          <w14:textOutline w14:w="12700" w14:cap="flat">
            <w14:noFill/>
            <w14:miter w14:lim="400000"/>
          </w14:textOutline>
          <w14:textFill>
            <w14:solidFill>
              <w14:srgbClr w14:val="0000FF"/>
            </w14:solidFill>
          </w14:textFill>
        </w:rPr>
        <w:t>https://employeebenefits.co.uk/58-hospitality-employers-increased-benefits/</w:t>
      </w:r>
      <w:r>
        <w:rPr>
          <w:rFonts w:ascii="Arial" w:cs="Arial" w:hAnsi="Arial" w:eastAsia="Arial"/>
          <w:outline w:val="0"/>
          <w:color w:val="000000"/>
          <w:sz w:val="24"/>
          <w:szCs w:val="24"/>
          <w:u w:color="000000"/>
          <w14:textOutline w14:w="12700" w14:cap="flat">
            <w14:noFill/>
            <w14:miter w14:lim="400000"/>
          </w14:textOutline>
          <w14:textFill>
            <w14:solidFill>
              <w14:srgbClr w14:val="000000"/>
            </w14:solidFill>
          </w14:textFill>
        </w:rPr>
        <w:fldChar w:fldCharType="end" w:fldLock="0"/>
      </w:r>
      <w:r>
        <w:rPr>
          <w:rStyle w:val="None"/>
          <w:rFonts w:ascii="Arial" w:hAnsi="Arial"/>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(Accessed 9th July 2024).</w:t>
      </w:r>
    </w:p>
    <w:p>
      <w:pPr>
        <w:pStyle w:val="Default"/>
        <w:spacing w:before="0" w:line="240" w:lineRule="auto"/>
        <w:jc w:val="left"/>
        <w:rPr>
          <w:rStyle w:val="None"/>
          <w:rFonts w:ascii="Arial" w:cs="Arial" w:hAnsi="Arial" w:eastAsia="Arial"/>
          <w:u w:color="000000"/>
          <w:shd w:val="nil" w:color="auto" w:fill="auto"/>
          <w14:textOutline w14:w="12700" w14:cap="flat">
            <w14:noFill/>
            <w14:miter w14:lim="400000"/>
          </w14:textOutline>
        </w:rPr>
      </w:pPr>
    </w:p>
    <w:p>
      <w:pPr>
        <w:pStyle w:val="Default"/>
        <w:spacing w:before="0" w:line="240" w:lineRule="auto"/>
        <w:jc w:val="left"/>
        <w:rPr>
          <w:rStyle w:val="None"/>
          <w:rFonts w:ascii="Arial" w:cs="Arial" w:hAnsi="Arial" w:eastAsia="Arial"/>
          <w:u w:color="000000"/>
          <w:shd w:val="nil" w:color="auto" w:fill="auto"/>
          <w14:textOutline w14:w="12700" w14:cap="flat">
            <w14:noFill/>
            <w14:miter w14:lim="400000"/>
          </w14:textOutline>
        </w:rPr>
      </w:pPr>
    </w:p>
    <w:p>
      <w:pPr>
        <w:pStyle w:val="Default"/>
        <w:spacing w:before="0" w:line="240" w:lineRule="auto"/>
        <w:jc w:val="left"/>
        <w:rPr>
          <w:rStyle w:val="None"/>
          <w:rFonts w:ascii="Arial" w:cs="Arial" w:hAnsi="Arial" w:eastAsia="Arial"/>
          <w:u w:color="000000"/>
          <w:shd w:val="nil" w:color="auto" w:fill="auto"/>
          <w14:textOutline w14:w="12700" w14:cap="flat">
            <w14:noFill/>
            <w14:miter w14:lim="400000"/>
          </w14:textOutline>
        </w:rPr>
      </w:pPr>
    </w:p>
    <w:p>
      <w:pPr>
        <w:pStyle w:val="Default"/>
        <w:spacing w:before="0" w:line="240" w:lineRule="auto"/>
        <w:jc w:val="left"/>
        <w:rPr>
          <w:rStyle w:val="None"/>
          <w:rFonts w:ascii="Arial" w:cs="Arial" w:hAnsi="Arial" w:eastAsia="Arial"/>
          <w:u w:color="000000"/>
          <w:shd w:val="nil" w:color="auto" w:fill="auto"/>
          <w14:textOutline w14:w="12700" w14:cap="flat">
            <w14:noFill/>
            <w14:miter w14:lim="400000"/>
          </w14:textOutline>
        </w:rPr>
      </w:pPr>
    </w:p>
    <w:p>
      <w:pPr>
        <w:pStyle w:val="Default"/>
        <w:spacing w:before="0" w:line="240" w:lineRule="auto"/>
        <w:jc w:val="left"/>
        <w:rPr>
          <w:rStyle w:val="None"/>
          <w:rFonts w:ascii="Arial" w:cs="Arial" w:hAnsi="Arial" w:eastAsia="Arial"/>
          <w:b w:val="1"/>
          <w:bCs w:val="1"/>
          <w:u w:color="000000"/>
          <w14:textOutline w14:w="12700" w14:cap="flat">
            <w14:noFill/>
            <w14:miter w14:lim="400000"/>
          </w14:textOutline>
        </w:rPr>
      </w:pPr>
    </w:p>
    <w:p>
      <w:pPr>
        <w:pStyle w:val="Heading"/>
        <w:rPr>
          <w:rStyle w:val="None"/>
          <w:b w:val="1"/>
          <w:bCs w:val="1"/>
        </w:rPr>
      </w:pPr>
      <w:bookmarkStart w:name="_Toc11" w:id="11"/>
      <w:r>
        <w:rPr>
          <w:rStyle w:val="None"/>
          <w:rFonts w:cs="Arial Unicode MS" w:eastAsia="Arial Unicode MS"/>
          <w:b w:val="1"/>
          <w:bCs w:val="1"/>
          <w:rtl w:val="0"/>
          <w:lang w:val="en-US"/>
        </w:rPr>
        <w:t>Appendices</w:t>
      </w:r>
      <w:bookmarkEnd w:id="11"/>
    </w:p>
    <w:p>
      <w:pPr>
        <w:pStyle w:val="Body"/>
        <w:rPr>
          <w:rStyle w:val="None"/>
          <w:b w:val="1"/>
          <w:bCs w:val="1"/>
        </w:rPr>
      </w:pPr>
    </w:p>
    <w:p>
      <w:pPr>
        <w:pStyle w:val="Body"/>
        <w:rPr>
          <w:rStyle w:val="None"/>
        </w:rPr>
      </w:pPr>
      <w:r>
        <w:rPr>
          <w:rStyle w:val="None"/>
          <w:rFonts w:cs="Arial Unicode MS" w:eastAsia="Arial Unicode MS"/>
          <w:rtl w:val="0"/>
          <w:lang w:val="en-US"/>
        </w:rPr>
        <w:t>Appendix 1 - Reward Package Focus Group 1</w:t>
      </w:r>
    </w:p>
    <w:p>
      <w:pPr>
        <w:pStyle w:val="Body"/>
        <w:rPr>
          <w:rStyle w:val="None"/>
        </w:rPr>
      </w:pPr>
      <w:r>
        <w:rPr>
          <w:rStyle w:val="None"/>
          <w:rFonts w:cs="Arial Unicode MS" w:eastAsia="Arial Unicode MS"/>
          <w:rtl w:val="0"/>
          <w:lang w:val="en-US"/>
        </w:rPr>
        <w:t>Appendix 2 - Reward Package Focus Group 2</w:t>
      </w:r>
    </w:p>
    <w:p>
      <w:pPr>
        <w:pStyle w:val="Body"/>
        <w:rPr>
          <w:rStyle w:val="None"/>
        </w:rPr>
      </w:pPr>
      <w:r>
        <w:rPr>
          <w:rStyle w:val="None"/>
          <w:rFonts w:cs="Arial Unicode MS" w:eastAsia="Arial Unicode MS"/>
          <w:rtl w:val="0"/>
          <w:lang w:val="en-US"/>
        </w:rPr>
        <w:t>Appendix 3 - Interview with James Griffith</w:t>
      </w:r>
    </w:p>
    <w:p>
      <w:pPr>
        <w:pStyle w:val="Body"/>
        <w:rPr>
          <w:rStyle w:val="None"/>
        </w:rPr>
      </w:pPr>
      <w:r>
        <w:rPr>
          <w:rStyle w:val="None"/>
          <w:rFonts w:cs="Arial Unicode MS" w:eastAsia="Arial Unicode MS"/>
          <w:rtl w:val="0"/>
          <w:lang w:val="en-US"/>
        </w:rPr>
        <w:t>Appendix 4 - Interview with HRD, Bluestone Resort</w:t>
      </w:r>
    </w:p>
    <w:p>
      <w:pPr>
        <w:pStyle w:val="Body"/>
        <w:rPr>
          <w:rStyle w:val="None"/>
        </w:rPr>
      </w:pPr>
      <w:r>
        <w:rPr>
          <w:rStyle w:val="None"/>
          <w:rFonts w:cs="Arial Unicode MS" w:eastAsia="Arial Unicode MS"/>
          <w:rtl w:val="0"/>
          <w:lang w:val="en-US"/>
        </w:rPr>
        <w:t>Appendix 5 - Focus Group Invite Email</w:t>
      </w:r>
    </w:p>
    <w:p>
      <w:pPr>
        <w:pStyle w:val="Body"/>
      </w:pPr>
      <w:r>
        <w:rPr>
          <w:rStyle w:val="None"/>
          <w:rFonts w:cs="Arial Unicode MS" w:eastAsia="Arial Unicode MS"/>
          <w:rtl w:val="0"/>
          <w:lang w:val="en-US"/>
        </w:rPr>
        <w:t>Appendix 6 - Salary Benchmarking Data</w:t>
      </w:r>
    </w:p>
    <w:sectPr>
      <w:headerReference w:type="default" r:id="rId5"/>
      <w:headerReference w:type="first" r:id="rId6"/>
      <w:footerReference w:type="default" r:id="rId7"/>
      <w:footerReference w:type="first" r:id="rId8"/>
      <w:pgSz w:w="11900" w:h="16840" w:orient="portrait"/>
      <w:pgMar w:top="1440" w:right="1440" w:bottom="1440" w:left="1440" w:header="737" w:footer="17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Roboto">
    <w:charset w:val="00"/>
    <w:family w:val="roman"/>
    <w:pitch w:val="default"/>
  </w:font>
  <w:font w:name="Calibri Ligh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No Spacing"/>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rPr>
        <w:rtl w:val="0"/>
        <w:lang w:val="en-US"/>
      </w:rPr>
      <w:t xml:space="preserve"> | </w:t>
    </w:r>
    <w:r>
      <w:rPr>
        <w:outline w:val="0"/>
        <w:color w:val="7f7f7f"/>
        <w:spacing w:val="60"/>
        <w:u w:color="7f7f7f"/>
        <w:rtl w:val="0"/>
        <w:lang w:val="en-US"/>
        <w14:textFill>
          <w14:solidFill>
            <w14:srgbClr w14:val="7F7F7F"/>
          </w14:solidFill>
        </w14:textFill>
      </w:rPr>
      <w:t>Page</w:t>
      <w:tab/>
      <w:tab/>
      <w:tab/>
      <w:tab/>
      <w:tab/>
      <w:tab/>
      <w:tab/>
    </w: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000"/>
        <w:tab w:val="clear" w:pos="9026"/>
      </w:tabs>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539750</wp:posOffset>
              </wp:positionH>
              <wp:positionV relativeFrom="page">
                <wp:posOffset>826134</wp:posOffset>
              </wp:positionV>
              <wp:extent cx="6699250" cy="0"/>
              <wp:effectExtent l="0" t="0" r="0" b="0"/>
              <wp:wrapNone/>
              <wp:docPr id="1073741825" name="officeArt object" descr="Line"/>
              <wp:cNvGraphicFramePr/>
              <a:graphic xmlns:a="http://schemas.openxmlformats.org/drawingml/2006/main">
                <a:graphicData uri="http://schemas.microsoft.com/office/word/2010/wordprocessingShape">
                  <wps:wsp>
                    <wps:cNvSpPr/>
                    <wps:spPr>
                      <a:xfrm>
                        <a:off x="0" y="0"/>
                        <a:ext cx="6699250" cy="0"/>
                      </a:xfrm>
                      <a:prstGeom prst="line">
                        <a:avLst/>
                      </a:prstGeom>
                      <a:noFill/>
                      <a:ln w="9525" cap="flat">
                        <a:solidFill>
                          <a:schemeClr val="accent1"/>
                        </a:solidFill>
                        <a:prstDash val="solid"/>
                        <a:miter lim="800000"/>
                      </a:ln>
                      <a:effectLst/>
                    </wps:spPr>
                    <wps:bodyPr/>
                  </wps:wsp>
                </a:graphicData>
              </a:graphic>
            </wp:anchor>
          </w:drawing>
        </mc:Choice>
        <mc:Fallback>
          <w:pict>
            <v:line id="_x0000_s1027" style="visibility:visible;position:absolute;margin-left:42.5pt;margin-top:65.0pt;width:527.5pt;height:0.0pt;z-index:-251658240;mso-position-horizontal:absolute;mso-position-horizontal-relative:page;mso-position-vertical:absolute;mso-position-vertical-relative:page;mso-wrap-distance-left:12.0pt;mso-wrap-distance-top:12.0pt;mso-wrap-distance-right:12.0pt;mso-wrap-distance-bottom:12.0pt;">
              <v:fill on="f"/>
              <v:stroke filltype="solid" color="#4472C4" opacity="100.0%" weight="0.8pt" dashstyle="solid" endcap="flat" miterlimit="800.0%" joinstyle="miter" linestyle="single" startarrow="none" startarrowwidth="medium" startarrowlength="medium" endarrow="none" endarrowwidth="medium" endarrowlength="medium"/>
              <w10:wrap type="none" side="bothSides" anchorx="page" anchory="page"/>
            </v:line>
          </w:pict>
        </mc:Fallback>
      </mc:AlternateContent>
    </w: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76"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Arial Unicode MS" w:hAnsi="Calibri Light" w:eastAsia="Arial Unicode MS"/>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lang w:val="en-US"/>
      <w14:textFill>
        <w14:solidFill>
          <w14:srgbClr w14:val="2F5496"/>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276"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w:name w:val="Heading"/>
    <w:next w:val="Body"/>
    <w:pPr>
      <w:keepNext w:val="0"/>
      <w:keepLines w:val="0"/>
      <w:pageBreakBefore w:val="0"/>
      <w:widowControl w:val="1"/>
      <w:shd w:val="clear" w:color="auto" w:fill="auto"/>
      <w:suppressAutoHyphens w:val="0"/>
      <w:bidi w:val="0"/>
      <w:spacing w:before="0" w:after="160" w:line="276" w:lineRule="auto"/>
      <w:ind w:left="0" w:right="0" w:firstLine="0"/>
      <w:jc w:val="center"/>
      <w:outlineLvl w:val="0"/>
    </w:pPr>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100" w:line="276" w:lineRule="auto"/>
      <w:ind w:left="24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14:textFill>
        <w14:solidFill>
          <w14:srgbClr w14:val="000000"/>
        </w14:solidFill>
      </w14:textFill>
    </w:rPr>
  </w:style>
  <w:style w:type="paragraph" w:styleId="Heading 2">
    <w:name w:val="Heading 2"/>
    <w:next w:val="Body"/>
    <w:pPr>
      <w:keepNext w:val="0"/>
      <w:keepLines w:val="0"/>
      <w:pageBreakBefore w:val="0"/>
      <w:widowControl w:val="1"/>
      <w:shd w:val="clear" w:color="auto" w:fill="auto"/>
      <w:suppressAutoHyphens w:val="0"/>
      <w:bidi w:val="0"/>
      <w:spacing w:before="0" w:after="160" w:line="276" w:lineRule="auto"/>
      <w:ind w:left="0" w:right="0" w:firstLine="0"/>
      <w:jc w:val="left"/>
      <w:outlineLvl w:val="1"/>
    </w:pPr>
    <w:rPr>
      <w:rFonts w:ascii="Arial" w:cs="Arial" w:hAnsi="Arial" w:eastAsia="Arial"/>
      <w:b w:val="0"/>
      <w:bCs w:val="0"/>
      <w:i w:val="0"/>
      <w:iCs w:val="0"/>
      <w:caps w:val="0"/>
      <w:smallCaps w:val="0"/>
      <w:strike w:val="0"/>
      <w:dstrike w:val="0"/>
      <w:outline w:val="0"/>
      <w:color w:val="000000"/>
      <w:spacing w:val="0"/>
      <w:kern w:val="0"/>
      <w:position w:val="0"/>
      <w:sz w:val="24"/>
      <w:szCs w:val="24"/>
      <w:u w:val="single" w:color="000000"/>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76" w:lineRule="auto"/>
      <w:ind w:left="72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None">
    <w:name w:val="None"/>
  </w:style>
  <w:style w:type="character" w:styleId="Hyperlink.0">
    <w:name w:val="Hyperlink.0"/>
    <w:basedOn w:val="None"/>
    <w:next w:val="Hyperlink.0"/>
    <w:rPr>
      <w:outline w:val="0"/>
      <w:color w:val="0000ff"/>
      <w:u w:val="single" w:color="0000ff"/>
      <w:lang w:val="en-US"/>
      <w14:textFill>
        <w14:solidFill>
          <w14:srgbClr w14:val="0000FF"/>
        </w14:solidFill>
      </w14:textFill>
    </w:rPr>
  </w:style>
  <w:style w:type="character" w:styleId="Link">
    <w:name w:val="Link"/>
    <w:rPr>
      <w:outline w:val="0"/>
      <w:color w:val="0563c1"/>
      <w:u w:val="single" w:color="0563c1"/>
      <w14:textFill>
        <w14:solidFill>
          <w14:srgbClr w14:val="0563C1"/>
        </w14:solidFill>
      </w14:textFill>
    </w:rPr>
  </w:style>
  <w:style w:type="character" w:styleId="Hyperlink.1">
    <w:name w:val="Hyperlink.1"/>
    <w:basedOn w:val="Link"/>
    <w:next w:val="Hyperlink.1"/>
    <w:rPr>
      <w:outline w:val="0"/>
      <w:color w:val="0000ff"/>
      <w:u w:color="0000ff"/>
      <w14:textFill>
        <w14:solidFill>
          <w14:srgbClr w14:val="0000FF"/>
        </w14:solidFill>
      </w14:textFill>
    </w:rPr>
  </w:style>
  <w:style w:type="character" w:styleId="Hyperlink.2">
    <w:name w:val="Hyperlink.2"/>
    <w:basedOn w:val="None"/>
    <w:next w:val="Hyperlink.2"/>
    <w:rPr>
      <w:outline w:val="0"/>
      <w:color w:val="0000ff"/>
      <w:u w:val="single" w:color="0000ff"/>
      <w:shd w:val="clear" w:color="auto" w:fill="ffffff"/>
      <w:lang w:val="en-US"/>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