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sz w:val="24"/>
          <w:szCs w:val="24"/>
          <w:lang w:eastAsia="en-US"/>
          <w14:ligatures w14:val="standardContextual"/>
        </w:rPr>
        <w:id w:val="1907095585"/>
        <w:docPartObj>
          <w:docPartGallery w:val="Cover Pages"/>
          <w:docPartUnique/>
        </w:docPartObj>
      </w:sdtPr>
      <w:sdtEndPr>
        <w:rPr>
          <w:color w:val="auto"/>
        </w:rPr>
      </w:sdtEndPr>
      <w:sdtContent>
        <w:p w14:paraId="2FAC386F" w14:textId="562732D4" w:rsidR="00256135" w:rsidRPr="00554FE5" w:rsidRDefault="00256135">
          <w:pPr>
            <w:pStyle w:val="NoSpacing"/>
            <w:spacing w:before="1540" w:after="240"/>
            <w:jc w:val="center"/>
            <w:rPr>
              <w:rFonts w:ascii="Arial" w:hAnsi="Arial" w:cs="Arial"/>
              <w:color w:val="156082" w:themeColor="accent1"/>
              <w:sz w:val="24"/>
              <w:szCs w:val="24"/>
            </w:rPr>
          </w:pPr>
          <w:r w:rsidRPr="00554FE5">
            <w:rPr>
              <w:rFonts w:ascii="Arial" w:hAnsi="Arial" w:cs="Arial"/>
              <w:noProof/>
              <w:color w:val="156082" w:themeColor="accent1"/>
              <w:sz w:val="24"/>
              <w:szCs w:val="24"/>
            </w:rPr>
            <w:drawing>
              <wp:inline distT="0" distB="0" distL="0" distR="0" wp14:anchorId="3EC07610" wp14:editId="5D12FD4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F4B71BE" w14:textId="4D11FE6E" w:rsidR="00256135" w:rsidRPr="00554FE5" w:rsidRDefault="0046363F" w:rsidP="0046363F">
          <w:pPr>
            <w:pStyle w:val="NoSpacing"/>
            <w:jc w:val="center"/>
            <w:rPr>
              <w:rFonts w:ascii="Arial" w:hAnsi="Arial" w:cs="Arial"/>
              <w:color w:val="000000" w:themeColor="text1"/>
              <w:sz w:val="48"/>
              <w:szCs w:val="48"/>
            </w:rPr>
          </w:pPr>
          <w:r w:rsidRPr="00554FE5">
            <w:rPr>
              <w:rFonts w:ascii="Arial" w:hAnsi="Arial" w:cs="Arial"/>
              <w:color w:val="000000" w:themeColor="text1"/>
              <w:sz w:val="48"/>
              <w:szCs w:val="48"/>
            </w:rPr>
            <w:t>Essay</w:t>
          </w:r>
        </w:p>
        <w:p w14:paraId="7C575E10" w14:textId="785E6168" w:rsidR="00256135" w:rsidRPr="00554FE5" w:rsidRDefault="00554FE5">
          <w:pPr>
            <w:pStyle w:val="NoSpacing"/>
            <w:spacing w:before="480"/>
            <w:jc w:val="center"/>
            <w:rPr>
              <w:rFonts w:ascii="Arial" w:hAnsi="Arial" w:cs="Arial"/>
              <w:color w:val="156082" w:themeColor="accent1"/>
              <w:sz w:val="24"/>
              <w:szCs w:val="24"/>
            </w:rPr>
          </w:pPr>
          <w:r w:rsidRPr="00554FE5">
            <w:rPr>
              <w:rFonts w:ascii="Arial" w:hAnsi="Arial" w:cs="Arial"/>
              <w:noProof/>
              <w:color w:val="156082" w:themeColor="accent1"/>
              <w:sz w:val="24"/>
              <w:szCs w:val="24"/>
            </w:rPr>
            <w:drawing>
              <wp:inline distT="0" distB="0" distL="0" distR="0" wp14:anchorId="57CBC08D" wp14:editId="3EA6BF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17ADF9" w14:textId="1D5C45AA" w:rsidR="00256135" w:rsidRPr="00554FE5" w:rsidRDefault="00256135" w:rsidP="00256135">
          <w:pPr>
            <w:spacing w:before="160"/>
            <w:jc w:val="center"/>
            <w:rPr>
              <w:rFonts w:ascii="Arial" w:hAnsi="Arial" w:cs="Arial"/>
              <w:color w:val="77206D" w:themeColor="accent5" w:themeShade="BF"/>
            </w:rPr>
          </w:pPr>
        </w:p>
        <w:p w14:paraId="63285FF0" w14:textId="77777777" w:rsidR="00256135" w:rsidRPr="00554FE5" w:rsidRDefault="00256135" w:rsidP="00256135">
          <w:pPr>
            <w:spacing w:before="160"/>
            <w:jc w:val="center"/>
            <w:rPr>
              <w:rFonts w:ascii="Arial" w:hAnsi="Arial" w:cs="Arial"/>
              <w:color w:val="77206D" w:themeColor="accent5" w:themeShade="BF"/>
            </w:rPr>
          </w:pPr>
        </w:p>
        <w:p w14:paraId="467CCD01" w14:textId="77777777" w:rsidR="00256135" w:rsidRPr="00554FE5" w:rsidRDefault="00256135" w:rsidP="00256135">
          <w:pPr>
            <w:spacing w:before="160"/>
            <w:jc w:val="center"/>
            <w:rPr>
              <w:rFonts w:ascii="Arial" w:hAnsi="Arial" w:cs="Arial"/>
              <w:color w:val="77206D" w:themeColor="accent5" w:themeShade="BF"/>
            </w:rPr>
          </w:pPr>
        </w:p>
        <w:p w14:paraId="4D45B8FD" w14:textId="77777777" w:rsidR="00256135" w:rsidRPr="00554FE5" w:rsidRDefault="00256135" w:rsidP="00256135">
          <w:pPr>
            <w:spacing w:before="160"/>
            <w:jc w:val="center"/>
            <w:rPr>
              <w:rFonts w:ascii="Arial" w:hAnsi="Arial" w:cs="Arial"/>
              <w:color w:val="77206D" w:themeColor="accent5" w:themeShade="BF"/>
            </w:rPr>
          </w:pPr>
        </w:p>
        <w:p w14:paraId="7574C023" w14:textId="77777777" w:rsidR="00256135" w:rsidRPr="00554FE5" w:rsidRDefault="00256135" w:rsidP="00256135">
          <w:pPr>
            <w:spacing w:before="160"/>
            <w:jc w:val="center"/>
            <w:rPr>
              <w:rFonts w:ascii="Arial" w:hAnsi="Arial" w:cs="Arial"/>
              <w:color w:val="77206D" w:themeColor="accent5" w:themeShade="BF"/>
            </w:rPr>
          </w:pPr>
        </w:p>
        <w:p w14:paraId="51890271" w14:textId="77777777" w:rsidR="00256135" w:rsidRPr="00554FE5" w:rsidRDefault="00256135" w:rsidP="00256135">
          <w:pPr>
            <w:spacing w:before="160"/>
            <w:jc w:val="center"/>
            <w:rPr>
              <w:rFonts w:ascii="Arial" w:hAnsi="Arial" w:cs="Arial"/>
              <w:color w:val="77206D" w:themeColor="accent5" w:themeShade="BF"/>
            </w:rPr>
          </w:pPr>
        </w:p>
        <w:p w14:paraId="0D6EEBF5" w14:textId="77777777" w:rsidR="00256135" w:rsidRPr="00554FE5" w:rsidRDefault="00256135" w:rsidP="00256135">
          <w:pPr>
            <w:spacing w:before="160"/>
            <w:jc w:val="center"/>
            <w:rPr>
              <w:rFonts w:ascii="Arial" w:hAnsi="Arial" w:cs="Arial"/>
              <w:color w:val="77206D" w:themeColor="accent5" w:themeShade="BF"/>
            </w:rPr>
          </w:pPr>
        </w:p>
        <w:p w14:paraId="145BFCC4" w14:textId="77777777" w:rsidR="00256135" w:rsidRPr="00554FE5" w:rsidRDefault="00256135" w:rsidP="00256135">
          <w:pPr>
            <w:spacing w:before="160"/>
            <w:jc w:val="center"/>
            <w:rPr>
              <w:rFonts w:ascii="Arial" w:hAnsi="Arial" w:cs="Arial"/>
              <w:color w:val="77206D" w:themeColor="accent5" w:themeShade="BF"/>
            </w:rPr>
          </w:pPr>
        </w:p>
        <w:p w14:paraId="23DE6E2D" w14:textId="77777777" w:rsidR="00256135" w:rsidRPr="00554FE5" w:rsidRDefault="00256135" w:rsidP="00256135">
          <w:pPr>
            <w:spacing w:before="160"/>
            <w:jc w:val="center"/>
            <w:rPr>
              <w:rFonts w:ascii="Arial" w:hAnsi="Arial" w:cs="Arial"/>
              <w:color w:val="77206D" w:themeColor="accent5" w:themeShade="BF"/>
            </w:rPr>
          </w:pPr>
        </w:p>
        <w:p w14:paraId="47ABD203" w14:textId="77777777" w:rsidR="00256135" w:rsidRPr="00554FE5" w:rsidRDefault="00256135" w:rsidP="00256135">
          <w:pPr>
            <w:spacing w:before="160"/>
            <w:jc w:val="center"/>
            <w:rPr>
              <w:rFonts w:ascii="Arial" w:hAnsi="Arial" w:cs="Arial"/>
              <w:color w:val="77206D" w:themeColor="accent5" w:themeShade="BF"/>
            </w:rPr>
          </w:pPr>
        </w:p>
        <w:p w14:paraId="5EF41BDA" w14:textId="28D08987" w:rsidR="00256135" w:rsidRPr="00554FE5" w:rsidRDefault="00256135" w:rsidP="00256135">
          <w:pPr>
            <w:spacing w:before="160"/>
            <w:jc w:val="center"/>
            <w:rPr>
              <w:rFonts w:ascii="Arial" w:hAnsi="Arial" w:cs="Arial"/>
              <w:color w:val="000000" w:themeColor="text1"/>
            </w:rPr>
          </w:pPr>
          <w:r w:rsidRPr="00554FE5">
            <w:rPr>
              <w:rFonts w:ascii="Arial" w:hAnsi="Arial" w:cs="Arial"/>
              <w:color w:val="000000" w:themeColor="text1"/>
            </w:rPr>
            <w:t xml:space="preserve">Student Name- Berlan Darius-Emanuel-Adrian </w:t>
          </w:r>
        </w:p>
        <w:p w14:paraId="55DD644B" w14:textId="3A2E7006" w:rsidR="00256135" w:rsidRPr="00554FE5" w:rsidRDefault="00256135" w:rsidP="00256135">
          <w:pPr>
            <w:spacing w:before="160"/>
            <w:jc w:val="center"/>
            <w:rPr>
              <w:rFonts w:ascii="Arial" w:hAnsi="Arial" w:cs="Arial"/>
              <w:color w:val="000000" w:themeColor="text1"/>
            </w:rPr>
          </w:pPr>
          <w:r w:rsidRPr="00554FE5">
            <w:rPr>
              <w:rFonts w:ascii="Arial" w:hAnsi="Arial" w:cs="Arial"/>
              <w:color w:val="000000" w:themeColor="text1"/>
            </w:rPr>
            <w:t xml:space="preserve">Lecturer Name- </w:t>
          </w:r>
          <w:r w:rsidR="00CD27AC" w:rsidRPr="00554FE5">
            <w:rPr>
              <w:rFonts w:ascii="Arial" w:hAnsi="Arial" w:cs="Arial"/>
              <w:color w:val="000000" w:themeColor="text1"/>
            </w:rPr>
            <w:t>Kathryn Roberts</w:t>
          </w:r>
        </w:p>
        <w:p w14:paraId="295D72E1" w14:textId="77777777" w:rsidR="00256135" w:rsidRPr="00554FE5" w:rsidRDefault="00256135" w:rsidP="00256135">
          <w:pPr>
            <w:spacing w:before="160"/>
            <w:jc w:val="center"/>
            <w:rPr>
              <w:rFonts w:ascii="Arial" w:hAnsi="Arial" w:cs="Arial"/>
              <w:color w:val="000000" w:themeColor="text1"/>
            </w:rPr>
          </w:pPr>
          <w:r w:rsidRPr="00554FE5">
            <w:rPr>
              <w:rFonts w:ascii="Arial" w:hAnsi="Arial" w:cs="Arial"/>
              <w:color w:val="000000" w:themeColor="text1"/>
            </w:rPr>
            <w:t>Student ID- 2244805</w:t>
          </w:r>
        </w:p>
        <w:p w14:paraId="2873A81A" w14:textId="428AC73E" w:rsidR="00471B94" w:rsidRPr="00554FE5" w:rsidRDefault="00471B94" w:rsidP="00256135">
          <w:pPr>
            <w:spacing w:before="160"/>
            <w:jc w:val="center"/>
            <w:rPr>
              <w:rFonts w:ascii="Arial" w:hAnsi="Arial" w:cs="Arial"/>
              <w:color w:val="000000" w:themeColor="text1"/>
            </w:rPr>
          </w:pPr>
          <w:r w:rsidRPr="00554FE5">
            <w:rPr>
              <w:rFonts w:ascii="Arial" w:hAnsi="Arial" w:cs="Arial"/>
            </w:rPr>
            <w:t>Module code: BMIH5006</w:t>
          </w:r>
        </w:p>
        <w:p w14:paraId="010CEF38" w14:textId="19F7DD30" w:rsidR="00256135" w:rsidRPr="00554FE5" w:rsidRDefault="00256135" w:rsidP="00256135">
          <w:pPr>
            <w:spacing w:before="160"/>
            <w:jc w:val="center"/>
            <w:rPr>
              <w:rFonts w:ascii="Arial" w:hAnsi="Arial" w:cs="Arial"/>
              <w:color w:val="000000" w:themeColor="text1"/>
            </w:rPr>
          </w:pPr>
          <w:r w:rsidRPr="00554FE5">
            <w:rPr>
              <w:rFonts w:ascii="Arial" w:hAnsi="Arial" w:cs="Arial"/>
              <w:color w:val="000000" w:themeColor="text1"/>
            </w:rPr>
            <w:t xml:space="preserve">Module: </w:t>
          </w:r>
          <w:r w:rsidR="00320F51" w:rsidRPr="00554FE5">
            <w:rPr>
              <w:rFonts w:ascii="Arial" w:hAnsi="Arial" w:cs="Arial"/>
              <w:color w:val="000000" w:themeColor="text1"/>
            </w:rPr>
            <w:t>Sustainable Hospitality &amp; Tourism Management</w:t>
          </w:r>
        </w:p>
        <w:p w14:paraId="6841E3C6" w14:textId="0E97CC5C" w:rsidR="00256135" w:rsidRPr="00554FE5" w:rsidRDefault="00256135" w:rsidP="00256135">
          <w:pPr>
            <w:spacing w:before="160"/>
            <w:jc w:val="center"/>
            <w:rPr>
              <w:rFonts w:ascii="Arial" w:hAnsi="Arial" w:cs="Arial"/>
              <w:color w:val="000000" w:themeColor="text1"/>
            </w:rPr>
          </w:pPr>
          <w:r w:rsidRPr="00554FE5">
            <w:rPr>
              <w:rFonts w:ascii="Arial" w:hAnsi="Arial" w:cs="Arial"/>
              <w:color w:val="000000" w:themeColor="text1"/>
            </w:rPr>
            <w:t>Word Count:</w:t>
          </w:r>
          <w:r w:rsidR="00AD4396">
            <w:rPr>
              <w:rFonts w:ascii="Arial" w:hAnsi="Arial" w:cs="Arial"/>
              <w:color w:val="000000" w:themeColor="text1"/>
            </w:rPr>
            <w:t>2153</w:t>
          </w:r>
        </w:p>
        <w:p w14:paraId="66E0B06B" w14:textId="01B64431" w:rsidR="00256135" w:rsidRPr="00554FE5" w:rsidRDefault="00256135" w:rsidP="00256135">
          <w:pPr>
            <w:pStyle w:val="NoSpacing"/>
            <w:spacing w:after="40"/>
            <w:jc w:val="center"/>
            <w:rPr>
              <w:rFonts w:ascii="Arial" w:hAnsi="Arial" w:cs="Arial"/>
              <w:caps/>
              <w:color w:val="808080" w:themeColor="background1" w:themeShade="80"/>
              <w:sz w:val="24"/>
              <w:szCs w:val="24"/>
            </w:rPr>
          </w:pPr>
          <w:r w:rsidRPr="00554FE5">
            <w:rPr>
              <w:rFonts w:ascii="Arial" w:hAnsi="Arial" w:cs="Arial"/>
              <w:color w:val="000000" w:themeColor="text1"/>
              <w:sz w:val="24"/>
              <w:szCs w:val="24"/>
            </w:rPr>
            <w:br w:type="page"/>
          </w:r>
        </w:p>
        <w:p w14:paraId="2E39E9B4" w14:textId="77777777" w:rsidR="00256135" w:rsidRPr="00554FE5" w:rsidRDefault="00256135" w:rsidP="00256135">
          <w:pPr>
            <w:pStyle w:val="NoSpacing"/>
            <w:jc w:val="center"/>
            <w:rPr>
              <w:rFonts w:ascii="Arial" w:hAnsi="Arial" w:cs="Arial"/>
              <w:color w:val="156082" w:themeColor="accent1"/>
              <w:sz w:val="24"/>
              <w:szCs w:val="24"/>
            </w:rPr>
          </w:pPr>
        </w:p>
        <w:p w14:paraId="499FB561" w14:textId="7EC75EFA" w:rsidR="00256135" w:rsidRPr="00554FE5" w:rsidRDefault="00256135">
          <w:pPr>
            <w:rPr>
              <w:rFonts w:ascii="Arial" w:hAnsi="Arial" w:cs="Arial"/>
            </w:rPr>
          </w:pPr>
        </w:p>
        <w:p w14:paraId="005ACE57" w14:textId="77777777" w:rsidR="00256135" w:rsidRPr="00554FE5" w:rsidRDefault="00256135">
          <w:pPr>
            <w:rPr>
              <w:rFonts w:ascii="Arial" w:hAnsi="Arial" w:cs="Arial"/>
            </w:rPr>
          </w:pPr>
        </w:p>
        <w:p w14:paraId="3A5D6415" w14:textId="77777777" w:rsidR="008B7A12" w:rsidRPr="00554FE5" w:rsidRDefault="008B7A12">
          <w:pPr>
            <w:rPr>
              <w:rFonts w:ascii="Arial" w:hAnsi="Arial" w:cs="Arial"/>
            </w:rPr>
          </w:pPr>
        </w:p>
        <w:p w14:paraId="2E7D7BF8" w14:textId="78E29C42" w:rsidR="008B7A12" w:rsidRPr="00554FE5" w:rsidRDefault="00082E4F" w:rsidP="00DC7A9E">
          <w:pPr>
            <w:jc w:val="both"/>
            <w:rPr>
              <w:rFonts w:ascii="Arial" w:hAnsi="Arial" w:cs="Arial"/>
              <w:b/>
              <w:bCs/>
            </w:rPr>
          </w:pPr>
          <w:r w:rsidRPr="00554FE5">
            <w:rPr>
              <w:rFonts w:ascii="Arial" w:hAnsi="Arial" w:cs="Arial"/>
              <w:b/>
              <w:bCs/>
            </w:rPr>
            <w:t>In</w:t>
          </w:r>
          <w:r w:rsidR="002363EA" w:rsidRPr="00554FE5">
            <w:rPr>
              <w:rFonts w:ascii="Arial" w:hAnsi="Arial" w:cs="Arial"/>
              <w:b/>
              <w:bCs/>
            </w:rPr>
            <w:t>tr</w:t>
          </w:r>
          <w:r w:rsidRPr="00554FE5">
            <w:rPr>
              <w:rFonts w:ascii="Arial" w:hAnsi="Arial" w:cs="Arial"/>
              <w:b/>
              <w:bCs/>
            </w:rPr>
            <w:t>oduction</w:t>
          </w:r>
        </w:p>
        <w:p w14:paraId="745B866B" w14:textId="051F040D" w:rsidR="00183A5B" w:rsidRPr="00554FE5" w:rsidRDefault="00183A5B" w:rsidP="00DC7A9E">
          <w:pPr>
            <w:jc w:val="both"/>
            <w:rPr>
              <w:rFonts w:ascii="Arial" w:hAnsi="Arial" w:cs="Arial"/>
            </w:rPr>
          </w:pPr>
          <w:r w:rsidRPr="00554FE5">
            <w:rPr>
              <w:rFonts w:ascii="Arial" w:hAnsi="Arial" w:cs="Arial"/>
            </w:rPr>
            <w:t>While the hotel industry has played a vital role in the global economy, it should be noted that its operations can have (a) substantial impact on the environment (UNEP, 2021). So-called "green practices," also known as sustainable practices, have been a growing focus for hotels looking to reduce their impact on the environment and operate in an eco-friendly way to be more sustainable (Inkson &amp; Minnaert, 2018). Through these activities, they create many other environmentally friendly initiatives such as energy and water conservation as well as waste management and responsible sourcing (Sloan et al., 2017). The incorporation of sustainability in daily operations has advantages and disadvantages. On the one hand, hotels can lower their expenses through careful use of resources and thereby make their brand more appealing to environmentally aware customers (Cone Communications, 2017), as well as such hotels contribute to environmental protection (Haski-Leventhal, 2018). At the same time, the implementation of sustainable practices might require the business to start with an investment (Bohdanowicz, 2006), to change operations (Enz, 2010) and train staff regularly (Baum, 2006). Even if many hotels adopt green initiatives, quite often, they are not sufficient and are not well implemented (Font, 2002).</w:t>
          </w:r>
        </w:p>
        <w:p w14:paraId="6B38E1D2" w14:textId="77777777" w:rsidR="00DC7A9E" w:rsidRPr="00554FE5" w:rsidRDefault="00183A5B" w:rsidP="00DC7A9E">
          <w:pPr>
            <w:jc w:val="both"/>
            <w:rPr>
              <w:rFonts w:ascii="Arial" w:hAnsi="Arial" w:cs="Arial"/>
            </w:rPr>
          </w:pPr>
          <w:r w:rsidRPr="00554FE5">
            <w:rPr>
              <w:rFonts w:ascii="Arial" w:hAnsi="Arial" w:cs="Arial"/>
            </w:rPr>
            <w:t>Premier Inn is one of the major players in the UK's budget hotel industry with hotels in various towns and their presence all over the nation. Although the hotel chain has been committed to environmental responsibility in areas of energy efficiency (Whitbread PLC, 2023), however, some gaps might still exist in their approach to food waste management. Food waste is the biggest difficulty in the hospitality sector causing therefore not only environmental degradation but also economic losses (Gustavsson et al., 2011). This essay will argue that Premier Inn can make a substantial improvement in its sustainability Performance by implementing a more robust and scalable food waste management system. The subsequent sections will detail the specific gap in Premier Inn's current practices, propose a comprehensive solution tailored to its business model, and analyse the potential benefits and challenges associated with its implementation.</w:t>
          </w:r>
        </w:p>
        <w:p w14:paraId="2155AF17" w14:textId="77777777" w:rsidR="00DC7A9E" w:rsidRPr="00554FE5" w:rsidRDefault="00DC7A9E" w:rsidP="00DC7A9E">
          <w:pPr>
            <w:jc w:val="both"/>
            <w:rPr>
              <w:rFonts w:ascii="Arial" w:hAnsi="Arial" w:cs="Arial"/>
            </w:rPr>
          </w:pPr>
        </w:p>
        <w:p w14:paraId="703BAA26" w14:textId="003C38A5" w:rsidR="00082E4F" w:rsidRPr="00554FE5" w:rsidRDefault="00DC7A9E" w:rsidP="00DC7A9E">
          <w:pPr>
            <w:jc w:val="both"/>
            <w:rPr>
              <w:rFonts w:ascii="Arial" w:hAnsi="Arial" w:cs="Arial"/>
            </w:rPr>
          </w:pPr>
          <w:r w:rsidRPr="00554FE5">
            <w:rPr>
              <w:rFonts w:ascii="Arial" w:hAnsi="Arial" w:cs="Arial"/>
              <w:b/>
              <w:bCs/>
            </w:rPr>
            <w:t xml:space="preserve"> Main Body</w:t>
          </w:r>
        </w:p>
        <w:p w14:paraId="41D526DE" w14:textId="1C72AC37" w:rsidR="00DC7A9E" w:rsidRPr="00554FE5" w:rsidRDefault="00DC7A9E" w:rsidP="00DC7A9E">
          <w:pPr>
            <w:jc w:val="both"/>
            <w:rPr>
              <w:rFonts w:ascii="Arial" w:hAnsi="Arial" w:cs="Arial"/>
            </w:rPr>
          </w:pPr>
          <w:r w:rsidRPr="00554FE5">
            <w:rPr>
              <w:rFonts w:ascii="Arial" w:hAnsi="Arial" w:cs="Arial"/>
            </w:rPr>
            <w:t xml:space="preserve">Premier Inn, one of the cases of the budget hotel sector, illustrates a case of a lack of a fully integrative and adaptable waste disposal strategy. Many hotels only adopt a rudimentary recycling procedure, leaving the issue of food waste, which is a main contributor to global warming and resource deficiency, without a proper solution. </w:t>
          </w:r>
          <w:r w:rsidRPr="00554FE5">
            <w:rPr>
              <w:rFonts w:ascii="Arial" w:hAnsi="Arial" w:cs="Arial"/>
            </w:rPr>
            <w:lastRenderedPageBreak/>
            <w:t>Moreover, while Premier Inn seems to be on the right path by taking sustainable activities like energy efficiency improvements into consideration (Whitbread PLC, 2023) is the company not only fails to address the issue of food waste but also has no specific and officially communicated approach to waste reduction in their continuously expanding chain. This research study is based on the guarantee of the development of a food waste management program which is seen as important for the advancement of the green strategy already in place and the fulfilment of the expectations of the clients.</w:t>
          </w:r>
        </w:p>
        <w:p w14:paraId="2940F901" w14:textId="60E262D7" w:rsidR="00DC7A9E" w:rsidRPr="00554FE5" w:rsidRDefault="00DC7A9E" w:rsidP="00DC7A9E">
          <w:pPr>
            <w:jc w:val="both"/>
            <w:rPr>
              <w:rFonts w:ascii="Arial" w:hAnsi="Arial" w:cs="Arial"/>
            </w:rPr>
          </w:pPr>
          <w:r w:rsidRPr="00554FE5">
            <w:rPr>
              <w:rFonts w:ascii="Arial" w:hAnsi="Arial" w:cs="Arial"/>
            </w:rPr>
            <w:t>This initiative comprises a lot of actions such as the use of different strategies that are made to fit the Premier Inn company's particular case. First, the precise measurement and monitoring of food waste are the prerequisites. One of the most crucial parts of the process is the introduction of a method to measure and classify food waste in each of the owned properties, such as waste meters, smart trash cans, or detailed waste audits, to pinpoint areas where the most waste is generated (Bloom et al., 2010). A more flexible yet comprehensive system is necessary due to the varied scenario of locations in Premier Inn, including both city centre hotels and small roadside inns. With this approach the process of dissemination would permit the hotel chain to identify breakdown points related to the waste sources; for example, whether it is the kitchen that is overproducing, lack of proper storage resulting in food spoilage, or if portion sizes are too big. Chain-wide detailed data collection &amp; reporting will lead to a company-wide strategy that focuses on consequences and interventions. This is possible not only if waste is weighed and divided into categories but also if the disposal logs are kept which show, for example, the reason for the waste of food (which might be spoilage, overproduction, or plate waste).</w:t>
          </w:r>
        </w:p>
        <w:p w14:paraId="019C798B" w14:textId="196A2F3B" w:rsidR="006A73E0" w:rsidRPr="00554FE5" w:rsidRDefault="00DC7A9E" w:rsidP="00DC7A9E">
          <w:pPr>
            <w:rPr>
              <w:rFonts w:ascii="Arial" w:hAnsi="Arial" w:cs="Arial"/>
            </w:rPr>
          </w:pPr>
          <w:r w:rsidRPr="00554FE5">
            <w:rPr>
              <w:rFonts w:ascii="Arial" w:hAnsi="Arial" w:cs="Arial"/>
            </w:rPr>
            <w:t xml:space="preserve">Another aim of the initiative is to assist the company in minimizing waste by enhancing menus and portion size management. </w:t>
          </w:r>
          <w:r w:rsidR="006A73E0" w:rsidRPr="00554FE5">
            <w:rPr>
              <w:rFonts w:ascii="Arial" w:hAnsi="Arial" w:cs="Arial"/>
            </w:rPr>
            <w:t>By identifying</w:t>
          </w:r>
          <w:r w:rsidRPr="00554FE5">
            <w:rPr>
              <w:rFonts w:ascii="Arial" w:hAnsi="Arial" w:cs="Arial"/>
            </w:rPr>
            <w:t xml:space="preserve"> the bestselling products and optimizing the food menu by minimizing overproduction, Premier Inn can noticeably cut down the amount of food that goes to waste (WRAP, 2017). With the limited budget of Premier Inn, the development of the menu to ensure that ingredients are fully </w:t>
          </w:r>
          <w:r w:rsidR="006A73E0" w:rsidRPr="00554FE5">
            <w:rPr>
              <w:rFonts w:ascii="Arial" w:hAnsi="Arial" w:cs="Arial"/>
            </w:rPr>
            <w:t>utilised,</w:t>
          </w:r>
          <w:r w:rsidRPr="00554FE5">
            <w:rPr>
              <w:rFonts w:ascii="Arial" w:hAnsi="Arial" w:cs="Arial"/>
            </w:rPr>
            <w:t xml:space="preserve"> and waste is minimal is very necessary. It is also worth noting that the ingredients used in a few different items will eliminate the need to buy and store many products. Introducing portion control techniques such as varying size or letting customers decide would also be able to add to wastage minimization. So, one way is by explaining to customers what portion, the hotel is using and how it is their venture to waste no food, they might start their lifestyle </w:t>
          </w:r>
          <w:r w:rsidR="006A73E0" w:rsidRPr="00554FE5">
            <w:rPr>
              <w:rFonts w:ascii="Arial" w:hAnsi="Arial" w:cs="Arial"/>
            </w:rPr>
            <w:t xml:space="preserve">and </w:t>
          </w:r>
          <w:r w:rsidRPr="00554FE5">
            <w:rPr>
              <w:rFonts w:ascii="Arial" w:hAnsi="Arial" w:cs="Arial"/>
            </w:rPr>
            <w:t>life. It can include signs showing the environmental impact of food waste as well as the hotel's commitment to reducing it.</w:t>
          </w:r>
        </w:p>
        <w:p w14:paraId="7EB570F1" w14:textId="7A0D14C5" w:rsidR="006A73E0" w:rsidRPr="00554FE5" w:rsidRDefault="006A73E0" w:rsidP="006A73E0">
          <w:pPr>
            <w:rPr>
              <w:rFonts w:ascii="Arial" w:hAnsi="Arial" w:cs="Arial"/>
            </w:rPr>
          </w:pPr>
          <w:r w:rsidRPr="00554FE5">
            <w:rPr>
              <w:rFonts w:ascii="Arial" w:hAnsi="Arial" w:cs="Arial"/>
            </w:rPr>
            <w:t xml:space="preserve">Fourthly, experiencing the number will increase food donations and composting. Food that should have been thrown away though it was still eatable can be delivered to charities or food banks near the hotel, which means that the hotel takes a step in the direction of solving the problem of food insecurity, not to mention that it, therefore, has the chance to diminish waste (Food Donation Connection, n.d.). </w:t>
          </w:r>
          <w:r w:rsidRPr="00554FE5">
            <w:rPr>
              <w:rFonts w:ascii="Arial" w:hAnsi="Arial" w:cs="Arial"/>
            </w:rPr>
            <w:lastRenderedPageBreak/>
            <w:t>Regarding the cooperation of the hotel with the food banks and the charities in the corresponding location, it has absolute significance. Such a task receives such challenges and so needs a master plan the implementation of which involves extreme care to make sure that the food is safe and hygiene norms are strictly observed. The proper way of removing waste food is to pack it correctly, to give it a label, and deliver it to the place where it is needed. The process of food collection along with contact with a local food bank for collection is a good example. Specifically, composting is a sustainable option to eliminate waste from the landfill. Through this procedure, we change waste food into compost which can be then utilized in the hotel's garden or donated to farmers and local community gardeners (EPA, 2021). The large-sized hotels have the choice to buy on-site compost systems. The category of small hotels should be considering waste processing sites or specialized companies that deal with the processing of biodegradable matter to get their organic waste processed. The staff members are responsible for collecting and removing waste from different parts of the facility and transporting it to the composting area.</w:t>
          </w:r>
        </w:p>
        <w:p w14:paraId="11BAD121" w14:textId="77777777" w:rsidR="006A73E0" w:rsidRPr="00554FE5" w:rsidRDefault="006A73E0" w:rsidP="006A73E0">
          <w:pPr>
            <w:rPr>
              <w:rFonts w:ascii="Arial" w:hAnsi="Arial" w:cs="Arial"/>
            </w:rPr>
          </w:pPr>
          <w:r w:rsidRPr="00554FE5">
            <w:rPr>
              <w:rFonts w:ascii="Arial" w:hAnsi="Arial" w:cs="Arial"/>
            </w:rPr>
            <w:t>Training and the awareness of the staff are the most important things in winning the program. Educating the employees from all the levels of the hotel, from the kitchen workers to the front desk staff, about the need of food waste reduction, proper food handling and storage techniques, and the various aspects of the program are the most effective way of ensuring their active participation and cooperation (Gustavsson et al., 2011). Regulations that mandate training sessions among the workers are one of the mechanisms that can promote sustainability practice. The acknowledgment and rewarding of the staff experiencing excellent waste reduction techniques may be some of the ways to go which the hotel management involves its personnel in the program. The involvement of staff members in the project is quite likely if they are informed about its objectives and achievements and at the same time they are allowed to actively be part of it. For example, the hotel could upload and reveal how much food waste has been reduced every month.</w:t>
          </w:r>
        </w:p>
        <w:p w14:paraId="46F590F7" w14:textId="77777777" w:rsidR="006A73E0" w:rsidRPr="00554FE5" w:rsidRDefault="006A73E0" w:rsidP="006A73E0">
          <w:pPr>
            <w:rPr>
              <w:rFonts w:ascii="Arial" w:hAnsi="Arial" w:cs="Arial"/>
            </w:rPr>
          </w:pPr>
          <w:r w:rsidRPr="00554FE5">
            <w:rPr>
              <w:rFonts w:ascii="Arial" w:hAnsi="Arial" w:cs="Arial"/>
            </w:rPr>
            <w:t>Some of the hotel chains and the businesses have incredibly effected comparable food waste management tactics. An example is of Accor, a big international hotel chain, which has been the first and only to introduce their waste reduction program "Too Good to Go". The objectives and the ideas of this program are as follows: portion management, when cooking the menu, and giving away food items. Many of Minneapolis St. Paul properties which copped to the waste at their facilities and others that actually managed to cut their waste by 30% saw an Accor property get overhauled with waste management (Accor, n.d.). They have teamed up with the "Too Good To Go" app to save and make money by selling extra food on a discount. This tactic was not only a success story, but it seems to be a perfect way for a huge global company to conduct its business also. The process of outdistancing the industry and gaining insights from competitions and other hotels will help them firstly.</w:t>
          </w:r>
        </w:p>
        <w:p w14:paraId="744B339D" w14:textId="4CAB90E1" w:rsidR="00256135" w:rsidRPr="00554FE5" w:rsidRDefault="006A73E0" w:rsidP="006A73E0">
          <w:pPr>
            <w:rPr>
              <w:rFonts w:ascii="Arial" w:hAnsi="Arial" w:cs="Arial"/>
            </w:rPr>
          </w:pPr>
          <w:r w:rsidRPr="00554FE5">
            <w:rPr>
              <w:rFonts w:ascii="Arial" w:hAnsi="Arial" w:cs="Arial"/>
            </w:rPr>
            <w:lastRenderedPageBreak/>
            <w:t xml:space="preserve">A waste management food program that is introduced in Premier Inn will be the most suitable for the company to take advantage of. The program that reduces carbon emissions in tourism worldwide by reducing the gas emissions that are related to food waste landfills is the program that makes it so environment-friendly on a global basis (UNEP, 2021). Additionally, the program is capable of conserving other natural resources, such as water and land that we conventionally use in food production, by the way of example. On top of that, the program can, from an economic point of view, represent a source of savings due to banked-up waste fees, the company's purchase of small amounts of food, and the possibility of tax deductions for the food </w:t>
          </w:r>
          <w:r w:rsidR="00554FE5" w:rsidRPr="00554FE5">
            <w:rPr>
              <w:rFonts w:ascii="Arial" w:hAnsi="Arial" w:cs="Arial"/>
            </w:rPr>
            <w:t>donations</w:t>
          </w:r>
          <w:r w:rsidRPr="00554FE5">
            <w:rPr>
              <w:rFonts w:ascii="Arial" w:hAnsi="Arial" w:cs="Arial"/>
            </w:rPr>
            <w:t xml:space="preserve"> (EPA, 2019). On top of that, it boosts </w:t>
          </w:r>
          <w:r w:rsidR="00554FE5" w:rsidRPr="00554FE5">
            <w:rPr>
              <w:rFonts w:ascii="Arial" w:hAnsi="Arial" w:cs="Arial"/>
            </w:rPr>
            <w:t xml:space="preserve">the </w:t>
          </w:r>
          <w:r w:rsidRPr="00554FE5">
            <w:rPr>
              <w:rFonts w:ascii="Arial" w:hAnsi="Arial" w:cs="Arial"/>
            </w:rPr>
            <w:t>eco-friendliness the corporate identity of Premier Inn and enhances the hotel's popularity with eco-</w:t>
          </w:r>
          <w:r w:rsidR="00554FE5" w:rsidRPr="00554FE5">
            <w:rPr>
              <w:rFonts w:ascii="Arial" w:hAnsi="Arial" w:cs="Arial"/>
            </w:rPr>
            <w:t>travellers</w:t>
          </w:r>
          <w:r w:rsidRPr="00554FE5">
            <w:rPr>
              <w:rFonts w:ascii="Arial" w:hAnsi="Arial" w:cs="Arial"/>
            </w:rPr>
            <w:t xml:space="preserve"> (Sustainable Travel International, 2020). With the growing sustainability demands of the consumer, a company could use it as a key differentiating factor to attract the interest of both, buyers as well as, investors.</w:t>
          </w:r>
        </w:p>
      </w:sdtContent>
    </w:sdt>
    <w:p w14:paraId="448ADAE7" w14:textId="6CE1DE94" w:rsidR="00554FE5" w:rsidRPr="00554FE5" w:rsidRDefault="00554FE5" w:rsidP="00554FE5">
      <w:pPr>
        <w:rPr>
          <w:rFonts w:ascii="Arial" w:hAnsi="Arial" w:cs="Arial"/>
        </w:rPr>
      </w:pPr>
      <w:r w:rsidRPr="00554FE5">
        <w:rPr>
          <w:rFonts w:ascii="Arial" w:hAnsi="Arial" w:cs="Arial"/>
        </w:rPr>
        <w:t>However, the project may not be resistant to a couple of inevitable issues concerning the course of its application. One of them is the acquisition of primary resources; for instance, should there be a necessity to buy some equipment that will be used, a case of smart bins or composting systems is an example. Staff members are expected to spend time and resources on training and monitoring the process. Therefore, finding the right partners for food donation and composting especially in the various locations of the Premier Inn hotels globally is a matter of concern. Hence, locating the food banks and composting facilities in each location where Premier Inn operates is a very challenging and time-consuming task. As a result, both the staff and the guests are the lifeblood of the company and thus must be availed of at all times. Communication is highly vital and that is why these procedures are the first and the most important in addressing the problems encountered. It may even demand that the department design leaflets to educate the guests or that the employees organize internal communication campaigns.</w:t>
      </w:r>
    </w:p>
    <w:p w14:paraId="0101B363" w14:textId="77777777" w:rsidR="00AD4396" w:rsidRDefault="00AD4396" w:rsidP="00554FE5">
      <w:pPr>
        <w:rPr>
          <w:rFonts w:ascii="Arial" w:hAnsi="Arial" w:cs="Arial"/>
        </w:rPr>
      </w:pPr>
    </w:p>
    <w:p w14:paraId="7C4EFF85" w14:textId="57C022BE" w:rsidR="00E52CE2" w:rsidRDefault="00E10062" w:rsidP="00554FE5">
      <w:pPr>
        <w:rPr>
          <w:rFonts w:ascii="Arial" w:hAnsi="Arial" w:cs="Arial"/>
          <w:b/>
          <w:bCs/>
        </w:rPr>
      </w:pPr>
      <w:r>
        <w:rPr>
          <w:rFonts w:ascii="Arial" w:hAnsi="Arial" w:cs="Arial"/>
          <w:b/>
          <w:bCs/>
        </w:rPr>
        <w:t xml:space="preserve">Conclusion </w:t>
      </w:r>
    </w:p>
    <w:p w14:paraId="2E29B9F1" w14:textId="7CED115E" w:rsidR="00E10062" w:rsidRDefault="00AC3437" w:rsidP="00554FE5">
      <w:pPr>
        <w:rPr>
          <w:rFonts w:ascii="Arial" w:hAnsi="Arial" w:cs="Arial"/>
        </w:rPr>
      </w:pPr>
      <w:r w:rsidRPr="00AC3437">
        <w:rPr>
          <w:rFonts w:ascii="Arial" w:hAnsi="Arial" w:cs="Arial"/>
        </w:rPr>
        <w:t xml:space="preserve">To cap it all, this article found out that there is a major hole in Premier Inn's current sustainability practices: the absence of a solid, comprehensive, and scalable food waste management program.  One of the most important things to improve environmental performance is a sustainable approach to organic waste management. The proposed multi-faceted program, which involves a combination of the right measurement and tracking, menu optimization and portion control, food donation, composting, and comprehensive staff training, offers a realistic and still cost-effective solution.  Through the implementation of this program, Premier Inn can achieve the reduction in their carbon footprint and conservation of energy through the decreased greenhouse gas emissions and also the resources conservation. In addition, Premier Inn can make a good economy, in terms, of savings on food costs </w:t>
      </w:r>
      <w:r w:rsidRPr="00AC3437">
        <w:rPr>
          <w:rFonts w:ascii="Arial" w:hAnsi="Arial" w:cs="Arial"/>
        </w:rPr>
        <w:lastRenderedPageBreak/>
        <w:t>and landfill surcharges.  Moreover, the program provides a chance to build the brand's reputation as it meets environmental consciousness, as such, the hotel can attract the growing segment of environmentally conscious travelers and be seen as a pioneer in sustainable hospitality. Whereas issues such as upfront input costs, staff training, and logistical problems related to food donation and composting are still there, they can be solved by proper planning, forming alliances, and regular control. The advantages to be gained, which include cost savings, improved brand image, and an outstanding contribution to environmental sustainability, are far greater than the hurdles.  In essence, a proper food waste management program is not only a socially conscientious decision but it is also a strategic move to remain successful in the ever-competitive market, which is focused more and more on sustainability.</w:t>
      </w:r>
    </w:p>
    <w:p w14:paraId="48986A37" w14:textId="77777777" w:rsidR="00AC3437" w:rsidRDefault="00AC3437" w:rsidP="00554FE5">
      <w:pPr>
        <w:rPr>
          <w:rFonts w:ascii="Arial" w:hAnsi="Arial" w:cs="Arial"/>
        </w:rPr>
      </w:pPr>
    </w:p>
    <w:p w14:paraId="317D0452" w14:textId="4619C4A3" w:rsidR="00AC3437" w:rsidRDefault="00AC3437" w:rsidP="00554FE5">
      <w:pPr>
        <w:rPr>
          <w:rFonts w:ascii="Arial" w:hAnsi="Arial" w:cs="Arial"/>
          <w:b/>
          <w:bCs/>
        </w:rPr>
      </w:pPr>
      <w:r w:rsidRPr="00AC3437">
        <w:rPr>
          <w:rFonts w:ascii="Arial" w:hAnsi="Arial" w:cs="Arial"/>
          <w:b/>
          <w:bCs/>
        </w:rPr>
        <w:t xml:space="preserve">References </w:t>
      </w:r>
    </w:p>
    <w:p w14:paraId="7127369D" w14:textId="1DCEDDDE" w:rsidR="00B274CE" w:rsidRDefault="00B274CE" w:rsidP="00440F62">
      <w:pPr>
        <w:pStyle w:val="NormalWeb"/>
      </w:pPr>
      <w:r>
        <w:t xml:space="preserve">Accor. (2022). </w:t>
      </w:r>
      <w:r>
        <w:rPr>
          <w:rStyle w:val="Emphasis"/>
          <w:rFonts w:eastAsiaTheme="majorEastAsia"/>
        </w:rPr>
        <w:t>Putting sustainability on the table every day: how we are future proofing our Food &amp; Beverage strategy</w:t>
      </w:r>
      <w:r>
        <w:t xml:space="preserve">. Retrieved from </w:t>
      </w:r>
      <w:hyperlink r:id="rId13" w:tgtFrame="_blank" w:history="1">
        <w:r>
          <w:rPr>
            <w:rStyle w:val="Hyperlink"/>
            <w:rFonts w:eastAsiaTheme="majorEastAsia"/>
          </w:rPr>
          <w:t>https://group.accor.com/en/Actualites/2022/04/food-beverage-sustainability</w:t>
        </w:r>
      </w:hyperlink>
    </w:p>
    <w:p w14:paraId="4EAE63DE" w14:textId="52891CEB" w:rsidR="00440F62" w:rsidRDefault="00440F62" w:rsidP="00440F62">
      <w:pPr>
        <w:pStyle w:val="NormalWeb"/>
      </w:pPr>
      <w:r>
        <w:t xml:space="preserve">Baum, T. (2006). </w:t>
      </w:r>
      <w:r>
        <w:rPr>
          <w:rStyle w:val="Emphasis"/>
          <w:rFonts w:eastAsiaTheme="majorEastAsia"/>
        </w:rPr>
        <w:t>Human resource management for tourism, hospitality and leisure: An international perspective</w:t>
      </w:r>
      <w:r>
        <w:t>. Routledge.</w:t>
      </w:r>
    </w:p>
    <w:p w14:paraId="133A09F4" w14:textId="77777777" w:rsidR="00440F62" w:rsidRDefault="00440F62" w:rsidP="00440F62">
      <w:pPr>
        <w:pStyle w:val="NormalWeb"/>
      </w:pPr>
      <w:r>
        <w:t xml:space="preserve">Bloom, N., Van Reenen, J., &amp; Yeh, M. (2010). The impact of uncertainty shocks. </w:t>
      </w:r>
      <w:r>
        <w:rPr>
          <w:rStyle w:val="Emphasis"/>
          <w:rFonts w:eastAsiaTheme="majorEastAsia"/>
        </w:rPr>
        <w:t>Econometrica</w:t>
      </w:r>
      <w:r>
        <w:t xml:space="preserve">, </w:t>
      </w:r>
      <w:r>
        <w:rPr>
          <w:rStyle w:val="Emphasis"/>
          <w:rFonts w:eastAsiaTheme="majorEastAsia"/>
        </w:rPr>
        <w:t>78</w:t>
      </w:r>
      <w:r>
        <w:t>(3), 623-685.</w:t>
      </w:r>
    </w:p>
    <w:p w14:paraId="349C8200" w14:textId="77777777" w:rsidR="00440F62" w:rsidRDefault="00440F62" w:rsidP="00440F62">
      <w:pPr>
        <w:pStyle w:val="NormalWeb"/>
      </w:pPr>
      <w:r>
        <w:t xml:space="preserve">Bohdanowicz, P. (2006). Sustainable tourism: A critical review. </w:t>
      </w:r>
      <w:r>
        <w:rPr>
          <w:rStyle w:val="Emphasis"/>
          <w:rFonts w:eastAsiaTheme="majorEastAsia"/>
        </w:rPr>
        <w:t>Journal of Sustainable Tourism</w:t>
      </w:r>
      <w:r>
        <w:t xml:space="preserve">, </w:t>
      </w:r>
      <w:r>
        <w:rPr>
          <w:rStyle w:val="Emphasis"/>
          <w:rFonts w:eastAsiaTheme="majorEastAsia"/>
        </w:rPr>
        <w:t>14</w:t>
      </w:r>
      <w:r>
        <w:t>(6), 633-651.</w:t>
      </w:r>
    </w:p>
    <w:p w14:paraId="733401DA" w14:textId="77777777" w:rsidR="00440F62" w:rsidRDefault="00440F62" w:rsidP="00440F62">
      <w:pPr>
        <w:pStyle w:val="NormalWeb"/>
      </w:pPr>
      <w:r>
        <w:t xml:space="preserve">Cone Communications. (2017). </w:t>
      </w:r>
      <w:r>
        <w:rPr>
          <w:rStyle w:val="Emphasis"/>
          <w:rFonts w:eastAsiaTheme="majorEastAsia"/>
        </w:rPr>
        <w:t>2017 Cone Communications CSR Study</w:t>
      </w:r>
      <w:r>
        <w:t>. Cone Communications.</w:t>
      </w:r>
    </w:p>
    <w:p w14:paraId="2D380FD1" w14:textId="77777777" w:rsidR="00440F62" w:rsidRDefault="00440F62" w:rsidP="00440F62">
      <w:pPr>
        <w:pStyle w:val="NormalWeb"/>
      </w:pPr>
      <w:r>
        <w:t xml:space="preserve">Enz, C. A. (2010). </w:t>
      </w:r>
      <w:r>
        <w:rPr>
          <w:rStyle w:val="Emphasis"/>
          <w:rFonts w:eastAsiaTheme="majorEastAsia"/>
        </w:rPr>
        <w:t>The Cornell School of Hotel Administration handbook of applied hospitality strategy</w:t>
      </w:r>
      <w:r>
        <w:t>. Sage.</w:t>
      </w:r>
    </w:p>
    <w:p w14:paraId="5AC39612" w14:textId="77777777" w:rsidR="00440F62" w:rsidRDefault="00440F62" w:rsidP="00440F62">
      <w:pPr>
        <w:pStyle w:val="NormalWeb"/>
      </w:pPr>
      <w:r>
        <w:t xml:space="preserve">EPA. (2019). </w:t>
      </w:r>
      <w:r>
        <w:rPr>
          <w:rStyle w:val="Emphasis"/>
          <w:rFonts w:eastAsiaTheme="majorEastAsia"/>
        </w:rPr>
        <w:t>Reducing Wasted Food Through Composting and Food Donation</w:t>
      </w:r>
      <w:r>
        <w:t>. Environmental Protection Agency.</w:t>
      </w:r>
    </w:p>
    <w:p w14:paraId="1C6125E1" w14:textId="77777777" w:rsidR="00440F62" w:rsidRDefault="00440F62" w:rsidP="00440F62">
      <w:pPr>
        <w:pStyle w:val="NormalWeb"/>
      </w:pPr>
      <w:r>
        <w:t xml:space="preserve">EPA. (2021). </w:t>
      </w:r>
      <w:r>
        <w:rPr>
          <w:rStyle w:val="Emphasis"/>
          <w:rFonts w:eastAsiaTheme="majorEastAsia"/>
        </w:rPr>
        <w:t>Food Donation</w:t>
      </w:r>
      <w:r>
        <w:t>. Environmental Protection Agency.</w:t>
      </w:r>
    </w:p>
    <w:p w14:paraId="55F6ED72" w14:textId="77777777" w:rsidR="00440F62" w:rsidRDefault="00440F62" w:rsidP="00440F62">
      <w:pPr>
        <w:pStyle w:val="NormalWeb"/>
      </w:pPr>
      <w:r>
        <w:t xml:space="preserve">Food Donation Connection. (n.d.). </w:t>
      </w:r>
      <w:r>
        <w:rPr>
          <w:rStyle w:val="Emphasis"/>
          <w:rFonts w:eastAsiaTheme="majorEastAsia"/>
        </w:rPr>
        <w:t>About Food Donation</w:t>
      </w:r>
      <w:r>
        <w:t xml:space="preserve">. Food Donation Connection. </w:t>
      </w:r>
      <w:r>
        <w:rPr>
          <w:rStyle w:val="Emphasis"/>
          <w:rFonts w:eastAsiaTheme="majorEastAsia"/>
        </w:rPr>
        <w:t>(You should try to find a date for this if possible)</w:t>
      </w:r>
    </w:p>
    <w:p w14:paraId="7D001DE7" w14:textId="77777777" w:rsidR="00440F62" w:rsidRDefault="00440F62" w:rsidP="00440F62">
      <w:pPr>
        <w:pStyle w:val="NormalWeb"/>
      </w:pPr>
      <w:r>
        <w:t xml:space="preserve">Font, X. (2002). Environmental management in the hospitality industry: A critical review. </w:t>
      </w:r>
      <w:r>
        <w:rPr>
          <w:rStyle w:val="Emphasis"/>
          <w:rFonts w:eastAsiaTheme="majorEastAsia"/>
        </w:rPr>
        <w:t>International Journal of Hospitality Management</w:t>
      </w:r>
      <w:r>
        <w:t xml:space="preserve">, </w:t>
      </w:r>
      <w:r>
        <w:rPr>
          <w:rStyle w:val="Emphasis"/>
          <w:rFonts w:eastAsiaTheme="majorEastAsia"/>
        </w:rPr>
        <w:t>21</w:t>
      </w:r>
      <w:r>
        <w:t>(2), 195-210.</w:t>
      </w:r>
    </w:p>
    <w:p w14:paraId="088831EA" w14:textId="77777777" w:rsidR="00440F62" w:rsidRDefault="00440F62" w:rsidP="00440F62">
      <w:pPr>
        <w:pStyle w:val="NormalWeb"/>
      </w:pPr>
      <w:r>
        <w:rPr>
          <w:rStyle w:val="citation-0"/>
          <w:rFonts w:eastAsiaTheme="majorEastAsia"/>
        </w:rPr>
        <w:t xml:space="preserve">Gustavsson, J., Cederberg, C., Sonesson, U., van Otterdijk, R., &amp; Meybeck, A. (2011). </w:t>
      </w:r>
      <w:r>
        <w:rPr>
          <w:rStyle w:val="citation-0"/>
          <w:rFonts w:eastAsiaTheme="majorEastAsia"/>
          <w:i/>
          <w:iCs/>
        </w:rPr>
        <w:t>Global food losses and food waste</w:t>
      </w:r>
      <w:r>
        <w:rPr>
          <w:rStyle w:val="citation-0"/>
          <w:rFonts w:eastAsiaTheme="majorEastAsia"/>
        </w:rPr>
        <w:t>. Food and Agriculture Organization of the United Nations.</w:t>
      </w:r>
      <w:r>
        <w:rPr>
          <w:rStyle w:val="button-container"/>
          <w:rFonts w:eastAsiaTheme="majorEastAsia"/>
        </w:rPr>
        <w:t xml:space="preserve">   </w:t>
      </w:r>
    </w:p>
    <w:p w14:paraId="6BEF8F62" w14:textId="77777777" w:rsidR="00440F62" w:rsidRDefault="00440F62" w:rsidP="00440F62">
      <w:pPr>
        <w:pStyle w:val="NormalWeb"/>
      </w:pPr>
      <w:r>
        <w:lastRenderedPageBreak/>
        <w:t xml:space="preserve">Haski-Leventhal, D. (2018). </w:t>
      </w:r>
      <w:r>
        <w:rPr>
          <w:rStyle w:val="Emphasis"/>
          <w:rFonts w:eastAsiaTheme="majorEastAsia"/>
        </w:rPr>
        <w:t>The sustainability of the hospitality industry</w:t>
      </w:r>
      <w:r>
        <w:t>. Routledge.</w:t>
      </w:r>
    </w:p>
    <w:p w14:paraId="605C9757" w14:textId="77777777" w:rsidR="00440F62" w:rsidRDefault="00440F62" w:rsidP="00440F62">
      <w:pPr>
        <w:pStyle w:val="NormalWeb"/>
      </w:pPr>
      <w:r>
        <w:t xml:space="preserve">Inkson, K., &amp; Minnaert, S. (2018). </w:t>
      </w:r>
      <w:r>
        <w:rPr>
          <w:rStyle w:val="Emphasis"/>
          <w:rFonts w:eastAsiaTheme="majorEastAsia"/>
        </w:rPr>
        <w:t>Tourism management: An introduction</w:t>
      </w:r>
      <w:r>
        <w:t>. Routledge.</w:t>
      </w:r>
    </w:p>
    <w:p w14:paraId="5B26BE71" w14:textId="77777777" w:rsidR="00440F62" w:rsidRDefault="00440F62" w:rsidP="00440F62">
      <w:pPr>
        <w:pStyle w:val="NormalWeb"/>
      </w:pPr>
      <w:r>
        <w:t xml:space="preserve">Sloan, P., Legrand, W., &amp; Chen, Y. (2017). </w:t>
      </w:r>
      <w:r>
        <w:rPr>
          <w:rStyle w:val="Emphasis"/>
          <w:rFonts w:eastAsiaTheme="majorEastAsia"/>
        </w:rPr>
        <w:t>Sustainability in the hospitality industry: Principles and practice</w:t>
      </w:r>
      <w:r>
        <w:t>. Routledge.</w:t>
      </w:r>
    </w:p>
    <w:p w14:paraId="7864ED15" w14:textId="77777777" w:rsidR="00440F62" w:rsidRDefault="00440F62" w:rsidP="00440F62">
      <w:pPr>
        <w:pStyle w:val="NormalWeb"/>
      </w:pPr>
      <w:r>
        <w:t xml:space="preserve">Sustainable Travel International. (2020). </w:t>
      </w:r>
      <w:r>
        <w:rPr>
          <w:rStyle w:val="Emphasis"/>
          <w:rFonts w:eastAsiaTheme="majorEastAsia"/>
        </w:rPr>
        <w:t>The Future of Sustainable Tourism</w:t>
      </w:r>
      <w:r>
        <w:t>. Sustainable Travel International.</w:t>
      </w:r>
    </w:p>
    <w:p w14:paraId="52E83E61" w14:textId="77777777" w:rsidR="00440F62" w:rsidRDefault="00440F62" w:rsidP="00440F62">
      <w:pPr>
        <w:pStyle w:val="NormalWeb"/>
      </w:pPr>
      <w:r>
        <w:t xml:space="preserve">UNEP. (2021). </w:t>
      </w:r>
      <w:r>
        <w:rPr>
          <w:rStyle w:val="Emphasis"/>
          <w:rFonts w:eastAsiaTheme="majorEastAsia"/>
        </w:rPr>
        <w:t>Food Waste Index Report 2021</w:t>
      </w:r>
      <w:r>
        <w:t>. United Nations Environment Programme.</w:t>
      </w:r>
    </w:p>
    <w:p w14:paraId="32AE03E7" w14:textId="77777777" w:rsidR="00440F62" w:rsidRDefault="00440F62" w:rsidP="00440F62">
      <w:pPr>
        <w:pStyle w:val="NormalWeb"/>
      </w:pPr>
      <w:r>
        <w:t xml:space="preserve">Whitbread PLC. (2023). </w:t>
      </w:r>
      <w:r>
        <w:rPr>
          <w:rStyle w:val="Emphasis"/>
          <w:rFonts w:eastAsiaTheme="majorEastAsia"/>
        </w:rPr>
        <w:t>Force for Good</w:t>
      </w:r>
      <w:r>
        <w:t>. Whitbread PLC.</w:t>
      </w:r>
    </w:p>
    <w:p w14:paraId="58D887A3" w14:textId="77777777" w:rsidR="00440F62" w:rsidRDefault="00440F62" w:rsidP="00440F62">
      <w:pPr>
        <w:pStyle w:val="NormalWeb"/>
      </w:pPr>
      <w:r>
        <w:t xml:space="preserve">WRAP. (2017). </w:t>
      </w:r>
      <w:r>
        <w:rPr>
          <w:rStyle w:val="Emphasis"/>
          <w:rFonts w:eastAsiaTheme="majorEastAsia"/>
        </w:rPr>
        <w:t>Food Waste: Your Business is the Solution</w:t>
      </w:r>
      <w:r>
        <w:t>. Waste and Resources Action Programme.</w:t>
      </w:r>
    </w:p>
    <w:p w14:paraId="4B71A100" w14:textId="77777777" w:rsidR="00AC3437" w:rsidRPr="00AC3437" w:rsidRDefault="00AC3437" w:rsidP="00554FE5">
      <w:pPr>
        <w:rPr>
          <w:rFonts w:ascii="Arial" w:hAnsi="Arial" w:cs="Arial"/>
          <w:b/>
          <w:bCs/>
        </w:rPr>
      </w:pPr>
    </w:p>
    <w:sectPr w:rsidR="00AC3437" w:rsidRPr="00AC3437" w:rsidSect="002561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50E18" w14:textId="77777777" w:rsidR="000060F2" w:rsidRDefault="000060F2" w:rsidP="00CE752F">
      <w:pPr>
        <w:spacing w:after="0" w:line="240" w:lineRule="auto"/>
      </w:pPr>
      <w:r>
        <w:separator/>
      </w:r>
    </w:p>
  </w:endnote>
  <w:endnote w:type="continuationSeparator" w:id="0">
    <w:p w14:paraId="3E3C40EA" w14:textId="77777777" w:rsidR="000060F2" w:rsidRDefault="000060F2" w:rsidP="00CE752F">
      <w:pPr>
        <w:spacing w:after="0" w:line="240" w:lineRule="auto"/>
      </w:pPr>
      <w:r>
        <w:continuationSeparator/>
      </w:r>
    </w:p>
  </w:endnote>
  <w:endnote w:type="continuationNotice" w:id="1">
    <w:p w14:paraId="7000A806" w14:textId="77777777" w:rsidR="009C13ED" w:rsidRDefault="009C13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1CA88" w14:textId="77777777" w:rsidR="000060F2" w:rsidRDefault="000060F2" w:rsidP="00CE752F">
      <w:pPr>
        <w:spacing w:after="0" w:line="240" w:lineRule="auto"/>
      </w:pPr>
      <w:r>
        <w:separator/>
      </w:r>
    </w:p>
  </w:footnote>
  <w:footnote w:type="continuationSeparator" w:id="0">
    <w:p w14:paraId="77739D84" w14:textId="77777777" w:rsidR="000060F2" w:rsidRDefault="000060F2" w:rsidP="00CE752F">
      <w:pPr>
        <w:spacing w:after="0" w:line="240" w:lineRule="auto"/>
      </w:pPr>
      <w:r>
        <w:continuationSeparator/>
      </w:r>
    </w:p>
  </w:footnote>
  <w:footnote w:type="continuationNotice" w:id="1">
    <w:p w14:paraId="2C01DF50" w14:textId="77777777" w:rsidR="009C13ED" w:rsidRDefault="009C13E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135"/>
    <w:rsid w:val="000060F2"/>
    <w:rsid w:val="00082E4F"/>
    <w:rsid w:val="000C5D01"/>
    <w:rsid w:val="00157CC5"/>
    <w:rsid w:val="00183A5B"/>
    <w:rsid w:val="002363EA"/>
    <w:rsid w:val="00256135"/>
    <w:rsid w:val="00300CD4"/>
    <w:rsid w:val="00320F51"/>
    <w:rsid w:val="003F0B88"/>
    <w:rsid w:val="00440F62"/>
    <w:rsid w:val="00455BC1"/>
    <w:rsid w:val="0046363F"/>
    <w:rsid w:val="00471B94"/>
    <w:rsid w:val="004F0EFB"/>
    <w:rsid w:val="00554FE5"/>
    <w:rsid w:val="005D44D5"/>
    <w:rsid w:val="00605043"/>
    <w:rsid w:val="006A73E0"/>
    <w:rsid w:val="006F2E6A"/>
    <w:rsid w:val="007107A5"/>
    <w:rsid w:val="0073418C"/>
    <w:rsid w:val="00802886"/>
    <w:rsid w:val="00827334"/>
    <w:rsid w:val="00842088"/>
    <w:rsid w:val="008B7A12"/>
    <w:rsid w:val="008C083D"/>
    <w:rsid w:val="00917ACA"/>
    <w:rsid w:val="009C13ED"/>
    <w:rsid w:val="00AC3437"/>
    <w:rsid w:val="00AD4396"/>
    <w:rsid w:val="00B274CE"/>
    <w:rsid w:val="00B63ABD"/>
    <w:rsid w:val="00CD27AC"/>
    <w:rsid w:val="00CE752F"/>
    <w:rsid w:val="00D8434B"/>
    <w:rsid w:val="00DC7A9E"/>
    <w:rsid w:val="00E10062"/>
    <w:rsid w:val="00E52998"/>
    <w:rsid w:val="00E52CE2"/>
    <w:rsid w:val="00EF6F5E"/>
    <w:rsid w:val="00F74F6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B0E973"/>
  <w15:chartTrackingRefBased/>
  <w15:docId w15:val="{082F09DA-529A-463E-99B0-B1B2B9FB6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1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61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61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61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61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61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61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61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61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1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61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61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61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61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61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61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61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6135"/>
    <w:rPr>
      <w:rFonts w:eastAsiaTheme="majorEastAsia" w:cstheme="majorBidi"/>
      <w:color w:val="272727" w:themeColor="text1" w:themeTint="D8"/>
    </w:rPr>
  </w:style>
  <w:style w:type="paragraph" w:styleId="Title">
    <w:name w:val="Title"/>
    <w:basedOn w:val="Normal"/>
    <w:next w:val="Normal"/>
    <w:link w:val="TitleChar"/>
    <w:uiPriority w:val="10"/>
    <w:qFormat/>
    <w:rsid w:val="002561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61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61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61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6135"/>
    <w:pPr>
      <w:spacing w:before="160"/>
      <w:jc w:val="center"/>
    </w:pPr>
    <w:rPr>
      <w:i/>
      <w:iCs/>
      <w:color w:val="404040" w:themeColor="text1" w:themeTint="BF"/>
    </w:rPr>
  </w:style>
  <w:style w:type="character" w:customStyle="1" w:styleId="QuoteChar">
    <w:name w:val="Quote Char"/>
    <w:basedOn w:val="DefaultParagraphFont"/>
    <w:link w:val="Quote"/>
    <w:uiPriority w:val="29"/>
    <w:rsid w:val="00256135"/>
    <w:rPr>
      <w:i/>
      <w:iCs/>
      <w:color w:val="404040" w:themeColor="text1" w:themeTint="BF"/>
    </w:rPr>
  </w:style>
  <w:style w:type="paragraph" w:styleId="ListParagraph">
    <w:name w:val="List Paragraph"/>
    <w:basedOn w:val="Normal"/>
    <w:uiPriority w:val="34"/>
    <w:qFormat/>
    <w:rsid w:val="00256135"/>
    <w:pPr>
      <w:ind w:left="720"/>
      <w:contextualSpacing/>
    </w:pPr>
  </w:style>
  <w:style w:type="character" w:styleId="IntenseEmphasis">
    <w:name w:val="Intense Emphasis"/>
    <w:basedOn w:val="DefaultParagraphFont"/>
    <w:uiPriority w:val="21"/>
    <w:qFormat/>
    <w:rsid w:val="00256135"/>
    <w:rPr>
      <w:i/>
      <w:iCs/>
      <w:color w:val="0F4761" w:themeColor="accent1" w:themeShade="BF"/>
    </w:rPr>
  </w:style>
  <w:style w:type="paragraph" w:styleId="IntenseQuote">
    <w:name w:val="Intense Quote"/>
    <w:basedOn w:val="Normal"/>
    <w:next w:val="Normal"/>
    <w:link w:val="IntenseQuoteChar"/>
    <w:uiPriority w:val="30"/>
    <w:qFormat/>
    <w:rsid w:val="002561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6135"/>
    <w:rPr>
      <w:i/>
      <w:iCs/>
      <w:color w:val="0F4761" w:themeColor="accent1" w:themeShade="BF"/>
    </w:rPr>
  </w:style>
  <w:style w:type="character" w:styleId="IntenseReference">
    <w:name w:val="Intense Reference"/>
    <w:basedOn w:val="DefaultParagraphFont"/>
    <w:uiPriority w:val="32"/>
    <w:qFormat/>
    <w:rsid w:val="00256135"/>
    <w:rPr>
      <w:b/>
      <w:bCs/>
      <w:smallCaps/>
      <w:color w:val="0F4761" w:themeColor="accent1" w:themeShade="BF"/>
      <w:spacing w:val="5"/>
    </w:rPr>
  </w:style>
  <w:style w:type="paragraph" w:styleId="NoSpacing">
    <w:name w:val="No Spacing"/>
    <w:link w:val="NoSpacingChar"/>
    <w:uiPriority w:val="1"/>
    <w:qFormat/>
    <w:rsid w:val="0025613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56135"/>
    <w:rPr>
      <w:rFonts w:eastAsiaTheme="minorEastAsia"/>
      <w:kern w:val="0"/>
      <w:sz w:val="22"/>
      <w:szCs w:val="22"/>
      <w:lang w:eastAsia="en-GB"/>
      <w14:ligatures w14:val="none"/>
    </w:rPr>
  </w:style>
  <w:style w:type="paragraph" w:styleId="Header">
    <w:name w:val="header"/>
    <w:basedOn w:val="Normal"/>
    <w:link w:val="HeaderChar"/>
    <w:uiPriority w:val="99"/>
    <w:unhideWhenUsed/>
    <w:rsid w:val="00CE7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52F"/>
  </w:style>
  <w:style w:type="paragraph" w:styleId="Footer">
    <w:name w:val="footer"/>
    <w:basedOn w:val="Normal"/>
    <w:link w:val="FooterChar"/>
    <w:uiPriority w:val="99"/>
    <w:unhideWhenUsed/>
    <w:rsid w:val="00CE7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52F"/>
  </w:style>
  <w:style w:type="paragraph" w:styleId="NormalWeb">
    <w:name w:val="Normal (Web)"/>
    <w:basedOn w:val="Normal"/>
    <w:uiPriority w:val="99"/>
    <w:semiHidden/>
    <w:unhideWhenUsed/>
    <w:rsid w:val="00440F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40F62"/>
    <w:rPr>
      <w:i/>
      <w:iCs/>
    </w:rPr>
  </w:style>
  <w:style w:type="character" w:customStyle="1" w:styleId="citation-0">
    <w:name w:val="citation-0"/>
    <w:basedOn w:val="DefaultParagraphFont"/>
    <w:rsid w:val="00440F62"/>
  </w:style>
  <w:style w:type="character" w:customStyle="1" w:styleId="button-container">
    <w:name w:val="button-container"/>
    <w:basedOn w:val="DefaultParagraphFont"/>
    <w:rsid w:val="00440F62"/>
  </w:style>
  <w:style w:type="character" w:styleId="Hyperlink">
    <w:name w:val="Hyperlink"/>
    <w:basedOn w:val="DefaultParagraphFont"/>
    <w:uiPriority w:val="99"/>
    <w:semiHidden/>
    <w:unhideWhenUsed/>
    <w:rsid w:val="00B274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5154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roup.accor.com/en/Actualites/2022/04/food-beverage-sustainabilit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3" ma:contentTypeDescription="Create a new document." ma:contentTypeScope="" ma:versionID="e1855d0089673fdda7bbd404bb442233">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bfd6e2054b0b672244ff5e5a85d7138"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31126A-E62B-4095-A608-079B1767D8F5}">
  <ds:schemaRefs>
    <ds:schemaRef ds:uri="http://schemas.microsoft.com/office/infopath/2007/PartnerControls"/>
    <ds:schemaRef ds:uri="http://schemas.openxmlformats.org/package/2006/metadata/core-properties"/>
    <ds:schemaRef ds:uri="http://purl.org/dc/dcmitype/"/>
    <ds:schemaRef ds:uri="e9586b6e-d655-4ea8-9b46-aa323587a11f"/>
    <ds:schemaRef ds:uri="http://purl.org/dc/terms/"/>
    <ds:schemaRef ds:uri="http://schemas.microsoft.com/office/2006/documentManagement/types"/>
    <ds:schemaRef ds:uri="72e6e00a-7fea-48f1-b1b6-00c90b4ff77b"/>
    <ds:schemaRef ds:uri="http://schemas.microsoft.com/office/2006/metadata/properties"/>
    <ds:schemaRef ds:uri="http://www.w3.org/XML/1998/namespace"/>
    <ds:schemaRef ds:uri="http://purl.org/dc/elements/1.1/"/>
  </ds:schemaRefs>
</ds:datastoreItem>
</file>

<file path=customXml/itemProps2.xml><?xml version="1.0" encoding="utf-8"?>
<ds:datastoreItem xmlns:ds="http://schemas.openxmlformats.org/officeDocument/2006/customXml" ds:itemID="{912F9714-72CC-48E4-842B-B24C071ED4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27C141-5982-40DB-A5FE-11AC8BD86092}">
  <ds:schemaRefs>
    <ds:schemaRef ds:uri="http://schemas.openxmlformats.org/officeDocument/2006/bibliography"/>
  </ds:schemaRefs>
</ds:datastoreItem>
</file>

<file path=customXml/itemProps4.xml><?xml version="1.0" encoding="utf-8"?>
<ds:datastoreItem xmlns:ds="http://schemas.openxmlformats.org/officeDocument/2006/customXml" ds:itemID="{56EAF292-A84D-4866-842C-1F562B5647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2430</Words>
  <Characters>13199</Characters>
  <Application>Microsoft Office Word</Application>
  <DocSecurity>0</DocSecurity>
  <Lines>231</Lines>
  <Paragraphs>47</Paragraphs>
  <ScaleCrop>false</ScaleCrop>
  <Company/>
  <LinksUpToDate>false</LinksUpToDate>
  <CharactersWithSpaces>15582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Essay</dc:subject>
  <dc:creator>Darius-Emanuel-Adrian Berlan (2244805)</dc:creator>
  <cp:keywords>eseumeu</cp:keywords>
  <dc:description/>
  <cp:lastModifiedBy>Darius-Emanuel-Adrian Berlan (2244805)</cp:lastModifiedBy>
  <cp:revision>2</cp:revision>
  <cp:lastPrinted>2025-02-07T17:59:00Z</cp:lastPrinted>
  <dcterms:created xsi:type="dcterms:W3CDTF">2025-02-07T18:04:00Z</dcterms:created>
  <dcterms:modified xsi:type="dcterms:W3CDTF">2025-02-07T18:04:00Z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18097a78-e529-4d67-8502-1d653b400c5b</vt:lpwstr>
  </property>
  <property fmtid="{D5CDD505-2E9C-101B-9397-08002B2CF9AE}" pid="3" name="ContentTypeId">
    <vt:lpwstr>0x010100F8BF9AC769AD6E4EA4D545CCC79C824F</vt:lpwstr>
  </property>
</Properties>
</file>