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D97D32" w14:textId="452C66CC" w:rsidR="003E4F6F" w:rsidRPr="00B20F18" w:rsidRDefault="003E4F6F" w:rsidP="003E4F6F">
      <w:pPr>
        <w:pStyle w:val="NormalWeb"/>
        <w:jc w:val="center"/>
        <w:rPr>
          <w:rFonts w:ascii="Arial" w:hAnsi="Arial" w:cs="Arial"/>
          <w:color w:val="000000"/>
          <w:sz w:val="52"/>
          <w:szCs w:val="52"/>
        </w:rPr>
      </w:pPr>
      <w:r w:rsidRPr="00B20F18">
        <w:rPr>
          <w:rFonts w:ascii="Arial" w:hAnsi="Arial" w:cs="Arial"/>
          <w:b/>
          <w:bCs/>
          <w:color w:val="000000"/>
          <w:sz w:val="52"/>
          <w:szCs w:val="52"/>
          <w:u w:val="single"/>
        </w:rPr>
        <w:t>Student Name:</w:t>
      </w:r>
      <w:r w:rsidRPr="00B20F18">
        <w:rPr>
          <w:rFonts w:ascii="Arial" w:hAnsi="Arial" w:cs="Arial"/>
          <w:color w:val="000000"/>
          <w:sz w:val="52"/>
          <w:szCs w:val="52"/>
        </w:rPr>
        <w:t xml:space="preserve"> Zara Zafar</w:t>
      </w:r>
    </w:p>
    <w:p w14:paraId="31B69766" w14:textId="77777777" w:rsidR="003E4F6F" w:rsidRPr="00B20F18" w:rsidRDefault="003E4F6F" w:rsidP="003E4F6F">
      <w:pPr>
        <w:pStyle w:val="NormalWeb"/>
        <w:jc w:val="center"/>
        <w:rPr>
          <w:rFonts w:ascii="Arial" w:hAnsi="Arial" w:cs="Arial"/>
          <w:color w:val="000000"/>
          <w:sz w:val="52"/>
          <w:szCs w:val="52"/>
        </w:rPr>
      </w:pPr>
    </w:p>
    <w:p w14:paraId="10A4CF51" w14:textId="1CEBA5D1" w:rsidR="003E4F6F" w:rsidRPr="00B20F18" w:rsidRDefault="003E4F6F" w:rsidP="003E4F6F">
      <w:pPr>
        <w:pStyle w:val="NormalWeb"/>
        <w:jc w:val="center"/>
        <w:rPr>
          <w:rFonts w:ascii="Arial" w:hAnsi="Arial" w:cs="Arial"/>
          <w:color w:val="000000"/>
          <w:sz w:val="52"/>
          <w:szCs w:val="52"/>
        </w:rPr>
      </w:pPr>
      <w:r w:rsidRPr="00B20F18">
        <w:rPr>
          <w:rFonts w:ascii="Arial" w:hAnsi="Arial" w:cs="Arial"/>
          <w:b/>
          <w:bCs/>
          <w:color w:val="000000"/>
          <w:sz w:val="52"/>
          <w:szCs w:val="52"/>
          <w:u w:val="single"/>
        </w:rPr>
        <w:t>Student Number:</w:t>
      </w:r>
      <w:r w:rsidRPr="00B20F18">
        <w:rPr>
          <w:rFonts w:ascii="Arial" w:hAnsi="Arial" w:cs="Arial"/>
          <w:color w:val="000000"/>
          <w:sz w:val="52"/>
          <w:szCs w:val="52"/>
        </w:rPr>
        <w:t xml:space="preserve"> 1605787</w:t>
      </w:r>
    </w:p>
    <w:p w14:paraId="1F8794A9" w14:textId="77777777" w:rsidR="003E4F6F" w:rsidRPr="00B20F18" w:rsidRDefault="003E4F6F" w:rsidP="003E4F6F">
      <w:pPr>
        <w:pStyle w:val="NormalWeb"/>
        <w:jc w:val="center"/>
        <w:rPr>
          <w:rFonts w:ascii="Arial" w:hAnsi="Arial" w:cs="Arial"/>
          <w:color w:val="000000"/>
          <w:sz w:val="52"/>
          <w:szCs w:val="52"/>
        </w:rPr>
      </w:pPr>
    </w:p>
    <w:p w14:paraId="1DB21C7C" w14:textId="4D268F2F" w:rsidR="003E4F6F" w:rsidRPr="00B20F18" w:rsidRDefault="003E4F6F" w:rsidP="003E4F6F">
      <w:pPr>
        <w:pStyle w:val="NormalWeb"/>
        <w:jc w:val="center"/>
        <w:rPr>
          <w:rFonts w:ascii="Arial" w:hAnsi="Arial" w:cs="Arial"/>
          <w:color w:val="000000"/>
          <w:sz w:val="52"/>
          <w:szCs w:val="52"/>
        </w:rPr>
      </w:pPr>
      <w:r w:rsidRPr="00B20F18">
        <w:rPr>
          <w:rFonts w:ascii="Arial" w:hAnsi="Arial" w:cs="Arial"/>
          <w:b/>
          <w:bCs/>
          <w:color w:val="000000"/>
          <w:sz w:val="52"/>
          <w:szCs w:val="52"/>
          <w:u w:val="single"/>
        </w:rPr>
        <w:t>Module Title:</w:t>
      </w:r>
      <w:r w:rsidRPr="00B20F18">
        <w:rPr>
          <w:rFonts w:ascii="Arial" w:hAnsi="Arial" w:cs="Arial"/>
          <w:color w:val="000000"/>
          <w:sz w:val="52"/>
          <w:szCs w:val="52"/>
        </w:rPr>
        <w:t xml:space="preserve"> Financial Management</w:t>
      </w:r>
    </w:p>
    <w:p w14:paraId="6448CB48" w14:textId="77777777" w:rsidR="003E4F6F" w:rsidRPr="00B20F18" w:rsidRDefault="003E4F6F" w:rsidP="003E4F6F">
      <w:pPr>
        <w:pStyle w:val="NormalWeb"/>
        <w:jc w:val="center"/>
        <w:rPr>
          <w:rFonts w:ascii="Arial" w:hAnsi="Arial" w:cs="Arial"/>
          <w:color w:val="000000"/>
          <w:sz w:val="52"/>
          <w:szCs w:val="52"/>
        </w:rPr>
      </w:pPr>
    </w:p>
    <w:p w14:paraId="54FB9484" w14:textId="2912B13F" w:rsidR="003E4F6F" w:rsidRPr="00B20F18" w:rsidRDefault="003E4F6F" w:rsidP="003E4F6F">
      <w:pPr>
        <w:pStyle w:val="NormalWeb"/>
        <w:jc w:val="center"/>
        <w:rPr>
          <w:rFonts w:ascii="Arial" w:hAnsi="Arial" w:cs="Arial"/>
          <w:color w:val="000000"/>
          <w:sz w:val="52"/>
          <w:szCs w:val="52"/>
        </w:rPr>
      </w:pPr>
      <w:r w:rsidRPr="00B20F18">
        <w:rPr>
          <w:rFonts w:ascii="Arial" w:hAnsi="Arial" w:cs="Arial"/>
          <w:b/>
          <w:bCs/>
          <w:color w:val="000000"/>
          <w:sz w:val="52"/>
          <w:szCs w:val="52"/>
          <w:u w:val="single"/>
        </w:rPr>
        <w:t>Lecturer:</w:t>
      </w:r>
      <w:r w:rsidRPr="00B20F18">
        <w:rPr>
          <w:rFonts w:ascii="Arial" w:hAnsi="Arial" w:cs="Arial"/>
          <w:color w:val="000000"/>
          <w:sz w:val="52"/>
          <w:szCs w:val="52"/>
        </w:rPr>
        <w:t xml:space="preserve"> Jia Miao</w:t>
      </w:r>
    </w:p>
    <w:p w14:paraId="552746A5" w14:textId="77777777" w:rsidR="0083029C" w:rsidRPr="00B20F18" w:rsidRDefault="0083029C" w:rsidP="0083029C">
      <w:pPr>
        <w:rPr>
          <w:rFonts w:ascii="Arial" w:hAnsi="Arial" w:cs="Arial"/>
          <w:b/>
          <w:sz w:val="48"/>
          <w:szCs w:val="48"/>
        </w:rPr>
      </w:pPr>
    </w:p>
    <w:p w14:paraId="224C2EA1" w14:textId="77777777" w:rsidR="0083029C" w:rsidRPr="00B20F18" w:rsidRDefault="0083029C" w:rsidP="0083029C">
      <w:pPr>
        <w:rPr>
          <w:rFonts w:ascii="Arial" w:hAnsi="Arial" w:cs="Arial"/>
          <w:b/>
          <w:sz w:val="48"/>
          <w:szCs w:val="48"/>
        </w:rPr>
      </w:pPr>
    </w:p>
    <w:p w14:paraId="6F5F5B3B" w14:textId="77777777" w:rsidR="0083029C" w:rsidRPr="00B20F18" w:rsidRDefault="0083029C" w:rsidP="0083029C">
      <w:pPr>
        <w:rPr>
          <w:rFonts w:ascii="Arial" w:hAnsi="Arial" w:cs="Arial"/>
          <w:b/>
          <w:sz w:val="48"/>
          <w:szCs w:val="48"/>
        </w:rPr>
      </w:pPr>
    </w:p>
    <w:p w14:paraId="6D9E6670" w14:textId="77777777" w:rsidR="0083029C" w:rsidRPr="00B20F18" w:rsidRDefault="0083029C" w:rsidP="0083029C">
      <w:pPr>
        <w:rPr>
          <w:rFonts w:ascii="Arial" w:hAnsi="Arial" w:cs="Arial"/>
          <w:b/>
          <w:sz w:val="48"/>
          <w:szCs w:val="48"/>
        </w:rPr>
      </w:pPr>
    </w:p>
    <w:p w14:paraId="7CA1E30D" w14:textId="77777777" w:rsidR="0083029C" w:rsidRPr="00B20F18" w:rsidRDefault="0083029C" w:rsidP="0083029C">
      <w:pPr>
        <w:rPr>
          <w:rFonts w:ascii="Arial" w:hAnsi="Arial" w:cs="Arial"/>
          <w:b/>
          <w:sz w:val="48"/>
          <w:szCs w:val="48"/>
        </w:rPr>
      </w:pPr>
    </w:p>
    <w:p w14:paraId="662AE499" w14:textId="77777777" w:rsidR="0083029C" w:rsidRPr="00B20F18" w:rsidRDefault="0083029C" w:rsidP="0083029C">
      <w:pPr>
        <w:rPr>
          <w:rFonts w:ascii="Arial" w:hAnsi="Arial" w:cs="Arial"/>
          <w:b/>
          <w:sz w:val="48"/>
          <w:szCs w:val="48"/>
        </w:rPr>
      </w:pPr>
    </w:p>
    <w:p w14:paraId="48A3C1FF" w14:textId="77777777" w:rsidR="0083029C" w:rsidRPr="00B20F18" w:rsidRDefault="0083029C" w:rsidP="0083029C">
      <w:pPr>
        <w:rPr>
          <w:rFonts w:ascii="Arial" w:hAnsi="Arial" w:cs="Arial"/>
          <w:b/>
          <w:sz w:val="48"/>
          <w:szCs w:val="48"/>
        </w:rPr>
      </w:pPr>
    </w:p>
    <w:p w14:paraId="714D8B73" w14:textId="1690B606" w:rsidR="000374CD" w:rsidRPr="00B20F18" w:rsidRDefault="000374CD" w:rsidP="0083029C">
      <w:pPr>
        <w:rPr>
          <w:rFonts w:ascii="Arial" w:hAnsi="Arial" w:cs="Arial"/>
          <w:b/>
          <w:sz w:val="48"/>
          <w:szCs w:val="48"/>
        </w:rPr>
      </w:pPr>
      <w:r w:rsidRPr="00B20F18">
        <w:rPr>
          <w:rFonts w:ascii="Arial" w:hAnsi="Arial" w:cs="Arial"/>
          <w:b/>
          <w:sz w:val="32"/>
        </w:rPr>
        <w:t>Table of contents</w:t>
      </w:r>
    </w:p>
    <w:sdt>
      <w:sdtPr>
        <w:rPr>
          <w:rFonts w:ascii="Arial" w:eastAsiaTheme="minorHAnsi" w:hAnsi="Arial" w:cs="Arial"/>
          <w:color w:val="auto"/>
          <w:sz w:val="22"/>
          <w:szCs w:val="22"/>
          <w:lang w:val="en-GB"/>
        </w:rPr>
        <w:id w:val="1688096378"/>
        <w:docPartObj>
          <w:docPartGallery w:val="Table of Contents"/>
          <w:docPartUnique/>
        </w:docPartObj>
      </w:sdtPr>
      <w:sdtEndPr>
        <w:rPr>
          <w:b/>
          <w:bCs/>
        </w:rPr>
      </w:sdtEndPr>
      <w:sdtContent>
        <w:p w14:paraId="6016DE2D" w14:textId="5A288D67" w:rsidR="00DE6B9E" w:rsidRPr="00B20F18" w:rsidRDefault="00DE6B9E" w:rsidP="00DE6B9E">
          <w:pPr>
            <w:pStyle w:val="TOCHeading"/>
            <w:spacing w:line="360" w:lineRule="auto"/>
            <w:rPr>
              <w:rFonts w:ascii="Arial" w:hAnsi="Arial" w:cs="Arial"/>
              <w:sz w:val="21"/>
              <w:szCs w:val="21"/>
              <w:lang w:val="en-GB"/>
            </w:rPr>
          </w:pPr>
          <w:r w:rsidRPr="00B20F18">
            <w:rPr>
              <w:rFonts w:ascii="Arial" w:hAnsi="Arial" w:cs="Arial"/>
              <w:sz w:val="21"/>
              <w:szCs w:val="21"/>
              <w:lang w:val="en-GB"/>
            </w:rPr>
            <w:t>Contents</w:t>
          </w:r>
        </w:p>
        <w:p w14:paraId="03CEEB55" w14:textId="147CB28E" w:rsidR="008E1C3F" w:rsidRDefault="00DE6B9E">
          <w:pPr>
            <w:pStyle w:val="TOC1"/>
            <w:tabs>
              <w:tab w:val="right" w:leader="dot" w:pos="9016"/>
            </w:tabs>
            <w:rPr>
              <w:rFonts w:asciiTheme="minorHAnsi" w:eastAsiaTheme="minorEastAsia" w:hAnsiTheme="minorHAnsi"/>
              <w:noProof/>
              <w:szCs w:val="24"/>
              <w:lang w:eastAsia="en-GB"/>
            </w:rPr>
          </w:pPr>
          <w:r w:rsidRPr="00B20F18">
            <w:rPr>
              <w:rFonts w:ascii="Arial" w:hAnsi="Arial" w:cs="Arial"/>
              <w:sz w:val="21"/>
              <w:szCs w:val="21"/>
            </w:rPr>
            <w:fldChar w:fldCharType="begin"/>
          </w:r>
          <w:r w:rsidRPr="00B20F18">
            <w:rPr>
              <w:rFonts w:ascii="Arial" w:hAnsi="Arial" w:cs="Arial"/>
              <w:sz w:val="21"/>
              <w:szCs w:val="21"/>
            </w:rPr>
            <w:instrText xml:space="preserve"> TOC \o "1-3" \h \z \u </w:instrText>
          </w:r>
          <w:r w:rsidRPr="00B20F18">
            <w:rPr>
              <w:rFonts w:ascii="Arial" w:hAnsi="Arial" w:cs="Arial"/>
              <w:sz w:val="21"/>
              <w:szCs w:val="21"/>
            </w:rPr>
            <w:fldChar w:fldCharType="separate"/>
          </w:r>
          <w:hyperlink w:anchor="_Toc61434476" w:history="1">
            <w:r w:rsidR="008E1C3F" w:rsidRPr="004C1869">
              <w:rPr>
                <w:rStyle w:val="Hyperlink"/>
                <w:rFonts w:ascii="Arial" w:hAnsi="Arial" w:cs="Arial"/>
                <w:noProof/>
              </w:rPr>
              <w:t>Introduction</w:t>
            </w:r>
            <w:r w:rsidR="008E1C3F">
              <w:rPr>
                <w:noProof/>
                <w:webHidden/>
              </w:rPr>
              <w:tab/>
            </w:r>
            <w:r w:rsidR="008E1C3F">
              <w:rPr>
                <w:noProof/>
                <w:webHidden/>
              </w:rPr>
              <w:fldChar w:fldCharType="begin"/>
            </w:r>
            <w:r w:rsidR="008E1C3F">
              <w:rPr>
                <w:noProof/>
                <w:webHidden/>
              </w:rPr>
              <w:instrText xml:space="preserve"> PAGEREF _Toc61434476 \h </w:instrText>
            </w:r>
            <w:r w:rsidR="008E1C3F">
              <w:rPr>
                <w:noProof/>
                <w:webHidden/>
              </w:rPr>
            </w:r>
            <w:r w:rsidR="008E1C3F">
              <w:rPr>
                <w:noProof/>
                <w:webHidden/>
              </w:rPr>
              <w:fldChar w:fldCharType="separate"/>
            </w:r>
            <w:r w:rsidR="008E1C3F">
              <w:rPr>
                <w:noProof/>
                <w:webHidden/>
              </w:rPr>
              <w:t>3</w:t>
            </w:r>
            <w:r w:rsidR="008E1C3F">
              <w:rPr>
                <w:noProof/>
                <w:webHidden/>
              </w:rPr>
              <w:fldChar w:fldCharType="end"/>
            </w:r>
          </w:hyperlink>
        </w:p>
        <w:p w14:paraId="3426C624" w14:textId="74A31758" w:rsidR="008E1C3F" w:rsidRDefault="008E1C3F">
          <w:pPr>
            <w:pStyle w:val="TOC1"/>
            <w:tabs>
              <w:tab w:val="right" w:leader="dot" w:pos="9016"/>
            </w:tabs>
            <w:rPr>
              <w:rFonts w:asciiTheme="minorHAnsi" w:eastAsiaTheme="minorEastAsia" w:hAnsiTheme="minorHAnsi"/>
              <w:noProof/>
              <w:szCs w:val="24"/>
              <w:lang w:eastAsia="en-GB"/>
            </w:rPr>
          </w:pPr>
          <w:hyperlink w:anchor="_Toc61434477" w:history="1">
            <w:r w:rsidRPr="004C1869">
              <w:rPr>
                <w:rStyle w:val="Hyperlink"/>
                <w:rFonts w:ascii="Arial" w:hAnsi="Arial" w:cs="Arial"/>
                <w:noProof/>
              </w:rPr>
              <w:t>Part A:</w:t>
            </w:r>
            <w:r>
              <w:rPr>
                <w:noProof/>
                <w:webHidden/>
              </w:rPr>
              <w:tab/>
            </w:r>
            <w:r>
              <w:rPr>
                <w:noProof/>
                <w:webHidden/>
              </w:rPr>
              <w:fldChar w:fldCharType="begin"/>
            </w:r>
            <w:r>
              <w:rPr>
                <w:noProof/>
                <w:webHidden/>
              </w:rPr>
              <w:instrText xml:space="preserve"> PAGEREF _Toc61434477 \h </w:instrText>
            </w:r>
            <w:r>
              <w:rPr>
                <w:noProof/>
                <w:webHidden/>
              </w:rPr>
            </w:r>
            <w:r>
              <w:rPr>
                <w:noProof/>
                <w:webHidden/>
              </w:rPr>
              <w:fldChar w:fldCharType="separate"/>
            </w:r>
            <w:r>
              <w:rPr>
                <w:noProof/>
                <w:webHidden/>
              </w:rPr>
              <w:t>3</w:t>
            </w:r>
            <w:r>
              <w:rPr>
                <w:noProof/>
                <w:webHidden/>
              </w:rPr>
              <w:fldChar w:fldCharType="end"/>
            </w:r>
          </w:hyperlink>
        </w:p>
        <w:p w14:paraId="4E8C17A3" w14:textId="28107C79" w:rsidR="008E1C3F" w:rsidRDefault="008E1C3F">
          <w:pPr>
            <w:pStyle w:val="TOC2"/>
            <w:tabs>
              <w:tab w:val="right" w:leader="dot" w:pos="9016"/>
            </w:tabs>
            <w:rPr>
              <w:rFonts w:asciiTheme="minorHAnsi" w:eastAsiaTheme="minorEastAsia" w:hAnsiTheme="minorHAnsi"/>
              <w:noProof/>
              <w:szCs w:val="24"/>
              <w:lang w:eastAsia="en-GB"/>
            </w:rPr>
          </w:pPr>
          <w:hyperlink w:anchor="_Toc61434478" w:history="1">
            <w:r w:rsidRPr="004C1869">
              <w:rPr>
                <w:rStyle w:val="Hyperlink"/>
                <w:rFonts w:ascii="Arial" w:hAnsi="Arial" w:cs="Arial"/>
                <w:noProof/>
              </w:rPr>
              <w:t>Brief history</w:t>
            </w:r>
            <w:r>
              <w:rPr>
                <w:noProof/>
                <w:webHidden/>
              </w:rPr>
              <w:tab/>
            </w:r>
            <w:r>
              <w:rPr>
                <w:noProof/>
                <w:webHidden/>
              </w:rPr>
              <w:fldChar w:fldCharType="begin"/>
            </w:r>
            <w:r>
              <w:rPr>
                <w:noProof/>
                <w:webHidden/>
              </w:rPr>
              <w:instrText xml:space="preserve"> PAGEREF _Toc61434478 \h </w:instrText>
            </w:r>
            <w:r>
              <w:rPr>
                <w:noProof/>
                <w:webHidden/>
              </w:rPr>
            </w:r>
            <w:r>
              <w:rPr>
                <w:noProof/>
                <w:webHidden/>
              </w:rPr>
              <w:fldChar w:fldCharType="separate"/>
            </w:r>
            <w:r>
              <w:rPr>
                <w:noProof/>
                <w:webHidden/>
              </w:rPr>
              <w:t>3</w:t>
            </w:r>
            <w:r>
              <w:rPr>
                <w:noProof/>
                <w:webHidden/>
              </w:rPr>
              <w:fldChar w:fldCharType="end"/>
            </w:r>
          </w:hyperlink>
        </w:p>
        <w:p w14:paraId="6F73A9C5" w14:textId="4B437EF0" w:rsidR="008E1C3F" w:rsidRDefault="008E1C3F">
          <w:pPr>
            <w:pStyle w:val="TOC2"/>
            <w:tabs>
              <w:tab w:val="right" w:leader="dot" w:pos="9016"/>
            </w:tabs>
            <w:rPr>
              <w:rFonts w:asciiTheme="minorHAnsi" w:eastAsiaTheme="minorEastAsia" w:hAnsiTheme="minorHAnsi"/>
              <w:noProof/>
              <w:szCs w:val="24"/>
              <w:lang w:eastAsia="en-GB"/>
            </w:rPr>
          </w:pPr>
          <w:hyperlink w:anchor="_Toc61434479" w:history="1">
            <w:r w:rsidRPr="004C1869">
              <w:rPr>
                <w:rStyle w:val="Hyperlink"/>
                <w:rFonts w:ascii="Arial" w:eastAsia="Times New Roman" w:hAnsi="Arial" w:cs="Arial"/>
                <w:noProof/>
                <w:lang w:eastAsia="en-GB"/>
              </w:rPr>
              <w:t>Business model</w:t>
            </w:r>
            <w:r>
              <w:rPr>
                <w:noProof/>
                <w:webHidden/>
              </w:rPr>
              <w:tab/>
            </w:r>
            <w:r>
              <w:rPr>
                <w:noProof/>
                <w:webHidden/>
              </w:rPr>
              <w:fldChar w:fldCharType="begin"/>
            </w:r>
            <w:r>
              <w:rPr>
                <w:noProof/>
                <w:webHidden/>
              </w:rPr>
              <w:instrText xml:space="preserve"> PAGEREF _Toc61434479 \h </w:instrText>
            </w:r>
            <w:r>
              <w:rPr>
                <w:noProof/>
                <w:webHidden/>
              </w:rPr>
            </w:r>
            <w:r>
              <w:rPr>
                <w:noProof/>
                <w:webHidden/>
              </w:rPr>
              <w:fldChar w:fldCharType="separate"/>
            </w:r>
            <w:r>
              <w:rPr>
                <w:noProof/>
                <w:webHidden/>
              </w:rPr>
              <w:t>3</w:t>
            </w:r>
            <w:r>
              <w:rPr>
                <w:noProof/>
                <w:webHidden/>
              </w:rPr>
              <w:fldChar w:fldCharType="end"/>
            </w:r>
          </w:hyperlink>
        </w:p>
        <w:p w14:paraId="4344D770" w14:textId="2DB891FF" w:rsidR="008E1C3F" w:rsidRDefault="008E1C3F">
          <w:pPr>
            <w:pStyle w:val="TOC2"/>
            <w:tabs>
              <w:tab w:val="right" w:leader="dot" w:pos="9016"/>
            </w:tabs>
            <w:rPr>
              <w:rFonts w:asciiTheme="minorHAnsi" w:eastAsiaTheme="minorEastAsia" w:hAnsiTheme="minorHAnsi"/>
              <w:noProof/>
              <w:szCs w:val="24"/>
              <w:lang w:eastAsia="en-GB"/>
            </w:rPr>
          </w:pPr>
          <w:hyperlink w:anchor="_Toc61434480" w:history="1">
            <w:r w:rsidRPr="004C1869">
              <w:rPr>
                <w:rStyle w:val="Hyperlink"/>
                <w:rFonts w:ascii="Arial" w:eastAsia="Times New Roman" w:hAnsi="Arial" w:cs="Arial"/>
                <w:noProof/>
                <w:lang w:eastAsia="en-GB"/>
              </w:rPr>
              <w:t xml:space="preserve">Market place and major </w:t>
            </w:r>
            <w:r w:rsidRPr="004C1869">
              <w:rPr>
                <w:rStyle w:val="Hyperlink"/>
                <w:rFonts w:ascii="Arial" w:hAnsi="Arial" w:cs="Arial"/>
                <w:noProof/>
              </w:rPr>
              <w:t>competitor</w:t>
            </w:r>
            <w:r>
              <w:rPr>
                <w:noProof/>
                <w:webHidden/>
              </w:rPr>
              <w:tab/>
            </w:r>
            <w:r>
              <w:rPr>
                <w:noProof/>
                <w:webHidden/>
              </w:rPr>
              <w:fldChar w:fldCharType="begin"/>
            </w:r>
            <w:r>
              <w:rPr>
                <w:noProof/>
                <w:webHidden/>
              </w:rPr>
              <w:instrText xml:space="preserve"> PAGEREF _Toc61434480 \h </w:instrText>
            </w:r>
            <w:r>
              <w:rPr>
                <w:noProof/>
                <w:webHidden/>
              </w:rPr>
            </w:r>
            <w:r>
              <w:rPr>
                <w:noProof/>
                <w:webHidden/>
              </w:rPr>
              <w:fldChar w:fldCharType="separate"/>
            </w:r>
            <w:r>
              <w:rPr>
                <w:noProof/>
                <w:webHidden/>
              </w:rPr>
              <w:t>4</w:t>
            </w:r>
            <w:r>
              <w:rPr>
                <w:noProof/>
                <w:webHidden/>
              </w:rPr>
              <w:fldChar w:fldCharType="end"/>
            </w:r>
          </w:hyperlink>
        </w:p>
        <w:p w14:paraId="4309BAAE" w14:textId="579E6FEC" w:rsidR="008E1C3F" w:rsidRDefault="008E1C3F">
          <w:pPr>
            <w:pStyle w:val="TOC2"/>
            <w:tabs>
              <w:tab w:val="right" w:leader="dot" w:pos="9016"/>
            </w:tabs>
            <w:rPr>
              <w:rFonts w:asciiTheme="minorHAnsi" w:eastAsiaTheme="minorEastAsia" w:hAnsiTheme="minorHAnsi"/>
              <w:noProof/>
              <w:szCs w:val="24"/>
              <w:lang w:eastAsia="en-GB"/>
            </w:rPr>
          </w:pPr>
          <w:hyperlink w:anchor="_Toc61434481" w:history="1">
            <w:r w:rsidRPr="004C1869">
              <w:rPr>
                <w:rStyle w:val="Hyperlink"/>
                <w:rFonts w:ascii="Arial" w:hAnsi="Arial" w:cs="Arial"/>
                <w:noProof/>
              </w:rPr>
              <w:t>Review of major recent events</w:t>
            </w:r>
            <w:r>
              <w:rPr>
                <w:noProof/>
                <w:webHidden/>
              </w:rPr>
              <w:tab/>
            </w:r>
            <w:r>
              <w:rPr>
                <w:noProof/>
                <w:webHidden/>
              </w:rPr>
              <w:fldChar w:fldCharType="begin"/>
            </w:r>
            <w:r>
              <w:rPr>
                <w:noProof/>
                <w:webHidden/>
              </w:rPr>
              <w:instrText xml:space="preserve"> PAGEREF _Toc61434481 \h </w:instrText>
            </w:r>
            <w:r>
              <w:rPr>
                <w:noProof/>
                <w:webHidden/>
              </w:rPr>
            </w:r>
            <w:r>
              <w:rPr>
                <w:noProof/>
                <w:webHidden/>
              </w:rPr>
              <w:fldChar w:fldCharType="separate"/>
            </w:r>
            <w:r>
              <w:rPr>
                <w:noProof/>
                <w:webHidden/>
              </w:rPr>
              <w:t>4</w:t>
            </w:r>
            <w:r>
              <w:rPr>
                <w:noProof/>
                <w:webHidden/>
              </w:rPr>
              <w:fldChar w:fldCharType="end"/>
            </w:r>
          </w:hyperlink>
        </w:p>
        <w:p w14:paraId="674B7AA1" w14:textId="073C3CE0" w:rsidR="008E1C3F" w:rsidRDefault="008E1C3F">
          <w:pPr>
            <w:pStyle w:val="TOC1"/>
            <w:tabs>
              <w:tab w:val="right" w:leader="dot" w:pos="9016"/>
            </w:tabs>
            <w:rPr>
              <w:rFonts w:asciiTheme="minorHAnsi" w:eastAsiaTheme="minorEastAsia" w:hAnsiTheme="minorHAnsi"/>
              <w:noProof/>
              <w:szCs w:val="24"/>
              <w:lang w:eastAsia="en-GB"/>
            </w:rPr>
          </w:pPr>
          <w:hyperlink w:anchor="_Toc61434482" w:history="1">
            <w:r w:rsidRPr="004C1869">
              <w:rPr>
                <w:rStyle w:val="Hyperlink"/>
                <w:rFonts w:ascii="Arial" w:eastAsia="Times New Roman" w:hAnsi="Arial" w:cs="Arial"/>
                <w:noProof/>
                <w:lang w:eastAsia="en-GB"/>
              </w:rPr>
              <w:t>Part B:</w:t>
            </w:r>
            <w:r>
              <w:rPr>
                <w:noProof/>
                <w:webHidden/>
              </w:rPr>
              <w:tab/>
            </w:r>
            <w:r>
              <w:rPr>
                <w:noProof/>
                <w:webHidden/>
              </w:rPr>
              <w:fldChar w:fldCharType="begin"/>
            </w:r>
            <w:r>
              <w:rPr>
                <w:noProof/>
                <w:webHidden/>
              </w:rPr>
              <w:instrText xml:space="preserve"> PAGEREF _Toc61434482 \h </w:instrText>
            </w:r>
            <w:r>
              <w:rPr>
                <w:noProof/>
                <w:webHidden/>
              </w:rPr>
            </w:r>
            <w:r>
              <w:rPr>
                <w:noProof/>
                <w:webHidden/>
              </w:rPr>
              <w:fldChar w:fldCharType="separate"/>
            </w:r>
            <w:r>
              <w:rPr>
                <w:noProof/>
                <w:webHidden/>
              </w:rPr>
              <w:t>5</w:t>
            </w:r>
            <w:r>
              <w:rPr>
                <w:noProof/>
                <w:webHidden/>
              </w:rPr>
              <w:fldChar w:fldCharType="end"/>
            </w:r>
          </w:hyperlink>
        </w:p>
        <w:p w14:paraId="55AC4F06" w14:textId="00DD99D0" w:rsidR="008E1C3F" w:rsidRDefault="008E1C3F">
          <w:pPr>
            <w:pStyle w:val="TOC2"/>
            <w:tabs>
              <w:tab w:val="right" w:leader="dot" w:pos="9016"/>
            </w:tabs>
            <w:rPr>
              <w:rFonts w:asciiTheme="minorHAnsi" w:eastAsiaTheme="minorEastAsia" w:hAnsiTheme="minorHAnsi"/>
              <w:noProof/>
              <w:szCs w:val="24"/>
              <w:lang w:eastAsia="en-GB"/>
            </w:rPr>
          </w:pPr>
          <w:hyperlink w:anchor="_Toc61434483" w:history="1">
            <w:r w:rsidRPr="004C1869">
              <w:rPr>
                <w:rStyle w:val="Hyperlink"/>
                <w:rFonts w:ascii="Arial" w:eastAsia="Times New Roman" w:hAnsi="Arial" w:cs="Arial"/>
                <w:noProof/>
                <w:lang w:eastAsia="en-GB"/>
              </w:rPr>
              <w:t>Calculation of key financial ratios for the past 5 years:</w:t>
            </w:r>
            <w:r>
              <w:rPr>
                <w:noProof/>
                <w:webHidden/>
              </w:rPr>
              <w:tab/>
            </w:r>
            <w:r>
              <w:rPr>
                <w:noProof/>
                <w:webHidden/>
              </w:rPr>
              <w:fldChar w:fldCharType="begin"/>
            </w:r>
            <w:r>
              <w:rPr>
                <w:noProof/>
                <w:webHidden/>
              </w:rPr>
              <w:instrText xml:space="preserve"> PAGEREF _Toc61434483 \h </w:instrText>
            </w:r>
            <w:r>
              <w:rPr>
                <w:noProof/>
                <w:webHidden/>
              </w:rPr>
            </w:r>
            <w:r>
              <w:rPr>
                <w:noProof/>
                <w:webHidden/>
              </w:rPr>
              <w:fldChar w:fldCharType="separate"/>
            </w:r>
            <w:r>
              <w:rPr>
                <w:noProof/>
                <w:webHidden/>
              </w:rPr>
              <w:t>5</w:t>
            </w:r>
            <w:r>
              <w:rPr>
                <w:noProof/>
                <w:webHidden/>
              </w:rPr>
              <w:fldChar w:fldCharType="end"/>
            </w:r>
          </w:hyperlink>
        </w:p>
        <w:p w14:paraId="4E607F88" w14:textId="3647EFF3" w:rsidR="008E1C3F" w:rsidRDefault="008E1C3F">
          <w:pPr>
            <w:pStyle w:val="TOC3"/>
            <w:tabs>
              <w:tab w:val="right" w:leader="dot" w:pos="9016"/>
            </w:tabs>
            <w:rPr>
              <w:rFonts w:asciiTheme="minorHAnsi" w:eastAsiaTheme="minorEastAsia" w:hAnsiTheme="minorHAnsi"/>
              <w:noProof/>
              <w:szCs w:val="24"/>
              <w:lang w:eastAsia="en-GB"/>
            </w:rPr>
          </w:pPr>
          <w:hyperlink w:anchor="_Toc61434484" w:history="1">
            <w:r w:rsidRPr="004C1869">
              <w:rPr>
                <w:rStyle w:val="Hyperlink"/>
                <w:rFonts w:ascii="Arial" w:eastAsia="Times New Roman" w:hAnsi="Arial" w:cs="Arial"/>
                <w:noProof/>
                <w:lang w:eastAsia="en-GB"/>
              </w:rPr>
              <w:t xml:space="preserve">Profitability </w:t>
            </w:r>
            <w:r w:rsidRPr="004C1869">
              <w:rPr>
                <w:rStyle w:val="Hyperlink"/>
                <w:rFonts w:ascii="Arial" w:hAnsi="Arial" w:cs="Arial"/>
                <w:noProof/>
              </w:rPr>
              <w:t>ratios</w:t>
            </w:r>
            <w:r>
              <w:rPr>
                <w:noProof/>
                <w:webHidden/>
              </w:rPr>
              <w:tab/>
            </w:r>
            <w:r>
              <w:rPr>
                <w:noProof/>
                <w:webHidden/>
              </w:rPr>
              <w:fldChar w:fldCharType="begin"/>
            </w:r>
            <w:r>
              <w:rPr>
                <w:noProof/>
                <w:webHidden/>
              </w:rPr>
              <w:instrText xml:space="preserve"> PAGEREF _Toc61434484 \h </w:instrText>
            </w:r>
            <w:r>
              <w:rPr>
                <w:noProof/>
                <w:webHidden/>
              </w:rPr>
            </w:r>
            <w:r>
              <w:rPr>
                <w:noProof/>
                <w:webHidden/>
              </w:rPr>
              <w:fldChar w:fldCharType="separate"/>
            </w:r>
            <w:r>
              <w:rPr>
                <w:noProof/>
                <w:webHidden/>
              </w:rPr>
              <w:t>5</w:t>
            </w:r>
            <w:r>
              <w:rPr>
                <w:noProof/>
                <w:webHidden/>
              </w:rPr>
              <w:fldChar w:fldCharType="end"/>
            </w:r>
          </w:hyperlink>
        </w:p>
        <w:p w14:paraId="670962E4" w14:textId="72567259" w:rsidR="008E1C3F" w:rsidRDefault="008E1C3F">
          <w:pPr>
            <w:pStyle w:val="TOC3"/>
            <w:tabs>
              <w:tab w:val="right" w:leader="dot" w:pos="9016"/>
            </w:tabs>
            <w:rPr>
              <w:rFonts w:asciiTheme="minorHAnsi" w:eastAsiaTheme="minorEastAsia" w:hAnsiTheme="minorHAnsi"/>
              <w:noProof/>
              <w:szCs w:val="24"/>
              <w:lang w:eastAsia="en-GB"/>
            </w:rPr>
          </w:pPr>
          <w:hyperlink w:anchor="_Toc61434485" w:history="1">
            <w:r w:rsidRPr="004C1869">
              <w:rPr>
                <w:rStyle w:val="Hyperlink"/>
                <w:rFonts w:ascii="Arial" w:eastAsia="Times New Roman" w:hAnsi="Arial" w:cs="Arial"/>
                <w:noProof/>
                <w:lang w:eastAsia="en-GB"/>
              </w:rPr>
              <w:t xml:space="preserve">Liquidity </w:t>
            </w:r>
            <w:r w:rsidRPr="004C1869">
              <w:rPr>
                <w:rStyle w:val="Hyperlink"/>
                <w:rFonts w:ascii="Arial" w:hAnsi="Arial" w:cs="Arial"/>
                <w:noProof/>
              </w:rPr>
              <w:t>ratios</w:t>
            </w:r>
            <w:r>
              <w:rPr>
                <w:noProof/>
                <w:webHidden/>
              </w:rPr>
              <w:tab/>
            </w:r>
            <w:r>
              <w:rPr>
                <w:noProof/>
                <w:webHidden/>
              </w:rPr>
              <w:fldChar w:fldCharType="begin"/>
            </w:r>
            <w:r>
              <w:rPr>
                <w:noProof/>
                <w:webHidden/>
              </w:rPr>
              <w:instrText xml:space="preserve"> PAGEREF _Toc61434485 \h </w:instrText>
            </w:r>
            <w:r>
              <w:rPr>
                <w:noProof/>
                <w:webHidden/>
              </w:rPr>
            </w:r>
            <w:r>
              <w:rPr>
                <w:noProof/>
                <w:webHidden/>
              </w:rPr>
              <w:fldChar w:fldCharType="separate"/>
            </w:r>
            <w:r>
              <w:rPr>
                <w:noProof/>
                <w:webHidden/>
              </w:rPr>
              <w:t>5</w:t>
            </w:r>
            <w:r>
              <w:rPr>
                <w:noProof/>
                <w:webHidden/>
              </w:rPr>
              <w:fldChar w:fldCharType="end"/>
            </w:r>
          </w:hyperlink>
        </w:p>
        <w:p w14:paraId="6E23A08A" w14:textId="3EBD8749" w:rsidR="008E1C3F" w:rsidRDefault="008E1C3F">
          <w:pPr>
            <w:pStyle w:val="TOC3"/>
            <w:tabs>
              <w:tab w:val="right" w:leader="dot" w:pos="9016"/>
            </w:tabs>
            <w:rPr>
              <w:rFonts w:asciiTheme="minorHAnsi" w:eastAsiaTheme="minorEastAsia" w:hAnsiTheme="minorHAnsi"/>
              <w:noProof/>
              <w:szCs w:val="24"/>
              <w:lang w:eastAsia="en-GB"/>
            </w:rPr>
          </w:pPr>
          <w:hyperlink w:anchor="_Toc61434486" w:history="1">
            <w:r w:rsidRPr="004C1869">
              <w:rPr>
                <w:rStyle w:val="Hyperlink"/>
                <w:rFonts w:ascii="Arial" w:eastAsia="Times New Roman" w:hAnsi="Arial" w:cs="Arial"/>
                <w:noProof/>
                <w:lang w:eastAsia="en-GB"/>
              </w:rPr>
              <w:t xml:space="preserve">Gearing </w:t>
            </w:r>
            <w:r w:rsidRPr="004C1869">
              <w:rPr>
                <w:rStyle w:val="Hyperlink"/>
                <w:rFonts w:ascii="Arial" w:hAnsi="Arial" w:cs="Arial"/>
                <w:noProof/>
              </w:rPr>
              <w:t>ratios</w:t>
            </w:r>
            <w:r>
              <w:rPr>
                <w:noProof/>
                <w:webHidden/>
              </w:rPr>
              <w:tab/>
            </w:r>
            <w:r>
              <w:rPr>
                <w:noProof/>
                <w:webHidden/>
              </w:rPr>
              <w:fldChar w:fldCharType="begin"/>
            </w:r>
            <w:r>
              <w:rPr>
                <w:noProof/>
                <w:webHidden/>
              </w:rPr>
              <w:instrText xml:space="preserve"> PAGEREF _Toc61434486 \h </w:instrText>
            </w:r>
            <w:r>
              <w:rPr>
                <w:noProof/>
                <w:webHidden/>
              </w:rPr>
            </w:r>
            <w:r>
              <w:rPr>
                <w:noProof/>
                <w:webHidden/>
              </w:rPr>
              <w:fldChar w:fldCharType="separate"/>
            </w:r>
            <w:r>
              <w:rPr>
                <w:noProof/>
                <w:webHidden/>
              </w:rPr>
              <w:t>6</w:t>
            </w:r>
            <w:r>
              <w:rPr>
                <w:noProof/>
                <w:webHidden/>
              </w:rPr>
              <w:fldChar w:fldCharType="end"/>
            </w:r>
          </w:hyperlink>
        </w:p>
        <w:p w14:paraId="67D2B48F" w14:textId="4B70FEE8" w:rsidR="008E1C3F" w:rsidRDefault="008E1C3F">
          <w:pPr>
            <w:pStyle w:val="TOC3"/>
            <w:tabs>
              <w:tab w:val="right" w:leader="dot" w:pos="9016"/>
            </w:tabs>
            <w:rPr>
              <w:rFonts w:asciiTheme="minorHAnsi" w:eastAsiaTheme="minorEastAsia" w:hAnsiTheme="minorHAnsi"/>
              <w:noProof/>
              <w:szCs w:val="24"/>
              <w:lang w:eastAsia="en-GB"/>
            </w:rPr>
          </w:pPr>
          <w:hyperlink w:anchor="_Toc61434487" w:history="1">
            <w:r w:rsidRPr="004C1869">
              <w:rPr>
                <w:rStyle w:val="Hyperlink"/>
                <w:rFonts w:ascii="Arial" w:hAnsi="Arial" w:cs="Arial"/>
                <w:noProof/>
              </w:rPr>
              <w:t>Efficiency ratios</w:t>
            </w:r>
            <w:r>
              <w:rPr>
                <w:noProof/>
                <w:webHidden/>
              </w:rPr>
              <w:tab/>
            </w:r>
            <w:r>
              <w:rPr>
                <w:noProof/>
                <w:webHidden/>
              </w:rPr>
              <w:fldChar w:fldCharType="begin"/>
            </w:r>
            <w:r>
              <w:rPr>
                <w:noProof/>
                <w:webHidden/>
              </w:rPr>
              <w:instrText xml:space="preserve"> PAGEREF _Toc61434487 \h </w:instrText>
            </w:r>
            <w:r>
              <w:rPr>
                <w:noProof/>
                <w:webHidden/>
              </w:rPr>
            </w:r>
            <w:r>
              <w:rPr>
                <w:noProof/>
                <w:webHidden/>
              </w:rPr>
              <w:fldChar w:fldCharType="separate"/>
            </w:r>
            <w:r>
              <w:rPr>
                <w:noProof/>
                <w:webHidden/>
              </w:rPr>
              <w:t>6</w:t>
            </w:r>
            <w:r>
              <w:rPr>
                <w:noProof/>
                <w:webHidden/>
              </w:rPr>
              <w:fldChar w:fldCharType="end"/>
            </w:r>
          </w:hyperlink>
        </w:p>
        <w:p w14:paraId="1965B77B" w14:textId="6FCCDBE1" w:rsidR="008E1C3F" w:rsidRDefault="008E1C3F">
          <w:pPr>
            <w:pStyle w:val="TOC2"/>
            <w:tabs>
              <w:tab w:val="right" w:leader="dot" w:pos="9016"/>
            </w:tabs>
            <w:rPr>
              <w:rFonts w:asciiTheme="minorHAnsi" w:eastAsiaTheme="minorEastAsia" w:hAnsiTheme="minorHAnsi"/>
              <w:noProof/>
              <w:szCs w:val="24"/>
              <w:lang w:eastAsia="en-GB"/>
            </w:rPr>
          </w:pPr>
          <w:hyperlink w:anchor="_Toc61434488" w:history="1">
            <w:r w:rsidRPr="004C1869">
              <w:rPr>
                <w:rStyle w:val="Hyperlink"/>
                <w:rFonts w:ascii="Arial" w:hAnsi="Arial" w:cs="Arial"/>
                <w:noProof/>
              </w:rPr>
              <w:t>Critical evaluation of the ratios calculated:</w:t>
            </w:r>
            <w:r>
              <w:rPr>
                <w:noProof/>
                <w:webHidden/>
              </w:rPr>
              <w:tab/>
            </w:r>
            <w:r>
              <w:rPr>
                <w:noProof/>
                <w:webHidden/>
              </w:rPr>
              <w:fldChar w:fldCharType="begin"/>
            </w:r>
            <w:r>
              <w:rPr>
                <w:noProof/>
                <w:webHidden/>
              </w:rPr>
              <w:instrText xml:space="preserve"> PAGEREF _Toc61434488 \h </w:instrText>
            </w:r>
            <w:r>
              <w:rPr>
                <w:noProof/>
                <w:webHidden/>
              </w:rPr>
            </w:r>
            <w:r>
              <w:rPr>
                <w:noProof/>
                <w:webHidden/>
              </w:rPr>
              <w:fldChar w:fldCharType="separate"/>
            </w:r>
            <w:r>
              <w:rPr>
                <w:noProof/>
                <w:webHidden/>
              </w:rPr>
              <w:t>6</w:t>
            </w:r>
            <w:r>
              <w:rPr>
                <w:noProof/>
                <w:webHidden/>
              </w:rPr>
              <w:fldChar w:fldCharType="end"/>
            </w:r>
          </w:hyperlink>
        </w:p>
        <w:p w14:paraId="6E3CA1E1" w14:textId="07419898" w:rsidR="008E1C3F" w:rsidRDefault="008E1C3F">
          <w:pPr>
            <w:pStyle w:val="TOC3"/>
            <w:tabs>
              <w:tab w:val="right" w:leader="dot" w:pos="9016"/>
            </w:tabs>
            <w:rPr>
              <w:rFonts w:asciiTheme="minorHAnsi" w:eastAsiaTheme="minorEastAsia" w:hAnsiTheme="minorHAnsi"/>
              <w:noProof/>
              <w:szCs w:val="24"/>
              <w:lang w:eastAsia="en-GB"/>
            </w:rPr>
          </w:pPr>
          <w:hyperlink w:anchor="_Toc61434489" w:history="1">
            <w:r w:rsidRPr="004C1869">
              <w:rPr>
                <w:rStyle w:val="Hyperlink"/>
                <w:rFonts w:ascii="Arial" w:hAnsi="Arial" w:cs="Arial"/>
                <w:noProof/>
              </w:rPr>
              <w:t>Profitability ratios</w:t>
            </w:r>
            <w:r>
              <w:rPr>
                <w:noProof/>
                <w:webHidden/>
              </w:rPr>
              <w:tab/>
            </w:r>
            <w:r>
              <w:rPr>
                <w:noProof/>
                <w:webHidden/>
              </w:rPr>
              <w:fldChar w:fldCharType="begin"/>
            </w:r>
            <w:r>
              <w:rPr>
                <w:noProof/>
                <w:webHidden/>
              </w:rPr>
              <w:instrText xml:space="preserve"> PAGEREF _Toc61434489 \h </w:instrText>
            </w:r>
            <w:r>
              <w:rPr>
                <w:noProof/>
                <w:webHidden/>
              </w:rPr>
            </w:r>
            <w:r>
              <w:rPr>
                <w:noProof/>
                <w:webHidden/>
              </w:rPr>
              <w:fldChar w:fldCharType="separate"/>
            </w:r>
            <w:r>
              <w:rPr>
                <w:noProof/>
                <w:webHidden/>
              </w:rPr>
              <w:t>6</w:t>
            </w:r>
            <w:r>
              <w:rPr>
                <w:noProof/>
                <w:webHidden/>
              </w:rPr>
              <w:fldChar w:fldCharType="end"/>
            </w:r>
          </w:hyperlink>
        </w:p>
        <w:p w14:paraId="271B176C" w14:textId="2DA2E7F4" w:rsidR="008E1C3F" w:rsidRDefault="008E1C3F">
          <w:pPr>
            <w:pStyle w:val="TOC3"/>
            <w:tabs>
              <w:tab w:val="right" w:leader="dot" w:pos="9016"/>
            </w:tabs>
            <w:rPr>
              <w:rFonts w:asciiTheme="minorHAnsi" w:eastAsiaTheme="minorEastAsia" w:hAnsiTheme="minorHAnsi"/>
              <w:noProof/>
              <w:szCs w:val="24"/>
              <w:lang w:eastAsia="en-GB"/>
            </w:rPr>
          </w:pPr>
          <w:hyperlink w:anchor="_Toc61434490" w:history="1">
            <w:r w:rsidRPr="004C1869">
              <w:rPr>
                <w:rStyle w:val="Hyperlink"/>
                <w:rFonts w:ascii="Arial" w:hAnsi="Arial" w:cs="Arial"/>
                <w:noProof/>
              </w:rPr>
              <w:t>Liquidity ratios</w:t>
            </w:r>
            <w:r>
              <w:rPr>
                <w:noProof/>
                <w:webHidden/>
              </w:rPr>
              <w:tab/>
            </w:r>
            <w:r>
              <w:rPr>
                <w:noProof/>
                <w:webHidden/>
              </w:rPr>
              <w:fldChar w:fldCharType="begin"/>
            </w:r>
            <w:r>
              <w:rPr>
                <w:noProof/>
                <w:webHidden/>
              </w:rPr>
              <w:instrText xml:space="preserve"> PAGEREF _Toc61434490 \h </w:instrText>
            </w:r>
            <w:r>
              <w:rPr>
                <w:noProof/>
                <w:webHidden/>
              </w:rPr>
            </w:r>
            <w:r>
              <w:rPr>
                <w:noProof/>
                <w:webHidden/>
              </w:rPr>
              <w:fldChar w:fldCharType="separate"/>
            </w:r>
            <w:r>
              <w:rPr>
                <w:noProof/>
                <w:webHidden/>
              </w:rPr>
              <w:t>9</w:t>
            </w:r>
            <w:r>
              <w:rPr>
                <w:noProof/>
                <w:webHidden/>
              </w:rPr>
              <w:fldChar w:fldCharType="end"/>
            </w:r>
          </w:hyperlink>
        </w:p>
        <w:p w14:paraId="555E4640" w14:textId="71BF3764" w:rsidR="008E1C3F" w:rsidRDefault="008E1C3F">
          <w:pPr>
            <w:pStyle w:val="TOC3"/>
            <w:tabs>
              <w:tab w:val="right" w:leader="dot" w:pos="9016"/>
            </w:tabs>
            <w:rPr>
              <w:rFonts w:asciiTheme="minorHAnsi" w:eastAsiaTheme="minorEastAsia" w:hAnsiTheme="minorHAnsi"/>
              <w:noProof/>
              <w:szCs w:val="24"/>
              <w:lang w:eastAsia="en-GB"/>
            </w:rPr>
          </w:pPr>
          <w:hyperlink w:anchor="_Toc61434491" w:history="1">
            <w:r w:rsidRPr="004C1869">
              <w:rPr>
                <w:rStyle w:val="Hyperlink"/>
                <w:rFonts w:ascii="Arial" w:hAnsi="Arial" w:cs="Arial"/>
                <w:noProof/>
              </w:rPr>
              <w:t>Gearing ratios</w:t>
            </w:r>
            <w:r>
              <w:rPr>
                <w:noProof/>
                <w:webHidden/>
              </w:rPr>
              <w:tab/>
            </w:r>
            <w:r>
              <w:rPr>
                <w:noProof/>
                <w:webHidden/>
              </w:rPr>
              <w:fldChar w:fldCharType="begin"/>
            </w:r>
            <w:r>
              <w:rPr>
                <w:noProof/>
                <w:webHidden/>
              </w:rPr>
              <w:instrText xml:space="preserve"> PAGEREF _Toc61434491 \h </w:instrText>
            </w:r>
            <w:r>
              <w:rPr>
                <w:noProof/>
                <w:webHidden/>
              </w:rPr>
            </w:r>
            <w:r>
              <w:rPr>
                <w:noProof/>
                <w:webHidden/>
              </w:rPr>
              <w:fldChar w:fldCharType="separate"/>
            </w:r>
            <w:r>
              <w:rPr>
                <w:noProof/>
                <w:webHidden/>
              </w:rPr>
              <w:t>10</w:t>
            </w:r>
            <w:r>
              <w:rPr>
                <w:noProof/>
                <w:webHidden/>
              </w:rPr>
              <w:fldChar w:fldCharType="end"/>
            </w:r>
          </w:hyperlink>
        </w:p>
        <w:p w14:paraId="1CB9F20C" w14:textId="40DCE616" w:rsidR="008E1C3F" w:rsidRDefault="008E1C3F">
          <w:pPr>
            <w:pStyle w:val="TOC3"/>
            <w:tabs>
              <w:tab w:val="right" w:leader="dot" w:pos="9016"/>
            </w:tabs>
            <w:rPr>
              <w:rFonts w:asciiTheme="minorHAnsi" w:eastAsiaTheme="minorEastAsia" w:hAnsiTheme="minorHAnsi"/>
              <w:noProof/>
              <w:szCs w:val="24"/>
              <w:lang w:eastAsia="en-GB"/>
            </w:rPr>
          </w:pPr>
          <w:hyperlink w:anchor="_Toc61434492" w:history="1">
            <w:r w:rsidRPr="004C1869">
              <w:rPr>
                <w:rStyle w:val="Hyperlink"/>
                <w:rFonts w:ascii="Arial" w:hAnsi="Arial" w:cs="Arial"/>
                <w:noProof/>
              </w:rPr>
              <w:t>Efficiency ratios</w:t>
            </w:r>
            <w:r>
              <w:rPr>
                <w:noProof/>
                <w:webHidden/>
              </w:rPr>
              <w:tab/>
            </w:r>
            <w:r>
              <w:rPr>
                <w:noProof/>
                <w:webHidden/>
              </w:rPr>
              <w:fldChar w:fldCharType="begin"/>
            </w:r>
            <w:r>
              <w:rPr>
                <w:noProof/>
                <w:webHidden/>
              </w:rPr>
              <w:instrText xml:space="preserve"> PAGEREF _Toc61434492 \h </w:instrText>
            </w:r>
            <w:r>
              <w:rPr>
                <w:noProof/>
                <w:webHidden/>
              </w:rPr>
            </w:r>
            <w:r>
              <w:rPr>
                <w:noProof/>
                <w:webHidden/>
              </w:rPr>
              <w:fldChar w:fldCharType="separate"/>
            </w:r>
            <w:r>
              <w:rPr>
                <w:noProof/>
                <w:webHidden/>
              </w:rPr>
              <w:t>10</w:t>
            </w:r>
            <w:r>
              <w:rPr>
                <w:noProof/>
                <w:webHidden/>
              </w:rPr>
              <w:fldChar w:fldCharType="end"/>
            </w:r>
          </w:hyperlink>
        </w:p>
        <w:p w14:paraId="2487864F" w14:textId="71473053" w:rsidR="008E1C3F" w:rsidRDefault="008E1C3F">
          <w:pPr>
            <w:pStyle w:val="TOC2"/>
            <w:tabs>
              <w:tab w:val="right" w:leader="dot" w:pos="9016"/>
            </w:tabs>
            <w:rPr>
              <w:rFonts w:asciiTheme="minorHAnsi" w:eastAsiaTheme="minorEastAsia" w:hAnsiTheme="minorHAnsi"/>
              <w:noProof/>
              <w:szCs w:val="24"/>
              <w:lang w:eastAsia="en-GB"/>
            </w:rPr>
          </w:pPr>
          <w:hyperlink w:anchor="_Toc61434493" w:history="1">
            <w:r w:rsidRPr="004C1869">
              <w:rPr>
                <w:rStyle w:val="Hyperlink"/>
                <w:rFonts w:ascii="Arial" w:hAnsi="Arial" w:cs="Arial"/>
                <w:noProof/>
              </w:rPr>
              <w:t>Comparison to major competitor:</w:t>
            </w:r>
            <w:r>
              <w:rPr>
                <w:noProof/>
                <w:webHidden/>
              </w:rPr>
              <w:tab/>
            </w:r>
            <w:r>
              <w:rPr>
                <w:noProof/>
                <w:webHidden/>
              </w:rPr>
              <w:fldChar w:fldCharType="begin"/>
            </w:r>
            <w:r>
              <w:rPr>
                <w:noProof/>
                <w:webHidden/>
              </w:rPr>
              <w:instrText xml:space="preserve"> PAGEREF _Toc61434493 \h </w:instrText>
            </w:r>
            <w:r>
              <w:rPr>
                <w:noProof/>
                <w:webHidden/>
              </w:rPr>
            </w:r>
            <w:r>
              <w:rPr>
                <w:noProof/>
                <w:webHidden/>
              </w:rPr>
              <w:fldChar w:fldCharType="separate"/>
            </w:r>
            <w:r>
              <w:rPr>
                <w:noProof/>
                <w:webHidden/>
              </w:rPr>
              <w:t>11</w:t>
            </w:r>
            <w:r>
              <w:rPr>
                <w:noProof/>
                <w:webHidden/>
              </w:rPr>
              <w:fldChar w:fldCharType="end"/>
            </w:r>
          </w:hyperlink>
        </w:p>
        <w:p w14:paraId="7E385744" w14:textId="193F6920" w:rsidR="008E1C3F" w:rsidRDefault="008E1C3F">
          <w:pPr>
            <w:pStyle w:val="TOC2"/>
            <w:tabs>
              <w:tab w:val="right" w:leader="dot" w:pos="9016"/>
            </w:tabs>
            <w:rPr>
              <w:rFonts w:asciiTheme="minorHAnsi" w:eastAsiaTheme="minorEastAsia" w:hAnsiTheme="minorHAnsi"/>
              <w:noProof/>
              <w:szCs w:val="24"/>
              <w:lang w:eastAsia="en-GB"/>
            </w:rPr>
          </w:pPr>
          <w:hyperlink w:anchor="_Toc61434494" w:history="1">
            <w:r w:rsidRPr="004C1869">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_Toc61434494 \h </w:instrText>
            </w:r>
            <w:r>
              <w:rPr>
                <w:noProof/>
                <w:webHidden/>
              </w:rPr>
            </w:r>
            <w:r>
              <w:rPr>
                <w:noProof/>
                <w:webHidden/>
              </w:rPr>
              <w:fldChar w:fldCharType="separate"/>
            </w:r>
            <w:r>
              <w:rPr>
                <w:noProof/>
                <w:webHidden/>
              </w:rPr>
              <w:t>15</w:t>
            </w:r>
            <w:r>
              <w:rPr>
                <w:noProof/>
                <w:webHidden/>
              </w:rPr>
              <w:fldChar w:fldCharType="end"/>
            </w:r>
          </w:hyperlink>
        </w:p>
        <w:p w14:paraId="5278D259" w14:textId="374D20A0" w:rsidR="008E1C3F" w:rsidRDefault="008E1C3F">
          <w:pPr>
            <w:pStyle w:val="TOC1"/>
            <w:tabs>
              <w:tab w:val="right" w:leader="dot" w:pos="9016"/>
            </w:tabs>
            <w:rPr>
              <w:rFonts w:asciiTheme="minorHAnsi" w:eastAsiaTheme="minorEastAsia" w:hAnsiTheme="minorHAnsi"/>
              <w:noProof/>
              <w:szCs w:val="24"/>
              <w:lang w:eastAsia="en-GB"/>
            </w:rPr>
          </w:pPr>
          <w:hyperlink w:anchor="_Toc61434495" w:history="1">
            <w:r w:rsidRPr="004C1869">
              <w:rPr>
                <w:rStyle w:val="Hyperlink"/>
                <w:rFonts w:ascii="Arial" w:hAnsi="Arial" w:cs="Arial"/>
                <w:noProof/>
              </w:rPr>
              <w:t>Part C</w:t>
            </w:r>
            <w:r>
              <w:rPr>
                <w:noProof/>
                <w:webHidden/>
              </w:rPr>
              <w:tab/>
            </w:r>
            <w:r>
              <w:rPr>
                <w:noProof/>
                <w:webHidden/>
              </w:rPr>
              <w:fldChar w:fldCharType="begin"/>
            </w:r>
            <w:r>
              <w:rPr>
                <w:noProof/>
                <w:webHidden/>
              </w:rPr>
              <w:instrText xml:space="preserve"> PAGEREF _Toc61434495 \h </w:instrText>
            </w:r>
            <w:r>
              <w:rPr>
                <w:noProof/>
                <w:webHidden/>
              </w:rPr>
            </w:r>
            <w:r>
              <w:rPr>
                <w:noProof/>
                <w:webHidden/>
              </w:rPr>
              <w:fldChar w:fldCharType="separate"/>
            </w:r>
            <w:r>
              <w:rPr>
                <w:noProof/>
                <w:webHidden/>
              </w:rPr>
              <w:t>15</w:t>
            </w:r>
            <w:r>
              <w:rPr>
                <w:noProof/>
                <w:webHidden/>
              </w:rPr>
              <w:fldChar w:fldCharType="end"/>
            </w:r>
          </w:hyperlink>
        </w:p>
        <w:p w14:paraId="002A89E9" w14:textId="45FF83FF" w:rsidR="008E1C3F" w:rsidRDefault="008E1C3F">
          <w:pPr>
            <w:pStyle w:val="TOC2"/>
            <w:tabs>
              <w:tab w:val="right" w:leader="dot" w:pos="9016"/>
            </w:tabs>
            <w:rPr>
              <w:rFonts w:asciiTheme="minorHAnsi" w:eastAsiaTheme="minorEastAsia" w:hAnsiTheme="minorHAnsi"/>
              <w:noProof/>
              <w:szCs w:val="24"/>
              <w:lang w:eastAsia="en-GB"/>
            </w:rPr>
          </w:pPr>
          <w:hyperlink w:anchor="_Toc61434496" w:history="1">
            <w:r w:rsidRPr="004C1869">
              <w:rPr>
                <w:rStyle w:val="Hyperlink"/>
                <w:rFonts w:ascii="Arial" w:hAnsi="Arial" w:cs="Arial"/>
                <w:noProof/>
              </w:rPr>
              <w:t>Project Appraisal:</w:t>
            </w:r>
            <w:r>
              <w:rPr>
                <w:noProof/>
                <w:webHidden/>
              </w:rPr>
              <w:tab/>
            </w:r>
            <w:r>
              <w:rPr>
                <w:noProof/>
                <w:webHidden/>
              </w:rPr>
              <w:fldChar w:fldCharType="begin"/>
            </w:r>
            <w:r>
              <w:rPr>
                <w:noProof/>
                <w:webHidden/>
              </w:rPr>
              <w:instrText xml:space="preserve"> PAGEREF _Toc61434496 \h </w:instrText>
            </w:r>
            <w:r>
              <w:rPr>
                <w:noProof/>
                <w:webHidden/>
              </w:rPr>
            </w:r>
            <w:r>
              <w:rPr>
                <w:noProof/>
                <w:webHidden/>
              </w:rPr>
              <w:fldChar w:fldCharType="separate"/>
            </w:r>
            <w:r>
              <w:rPr>
                <w:noProof/>
                <w:webHidden/>
              </w:rPr>
              <w:t>15</w:t>
            </w:r>
            <w:r>
              <w:rPr>
                <w:noProof/>
                <w:webHidden/>
              </w:rPr>
              <w:fldChar w:fldCharType="end"/>
            </w:r>
          </w:hyperlink>
        </w:p>
        <w:p w14:paraId="7AF9607F" w14:textId="549A8800" w:rsidR="008E1C3F" w:rsidRDefault="008E1C3F">
          <w:pPr>
            <w:pStyle w:val="TOC2"/>
            <w:tabs>
              <w:tab w:val="right" w:leader="dot" w:pos="9016"/>
            </w:tabs>
            <w:rPr>
              <w:rFonts w:asciiTheme="minorHAnsi" w:eastAsiaTheme="minorEastAsia" w:hAnsiTheme="minorHAnsi"/>
              <w:noProof/>
              <w:szCs w:val="24"/>
              <w:lang w:eastAsia="en-GB"/>
            </w:rPr>
          </w:pPr>
          <w:hyperlink w:anchor="_Toc61434497" w:history="1">
            <w:r w:rsidRPr="004C1869">
              <w:rPr>
                <w:rStyle w:val="Hyperlink"/>
                <w:rFonts w:ascii="Arial" w:hAnsi="Arial" w:cs="Arial"/>
                <w:noProof/>
              </w:rPr>
              <w:t>Advantages and shortcomings of different project appraisal techniques:</w:t>
            </w:r>
            <w:r>
              <w:rPr>
                <w:noProof/>
                <w:webHidden/>
              </w:rPr>
              <w:tab/>
            </w:r>
            <w:r>
              <w:rPr>
                <w:noProof/>
                <w:webHidden/>
              </w:rPr>
              <w:fldChar w:fldCharType="begin"/>
            </w:r>
            <w:r>
              <w:rPr>
                <w:noProof/>
                <w:webHidden/>
              </w:rPr>
              <w:instrText xml:space="preserve"> PAGEREF _Toc61434497 \h </w:instrText>
            </w:r>
            <w:r>
              <w:rPr>
                <w:noProof/>
                <w:webHidden/>
              </w:rPr>
            </w:r>
            <w:r>
              <w:rPr>
                <w:noProof/>
                <w:webHidden/>
              </w:rPr>
              <w:fldChar w:fldCharType="separate"/>
            </w:r>
            <w:r>
              <w:rPr>
                <w:noProof/>
                <w:webHidden/>
              </w:rPr>
              <w:t>17</w:t>
            </w:r>
            <w:r>
              <w:rPr>
                <w:noProof/>
                <w:webHidden/>
              </w:rPr>
              <w:fldChar w:fldCharType="end"/>
            </w:r>
          </w:hyperlink>
        </w:p>
        <w:p w14:paraId="4BF7D276" w14:textId="23F24033" w:rsidR="008E1C3F" w:rsidRDefault="008E1C3F">
          <w:pPr>
            <w:pStyle w:val="TOC2"/>
            <w:tabs>
              <w:tab w:val="right" w:leader="dot" w:pos="9016"/>
            </w:tabs>
            <w:rPr>
              <w:rFonts w:asciiTheme="minorHAnsi" w:eastAsiaTheme="minorEastAsia" w:hAnsiTheme="minorHAnsi"/>
              <w:noProof/>
              <w:szCs w:val="24"/>
              <w:lang w:eastAsia="en-GB"/>
            </w:rPr>
          </w:pPr>
          <w:hyperlink w:anchor="_Toc61434498" w:history="1">
            <w:r w:rsidRPr="004C1869">
              <w:rPr>
                <w:rStyle w:val="Hyperlink"/>
                <w:rFonts w:ascii="Arial" w:hAnsi="Arial" w:cs="Arial"/>
                <w:noProof/>
              </w:rPr>
              <w:t>Non-financial factors to be considered:</w:t>
            </w:r>
            <w:r>
              <w:rPr>
                <w:noProof/>
                <w:webHidden/>
              </w:rPr>
              <w:tab/>
            </w:r>
            <w:r>
              <w:rPr>
                <w:noProof/>
                <w:webHidden/>
              </w:rPr>
              <w:fldChar w:fldCharType="begin"/>
            </w:r>
            <w:r>
              <w:rPr>
                <w:noProof/>
                <w:webHidden/>
              </w:rPr>
              <w:instrText xml:space="preserve"> PAGEREF _Toc61434498 \h </w:instrText>
            </w:r>
            <w:r>
              <w:rPr>
                <w:noProof/>
                <w:webHidden/>
              </w:rPr>
            </w:r>
            <w:r>
              <w:rPr>
                <w:noProof/>
                <w:webHidden/>
              </w:rPr>
              <w:fldChar w:fldCharType="separate"/>
            </w:r>
            <w:r>
              <w:rPr>
                <w:noProof/>
                <w:webHidden/>
              </w:rPr>
              <w:t>19</w:t>
            </w:r>
            <w:r>
              <w:rPr>
                <w:noProof/>
                <w:webHidden/>
              </w:rPr>
              <w:fldChar w:fldCharType="end"/>
            </w:r>
          </w:hyperlink>
        </w:p>
        <w:p w14:paraId="7D51D780" w14:textId="2ADF555D" w:rsidR="008E1C3F" w:rsidRDefault="008E1C3F">
          <w:pPr>
            <w:pStyle w:val="TOC1"/>
            <w:tabs>
              <w:tab w:val="right" w:leader="dot" w:pos="9016"/>
            </w:tabs>
            <w:rPr>
              <w:rFonts w:asciiTheme="minorHAnsi" w:eastAsiaTheme="minorEastAsia" w:hAnsiTheme="minorHAnsi"/>
              <w:noProof/>
              <w:szCs w:val="24"/>
              <w:lang w:eastAsia="en-GB"/>
            </w:rPr>
          </w:pPr>
          <w:hyperlink w:anchor="_Toc61434499" w:history="1">
            <w:r w:rsidRPr="004C1869">
              <w:rPr>
                <w:rStyle w:val="Hyperlink"/>
                <w:rFonts w:ascii="Arial" w:hAnsi="Arial" w:cs="Arial"/>
                <w:noProof/>
              </w:rPr>
              <w:t>Conclusion</w:t>
            </w:r>
            <w:r>
              <w:rPr>
                <w:noProof/>
                <w:webHidden/>
              </w:rPr>
              <w:tab/>
            </w:r>
            <w:r>
              <w:rPr>
                <w:noProof/>
                <w:webHidden/>
              </w:rPr>
              <w:fldChar w:fldCharType="begin"/>
            </w:r>
            <w:r>
              <w:rPr>
                <w:noProof/>
                <w:webHidden/>
              </w:rPr>
              <w:instrText xml:space="preserve"> PAGEREF _Toc61434499 \h </w:instrText>
            </w:r>
            <w:r>
              <w:rPr>
                <w:noProof/>
                <w:webHidden/>
              </w:rPr>
            </w:r>
            <w:r>
              <w:rPr>
                <w:noProof/>
                <w:webHidden/>
              </w:rPr>
              <w:fldChar w:fldCharType="separate"/>
            </w:r>
            <w:r>
              <w:rPr>
                <w:noProof/>
                <w:webHidden/>
              </w:rPr>
              <w:t>19</w:t>
            </w:r>
            <w:r>
              <w:rPr>
                <w:noProof/>
                <w:webHidden/>
              </w:rPr>
              <w:fldChar w:fldCharType="end"/>
            </w:r>
          </w:hyperlink>
        </w:p>
        <w:p w14:paraId="47C53326" w14:textId="130E8072" w:rsidR="008E1C3F" w:rsidRDefault="008E1C3F">
          <w:pPr>
            <w:pStyle w:val="TOC1"/>
            <w:tabs>
              <w:tab w:val="right" w:leader="dot" w:pos="9016"/>
            </w:tabs>
            <w:rPr>
              <w:rFonts w:asciiTheme="minorHAnsi" w:eastAsiaTheme="minorEastAsia" w:hAnsiTheme="minorHAnsi"/>
              <w:noProof/>
              <w:szCs w:val="24"/>
              <w:lang w:eastAsia="en-GB"/>
            </w:rPr>
          </w:pPr>
          <w:hyperlink w:anchor="_Toc61434500" w:history="1">
            <w:r w:rsidRPr="004C1869">
              <w:rPr>
                <w:rStyle w:val="Hyperlink"/>
                <w:rFonts w:ascii="Arial" w:hAnsi="Arial" w:cs="Arial"/>
                <w:noProof/>
              </w:rPr>
              <w:t>References</w:t>
            </w:r>
            <w:r>
              <w:rPr>
                <w:noProof/>
                <w:webHidden/>
              </w:rPr>
              <w:tab/>
            </w:r>
            <w:r>
              <w:rPr>
                <w:noProof/>
                <w:webHidden/>
              </w:rPr>
              <w:fldChar w:fldCharType="begin"/>
            </w:r>
            <w:r>
              <w:rPr>
                <w:noProof/>
                <w:webHidden/>
              </w:rPr>
              <w:instrText xml:space="preserve"> PAGEREF _Toc61434500 \h </w:instrText>
            </w:r>
            <w:r>
              <w:rPr>
                <w:noProof/>
                <w:webHidden/>
              </w:rPr>
            </w:r>
            <w:r>
              <w:rPr>
                <w:noProof/>
                <w:webHidden/>
              </w:rPr>
              <w:fldChar w:fldCharType="separate"/>
            </w:r>
            <w:r>
              <w:rPr>
                <w:noProof/>
                <w:webHidden/>
              </w:rPr>
              <w:t>20</w:t>
            </w:r>
            <w:r>
              <w:rPr>
                <w:noProof/>
                <w:webHidden/>
              </w:rPr>
              <w:fldChar w:fldCharType="end"/>
            </w:r>
          </w:hyperlink>
        </w:p>
        <w:p w14:paraId="4DEABA25" w14:textId="73481723" w:rsidR="0083029C" w:rsidRPr="00B20F18" w:rsidRDefault="00DE6B9E" w:rsidP="0083029C">
          <w:pPr>
            <w:rPr>
              <w:rFonts w:ascii="Arial" w:hAnsi="Arial" w:cs="Arial"/>
              <w:b/>
              <w:bCs/>
              <w:sz w:val="22"/>
            </w:rPr>
          </w:pPr>
          <w:r w:rsidRPr="00B20F18">
            <w:rPr>
              <w:rFonts w:ascii="Arial" w:hAnsi="Arial" w:cs="Arial"/>
              <w:b/>
              <w:bCs/>
              <w:sz w:val="21"/>
              <w:szCs w:val="21"/>
            </w:rPr>
            <w:fldChar w:fldCharType="end"/>
          </w:r>
        </w:p>
      </w:sdtContent>
    </w:sdt>
    <w:p w14:paraId="32069646" w14:textId="6232B230" w:rsidR="006A4DDA" w:rsidRPr="00B20F18" w:rsidRDefault="006A4DDA" w:rsidP="0083029C">
      <w:pPr>
        <w:pStyle w:val="Heading1"/>
        <w:rPr>
          <w:rFonts w:ascii="Arial" w:hAnsi="Arial" w:cs="Arial"/>
        </w:rPr>
      </w:pPr>
      <w:bookmarkStart w:id="0" w:name="_Toc61434476"/>
      <w:r w:rsidRPr="00B20F18">
        <w:rPr>
          <w:rFonts w:ascii="Arial" w:hAnsi="Arial" w:cs="Arial"/>
        </w:rPr>
        <w:lastRenderedPageBreak/>
        <w:t>Introduction</w:t>
      </w:r>
      <w:bookmarkEnd w:id="0"/>
      <w:r w:rsidR="001357F5" w:rsidRPr="00B20F18">
        <w:rPr>
          <w:rFonts w:ascii="Arial" w:hAnsi="Arial" w:cs="Arial"/>
        </w:rPr>
        <w:t xml:space="preserve"> </w:t>
      </w:r>
    </w:p>
    <w:p w14:paraId="02D4BF41" w14:textId="3BFB63F4" w:rsidR="009A1CC4" w:rsidRPr="00B20F18" w:rsidRDefault="001A3349" w:rsidP="003E4F6F">
      <w:pPr>
        <w:rPr>
          <w:rFonts w:ascii="Arial" w:hAnsi="Arial" w:cs="Arial"/>
        </w:rPr>
      </w:pPr>
      <w:r w:rsidRPr="00B20F18">
        <w:rPr>
          <w:rFonts w:ascii="Arial" w:hAnsi="Arial" w:cs="Arial"/>
        </w:rPr>
        <w:t xml:space="preserve">The business organisation needs to make different decisions </w:t>
      </w:r>
      <w:r w:rsidR="00595DFE" w:rsidRPr="00B20F18">
        <w:rPr>
          <w:rFonts w:ascii="Arial" w:hAnsi="Arial" w:cs="Arial"/>
        </w:rPr>
        <w:t>on the daily basis</w:t>
      </w:r>
      <w:r w:rsidR="00454558" w:rsidRPr="00B20F18">
        <w:rPr>
          <w:rFonts w:ascii="Arial" w:hAnsi="Arial" w:cs="Arial"/>
        </w:rPr>
        <w:t xml:space="preserve"> in order to allocate and manage the available resources. The financial resources of the organisation </w:t>
      </w:r>
      <w:r w:rsidR="00662492" w:rsidRPr="00B20F18">
        <w:rPr>
          <w:rFonts w:ascii="Arial" w:hAnsi="Arial" w:cs="Arial"/>
        </w:rPr>
        <w:t xml:space="preserve">are managed through the financial management. </w:t>
      </w:r>
      <w:r w:rsidR="00AA3983" w:rsidRPr="00B20F18">
        <w:rPr>
          <w:rFonts w:ascii="Arial" w:hAnsi="Arial" w:cs="Arial"/>
        </w:rPr>
        <w:t xml:space="preserve">The </w:t>
      </w:r>
      <w:r w:rsidR="00AF228C" w:rsidRPr="00B20F18">
        <w:rPr>
          <w:rFonts w:ascii="Arial" w:hAnsi="Arial" w:cs="Arial"/>
        </w:rPr>
        <w:t>financial</w:t>
      </w:r>
      <w:r w:rsidR="00AA3983" w:rsidRPr="00B20F18">
        <w:rPr>
          <w:rFonts w:ascii="Arial" w:hAnsi="Arial" w:cs="Arial"/>
        </w:rPr>
        <w:t xml:space="preserve"> management process involves the planning, unifying, monitoring and directing the financial resources of the organisation. In this report, the different aspects of the financial management are discussed from the view point of</w:t>
      </w:r>
      <w:r w:rsidR="00595DFE" w:rsidRPr="00B20F18">
        <w:rPr>
          <w:rFonts w:ascii="Arial" w:hAnsi="Arial" w:cs="Arial"/>
        </w:rPr>
        <w:t xml:space="preserve"> </w:t>
      </w:r>
      <w:r w:rsidR="00AA3983" w:rsidRPr="00B20F18">
        <w:rPr>
          <w:rFonts w:ascii="Arial" w:hAnsi="Arial" w:cs="Arial"/>
        </w:rPr>
        <w:t xml:space="preserve">Rolls-Royce Holdings plc. </w:t>
      </w:r>
      <w:r w:rsidR="00520B2C" w:rsidRPr="00B20F18">
        <w:rPr>
          <w:rFonts w:ascii="Arial" w:hAnsi="Arial" w:cs="Arial"/>
        </w:rPr>
        <w:t xml:space="preserve">There are three parts of the report, in part A the brief history along with its business model and major recent events have been discussed. In part B, various financial ratios along with the analysis and evaluation have been delineated. In part C, the project appraisal techniques are used to evaluate the feasibility of the given projects. </w:t>
      </w:r>
    </w:p>
    <w:p w14:paraId="3636654D" w14:textId="5B4FDAFC" w:rsidR="003E4F6F" w:rsidRPr="00B20F18" w:rsidRDefault="003E4F6F" w:rsidP="003E4F6F">
      <w:pPr>
        <w:rPr>
          <w:rFonts w:ascii="Arial" w:hAnsi="Arial" w:cs="Arial"/>
        </w:rPr>
      </w:pPr>
    </w:p>
    <w:p w14:paraId="4C3798E2" w14:textId="748AB97F" w:rsidR="003E4F6F" w:rsidRPr="00B20F18" w:rsidRDefault="003E4F6F" w:rsidP="003E4F6F">
      <w:pPr>
        <w:pStyle w:val="Heading1"/>
        <w:rPr>
          <w:rFonts w:ascii="Arial" w:hAnsi="Arial" w:cs="Arial"/>
        </w:rPr>
      </w:pPr>
      <w:bookmarkStart w:id="1" w:name="_Toc61434477"/>
      <w:r w:rsidRPr="00B20F18">
        <w:rPr>
          <w:rFonts w:ascii="Arial" w:hAnsi="Arial" w:cs="Arial"/>
        </w:rPr>
        <w:t>Part A:</w:t>
      </w:r>
      <w:bookmarkEnd w:id="1"/>
    </w:p>
    <w:p w14:paraId="08FB23CB" w14:textId="77777777" w:rsidR="003E4F6F" w:rsidRPr="00B20F18" w:rsidRDefault="003E4F6F" w:rsidP="003E4F6F">
      <w:pPr>
        <w:rPr>
          <w:rFonts w:ascii="Arial" w:hAnsi="Arial" w:cs="Arial"/>
        </w:rPr>
      </w:pPr>
    </w:p>
    <w:p w14:paraId="54CD7E56" w14:textId="174B6E9F" w:rsidR="00982164" w:rsidRPr="00B20F18" w:rsidRDefault="00520B2C" w:rsidP="00520B2C">
      <w:pPr>
        <w:pStyle w:val="Heading2"/>
        <w:rPr>
          <w:rFonts w:ascii="Arial" w:hAnsi="Arial" w:cs="Arial"/>
        </w:rPr>
      </w:pPr>
      <w:bookmarkStart w:id="2" w:name="_Toc61434478"/>
      <w:r w:rsidRPr="00B20F18">
        <w:rPr>
          <w:rFonts w:ascii="Arial" w:hAnsi="Arial" w:cs="Arial"/>
        </w:rPr>
        <w:t>Brief history</w:t>
      </w:r>
      <w:bookmarkEnd w:id="2"/>
    </w:p>
    <w:p w14:paraId="23DC85AB" w14:textId="25FA3558" w:rsidR="00067922" w:rsidRPr="00B20F18" w:rsidRDefault="006B6014" w:rsidP="00067922">
      <w:pPr>
        <w:rPr>
          <w:rFonts w:ascii="Arial" w:eastAsia="Times New Roman" w:hAnsi="Arial" w:cs="Arial"/>
          <w:szCs w:val="24"/>
          <w:lang w:eastAsia="en-GB"/>
        </w:rPr>
      </w:pPr>
      <w:r w:rsidRPr="00B20F18">
        <w:rPr>
          <w:rFonts w:ascii="Arial" w:hAnsi="Arial" w:cs="Arial"/>
        </w:rPr>
        <w:t>Rolls-Royce Holdings plc. is a British multinational organisation which was established in 1904 and the organisation was incorporated in February 2011.</w:t>
      </w:r>
      <w:r w:rsidR="00835BF8" w:rsidRPr="00B20F18">
        <w:rPr>
          <w:rFonts w:ascii="Arial" w:hAnsi="Arial" w:cs="Arial"/>
        </w:rPr>
        <w:t xml:space="preserve"> The headquarter of the organisation is situated in Goodwood, England.</w:t>
      </w:r>
      <w:r w:rsidRPr="00B20F18">
        <w:rPr>
          <w:rFonts w:ascii="Arial" w:hAnsi="Arial" w:cs="Arial"/>
        </w:rPr>
        <w:t xml:space="preserve"> The business of electrical and mechanical engineering was first introduced by Henry Royce back in 1884 and it built its first motor vehicle in 1904</w:t>
      </w:r>
      <w:r w:rsidR="00BF37FC" w:rsidRPr="00B20F18">
        <w:rPr>
          <w:rFonts w:ascii="Arial" w:hAnsi="Arial" w:cs="Arial"/>
        </w:rPr>
        <w:t xml:space="preserve"> and in that year Henry Royce and Charles Rolls established the organisation named Rolls-Royce. </w:t>
      </w:r>
      <w:r w:rsidR="00067922" w:rsidRPr="00B20F18">
        <w:rPr>
          <w:rFonts w:ascii="Arial" w:hAnsi="Arial" w:cs="Arial"/>
        </w:rPr>
        <w:t xml:space="preserve">Now, the main business of Rolls-Royce Holdings PLC. includes the </w:t>
      </w:r>
      <w:r w:rsidR="00067922" w:rsidRPr="00B20F18">
        <w:rPr>
          <w:rFonts w:ascii="Arial" w:eastAsia="Times New Roman" w:hAnsi="Arial" w:cs="Arial"/>
          <w:szCs w:val="24"/>
          <w:lang w:eastAsia="en-GB"/>
        </w:rPr>
        <w:t>manufacturing of the aircraft engines, marine propulsion systems, power-generation systems beside the production of the luxury cars</w:t>
      </w:r>
      <w:r w:rsidR="00610C33" w:rsidRPr="00B20F18">
        <w:rPr>
          <w:rFonts w:ascii="Arial" w:eastAsia="Times New Roman" w:hAnsi="Arial" w:cs="Arial"/>
          <w:szCs w:val="24"/>
          <w:lang w:eastAsia="en-GB"/>
        </w:rPr>
        <w:t xml:space="preserve"> (Rolls-royce.com. 2020)</w:t>
      </w:r>
      <w:r w:rsidR="00067922" w:rsidRPr="00B20F18">
        <w:rPr>
          <w:rFonts w:ascii="Arial" w:eastAsia="Times New Roman" w:hAnsi="Arial" w:cs="Arial"/>
          <w:szCs w:val="24"/>
          <w:lang w:eastAsia="en-GB"/>
        </w:rPr>
        <w:t xml:space="preserve">. </w:t>
      </w:r>
    </w:p>
    <w:p w14:paraId="0ADD48F0" w14:textId="77777777" w:rsidR="003E4F6F" w:rsidRPr="00B20F18" w:rsidRDefault="003E4F6F" w:rsidP="00067922">
      <w:pPr>
        <w:rPr>
          <w:rFonts w:ascii="Arial" w:eastAsia="Times New Roman" w:hAnsi="Arial" w:cs="Arial"/>
          <w:szCs w:val="24"/>
          <w:lang w:eastAsia="en-GB"/>
        </w:rPr>
      </w:pPr>
    </w:p>
    <w:p w14:paraId="06581C7B" w14:textId="77777777" w:rsidR="00520B2C" w:rsidRPr="00B20F18" w:rsidRDefault="00520B2C" w:rsidP="00520B2C">
      <w:pPr>
        <w:pStyle w:val="Heading2"/>
        <w:rPr>
          <w:rFonts w:ascii="Arial" w:eastAsia="Times New Roman" w:hAnsi="Arial" w:cs="Arial"/>
          <w:color w:val="000000" w:themeColor="text1"/>
          <w:lang w:eastAsia="en-GB"/>
        </w:rPr>
      </w:pPr>
      <w:bookmarkStart w:id="3" w:name="_Toc61434479"/>
      <w:r w:rsidRPr="00B20F18">
        <w:rPr>
          <w:rFonts w:ascii="Arial" w:eastAsia="Times New Roman" w:hAnsi="Arial" w:cs="Arial"/>
          <w:color w:val="000000" w:themeColor="text1"/>
          <w:lang w:eastAsia="en-GB"/>
        </w:rPr>
        <w:t>Business model</w:t>
      </w:r>
      <w:bookmarkEnd w:id="3"/>
    </w:p>
    <w:p w14:paraId="00ACE80B" w14:textId="0BF0E980" w:rsidR="00520B2C" w:rsidRPr="00B20F18" w:rsidRDefault="00835BF8" w:rsidP="00B16968">
      <w:pPr>
        <w:rPr>
          <w:rFonts w:ascii="Arial" w:hAnsi="Arial" w:cs="Arial"/>
        </w:rPr>
      </w:pPr>
      <w:r w:rsidRPr="00B20F18">
        <w:rPr>
          <w:rFonts w:ascii="Arial" w:hAnsi="Arial" w:cs="Arial"/>
          <w:lang w:eastAsia="en-GB"/>
        </w:rPr>
        <w:t xml:space="preserve">Rolls-Royce is basically a luxury motor car brand </w:t>
      </w:r>
      <w:r w:rsidR="000E116C" w:rsidRPr="00B20F18">
        <w:rPr>
          <w:rFonts w:ascii="Arial" w:hAnsi="Arial" w:cs="Arial"/>
          <w:lang w:eastAsia="en-GB"/>
        </w:rPr>
        <w:t xml:space="preserve">which manufactures </w:t>
      </w:r>
      <w:r w:rsidR="000E116C" w:rsidRPr="00B20F18">
        <w:rPr>
          <w:rFonts w:ascii="Arial" w:hAnsi="Arial" w:cs="Arial"/>
        </w:rPr>
        <w:t>aerospace and defence engines as well. The main business model of Rolls-Royce Holdings PLC. can be depicted as manufacturing high-performance engines and luxury cars as per the demand of the customers and providing long-term services</w:t>
      </w:r>
      <w:r w:rsidR="000E116C" w:rsidRPr="00B20F18">
        <w:rPr>
          <w:rFonts w:ascii="Arial" w:eastAsia="Times New Roman" w:hAnsi="Arial" w:cs="Arial"/>
          <w:szCs w:val="24"/>
          <w:lang w:eastAsia="en-GB"/>
        </w:rPr>
        <w:t xml:space="preserve"> to the customers. </w:t>
      </w:r>
      <w:r w:rsidR="000E116C" w:rsidRPr="00B20F18">
        <w:rPr>
          <w:rFonts w:ascii="Arial" w:hAnsi="Arial" w:cs="Arial"/>
        </w:rPr>
        <w:t>Rolls-</w:t>
      </w:r>
      <w:r w:rsidR="000E116C" w:rsidRPr="00B20F18">
        <w:rPr>
          <w:rFonts w:ascii="Arial" w:hAnsi="Arial" w:cs="Arial"/>
        </w:rPr>
        <w:lastRenderedPageBreak/>
        <w:t>Royce Holdings PLC. is highly committed to the continuous value creation through the research and development, latest technologies, competitive intellectual assets and brand value</w:t>
      </w:r>
      <w:r w:rsidR="00610C33" w:rsidRPr="00B20F18">
        <w:rPr>
          <w:rFonts w:ascii="Arial" w:hAnsi="Arial" w:cs="Arial"/>
        </w:rPr>
        <w:t xml:space="preserve"> </w:t>
      </w:r>
      <w:r w:rsidR="00610C33" w:rsidRPr="00B20F18">
        <w:rPr>
          <w:rFonts w:ascii="Arial" w:eastAsia="Times New Roman" w:hAnsi="Arial" w:cs="Arial"/>
          <w:szCs w:val="24"/>
          <w:lang w:eastAsia="en-GB"/>
        </w:rPr>
        <w:t>(Rolls-royce.com. 2020)</w:t>
      </w:r>
      <w:r w:rsidR="000E116C" w:rsidRPr="00B20F18">
        <w:rPr>
          <w:rFonts w:ascii="Arial" w:hAnsi="Arial" w:cs="Arial"/>
        </w:rPr>
        <w:t xml:space="preserve">. </w:t>
      </w:r>
      <w:r w:rsidR="0053315A" w:rsidRPr="00B20F18">
        <w:rPr>
          <w:rFonts w:ascii="Arial" w:hAnsi="Arial" w:cs="Arial"/>
        </w:rPr>
        <w:t xml:space="preserve">The characteristics of the business model of Rolls-Royce Holdings PLC. reveals that, the organisation focuses on the standard, customer demand, customisation, reliability, luxury, performance and ultimately pure customer satisfaction. </w:t>
      </w:r>
    </w:p>
    <w:p w14:paraId="343A8D58" w14:textId="77777777" w:rsidR="003E4F6F" w:rsidRPr="00B20F18" w:rsidRDefault="003E4F6F" w:rsidP="00B16968">
      <w:pPr>
        <w:rPr>
          <w:rFonts w:ascii="Arial" w:eastAsia="Times New Roman" w:hAnsi="Arial" w:cs="Arial"/>
          <w:szCs w:val="24"/>
          <w:lang w:eastAsia="en-GB"/>
        </w:rPr>
      </w:pPr>
    </w:p>
    <w:p w14:paraId="346D644D" w14:textId="58E8A15E" w:rsidR="00520B2C" w:rsidRPr="00B20F18" w:rsidRDefault="00520B2C" w:rsidP="003E4F6F">
      <w:pPr>
        <w:pStyle w:val="Heading2"/>
        <w:rPr>
          <w:rFonts w:ascii="Arial" w:hAnsi="Arial" w:cs="Arial"/>
        </w:rPr>
      </w:pPr>
      <w:bookmarkStart w:id="4" w:name="_Toc61434480"/>
      <w:r w:rsidRPr="00B20F18">
        <w:rPr>
          <w:rFonts w:ascii="Arial" w:eastAsia="Times New Roman" w:hAnsi="Arial" w:cs="Arial"/>
          <w:lang w:eastAsia="en-GB"/>
        </w:rPr>
        <w:t xml:space="preserve">Market place and major </w:t>
      </w:r>
      <w:r w:rsidRPr="00B20F18">
        <w:rPr>
          <w:rFonts w:ascii="Arial" w:hAnsi="Arial" w:cs="Arial"/>
        </w:rPr>
        <w:t>competitor</w:t>
      </w:r>
      <w:bookmarkEnd w:id="4"/>
    </w:p>
    <w:p w14:paraId="099BADF6" w14:textId="2BA9F359" w:rsidR="00520B2C" w:rsidRPr="00B20F18" w:rsidRDefault="00B16968" w:rsidP="00520B2C">
      <w:pPr>
        <w:rPr>
          <w:rFonts w:ascii="Arial" w:hAnsi="Arial" w:cs="Arial"/>
        </w:rPr>
      </w:pPr>
      <w:r w:rsidRPr="00B20F18">
        <w:rPr>
          <w:rFonts w:ascii="Arial" w:hAnsi="Arial" w:cs="Arial"/>
        </w:rPr>
        <w:t xml:space="preserve">Rolls-Royce Holdings PLC. has more than 40 engineering projects or programs in order to develop </w:t>
      </w:r>
      <w:r w:rsidR="00A00C56" w:rsidRPr="00B20F18">
        <w:rPr>
          <w:rFonts w:ascii="Arial" w:hAnsi="Arial" w:cs="Arial"/>
        </w:rPr>
        <w:t>a</w:t>
      </w:r>
      <w:r w:rsidRPr="00B20F18">
        <w:rPr>
          <w:rFonts w:ascii="Arial" w:hAnsi="Arial" w:cs="Arial"/>
        </w:rPr>
        <w:t xml:space="preserve"> handsome portfolio of the competitive products and services. </w:t>
      </w:r>
      <w:r w:rsidR="00A00C56" w:rsidRPr="00B20F18">
        <w:rPr>
          <w:rFonts w:ascii="Arial" w:hAnsi="Arial" w:cs="Arial"/>
        </w:rPr>
        <w:t xml:space="preserve">However, Rolls-Royce Holdings PLC. operates in four segments mainly- civil aerospace, defence aerospace, marine and power systems. </w:t>
      </w:r>
      <w:r w:rsidR="00D14D1C" w:rsidRPr="00B20F18">
        <w:rPr>
          <w:rFonts w:ascii="Arial" w:hAnsi="Arial" w:cs="Arial"/>
        </w:rPr>
        <w:t xml:space="preserve">In terms of aerospace engine manufacturing industry, Rolls-Royce Holdings PLC. possesses about 18% of the market share, after CFM International and Pratt &amp; Whitney (Smith, 2020). </w:t>
      </w:r>
      <w:r w:rsidR="008B175E" w:rsidRPr="00B20F18">
        <w:rPr>
          <w:rFonts w:ascii="Arial" w:hAnsi="Arial" w:cs="Arial"/>
        </w:rPr>
        <w:t>So, the close competitors in this segment are CFM International, Pratt &amp; Whitney</w:t>
      </w:r>
      <w:r w:rsidR="00D42870" w:rsidRPr="00B20F18">
        <w:rPr>
          <w:rFonts w:ascii="Arial" w:hAnsi="Arial" w:cs="Arial"/>
        </w:rPr>
        <w:t>,</w:t>
      </w:r>
      <w:r w:rsidR="00D42870" w:rsidRPr="00B20F18">
        <w:rPr>
          <w:rStyle w:val="Heading1Char"/>
          <w:rFonts w:ascii="Arial" w:hAnsi="Arial" w:cs="Arial"/>
        </w:rPr>
        <w:t xml:space="preserve"> </w:t>
      </w:r>
      <w:r w:rsidR="00D42870" w:rsidRPr="00B20F18">
        <w:rPr>
          <w:rStyle w:val="hgkelc"/>
          <w:rFonts w:ascii="Arial" w:hAnsi="Arial" w:cs="Arial"/>
        </w:rPr>
        <w:t>Bombardier,</w:t>
      </w:r>
      <w:r w:rsidR="000F60B2" w:rsidRPr="00B20F18">
        <w:rPr>
          <w:rStyle w:val="hgkelc"/>
          <w:rFonts w:ascii="Arial" w:hAnsi="Arial" w:cs="Arial"/>
        </w:rPr>
        <w:t xml:space="preserve"> Honeywell</w:t>
      </w:r>
      <w:r w:rsidR="008B175E" w:rsidRPr="00B20F18">
        <w:rPr>
          <w:rFonts w:ascii="Arial" w:hAnsi="Arial" w:cs="Arial"/>
        </w:rPr>
        <w:t xml:space="preserve"> and General Electric. </w:t>
      </w:r>
      <w:r w:rsidR="00D42870" w:rsidRPr="00B20F18">
        <w:rPr>
          <w:rFonts w:ascii="Arial" w:hAnsi="Arial" w:cs="Arial"/>
        </w:rPr>
        <w:t xml:space="preserve">On the other hand, there are many competitors of Rolls-Royce Holdings PLC. in terms of luxury motor car </w:t>
      </w:r>
      <w:r w:rsidR="009F6716" w:rsidRPr="00B20F18">
        <w:rPr>
          <w:rFonts w:ascii="Arial" w:hAnsi="Arial" w:cs="Arial"/>
        </w:rPr>
        <w:t>manufacturing segment</w:t>
      </w:r>
      <w:r w:rsidR="00D42870" w:rsidRPr="00B20F18">
        <w:rPr>
          <w:rFonts w:ascii="Arial" w:hAnsi="Arial" w:cs="Arial"/>
        </w:rPr>
        <w:t xml:space="preserve"> including Bentley, BMW, Mercedes, Maserati, Jaguar, Aston Martin etc. </w:t>
      </w:r>
    </w:p>
    <w:p w14:paraId="26EB37A0" w14:textId="77777777" w:rsidR="00472421" w:rsidRPr="00B20F18" w:rsidRDefault="00472421" w:rsidP="00520B2C">
      <w:pPr>
        <w:rPr>
          <w:rFonts w:ascii="Arial" w:eastAsiaTheme="majorEastAsia" w:hAnsi="Arial" w:cs="Arial"/>
          <w:b/>
          <w:sz w:val="28"/>
          <w:szCs w:val="26"/>
        </w:rPr>
      </w:pPr>
    </w:p>
    <w:p w14:paraId="16AE8390" w14:textId="1DF6FA40" w:rsidR="00520B2C" w:rsidRPr="00B20F18" w:rsidRDefault="00520B2C" w:rsidP="003E4F6F">
      <w:pPr>
        <w:pStyle w:val="Heading2"/>
        <w:rPr>
          <w:rFonts w:ascii="Arial" w:hAnsi="Arial" w:cs="Arial"/>
        </w:rPr>
      </w:pPr>
      <w:bookmarkStart w:id="5" w:name="_Toc61434481"/>
      <w:r w:rsidRPr="00B20F18">
        <w:rPr>
          <w:rFonts w:ascii="Arial" w:hAnsi="Arial" w:cs="Arial"/>
        </w:rPr>
        <w:t>Review of major recent events</w:t>
      </w:r>
      <w:bookmarkEnd w:id="5"/>
    </w:p>
    <w:p w14:paraId="136267F8" w14:textId="791A9492" w:rsidR="00982164" w:rsidRPr="00B20F18" w:rsidRDefault="008560D3" w:rsidP="00982164">
      <w:pPr>
        <w:rPr>
          <w:rFonts w:ascii="Arial" w:hAnsi="Arial" w:cs="Arial"/>
        </w:rPr>
      </w:pPr>
      <w:r w:rsidRPr="00B20F18">
        <w:rPr>
          <w:rFonts w:ascii="Arial" w:hAnsi="Arial" w:cs="Arial"/>
        </w:rPr>
        <w:t>There are many recent events related to Rolls-Royce Holdings PLC. There is a major improvement of its product Trent 1000 in 2019, which is a high-bypass turbofan engine for the aircraft. The review of the mechanism of this engine provides better certainty for the customers and the investors as well</w:t>
      </w:r>
      <w:r w:rsidR="00BD4013" w:rsidRPr="00B20F18">
        <w:rPr>
          <w:rFonts w:ascii="Arial" w:hAnsi="Arial" w:cs="Arial"/>
        </w:rPr>
        <w:t xml:space="preserve"> (Results and events, 2020)</w:t>
      </w:r>
      <w:r w:rsidRPr="00B20F18">
        <w:rPr>
          <w:rFonts w:ascii="Arial" w:hAnsi="Arial" w:cs="Arial"/>
        </w:rPr>
        <w:t>.</w:t>
      </w:r>
      <w:r w:rsidR="00DD7E2D" w:rsidRPr="00B20F18">
        <w:rPr>
          <w:rFonts w:ascii="Arial" w:hAnsi="Arial" w:cs="Arial"/>
        </w:rPr>
        <w:t xml:space="preserve"> Rolls-Royce Holdings PLC. participated in the Environmental, Social &amp; Governance (ECG) Event </w:t>
      </w:r>
      <w:r w:rsidR="00731339" w:rsidRPr="00B20F18">
        <w:rPr>
          <w:rFonts w:ascii="Arial" w:hAnsi="Arial" w:cs="Arial"/>
        </w:rPr>
        <w:t xml:space="preserve">in 2019 where it presented the financial </w:t>
      </w:r>
      <w:r w:rsidR="00DE364F" w:rsidRPr="00B20F18">
        <w:rPr>
          <w:rFonts w:ascii="Arial" w:hAnsi="Arial" w:cs="Arial"/>
        </w:rPr>
        <w:t>performance</w:t>
      </w:r>
      <w:r w:rsidR="00731339" w:rsidRPr="00B20F18">
        <w:rPr>
          <w:rFonts w:ascii="Arial" w:hAnsi="Arial" w:cs="Arial"/>
        </w:rPr>
        <w:t xml:space="preserve"> </w:t>
      </w:r>
      <w:r w:rsidR="00DE364F" w:rsidRPr="00B20F18">
        <w:rPr>
          <w:rFonts w:ascii="Arial" w:hAnsi="Arial" w:cs="Arial"/>
        </w:rPr>
        <w:t>over the period</w:t>
      </w:r>
      <w:r w:rsidR="00731339" w:rsidRPr="00B20F18">
        <w:rPr>
          <w:rFonts w:ascii="Arial" w:hAnsi="Arial" w:cs="Arial"/>
        </w:rPr>
        <w:t>.</w:t>
      </w:r>
      <w:r w:rsidR="00DE364F" w:rsidRPr="00B20F18">
        <w:rPr>
          <w:rFonts w:ascii="Arial" w:hAnsi="Arial" w:cs="Arial"/>
        </w:rPr>
        <w:t xml:space="preserve"> In the Farnborough Air Show, Rolls-Royce Holdings PLC. showed its new design, innovation and development of different aircraft engine models. In 2016-17, there are some changes in the senior management team, including the president, directors and couple of officers (Results and events, 2020).   </w:t>
      </w:r>
      <w:r w:rsidR="00731339" w:rsidRPr="00B20F18">
        <w:rPr>
          <w:rFonts w:ascii="Arial" w:hAnsi="Arial" w:cs="Arial"/>
        </w:rPr>
        <w:t xml:space="preserve"> </w:t>
      </w:r>
      <w:r w:rsidRPr="00B20F18">
        <w:rPr>
          <w:rFonts w:ascii="Arial" w:hAnsi="Arial" w:cs="Arial"/>
        </w:rPr>
        <w:t xml:space="preserve">  </w:t>
      </w:r>
    </w:p>
    <w:p w14:paraId="0634CEA5" w14:textId="445589DD" w:rsidR="00982164" w:rsidRPr="00B20F18" w:rsidRDefault="00982164">
      <w:pPr>
        <w:jc w:val="left"/>
        <w:rPr>
          <w:rFonts w:ascii="Arial" w:eastAsiaTheme="majorEastAsia" w:hAnsi="Arial" w:cs="Arial"/>
          <w:b/>
          <w:sz w:val="28"/>
          <w:szCs w:val="26"/>
        </w:rPr>
      </w:pPr>
      <w:r w:rsidRPr="00B20F18">
        <w:rPr>
          <w:rFonts w:ascii="Arial" w:eastAsiaTheme="majorEastAsia" w:hAnsi="Arial" w:cs="Arial"/>
          <w:b/>
          <w:sz w:val="28"/>
          <w:szCs w:val="26"/>
        </w:rPr>
        <w:br w:type="page"/>
      </w:r>
    </w:p>
    <w:p w14:paraId="06E730AC" w14:textId="5BC3EE3F" w:rsidR="00E66B03" w:rsidRPr="00B20F18" w:rsidRDefault="00E66B03" w:rsidP="00E66B03">
      <w:pPr>
        <w:pStyle w:val="Heading1"/>
        <w:rPr>
          <w:rFonts w:ascii="Arial" w:eastAsia="Times New Roman" w:hAnsi="Arial" w:cs="Arial"/>
          <w:lang w:eastAsia="en-GB"/>
        </w:rPr>
      </w:pPr>
      <w:bookmarkStart w:id="6" w:name="_Toc61434482"/>
      <w:r w:rsidRPr="00B20F18">
        <w:rPr>
          <w:rFonts w:ascii="Arial" w:eastAsia="Times New Roman" w:hAnsi="Arial" w:cs="Arial"/>
          <w:lang w:eastAsia="en-GB"/>
        </w:rPr>
        <w:lastRenderedPageBreak/>
        <w:t>Part B:</w:t>
      </w:r>
      <w:bookmarkEnd w:id="6"/>
    </w:p>
    <w:p w14:paraId="0697C4C7" w14:textId="77777777" w:rsidR="00E66B03" w:rsidRPr="00B20F18" w:rsidRDefault="00E66B03" w:rsidP="00E66B03">
      <w:pPr>
        <w:rPr>
          <w:rFonts w:ascii="Arial" w:hAnsi="Arial" w:cs="Arial"/>
          <w:lang w:eastAsia="en-GB"/>
        </w:rPr>
      </w:pPr>
    </w:p>
    <w:p w14:paraId="17F411E6" w14:textId="6B751D05" w:rsidR="00872EA3" w:rsidRPr="00B20F18" w:rsidRDefault="00872EA3" w:rsidP="00872EA3">
      <w:pPr>
        <w:pStyle w:val="Heading2"/>
        <w:rPr>
          <w:rFonts w:ascii="Arial" w:eastAsia="Times New Roman" w:hAnsi="Arial" w:cs="Arial"/>
          <w:color w:val="000000" w:themeColor="text1"/>
          <w:lang w:eastAsia="en-GB"/>
        </w:rPr>
      </w:pPr>
      <w:bookmarkStart w:id="7" w:name="_Toc61434483"/>
      <w:r w:rsidRPr="00B20F18">
        <w:rPr>
          <w:rFonts w:ascii="Arial" w:eastAsia="Times New Roman" w:hAnsi="Arial" w:cs="Arial"/>
          <w:color w:val="000000" w:themeColor="text1"/>
          <w:lang w:eastAsia="en-GB"/>
        </w:rPr>
        <w:t>Calculation of key financial ratios for the past 5 years:</w:t>
      </w:r>
      <w:bookmarkEnd w:id="7"/>
      <w:r w:rsidRPr="00B20F18">
        <w:rPr>
          <w:rFonts w:ascii="Arial" w:eastAsia="Times New Roman" w:hAnsi="Arial" w:cs="Arial"/>
          <w:color w:val="000000" w:themeColor="text1"/>
          <w:lang w:eastAsia="en-GB"/>
        </w:rPr>
        <w:t xml:space="preserve"> </w:t>
      </w:r>
    </w:p>
    <w:p w14:paraId="44DFB221" w14:textId="142123BF" w:rsidR="003E4F6F" w:rsidRPr="00B20F18" w:rsidRDefault="000977B7" w:rsidP="000977B7">
      <w:pPr>
        <w:rPr>
          <w:rFonts w:ascii="Arial" w:hAnsi="Arial" w:cs="Arial"/>
          <w:lang w:eastAsia="en-GB"/>
        </w:rPr>
      </w:pPr>
      <w:r w:rsidRPr="00B20F18">
        <w:rPr>
          <w:rFonts w:ascii="Arial" w:hAnsi="Arial" w:cs="Arial"/>
          <w:lang w:eastAsia="en-GB"/>
        </w:rPr>
        <w:t>The financial ratios are the metrics of measuring the performance and position of the business organisation. As per the requirements, the key financial ratios of Rolls-Royce Holdings PLC. based on the Financial Statements for the years ended 31 December 2019, 2018, 2017, 2016 and 2015 have been calculated below</w:t>
      </w:r>
      <w:r w:rsidR="003E4F6F" w:rsidRPr="00B20F18">
        <w:rPr>
          <w:rFonts w:ascii="Arial" w:hAnsi="Arial" w:cs="Arial"/>
          <w:lang w:eastAsia="en-GB"/>
        </w:rPr>
        <w:t>:</w:t>
      </w:r>
    </w:p>
    <w:p w14:paraId="56652055" w14:textId="77777777" w:rsidR="003E4F6F" w:rsidRPr="00B20F18" w:rsidRDefault="003E4F6F" w:rsidP="000977B7">
      <w:pPr>
        <w:rPr>
          <w:rFonts w:ascii="Arial" w:hAnsi="Arial" w:cs="Arial"/>
          <w:lang w:eastAsia="en-GB"/>
        </w:rPr>
      </w:pPr>
    </w:p>
    <w:p w14:paraId="79EC9CCD" w14:textId="667B2BCF" w:rsidR="00872EA3" w:rsidRPr="00B20F18" w:rsidRDefault="00872EA3" w:rsidP="003E4F6F">
      <w:pPr>
        <w:pStyle w:val="Heading3"/>
        <w:rPr>
          <w:rFonts w:ascii="Arial" w:eastAsia="Times New Roman" w:hAnsi="Arial" w:cs="Arial"/>
          <w:lang w:eastAsia="en-GB"/>
        </w:rPr>
      </w:pPr>
      <w:bookmarkStart w:id="8" w:name="_Toc61434484"/>
      <w:r w:rsidRPr="00B20F18">
        <w:rPr>
          <w:rFonts w:ascii="Arial" w:eastAsia="Times New Roman" w:hAnsi="Arial" w:cs="Arial"/>
          <w:lang w:eastAsia="en-GB"/>
        </w:rPr>
        <w:t xml:space="preserve">Profitability </w:t>
      </w:r>
      <w:r w:rsidRPr="00B20F18">
        <w:rPr>
          <w:rFonts w:ascii="Arial" w:hAnsi="Arial" w:cs="Arial"/>
        </w:rPr>
        <w:t>ratios</w:t>
      </w:r>
      <w:bookmarkEnd w:id="8"/>
    </w:p>
    <w:p w14:paraId="1E4C9BB6" w14:textId="047FDA49" w:rsidR="000977B7" w:rsidRPr="00B20F18" w:rsidRDefault="00963A63" w:rsidP="000977B7">
      <w:pPr>
        <w:rPr>
          <w:rFonts w:ascii="Arial" w:hAnsi="Arial" w:cs="Arial"/>
          <w:lang w:eastAsia="en-GB"/>
        </w:rPr>
      </w:pPr>
      <w:r w:rsidRPr="00B20F18">
        <w:rPr>
          <w:rFonts w:ascii="Arial" w:hAnsi="Arial" w:cs="Arial"/>
          <w:lang w:eastAsia="en-GB"/>
        </w:rPr>
        <w:t>The profitability ratios of the organisation indicate the ability of the organisation to generate the revenue out of the continuing business operations</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(Gibson and Frishkoff, 2019)</w:t>
      </w:r>
      <w:r w:rsidRPr="00B20F18">
        <w:rPr>
          <w:rFonts w:ascii="Arial" w:hAnsi="Arial" w:cs="Arial"/>
          <w:lang w:eastAsia="en-GB"/>
        </w:rPr>
        <w:t xml:space="preserve">. However, the major profitability ratios are as follows- </w:t>
      </w:r>
    </w:p>
    <w:tbl>
      <w:tblPr>
        <w:tblStyle w:val="TableGrid"/>
        <w:tblW w:w="7225" w:type="dxa"/>
        <w:jc w:val="center"/>
        <w:tblLook w:val="04A0" w:firstRow="1" w:lastRow="0" w:firstColumn="1" w:lastColumn="0" w:noHBand="0" w:noVBand="1"/>
      </w:tblPr>
      <w:tblGrid>
        <w:gridCol w:w="2425"/>
        <w:gridCol w:w="960"/>
        <w:gridCol w:w="960"/>
        <w:gridCol w:w="960"/>
        <w:gridCol w:w="960"/>
        <w:gridCol w:w="960"/>
      </w:tblGrid>
      <w:tr w:rsidR="00963A63" w:rsidRPr="00B20F18" w14:paraId="6F180217" w14:textId="77777777" w:rsidTr="005112AB">
        <w:trPr>
          <w:trHeight w:val="300"/>
          <w:jc w:val="center"/>
        </w:trPr>
        <w:tc>
          <w:tcPr>
            <w:tcW w:w="2425" w:type="dxa"/>
            <w:noWrap/>
            <w:hideMark/>
          </w:tcPr>
          <w:p w14:paraId="77EAC3F3"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046C45E8"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48C275E0"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6730ECBD"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5AF6EABF"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4D98844B" w14:textId="77777777" w:rsidR="00963A63" w:rsidRPr="00B20F18" w:rsidRDefault="00963A63" w:rsidP="005112AB">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963A63" w:rsidRPr="00B20F18" w14:paraId="54C85740" w14:textId="77777777" w:rsidTr="005112AB">
        <w:trPr>
          <w:trHeight w:val="300"/>
          <w:jc w:val="center"/>
        </w:trPr>
        <w:tc>
          <w:tcPr>
            <w:tcW w:w="2425" w:type="dxa"/>
            <w:noWrap/>
            <w:hideMark/>
          </w:tcPr>
          <w:p w14:paraId="07152C30"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Gross Margin</w:t>
            </w:r>
          </w:p>
        </w:tc>
        <w:tc>
          <w:tcPr>
            <w:tcW w:w="960" w:type="dxa"/>
            <w:noWrap/>
            <w:hideMark/>
          </w:tcPr>
          <w:p w14:paraId="524CDC6B"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5.679</w:t>
            </w:r>
          </w:p>
        </w:tc>
        <w:tc>
          <w:tcPr>
            <w:tcW w:w="960" w:type="dxa"/>
            <w:noWrap/>
            <w:hideMark/>
          </w:tcPr>
          <w:p w14:paraId="69B0CA70"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7.617</w:t>
            </w:r>
          </w:p>
        </w:tc>
        <w:tc>
          <w:tcPr>
            <w:tcW w:w="960" w:type="dxa"/>
            <w:noWrap/>
            <w:hideMark/>
          </w:tcPr>
          <w:p w14:paraId="3E531529"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19.46</w:t>
            </w:r>
          </w:p>
        </w:tc>
        <w:tc>
          <w:tcPr>
            <w:tcW w:w="960" w:type="dxa"/>
            <w:noWrap/>
            <w:hideMark/>
          </w:tcPr>
          <w:p w14:paraId="145FA402"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20.38</w:t>
            </w:r>
          </w:p>
        </w:tc>
        <w:tc>
          <w:tcPr>
            <w:tcW w:w="960" w:type="dxa"/>
            <w:noWrap/>
            <w:hideMark/>
          </w:tcPr>
          <w:p w14:paraId="34239999"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23.796</w:t>
            </w:r>
          </w:p>
        </w:tc>
      </w:tr>
      <w:tr w:rsidR="00963A63" w:rsidRPr="00B20F18" w14:paraId="69AB7A92" w14:textId="77777777" w:rsidTr="005112AB">
        <w:trPr>
          <w:trHeight w:val="300"/>
          <w:jc w:val="center"/>
        </w:trPr>
        <w:tc>
          <w:tcPr>
            <w:tcW w:w="2425" w:type="dxa"/>
            <w:noWrap/>
            <w:hideMark/>
          </w:tcPr>
          <w:p w14:paraId="24C815D5"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Operating Margin</w:t>
            </w:r>
          </w:p>
        </w:tc>
        <w:tc>
          <w:tcPr>
            <w:tcW w:w="960" w:type="dxa"/>
            <w:noWrap/>
            <w:hideMark/>
          </w:tcPr>
          <w:p w14:paraId="2AFA4F37"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-5.76</w:t>
            </w:r>
          </w:p>
        </w:tc>
        <w:tc>
          <w:tcPr>
            <w:tcW w:w="960" w:type="dxa"/>
            <w:noWrap/>
            <w:hideMark/>
          </w:tcPr>
          <w:p w14:paraId="5FBDCBB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-7.41</w:t>
            </w:r>
          </w:p>
        </w:tc>
        <w:tc>
          <w:tcPr>
            <w:tcW w:w="960" w:type="dxa"/>
            <w:noWrap/>
            <w:hideMark/>
          </w:tcPr>
          <w:p w14:paraId="0F3D2A6A"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7.09</w:t>
            </w:r>
          </w:p>
        </w:tc>
        <w:tc>
          <w:tcPr>
            <w:tcW w:w="960" w:type="dxa"/>
            <w:noWrap/>
            <w:hideMark/>
          </w:tcPr>
          <w:p w14:paraId="3890CC72"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-0.49</w:t>
            </w:r>
          </w:p>
        </w:tc>
        <w:tc>
          <w:tcPr>
            <w:tcW w:w="960" w:type="dxa"/>
            <w:noWrap/>
            <w:hideMark/>
          </w:tcPr>
          <w:p w14:paraId="26000423"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10.19</w:t>
            </w:r>
          </w:p>
        </w:tc>
      </w:tr>
      <w:tr w:rsidR="00963A63" w:rsidRPr="00B20F18" w14:paraId="225140E1" w14:textId="77777777" w:rsidTr="005112AB">
        <w:trPr>
          <w:trHeight w:val="300"/>
          <w:jc w:val="center"/>
        </w:trPr>
        <w:tc>
          <w:tcPr>
            <w:tcW w:w="2425" w:type="dxa"/>
            <w:noWrap/>
            <w:hideMark/>
          </w:tcPr>
          <w:p w14:paraId="728A144B"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EBIT Margin</w:t>
            </w:r>
          </w:p>
        </w:tc>
        <w:tc>
          <w:tcPr>
            <w:tcW w:w="960" w:type="dxa"/>
            <w:noWrap/>
            <w:hideMark/>
          </w:tcPr>
          <w:p w14:paraId="3639789C"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-5.76</w:t>
            </w:r>
          </w:p>
        </w:tc>
        <w:tc>
          <w:tcPr>
            <w:tcW w:w="960" w:type="dxa"/>
            <w:noWrap/>
            <w:hideMark/>
          </w:tcPr>
          <w:p w14:paraId="55D4B9C9"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-7.41</w:t>
            </w:r>
          </w:p>
        </w:tc>
        <w:tc>
          <w:tcPr>
            <w:tcW w:w="960" w:type="dxa"/>
            <w:noWrap/>
            <w:hideMark/>
          </w:tcPr>
          <w:p w14:paraId="5CE827F0"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7.09</w:t>
            </w:r>
          </w:p>
        </w:tc>
        <w:tc>
          <w:tcPr>
            <w:tcW w:w="960" w:type="dxa"/>
            <w:noWrap/>
            <w:hideMark/>
          </w:tcPr>
          <w:p w14:paraId="51510CCF"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-0.49</w:t>
            </w:r>
          </w:p>
        </w:tc>
        <w:tc>
          <w:tcPr>
            <w:tcW w:w="960" w:type="dxa"/>
            <w:noWrap/>
            <w:hideMark/>
          </w:tcPr>
          <w:p w14:paraId="2D654D3F"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10.19</w:t>
            </w:r>
          </w:p>
        </w:tc>
      </w:tr>
      <w:tr w:rsidR="00963A63" w:rsidRPr="00B20F18" w14:paraId="412D7696" w14:textId="77777777" w:rsidTr="005112AB">
        <w:trPr>
          <w:trHeight w:val="300"/>
          <w:jc w:val="center"/>
        </w:trPr>
        <w:tc>
          <w:tcPr>
            <w:tcW w:w="2425" w:type="dxa"/>
            <w:noWrap/>
            <w:hideMark/>
          </w:tcPr>
          <w:p w14:paraId="2232CD29"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Net Profit Margin</w:t>
            </w:r>
          </w:p>
        </w:tc>
        <w:tc>
          <w:tcPr>
            <w:tcW w:w="960" w:type="dxa"/>
            <w:noWrap/>
            <w:hideMark/>
          </w:tcPr>
          <w:p w14:paraId="11F55412"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-7.93</w:t>
            </w:r>
          </w:p>
        </w:tc>
        <w:tc>
          <w:tcPr>
            <w:tcW w:w="960" w:type="dxa"/>
            <w:noWrap/>
            <w:hideMark/>
          </w:tcPr>
          <w:p w14:paraId="0BA6F68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-15.26</w:t>
            </w:r>
          </w:p>
        </w:tc>
        <w:tc>
          <w:tcPr>
            <w:tcW w:w="960" w:type="dxa"/>
            <w:noWrap/>
            <w:hideMark/>
          </w:tcPr>
          <w:p w14:paraId="1F4C778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25.79</w:t>
            </w:r>
          </w:p>
        </w:tc>
        <w:tc>
          <w:tcPr>
            <w:tcW w:w="960" w:type="dxa"/>
            <w:noWrap/>
            <w:hideMark/>
          </w:tcPr>
          <w:p w14:paraId="539251C1" w14:textId="0B6E52A0"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-26</w:t>
            </w:r>
            <w:r w:rsidR="00EC3D2C" w:rsidRPr="00B20F18">
              <w:rPr>
                <w:rFonts w:ascii="Arial" w:eastAsia="Times New Roman" w:hAnsi="Arial" w:cs="Arial"/>
                <w:color w:val="000000"/>
                <w:szCs w:val="24"/>
                <w:lang w:eastAsia="en-GB"/>
              </w:rPr>
              <w:t>.</w:t>
            </w:r>
            <w:r w:rsidRPr="00B20F18">
              <w:rPr>
                <w:rFonts w:ascii="Arial" w:eastAsia="Times New Roman" w:hAnsi="Arial" w:cs="Arial"/>
                <w:color w:val="000000"/>
                <w:szCs w:val="24"/>
                <w:lang w:eastAsia="en-GB"/>
              </w:rPr>
              <w:t>96</w:t>
            </w:r>
          </w:p>
        </w:tc>
        <w:tc>
          <w:tcPr>
            <w:tcW w:w="960" w:type="dxa"/>
            <w:noWrap/>
            <w:hideMark/>
          </w:tcPr>
          <w:p w14:paraId="2F573F8B"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0.61</w:t>
            </w:r>
          </w:p>
        </w:tc>
      </w:tr>
      <w:tr w:rsidR="00963A63" w:rsidRPr="00B20F18" w14:paraId="783D3801" w14:textId="77777777" w:rsidTr="005112AB">
        <w:trPr>
          <w:trHeight w:val="300"/>
          <w:jc w:val="center"/>
        </w:trPr>
        <w:tc>
          <w:tcPr>
            <w:tcW w:w="2425" w:type="dxa"/>
            <w:noWrap/>
            <w:hideMark/>
          </w:tcPr>
          <w:p w14:paraId="082B3016"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Equity</w:t>
            </w:r>
          </w:p>
        </w:tc>
        <w:tc>
          <w:tcPr>
            <w:tcW w:w="960" w:type="dxa"/>
            <w:noWrap/>
            <w:hideMark/>
          </w:tcPr>
          <w:p w14:paraId="7BE07C6D"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39.09</w:t>
            </w:r>
          </w:p>
        </w:tc>
        <w:tc>
          <w:tcPr>
            <w:tcW w:w="960" w:type="dxa"/>
            <w:noWrap/>
            <w:hideMark/>
          </w:tcPr>
          <w:p w14:paraId="6E1269E4"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227.47</w:t>
            </w:r>
          </w:p>
        </w:tc>
        <w:tc>
          <w:tcPr>
            <w:tcW w:w="960" w:type="dxa"/>
            <w:noWrap/>
            <w:hideMark/>
          </w:tcPr>
          <w:p w14:paraId="53753940"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68.2</w:t>
            </w:r>
          </w:p>
        </w:tc>
        <w:tc>
          <w:tcPr>
            <w:tcW w:w="960" w:type="dxa"/>
            <w:noWrap/>
            <w:hideMark/>
          </w:tcPr>
          <w:p w14:paraId="53223BF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-216.31</w:t>
            </w:r>
          </w:p>
        </w:tc>
        <w:tc>
          <w:tcPr>
            <w:tcW w:w="960" w:type="dxa"/>
            <w:noWrap/>
            <w:hideMark/>
          </w:tcPr>
          <w:p w14:paraId="63636C43"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1.67</w:t>
            </w:r>
          </w:p>
        </w:tc>
      </w:tr>
      <w:tr w:rsidR="00963A63" w:rsidRPr="00B20F18" w14:paraId="465AD0BA" w14:textId="77777777" w:rsidTr="005112AB">
        <w:trPr>
          <w:trHeight w:val="300"/>
          <w:jc w:val="center"/>
        </w:trPr>
        <w:tc>
          <w:tcPr>
            <w:tcW w:w="2425" w:type="dxa"/>
            <w:noWrap/>
            <w:hideMark/>
          </w:tcPr>
          <w:p w14:paraId="5F9A6D41"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Assets</w:t>
            </w:r>
          </w:p>
        </w:tc>
        <w:tc>
          <w:tcPr>
            <w:tcW w:w="960" w:type="dxa"/>
            <w:noWrap/>
            <w:hideMark/>
          </w:tcPr>
          <w:p w14:paraId="425E5039"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-4.06</w:t>
            </w:r>
          </w:p>
        </w:tc>
        <w:tc>
          <w:tcPr>
            <w:tcW w:w="960" w:type="dxa"/>
            <w:noWrap/>
            <w:hideMark/>
          </w:tcPr>
          <w:p w14:paraId="37386CFB"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-7.51</w:t>
            </w:r>
          </w:p>
        </w:tc>
        <w:tc>
          <w:tcPr>
            <w:tcW w:w="960" w:type="dxa"/>
            <w:noWrap/>
            <w:hideMark/>
          </w:tcPr>
          <w:p w14:paraId="0AB99D99"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14.02</w:t>
            </w:r>
          </w:p>
        </w:tc>
        <w:tc>
          <w:tcPr>
            <w:tcW w:w="960" w:type="dxa"/>
            <w:noWrap/>
            <w:hideMark/>
          </w:tcPr>
          <w:p w14:paraId="0DDFA3D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-15.79</w:t>
            </w:r>
          </w:p>
        </w:tc>
        <w:tc>
          <w:tcPr>
            <w:tcW w:w="960" w:type="dxa"/>
            <w:noWrap/>
            <w:hideMark/>
          </w:tcPr>
          <w:p w14:paraId="579D3DDB"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0.38</w:t>
            </w:r>
          </w:p>
        </w:tc>
      </w:tr>
      <w:tr w:rsidR="00963A63" w:rsidRPr="00B20F18" w14:paraId="553B4ABE" w14:textId="77777777" w:rsidTr="005112AB">
        <w:trPr>
          <w:trHeight w:val="300"/>
          <w:jc w:val="center"/>
        </w:trPr>
        <w:tc>
          <w:tcPr>
            <w:tcW w:w="2425" w:type="dxa"/>
            <w:noWrap/>
            <w:hideMark/>
          </w:tcPr>
          <w:p w14:paraId="25064511" w14:textId="77777777" w:rsidR="00963A63" w:rsidRPr="00B20F18" w:rsidRDefault="00963A63" w:rsidP="00963A63">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Investment</w:t>
            </w:r>
          </w:p>
        </w:tc>
        <w:tc>
          <w:tcPr>
            <w:tcW w:w="960" w:type="dxa"/>
            <w:noWrap/>
            <w:hideMark/>
          </w:tcPr>
          <w:p w14:paraId="7C945A50"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-84.25</w:t>
            </w:r>
          </w:p>
        </w:tc>
        <w:tc>
          <w:tcPr>
            <w:tcW w:w="960" w:type="dxa"/>
            <w:noWrap/>
            <w:hideMark/>
          </w:tcPr>
          <w:p w14:paraId="6259B7A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-86.95</w:t>
            </w:r>
          </w:p>
        </w:tc>
        <w:tc>
          <w:tcPr>
            <w:tcW w:w="960" w:type="dxa"/>
            <w:noWrap/>
            <w:hideMark/>
          </w:tcPr>
          <w:p w14:paraId="26E786F8"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43.94</w:t>
            </w:r>
          </w:p>
        </w:tc>
        <w:tc>
          <w:tcPr>
            <w:tcW w:w="960" w:type="dxa"/>
            <w:noWrap/>
            <w:hideMark/>
          </w:tcPr>
          <w:p w14:paraId="1B3190E4"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-79.85</w:t>
            </w:r>
          </w:p>
        </w:tc>
        <w:tc>
          <w:tcPr>
            <w:tcW w:w="960" w:type="dxa"/>
            <w:noWrap/>
            <w:hideMark/>
          </w:tcPr>
          <w:p w14:paraId="57904887" w14:textId="77777777" w:rsidR="00963A63" w:rsidRPr="00B20F18" w:rsidRDefault="00963A63" w:rsidP="00963A63">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1.06</w:t>
            </w:r>
          </w:p>
        </w:tc>
      </w:tr>
    </w:tbl>
    <w:p w14:paraId="498233B5" w14:textId="67D8B7AA" w:rsidR="00963A63" w:rsidRPr="00B20F18" w:rsidRDefault="00963A63" w:rsidP="000977B7">
      <w:pPr>
        <w:rPr>
          <w:rFonts w:ascii="Arial" w:hAnsi="Arial" w:cs="Arial"/>
          <w:lang w:eastAsia="en-GB"/>
        </w:rPr>
      </w:pPr>
    </w:p>
    <w:p w14:paraId="000AD5CB" w14:textId="77777777" w:rsidR="003E4F6F" w:rsidRPr="00B20F18" w:rsidRDefault="003E4F6F" w:rsidP="000977B7">
      <w:pPr>
        <w:rPr>
          <w:rFonts w:ascii="Arial" w:hAnsi="Arial" w:cs="Arial"/>
          <w:lang w:eastAsia="en-GB"/>
        </w:rPr>
      </w:pPr>
    </w:p>
    <w:p w14:paraId="5003C0A2" w14:textId="22648E02" w:rsidR="00872EA3" w:rsidRPr="00B20F18" w:rsidRDefault="00872EA3" w:rsidP="003E4F6F">
      <w:pPr>
        <w:pStyle w:val="Heading3"/>
        <w:rPr>
          <w:rFonts w:ascii="Arial" w:eastAsia="Times New Roman" w:hAnsi="Arial" w:cs="Arial"/>
          <w:lang w:eastAsia="en-GB"/>
        </w:rPr>
      </w:pPr>
      <w:bookmarkStart w:id="9" w:name="_Toc61434485"/>
      <w:r w:rsidRPr="00B20F18">
        <w:rPr>
          <w:rFonts w:ascii="Arial" w:eastAsia="Times New Roman" w:hAnsi="Arial" w:cs="Arial"/>
          <w:lang w:eastAsia="en-GB"/>
        </w:rPr>
        <w:t xml:space="preserve">Liquidity </w:t>
      </w:r>
      <w:r w:rsidRPr="00B20F18">
        <w:rPr>
          <w:rFonts w:ascii="Arial" w:hAnsi="Arial" w:cs="Arial"/>
        </w:rPr>
        <w:t>ratios</w:t>
      </w:r>
      <w:bookmarkEnd w:id="9"/>
    </w:p>
    <w:p w14:paraId="6363ED98" w14:textId="658B13F9" w:rsidR="00695AA4" w:rsidRPr="00B20F18" w:rsidRDefault="00EC3D2C" w:rsidP="00EC3D2C">
      <w:pPr>
        <w:rPr>
          <w:rFonts w:ascii="Arial" w:hAnsi="Arial" w:cs="Arial"/>
          <w:lang w:eastAsia="en-GB"/>
        </w:rPr>
      </w:pPr>
      <w:r w:rsidRPr="00B20F18">
        <w:rPr>
          <w:rFonts w:ascii="Arial" w:hAnsi="Arial" w:cs="Arial"/>
          <w:lang w:eastAsia="en-GB"/>
        </w:rPr>
        <w:t>The liquidity ratios measure the ability of the organisation to satisfy its current obligations out of its available liquid assets</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(Robinson, 2020)</w:t>
      </w:r>
      <w:r w:rsidRPr="00B20F18">
        <w:rPr>
          <w:rFonts w:ascii="Arial" w:hAnsi="Arial" w:cs="Arial"/>
          <w:lang w:eastAsia="en-GB"/>
        </w:rPr>
        <w:t>. However, the major liquidity ratios are</w:t>
      </w:r>
      <w:r w:rsidR="00F66F1A" w:rsidRPr="00B20F18">
        <w:rPr>
          <w:rFonts w:ascii="Arial" w:hAnsi="Arial" w:cs="Arial"/>
          <w:lang w:eastAsia="en-GB"/>
        </w:rPr>
        <w:t xml:space="preserve"> calculated below</w:t>
      </w:r>
      <w:r w:rsidR="003E4F6F" w:rsidRPr="00B20F18">
        <w:rPr>
          <w:rFonts w:ascii="Arial" w:hAnsi="Arial" w:cs="Arial"/>
          <w:lang w:eastAsia="en-GB"/>
        </w:rPr>
        <w:t>:</w:t>
      </w:r>
    </w:p>
    <w:tbl>
      <w:tblPr>
        <w:tblStyle w:val="TableGrid"/>
        <w:tblW w:w="6775" w:type="dxa"/>
        <w:jc w:val="center"/>
        <w:tblLook w:val="04A0" w:firstRow="1" w:lastRow="0" w:firstColumn="1" w:lastColumn="0" w:noHBand="0" w:noVBand="1"/>
      </w:tblPr>
      <w:tblGrid>
        <w:gridCol w:w="1975"/>
        <w:gridCol w:w="960"/>
        <w:gridCol w:w="960"/>
        <w:gridCol w:w="960"/>
        <w:gridCol w:w="960"/>
        <w:gridCol w:w="960"/>
      </w:tblGrid>
      <w:tr w:rsidR="00695AA4" w:rsidRPr="00B20F18" w14:paraId="37763CAD" w14:textId="77777777" w:rsidTr="00695AA4">
        <w:trPr>
          <w:trHeight w:val="300"/>
          <w:jc w:val="center"/>
        </w:trPr>
        <w:tc>
          <w:tcPr>
            <w:tcW w:w="1975" w:type="dxa"/>
            <w:noWrap/>
            <w:hideMark/>
          </w:tcPr>
          <w:p w14:paraId="6DDCF507" w14:textId="77777777" w:rsidR="00695AA4" w:rsidRPr="00B20F18" w:rsidRDefault="00695AA4" w:rsidP="00695AA4">
            <w:pPr>
              <w:spacing w:line="240" w:lineRule="auto"/>
              <w:jc w:val="lef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50B0ED3A" w14:textId="77777777" w:rsidR="00695AA4" w:rsidRPr="00B20F18" w:rsidRDefault="00695AA4" w:rsidP="00695AA4">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2E89A243" w14:textId="77777777" w:rsidR="00695AA4" w:rsidRPr="00B20F18" w:rsidRDefault="00695AA4" w:rsidP="00695AA4">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7122B629" w14:textId="77777777" w:rsidR="00695AA4" w:rsidRPr="00B20F18" w:rsidRDefault="00695AA4" w:rsidP="00695AA4">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5BB32A38" w14:textId="77777777" w:rsidR="00695AA4" w:rsidRPr="00B20F18" w:rsidRDefault="00695AA4" w:rsidP="00695AA4">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036792C5" w14:textId="77777777" w:rsidR="00695AA4" w:rsidRPr="00B20F18" w:rsidRDefault="00695AA4" w:rsidP="00695AA4">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695AA4" w:rsidRPr="00B20F18" w14:paraId="1E2C7BA1" w14:textId="77777777" w:rsidTr="00695AA4">
        <w:trPr>
          <w:trHeight w:val="300"/>
          <w:jc w:val="center"/>
        </w:trPr>
        <w:tc>
          <w:tcPr>
            <w:tcW w:w="1975" w:type="dxa"/>
            <w:noWrap/>
            <w:hideMark/>
          </w:tcPr>
          <w:p w14:paraId="4E0279A9" w14:textId="77777777" w:rsidR="00695AA4" w:rsidRPr="00B20F18" w:rsidRDefault="00695AA4" w:rsidP="00695AA4">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Current Ratio</w:t>
            </w:r>
          </w:p>
        </w:tc>
        <w:tc>
          <w:tcPr>
            <w:tcW w:w="960" w:type="dxa"/>
            <w:noWrap/>
            <w:hideMark/>
          </w:tcPr>
          <w:p w14:paraId="500226CE"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1.07</w:t>
            </w:r>
          </w:p>
        </w:tc>
        <w:tc>
          <w:tcPr>
            <w:tcW w:w="960" w:type="dxa"/>
            <w:noWrap/>
            <w:hideMark/>
          </w:tcPr>
          <w:p w14:paraId="7D978194"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1.13</w:t>
            </w:r>
          </w:p>
        </w:tc>
        <w:tc>
          <w:tcPr>
            <w:tcW w:w="960" w:type="dxa"/>
            <w:noWrap/>
            <w:hideMark/>
          </w:tcPr>
          <w:p w14:paraId="3852F551"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1.33</w:t>
            </w:r>
          </w:p>
        </w:tc>
        <w:tc>
          <w:tcPr>
            <w:tcW w:w="960" w:type="dxa"/>
            <w:noWrap/>
            <w:hideMark/>
          </w:tcPr>
          <w:p w14:paraId="6199E34A"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1.34</w:t>
            </w:r>
          </w:p>
        </w:tc>
        <w:tc>
          <w:tcPr>
            <w:tcW w:w="960" w:type="dxa"/>
            <w:noWrap/>
            <w:hideMark/>
          </w:tcPr>
          <w:p w14:paraId="67B176EE"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1.48</w:t>
            </w:r>
          </w:p>
        </w:tc>
      </w:tr>
      <w:tr w:rsidR="00695AA4" w:rsidRPr="00B20F18" w14:paraId="1C1C50BC" w14:textId="77777777" w:rsidTr="00695AA4">
        <w:trPr>
          <w:trHeight w:val="300"/>
          <w:jc w:val="center"/>
        </w:trPr>
        <w:tc>
          <w:tcPr>
            <w:tcW w:w="1975" w:type="dxa"/>
            <w:noWrap/>
            <w:hideMark/>
          </w:tcPr>
          <w:p w14:paraId="2B8F89EF" w14:textId="77777777" w:rsidR="00695AA4" w:rsidRPr="00B20F18" w:rsidRDefault="00695AA4" w:rsidP="00695AA4">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Quick Ratio</w:t>
            </w:r>
          </w:p>
        </w:tc>
        <w:tc>
          <w:tcPr>
            <w:tcW w:w="960" w:type="dxa"/>
            <w:noWrap/>
            <w:hideMark/>
          </w:tcPr>
          <w:p w14:paraId="3CAB6360"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0.78</w:t>
            </w:r>
          </w:p>
        </w:tc>
        <w:tc>
          <w:tcPr>
            <w:tcW w:w="960" w:type="dxa"/>
            <w:noWrap/>
            <w:hideMark/>
          </w:tcPr>
          <w:p w14:paraId="161033A4"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0.77</w:t>
            </w:r>
          </w:p>
        </w:tc>
        <w:tc>
          <w:tcPr>
            <w:tcW w:w="960" w:type="dxa"/>
            <w:noWrap/>
            <w:hideMark/>
          </w:tcPr>
          <w:p w14:paraId="0699E549"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0.75</w:t>
            </w:r>
          </w:p>
        </w:tc>
        <w:tc>
          <w:tcPr>
            <w:tcW w:w="960" w:type="dxa"/>
            <w:noWrap/>
            <w:hideMark/>
          </w:tcPr>
          <w:p w14:paraId="58FDD8AA"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1.02</w:t>
            </w:r>
          </w:p>
        </w:tc>
        <w:tc>
          <w:tcPr>
            <w:tcW w:w="960" w:type="dxa"/>
            <w:noWrap/>
            <w:hideMark/>
          </w:tcPr>
          <w:p w14:paraId="1D6DE5F9" w14:textId="77777777" w:rsidR="00695AA4" w:rsidRPr="00B20F18" w:rsidRDefault="00695AA4" w:rsidP="00695AA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1.16</w:t>
            </w:r>
          </w:p>
        </w:tc>
      </w:tr>
    </w:tbl>
    <w:p w14:paraId="06A899F4" w14:textId="238A2468" w:rsidR="00EC3D2C" w:rsidRPr="00B20F18" w:rsidRDefault="00EC3D2C" w:rsidP="00EC3D2C">
      <w:pPr>
        <w:rPr>
          <w:rFonts w:ascii="Arial" w:hAnsi="Arial" w:cs="Arial"/>
          <w:lang w:eastAsia="en-GB"/>
        </w:rPr>
      </w:pPr>
      <w:r w:rsidRPr="00B20F18">
        <w:rPr>
          <w:rFonts w:ascii="Arial" w:hAnsi="Arial" w:cs="Arial"/>
          <w:lang w:eastAsia="en-GB"/>
        </w:rPr>
        <w:t xml:space="preserve"> </w:t>
      </w:r>
    </w:p>
    <w:p w14:paraId="05A3614F" w14:textId="77777777" w:rsidR="003E4F6F" w:rsidRPr="00B20F18" w:rsidRDefault="003E4F6F" w:rsidP="00EC3D2C">
      <w:pPr>
        <w:rPr>
          <w:rFonts w:ascii="Arial" w:hAnsi="Arial" w:cs="Arial"/>
          <w:lang w:eastAsia="en-GB"/>
        </w:rPr>
      </w:pPr>
    </w:p>
    <w:p w14:paraId="781D3A87" w14:textId="6CF6C813" w:rsidR="00872EA3" w:rsidRPr="00B20F18" w:rsidRDefault="00872EA3" w:rsidP="003E4F6F">
      <w:pPr>
        <w:pStyle w:val="Heading3"/>
        <w:rPr>
          <w:rFonts w:ascii="Arial" w:eastAsia="Times New Roman" w:hAnsi="Arial" w:cs="Arial"/>
          <w:lang w:eastAsia="en-GB"/>
        </w:rPr>
      </w:pPr>
      <w:bookmarkStart w:id="10" w:name="_Toc61434486"/>
      <w:r w:rsidRPr="00B20F18">
        <w:rPr>
          <w:rFonts w:ascii="Arial" w:eastAsia="Times New Roman" w:hAnsi="Arial" w:cs="Arial"/>
          <w:lang w:eastAsia="en-GB"/>
        </w:rPr>
        <w:lastRenderedPageBreak/>
        <w:t xml:space="preserve">Gearing </w:t>
      </w:r>
      <w:r w:rsidRPr="00B20F18">
        <w:rPr>
          <w:rFonts w:ascii="Arial" w:hAnsi="Arial" w:cs="Arial"/>
        </w:rPr>
        <w:t>ratios</w:t>
      </w:r>
      <w:bookmarkEnd w:id="10"/>
    </w:p>
    <w:p w14:paraId="526666BB" w14:textId="611AA6D3" w:rsidR="006D2158" w:rsidRPr="00B20F18" w:rsidRDefault="006D2158" w:rsidP="006D2158">
      <w:pPr>
        <w:rPr>
          <w:rFonts w:ascii="Arial" w:hAnsi="Arial" w:cs="Arial"/>
          <w:lang w:eastAsia="en-GB"/>
        </w:rPr>
      </w:pPr>
      <w:r w:rsidRPr="00B20F18">
        <w:rPr>
          <w:rFonts w:ascii="Arial" w:hAnsi="Arial" w:cs="Arial"/>
          <w:lang w:eastAsia="en-GB"/>
        </w:rPr>
        <w:t xml:space="preserve">The gearing ratios indicates the proportion of the debt and equity in the capital structure. However, the gearing ratios are as follows- </w:t>
      </w:r>
    </w:p>
    <w:tbl>
      <w:tblPr>
        <w:tblStyle w:val="TableGrid"/>
        <w:tblW w:w="7495" w:type="dxa"/>
        <w:jc w:val="center"/>
        <w:tblLook w:val="04A0" w:firstRow="1" w:lastRow="0" w:firstColumn="1" w:lastColumn="0" w:noHBand="0" w:noVBand="1"/>
      </w:tblPr>
      <w:tblGrid>
        <w:gridCol w:w="2695"/>
        <w:gridCol w:w="960"/>
        <w:gridCol w:w="960"/>
        <w:gridCol w:w="960"/>
        <w:gridCol w:w="960"/>
        <w:gridCol w:w="960"/>
      </w:tblGrid>
      <w:tr w:rsidR="006D2158" w:rsidRPr="00B20F18" w14:paraId="78310732" w14:textId="77777777" w:rsidTr="006D2158">
        <w:trPr>
          <w:trHeight w:val="300"/>
          <w:jc w:val="center"/>
        </w:trPr>
        <w:tc>
          <w:tcPr>
            <w:tcW w:w="2695" w:type="dxa"/>
            <w:noWrap/>
            <w:hideMark/>
          </w:tcPr>
          <w:p w14:paraId="251CA604" w14:textId="77777777" w:rsidR="006D2158" w:rsidRPr="00B20F18" w:rsidRDefault="006D2158" w:rsidP="006D2158">
            <w:pPr>
              <w:spacing w:line="240" w:lineRule="auto"/>
              <w:jc w:val="lef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5719BA2C" w14:textId="77777777" w:rsidR="006D2158" w:rsidRPr="00B20F18" w:rsidRDefault="006D2158" w:rsidP="006D2158">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11081835" w14:textId="77777777" w:rsidR="006D2158" w:rsidRPr="00B20F18" w:rsidRDefault="006D2158" w:rsidP="006D2158">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7E956425" w14:textId="77777777" w:rsidR="006D2158" w:rsidRPr="00B20F18" w:rsidRDefault="006D2158" w:rsidP="006D2158">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442FD6CD" w14:textId="77777777" w:rsidR="006D2158" w:rsidRPr="00B20F18" w:rsidRDefault="006D2158" w:rsidP="006D2158">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7A505DF2" w14:textId="77777777" w:rsidR="006D2158" w:rsidRPr="00B20F18" w:rsidRDefault="006D2158" w:rsidP="006D2158">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6D2158" w:rsidRPr="00B20F18" w14:paraId="549268D9" w14:textId="77777777" w:rsidTr="006D2158">
        <w:trPr>
          <w:trHeight w:val="300"/>
          <w:jc w:val="center"/>
        </w:trPr>
        <w:tc>
          <w:tcPr>
            <w:tcW w:w="2695" w:type="dxa"/>
            <w:noWrap/>
            <w:hideMark/>
          </w:tcPr>
          <w:p w14:paraId="0BEDF3CA" w14:textId="77777777" w:rsidR="006D2158" w:rsidRPr="00B20F18" w:rsidRDefault="006D2158" w:rsidP="006D2158">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Debt / Equity Ratio</w:t>
            </w:r>
          </w:p>
        </w:tc>
        <w:tc>
          <w:tcPr>
            <w:tcW w:w="960" w:type="dxa"/>
            <w:noWrap/>
            <w:hideMark/>
          </w:tcPr>
          <w:p w14:paraId="42AE5224"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-1.69</w:t>
            </w:r>
          </w:p>
        </w:tc>
        <w:tc>
          <w:tcPr>
            <w:tcW w:w="960" w:type="dxa"/>
            <w:noWrap/>
            <w:hideMark/>
          </w:tcPr>
          <w:p w14:paraId="34920D0A"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-4.43</w:t>
            </w:r>
          </w:p>
        </w:tc>
        <w:tc>
          <w:tcPr>
            <w:tcW w:w="960" w:type="dxa"/>
            <w:noWrap/>
            <w:hideMark/>
          </w:tcPr>
          <w:p w14:paraId="620B09EE"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0.56</w:t>
            </w:r>
          </w:p>
        </w:tc>
        <w:tc>
          <w:tcPr>
            <w:tcW w:w="960" w:type="dxa"/>
            <w:noWrap/>
            <w:hideMark/>
          </w:tcPr>
          <w:p w14:paraId="5C88CC5F"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1.8</w:t>
            </w:r>
          </w:p>
        </w:tc>
        <w:tc>
          <w:tcPr>
            <w:tcW w:w="960" w:type="dxa"/>
            <w:noWrap/>
            <w:hideMark/>
          </w:tcPr>
          <w:p w14:paraId="07153B59"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0.65</w:t>
            </w:r>
          </w:p>
        </w:tc>
      </w:tr>
      <w:tr w:rsidR="006D2158" w:rsidRPr="00B20F18" w14:paraId="743DF82E" w14:textId="77777777" w:rsidTr="006D2158">
        <w:trPr>
          <w:trHeight w:val="300"/>
          <w:jc w:val="center"/>
        </w:trPr>
        <w:tc>
          <w:tcPr>
            <w:tcW w:w="2695" w:type="dxa"/>
            <w:noWrap/>
            <w:hideMark/>
          </w:tcPr>
          <w:p w14:paraId="0FCD2A6C" w14:textId="77777777" w:rsidR="006D2158" w:rsidRPr="00B20F18" w:rsidRDefault="006D2158" w:rsidP="006D2158">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Long-term Debt / Capital</w:t>
            </w:r>
          </w:p>
        </w:tc>
        <w:tc>
          <w:tcPr>
            <w:tcW w:w="960" w:type="dxa"/>
            <w:noWrap/>
            <w:hideMark/>
          </w:tcPr>
          <w:p w14:paraId="4CE11FB1"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3.16</w:t>
            </w:r>
          </w:p>
        </w:tc>
        <w:tc>
          <w:tcPr>
            <w:tcW w:w="960" w:type="dxa"/>
            <w:noWrap/>
            <w:hideMark/>
          </w:tcPr>
          <w:p w14:paraId="73899473"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1.38</w:t>
            </w:r>
          </w:p>
        </w:tc>
        <w:tc>
          <w:tcPr>
            <w:tcW w:w="960" w:type="dxa"/>
            <w:noWrap/>
            <w:hideMark/>
          </w:tcPr>
          <w:p w14:paraId="0011071A"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0.36</w:t>
            </w:r>
          </w:p>
        </w:tc>
        <w:tc>
          <w:tcPr>
            <w:tcW w:w="960" w:type="dxa"/>
            <w:noWrap/>
            <w:hideMark/>
          </w:tcPr>
          <w:p w14:paraId="284A25B9"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0.63</w:t>
            </w:r>
          </w:p>
        </w:tc>
        <w:tc>
          <w:tcPr>
            <w:tcW w:w="960" w:type="dxa"/>
            <w:noWrap/>
            <w:hideMark/>
          </w:tcPr>
          <w:p w14:paraId="3F95E34E" w14:textId="77777777" w:rsidR="006D2158" w:rsidRPr="00B20F18" w:rsidRDefault="006D2158" w:rsidP="006D2158">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0.37</w:t>
            </w:r>
          </w:p>
        </w:tc>
      </w:tr>
    </w:tbl>
    <w:p w14:paraId="567EC657" w14:textId="364678DD" w:rsidR="006D2158" w:rsidRPr="00B20F18" w:rsidRDefault="006D2158" w:rsidP="006D2158">
      <w:pPr>
        <w:rPr>
          <w:rFonts w:ascii="Arial" w:hAnsi="Arial" w:cs="Arial"/>
          <w:lang w:eastAsia="en-GB"/>
        </w:rPr>
      </w:pPr>
    </w:p>
    <w:p w14:paraId="4897967E" w14:textId="77777777" w:rsidR="003E4F6F" w:rsidRPr="00B20F18" w:rsidRDefault="003E4F6F" w:rsidP="006D2158">
      <w:pPr>
        <w:rPr>
          <w:rFonts w:ascii="Arial" w:hAnsi="Arial" w:cs="Arial"/>
          <w:lang w:eastAsia="en-GB"/>
        </w:rPr>
      </w:pPr>
    </w:p>
    <w:p w14:paraId="38006EFC" w14:textId="636C2736" w:rsidR="00872EA3" w:rsidRPr="00B20F18" w:rsidRDefault="00872EA3" w:rsidP="003E4F6F">
      <w:pPr>
        <w:pStyle w:val="Heading3"/>
        <w:rPr>
          <w:rFonts w:ascii="Arial" w:hAnsi="Arial" w:cs="Arial"/>
        </w:rPr>
      </w:pPr>
      <w:bookmarkStart w:id="11" w:name="_Toc61434487"/>
      <w:r w:rsidRPr="00B20F18">
        <w:rPr>
          <w:rFonts w:ascii="Arial" w:hAnsi="Arial" w:cs="Arial"/>
        </w:rPr>
        <w:t>Efficiency ratios</w:t>
      </w:r>
      <w:bookmarkEnd w:id="11"/>
      <w:r w:rsidRPr="00B20F18">
        <w:rPr>
          <w:rFonts w:ascii="Arial" w:hAnsi="Arial" w:cs="Arial"/>
        </w:rPr>
        <w:t xml:space="preserve"> </w:t>
      </w:r>
    </w:p>
    <w:p w14:paraId="47293914" w14:textId="287BF3D8" w:rsidR="007E47EF" w:rsidRPr="00B20F18" w:rsidRDefault="007E47EF" w:rsidP="007E47EF">
      <w:pPr>
        <w:rPr>
          <w:rFonts w:ascii="Arial" w:hAnsi="Arial" w:cs="Arial"/>
          <w:lang w:eastAsia="en-GB"/>
        </w:rPr>
      </w:pPr>
      <w:r w:rsidRPr="00B20F18">
        <w:rPr>
          <w:rFonts w:ascii="Arial" w:hAnsi="Arial" w:cs="Arial"/>
          <w:lang w:eastAsia="en-GB"/>
        </w:rPr>
        <w:t>The efficiency ratio indicates that, how efficiently the available resources are used in generating the revenue of the organisation</w:t>
      </w:r>
      <w:r w:rsidR="00340A2C" w:rsidRPr="00B20F18">
        <w:rPr>
          <w:rFonts w:ascii="Arial" w:hAnsi="Arial" w:cs="Arial"/>
          <w:lang w:eastAsia="en-GB"/>
        </w:rPr>
        <w:t>. However, the efficiency ratios are as follows</w:t>
      </w:r>
      <w:r w:rsidR="003E4F6F" w:rsidRPr="00B20F18">
        <w:rPr>
          <w:rFonts w:ascii="Arial" w:hAnsi="Arial" w:cs="Arial"/>
          <w:lang w:eastAsia="en-GB"/>
        </w:rPr>
        <w:t>:</w:t>
      </w:r>
    </w:p>
    <w:tbl>
      <w:tblPr>
        <w:tblW w:w="7675" w:type="dxa"/>
        <w:jc w:val="center"/>
        <w:tblLook w:val="04A0" w:firstRow="1" w:lastRow="0" w:firstColumn="1" w:lastColumn="0" w:noHBand="0" w:noVBand="1"/>
      </w:tblPr>
      <w:tblGrid>
        <w:gridCol w:w="2875"/>
        <w:gridCol w:w="960"/>
        <w:gridCol w:w="960"/>
        <w:gridCol w:w="960"/>
        <w:gridCol w:w="960"/>
        <w:gridCol w:w="960"/>
      </w:tblGrid>
      <w:tr w:rsidR="006D2158" w:rsidRPr="00B20F18" w14:paraId="7729742C" w14:textId="77777777" w:rsidTr="006D2158">
        <w:trPr>
          <w:trHeight w:val="315"/>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1CC67" w14:textId="77777777" w:rsidR="006D2158" w:rsidRPr="00B20F18" w:rsidRDefault="006D2158" w:rsidP="006D2158">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DB5B98" w14:textId="77777777" w:rsidR="006D2158" w:rsidRPr="00B20F18" w:rsidRDefault="006D2158" w:rsidP="006D2158">
            <w:pPr>
              <w:spacing w:after="0"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559754" w14:textId="77777777" w:rsidR="006D2158" w:rsidRPr="00B20F18" w:rsidRDefault="006D2158" w:rsidP="006D2158">
            <w:pPr>
              <w:spacing w:after="0"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B9B6BCD" w14:textId="77777777" w:rsidR="006D2158" w:rsidRPr="00B20F18" w:rsidRDefault="006D2158" w:rsidP="006D2158">
            <w:pPr>
              <w:spacing w:after="0"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835BBC" w14:textId="77777777" w:rsidR="006D2158" w:rsidRPr="00B20F18" w:rsidRDefault="006D2158" w:rsidP="006D2158">
            <w:pPr>
              <w:spacing w:after="0"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6300FB" w14:textId="77777777" w:rsidR="006D2158" w:rsidRPr="00B20F18" w:rsidRDefault="006D2158" w:rsidP="006D2158">
            <w:pPr>
              <w:spacing w:after="0"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6D2158" w:rsidRPr="00B20F18" w14:paraId="2F0489B6" w14:textId="77777777" w:rsidTr="006D2158">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0C5AB7C5" w14:textId="77777777" w:rsidR="006D2158" w:rsidRPr="00B20F18" w:rsidRDefault="006D2158" w:rsidP="006D2158">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Assets Turnover</w:t>
            </w:r>
          </w:p>
        </w:tc>
        <w:tc>
          <w:tcPr>
            <w:tcW w:w="960" w:type="dxa"/>
            <w:tcBorders>
              <w:top w:val="nil"/>
              <w:left w:val="nil"/>
              <w:bottom w:val="single" w:sz="4" w:space="0" w:color="auto"/>
              <w:right w:val="single" w:sz="4" w:space="0" w:color="auto"/>
            </w:tcBorders>
            <w:shd w:val="clear" w:color="auto" w:fill="auto"/>
            <w:noWrap/>
            <w:vAlign w:val="bottom"/>
            <w:hideMark/>
          </w:tcPr>
          <w:p w14:paraId="0F48B6BE"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0.51</w:t>
            </w:r>
          </w:p>
        </w:tc>
        <w:tc>
          <w:tcPr>
            <w:tcW w:w="960" w:type="dxa"/>
            <w:tcBorders>
              <w:top w:val="nil"/>
              <w:left w:val="nil"/>
              <w:bottom w:val="single" w:sz="4" w:space="0" w:color="auto"/>
              <w:right w:val="single" w:sz="4" w:space="0" w:color="auto"/>
            </w:tcBorders>
            <w:shd w:val="clear" w:color="auto" w:fill="auto"/>
            <w:noWrap/>
            <w:vAlign w:val="bottom"/>
            <w:hideMark/>
          </w:tcPr>
          <w:p w14:paraId="73975702"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0.49</w:t>
            </w:r>
          </w:p>
        </w:tc>
        <w:tc>
          <w:tcPr>
            <w:tcW w:w="960" w:type="dxa"/>
            <w:tcBorders>
              <w:top w:val="nil"/>
              <w:left w:val="nil"/>
              <w:bottom w:val="single" w:sz="4" w:space="0" w:color="auto"/>
              <w:right w:val="single" w:sz="4" w:space="0" w:color="auto"/>
            </w:tcBorders>
            <w:shd w:val="clear" w:color="auto" w:fill="auto"/>
            <w:noWrap/>
            <w:vAlign w:val="bottom"/>
            <w:hideMark/>
          </w:tcPr>
          <w:p w14:paraId="0FF1EC94"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0.54</w:t>
            </w:r>
          </w:p>
        </w:tc>
        <w:tc>
          <w:tcPr>
            <w:tcW w:w="960" w:type="dxa"/>
            <w:tcBorders>
              <w:top w:val="nil"/>
              <w:left w:val="nil"/>
              <w:bottom w:val="single" w:sz="4" w:space="0" w:color="auto"/>
              <w:right w:val="single" w:sz="4" w:space="0" w:color="auto"/>
            </w:tcBorders>
            <w:shd w:val="clear" w:color="auto" w:fill="auto"/>
            <w:noWrap/>
            <w:vAlign w:val="bottom"/>
            <w:hideMark/>
          </w:tcPr>
          <w:p w14:paraId="4F0D9F30"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0.58</w:t>
            </w:r>
          </w:p>
        </w:tc>
        <w:tc>
          <w:tcPr>
            <w:tcW w:w="960" w:type="dxa"/>
            <w:tcBorders>
              <w:top w:val="nil"/>
              <w:left w:val="nil"/>
              <w:bottom w:val="single" w:sz="4" w:space="0" w:color="auto"/>
              <w:right w:val="single" w:sz="4" w:space="0" w:color="auto"/>
            </w:tcBorders>
            <w:shd w:val="clear" w:color="auto" w:fill="auto"/>
            <w:noWrap/>
            <w:vAlign w:val="bottom"/>
            <w:hideMark/>
          </w:tcPr>
          <w:p w14:paraId="58A0E1D5"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0.61</w:t>
            </w:r>
          </w:p>
        </w:tc>
      </w:tr>
      <w:tr w:rsidR="006D2158" w:rsidRPr="00B20F18" w14:paraId="7F9DB04E" w14:textId="77777777" w:rsidTr="006D2158">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5C23E315" w14:textId="77777777" w:rsidR="006D2158" w:rsidRPr="00B20F18" w:rsidRDefault="006D2158" w:rsidP="006D2158">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Inventory Turnover</w:t>
            </w:r>
          </w:p>
        </w:tc>
        <w:tc>
          <w:tcPr>
            <w:tcW w:w="960" w:type="dxa"/>
            <w:tcBorders>
              <w:top w:val="nil"/>
              <w:left w:val="nil"/>
              <w:bottom w:val="single" w:sz="4" w:space="0" w:color="auto"/>
              <w:right w:val="single" w:sz="4" w:space="0" w:color="auto"/>
            </w:tcBorders>
            <w:shd w:val="clear" w:color="auto" w:fill="auto"/>
            <w:noWrap/>
            <w:vAlign w:val="bottom"/>
            <w:hideMark/>
          </w:tcPr>
          <w:p w14:paraId="67CB7FE8"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3.62</w:t>
            </w:r>
          </w:p>
        </w:tc>
        <w:tc>
          <w:tcPr>
            <w:tcW w:w="960" w:type="dxa"/>
            <w:tcBorders>
              <w:top w:val="nil"/>
              <w:left w:val="nil"/>
              <w:bottom w:val="single" w:sz="4" w:space="0" w:color="auto"/>
              <w:right w:val="single" w:sz="4" w:space="0" w:color="auto"/>
            </w:tcBorders>
            <w:shd w:val="clear" w:color="auto" w:fill="auto"/>
            <w:noWrap/>
            <w:vAlign w:val="bottom"/>
            <w:hideMark/>
          </w:tcPr>
          <w:p w14:paraId="04F6DAF9"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3.39</w:t>
            </w:r>
          </w:p>
        </w:tc>
        <w:tc>
          <w:tcPr>
            <w:tcW w:w="960" w:type="dxa"/>
            <w:tcBorders>
              <w:top w:val="nil"/>
              <w:left w:val="nil"/>
              <w:bottom w:val="single" w:sz="4" w:space="0" w:color="auto"/>
              <w:right w:val="single" w:sz="4" w:space="0" w:color="auto"/>
            </w:tcBorders>
            <w:shd w:val="clear" w:color="auto" w:fill="auto"/>
            <w:noWrap/>
            <w:vAlign w:val="bottom"/>
            <w:hideMark/>
          </w:tcPr>
          <w:p w14:paraId="0D3B4752"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3.59</w:t>
            </w:r>
          </w:p>
        </w:tc>
        <w:tc>
          <w:tcPr>
            <w:tcW w:w="960" w:type="dxa"/>
            <w:tcBorders>
              <w:top w:val="nil"/>
              <w:left w:val="nil"/>
              <w:bottom w:val="single" w:sz="4" w:space="0" w:color="auto"/>
              <w:right w:val="single" w:sz="4" w:space="0" w:color="auto"/>
            </w:tcBorders>
            <w:shd w:val="clear" w:color="auto" w:fill="auto"/>
            <w:noWrap/>
            <w:vAlign w:val="bottom"/>
            <w:hideMark/>
          </w:tcPr>
          <w:p w14:paraId="362BC57E"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3.86</w:t>
            </w:r>
          </w:p>
        </w:tc>
        <w:tc>
          <w:tcPr>
            <w:tcW w:w="960" w:type="dxa"/>
            <w:tcBorders>
              <w:top w:val="nil"/>
              <w:left w:val="nil"/>
              <w:bottom w:val="single" w:sz="4" w:space="0" w:color="auto"/>
              <w:right w:val="single" w:sz="4" w:space="0" w:color="auto"/>
            </w:tcBorders>
            <w:shd w:val="clear" w:color="auto" w:fill="auto"/>
            <w:noWrap/>
            <w:vAlign w:val="bottom"/>
            <w:hideMark/>
          </w:tcPr>
          <w:p w14:paraId="48444F29"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3.97</w:t>
            </w:r>
          </w:p>
        </w:tc>
      </w:tr>
      <w:tr w:rsidR="006D2158" w:rsidRPr="00B20F18" w14:paraId="2BF53346" w14:textId="77777777" w:rsidTr="006D2158">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5F81AD6D" w14:textId="77777777" w:rsidR="006D2158" w:rsidRPr="00B20F18" w:rsidRDefault="006D2158" w:rsidP="006D2158">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Receivable Turnover</w:t>
            </w:r>
          </w:p>
        </w:tc>
        <w:tc>
          <w:tcPr>
            <w:tcW w:w="960" w:type="dxa"/>
            <w:tcBorders>
              <w:top w:val="nil"/>
              <w:left w:val="nil"/>
              <w:bottom w:val="single" w:sz="4" w:space="0" w:color="auto"/>
              <w:right w:val="single" w:sz="4" w:space="0" w:color="auto"/>
            </w:tcBorders>
            <w:shd w:val="clear" w:color="auto" w:fill="auto"/>
            <w:noWrap/>
            <w:vAlign w:val="bottom"/>
            <w:hideMark/>
          </w:tcPr>
          <w:p w14:paraId="0CE709A4"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3.25</w:t>
            </w:r>
          </w:p>
        </w:tc>
        <w:tc>
          <w:tcPr>
            <w:tcW w:w="960" w:type="dxa"/>
            <w:tcBorders>
              <w:top w:val="nil"/>
              <w:left w:val="nil"/>
              <w:bottom w:val="single" w:sz="4" w:space="0" w:color="auto"/>
              <w:right w:val="single" w:sz="4" w:space="0" w:color="auto"/>
            </w:tcBorders>
            <w:shd w:val="clear" w:color="auto" w:fill="auto"/>
            <w:noWrap/>
            <w:vAlign w:val="bottom"/>
            <w:hideMark/>
          </w:tcPr>
          <w:p w14:paraId="1669804B"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3.33</w:t>
            </w:r>
          </w:p>
        </w:tc>
        <w:tc>
          <w:tcPr>
            <w:tcW w:w="960" w:type="dxa"/>
            <w:tcBorders>
              <w:top w:val="nil"/>
              <w:left w:val="nil"/>
              <w:bottom w:val="single" w:sz="4" w:space="0" w:color="auto"/>
              <w:right w:val="single" w:sz="4" w:space="0" w:color="auto"/>
            </w:tcBorders>
            <w:shd w:val="clear" w:color="auto" w:fill="auto"/>
            <w:noWrap/>
            <w:vAlign w:val="bottom"/>
            <w:hideMark/>
          </w:tcPr>
          <w:p w14:paraId="686B7B0F"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2.05</w:t>
            </w:r>
          </w:p>
        </w:tc>
        <w:tc>
          <w:tcPr>
            <w:tcW w:w="960" w:type="dxa"/>
            <w:tcBorders>
              <w:top w:val="nil"/>
              <w:left w:val="nil"/>
              <w:bottom w:val="single" w:sz="4" w:space="0" w:color="auto"/>
              <w:right w:val="single" w:sz="4" w:space="0" w:color="auto"/>
            </w:tcBorders>
            <w:shd w:val="clear" w:color="auto" w:fill="auto"/>
            <w:noWrap/>
            <w:vAlign w:val="bottom"/>
            <w:hideMark/>
          </w:tcPr>
          <w:p w14:paraId="7E5CE907"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2.14</w:t>
            </w:r>
          </w:p>
        </w:tc>
        <w:tc>
          <w:tcPr>
            <w:tcW w:w="960" w:type="dxa"/>
            <w:tcBorders>
              <w:top w:val="nil"/>
              <w:left w:val="nil"/>
              <w:bottom w:val="single" w:sz="4" w:space="0" w:color="auto"/>
              <w:right w:val="single" w:sz="4" w:space="0" w:color="auto"/>
            </w:tcBorders>
            <w:shd w:val="clear" w:color="auto" w:fill="auto"/>
            <w:noWrap/>
            <w:vAlign w:val="bottom"/>
            <w:hideMark/>
          </w:tcPr>
          <w:p w14:paraId="4D64B80A" w14:textId="77777777" w:rsidR="006D2158" w:rsidRPr="00B20F18" w:rsidRDefault="006D2158" w:rsidP="006D2158">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2.19</w:t>
            </w:r>
          </w:p>
        </w:tc>
      </w:tr>
    </w:tbl>
    <w:p w14:paraId="58E94AB3" w14:textId="7A75424D" w:rsidR="00872EA3" w:rsidRPr="00B20F18" w:rsidRDefault="00872EA3" w:rsidP="00872EA3">
      <w:pPr>
        <w:pStyle w:val="Heading2"/>
        <w:rPr>
          <w:rFonts w:ascii="Arial" w:eastAsia="Times New Roman" w:hAnsi="Arial" w:cs="Arial"/>
          <w:color w:val="000000" w:themeColor="text1"/>
          <w:lang w:eastAsia="en-GB"/>
        </w:rPr>
      </w:pPr>
    </w:p>
    <w:p w14:paraId="7F7D7EB4" w14:textId="77777777" w:rsidR="003E4F6F" w:rsidRPr="00B20F18" w:rsidRDefault="003E4F6F" w:rsidP="003E4F6F">
      <w:pPr>
        <w:rPr>
          <w:rFonts w:ascii="Arial" w:hAnsi="Arial" w:cs="Arial"/>
          <w:lang w:eastAsia="en-GB"/>
        </w:rPr>
      </w:pPr>
    </w:p>
    <w:p w14:paraId="0177FB67" w14:textId="4739EDD8" w:rsidR="00872EA3" w:rsidRPr="00B20F18" w:rsidRDefault="00872EA3" w:rsidP="003E4F6F">
      <w:pPr>
        <w:pStyle w:val="Heading2"/>
        <w:rPr>
          <w:rFonts w:ascii="Arial" w:hAnsi="Arial" w:cs="Arial"/>
        </w:rPr>
      </w:pPr>
      <w:bookmarkStart w:id="12" w:name="_Toc61434488"/>
      <w:r w:rsidRPr="00B20F18">
        <w:rPr>
          <w:rFonts w:ascii="Arial" w:hAnsi="Arial" w:cs="Arial"/>
        </w:rPr>
        <w:t>Critical evaluation of the ratios calculated:</w:t>
      </w:r>
      <w:bookmarkEnd w:id="12"/>
      <w:r w:rsidRPr="00B20F18">
        <w:rPr>
          <w:rFonts w:ascii="Arial" w:hAnsi="Arial" w:cs="Arial"/>
        </w:rPr>
        <w:t xml:space="preserve">  </w:t>
      </w:r>
    </w:p>
    <w:p w14:paraId="2DA42830" w14:textId="0C72AD9D" w:rsidR="00820015" w:rsidRPr="00B20F18" w:rsidRDefault="009E286A" w:rsidP="00E45CAE">
      <w:pPr>
        <w:rPr>
          <w:rFonts w:ascii="Arial" w:hAnsi="Arial" w:cs="Arial"/>
          <w:lang w:eastAsia="en-GB"/>
        </w:rPr>
      </w:pPr>
      <w:r w:rsidRPr="00B20F18">
        <w:rPr>
          <w:rFonts w:ascii="Arial" w:hAnsi="Arial" w:cs="Arial"/>
          <w:lang w:eastAsia="en-GB"/>
        </w:rPr>
        <w:t xml:space="preserve">The above calculated ratios </w:t>
      </w:r>
      <w:r w:rsidR="00254EF3" w:rsidRPr="00B20F18">
        <w:rPr>
          <w:rFonts w:ascii="Arial" w:hAnsi="Arial" w:cs="Arial"/>
          <w:lang w:eastAsia="en-GB"/>
        </w:rPr>
        <w:t>need</w:t>
      </w:r>
      <w:r w:rsidRPr="00B20F18">
        <w:rPr>
          <w:rFonts w:ascii="Arial" w:hAnsi="Arial" w:cs="Arial"/>
          <w:lang w:eastAsia="en-GB"/>
        </w:rPr>
        <w:t xml:space="preserve"> to be explained, interpreted and evaluated accordingly</w:t>
      </w:r>
      <w:r w:rsidR="00CF67F3" w:rsidRPr="00B20F18">
        <w:rPr>
          <w:rFonts w:ascii="Arial" w:hAnsi="Arial" w:cs="Arial"/>
          <w:lang w:eastAsia="en-GB"/>
        </w:rPr>
        <w:t xml:space="preserve"> because the number itself does not represent valuable information for the decision makers. </w:t>
      </w:r>
      <w:r w:rsidR="00D2244C" w:rsidRPr="00B20F18">
        <w:rPr>
          <w:rFonts w:ascii="Arial" w:hAnsi="Arial" w:cs="Arial"/>
          <w:lang w:eastAsia="en-GB"/>
        </w:rPr>
        <w:t>T</w:t>
      </w:r>
      <w:r w:rsidR="00AD5F01" w:rsidRPr="00B20F18">
        <w:rPr>
          <w:rFonts w:ascii="Arial" w:hAnsi="Arial" w:cs="Arial"/>
          <w:lang w:eastAsia="en-GB"/>
        </w:rPr>
        <w:t>herefore</w:t>
      </w:r>
      <w:r w:rsidR="00D2244C" w:rsidRPr="00B20F18">
        <w:rPr>
          <w:rFonts w:ascii="Arial" w:hAnsi="Arial" w:cs="Arial"/>
          <w:lang w:eastAsia="en-GB"/>
        </w:rPr>
        <w:t xml:space="preserve">, the ratios </w:t>
      </w:r>
      <w:r w:rsidR="00820015" w:rsidRPr="00B20F18">
        <w:rPr>
          <w:rFonts w:ascii="Arial" w:hAnsi="Arial" w:cs="Arial"/>
          <w:lang w:eastAsia="en-GB"/>
        </w:rPr>
        <w:t>are</w:t>
      </w:r>
      <w:r w:rsidR="00D2244C" w:rsidRPr="00B20F18">
        <w:rPr>
          <w:rFonts w:ascii="Arial" w:hAnsi="Arial" w:cs="Arial"/>
          <w:lang w:eastAsia="en-GB"/>
        </w:rPr>
        <w:t xml:space="preserve"> </w:t>
      </w:r>
      <w:r w:rsidR="00AA2FDF" w:rsidRPr="00B20F18">
        <w:rPr>
          <w:rFonts w:ascii="Arial" w:hAnsi="Arial" w:cs="Arial"/>
          <w:lang w:eastAsia="en-GB"/>
        </w:rPr>
        <w:t>explained</w:t>
      </w:r>
      <w:r w:rsidR="00820015" w:rsidRPr="00B20F18">
        <w:rPr>
          <w:rFonts w:ascii="Arial" w:hAnsi="Arial" w:cs="Arial"/>
          <w:lang w:eastAsia="en-GB"/>
        </w:rPr>
        <w:t xml:space="preserve"> and evaluated based on the available information accordingly. </w:t>
      </w:r>
      <w:r w:rsidR="00AA2FDF" w:rsidRPr="00B20F18">
        <w:rPr>
          <w:rFonts w:ascii="Arial" w:hAnsi="Arial" w:cs="Arial"/>
          <w:lang w:eastAsia="en-GB"/>
        </w:rPr>
        <w:t xml:space="preserve"> </w:t>
      </w:r>
      <w:r w:rsidRPr="00B20F18">
        <w:rPr>
          <w:rFonts w:ascii="Arial" w:hAnsi="Arial" w:cs="Arial"/>
          <w:lang w:eastAsia="en-GB"/>
        </w:rPr>
        <w:t xml:space="preserve"> </w:t>
      </w:r>
    </w:p>
    <w:p w14:paraId="267B1B01" w14:textId="77777777" w:rsidR="003E4F6F" w:rsidRPr="00B20F18" w:rsidRDefault="003E4F6F" w:rsidP="00E45CAE">
      <w:pPr>
        <w:rPr>
          <w:rFonts w:ascii="Arial" w:hAnsi="Arial" w:cs="Arial"/>
          <w:lang w:eastAsia="en-GB"/>
        </w:rPr>
      </w:pPr>
    </w:p>
    <w:p w14:paraId="0DA6795B" w14:textId="77777777" w:rsidR="00820015" w:rsidRPr="00B20F18" w:rsidRDefault="00820015" w:rsidP="003E4F6F">
      <w:pPr>
        <w:pStyle w:val="Heading3"/>
        <w:rPr>
          <w:rFonts w:ascii="Arial" w:hAnsi="Arial" w:cs="Arial"/>
        </w:rPr>
      </w:pPr>
      <w:bookmarkStart w:id="13" w:name="_Toc61434489"/>
      <w:r w:rsidRPr="00B20F18">
        <w:rPr>
          <w:rFonts w:ascii="Arial" w:hAnsi="Arial" w:cs="Arial"/>
        </w:rPr>
        <w:t>Profitability ratios</w:t>
      </w:r>
      <w:bookmarkEnd w:id="13"/>
    </w:p>
    <w:p w14:paraId="468A4936" w14:textId="4658DB8A" w:rsidR="00820015" w:rsidRPr="00B20F18" w:rsidRDefault="00820015" w:rsidP="00820015">
      <w:pPr>
        <w:rPr>
          <w:rFonts w:ascii="Arial" w:hAnsi="Arial" w:cs="Arial"/>
          <w:lang w:eastAsia="en-GB"/>
        </w:rPr>
      </w:pPr>
      <w:r w:rsidRPr="00B20F18">
        <w:rPr>
          <w:rFonts w:ascii="Arial" w:hAnsi="Arial" w:cs="Arial"/>
          <w:lang w:eastAsia="en-GB"/>
        </w:rPr>
        <w:t xml:space="preserve">There are basically two types of profitability ratios- margin based ratios and return based ratios. </w:t>
      </w:r>
      <w:r w:rsidR="00356E89" w:rsidRPr="00B20F18">
        <w:rPr>
          <w:rFonts w:ascii="Arial" w:hAnsi="Arial" w:cs="Arial"/>
          <w:lang w:eastAsia="en-GB"/>
        </w:rPr>
        <w:t>Both types of ratios indicate ability of the organisation to generate the income out of the core business operations</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(Robinson, 2020)</w:t>
      </w:r>
      <w:r w:rsidR="00356E89" w:rsidRPr="00B20F18">
        <w:rPr>
          <w:rFonts w:ascii="Arial" w:hAnsi="Arial" w:cs="Arial"/>
          <w:lang w:eastAsia="en-GB"/>
        </w:rPr>
        <w:t xml:space="preserve">. </w:t>
      </w:r>
    </w:p>
    <w:tbl>
      <w:tblPr>
        <w:tblStyle w:val="TableGrid"/>
        <w:tblW w:w="7225" w:type="dxa"/>
        <w:jc w:val="center"/>
        <w:tblLook w:val="04A0" w:firstRow="1" w:lastRow="0" w:firstColumn="1" w:lastColumn="0" w:noHBand="0" w:noVBand="1"/>
      </w:tblPr>
      <w:tblGrid>
        <w:gridCol w:w="2425"/>
        <w:gridCol w:w="960"/>
        <w:gridCol w:w="960"/>
        <w:gridCol w:w="960"/>
        <w:gridCol w:w="960"/>
        <w:gridCol w:w="960"/>
      </w:tblGrid>
      <w:tr w:rsidR="00820015" w:rsidRPr="00B20F18" w14:paraId="727E063A" w14:textId="77777777" w:rsidTr="00820015">
        <w:trPr>
          <w:trHeight w:val="300"/>
          <w:jc w:val="center"/>
        </w:trPr>
        <w:tc>
          <w:tcPr>
            <w:tcW w:w="2425" w:type="dxa"/>
            <w:noWrap/>
            <w:hideMark/>
          </w:tcPr>
          <w:p w14:paraId="42277C73"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7FDE2DD3"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099106FE"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1BC6042F"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169B449C"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5DA3DDBA" w14:textId="77777777" w:rsidR="00820015" w:rsidRPr="00B20F18" w:rsidRDefault="00820015" w:rsidP="00820015">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820015" w:rsidRPr="00B20F18" w14:paraId="630A7D01" w14:textId="77777777" w:rsidTr="00820015">
        <w:trPr>
          <w:trHeight w:val="300"/>
          <w:jc w:val="center"/>
        </w:trPr>
        <w:tc>
          <w:tcPr>
            <w:tcW w:w="2425" w:type="dxa"/>
            <w:noWrap/>
            <w:hideMark/>
          </w:tcPr>
          <w:p w14:paraId="67C1E138"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Gross Margin</w:t>
            </w:r>
          </w:p>
        </w:tc>
        <w:tc>
          <w:tcPr>
            <w:tcW w:w="960" w:type="dxa"/>
            <w:noWrap/>
            <w:hideMark/>
          </w:tcPr>
          <w:p w14:paraId="13EA0ED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5.679</w:t>
            </w:r>
          </w:p>
        </w:tc>
        <w:tc>
          <w:tcPr>
            <w:tcW w:w="960" w:type="dxa"/>
            <w:noWrap/>
            <w:hideMark/>
          </w:tcPr>
          <w:p w14:paraId="154729DE"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7.617</w:t>
            </w:r>
          </w:p>
        </w:tc>
        <w:tc>
          <w:tcPr>
            <w:tcW w:w="960" w:type="dxa"/>
            <w:noWrap/>
            <w:hideMark/>
          </w:tcPr>
          <w:p w14:paraId="661DD72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19.46</w:t>
            </w:r>
          </w:p>
        </w:tc>
        <w:tc>
          <w:tcPr>
            <w:tcW w:w="960" w:type="dxa"/>
            <w:noWrap/>
            <w:hideMark/>
          </w:tcPr>
          <w:p w14:paraId="21D2F0A5"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20.38</w:t>
            </w:r>
          </w:p>
        </w:tc>
        <w:tc>
          <w:tcPr>
            <w:tcW w:w="960" w:type="dxa"/>
            <w:noWrap/>
            <w:hideMark/>
          </w:tcPr>
          <w:p w14:paraId="3466B3BF"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23.796</w:t>
            </w:r>
          </w:p>
        </w:tc>
      </w:tr>
      <w:tr w:rsidR="00820015" w:rsidRPr="00B20F18" w14:paraId="6276DD2F" w14:textId="77777777" w:rsidTr="00820015">
        <w:trPr>
          <w:trHeight w:val="300"/>
          <w:jc w:val="center"/>
        </w:trPr>
        <w:tc>
          <w:tcPr>
            <w:tcW w:w="2425" w:type="dxa"/>
            <w:noWrap/>
            <w:hideMark/>
          </w:tcPr>
          <w:p w14:paraId="166B7F57"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EBIT Margin</w:t>
            </w:r>
          </w:p>
        </w:tc>
        <w:tc>
          <w:tcPr>
            <w:tcW w:w="960" w:type="dxa"/>
            <w:noWrap/>
            <w:hideMark/>
          </w:tcPr>
          <w:p w14:paraId="3500DC57"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-5.76</w:t>
            </w:r>
          </w:p>
        </w:tc>
        <w:tc>
          <w:tcPr>
            <w:tcW w:w="960" w:type="dxa"/>
            <w:noWrap/>
            <w:hideMark/>
          </w:tcPr>
          <w:p w14:paraId="7D11B4C4"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-7.41</w:t>
            </w:r>
          </w:p>
        </w:tc>
        <w:tc>
          <w:tcPr>
            <w:tcW w:w="960" w:type="dxa"/>
            <w:noWrap/>
            <w:hideMark/>
          </w:tcPr>
          <w:p w14:paraId="2B50C82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7.09</w:t>
            </w:r>
          </w:p>
        </w:tc>
        <w:tc>
          <w:tcPr>
            <w:tcW w:w="960" w:type="dxa"/>
            <w:noWrap/>
            <w:hideMark/>
          </w:tcPr>
          <w:p w14:paraId="551A5674"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-0.49</w:t>
            </w:r>
          </w:p>
        </w:tc>
        <w:tc>
          <w:tcPr>
            <w:tcW w:w="960" w:type="dxa"/>
            <w:noWrap/>
            <w:hideMark/>
          </w:tcPr>
          <w:p w14:paraId="6E73906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10.19</w:t>
            </w:r>
          </w:p>
        </w:tc>
      </w:tr>
      <w:tr w:rsidR="00820015" w:rsidRPr="00B20F18" w14:paraId="106E68FD" w14:textId="77777777" w:rsidTr="00820015">
        <w:trPr>
          <w:trHeight w:val="300"/>
          <w:jc w:val="center"/>
        </w:trPr>
        <w:tc>
          <w:tcPr>
            <w:tcW w:w="2425" w:type="dxa"/>
            <w:noWrap/>
            <w:hideMark/>
          </w:tcPr>
          <w:p w14:paraId="05104F56"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Net Profit Margin</w:t>
            </w:r>
          </w:p>
        </w:tc>
        <w:tc>
          <w:tcPr>
            <w:tcW w:w="960" w:type="dxa"/>
            <w:noWrap/>
            <w:hideMark/>
          </w:tcPr>
          <w:p w14:paraId="5DC0420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-7.93</w:t>
            </w:r>
          </w:p>
        </w:tc>
        <w:tc>
          <w:tcPr>
            <w:tcW w:w="960" w:type="dxa"/>
            <w:noWrap/>
            <w:hideMark/>
          </w:tcPr>
          <w:p w14:paraId="33B0D6D6"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-15.26</w:t>
            </w:r>
          </w:p>
        </w:tc>
        <w:tc>
          <w:tcPr>
            <w:tcW w:w="960" w:type="dxa"/>
            <w:noWrap/>
            <w:hideMark/>
          </w:tcPr>
          <w:p w14:paraId="222EAB9B"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25.79</w:t>
            </w:r>
          </w:p>
        </w:tc>
        <w:tc>
          <w:tcPr>
            <w:tcW w:w="960" w:type="dxa"/>
            <w:noWrap/>
            <w:hideMark/>
          </w:tcPr>
          <w:p w14:paraId="737A274E"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-26.96</w:t>
            </w:r>
          </w:p>
        </w:tc>
        <w:tc>
          <w:tcPr>
            <w:tcW w:w="960" w:type="dxa"/>
            <w:noWrap/>
            <w:hideMark/>
          </w:tcPr>
          <w:p w14:paraId="3042DEE9"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0.61</w:t>
            </w:r>
          </w:p>
        </w:tc>
      </w:tr>
    </w:tbl>
    <w:p w14:paraId="66B652EC" w14:textId="77777777" w:rsidR="003E4F6F" w:rsidRPr="00B20F18" w:rsidRDefault="003E4F6F" w:rsidP="00356E89">
      <w:pPr>
        <w:rPr>
          <w:rFonts w:ascii="Arial" w:hAnsi="Arial" w:cs="Arial"/>
          <w:lang w:eastAsia="en-GB"/>
        </w:rPr>
      </w:pPr>
    </w:p>
    <w:p w14:paraId="796AD9E2" w14:textId="7B9824F0" w:rsidR="00541648" w:rsidRPr="00B20F18" w:rsidRDefault="00356E89" w:rsidP="00356E89">
      <w:pPr>
        <w:rPr>
          <w:rFonts w:ascii="Arial" w:hAnsi="Arial" w:cs="Arial"/>
          <w:lang w:eastAsia="en-GB"/>
        </w:rPr>
      </w:pPr>
      <w:r w:rsidRPr="00B20F18">
        <w:rPr>
          <w:rFonts w:ascii="Arial" w:hAnsi="Arial" w:cs="Arial"/>
          <w:lang w:eastAsia="en-GB"/>
        </w:rPr>
        <w:t xml:space="preserve">However, three margin-based ratios have been </w:t>
      </w:r>
      <w:r w:rsidR="00BC6708" w:rsidRPr="00B20F18">
        <w:rPr>
          <w:rFonts w:ascii="Arial" w:hAnsi="Arial" w:cs="Arial"/>
          <w:lang w:eastAsia="en-GB"/>
        </w:rPr>
        <w:t>calculated</w:t>
      </w:r>
      <w:r w:rsidRPr="00B20F18">
        <w:rPr>
          <w:rFonts w:ascii="Arial" w:hAnsi="Arial" w:cs="Arial"/>
          <w:lang w:eastAsia="en-GB"/>
        </w:rPr>
        <w:t xml:space="preserve"> here. Firstly the gross margin</w:t>
      </w:r>
      <w:r w:rsidR="00EA0584" w:rsidRPr="00B20F18">
        <w:rPr>
          <w:rFonts w:ascii="Arial" w:hAnsi="Arial" w:cs="Arial"/>
          <w:lang w:eastAsia="en-GB"/>
        </w:rPr>
        <w:t xml:space="preserve"> is the proportion of the </w:t>
      </w:r>
      <w:r w:rsidR="00147D59" w:rsidRPr="00B20F18">
        <w:rPr>
          <w:rFonts w:ascii="Arial" w:hAnsi="Arial" w:cs="Arial"/>
          <w:lang w:eastAsia="en-GB"/>
        </w:rPr>
        <w:t xml:space="preserve">gross profit with respect to sales revenue. It indicates that, how much of the direct costs are attributable to the cost of sales and services. From the above result, it is seen that, the gross profit margin has been decreased over the period, from 2015 to 2019. Over the last five years, this margin has been dropped by 76.14 %. </w:t>
      </w:r>
    </w:p>
    <w:p w14:paraId="16CDF909" w14:textId="77777777" w:rsidR="003E4F6F" w:rsidRPr="00B20F18" w:rsidRDefault="003E4F6F" w:rsidP="00356E89">
      <w:pPr>
        <w:rPr>
          <w:rFonts w:ascii="Arial" w:hAnsi="Arial" w:cs="Arial"/>
          <w:lang w:eastAsia="en-GB"/>
        </w:rPr>
      </w:pPr>
    </w:p>
    <w:p w14:paraId="552C1556" w14:textId="2E62576D" w:rsidR="00820015" w:rsidRPr="00B20F18" w:rsidRDefault="00541648" w:rsidP="00356E89">
      <w:pPr>
        <w:rPr>
          <w:rFonts w:ascii="Arial" w:eastAsia="Times New Roman" w:hAnsi="Arial" w:cs="Arial"/>
          <w:color w:val="000000"/>
          <w:szCs w:val="24"/>
          <w:lang w:eastAsia="en-GB"/>
        </w:rPr>
      </w:pPr>
      <w:r w:rsidRPr="00B20F18">
        <w:rPr>
          <w:rFonts w:ascii="Arial" w:hAnsi="Arial" w:cs="Arial"/>
          <w:lang w:eastAsia="en-GB"/>
        </w:rPr>
        <w:t xml:space="preserve">EBIT margin indicates the earnings before income tax and for Rolls-Royce Holdings PLC., the EBIT margin for last five years </w:t>
      </w:r>
      <w:proofErr w:type="gramStart"/>
      <w:r w:rsidRPr="00B20F18">
        <w:rPr>
          <w:rFonts w:ascii="Arial" w:hAnsi="Arial" w:cs="Arial"/>
          <w:lang w:eastAsia="en-GB"/>
        </w:rPr>
        <w:t>are</w:t>
      </w:r>
      <w:proofErr w:type="gramEnd"/>
      <w:r w:rsidRPr="00B20F18">
        <w:rPr>
          <w:rFonts w:ascii="Arial" w:hAnsi="Arial" w:cs="Arial"/>
          <w:lang w:eastAsia="en-GB"/>
        </w:rPr>
        <w:t xml:space="preserve"> mixed. There are 2 positive figures and 3 negative figures regarding the EBIT margin. </w:t>
      </w:r>
      <w:r w:rsidR="00350C10" w:rsidRPr="00B20F18">
        <w:rPr>
          <w:rFonts w:ascii="Arial" w:hAnsi="Arial" w:cs="Arial"/>
          <w:lang w:eastAsia="en-GB"/>
        </w:rPr>
        <w:t xml:space="preserve">However, in 2015, the EBIT margin was positive but in the next year, it becomes slightly negative to </w:t>
      </w:r>
      <w:r w:rsidR="00350C10" w:rsidRPr="00B20F18">
        <w:rPr>
          <w:rFonts w:ascii="Arial" w:eastAsia="Times New Roman" w:hAnsi="Arial" w:cs="Arial"/>
          <w:color w:val="000000"/>
          <w:szCs w:val="24"/>
          <w:lang w:eastAsia="en-GB"/>
        </w:rPr>
        <w:t>-0.49</w:t>
      </w:r>
      <w:r w:rsidR="00AF750A" w:rsidRPr="00B20F18">
        <w:rPr>
          <w:rFonts w:ascii="Arial" w:eastAsia="Times New Roman" w:hAnsi="Arial" w:cs="Arial"/>
          <w:color w:val="000000"/>
          <w:szCs w:val="24"/>
          <w:lang w:eastAsia="en-GB"/>
        </w:rPr>
        <w:t xml:space="preserve">%. In the next year (i.e. 2017), the result is positive again, which means the organisation was able to generate enough earnings to cover all the operating costs before taxes. However, in 2018 and 2019, the EBIT margin becomes negative again. </w:t>
      </w:r>
    </w:p>
    <w:p w14:paraId="52511A15" w14:textId="77777777" w:rsidR="003E4F6F" w:rsidRPr="00B20F18" w:rsidRDefault="003E4F6F" w:rsidP="00356E89">
      <w:pPr>
        <w:rPr>
          <w:rFonts w:ascii="Arial" w:eastAsia="Times New Roman" w:hAnsi="Arial" w:cs="Arial"/>
          <w:color w:val="000000"/>
          <w:szCs w:val="24"/>
          <w:lang w:eastAsia="en-GB"/>
        </w:rPr>
      </w:pPr>
    </w:p>
    <w:p w14:paraId="0A359470" w14:textId="7F0DDC46" w:rsidR="00AF750A" w:rsidRPr="00B20F18" w:rsidRDefault="00AF750A" w:rsidP="00356E89">
      <w:pPr>
        <w:rPr>
          <w:rFonts w:ascii="Arial" w:hAnsi="Arial" w:cs="Arial"/>
          <w:lang w:eastAsia="en-GB"/>
        </w:rPr>
      </w:pPr>
      <w:r w:rsidRPr="00B20F18">
        <w:rPr>
          <w:rFonts w:ascii="Arial" w:hAnsi="Arial" w:cs="Arial"/>
          <w:lang w:eastAsia="en-GB"/>
        </w:rPr>
        <w:t xml:space="preserve">Net profit involves the residuals from the operating profit after adjusting all the expenses and taxes. </w:t>
      </w:r>
      <w:r w:rsidR="005D619F" w:rsidRPr="00B20F18">
        <w:rPr>
          <w:rFonts w:ascii="Arial" w:hAnsi="Arial" w:cs="Arial"/>
          <w:lang w:eastAsia="en-GB"/>
        </w:rPr>
        <w:t xml:space="preserve">The net profit portion is solely by the common stock holders. </w:t>
      </w:r>
      <w:r w:rsidR="003C539B" w:rsidRPr="00B20F18">
        <w:rPr>
          <w:rFonts w:ascii="Arial" w:hAnsi="Arial" w:cs="Arial"/>
          <w:lang w:eastAsia="en-GB"/>
        </w:rPr>
        <w:t xml:space="preserve">However, the net profit margin indicates the ability of Rolls-Royce Holdings PLC. to generate the earnings for the shareholders out of sales revenue. </w:t>
      </w:r>
      <w:r w:rsidR="00AE5E7B" w:rsidRPr="00B20F18">
        <w:rPr>
          <w:rFonts w:ascii="Arial" w:hAnsi="Arial" w:cs="Arial"/>
          <w:lang w:eastAsia="en-GB"/>
        </w:rPr>
        <w:t xml:space="preserve">The movement of net profit margin over last five years are closely aligned with the EBIT margin since the tax rate fixed normally. </w:t>
      </w:r>
      <w:r w:rsidR="00A64257" w:rsidRPr="00B20F18">
        <w:rPr>
          <w:rFonts w:ascii="Arial" w:hAnsi="Arial" w:cs="Arial"/>
          <w:lang w:eastAsia="en-GB"/>
        </w:rPr>
        <w:t xml:space="preserve">Therefore, a mixed result is observed throughout the periods. </w:t>
      </w:r>
      <w:r w:rsidR="005D619F" w:rsidRPr="00B20F18">
        <w:rPr>
          <w:rFonts w:ascii="Arial" w:hAnsi="Arial" w:cs="Arial"/>
          <w:lang w:eastAsia="en-GB"/>
        </w:rPr>
        <w:t xml:space="preserve"> </w:t>
      </w:r>
    </w:p>
    <w:p w14:paraId="5AE53CAF" w14:textId="334ED864" w:rsidR="00356E89" w:rsidRPr="00B20F18" w:rsidRDefault="00341B73" w:rsidP="00A64257">
      <w:pPr>
        <w:jc w:val="center"/>
        <w:rPr>
          <w:rFonts w:ascii="Arial" w:hAnsi="Arial" w:cs="Arial"/>
          <w:lang w:eastAsia="en-GB"/>
        </w:rPr>
      </w:pPr>
      <w:r w:rsidRPr="00B20F18">
        <w:rPr>
          <w:rFonts w:ascii="Arial" w:hAnsi="Arial" w:cs="Arial"/>
          <w:noProof/>
          <w:lang w:eastAsia="en-GB"/>
        </w:rPr>
        <w:lastRenderedPageBreak/>
        <w:drawing>
          <wp:inline distT="0" distB="0" distL="0" distR="0" wp14:anchorId="179C43FD" wp14:editId="345B72C6">
            <wp:extent cx="4584700" cy="2755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DB2C61E" w14:textId="0C626B07" w:rsidR="00210C27" w:rsidRPr="00B20F18" w:rsidRDefault="00210C27" w:rsidP="00A64257">
      <w:pPr>
        <w:jc w:val="center"/>
        <w:rPr>
          <w:rFonts w:ascii="Arial" w:hAnsi="Arial" w:cs="Arial"/>
          <w:lang w:eastAsia="en-GB"/>
        </w:rPr>
      </w:pPr>
      <w:r w:rsidRPr="00B20F18">
        <w:rPr>
          <w:rFonts w:ascii="Arial" w:hAnsi="Arial" w:cs="Arial"/>
          <w:lang w:eastAsia="en-GB"/>
        </w:rPr>
        <w:t>Figure: Comparison of the profitability margins</w:t>
      </w:r>
      <w:r w:rsidR="00BB2ACB" w:rsidRPr="00B20F18">
        <w:rPr>
          <w:rFonts w:ascii="Arial" w:hAnsi="Arial" w:cs="Arial"/>
          <w:lang w:eastAsia="en-GB"/>
        </w:rPr>
        <w:t xml:space="preserve"> (self-developed)</w:t>
      </w:r>
    </w:p>
    <w:p w14:paraId="36B0A563" w14:textId="77777777" w:rsidR="003E4F6F" w:rsidRPr="00B20F18" w:rsidRDefault="003E4F6F" w:rsidP="00A64257">
      <w:pPr>
        <w:jc w:val="center"/>
        <w:rPr>
          <w:rFonts w:ascii="Arial" w:hAnsi="Arial" w:cs="Arial"/>
          <w:lang w:eastAsia="en-GB"/>
        </w:rPr>
      </w:pPr>
    </w:p>
    <w:p w14:paraId="01BD1029" w14:textId="31C5A97F" w:rsidR="00210C27" w:rsidRPr="00B20F18" w:rsidRDefault="00D34447" w:rsidP="002959E5">
      <w:pPr>
        <w:rPr>
          <w:rFonts w:ascii="Arial" w:hAnsi="Arial" w:cs="Arial"/>
          <w:lang w:eastAsia="en-GB"/>
        </w:rPr>
      </w:pPr>
      <w:r w:rsidRPr="00B20F18">
        <w:rPr>
          <w:rFonts w:ascii="Arial" w:hAnsi="Arial" w:cs="Arial"/>
          <w:lang w:eastAsia="en-GB"/>
        </w:rPr>
        <w:t xml:space="preserve">The above discussions are depicted in the above bar chart comparing the relationship among the gross margin, EBIT margin and net profit margin. Normally, the </w:t>
      </w:r>
      <w:r w:rsidR="002C0B15" w:rsidRPr="00B20F18">
        <w:rPr>
          <w:rFonts w:ascii="Arial" w:hAnsi="Arial" w:cs="Arial"/>
          <w:lang w:eastAsia="en-GB"/>
        </w:rPr>
        <w:t>latter</w:t>
      </w:r>
      <w:r w:rsidRPr="00B20F18">
        <w:rPr>
          <w:rFonts w:ascii="Arial" w:hAnsi="Arial" w:cs="Arial"/>
          <w:lang w:eastAsia="en-GB"/>
        </w:rPr>
        <w:t xml:space="preserve"> two ratios follow the movement of the gross margin and it happened for all the cases except in 2016 when gross margin is high but EBIT is negative. It incurred due to the increase of the other operating costs in this year.  </w:t>
      </w:r>
    </w:p>
    <w:p w14:paraId="07044183" w14:textId="77777777" w:rsidR="003E4F6F" w:rsidRPr="00B20F18" w:rsidRDefault="003E4F6F" w:rsidP="002959E5">
      <w:pPr>
        <w:rPr>
          <w:rFonts w:ascii="Arial" w:hAnsi="Arial" w:cs="Arial"/>
          <w:lang w:eastAsia="en-GB"/>
        </w:rPr>
      </w:pPr>
    </w:p>
    <w:tbl>
      <w:tblPr>
        <w:tblStyle w:val="TableGrid"/>
        <w:tblW w:w="7225" w:type="dxa"/>
        <w:jc w:val="center"/>
        <w:tblLook w:val="04A0" w:firstRow="1" w:lastRow="0" w:firstColumn="1" w:lastColumn="0" w:noHBand="0" w:noVBand="1"/>
      </w:tblPr>
      <w:tblGrid>
        <w:gridCol w:w="2425"/>
        <w:gridCol w:w="960"/>
        <w:gridCol w:w="960"/>
        <w:gridCol w:w="960"/>
        <w:gridCol w:w="960"/>
        <w:gridCol w:w="960"/>
      </w:tblGrid>
      <w:tr w:rsidR="00820015" w:rsidRPr="00B20F18" w14:paraId="006A7523" w14:textId="77777777" w:rsidTr="00820015">
        <w:trPr>
          <w:trHeight w:val="300"/>
          <w:jc w:val="center"/>
        </w:trPr>
        <w:tc>
          <w:tcPr>
            <w:tcW w:w="2425" w:type="dxa"/>
            <w:noWrap/>
          </w:tcPr>
          <w:p w14:paraId="7E4EA36B" w14:textId="34F7A04C"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Ratios</w:t>
            </w:r>
          </w:p>
        </w:tc>
        <w:tc>
          <w:tcPr>
            <w:tcW w:w="960" w:type="dxa"/>
            <w:noWrap/>
          </w:tcPr>
          <w:p w14:paraId="29E038BB" w14:textId="1ACD59C8"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2019</w:t>
            </w:r>
          </w:p>
        </w:tc>
        <w:tc>
          <w:tcPr>
            <w:tcW w:w="960" w:type="dxa"/>
            <w:noWrap/>
          </w:tcPr>
          <w:p w14:paraId="19ED3753" w14:textId="52F9FCC9"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2018</w:t>
            </w:r>
          </w:p>
        </w:tc>
        <w:tc>
          <w:tcPr>
            <w:tcW w:w="960" w:type="dxa"/>
            <w:noWrap/>
          </w:tcPr>
          <w:p w14:paraId="3C703961" w14:textId="5B638E86"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2017</w:t>
            </w:r>
          </w:p>
        </w:tc>
        <w:tc>
          <w:tcPr>
            <w:tcW w:w="960" w:type="dxa"/>
            <w:noWrap/>
          </w:tcPr>
          <w:p w14:paraId="385609FE" w14:textId="155F8CEA"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2016</w:t>
            </w:r>
          </w:p>
        </w:tc>
        <w:tc>
          <w:tcPr>
            <w:tcW w:w="960" w:type="dxa"/>
            <w:noWrap/>
          </w:tcPr>
          <w:p w14:paraId="57CA2140" w14:textId="0DADA582" w:rsidR="00820015" w:rsidRPr="00B20F18" w:rsidRDefault="00820015" w:rsidP="00820015">
            <w:pPr>
              <w:spacing w:line="240" w:lineRule="auto"/>
              <w:jc w:val="center"/>
              <w:rPr>
                <w:rFonts w:ascii="Arial" w:eastAsia="Times New Roman" w:hAnsi="Arial" w:cs="Arial"/>
                <w:color w:val="000000"/>
                <w:szCs w:val="24"/>
                <w:lang w:eastAsia="en-GB"/>
              </w:rPr>
            </w:pPr>
            <w:r w:rsidRPr="00B20F18">
              <w:rPr>
                <w:rFonts w:ascii="Arial" w:eastAsia="Times New Roman" w:hAnsi="Arial" w:cs="Arial"/>
                <w:b/>
                <w:bCs/>
                <w:color w:val="000000"/>
                <w:szCs w:val="24"/>
                <w:lang w:eastAsia="en-GB"/>
              </w:rPr>
              <w:t>2015</w:t>
            </w:r>
          </w:p>
        </w:tc>
      </w:tr>
      <w:tr w:rsidR="00820015" w:rsidRPr="00B20F18" w14:paraId="5B2E063E" w14:textId="77777777" w:rsidTr="00820015">
        <w:trPr>
          <w:trHeight w:val="300"/>
          <w:jc w:val="center"/>
        </w:trPr>
        <w:tc>
          <w:tcPr>
            <w:tcW w:w="2425" w:type="dxa"/>
            <w:noWrap/>
            <w:hideMark/>
          </w:tcPr>
          <w:p w14:paraId="74A61E61"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Equity</w:t>
            </w:r>
          </w:p>
        </w:tc>
        <w:tc>
          <w:tcPr>
            <w:tcW w:w="960" w:type="dxa"/>
            <w:noWrap/>
            <w:hideMark/>
          </w:tcPr>
          <w:p w14:paraId="23E858D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39.09</w:t>
            </w:r>
          </w:p>
        </w:tc>
        <w:tc>
          <w:tcPr>
            <w:tcW w:w="960" w:type="dxa"/>
            <w:noWrap/>
            <w:hideMark/>
          </w:tcPr>
          <w:p w14:paraId="23A3FADB"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227.47</w:t>
            </w:r>
          </w:p>
        </w:tc>
        <w:tc>
          <w:tcPr>
            <w:tcW w:w="960" w:type="dxa"/>
            <w:noWrap/>
            <w:hideMark/>
          </w:tcPr>
          <w:p w14:paraId="64DB6E7C"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68.2</w:t>
            </w:r>
          </w:p>
        </w:tc>
        <w:tc>
          <w:tcPr>
            <w:tcW w:w="960" w:type="dxa"/>
            <w:noWrap/>
            <w:hideMark/>
          </w:tcPr>
          <w:p w14:paraId="512A7D76"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-216.31</w:t>
            </w:r>
          </w:p>
        </w:tc>
        <w:tc>
          <w:tcPr>
            <w:tcW w:w="960" w:type="dxa"/>
            <w:noWrap/>
            <w:hideMark/>
          </w:tcPr>
          <w:p w14:paraId="661BFFB7"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1.67</w:t>
            </w:r>
          </w:p>
        </w:tc>
      </w:tr>
      <w:tr w:rsidR="00820015" w:rsidRPr="00B20F18" w14:paraId="78575B72" w14:textId="77777777" w:rsidTr="00820015">
        <w:trPr>
          <w:trHeight w:val="300"/>
          <w:jc w:val="center"/>
        </w:trPr>
        <w:tc>
          <w:tcPr>
            <w:tcW w:w="2425" w:type="dxa"/>
            <w:noWrap/>
            <w:hideMark/>
          </w:tcPr>
          <w:p w14:paraId="0FB24E8B"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Assets</w:t>
            </w:r>
          </w:p>
        </w:tc>
        <w:tc>
          <w:tcPr>
            <w:tcW w:w="960" w:type="dxa"/>
            <w:noWrap/>
            <w:hideMark/>
          </w:tcPr>
          <w:p w14:paraId="467BF20D"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-4.06</w:t>
            </w:r>
          </w:p>
        </w:tc>
        <w:tc>
          <w:tcPr>
            <w:tcW w:w="960" w:type="dxa"/>
            <w:noWrap/>
            <w:hideMark/>
          </w:tcPr>
          <w:p w14:paraId="1C01C879"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-7.51</w:t>
            </w:r>
          </w:p>
        </w:tc>
        <w:tc>
          <w:tcPr>
            <w:tcW w:w="960" w:type="dxa"/>
            <w:noWrap/>
            <w:hideMark/>
          </w:tcPr>
          <w:p w14:paraId="0B748514"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14.02</w:t>
            </w:r>
          </w:p>
        </w:tc>
        <w:tc>
          <w:tcPr>
            <w:tcW w:w="960" w:type="dxa"/>
            <w:noWrap/>
            <w:hideMark/>
          </w:tcPr>
          <w:p w14:paraId="10220FCF"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-15.79</w:t>
            </w:r>
          </w:p>
        </w:tc>
        <w:tc>
          <w:tcPr>
            <w:tcW w:w="960" w:type="dxa"/>
            <w:noWrap/>
            <w:hideMark/>
          </w:tcPr>
          <w:p w14:paraId="05C52CE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0.38</w:t>
            </w:r>
          </w:p>
        </w:tc>
      </w:tr>
      <w:tr w:rsidR="00820015" w:rsidRPr="00B20F18" w14:paraId="5C3ED3E5" w14:textId="77777777" w:rsidTr="00820015">
        <w:trPr>
          <w:trHeight w:val="300"/>
          <w:jc w:val="center"/>
        </w:trPr>
        <w:tc>
          <w:tcPr>
            <w:tcW w:w="2425" w:type="dxa"/>
            <w:noWrap/>
            <w:hideMark/>
          </w:tcPr>
          <w:p w14:paraId="4A5C2EF5"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Return on Investment</w:t>
            </w:r>
          </w:p>
        </w:tc>
        <w:tc>
          <w:tcPr>
            <w:tcW w:w="960" w:type="dxa"/>
            <w:noWrap/>
            <w:hideMark/>
          </w:tcPr>
          <w:p w14:paraId="4D82414C"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-84.25</w:t>
            </w:r>
          </w:p>
        </w:tc>
        <w:tc>
          <w:tcPr>
            <w:tcW w:w="960" w:type="dxa"/>
            <w:noWrap/>
            <w:hideMark/>
          </w:tcPr>
          <w:p w14:paraId="190FE7B7"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-86.95</w:t>
            </w:r>
          </w:p>
        </w:tc>
        <w:tc>
          <w:tcPr>
            <w:tcW w:w="960" w:type="dxa"/>
            <w:noWrap/>
            <w:hideMark/>
          </w:tcPr>
          <w:p w14:paraId="1239089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43.94</w:t>
            </w:r>
          </w:p>
        </w:tc>
        <w:tc>
          <w:tcPr>
            <w:tcW w:w="960" w:type="dxa"/>
            <w:noWrap/>
            <w:hideMark/>
          </w:tcPr>
          <w:p w14:paraId="310A2ED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-79.85</w:t>
            </w:r>
          </w:p>
        </w:tc>
        <w:tc>
          <w:tcPr>
            <w:tcW w:w="960" w:type="dxa"/>
            <w:noWrap/>
            <w:hideMark/>
          </w:tcPr>
          <w:p w14:paraId="6EB2CBBC"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1.06</w:t>
            </w:r>
          </w:p>
        </w:tc>
      </w:tr>
    </w:tbl>
    <w:p w14:paraId="7443A364" w14:textId="77777777" w:rsidR="003E4F6F" w:rsidRPr="00B20F18" w:rsidRDefault="003E4F6F" w:rsidP="00820015">
      <w:pPr>
        <w:rPr>
          <w:rFonts w:ascii="Arial" w:hAnsi="Arial" w:cs="Arial"/>
          <w:lang w:eastAsia="en-GB"/>
        </w:rPr>
      </w:pPr>
    </w:p>
    <w:p w14:paraId="7153E7E8" w14:textId="61E02D76" w:rsidR="00820015" w:rsidRPr="00B20F18" w:rsidRDefault="002B0575" w:rsidP="00820015">
      <w:pPr>
        <w:rPr>
          <w:rFonts w:ascii="Arial" w:hAnsi="Arial" w:cs="Arial"/>
          <w:lang w:eastAsia="en-GB"/>
        </w:rPr>
      </w:pPr>
      <w:r w:rsidRPr="00B20F18">
        <w:rPr>
          <w:rFonts w:ascii="Arial" w:hAnsi="Arial" w:cs="Arial"/>
          <w:lang w:eastAsia="en-GB"/>
        </w:rPr>
        <w:t xml:space="preserve">The return-based profitability ratios always compare the </w:t>
      </w:r>
      <w:r w:rsidR="00B24035" w:rsidRPr="00B20F18">
        <w:rPr>
          <w:rFonts w:ascii="Arial" w:hAnsi="Arial" w:cs="Arial"/>
          <w:lang w:eastAsia="en-GB"/>
        </w:rPr>
        <w:t>net profit with respect to the equity, assets or total capital employed</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(Gibson and Frishkoff, 2019)</w:t>
      </w:r>
      <w:r w:rsidR="00B24035" w:rsidRPr="00B20F18">
        <w:rPr>
          <w:rFonts w:ascii="Arial" w:hAnsi="Arial" w:cs="Arial"/>
          <w:lang w:eastAsia="en-GB"/>
        </w:rPr>
        <w:t xml:space="preserve">. However, results of the return-based ratios provide a confusing result in the case of Rolls-Royce Holdings PLC. </w:t>
      </w:r>
    </w:p>
    <w:p w14:paraId="703CE4B3" w14:textId="77777777" w:rsidR="003E4F6F" w:rsidRPr="00B20F18" w:rsidRDefault="003E4F6F" w:rsidP="00820015">
      <w:pPr>
        <w:rPr>
          <w:rFonts w:ascii="Arial" w:hAnsi="Arial" w:cs="Arial"/>
          <w:lang w:eastAsia="en-GB"/>
        </w:rPr>
      </w:pPr>
    </w:p>
    <w:p w14:paraId="180025B6" w14:textId="4AFD9EC3" w:rsidR="00B24035" w:rsidRPr="00B20F18" w:rsidRDefault="00B24035" w:rsidP="00820015">
      <w:pPr>
        <w:rPr>
          <w:rFonts w:ascii="Arial" w:hAnsi="Arial" w:cs="Arial"/>
          <w:lang w:eastAsia="en-GB"/>
        </w:rPr>
      </w:pPr>
      <w:r w:rsidRPr="00B20F18">
        <w:rPr>
          <w:rFonts w:ascii="Arial" w:hAnsi="Arial" w:cs="Arial"/>
          <w:lang w:eastAsia="en-GB"/>
        </w:rPr>
        <w:lastRenderedPageBreak/>
        <w:t xml:space="preserve">The net profit is negative in 2019, 2018 and 2016. On the other hand, it is positive for the ended 2015 and 2017. However, since the returns or net profits are negative in the above-mentioned 3 years, its ratios should be negative as well. However, the return on equity is positive in 2019 </w:t>
      </w:r>
      <w:r w:rsidR="002C0B15" w:rsidRPr="00B20F18">
        <w:rPr>
          <w:rFonts w:ascii="Arial" w:hAnsi="Arial" w:cs="Arial"/>
          <w:lang w:eastAsia="en-GB"/>
        </w:rPr>
        <w:t>and</w:t>
      </w:r>
      <w:r w:rsidRPr="00B20F18">
        <w:rPr>
          <w:rFonts w:ascii="Arial" w:hAnsi="Arial" w:cs="Arial"/>
          <w:lang w:eastAsia="en-GB"/>
        </w:rPr>
        <w:t xml:space="preserve"> 2018 despite of negative return. </w:t>
      </w:r>
      <w:r w:rsidR="00B7745E" w:rsidRPr="00B20F18">
        <w:rPr>
          <w:rFonts w:ascii="Arial" w:hAnsi="Arial" w:cs="Arial"/>
          <w:lang w:eastAsia="en-GB"/>
        </w:rPr>
        <w:t xml:space="preserve">Further </w:t>
      </w:r>
      <w:proofErr w:type="spellStart"/>
      <w:r w:rsidR="00B7745E" w:rsidRPr="00B20F18">
        <w:rPr>
          <w:rFonts w:ascii="Arial" w:hAnsi="Arial" w:cs="Arial"/>
          <w:lang w:eastAsia="en-GB"/>
        </w:rPr>
        <w:t>scrutini</w:t>
      </w:r>
      <w:r w:rsidR="00085BEC" w:rsidRPr="00B20F18">
        <w:rPr>
          <w:rFonts w:ascii="Arial" w:hAnsi="Arial" w:cs="Arial"/>
          <w:lang w:eastAsia="en-GB"/>
        </w:rPr>
        <w:t>s</w:t>
      </w:r>
      <w:r w:rsidR="00B7745E" w:rsidRPr="00B20F18">
        <w:rPr>
          <w:rFonts w:ascii="Arial" w:hAnsi="Arial" w:cs="Arial"/>
          <w:lang w:eastAsia="en-GB"/>
        </w:rPr>
        <w:t>ation</w:t>
      </w:r>
      <w:proofErr w:type="spellEnd"/>
      <w:r w:rsidR="00B7745E" w:rsidRPr="00B20F18">
        <w:rPr>
          <w:rFonts w:ascii="Arial" w:hAnsi="Arial" w:cs="Arial"/>
          <w:lang w:eastAsia="en-GB"/>
        </w:rPr>
        <w:t xml:space="preserve"> suggests that, the equity figure in these 2 years </w:t>
      </w:r>
      <w:proofErr w:type="gramStart"/>
      <w:r w:rsidR="00B7745E" w:rsidRPr="00B20F18">
        <w:rPr>
          <w:rFonts w:ascii="Arial" w:hAnsi="Arial" w:cs="Arial"/>
          <w:lang w:eastAsia="en-GB"/>
        </w:rPr>
        <w:t>are</w:t>
      </w:r>
      <w:proofErr w:type="gramEnd"/>
      <w:r w:rsidR="00B7745E" w:rsidRPr="00B20F18">
        <w:rPr>
          <w:rFonts w:ascii="Arial" w:hAnsi="Arial" w:cs="Arial"/>
          <w:lang w:eastAsia="en-GB"/>
        </w:rPr>
        <w:t xml:space="preserve"> also negative due to negative reserve balances. As a result, due to having negative figures in the nominator and denominator, the results become positive at the end. </w:t>
      </w:r>
      <w:r w:rsidR="005D7ABE" w:rsidRPr="00B20F18">
        <w:rPr>
          <w:rFonts w:ascii="Arial" w:hAnsi="Arial" w:cs="Arial"/>
          <w:lang w:eastAsia="en-GB"/>
        </w:rPr>
        <w:t xml:space="preserve">In the other 3 years, the net profit figures are reflected accordingly. </w:t>
      </w:r>
    </w:p>
    <w:p w14:paraId="124FF0C4" w14:textId="77777777" w:rsidR="003E4F6F" w:rsidRPr="00B20F18" w:rsidRDefault="003E4F6F" w:rsidP="00820015">
      <w:pPr>
        <w:rPr>
          <w:rFonts w:ascii="Arial" w:hAnsi="Arial" w:cs="Arial"/>
          <w:lang w:eastAsia="en-GB"/>
        </w:rPr>
      </w:pPr>
    </w:p>
    <w:p w14:paraId="6F2196C6" w14:textId="1FD45411" w:rsidR="002F77B9" w:rsidRPr="00B20F18" w:rsidRDefault="00202240" w:rsidP="00202240">
      <w:pPr>
        <w:rPr>
          <w:rFonts w:ascii="Arial" w:hAnsi="Arial" w:cs="Arial"/>
          <w:lang w:eastAsia="en-GB"/>
        </w:rPr>
      </w:pPr>
      <w:r w:rsidRPr="00B20F18">
        <w:rPr>
          <w:rFonts w:ascii="Arial" w:hAnsi="Arial" w:cs="Arial"/>
          <w:lang w:eastAsia="en-GB"/>
        </w:rPr>
        <w:t>Return on assets</w:t>
      </w:r>
      <w:r w:rsidR="006A71D0" w:rsidRPr="00B20F18">
        <w:rPr>
          <w:rFonts w:ascii="Arial" w:hAnsi="Arial" w:cs="Arial"/>
          <w:lang w:eastAsia="en-GB"/>
        </w:rPr>
        <w:t xml:space="preserve"> involves the rate of return generated with the invested assets. The return on the asset is negative when the net profit is negative and vice versa</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(Wahlen, Baginski and Bradshaw, 2014)</w:t>
      </w:r>
      <w:r w:rsidR="006A71D0" w:rsidRPr="00B20F18">
        <w:rPr>
          <w:rFonts w:ascii="Arial" w:hAnsi="Arial" w:cs="Arial"/>
          <w:lang w:eastAsia="en-GB"/>
        </w:rPr>
        <w:t xml:space="preserve">. However, compared to negative return in 2016, Rolls-Royce Holdings PLC. was able to secure a positive 14% return on the assets in the following year which is very impressive. But due to negative </w:t>
      </w:r>
      <w:r w:rsidR="00C45B55" w:rsidRPr="00B20F18">
        <w:rPr>
          <w:rFonts w:ascii="Arial" w:hAnsi="Arial" w:cs="Arial"/>
          <w:lang w:eastAsia="en-GB"/>
        </w:rPr>
        <w:t xml:space="preserve">profit, </w:t>
      </w:r>
      <w:r w:rsidR="002F77B9" w:rsidRPr="00B20F18">
        <w:rPr>
          <w:rFonts w:ascii="Arial" w:hAnsi="Arial" w:cs="Arial"/>
          <w:lang w:eastAsia="en-GB"/>
        </w:rPr>
        <w:t xml:space="preserve">the returns on assets in the last 2 years become negative. </w:t>
      </w:r>
    </w:p>
    <w:p w14:paraId="2FA9C0E1" w14:textId="77777777" w:rsidR="003E4F6F" w:rsidRPr="00B20F18" w:rsidRDefault="003E4F6F" w:rsidP="00202240">
      <w:pPr>
        <w:rPr>
          <w:rFonts w:ascii="Arial" w:hAnsi="Arial" w:cs="Arial"/>
          <w:lang w:eastAsia="en-GB"/>
        </w:rPr>
      </w:pPr>
    </w:p>
    <w:p w14:paraId="57B02466" w14:textId="1E595421" w:rsidR="00202240" w:rsidRPr="00B20F18" w:rsidRDefault="002F77B9" w:rsidP="00202240">
      <w:pPr>
        <w:rPr>
          <w:rFonts w:ascii="Arial" w:hAnsi="Arial" w:cs="Arial"/>
          <w:lang w:eastAsia="en-GB"/>
        </w:rPr>
      </w:pPr>
      <w:r w:rsidRPr="00B20F18">
        <w:rPr>
          <w:rFonts w:ascii="Arial" w:hAnsi="Arial" w:cs="Arial"/>
          <w:lang w:eastAsia="en-GB"/>
        </w:rPr>
        <w:t xml:space="preserve">Like the return on assets, the return on investment also moves with the profit or loss. The results of return on investment over the period of 5 years shows very dramatic ups and downs, from negative to positive and to negative again. However, the negative figures in the last 2 years indicates that, with respect to huge new capital investment, the expected return was not good. However, the return from the new investment may not come immediately rather it may come in the later periods. </w:t>
      </w:r>
      <w:r w:rsidR="006A71D0" w:rsidRPr="00B20F18">
        <w:rPr>
          <w:rFonts w:ascii="Arial" w:hAnsi="Arial" w:cs="Arial"/>
          <w:lang w:eastAsia="en-GB"/>
        </w:rPr>
        <w:t xml:space="preserve"> </w:t>
      </w:r>
    </w:p>
    <w:p w14:paraId="63FD280A" w14:textId="77777777" w:rsidR="003E4F6F" w:rsidRPr="00B20F18" w:rsidRDefault="003E4F6F" w:rsidP="00202240">
      <w:pPr>
        <w:rPr>
          <w:rFonts w:ascii="Arial" w:hAnsi="Arial" w:cs="Arial"/>
          <w:lang w:eastAsia="en-GB"/>
        </w:rPr>
      </w:pPr>
    </w:p>
    <w:p w14:paraId="2D112323" w14:textId="173B638E" w:rsidR="00820015" w:rsidRPr="00B20F18" w:rsidRDefault="00820015" w:rsidP="003E4F6F">
      <w:pPr>
        <w:pStyle w:val="Heading3"/>
        <w:rPr>
          <w:rFonts w:ascii="Arial" w:hAnsi="Arial" w:cs="Arial"/>
        </w:rPr>
      </w:pPr>
      <w:bookmarkStart w:id="14" w:name="_Toc61434490"/>
      <w:r w:rsidRPr="00B20F18">
        <w:rPr>
          <w:rFonts w:ascii="Arial" w:hAnsi="Arial" w:cs="Arial"/>
        </w:rPr>
        <w:t>Liquidity ratios</w:t>
      </w:r>
      <w:bookmarkEnd w:id="14"/>
    </w:p>
    <w:p w14:paraId="057DD374" w14:textId="14EF0F14" w:rsidR="00820015" w:rsidRPr="00B20F18" w:rsidRDefault="00274795" w:rsidP="00820015">
      <w:pPr>
        <w:rPr>
          <w:rFonts w:ascii="Arial" w:hAnsi="Arial" w:cs="Arial"/>
          <w:lang w:eastAsia="en-GB"/>
        </w:rPr>
      </w:pPr>
      <w:r w:rsidRPr="00B20F18">
        <w:rPr>
          <w:rFonts w:ascii="Arial" w:hAnsi="Arial" w:cs="Arial"/>
          <w:lang w:eastAsia="en-GB"/>
        </w:rPr>
        <w:t>The results from the liquidity ratio are depicted below for explanation</w:t>
      </w:r>
      <w:r w:rsidR="003E4F6F" w:rsidRPr="00B20F18">
        <w:rPr>
          <w:rFonts w:ascii="Arial" w:hAnsi="Arial" w:cs="Arial"/>
          <w:lang w:eastAsia="en-GB"/>
        </w:rPr>
        <w:t>:</w:t>
      </w:r>
    </w:p>
    <w:tbl>
      <w:tblPr>
        <w:tblStyle w:val="TableGrid"/>
        <w:tblW w:w="6775" w:type="dxa"/>
        <w:jc w:val="center"/>
        <w:tblLook w:val="04A0" w:firstRow="1" w:lastRow="0" w:firstColumn="1" w:lastColumn="0" w:noHBand="0" w:noVBand="1"/>
      </w:tblPr>
      <w:tblGrid>
        <w:gridCol w:w="1975"/>
        <w:gridCol w:w="960"/>
        <w:gridCol w:w="960"/>
        <w:gridCol w:w="960"/>
        <w:gridCol w:w="960"/>
        <w:gridCol w:w="960"/>
      </w:tblGrid>
      <w:tr w:rsidR="00820015" w:rsidRPr="00B20F18" w14:paraId="647E260E" w14:textId="77777777" w:rsidTr="00820015">
        <w:trPr>
          <w:trHeight w:val="300"/>
          <w:jc w:val="center"/>
        </w:trPr>
        <w:tc>
          <w:tcPr>
            <w:tcW w:w="1975" w:type="dxa"/>
            <w:noWrap/>
            <w:hideMark/>
          </w:tcPr>
          <w:p w14:paraId="4725C588" w14:textId="77777777" w:rsidR="00820015" w:rsidRPr="00B20F18" w:rsidRDefault="00820015" w:rsidP="00820015">
            <w:pPr>
              <w:spacing w:line="240" w:lineRule="auto"/>
              <w:jc w:val="lef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0F17DBAF"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215383EB"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1BF8A2D1"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2C8AFA9A"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6ABCB524"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820015" w:rsidRPr="00B20F18" w14:paraId="50EA82B1" w14:textId="77777777" w:rsidTr="00820015">
        <w:trPr>
          <w:trHeight w:val="300"/>
          <w:jc w:val="center"/>
        </w:trPr>
        <w:tc>
          <w:tcPr>
            <w:tcW w:w="1975" w:type="dxa"/>
            <w:noWrap/>
            <w:hideMark/>
          </w:tcPr>
          <w:p w14:paraId="5686CA37"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Current Ratio</w:t>
            </w:r>
          </w:p>
        </w:tc>
        <w:tc>
          <w:tcPr>
            <w:tcW w:w="960" w:type="dxa"/>
            <w:noWrap/>
            <w:hideMark/>
          </w:tcPr>
          <w:p w14:paraId="0C0885BD"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1.07</w:t>
            </w:r>
          </w:p>
        </w:tc>
        <w:tc>
          <w:tcPr>
            <w:tcW w:w="960" w:type="dxa"/>
            <w:noWrap/>
            <w:hideMark/>
          </w:tcPr>
          <w:p w14:paraId="3DFF4A66"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1.13</w:t>
            </w:r>
          </w:p>
        </w:tc>
        <w:tc>
          <w:tcPr>
            <w:tcW w:w="960" w:type="dxa"/>
            <w:noWrap/>
            <w:hideMark/>
          </w:tcPr>
          <w:p w14:paraId="05D6016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1.33</w:t>
            </w:r>
          </w:p>
        </w:tc>
        <w:tc>
          <w:tcPr>
            <w:tcW w:w="960" w:type="dxa"/>
            <w:noWrap/>
            <w:hideMark/>
          </w:tcPr>
          <w:p w14:paraId="7DFF7CF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1.34</w:t>
            </w:r>
          </w:p>
        </w:tc>
        <w:tc>
          <w:tcPr>
            <w:tcW w:w="960" w:type="dxa"/>
            <w:noWrap/>
            <w:hideMark/>
          </w:tcPr>
          <w:p w14:paraId="4D6904D0"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1.48</w:t>
            </w:r>
          </w:p>
        </w:tc>
      </w:tr>
      <w:tr w:rsidR="00820015" w:rsidRPr="00B20F18" w14:paraId="66BAAE51" w14:textId="77777777" w:rsidTr="00820015">
        <w:trPr>
          <w:trHeight w:val="300"/>
          <w:jc w:val="center"/>
        </w:trPr>
        <w:tc>
          <w:tcPr>
            <w:tcW w:w="1975" w:type="dxa"/>
            <w:noWrap/>
            <w:hideMark/>
          </w:tcPr>
          <w:p w14:paraId="4FA4A60E"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Quick Ratio</w:t>
            </w:r>
          </w:p>
        </w:tc>
        <w:tc>
          <w:tcPr>
            <w:tcW w:w="960" w:type="dxa"/>
            <w:noWrap/>
            <w:hideMark/>
          </w:tcPr>
          <w:p w14:paraId="7A83342F"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0.78</w:t>
            </w:r>
          </w:p>
        </w:tc>
        <w:tc>
          <w:tcPr>
            <w:tcW w:w="960" w:type="dxa"/>
            <w:noWrap/>
            <w:hideMark/>
          </w:tcPr>
          <w:p w14:paraId="1675EBC2"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0.77</w:t>
            </w:r>
          </w:p>
        </w:tc>
        <w:tc>
          <w:tcPr>
            <w:tcW w:w="960" w:type="dxa"/>
            <w:noWrap/>
            <w:hideMark/>
          </w:tcPr>
          <w:p w14:paraId="44E22E8B"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0.75</w:t>
            </w:r>
          </w:p>
        </w:tc>
        <w:tc>
          <w:tcPr>
            <w:tcW w:w="960" w:type="dxa"/>
            <w:noWrap/>
            <w:hideMark/>
          </w:tcPr>
          <w:p w14:paraId="342065C3"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1.02</w:t>
            </w:r>
          </w:p>
        </w:tc>
        <w:tc>
          <w:tcPr>
            <w:tcW w:w="960" w:type="dxa"/>
            <w:noWrap/>
            <w:hideMark/>
          </w:tcPr>
          <w:p w14:paraId="59ECA675"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1.16</w:t>
            </w:r>
          </w:p>
        </w:tc>
      </w:tr>
    </w:tbl>
    <w:p w14:paraId="62EC3D3F" w14:textId="77777777" w:rsidR="003E4F6F" w:rsidRPr="00B20F18" w:rsidRDefault="003E4F6F" w:rsidP="009B7BB6">
      <w:pPr>
        <w:rPr>
          <w:rFonts w:ascii="Arial" w:hAnsi="Arial" w:cs="Arial"/>
          <w:lang w:eastAsia="en-GB"/>
        </w:rPr>
      </w:pPr>
    </w:p>
    <w:p w14:paraId="22BE5522" w14:textId="1BF67E5E" w:rsidR="00820015" w:rsidRPr="00B20F18" w:rsidRDefault="00274795" w:rsidP="009B7BB6">
      <w:pPr>
        <w:rPr>
          <w:rFonts w:ascii="Arial" w:hAnsi="Arial" w:cs="Arial"/>
          <w:lang w:eastAsia="en-GB"/>
        </w:rPr>
      </w:pPr>
      <w:r w:rsidRPr="00B20F18">
        <w:rPr>
          <w:rFonts w:ascii="Arial" w:hAnsi="Arial" w:cs="Arial"/>
          <w:lang w:eastAsia="en-GB"/>
        </w:rPr>
        <w:t xml:space="preserve">Two common ratios of liquidity measurement- current ratio and quick ratio have been calculated. The results show that, unlike the profitability ratios, the liquidity ratios are </w:t>
      </w:r>
      <w:r w:rsidRPr="00B20F18">
        <w:rPr>
          <w:rFonts w:ascii="Arial" w:hAnsi="Arial" w:cs="Arial"/>
          <w:lang w:eastAsia="en-GB"/>
        </w:rPr>
        <w:lastRenderedPageBreak/>
        <w:t xml:space="preserve">consistent over the periods. These indicate that, </w:t>
      </w:r>
      <w:r w:rsidR="002F37AE" w:rsidRPr="00B20F18">
        <w:rPr>
          <w:rFonts w:ascii="Arial" w:hAnsi="Arial" w:cs="Arial"/>
          <w:lang w:eastAsia="en-GB"/>
        </w:rPr>
        <w:t>there were not huge deviation in the</w:t>
      </w:r>
      <w:r w:rsidRPr="00B20F18">
        <w:rPr>
          <w:rFonts w:ascii="Arial" w:hAnsi="Arial" w:cs="Arial"/>
          <w:lang w:eastAsia="en-GB"/>
        </w:rPr>
        <w:t xml:space="preserve"> current assets and current liabilities</w:t>
      </w:r>
      <w:r w:rsidR="002F37AE" w:rsidRPr="00B20F18">
        <w:rPr>
          <w:rFonts w:ascii="Arial" w:hAnsi="Arial" w:cs="Arial"/>
          <w:lang w:eastAsia="en-GB"/>
        </w:rPr>
        <w:t xml:space="preserve"> over the considered periods. </w:t>
      </w:r>
      <w:r w:rsidR="00DF6BB3" w:rsidRPr="00B20F18">
        <w:rPr>
          <w:rFonts w:ascii="Arial" w:hAnsi="Arial" w:cs="Arial"/>
          <w:lang w:eastAsia="en-GB"/>
        </w:rPr>
        <w:t xml:space="preserve">Though the current ratio decreased gradually, </w:t>
      </w:r>
      <w:r w:rsidR="005773AC" w:rsidRPr="00B20F18">
        <w:rPr>
          <w:rFonts w:ascii="Arial" w:hAnsi="Arial" w:cs="Arial"/>
          <w:lang w:eastAsia="en-GB"/>
        </w:rPr>
        <w:t xml:space="preserve">Rolls-Royce Holdings PLC. is perfectly able to maintain its required liquidity position. </w:t>
      </w:r>
      <w:r w:rsidRPr="00B20F18">
        <w:rPr>
          <w:rFonts w:ascii="Arial" w:hAnsi="Arial" w:cs="Arial"/>
          <w:lang w:eastAsia="en-GB"/>
        </w:rPr>
        <w:t xml:space="preserve"> </w:t>
      </w:r>
      <w:r w:rsidR="00820015" w:rsidRPr="00B20F18">
        <w:rPr>
          <w:rFonts w:ascii="Arial" w:hAnsi="Arial" w:cs="Arial"/>
          <w:lang w:eastAsia="en-GB"/>
        </w:rPr>
        <w:t xml:space="preserve"> </w:t>
      </w:r>
    </w:p>
    <w:p w14:paraId="5A5AA5E0" w14:textId="77777777" w:rsidR="003E4F6F" w:rsidRPr="00B20F18" w:rsidRDefault="003E4F6F" w:rsidP="009B7BB6">
      <w:pPr>
        <w:rPr>
          <w:rFonts w:ascii="Arial" w:hAnsi="Arial" w:cs="Arial"/>
          <w:lang w:eastAsia="en-GB"/>
        </w:rPr>
      </w:pPr>
    </w:p>
    <w:p w14:paraId="7AD4CEEB" w14:textId="77777777" w:rsidR="00820015" w:rsidRPr="00B20F18" w:rsidRDefault="00820015" w:rsidP="003E4F6F">
      <w:pPr>
        <w:pStyle w:val="Heading3"/>
        <w:rPr>
          <w:rFonts w:ascii="Arial" w:hAnsi="Arial" w:cs="Arial"/>
        </w:rPr>
      </w:pPr>
      <w:bookmarkStart w:id="15" w:name="_Toc61434491"/>
      <w:r w:rsidRPr="00B20F18">
        <w:rPr>
          <w:rFonts w:ascii="Arial" w:hAnsi="Arial" w:cs="Arial"/>
        </w:rPr>
        <w:t>Gearing ratios</w:t>
      </w:r>
      <w:bookmarkEnd w:id="15"/>
    </w:p>
    <w:p w14:paraId="5112F7D8" w14:textId="7C8FFCBE" w:rsidR="00820015" w:rsidRPr="00B20F18" w:rsidRDefault="00AA7661" w:rsidP="00820015">
      <w:pPr>
        <w:rPr>
          <w:rFonts w:ascii="Arial" w:hAnsi="Arial" w:cs="Arial"/>
          <w:lang w:eastAsia="en-GB"/>
        </w:rPr>
      </w:pPr>
      <w:r w:rsidRPr="00B20F18">
        <w:rPr>
          <w:rFonts w:ascii="Arial" w:hAnsi="Arial" w:cs="Arial"/>
          <w:lang w:eastAsia="en-GB"/>
        </w:rPr>
        <w:t xml:space="preserve">The capital </w:t>
      </w:r>
      <w:r w:rsidR="0067735A" w:rsidRPr="00B20F18">
        <w:rPr>
          <w:rFonts w:ascii="Arial" w:hAnsi="Arial" w:cs="Arial"/>
          <w:lang w:eastAsia="en-GB"/>
        </w:rPr>
        <w:t xml:space="preserve">structure of the organisation </w:t>
      </w:r>
      <w:r w:rsidR="00C115FC" w:rsidRPr="00B20F18">
        <w:rPr>
          <w:rFonts w:ascii="Arial" w:hAnsi="Arial" w:cs="Arial"/>
          <w:lang w:eastAsia="en-GB"/>
        </w:rPr>
        <w:t>plays</w:t>
      </w:r>
      <w:r w:rsidR="0067735A" w:rsidRPr="00B20F18">
        <w:rPr>
          <w:rFonts w:ascii="Arial" w:hAnsi="Arial" w:cs="Arial"/>
          <w:lang w:eastAsia="en-GB"/>
        </w:rPr>
        <w:t xml:space="preserve"> a very crucial </w:t>
      </w:r>
      <w:r w:rsidR="00C115FC" w:rsidRPr="00B20F18">
        <w:rPr>
          <w:rFonts w:ascii="Arial" w:hAnsi="Arial" w:cs="Arial"/>
          <w:lang w:eastAsia="en-GB"/>
        </w:rPr>
        <w:t xml:space="preserve">role in the financial performance and different metrics. </w:t>
      </w:r>
      <w:r w:rsidR="00CA7525" w:rsidRPr="00B20F18">
        <w:rPr>
          <w:rFonts w:ascii="Arial" w:hAnsi="Arial" w:cs="Arial"/>
          <w:lang w:eastAsia="en-GB"/>
        </w:rPr>
        <w:t xml:space="preserve">There are different advantage and disadvantages of </w:t>
      </w:r>
      <w:r w:rsidR="008F001F" w:rsidRPr="00B20F18">
        <w:rPr>
          <w:rFonts w:ascii="Arial" w:hAnsi="Arial" w:cs="Arial"/>
          <w:lang w:eastAsia="en-GB"/>
        </w:rPr>
        <w:t xml:space="preserve">the debt and equity in the </w:t>
      </w:r>
      <w:r w:rsidR="00E8455A" w:rsidRPr="00B20F18">
        <w:rPr>
          <w:rFonts w:ascii="Arial" w:hAnsi="Arial" w:cs="Arial"/>
          <w:lang w:eastAsia="en-GB"/>
        </w:rPr>
        <w:t>capital</w:t>
      </w:r>
      <w:r w:rsidR="008F001F" w:rsidRPr="00B20F18">
        <w:rPr>
          <w:rFonts w:ascii="Arial" w:hAnsi="Arial" w:cs="Arial"/>
          <w:lang w:eastAsia="en-GB"/>
        </w:rPr>
        <w:t xml:space="preserve"> structure of the organisation.</w:t>
      </w:r>
      <w:r w:rsidR="004E15F9" w:rsidRPr="00B20F18">
        <w:rPr>
          <w:rFonts w:ascii="Arial" w:hAnsi="Arial" w:cs="Arial"/>
          <w:lang w:eastAsia="en-GB"/>
        </w:rPr>
        <w:t xml:space="preserve"> The higher the debt to equity ratio, the lower the weighted average cost of capital</w:t>
      </w:r>
      <w:r w:rsidR="00610C33" w:rsidRPr="00B20F18">
        <w:rPr>
          <w:rFonts w:ascii="Arial" w:hAnsi="Arial" w:cs="Arial"/>
          <w:lang w:eastAsia="en-GB"/>
        </w:rPr>
        <w:t xml:space="preserve"> (</w:t>
      </w:r>
      <w:r w:rsidR="00610C33" w:rsidRPr="00B20F18">
        <w:rPr>
          <w:rFonts w:ascii="Arial" w:eastAsia="Times New Roman" w:hAnsi="Arial" w:cs="Arial"/>
          <w:szCs w:val="24"/>
          <w:lang w:eastAsia="en-GB"/>
        </w:rPr>
        <w:t>Subramanyam, 2014)</w:t>
      </w:r>
      <w:r w:rsidR="004E15F9" w:rsidRPr="00B20F18">
        <w:rPr>
          <w:rFonts w:ascii="Arial" w:hAnsi="Arial" w:cs="Arial"/>
          <w:lang w:eastAsia="en-GB"/>
        </w:rPr>
        <w:t xml:space="preserve">. </w:t>
      </w:r>
      <w:r w:rsidR="00C4515C" w:rsidRPr="00B20F18">
        <w:rPr>
          <w:rFonts w:ascii="Arial" w:hAnsi="Arial" w:cs="Arial"/>
          <w:lang w:eastAsia="en-GB"/>
        </w:rPr>
        <w:t xml:space="preserve">On the other hand, the excessive amount of debt may increase the risk of the bankruptcy. However, the debt to equity ratio has been decreased over the periods. </w:t>
      </w:r>
      <w:r w:rsidR="00986519" w:rsidRPr="00B20F18">
        <w:rPr>
          <w:rFonts w:ascii="Arial" w:hAnsi="Arial" w:cs="Arial"/>
          <w:lang w:eastAsia="en-GB"/>
        </w:rPr>
        <w:t xml:space="preserve">But in 2018 and 2019, the </w:t>
      </w:r>
      <w:r w:rsidR="003E4F6F" w:rsidRPr="00B20F18">
        <w:rPr>
          <w:rFonts w:ascii="Arial" w:hAnsi="Arial" w:cs="Arial"/>
          <w:lang w:eastAsia="en-GB"/>
        </w:rPr>
        <w:t>debt-to-equity</w:t>
      </w:r>
      <w:r w:rsidR="00986519" w:rsidRPr="00B20F18">
        <w:rPr>
          <w:rFonts w:ascii="Arial" w:hAnsi="Arial" w:cs="Arial"/>
          <w:lang w:eastAsia="en-GB"/>
        </w:rPr>
        <w:t xml:space="preserve"> ratio becomes negative because of negative reserve in the equity portion of the statement of the financial performance. </w:t>
      </w:r>
    </w:p>
    <w:p w14:paraId="5B094B06" w14:textId="77777777" w:rsidR="003E4F6F" w:rsidRPr="00B20F18" w:rsidRDefault="003E4F6F" w:rsidP="00820015">
      <w:pPr>
        <w:rPr>
          <w:rFonts w:ascii="Arial" w:hAnsi="Arial" w:cs="Arial"/>
          <w:lang w:eastAsia="en-GB"/>
        </w:rPr>
      </w:pPr>
    </w:p>
    <w:tbl>
      <w:tblPr>
        <w:tblStyle w:val="TableGrid"/>
        <w:tblW w:w="7495" w:type="dxa"/>
        <w:jc w:val="center"/>
        <w:tblLook w:val="04A0" w:firstRow="1" w:lastRow="0" w:firstColumn="1" w:lastColumn="0" w:noHBand="0" w:noVBand="1"/>
      </w:tblPr>
      <w:tblGrid>
        <w:gridCol w:w="2695"/>
        <w:gridCol w:w="960"/>
        <w:gridCol w:w="960"/>
        <w:gridCol w:w="960"/>
        <w:gridCol w:w="960"/>
        <w:gridCol w:w="960"/>
      </w:tblGrid>
      <w:tr w:rsidR="00820015" w:rsidRPr="00B20F18" w14:paraId="298383EC" w14:textId="77777777" w:rsidTr="00820015">
        <w:trPr>
          <w:trHeight w:val="300"/>
          <w:jc w:val="center"/>
        </w:trPr>
        <w:tc>
          <w:tcPr>
            <w:tcW w:w="2695" w:type="dxa"/>
            <w:noWrap/>
            <w:hideMark/>
          </w:tcPr>
          <w:p w14:paraId="5FBAF7A7" w14:textId="77777777" w:rsidR="00820015" w:rsidRPr="00B20F18" w:rsidRDefault="00820015" w:rsidP="00820015">
            <w:pPr>
              <w:spacing w:line="240" w:lineRule="auto"/>
              <w:jc w:val="lef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noWrap/>
            <w:hideMark/>
          </w:tcPr>
          <w:p w14:paraId="22BBA7DF"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noWrap/>
            <w:hideMark/>
          </w:tcPr>
          <w:p w14:paraId="1423E690"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noWrap/>
            <w:hideMark/>
          </w:tcPr>
          <w:p w14:paraId="4050DFE7"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noWrap/>
            <w:hideMark/>
          </w:tcPr>
          <w:p w14:paraId="79AA8698"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noWrap/>
            <w:hideMark/>
          </w:tcPr>
          <w:p w14:paraId="1DFA61B8" w14:textId="77777777" w:rsidR="00820015" w:rsidRPr="00B20F18" w:rsidRDefault="00820015" w:rsidP="00820015">
            <w:pPr>
              <w:spacing w:line="240" w:lineRule="auto"/>
              <w:jc w:val="right"/>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820015" w:rsidRPr="00B20F18" w14:paraId="7ABDA884" w14:textId="77777777" w:rsidTr="00820015">
        <w:trPr>
          <w:trHeight w:val="300"/>
          <w:jc w:val="center"/>
        </w:trPr>
        <w:tc>
          <w:tcPr>
            <w:tcW w:w="2695" w:type="dxa"/>
            <w:noWrap/>
            <w:hideMark/>
          </w:tcPr>
          <w:p w14:paraId="3568B16D"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Debt / Equity Ratio</w:t>
            </w:r>
          </w:p>
        </w:tc>
        <w:tc>
          <w:tcPr>
            <w:tcW w:w="960" w:type="dxa"/>
            <w:noWrap/>
            <w:hideMark/>
          </w:tcPr>
          <w:p w14:paraId="0C6B8163"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-1.69</w:t>
            </w:r>
          </w:p>
        </w:tc>
        <w:tc>
          <w:tcPr>
            <w:tcW w:w="960" w:type="dxa"/>
            <w:noWrap/>
            <w:hideMark/>
          </w:tcPr>
          <w:p w14:paraId="134F5DD4"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-4.43</w:t>
            </w:r>
          </w:p>
        </w:tc>
        <w:tc>
          <w:tcPr>
            <w:tcW w:w="960" w:type="dxa"/>
            <w:noWrap/>
            <w:hideMark/>
          </w:tcPr>
          <w:p w14:paraId="66CF3D98"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0.56</w:t>
            </w:r>
          </w:p>
        </w:tc>
        <w:tc>
          <w:tcPr>
            <w:tcW w:w="960" w:type="dxa"/>
            <w:noWrap/>
            <w:hideMark/>
          </w:tcPr>
          <w:p w14:paraId="377AD72C"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1.8</w:t>
            </w:r>
          </w:p>
        </w:tc>
        <w:tc>
          <w:tcPr>
            <w:tcW w:w="960" w:type="dxa"/>
            <w:noWrap/>
            <w:hideMark/>
          </w:tcPr>
          <w:p w14:paraId="7E9D7C7C"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0.65</w:t>
            </w:r>
          </w:p>
        </w:tc>
      </w:tr>
      <w:tr w:rsidR="00820015" w:rsidRPr="00B20F18" w14:paraId="0997F01B" w14:textId="77777777" w:rsidTr="00820015">
        <w:trPr>
          <w:trHeight w:val="300"/>
          <w:jc w:val="center"/>
        </w:trPr>
        <w:tc>
          <w:tcPr>
            <w:tcW w:w="2695" w:type="dxa"/>
            <w:noWrap/>
            <w:hideMark/>
          </w:tcPr>
          <w:p w14:paraId="58F6B960" w14:textId="77777777" w:rsidR="00820015" w:rsidRPr="00B20F18" w:rsidRDefault="00820015" w:rsidP="00820015">
            <w:pPr>
              <w:spacing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Long-term Debt / Capital</w:t>
            </w:r>
          </w:p>
        </w:tc>
        <w:tc>
          <w:tcPr>
            <w:tcW w:w="960" w:type="dxa"/>
            <w:noWrap/>
            <w:hideMark/>
          </w:tcPr>
          <w:p w14:paraId="0C328799"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3.16</w:t>
            </w:r>
          </w:p>
        </w:tc>
        <w:tc>
          <w:tcPr>
            <w:tcW w:w="960" w:type="dxa"/>
            <w:noWrap/>
            <w:hideMark/>
          </w:tcPr>
          <w:p w14:paraId="0988A565"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1.38</w:t>
            </w:r>
          </w:p>
        </w:tc>
        <w:tc>
          <w:tcPr>
            <w:tcW w:w="960" w:type="dxa"/>
            <w:noWrap/>
            <w:hideMark/>
          </w:tcPr>
          <w:p w14:paraId="5A3DB8A1"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0.36</w:t>
            </w:r>
          </w:p>
        </w:tc>
        <w:tc>
          <w:tcPr>
            <w:tcW w:w="960" w:type="dxa"/>
            <w:noWrap/>
            <w:hideMark/>
          </w:tcPr>
          <w:p w14:paraId="0CE0E763"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0.63</w:t>
            </w:r>
          </w:p>
        </w:tc>
        <w:tc>
          <w:tcPr>
            <w:tcW w:w="960" w:type="dxa"/>
            <w:noWrap/>
            <w:hideMark/>
          </w:tcPr>
          <w:p w14:paraId="2B196DD9" w14:textId="77777777" w:rsidR="00820015" w:rsidRPr="00B20F18" w:rsidRDefault="00820015" w:rsidP="00820015">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0.37</w:t>
            </w:r>
          </w:p>
        </w:tc>
      </w:tr>
    </w:tbl>
    <w:p w14:paraId="7284A434" w14:textId="77777777" w:rsidR="003E4F6F" w:rsidRPr="00B20F18" w:rsidRDefault="003E4F6F" w:rsidP="00820015">
      <w:pPr>
        <w:rPr>
          <w:rFonts w:ascii="Arial" w:hAnsi="Arial" w:cs="Arial"/>
          <w:lang w:eastAsia="en-GB"/>
        </w:rPr>
      </w:pPr>
    </w:p>
    <w:p w14:paraId="3C7C1518" w14:textId="2598D087" w:rsidR="00ED230E" w:rsidRPr="00B20F18" w:rsidRDefault="00ED230E" w:rsidP="00820015">
      <w:pPr>
        <w:rPr>
          <w:rFonts w:ascii="Arial" w:hAnsi="Arial" w:cs="Arial"/>
          <w:lang w:eastAsia="en-GB"/>
        </w:rPr>
      </w:pPr>
      <w:r w:rsidRPr="00B20F18">
        <w:rPr>
          <w:rFonts w:ascii="Arial" w:hAnsi="Arial" w:cs="Arial"/>
          <w:lang w:eastAsia="en-GB"/>
        </w:rPr>
        <w:t xml:space="preserve">In terms of long-term debt to capital ratio, it is observed that, this ratio has been increased significantly in the recent 2 years, particularly in the last year due to new borrowing of the funds. </w:t>
      </w:r>
    </w:p>
    <w:p w14:paraId="3C94B214" w14:textId="77777777" w:rsidR="003E4F6F" w:rsidRPr="00B20F18" w:rsidRDefault="003E4F6F" w:rsidP="00820015">
      <w:pPr>
        <w:rPr>
          <w:rFonts w:ascii="Arial" w:hAnsi="Arial" w:cs="Arial"/>
          <w:lang w:eastAsia="en-GB"/>
        </w:rPr>
      </w:pPr>
    </w:p>
    <w:p w14:paraId="338C37F7" w14:textId="77777777" w:rsidR="00820015" w:rsidRPr="00B20F18" w:rsidRDefault="00820015" w:rsidP="003E4F6F">
      <w:pPr>
        <w:pStyle w:val="Heading3"/>
        <w:rPr>
          <w:rFonts w:ascii="Arial" w:hAnsi="Arial" w:cs="Arial"/>
        </w:rPr>
      </w:pPr>
      <w:bookmarkStart w:id="16" w:name="_Toc61434492"/>
      <w:r w:rsidRPr="00B20F18">
        <w:rPr>
          <w:rFonts w:ascii="Arial" w:hAnsi="Arial" w:cs="Arial"/>
        </w:rPr>
        <w:t>Efficiency ratios</w:t>
      </w:r>
      <w:bookmarkEnd w:id="16"/>
      <w:r w:rsidRPr="00B20F18">
        <w:rPr>
          <w:rFonts w:ascii="Arial" w:hAnsi="Arial" w:cs="Arial"/>
        </w:rPr>
        <w:t xml:space="preserve"> </w:t>
      </w:r>
    </w:p>
    <w:p w14:paraId="254BCD7B" w14:textId="032B131E" w:rsidR="00820015" w:rsidRPr="00B20F18" w:rsidRDefault="00DF316B" w:rsidP="00820015">
      <w:pPr>
        <w:rPr>
          <w:rFonts w:ascii="Arial" w:hAnsi="Arial" w:cs="Arial"/>
          <w:lang w:eastAsia="en-GB"/>
        </w:rPr>
      </w:pPr>
      <w:r w:rsidRPr="00B20F18">
        <w:rPr>
          <w:rFonts w:ascii="Arial" w:hAnsi="Arial" w:cs="Arial"/>
          <w:lang w:eastAsia="en-GB"/>
        </w:rPr>
        <w:t>From the perspective of Rolls-Royce Holdings PLC., three efficiency ratios have been calculated including the assets turnover, inventory turnover and receivable turnover</w:t>
      </w:r>
      <w:r w:rsidR="002A1775" w:rsidRPr="00B20F18">
        <w:rPr>
          <w:rFonts w:ascii="Arial" w:hAnsi="Arial" w:cs="Arial"/>
          <w:lang w:eastAsia="en-GB"/>
        </w:rPr>
        <w:t xml:space="preserve"> and the results are as follows</w:t>
      </w:r>
      <w:r w:rsidR="003E4F6F" w:rsidRPr="00B20F18">
        <w:rPr>
          <w:rFonts w:ascii="Arial" w:hAnsi="Arial" w:cs="Arial"/>
          <w:lang w:eastAsia="en-GB"/>
        </w:rPr>
        <w:t>:</w:t>
      </w:r>
    </w:p>
    <w:p w14:paraId="2689097E" w14:textId="77777777" w:rsidR="003E4F6F" w:rsidRPr="00B20F18" w:rsidRDefault="003E4F6F" w:rsidP="00820015">
      <w:pPr>
        <w:rPr>
          <w:rFonts w:ascii="Arial" w:hAnsi="Arial" w:cs="Arial"/>
          <w:lang w:eastAsia="en-GB"/>
        </w:rPr>
      </w:pPr>
    </w:p>
    <w:tbl>
      <w:tblPr>
        <w:tblW w:w="7675" w:type="dxa"/>
        <w:jc w:val="center"/>
        <w:tblLook w:val="04A0" w:firstRow="1" w:lastRow="0" w:firstColumn="1" w:lastColumn="0" w:noHBand="0" w:noVBand="1"/>
      </w:tblPr>
      <w:tblGrid>
        <w:gridCol w:w="2875"/>
        <w:gridCol w:w="960"/>
        <w:gridCol w:w="960"/>
        <w:gridCol w:w="960"/>
        <w:gridCol w:w="960"/>
        <w:gridCol w:w="960"/>
      </w:tblGrid>
      <w:tr w:rsidR="00820015" w:rsidRPr="00B20F18" w14:paraId="16EE06C5" w14:textId="77777777" w:rsidTr="00820015">
        <w:trPr>
          <w:trHeight w:val="315"/>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16BDD9" w14:textId="77777777" w:rsidR="00820015" w:rsidRPr="00B20F18" w:rsidRDefault="00820015" w:rsidP="00820015">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Ratios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7E29B0" w14:textId="77777777" w:rsidR="00820015" w:rsidRPr="00B20F18" w:rsidRDefault="00820015" w:rsidP="005E20D1">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2122871" w14:textId="77777777" w:rsidR="00820015" w:rsidRPr="00B20F18" w:rsidRDefault="00820015" w:rsidP="005E20D1">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A65948" w14:textId="77777777" w:rsidR="00820015" w:rsidRPr="00B20F18" w:rsidRDefault="00820015" w:rsidP="005E20D1">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BBFE05" w14:textId="77777777" w:rsidR="00820015" w:rsidRPr="00B20F18" w:rsidRDefault="00820015" w:rsidP="005E20D1">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0CB7A5" w14:textId="77777777" w:rsidR="00820015" w:rsidRPr="00B20F18" w:rsidRDefault="00820015" w:rsidP="005E20D1">
            <w:pPr>
              <w:spacing w:after="0"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2015</w:t>
            </w:r>
          </w:p>
        </w:tc>
      </w:tr>
      <w:tr w:rsidR="00820015" w:rsidRPr="00B20F18" w14:paraId="585C4488" w14:textId="77777777" w:rsidTr="00820015">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4486652B" w14:textId="77777777" w:rsidR="00820015" w:rsidRPr="00B20F18" w:rsidRDefault="00820015" w:rsidP="00820015">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Assets Turnover</w:t>
            </w:r>
          </w:p>
        </w:tc>
        <w:tc>
          <w:tcPr>
            <w:tcW w:w="960" w:type="dxa"/>
            <w:tcBorders>
              <w:top w:val="nil"/>
              <w:left w:val="nil"/>
              <w:bottom w:val="single" w:sz="4" w:space="0" w:color="auto"/>
              <w:right w:val="single" w:sz="4" w:space="0" w:color="auto"/>
            </w:tcBorders>
            <w:shd w:val="clear" w:color="auto" w:fill="auto"/>
            <w:noWrap/>
            <w:vAlign w:val="bottom"/>
            <w:hideMark/>
          </w:tcPr>
          <w:p w14:paraId="72E405E6"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0.51</w:t>
            </w:r>
          </w:p>
        </w:tc>
        <w:tc>
          <w:tcPr>
            <w:tcW w:w="960" w:type="dxa"/>
            <w:tcBorders>
              <w:top w:val="nil"/>
              <w:left w:val="nil"/>
              <w:bottom w:val="single" w:sz="4" w:space="0" w:color="auto"/>
              <w:right w:val="single" w:sz="4" w:space="0" w:color="auto"/>
            </w:tcBorders>
            <w:shd w:val="clear" w:color="auto" w:fill="auto"/>
            <w:noWrap/>
            <w:vAlign w:val="bottom"/>
            <w:hideMark/>
          </w:tcPr>
          <w:p w14:paraId="30C33C3F"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0.49</w:t>
            </w:r>
          </w:p>
        </w:tc>
        <w:tc>
          <w:tcPr>
            <w:tcW w:w="960" w:type="dxa"/>
            <w:tcBorders>
              <w:top w:val="nil"/>
              <w:left w:val="nil"/>
              <w:bottom w:val="single" w:sz="4" w:space="0" w:color="auto"/>
              <w:right w:val="single" w:sz="4" w:space="0" w:color="auto"/>
            </w:tcBorders>
            <w:shd w:val="clear" w:color="auto" w:fill="auto"/>
            <w:noWrap/>
            <w:vAlign w:val="bottom"/>
            <w:hideMark/>
          </w:tcPr>
          <w:p w14:paraId="4CEB01BF"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0.54</w:t>
            </w:r>
          </w:p>
        </w:tc>
        <w:tc>
          <w:tcPr>
            <w:tcW w:w="960" w:type="dxa"/>
            <w:tcBorders>
              <w:top w:val="nil"/>
              <w:left w:val="nil"/>
              <w:bottom w:val="single" w:sz="4" w:space="0" w:color="auto"/>
              <w:right w:val="single" w:sz="4" w:space="0" w:color="auto"/>
            </w:tcBorders>
            <w:shd w:val="clear" w:color="auto" w:fill="auto"/>
            <w:noWrap/>
            <w:vAlign w:val="bottom"/>
            <w:hideMark/>
          </w:tcPr>
          <w:p w14:paraId="6EAED373"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0.58</w:t>
            </w:r>
          </w:p>
        </w:tc>
        <w:tc>
          <w:tcPr>
            <w:tcW w:w="960" w:type="dxa"/>
            <w:tcBorders>
              <w:top w:val="nil"/>
              <w:left w:val="nil"/>
              <w:bottom w:val="single" w:sz="4" w:space="0" w:color="auto"/>
              <w:right w:val="single" w:sz="4" w:space="0" w:color="auto"/>
            </w:tcBorders>
            <w:shd w:val="clear" w:color="auto" w:fill="auto"/>
            <w:noWrap/>
            <w:vAlign w:val="bottom"/>
            <w:hideMark/>
          </w:tcPr>
          <w:p w14:paraId="43F2E587"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0.61</w:t>
            </w:r>
          </w:p>
        </w:tc>
      </w:tr>
      <w:tr w:rsidR="00820015" w:rsidRPr="00B20F18" w14:paraId="6EF87E54" w14:textId="77777777" w:rsidTr="00820015">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66BE0319" w14:textId="77777777" w:rsidR="00820015" w:rsidRPr="00B20F18" w:rsidRDefault="00820015" w:rsidP="00820015">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lastRenderedPageBreak/>
              <w:t>Inventory Turnover</w:t>
            </w:r>
          </w:p>
        </w:tc>
        <w:tc>
          <w:tcPr>
            <w:tcW w:w="960" w:type="dxa"/>
            <w:tcBorders>
              <w:top w:val="nil"/>
              <w:left w:val="nil"/>
              <w:bottom w:val="single" w:sz="4" w:space="0" w:color="auto"/>
              <w:right w:val="single" w:sz="4" w:space="0" w:color="auto"/>
            </w:tcBorders>
            <w:shd w:val="clear" w:color="auto" w:fill="auto"/>
            <w:noWrap/>
            <w:vAlign w:val="bottom"/>
            <w:hideMark/>
          </w:tcPr>
          <w:p w14:paraId="2289D34A"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3.62</w:t>
            </w:r>
          </w:p>
        </w:tc>
        <w:tc>
          <w:tcPr>
            <w:tcW w:w="960" w:type="dxa"/>
            <w:tcBorders>
              <w:top w:val="nil"/>
              <w:left w:val="nil"/>
              <w:bottom w:val="single" w:sz="4" w:space="0" w:color="auto"/>
              <w:right w:val="single" w:sz="4" w:space="0" w:color="auto"/>
            </w:tcBorders>
            <w:shd w:val="clear" w:color="auto" w:fill="auto"/>
            <w:noWrap/>
            <w:vAlign w:val="bottom"/>
            <w:hideMark/>
          </w:tcPr>
          <w:p w14:paraId="1C7B855E"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3.39</w:t>
            </w:r>
          </w:p>
        </w:tc>
        <w:tc>
          <w:tcPr>
            <w:tcW w:w="960" w:type="dxa"/>
            <w:tcBorders>
              <w:top w:val="nil"/>
              <w:left w:val="nil"/>
              <w:bottom w:val="single" w:sz="4" w:space="0" w:color="auto"/>
              <w:right w:val="single" w:sz="4" w:space="0" w:color="auto"/>
            </w:tcBorders>
            <w:shd w:val="clear" w:color="auto" w:fill="auto"/>
            <w:noWrap/>
            <w:vAlign w:val="bottom"/>
            <w:hideMark/>
          </w:tcPr>
          <w:p w14:paraId="49B82590"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3.59</w:t>
            </w:r>
          </w:p>
        </w:tc>
        <w:tc>
          <w:tcPr>
            <w:tcW w:w="960" w:type="dxa"/>
            <w:tcBorders>
              <w:top w:val="nil"/>
              <w:left w:val="nil"/>
              <w:bottom w:val="single" w:sz="4" w:space="0" w:color="auto"/>
              <w:right w:val="single" w:sz="4" w:space="0" w:color="auto"/>
            </w:tcBorders>
            <w:shd w:val="clear" w:color="auto" w:fill="auto"/>
            <w:noWrap/>
            <w:vAlign w:val="bottom"/>
            <w:hideMark/>
          </w:tcPr>
          <w:p w14:paraId="3885EAEB"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3.86</w:t>
            </w:r>
          </w:p>
        </w:tc>
        <w:tc>
          <w:tcPr>
            <w:tcW w:w="960" w:type="dxa"/>
            <w:tcBorders>
              <w:top w:val="nil"/>
              <w:left w:val="nil"/>
              <w:bottom w:val="single" w:sz="4" w:space="0" w:color="auto"/>
              <w:right w:val="single" w:sz="4" w:space="0" w:color="auto"/>
            </w:tcBorders>
            <w:shd w:val="clear" w:color="auto" w:fill="auto"/>
            <w:noWrap/>
            <w:vAlign w:val="bottom"/>
            <w:hideMark/>
          </w:tcPr>
          <w:p w14:paraId="0491F88A"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3.97</w:t>
            </w:r>
          </w:p>
        </w:tc>
      </w:tr>
      <w:tr w:rsidR="00820015" w:rsidRPr="00B20F18" w14:paraId="1B618628" w14:textId="77777777" w:rsidTr="00820015">
        <w:trPr>
          <w:trHeight w:val="315"/>
          <w:jc w:val="center"/>
        </w:trPr>
        <w:tc>
          <w:tcPr>
            <w:tcW w:w="2875" w:type="dxa"/>
            <w:tcBorders>
              <w:top w:val="nil"/>
              <w:left w:val="single" w:sz="4" w:space="0" w:color="auto"/>
              <w:bottom w:val="single" w:sz="4" w:space="0" w:color="auto"/>
              <w:right w:val="single" w:sz="4" w:space="0" w:color="auto"/>
            </w:tcBorders>
            <w:shd w:val="clear" w:color="auto" w:fill="auto"/>
            <w:noWrap/>
            <w:vAlign w:val="bottom"/>
            <w:hideMark/>
          </w:tcPr>
          <w:p w14:paraId="4E133F32" w14:textId="77777777" w:rsidR="00820015" w:rsidRPr="00B20F18" w:rsidRDefault="00820015" w:rsidP="00820015">
            <w:pPr>
              <w:spacing w:after="0" w:line="240" w:lineRule="auto"/>
              <w:jc w:val="lef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Receivable Turnover</w:t>
            </w:r>
          </w:p>
        </w:tc>
        <w:tc>
          <w:tcPr>
            <w:tcW w:w="960" w:type="dxa"/>
            <w:tcBorders>
              <w:top w:val="nil"/>
              <w:left w:val="nil"/>
              <w:bottom w:val="single" w:sz="4" w:space="0" w:color="auto"/>
              <w:right w:val="single" w:sz="4" w:space="0" w:color="auto"/>
            </w:tcBorders>
            <w:shd w:val="clear" w:color="auto" w:fill="auto"/>
            <w:noWrap/>
            <w:vAlign w:val="bottom"/>
            <w:hideMark/>
          </w:tcPr>
          <w:p w14:paraId="536C438B"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3.25</w:t>
            </w:r>
          </w:p>
        </w:tc>
        <w:tc>
          <w:tcPr>
            <w:tcW w:w="960" w:type="dxa"/>
            <w:tcBorders>
              <w:top w:val="nil"/>
              <w:left w:val="nil"/>
              <w:bottom w:val="single" w:sz="4" w:space="0" w:color="auto"/>
              <w:right w:val="single" w:sz="4" w:space="0" w:color="auto"/>
            </w:tcBorders>
            <w:shd w:val="clear" w:color="auto" w:fill="auto"/>
            <w:noWrap/>
            <w:vAlign w:val="bottom"/>
            <w:hideMark/>
          </w:tcPr>
          <w:p w14:paraId="7B68184A"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3.33</w:t>
            </w:r>
          </w:p>
        </w:tc>
        <w:tc>
          <w:tcPr>
            <w:tcW w:w="960" w:type="dxa"/>
            <w:tcBorders>
              <w:top w:val="nil"/>
              <w:left w:val="nil"/>
              <w:bottom w:val="single" w:sz="4" w:space="0" w:color="auto"/>
              <w:right w:val="single" w:sz="4" w:space="0" w:color="auto"/>
            </w:tcBorders>
            <w:shd w:val="clear" w:color="auto" w:fill="auto"/>
            <w:noWrap/>
            <w:vAlign w:val="bottom"/>
            <w:hideMark/>
          </w:tcPr>
          <w:p w14:paraId="6378C531"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2.05</w:t>
            </w:r>
          </w:p>
        </w:tc>
        <w:tc>
          <w:tcPr>
            <w:tcW w:w="960" w:type="dxa"/>
            <w:tcBorders>
              <w:top w:val="nil"/>
              <w:left w:val="nil"/>
              <w:bottom w:val="single" w:sz="4" w:space="0" w:color="auto"/>
              <w:right w:val="single" w:sz="4" w:space="0" w:color="auto"/>
            </w:tcBorders>
            <w:shd w:val="clear" w:color="auto" w:fill="auto"/>
            <w:noWrap/>
            <w:vAlign w:val="bottom"/>
            <w:hideMark/>
          </w:tcPr>
          <w:p w14:paraId="2B31E1D0"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2.14</w:t>
            </w:r>
          </w:p>
        </w:tc>
        <w:tc>
          <w:tcPr>
            <w:tcW w:w="960" w:type="dxa"/>
            <w:tcBorders>
              <w:top w:val="nil"/>
              <w:left w:val="nil"/>
              <w:bottom w:val="single" w:sz="4" w:space="0" w:color="auto"/>
              <w:right w:val="single" w:sz="4" w:space="0" w:color="auto"/>
            </w:tcBorders>
            <w:shd w:val="clear" w:color="auto" w:fill="auto"/>
            <w:noWrap/>
            <w:vAlign w:val="bottom"/>
            <w:hideMark/>
          </w:tcPr>
          <w:p w14:paraId="33B0A974" w14:textId="77777777" w:rsidR="00820015" w:rsidRPr="00B20F18" w:rsidRDefault="00820015" w:rsidP="00820015">
            <w:pPr>
              <w:spacing w:after="0"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2.19</w:t>
            </w:r>
          </w:p>
        </w:tc>
      </w:tr>
    </w:tbl>
    <w:p w14:paraId="4B85BF6E" w14:textId="77777777" w:rsidR="003E4F6F" w:rsidRPr="00B20F18" w:rsidRDefault="003E4F6F" w:rsidP="00D80FF0">
      <w:pPr>
        <w:rPr>
          <w:rFonts w:ascii="Arial" w:hAnsi="Arial" w:cs="Arial"/>
          <w:lang w:eastAsia="en-GB"/>
        </w:rPr>
      </w:pPr>
    </w:p>
    <w:p w14:paraId="07647D28" w14:textId="650DC7C9" w:rsidR="00820015" w:rsidRPr="00B20F18" w:rsidRDefault="00D80FF0" w:rsidP="00D80FF0">
      <w:pPr>
        <w:rPr>
          <w:rFonts w:ascii="Arial" w:hAnsi="Arial" w:cs="Arial"/>
          <w:lang w:eastAsia="en-GB"/>
        </w:rPr>
      </w:pPr>
      <w:r w:rsidRPr="00B20F18">
        <w:rPr>
          <w:rFonts w:ascii="Arial" w:hAnsi="Arial" w:cs="Arial"/>
          <w:lang w:eastAsia="en-GB"/>
        </w:rPr>
        <w:t xml:space="preserve">The assets turnover ratio remains almost same over the period which is between 0.61 to 0.49. The higher asset turnover ratio indicates better efficiencies of the organisation and vice versa. However, from that perspective, the efficiencies of the Rolls-Royce Holdings PLC. have been deceased slightly over the last couple of years. </w:t>
      </w:r>
    </w:p>
    <w:p w14:paraId="5CB64847" w14:textId="77777777" w:rsidR="003E4F6F" w:rsidRPr="00B20F18" w:rsidRDefault="003E4F6F" w:rsidP="00D80FF0">
      <w:pPr>
        <w:rPr>
          <w:rFonts w:ascii="Arial" w:hAnsi="Arial" w:cs="Arial"/>
          <w:lang w:eastAsia="en-GB"/>
        </w:rPr>
      </w:pPr>
    </w:p>
    <w:p w14:paraId="093C1B83" w14:textId="57FFB8F6" w:rsidR="00D80FF0" w:rsidRPr="00B20F18" w:rsidRDefault="00D80FF0" w:rsidP="00D80FF0">
      <w:pPr>
        <w:rPr>
          <w:rFonts w:ascii="Arial" w:hAnsi="Arial" w:cs="Arial"/>
          <w:lang w:eastAsia="en-GB"/>
        </w:rPr>
      </w:pPr>
      <w:r w:rsidRPr="00B20F18">
        <w:rPr>
          <w:rFonts w:ascii="Arial" w:hAnsi="Arial" w:cs="Arial"/>
          <w:lang w:eastAsia="en-GB"/>
        </w:rPr>
        <w:t xml:space="preserve">The result of the inventory turnover is mixed up but on an average, it can be said that, the inventory turnover ratio is also decreasing over the years. Therefore, the </w:t>
      </w:r>
      <w:r w:rsidR="00596DF3" w:rsidRPr="00B20F18">
        <w:rPr>
          <w:rFonts w:ascii="Arial" w:hAnsi="Arial" w:cs="Arial"/>
          <w:lang w:eastAsia="en-GB"/>
        </w:rPr>
        <w:t xml:space="preserve">efficiencies of the Rolls-Royce Holdings PLC. are decreasing. </w:t>
      </w:r>
    </w:p>
    <w:p w14:paraId="0867A829" w14:textId="77777777" w:rsidR="003E4F6F" w:rsidRPr="00B20F18" w:rsidRDefault="003E4F6F" w:rsidP="00D80FF0">
      <w:pPr>
        <w:rPr>
          <w:rFonts w:ascii="Arial" w:hAnsi="Arial" w:cs="Arial"/>
          <w:lang w:eastAsia="en-GB"/>
        </w:rPr>
      </w:pPr>
    </w:p>
    <w:p w14:paraId="4E1EFB52" w14:textId="0BAAEADD" w:rsidR="00E45CAE" w:rsidRPr="00B20F18" w:rsidRDefault="00596DF3" w:rsidP="00C51DE8">
      <w:pPr>
        <w:rPr>
          <w:rFonts w:ascii="Arial" w:hAnsi="Arial" w:cs="Arial"/>
          <w:lang w:eastAsia="en-GB"/>
        </w:rPr>
      </w:pPr>
      <w:r w:rsidRPr="00B20F18">
        <w:rPr>
          <w:rFonts w:ascii="Arial" w:hAnsi="Arial" w:cs="Arial"/>
          <w:lang w:eastAsia="en-GB"/>
        </w:rPr>
        <w:t xml:space="preserve">Unlike the other two efficiency </w:t>
      </w:r>
      <w:r w:rsidR="00570D16" w:rsidRPr="00B20F18">
        <w:rPr>
          <w:rFonts w:ascii="Arial" w:hAnsi="Arial" w:cs="Arial"/>
          <w:lang w:eastAsia="en-GB"/>
        </w:rPr>
        <w:t xml:space="preserve">ratios, </w:t>
      </w:r>
      <w:r w:rsidR="00E25C43" w:rsidRPr="00B20F18">
        <w:rPr>
          <w:rFonts w:ascii="Arial" w:hAnsi="Arial" w:cs="Arial"/>
          <w:lang w:eastAsia="en-GB"/>
        </w:rPr>
        <w:t>the efficiencies of the organisation in terms of receivable turnover has been increased from the perspective of Rolls-Royce Holdings PLC.</w:t>
      </w:r>
      <w:r w:rsidR="00F3221E" w:rsidRPr="00B20F18">
        <w:rPr>
          <w:rFonts w:ascii="Arial" w:hAnsi="Arial" w:cs="Arial"/>
          <w:lang w:eastAsia="en-GB"/>
        </w:rPr>
        <w:t xml:space="preserve"> The higher receivable turnover indicates that, the efficiencies of the </w:t>
      </w:r>
      <w:r w:rsidR="00621E76" w:rsidRPr="00B20F18">
        <w:rPr>
          <w:rFonts w:ascii="Arial" w:hAnsi="Arial" w:cs="Arial"/>
          <w:lang w:eastAsia="en-GB"/>
        </w:rPr>
        <w:t xml:space="preserve">liquidity position of the organisation has been improved as a result of the prompt collection of the account receivables. </w:t>
      </w:r>
      <w:r w:rsidR="00F3221E" w:rsidRPr="00B20F18">
        <w:rPr>
          <w:rFonts w:ascii="Arial" w:hAnsi="Arial" w:cs="Arial"/>
          <w:lang w:eastAsia="en-GB"/>
        </w:rPr>
        <w:t xml:space="preserve"> </w:t>
      </w:r>
      <w:r w:rsidRPr="00B20F18">
        <w:rPr>
          <w:rFonts w:ascii="Arial" w:hAnsi="Arial" w:cs="Arial"/>
          <w:lang w:eastAsia="en-GB"/>
        </w:rPr>
        <w:t xml:space="preserve"> </w:t>
      </w:r>
      <w:r w:rsidR="009E286A" w:rsidRPr="00B20F18">
        <w:rPr>
          <w:rFonts w:ascii="Arial" w:hAnsi="Arial" w:cs="Arial"/>
          <w:lang w:eastAsia="en-GB"/>
        </w:rPr>
        <w:t xml:space="preserve"> </w:t>
      </w:r>
    </w:p>
    <w:p w14:paraId="3700DC14" w14:textId="77777777" w:rsidR="003E4F6F" w:rsidRPr="00B20F18" w:rsidRDefault="003E4F6F" w:rsidP="00C51DE8">
      <w:pPr>
        <w:rPr>
          <w:rFonts w:ascii="Arial" w:hAnsi="Arial" w:cs="Arial"/>
          <w:lang w:eastAsia="en-GB"/>
        </w:rPr>
      </w:pPr>
    </w:p>
    <w:p w14:paraId="2420F132" w14:textId="146644CC" w:rsidR="00872EA3" w:rsidRPr="00B20F18" w:rsidRDefault="00872EA3" w:rsidP="003E4F6F">
      <w:pPr>
        <w:pStyle w:val="Heading2"/>
        <w:rPr>
          <w:rFonts w:ascii="Arial" w:hAnsi="Arial" w:cs="Arial"/>
        </w:rPr>
      </w:pPr>
      <w:bookmarkStart w:id="17" w:name="_Toc61434493"/>
      <w:r w:rsidRPr="00B20F18">
        <w:rPr>
          <w:rFonts w:ascii="Arial" w:hAnsi="Arial" w:cs="Arial"/>
        </w:rPr>
        <w:t>Comparison to major competitor</w:t>
      </w:r>
      <w:r w:rsidR="00963A63" w:rsidRPr="00B20F18">
        <w:rPr>
          <w:rFonts w:ascii="Arial" w:hAnsi="Arial" w:cs="Arial"/>
        </w:rPr>
        <w:t>:</w:t>
      </w:r>
      <w:bookmarkEnd w:id="17"/>
      <w:r w:rsidR="00963A63" w:rsidRPr="00B20F18">
        <w:rPr>
          <w:rFonts w:ascii="Arial" w:hAnsi="Arial" w:cs="Arial"/>
        </w:rPr>
        <w:t xml:space="preserve"> </w:t>
      </w:r>
    </w:p>
    <w:p w14:paraId="526F8858" w14:textId="5ED207DB" w:rsidR="00621E76" w:rsidRPr="00B20F18" w:rsidRDefault="00621E76" w:rsidP="00621E76">
      <w:pPr>
        <w:rPr>
          <w:rFonts w:ascii="Arial" w:hAnsi="Arial" w:cs="Arial"/>
        </w:rPr>
      </w:pPr>
      <w:r w:rsidRPr="00B20F18">
        <w:rPr>
          <w:rFonts w:ascii="Arial" w:hAnsi="Arial" w:cs="Arial"/>
          <w:lang w:eastAsia="en-GB"/>
        </w:rPr>
        <w:t xml:space="preserve">Since Rolls-Royce Holdings PLC. has different business segments, it would be more justifiable to compare the </w:t>
      </w:r>
      <w:r w:rsidR="001C734D" w:rsidRPr="00B20F18">
        <w:rPr>
          <w:rFonts w:ascii="Arial" w:hAnsi="Arial" w:cs="Arial"/>
          <w:lang w:eastAsia="en-GB"/>
        </w:rPr>
        <w:t xml:space="preserve">financial metrics with a related industry among different business segments. </w:t>
      </w:r>
      <w:r w:rsidR="00D82545" w:rsidRPr="00B20F18">
        <w:rPr>
          <w:rFonts w:ascii="Arial" w:hAnsi="Arial" w:cs="Arial"/>
          <w:lang w:eastAsia="en-GB"/>
        </w:rPr>
        <w:t xml:space="preserve">In connection, the major business segment of aerospace engine manufacturing of Rolls-Royce Holdings PLC. is considered and the related competitor organisations have been considered accordingly. </w:t>
      </w:r>
      <w:r w:rsidR="002B40CC" w:rsidRPr="00B20F18">
        <w:rPr>
          <w:rFonts w:ascii="Arial" w:hAnsi="Arial" w:cs="Arial"/>
          <w:lang w:eastAsia="en-GB"/>
        </w:rPr>
        <w:t xml:space="preserve">However, the major financial ratios of Rolls-Royce Holdings PLC., General Electric and </w:t>
      </w:r>
      <w:r w:rsidR="002B40CC" w:rsidRPr="00B20F18">
        <w:rPr>
          <w:rFonts w:ascii="Arial" w:hAnsi="Arial" w:cs="Arial"/>
        </w:rPr>
        <w:t>Honeywell International Inc. have been compared as per the requirements</w:t>
      </w:r>
      <w:r w:rsidR="003E4F6F" w:rsidRPr="00B20F18">
        <w:rPr>
          <w:rFonts w:ascii="Arial" w:hAnsi="Arial" w:cs="Arial"/>
        </w:rPr>
        <w:t>:</w:t>
      </w:r>
    </w:p>
    <w:p w14:paraId="3A843726" w14:textId="77777777" w:rsidR="003E4F6F" w:rsidRPr="00B20F18" w:rsidRDefault="003E4F6F" w:rsidP="00621E76">
      <w:pPr>
        <w:rPr>
          <w:rFonts w:ascii="Arial" w:hAnsi="Arial" w:cs="Arial"/>
        </w:rPr>
      </w:pPr>
    </w:p>
    <w:p w14:paraId="0119A558" w14:textId="044F1DB3" w:rsidR="00CA65E8" w:rsidRPr="00B20F18" w:rsidRDefault="00D23EB4" w:rsidP="00621E76">
      <w:pPr>
        <w:rPr>
          <w:rFonts w:ascii="Arial" w:hAnsi="Arial" w:cs="Arial"/>
          <w:lang w:eastAsia="en-GB"/>
        </w:rPr>
      </w:pPr>
      <w:r w:rsidRPr="00B20F18">
        <w:rPr>
          <w:rFonts w:ascii="Arial" w:hAnsi="Arial" w:cs="Arial"/>
          <w:lang w:eastAsia="en-GB"/>
        </w:rPr>
        <w:t>The profitability ratios of these three organisations given below</w:t>
      </w:r>
      <w:r w:rsidR="003E4F6F" w:rsidRPr="00B20F18">
        <w:rPr>
          <w:rFonts w:ascii="Arial" w:hAnsi="Arial" w:cs="Arial"/>
          <w:lang w:eastAsia="en-GB"/>
        </w:rPr>
        <w:t>:</w:t>
      </w:r>
    </w:p>
    <w:tbl>
      <w:tblPr>
        <w:tblW w:w="10730" w:type="dxa"/>
        <w:tblInd w:w="-855" w:type="dxa"/>
        <w:tblLook w:val="04A0" w:firstRow="1" w:lastRow="0" w:firstColumn="1" w:lastColumn="0" w:noHBand="0" w:noVBand="1"/>
      </w:tblPr>
      <w:tblGrid>
        <w:gridCol w:w="1097"/>
        <w:gridCol w:w="667"/>
        <w:gridCol w:w="667"/>
        <w:gridCol w:w="667"/>
        <w:gridCol w:w="767"/>
        <w:gridCol w:w="667"/>
        <w:gridCol w:w="667"/>
        <w:gridCol w:w="667"/>
        <w:gridCol w:w="667"/>
        <w:gridCol w:w="667"/>
        <w:gridCol w:w="242"/>
        <w:gridCol w:w="525"/>
        <w:gridCol w:w="667"/>
        <w:gridCol w:w="667"/>
        <w:gridCol w:w="242"/>
        <w:gridCol w:w="525"/>
        <w:gridCol w:w="667"/>
        <w:gridCol w:w="667"/>
        <w:gridCol w:w="6"/>
      </w:tblGrid>
      <w:tr w:rsidR="00D23EB4" w:rsidRPr="00B20F18" w14:paraId="3D4544F4" w14:textId="77777777" w:rsidTr="003E4F6F">
        <w:trPr>
          <w:trHeight w:val="475"/>
        </w:trPr>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BD837"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Ratios</w:t>
            </w:r>
          </w:p>
        </w:tc>
        <w:tc>
          <w:tcPr>
            <w:tcW w:w="188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7DA1501" w14:textId="77777777"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2019</w:t>
            </w:r>
          </w:p>
          <w:p w14:paraId="426861E4" w14:textId="6DEB62F9"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p w14:paraId="7B7BC3E2" w14:textId="7A40D9B9"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tc>
        <w:tc>
          <w:tcPr>
            <w:tcW w:w="1972" w:type="dxa"/>
            <w:gridSpan w:val="3"/>
            <w:tcBorders>
              <w:top w:val="single" w:sz="4" w:space="0" w:color="auto"/>
              <w:left w:val="nil"/>
              <w:bottom w:val="single" w:sz="4" w:space="0" w:color="auto"/>
              <w:right w:val="single" w:sz="4" w:space="0" w:color="auto"/>
            </w:tcBorders>
            <w:shd w:val="clear" w:color="auto" w:fill="auto"/>
            <w:noWrap/>
            <w:vAlign w:val="center"/>
            <w:hideMark/>
          </w:tcPr>
          <w:p w14:paraId="3D33DFA0" w14:textId="77777777"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2018</w:t>
            </w:r>
          </w:p>
          <w:p w14:paraId="4B48F496" w14:textId="24ED845F"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p w14:paraId="1648DDB3" w14:textId="46FBF539"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tc>
        <w:tc>
          <w:tcPr>
            <w:tcW w:w="2108" w:type="dxa"/>
            <w:gridSpan w:val="4"/>
            <w:tcBorders>
              <w:top w:val="single" w:sz="4" w:space="0" w:color="auto"/>
              <w:left w:val="nil"/>
              <w:bottom w:val="single" w:sz="4" w:space="0" w:color="auto"/>
              <w:right w:val="single" w:sz="4" w:space="0" w:color="auto"/>
            </w:tcBorders>
            <w:shd w:val="clear" w:color="auto" w:fill="auto"/>
            <w:noWrap/>
            <w:vAlign w:val="center"/>
            <w:hideMark/>
          </w:tcPr>
          <w:p w14:paraId="5ED25926" w14:textId="77777777"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2017</w:t>
            </w:r>
          </w:p>
          <w:p w14:paraId="3E8C193C" w14:textId="4AFB54D6"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p w14:paraId="73BC7BFF" w14:textId="26F27A5F"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tc>
        <w:tc>
          <w:tcPr>
            <w:tcW w:w="1972" w:type="dxa"/>
            <w:gridSpan w:val="4"/>
            <w:tcBorders>
              <w:top w:val="single" w:sz="4" w:space="0" w:color="auto"/>
              <w:left w:val="nil"/>
              <w:bottom w:val="single" w:sz="4" w:space="0" w:color="auto"/>
              <w:right w:val="single" w:sz="4" w:space="0" w:color="auto"/>
            </w:tcBorders>
            <w:shd w:val="clear" w:color="auto" w:fill="auto"/>
            <w:noWrap/>
            <w:vAlign w:val="center"/>
            <w:hideMark/>
          </w:tcPr>
          <w:p w14:paraId="5D5AC105" w14:textId="77777777"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2016</w:t>
            </w:r>
          </w:p>
          <w:p w14:paraId="5CA5D3C5" w14:textId="3F4D662E"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p w14:paraId="75979E04" w14:textId="1755BA1F"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p>
        </w:tc>
        <w:tc>
          <w:tcPr>
            <w:tcW w:w="1751" w:type="dxa"/>
            <w:gridSpan w:val="4"/>
            <w:tcBorders>
              <w:top w:val="single" w:sz="4" w:space="0" w:color="auto"/>
              <w:left w:val="nil"/>
              <w:bottom w:val="single" w:sz="4" w:space="0" w:color="auto"/>
              <w:right w:val="single" w:sz="4" w:space="0" w:color="auto"/>
            </w:tcBorders>
            <w:shd w:val="clear" w:color="auto" w:fill="auto"/>
            <w:noWrap/>
            <w:vAlign w:val="center"/>
            <w:hideMark/>
          </w:tcPr>
          <w:p w14:paraId="39F45847" w14:textId="77777777" w:rsidR="00D23EB4" w:rsidRPr="00B20F18" w:rsidRDefault="00D23EB4" w:rsidP="00D23EB4">
            <w:pPr>
              <w:spacing w:after="0" w:line="240" w:lineRule="auto"/>
              <w:jc w:val="center"/>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2015</w:t>
            </w:r>
          </w:p>
          <w:p w14:paraId="67722644" w14:textId="4ED1EEB5" w:rsidR="00D23EB4" w:rsidRPr="00B20F18" w:rsidRDefault="00D23EB4" w:rsidP="00D23EB4">
            <w:pPr>
              <w:spacing w:after="0" w:line="240" w:lineRule="auto"/>
              <w:jc w:val="center"/>
              <w:rPr>
                <w:rFonts w:ascii="Arial" w:eastAsia="Times New Roman" w:hAnsi="Arial" w:cs="Arial"/>
                <w:color w:val="000000"/>
                <w:sz w:val="18"/>
                <w:szCs w:val="18"/>
                <w:lang w:eastAsia="en-GB"/>
              </w:rPr>
            </w:pPr>
          </w:p>
          <w:p w14:paraId="09E55046" w14:textId="66BF7F7A" w:rsidR="00D23EB4" w:rsidRPr="00B20F18" w:rsidRDefault="00D23EB4" w:rsidP="00D23EB4">
            <w:pPr>
              <w:spacing w:after="0" w:line="240" w:lineRule="auto"/>
              <w:jc w:val="center"/>
              <w:rPr>
                <w:rFonts w:ascii="Arial" w:eastAsia="Times New Roman" w:hAnsi="Arial" w:cs="Arial"/>
                <w:color w:val="000000"/>
                <w:sz w:val="18"/>
                <w:szCs w:val="18"/>
                <w:lang w:eastAsia="en-GB"/>
              </w:rPr>
            </w:pPr>
          </w:p>
        </w:tc>
      </w:tr>
      <w:tr w:rsidR="003E4F6F" w:rsidRPr="00B20F18" w14:paraId="766227A6"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25730EF9"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lastRenderedPageBreak/>
              <w:t> </w:t>
            </w:r>
          </w:p>
        </w:tc>
        <w:tc>
          <w:tcPr>
            <w:tcW w:w="627" w:type="dxa"/>
            <w:tcBorders>
              <w:top w:val="nil"/>
              <w:left w:val="nil"/>
              <w:bottom w:val="single" w:sz="4" w:space="0" w:color="auto"/>
              <w:right w:val="single" w:sz="4" w:space="0" w:color="auto"/>
            </w:tcBorders>
            <w:shd w:val="clear" w:color="auto" w:fill="auto"/>
            <w:noWrap/>
            <w:vAlign w:val="bottom"/>
            <w:hideMark/>
          </w:tcPr>
          <w:p w14:paraId="4A122120"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RR</w:t>
            </w:r>
          </w:p>
        </w:tc>
        <w:tc>
          <w:tcPr>
            <w:tcW w:w="627" w:type="dxa"/>
            <w:tcBorders>
              <w:top w:val="nil"/>
              <w:left w:val="nil"/>
              <w:bottom w:val="single" w:sz="4" w:space="0" w:color="auto"/>
              <w:right w:val="single" w:sz="4" w:space="0" w:color="auto"/>
            </w:tcBorders>
            <w:shd w:val="clear" w:color="auto" w:fill="auto"/>
            <w:noWrap/>
            <w:vAlign w:val="bottom"/>
            <w:hideMark/>
          </w:tcPr>
          <w:p w14:paraId="348DAB15"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GE</w:t>
            </w:r>
          </w:p>
        </w:tc>
        <w:tc>
          <w:tcPr>
            <w:tcW w:w="627" w:type="dxa"/>
            <w:tcBorders>
              <w:top w:val="nil"/>
              <w:left w:val="nil"/>
              <w:bottom w:val="single" w:sz="4" w:space="0" w:color="auto"/>
              <w:right w:val="single" w:sz="4" w:space="0" w:color="auto"/>
            </w:tcBorders>
            <w:shd w:val="clear" w:color="auto" w:fill="auto"/>
            <w:noWrap/>
            <w:vAlign w:val="bottom"/>
            <w:hideMark/>
          </w:tcPr>
          <w:p w14:paraId="39E91208"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HI</w:t>
            </w:r>
          </w:p>
        </w:tc>
        <w:tc>
          <w:tcPr>
            <w:tcW w:w="718" w:type="dxa"/>
            <w:tcBorders>
              <w:top w:val="nil"/>
              <w:left w:val="nil"/>
              <w:bottom w:val="single" w:sz="4" w:space="0" w:color="auto"/>
              <w:right w:val="single" w:sz="4" w:space="0" w:color="auto"/>
            </w:tcBorders>
            <w:shd w:val="clear" w:color="auto" w:fill="auto"/>
            <w:noWrap/>
            <w:vAlign w:val="bottom"/>
            <w:hideMark/>
          </w:tcPr>
          <w:p w14:paraId="3D6588BC"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RR</w:t>
            </w:r>
          </w:p>
        </w:tc>
        <w:tc>
          <w:tcPr>
            <w:tcW w:w="627" w:type="dxa"/>
            <w:tcBorders>
              <w:top w:val="nil"/>
              <w:left w:val="nil"/>
              <w:bottom w:val="single" w:sz="4" w:space="0" w:color="auto"/>
              <w:right w:val="single" w:sz="4" w:space="0" w:color="auto"/>
            </w:tcBorders>
            <w:shd w:val="clear" w:color="auto" w:fill="auto"/>
            <w:noWrap/>
            <w:vAlign w:val="bottom"/>
            <w:hideMark/>
          </w:tcPr>
          <w:p w14:paraId="7B3B673D"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GE</w:t>
            </w:r>
          </w:p>
        </w:tc>
        <w:tc>
          <w:tcPr>
            <w:tcW w:w="627" w:type="dxa"/>
            <w:tcBorders>
              <w:top w:val="nil"/>
              <w:left w:val="nil"/>
              <w:bottom w:val="single" w:sz="4" w:space="0" w:color="auto"/>
              <w:right w:val="single" w:sz="4" w:space="0" w:color="auto"/>
            </w:tcBorders>
            <w:shd w:val="clear" w:color="auto" w:fill="auto"/>
            <w:noWrap/>
            <w:vAlign w:val="bottom"/>
            <w:hideMark/>
          </w:tcPr>
          <w:p w14:paraId="30F49249"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HI</w:t>
            </w:r>
          </w:p>
        </w:tc>
        <w:tc>
          <w:tcPr>
            <w:tcW w:w="627" w:type="dxa"/>
            <w:tcBorders>
              <w:top w:val="nil"/>
              <w:left w:val="nil"/>
              <w:bottom w:val="single" w:sz="4" w:space="0" w:color="auto"/>
              <w:right w:val="single" w:sz="4" w:space="0" w:color="auto"/>
            </w:tcBorders>
            <w:shd w:val="clear" w:color="auto" w:fill="auto"/>
            <w:noWrap/>
            <w:vAlign w:val="bottom"/>
            <w:hideMark/>
          </w:tcPr>
          <w:p w14:paraId="319CCF90"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RR</w:t>
            </w:r>
          </w:p>
        </w:tc>
        <w:tc>
          <w:tcPr>
            <w:tcW w:w="627" w:type="dxa"/>
            <w:tcBorders>
              <w:top w:val="nil"/>
              <w:left w:val="nil"/>
              <w:bottom w:val="single" w:sz="4" w:space="0" w:color="auto"/>
              <w:right w:val="single" w:sz="4" w:space="0" w:color="auto"/>
            </w:tcBorders>
            <w:shd w:val="clear" w:color="auto" w:fill="auto"/>
            <w:noWrap/>
            <w:vAlign w:val="bottom"/>
            <w:hideMark/>
          </w:tcPr>
          <w:p w14:paraId="67D3A75E"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GE</w:t>
            </w:r>
          </w:p>
        </w:tc>
        <w:tc>
          <w:tcPr>
            <w:tcW w:w="627" w:type="dxa"/>
            <w:tcBorders>
              <w:top w:val="nil"/>
              <w:left w:val="nil"/>
              <w:bottom w:val="single" w:sz="4" w:space="0" w:color="auto"/>
              <w:right w:val="single" w:sz="4" w:space="0" w:color="auto"/>
            </w:tcBorders>
            <w:shd w:val="clear" w:color="auto" w:fill="auto"/>
            <w:noWrap/>
            <w:vAlign w:val="bottom"/>
            <w:hideMark/>
          </w:tcPr>
          <w:p w14:paraId="3DC8BC1B"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HI</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58E5346B"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RR</w:t>
            </w:r>
          </w:p>
        </w:tc>
        <w:tc>
          <w:tcPr>
            <w:tcW w:w="627" w:type="dxa"/>
            <w:tcBorders>
              <w:top w:val="nil"/>
              <w:left w:val="nil"/>
              <w:bottom w:val="single" w:sz="4" w:space="0" w:color="auto"/>
              <w:right w:val="single" w:sz="4" w:space="0" w:color="auto"/>
            </w:tcBorders>
            <w:shd w:val="clear" w:color="auto" w:fill="auto"/>
            <w:noWrap/>
            <w:vAlign w:val="bottom"/>
            <w:hideMark/>
          </w:tcPr>
          <w:p w14:paraId="6C18DA30"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GE</w:t>
            </w:r>
          </w:p>
        </w:tc>
        <w:tc>
          <w:tcPr>
            <w:tcW w:w="627" w:type="dxa"/>
            <w:tcBorders>
              <w:top w:val="nil"/>
              <w:left w:val="nil"/>
              <w:bottom w:val="single" w:sz="4" w:space="0" w:color="auto"/>
              <w:right w:val="single" w:sz="4" w:space="0" w:color="auto"/>
            </w:tcBorders>
            <w:shd w:val="clear" w:color="auto" w:fill="auto"/>
            <w:noWrap/>
            <w:vAlign w:val="bottom"/>
            <w:hideMark/>
          </w:tcPr>
          <w:p w14:paraId="1077642B"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HI</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4F4A7B7E"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RR</w:t>
            </w:r>
          </w:p>
        </w:tc>
        <w:tc>
          <w:tcPr>
            <w:tcW w:w="627" w:type="dxa"/>
            <w:tcBorders>
              <w:top w:val="nil"/>
              <w:left w:val="nil"/>
              <w:bottom w:val="single" w:sz="4" w:space="0" w:color="auto"/>
              <w:right w:val="single" w:sz="4" w:space="0" w:color="auto"/>
            </w:tcBorders>
            <w:shd w:val="clear" w:color="auto" w:fill="auto"/>
            <w:noWrap/>
            <w:vAlign w:val="bottom"/>
            <w:hideMark/>
          </w:tcPr>
          <w:p w14:paraId="7770819D"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GE</w:t>
            </w:r>
          </w:p>
        </w:tc>
        <w:tc>
          <w:tcPr>
            <w:tcW w:w="627" w:type="dxa"/>
            <w:tcBorders>
              <w:top w:val="nil"/>
              <w:left w:val="nil"/>
              <w:bottom w:val="single" w:sz="4" w:space="0" w:color="auto"/>
              <w:right w:val="single" w:sz="4" w:space="0" w:color="auto"/>
            </w:tcBorders>
            <w:shd w:val="clear" w:color="auto" w:fill="auto"/>
            <w:noWrap/>
            <w:vAlign w:val="bottom"/>
            <w:hideMark/>
          </w:tcPr>
          <w:p w14:paraId="32295301" w14:textId="77777777" w:rsidR="00D23EB4" w:rsidRPr="00B20F18" w:rsidRDefault="00D23EB4" w:rsidP="003B4A37">
            <w:pPr>
              <w:spacing w:after="0" w:line="240" w:lineRule="auto"/>
              <w:jc w:val="left"/>
              <w:rPr>
                <w:rFonts w:ascii="Arial" w:eastAsia="Times New Roman" w:hAnsi="Arial" w:cs="Arial"/>
                <w:b/>
                <w:bCs/>
                <w:color w:val="000000"/>
                <w:sz w:val="18"/>
                <w:szCs w:val="18"/>
                <w:lang w:eastAsia="en-GB"/>
              </w:rPr>
            </w:pPr>
            <w:r w:rsidRPr="00B20F18">
              <w:rPr>
                <w:rFonts w:ascii="Arial" w:eastAsia="Times New Roman" w:hAnsi="Arial" w:cs="Arial"/>
                <w:b/>
                <w:bCs/>
                <w:color w:val="000000"/>
                <w:sz w:val="18"/>
                <w:szCs w:val="18"/>
                <w:lang w:eastAsia="en-GB"/>
              </w:rPr>
              <w:t>HI</w:t>
            </w:r>
          </w:p>
        </w:tc>
      </w:tr>
      <w:tr w:rsidR="003E4F6F" w:rsidRPr="00B20F18" w14:paraId="286278D4"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2E9806CA"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Gross Margin</w:t>
            </w:r>
          </w:p>
        </w:tc>
        <w:tc>
          <w:tcPr>
            <w:tcW w:w="627" w:type="dxa"/>
            <w:tcBorders>
              <w:top w:val="nil"/>
              <w:left w:val="nil"/>
              <w:bottom w:val="single" w:sz="4" w:space="0" w:color="auto"/>
              <w:right w:val="single" w:sz="4" w:space="0" w:color="auto"/>
            </w:tcBorders>
            <w:shd w:val="clear" w:color="auto" w:fill="auto"/>
            <w:noWrap/>
            <w:vAlign w:val="bottom"/>
            <w:hideMark/>
          </w:tcPr>
          <w:p w14:paraId="1949340C"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5.679</w:t>
            </w:r>
          </w:p>
        </w:tc>
        <w:tc>
          <w:tcPr>
            <w:tcW w:w="627" w:type="dxa"/>
            <w:tcBorders>
              <w:top w:val="nil"/>
              <w:left w:val="nil"/>
              <w:bottom w:val="single" w:sz="4" w:space="0" w:color="auto"/>
              <w:right w:val="single" w:sz="4" w:space="0" w:color="auto"/>
            </w:tcBorders>
            <w:shd w:val="clear" w:color="auto" w:fill="auto"/>
            <w:noWrap/>
            <w:vAlign w:val="bottom"/>
            <w:hideMark/>
          </w:tcPr>
          <w:p w14:paraId="285E80D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26.45</w:t>
            </w:r>
          </w:p>
        </w:tc>
        <w:tc>
          <w:tcPr>
            <w:tcW w:w="627" w:type="dxa"/>
            <w:tcBorders>
              <w:top w:val="nil"/>
              <w:left w:val="nil"/>
              <w:bottom w:val="single" w:sz="4" w:space="0" w:color="auto"/>
              <w:right w:val="single" w:sz="4" w:space="0" w:color="auto"/>
            </w:tcBorders>
            <w:shd w:val="clear" w:color="auto" w:fill="auto"/>
            <w:noWrap/>
            <w:vAlign w:val="bottom"/>
            <w:hideMark/>
          </w:tcPr>
          <w:p w14:paraId="4C81485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33.69</w:t>
            </w:r>
          </w:p>
        </w:tc>
        <w:tc>
          <w:tcPr>
            <w:tcW w:w="718" w:type="dxa"/>
            <w:tcBorders>
              <w:top w:val="nil"/>
              <w:left w:val="nil"/>
              <w:bottom w:val="single" w:sz="4" w:space="0" w:color="auto"/>
              <w:right w:val="single" w:sz="4" w:space="0" w:color="auto"/>
            </w:tcBorders>
            <w:shd w:val="clear" w:color="auto" w:fill="auto"/>
            <w:noWrap/>
            <w:vAlign w:val="bottom"/>
            <w:hideMark/>
          </w:tcPr>
          <w:p w14:paraId="16C2019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7.617</w:t>
            </w:r>
          </w:p>
        </w:tc>
        <w:tc>
          <w:tcPr>
            <w:tcW w:w="627" w:type="dxa"/>
            <w:tcBorders>
              <w:top w:val="nil"/>
              <w:left w:val="nil"/>
              <w:bottom w:val="single" w:sz="4" w:space="0" w:color="auto"/>
              <w:right w:val="single" w:sz="4" w:space="0" w:color="auto"/>
            </w:tcBorders>
            <w:shd w:val="clear" w:color="auto" w:fill="auto"/>
            <w:noWrap/>
            <w:vAlign w:val="bottom"/>
            <w:hideMark/>
          </w:tcPr>
          <w:p w14:paraId="2BC39D41"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24.94</w:t>
            </w:r>
          </w:p>
        </w:tc>
        <w:tc>
          <w:tcPr>
            <w:tcW w:w="627" w:type="dxa"/>
            <w:tcBorders>
              <w:top w:val="nil"/>
              <w:left w:val="nil"/>
              <w:bottom w:val="single" w:sz="4" w:space="0" w:color="auto"/>
              <w:right w:val="single" w:sz="4" w:space="0" w:color="auto"/>
            </w:tcBorders>
            <w:shd w:val="clear" w:color="auto" w:fill="auto"/>
            <w:noWrap/>
            <w:vAlign w:val="bottom"/>
            <w:hideMark/>
          </w:tcPr>
          <w:p w14:paraId="0A747E3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30.51</w:t>
            </w:r>
          </w:p>
        </w:tc>
        <w:tc>
          <w:tcPr>
            <w:tcW w:w="627" w:type="dxa"/>
            <w:tcBorders>
              <w:top w:val="nil"/>
              <w:left w:val="nil"/>
              <w:bottom w:val="single" w:sz="4" w:space="0" w:color="auto"/>
              <w:right w:val="single" w:sz="4" w:space="0" w:color="auto"/>
            </w:tcBorders>
            <w:shd w:val="clear" w:color="auto" w:fill="auto"/>
            <w:noWrap/>
            <w:vAlign w:val="bottom"/>
            <w:hideMark/>
          </w:tcPr>
          <w:p w14:paraId="321AAEEA"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19.46</w:t>
            </w:r>
          </w:p>
        </w:tc>
        <w:tc>
          <w:tcPr>
            <w:tcW w:w="627" w:type="dxa"/>
            <w:tcBorders>
              <w:top w:val="nil"/>
              <w:left w:val="nil"/>
              <w:bottom w:val="single" w:sz="4" w:space="0" w:color="auto"/>
              <w:right w:val="single" w:sz="4" w:space="0" w:color="auto"/>
            </w:tcBorders>
            <w:shd w:val="clear" w:color="auto" w:fill="auto"/>
            <w:noWrap/>
            <w:vAlign w:val="bottom"/>
            <w:hideMark/>
          </w:tcPr>
          <w:p w14:paraId="44B523EB"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23.85</w:t>
            </w:r>
          </w:p>
        </w:tc>
        <w:tc>
          <w:tcPr>
            <w:tcW w:w="627" w:type="dxa"/>
            <w:tcBorders>
              <w:top w:val="nil"/>
              <w:left w:val="nil"/>
              <w:bottom w:val="single" w:sz="4" w:space="0" w:color="auto"/>
              <w:right w:val="single" w:sz="4" w:space="0" w:color="auto"/>
            </w:tcBorders>
            <w:shd w:val="clear" w:color="auto" w:fill="auto"/>
            <w:noWrap/>
            <w:vAlign w:val="bottom"/>
            <w:hideMark/>
          </w:tcPr>
          <w:p w14:paraId="742FD13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30.56</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697981C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20.38</w:t>
            </w:r>
          </w:p>
        </w:tc>
        <w:tc>
          <w:tcPr>
            <w:tcW w:w="627" w:type="dxa"/>
            <w:tcBorders>
              <w:top w:val="nil"/>
              <w:left w:val="nil"/>
              <w:bottom w:val="single" w:sz="4" w:space="0" w:color="auto"/>
              <w:right w:val="single" w:sz="4" w:space="0" w:color="auto"/>
            </w:tcBorders>
            <w:shd w:val="clear" w:color="auto" w:fill="auto"/>
            <w:noWrap/>
            <w:vAlign w:val="bottom"/>
            <w:hideMark/>
          </w:tcPr>
          <w:p w14:paraId="7574404C"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26.63</w:t>
            </w:r>
          </w:p>
        </w:tc>
        <w:tc>
          <w:tcPr>
            <w:tcW w:w="627" w:type="dxa"/>
            <w:tcBorders>
              <w:top w:val="nil"/>
              <w:left w:val="nil"/>
              <w:bottom w:val="single" w:sz="4" w:space="0" w:color="auto"/>
              <w:right w:val="single" w:sz="4" w:space="0" w:color="auto"/>
            </w:tcBorders>
            <w:shd w:val="clear" w:color="auto" w:fill="auto"/>
            <w:noWrap/>
            <w:vAlign w:val="bottom"/>
            <w:hideMark/>
          </w:tcPr>
          <w:p w14:paraId="07D3ACBB"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29.57</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5E9644FE"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23.796</w:t>
            </w:r>
          </w:p>
        </w:tc>
        <w:tc>
          <w:tcPr>
            <w:tcW w:w="627" w:type="dxa"/>
            <w:tcBorders>
              <w:top w:val="nil"/>
              <w:left w:val="nil"/>
              <w:bottom w:val="single" w:sz="4" w:space="0" w:color="auto"/>
              <w:right w:val="single" w:sz="4" w:space="0" w:color="auto"/>
            </w:tcBorders>
            <w:shd w:val="clear" w:color="auto" w:fill="auto"/>
            <w:noWrap/>
            <w:vAlign w:val="bottom"/>
            <w:hideMark/>
          </w:tcPr>
          <w:p w14:paraId="45E1B3EB"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29.55</w:t>
            </w:r>
          </w:p>
        </w:tc>
        <w:tc>
          <w:tcPr>
            <w:tcW w:w="627" w:type="dxa"/>
            <w:tcBorders>
              <w:top w:val="nil"/>
              <w:left w:val="nil"/>
              <w:bottom w:val="single" w:sz="4" w:space="0" w:color="auto"/>
              <w:right w:val="single" w:sz="4" w:space="0" w:color="auto"/>
            </w:tcBorders>
            <w:shd w:val="clear" w:color="auto" w:fill="auto"/>
            <w:noWrap/>
            <w:vAlign w:val="bottom"/>
            <w:hideMark/>
          </w:tcPr>
          <w:p w14:paraId="7EC00A92"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30.67</w:t>
            </w:r>
          </w:p>
        </w:tc>
      </w:tr>
      <w:tr w:rsidR="003E4F6F" w:rsidRPr="00B20F18" w14:paraId="01A5D102"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64C2252B"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EBIT Margin</w:t>
            </w:r>
          </w:p>
        </w:tc>
        <w:tc>
          <w:tcPr>
            <w:tcW w:w="627" w:type="dxa"/>
            <w:tcBorders>
              <w:top w:val="nil"/>
              <w:left w:val="nil"/>
              <w:bottom w:val="single" w:sz="4" w:space="0" w:color="auto"/>
              <w:right w:val="single" w:sz="4" w:space="0" w:color="auto"/>
            </w:tcBorders>
            <w:shd w:val="clear" w:color="auto" w:fill="auto"/>
            <w:noWrap/>
            <w:vAlign w:val="bottom"/>
            <w:hideMark/>
          </w:tcPr>
          <w:p w14:paraId="0718DFC1"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-5.76</w:t>
            </w:r>
          </w:p>
        </w:tc>
        <w:tc>
          <w:tcPr>
            <w:tcW w:w="627" w:type="dxa"/>
            <w:tcBorders>
              <w:top w:val="nil"/>
              <w:left w:val="nil"/>
              <w:bottom w:val="single" w:sz="4" w:space="0" w:color="auto"/>
              <w:right w:val="single" w:sz="4" w:space="0" w:color="auto"/>
            </w:tcBorders>
            <w:shd w:val="clear" w:color="auto" w:fill="auto"/>
            <w:noWrap/>
            <w:vAlign w:val="bottom"/>
            <w:hideMark/>
          </w:tcPr>
          <w:p w14:paraId="604CAFA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9.76</w:t>
            </w:r>
          </w:p>
        </w:tc>
        <w:tc>
          <w:tcPr>
            <w:tcW w:w="627" w:type="dxa"/>
            <w:tcBorders>
              <w:top w:val="nil"/>
              <w:left w:val="nil"/>
              <w:bottom w:val="single" w:sz="4" w:space="0" w:color="auto"/>
              <w:right w:val="single" w:sz="4" w:space="0" w:color="auto"/>
            </w:tcBorders>
            <w:shd w:val="clear" w:color="auto" w:fill="auto"/>
            <w:noWrap/>
            <w:vAlign w:val="bottom"/>
            <w:hideMark/>
          </w:tcPr>
          <w:p w14:paraId="78FA760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18.66</w:t>
            </w:r>
          </w:p>
        </w:tc>
        <w:tc>
          <w:tcPr>
            <w:tcW w:w="718" w:type="dxa"/>
            <w:tcBorders>
              <w:top w:val="nil"/>
              <w:left w:val="nil"/>
              <w:bottom w:val="single" w:sz="4" w:space="0" w:color="auto"/>
              <w:right w:val="single" w:sz="4" w:space="0" w:color="auto"/>
            </w:tcBorders>
            <w:shd w:val="clear" w:color="auto" w:fill="auto"/>
            <w:noWrap/>
            <w:vAlign w:val="bottom"/>
            <w:hideMark/>
          </w:tcPr>
          <w:p w14:paraId="3B8EA96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-7.41</w:t>
            </w:r>
          </w:p>
        </w:tc>
        <w:tc>
          <w:tcPr>
            <w:tcW w:w="627" w:type="dxa"/>
            <w:tcBorders>
              <w:top w:val="nil"/>
              <w:left w:val="nil"/>
              <w:bottom w:val="single" w:sz="4" w:space="0" w:color="auto"/>
              <w:right w:val="single" w:sz="4" w:space="0" w:color="auto"/>
            </w:tcBorders>
            <w:shd w:val="clear" w:color="auto" w:fill="auto"/>
            <w:noWrap/>
            <w:vAlign w:val="bottom"/>
            <w:hideMark/>
          </w:tcPr>
          <w:p w14:paraId="6B05E3E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-13.39</w:t>
            </w:r>
          </w:p>
        </w:tc>
        <w:tc>
          <w:tcPr>
            <w:tcW w:w="627" w:type="dxa"/>
            <w:tcBorders>
              <w:top w:val="nil"/>
              <w:left w:val="nil"/>
              <w:bottom w:val="single" w:sz="4" w:space="0" w:color="auto"/>
              <w:right w:val="single" w:sz="4" w:space="0" w:color="auto"/>
            </w:tcBorders>
            <w:shd w:val="clear" w:color="auto" w:fill="auto"/>
            <w:noWrap/>
            <w:vAlign w:val="bottom"/>
            <w:hideMark/>
          </w:tcPr>
          <w:p w14:paraId="5C050F0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16.03</w:t>
            </w:r>
          </w:p>
        </w:tc>
        <w:tc>
          <w:tcPr>
            <w:tcW w:w="627" w:type="dxa"/>
            <w:tcBorders>
              <w:top w:val="nil"/>
              <w:left w:val="nil"/>
              <w:bottom w:val="single" w:sz="4" w:space="0" w:color="auto"/>
              <w:right w:val="single" w:sz="4" w:space="0" w:color="auto"/>
            </w:tcBorders>
            <w:shd w:val="clear" w:color="auto" w:fill="auto"/>
            <w:noWrap/>
            <w:vAlign w:val="bottom"/>
            <w:hideMark/>
          </w:tcPr>
          <w:p w14:paraId="491F428F"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7.09</w:t>
            </w:r>
          </w:p>
        </w:tc>
        <w:tc>
          <w:tcPr>
            <w:tcW w:w="627" w:type="dxa"/>
            <w:tcBorders>
              <w:top w:val="nil"/>
              <w:left w:val="nil"/>
              <w:bottom w:val="single" w:sz="4" w:space="0" w:color="auto"/>
              <w:right w:val="single" w:sz="4" w:space="0" w:color="auto"/>
            </w:tcBorders>
            <w:shd w:val="clear" w:color="auto" w:fill="auto"/>
            <w:noWrap/>
            <w:vAlign w:val="bottom"/>
            <w:hideMark/>
          </w:tcPr>
          <w:p w14:paraId="4F4943D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5.86</w:t>
            </w:r>
          </w:p>
        </w:tc>
        <w:tc>
          <w:tcPr>
            <w:tcW w:w="627" w:type="dxa"/>
            <w:tcBorders>
              <w:top w:val="nil"/>
              <w:left w:val="nil"/>
              <w:bottom w:val="single" w:sz="4" w:space="0" w:color="auto"/>
              <w:right w:val="single" w:sz="4" w:space="0" w:color="auto"/>
            </w:tcBorders>
            <w:shd w:val="clear" w:color="auto" w:fill="auto"/>
            <w:noWrap/>
            <w:vAlign w:val="bottom"/>
            <w:hideMark/>
          </w:tcPr>
          <w:p w14:paraId="48BB509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15.55</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550E818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-0.49</w:t>
            </w:r>
          </w:p>
        </w:tc>
        <w:tc>
          <w:tcPr>
            <w:tcW w:w="627" w:type="dxa"/>
            <w:tcBorders>
              <w:top w:val="nil"/>
              <w:left w:val="nil"/>
              <w:bottom w:val="single" w:sz="4" w:space="0" w:color="auto"/>
              <w:right w:val="single" w:sz="4" w:space="0" w:color="auto"/>
            </w:tcBorders>
            <w:shd w:val="clear" w:color="auto" w:fill="auto"/>
            <w:noWrap/>
            <w:vAlign w:val="bottom"/>
            <w:hideMark/>
          </w:tcPr>
          <w:p w14:paraId="288BCA0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10.94</w:t>
            </w:r>
          </w:p>
        </w:tc>
        <w:tc>
          <w:tcPr>
            <w:tcW w:w="627" w:type="dxa"/>
            <w:tcBorders>
              <w:top w:val="nil"/>
              <w:left w:val="nil"/>
              <w:bottom w:val="single" w:sz="4" w:space="0" w:color="auto"/>
              <w:right w:val="single" w:sz="4" w:space="0" w:color="auto"/>
            </w:tcBorders>
            <w:shd w:val="clear" w:color="auto" w:fill="auto"/>
            <w:noWrap/>
            <w:vAlign w:val="bottom"/>
            <w:hideMark/>
          </w:tcPr>
          <w:p w14:paraId="15D20194"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15.39</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3493437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10.19</w:t>
            </w:r>
          </w:p>
        </w:tc>
        <w:tc>
          <w:tcPr>
            <w:tcW w:w="627" w:type="dxa"/>
            <w:tcBorders>
              <w:top w:val="nil"/>
              <w:left w:val="nil"/>
              <w:bottom w:val="single" w:sz="4" w:space="0" w:color="auto"/>
              <w:right w:val="single" w:sz="4" w:space="0" w:color="auto"/>
            </w:tcBorders>
            <w:shd w:val="clear" w:color="auto" w:fill="auto"/>
            <w:noWrap/>
            <w:vAlign w:val="bottom"/>
            <w:hideMark/>
          </w:tcPr>
          <w:p w14:paraId="1090D92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12.14</w:t>
            </w:r>
          </w:p>
        </w:tc>
        <w:tc>
          <w:tcPr>
            <w:tcW w:w="627" w:type="dxa"/>
            <w:tcBorders>
              <w:top w:val="nil"/>
              <w:left w:val="nil"/>
              <w:bottom w:val="single" w:sz="4" w:space="0" w:color="auto"/>
              <w:right w:val="single" w:sz="4" w:space="0" w:color="auto"/>
            </w:tcBorders>
            <w:shd w:val="clear" w:color="auto" w:fill="auto"/>
            <w:noWrap/>
            <w:vAlign w:val="bottom"/>
            <w:hideMark/>
          </w:tcPr>
          <w:p w14:paraId="1FE725E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17.69</w:t>
            </w:r>
          </w:p>
        </w:tc>
      </w:tr>
      <w:tr w:rsidR="003E4F6F" w:rsidRPr="00B20F18" w14:paraId="5ECF8730"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514FF525"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Net Profit Margin</w:t>
            </w:r>
          </w:p>
        </w:tc>
        <w:tc>
          <w:tcPr>
            <w:tcW w:w="627" w:type="dxa"/>
            <w:tcBorders>
              <w:top w:val="nil"/>
              <w:left w:val="nil"/>
              <w:bottom w:val="single" w:sz="4" w:space="0" w:color="auto"/>
              <w:right w:val="single" w:sz="4" w:space="0" w:color="auto"/>
            </w:tcBorders>
            <w:shd w:val="clear" w:color="auto" w:fill="auto"/>
            <w:noWrap/>
            <w:vAlign w:val="bottom"/>
            <w:hideMark/>
          </w:tcPr>
          <w:p w14:paraId="037C67DC"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-7.93</w:t>
            </w:r>
          </w:p>
        </w:tc>
        <w:tc>
          <w:tcPr>
            <w:tcW w:w="627" w:type="dxa"/>
            <w:tcBorders>
              <w:top w:val="nil"/>
              <w:left w:val="nil"/>
              <w:bottom w:val="single" w:sz="4" w:space="0" w:color="auto"/>
              <w:right w:val="single" w:sz="4" w:space="0" w:color="auto"/>
            </w:tcBorders>
            <w:shd w:val="clear" w:color="auto" w:fill="auto"/>
            <w:noWrap/>
            <w:vAlign w:val="bottom"/>
            <w:hideMark/>
          </w:tcPr>
          <w:p w14:paraId="56A9129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-5.71</w:t>
            </w:r>
          </w:p>
        </w:tc>
        <w:tc>
          <w:tcPr>
            <w:tcW w:w="627" w:type="dxa"/>
            <w:tcBorders>
              <w:top w:val="nil"/>
              <w:left w:val="nil"/>
              <w:bottom w:val="single" w:sz="4" w:space="0" w:color="auto"/>
              <w:right w:val="single" w:sz="4" w:space="0" w:color="auto"/>
            </w:tcBorders>
            <w:shd w:val="clear" w:color="auto" w:fill="auto"/>
            <w:noWrap/>
            <w:vAlign w:val="bottom"/>
            <w:hideMark/>
          </w:tcPr>
          <w:p w14:paraId="2F3A7F5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16.74</w:t>
            </w:r>
          </w:p>
        </w:tc>
        <w:tc>
          <w:tcPr>
            <w:tcW w:w="718" w:type="dxa"/>
            <w:tcBorders>
              <w:top w:val="nil"/>
              <w:left w:val="nil"/>
              <w:bottom w:val="single" w:sz="4" w:space="0" w:color="auto"/>
              <w:right w:val="single" w:sz="4" w:space="0" w:color="auto"/>
            </w:tcBorders>
            <w:shd w:val="clear" w:color="auto" w:fill="auto"/>
            <w:noWrap/>
            <w:vAlign w:val="bottom"/>
            <w:hideMark/>
          </w:tcPr>
          <w:p w14:paraId="7233588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-15.26</w:t>
            </w:r>
          </w:p>
        </w:tc>
        <w:tc>
          <w:tcPr>
            <w:tcW w:w="627" w:type="dxa"/>
            <w:tcBorders>
              <w:top w:val="nil"/>
              <w:left w:val="nil"/>
              <w:bottom w:val="single" w:sz="4" w:space="0" w:color="auto"/>
              <w:right w:val="single" w:sz="4" w:space="0" w:color="auto"/>
            </w:tcBorders>
            <w:shd w:val="clear" w:color="auto" w:fill="auto"/>
            <w:noWrap/>
            <w:vAlign w:val="bottom"/>
            <w:hideMark/>
          </w:tcPr>
          <w:p w14:paraId="36D86141"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-23.5</w:t>
            </w:r>
          </w:p>
        </w:tc>
        <w:tc>
          <w:tcPr>
            <w:tcW w:w="627" w:type="dxa"/>
            <w:tcBorders>
              <w:top w:val="nil"/>
              <w:left w:val="nil"/>
              <w:bottom w:val="single" w:sz="4" w:space="0" w:color="auto"/>
              <w:right w:val="single" w:sz="4" w:space="0" w:color="auto"/>
            </w:tcBorders>
            <w:shd w:val="clear" w:color="auto" w:fill="auto"/>
            <w:noWrap/>
            <w:vAlign w:val="bottom"/>
            <w:hideMark/>
          </w:tcPr>
          <w:p w14:paraId="2617BA3B"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16.13</w:t>
            </w:r>
          </w:p>
        </w:tc>
        <w:tc>
          <w:tcPr>
            <w:tcW w:w="627" w:type="dxa"/>
            <w:tcBorders>
              <w:top w:val="nil"/>
              <w:left w:val="nil"/>
              <w:bottom w:val="single" w:sz="4" w:space="0" w:color="auto"/>
              <w:right w:val="single" w:sz="4" w:space="0" w:color="auto"/>
            </w:tcBorders>
            <w:shd w:val="clear" w:color="auto" w:fill="auto"/>
            <w:noWrap/>
            <w:vAlign w:val="bottom"/>
            <w:hideMark/>
          </w:tcPr>
          <w:p w14:paraId="7750251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25.79</w:t>
            </w:r>
          </w:p>
        </w:tc>
        <w:tc>
          <w:tcPr>
            <w:tcW w:w="627" w:type="dxa"/>
            <w:tcBorders>
              <w:top w:val="nil"/>
              <w:left w:val="nil"/>
              <w:bottom w:val="single" w:sz="4" w:space="0" w:color="auto"/>
              <w:right w:val="single" w:sz="4" w:space="0" w:color="auto"/>
            </w:tcBorders>
            <w:shd w:val="clear" w:color="auto" w:fill="auto"/>
            <w:noWrap/>
            <w:vAlign w:val="bottom"/>
            <w:hideMark/>
          </w:tcPr>
          <w:p w14:paraId="58AB3A38"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-8.98</w:t>
            </w:r>
          </w:p>
        </w:tc>
        <w:tc>
          <w:tcPr>
            <w:tcW w:w="627" w:type="dxa"/>
            <w:tcBorders>
              <w:top w:val="nil"/>
              <w:left w:val="nil"/>
              <w:bottom w:val="single" w:sz="4" w:space="0" w:color="auto"/>
              <w:right w:val="single" w:sz="4" w:space="0" w:color="auto"/>
            </w:tcBorders>
            <w:shd w:val="clear" w:color="auto" w:fill="auto"/>
            <w:noWrap/>
            <w:vAlign w:val="bottom"/>
            <w:hideMark/>
          </w:tcPr>
          <w:p w14:paraId="3BE55AF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3.81</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68DFDA1F"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-26.96</w:t>
            </w:r>
          </w:p>
        </w:tc>
        <w:tc>
          <w:tcPr>
            <w:tcW w:w="627" w:type="dxa"/>
            <w:tcBorders>
              <w:top w:val="nil"/>
              <w:left w:val="nil"/>
              <w:bottom w:val="single" w:sz="4" w:space="0" w:color="auto"/>
              <w:right w:val="single" w:sz="4" w:space="0" w:color="auto"/>
            </w:tcBorders>
            <w:shd w:val="clear" w:color="auto" w:fill="auto"/>
            <w:noWrap/>
            <w:vAlign w:val="bottom"/>
            <w:hideMark/>
          </w:tcPr>
          <w:p w14:paraId="6EBFC50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5.73</w:t>
            </w:r>
          </w:p>
        </w:tc>
        <w:tc>
          <w:tcPr>
            <w:tcW w:w="627" w:type="dxa"/>
            <w:tcBorders>
              <w:top w:val="nil"/>
              <w:left w:val="nil"/>
              <w:bottom w:val="single" w:sz="4" w:space="0" w:color="auto"/>
              <w:right w:val="single" w:sz="4" w:space="0" w:color="auto"/>
            </w:tcBorders>
            <w:shd w:val="clear" w:color="auto" w:fill="auto"/>
            <w:noWrap/>
            <w:vAlign w:val="bottom"/>
            <w:hideMark/>
          </w:tcPr>
          <w:p w14:paraId="4DF6A1B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12.24</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09A6D33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0.61</w:t>
            </w:r>
          </w:p>
        </w:tc>
        <w:tc>
          <w:tcPr>
            <w:tcW w:w="627" w:type="dxa"/>
            <w:tcBorders>
              <w:top w:val="nil"/>
              <w:left w:val="nil"/>
              <w:bottom w:val="single" w:sz="4" w:space="0" w:color="auto"/>
              <w:right w:val="single" w:sz="4" w:space="0" w:color="auto"/>
            </w:tcBorders>
            <w:shd w:val="clear" w:color="auto" w:fill="auto"/>
            <w:noWrap/>
            <w:vAlign w:val="bottom"/>
            <w:hideMark/>
          </w:tcPr>
          <w:p w14:paraId="6001570B"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-5.23</w:t>
            </w:r>
          </w:p>
        </w:tc>
        <w:tc>
          <w:tcPr>
            <w:tcW w:w="627" w:type="dxa"/>
            <w:tcBorders>
              <w:top w:val="nil"/>
              <w:left w:val="nil"/>
              <w:bottom w:val="single" w:sz="4" w:space="0" w:color="auto"/>
              <w:right w:val="single" w:sz="4" w:space="0" w:color="auto"/>
            </w:tcBorders>
            <w:shd w:val="clear" w:color="auto" w:fill="auto"/>
            <w:noWrap/>
            <w:vAlign w:val="bottom"/>
            <w:hideMark/>
          </w:tcPr>
          <w:p w14:paraId="2E752314"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12.36</w:t>
            </w:r>
          </w:p>
        </w:tc>
      </w:tr>
      <w:tr w:rsidR="003E4F6F" w:rsidRPr="00B20F18" w14:paraId="5E9E6B08"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5A821CDE"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Return on Equity</w:t>
            </w:r>
          </w:p>
        </w:tc>
        <w:tc>
          <w:tcPr>
            <w:tcW w:w="627" w:type="dxa"/>
            <w:tcBorders>
              <w:top w:val="nil"/>
              <w:left w:val="nil"/>
              <w:bottom w:val="single" w:sz="4" w:space="0" w:color="auto"/>
              <w:right w:val="single" w:sz="4" w:space="0" w:color="auto"/>
            </w:tcBorders>
            <w:shd w:val="clear" w:color="auto" w:fill="auto"/>
            <w:noWrap/>
            <w:vAlign w:val="bottom"/>
            <w:hideMark/>
          </w:tcPr>
          <w:p w14:paraId="4C9A681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39.09</w:t>
            </w:r>
          </w:p>
        </w:tc>
        <w:tc>
          <w:tcPr>
            <w:tcW w:w="627" w:type="dxa"/>
            <w:tcBorders>
              <w:top w:val="nil"/>
              <w:left w:val="nil"/>
              <w:bottom w:val="single" w:sz="4" w:space="0" w:color="auto"/>
              <w:right w:val="single" w:sz="4" w:space="0" w:color="auto"/>
            </w:tcBorders>
            <w:shd w:val="clear" w:color="auto" w:fill="auto"/>
            <w:noWrap/>
            <w:vAlign w:val="bottom"/>
            <w:hideMark/>
          </w:tcPr>
          <w:p w14:paraId="5A97DBFF"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1.42</w:t>
            </w:r>
          </w:p>
        </w:tc>
        <w:tc>
          <w:tcPr>
            <w:tcW w:w="627" w:type="dxa"/>
            <w:tcBorders>
              <w:top w:val="nil"/>
              <w:left w:val="nil"/>
              <w:bottom w:val="single" w:sz="4" w:space="0" w:color="auto"/>
              <w:right w:val="single" w:sz="4" w:space="0" w:color="auto"/>
            </w:tcBorders>
            <w:shd w:val="clear" w:color="auto" w:fill="auto"/>
            <w:noWrap/>
            <w:vAlign w:val="bottom"/>
            <w:hideMark/>
          </w:tcPr>
          <w:p w14:paraId="0EDFB4D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33.3</w:t>
            </w:r>
          </w:p>
        </w:tc>
        <w:tc>
          <w:tcPr>
            <w:tcW w:w="718" w:type="dxa"/>
            <w:tcBorders>
              <w:top w:val="nil"/>
              <w:left w:val="nil"/>
              <w:bottom w:val="single" w:sz="4" w:space="0" w:color="auto"/>
              <w:right w:val="single" w:sz="4" w:space="0" w:color="auto"/>
            </w:tcBorders>
            <w:shd w:val="clear" w:color="auto" w:fill="auto"/>
            <w:noWrap/>
            <w:vAlign w:val="bottom"/>
            <w:hideMark/>
          </w:tcPr>
          <w:p w14:paraId="3729182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227.47</w:t>
            </w:r>
          </w:p>
        </w:tc>
        <w:tc>
          <w:tcPr>
            <w:tcW w:w="627" w:type="dxa"/>
            <w:tcBorders>
              <w:top w:val="nil"/>
              <w:left w:val="nil"/>
              <w:bottom w:val="single" w:sz="4" w:space="0" w:color="auto"/>
              <w:right w:val="single" w:sz="4" w:space="0" w:color="auto"/>
            </w:tcBorders>
            <w:shd w:val="clear" w:color="auto" w:fill="auto"/>
            <w:noWrap/>
            <w:vAlign w:val="bottom"/>
            <w:hideMark/>
          </w:tcPr>
          <w:p w14:paraId="3E8FB881"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-40.95</w:t>
            </w:r>
          </w:p>
        </w:tc>
        <w:tc>
          <w:tcPr>
            <w:tcW w:w="627" w:type="dxa"/>
            <w:tcBorders>
              <w:top w:val="nil"/>
              <w:left w:val="nil"/>
              <w:bottom w:val="single" w:sz="4" w:space="0" w:color="auto"/>
              <w:right w:val="single" w:sz="4" w:space="0" w:color="auto"/>
            </w:tcBorders>
            <w:shd w:val="clear" w:color="auto" w:fill="auto"/>
            <w:noWrap/>
            <w:vAlign w:val="bottom"/>
            <w:hideMark/>
          </w:tcPr>
          <w:p w14:paraId="2AA5F2C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37.19</w:t>
            </w:r>
          </w:p>
        </w:tc>
        <w:tc>
          <w:tcPr>
            <w:tcW w:w="627" w:type="dxa"/>
            <w:tcBorders>
              <w:top w:val="nil"/>
              <w:left w:val="nil"/>
              <w:bottom w:val="single" w:sz="4" w:space="0" w:color="auto"/>
              <w:right w:val="single" w:sz="4" w:space="0" w:color="auto"/>
            </w:tcBorders>
            <w:shd w:val="clear" w:color="auto" w:fill="auto"/>
            <w:noWrap/>
            <w:vAlign w:val="bottom"/>
            <w:hideMark/>
          </w:tcPr>
          <w:p w14:paraId="3B5F5B7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68.2</w:t>
            </w:r>
          </w:p>
        </w:tc>
        <w:tc>
          <w:tcPr>
            <w:tcW w:w="627" w:type="dxa"/>
            <w:tcBorders>
              <w:top w:val="nil"/>
              <w:left w:val="nil"/>
              <w:bottom w:val="single" w:sz="4" w:space="0" w:color="auto"/>
              <w:right w:val="single" w:sz="4" w:space="0" w:color="auto"/>
            </w:tcBorders>
            <w:shd w:val="clear" w:color="auto" w:fill="auto"/>
            <w:noWrap/>
            <w:vAlign w:val="bottom"/>
            <w:hideMark/>
          </w:tcPr>
          <w:p w14:paraId="5444AD4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-11.61</w:t>
            </w:r>
          </w:p>
        </w:tc>
        <w:tc>
          <w:tcPr>
            <w:tcW w:w="627" w:type="dxa"/>
            <w:tcBorders>
              <w:top w:val="nil"/>
              <w:left w:val="nil"/>
              <w:bottom w:val="single" w:sz="4" w:space="0" w:color="auto"/>
              <w:right w:val="single" w:sz="4" w:space="0" w:color="auto"/>
            </w:tcBorders>
            <w:shd w:val="clear" w:color="auto" w:fill="auto"/>
            <w:noWrap/>
            <w:vAlign w:val="bottom"/>
            <w:hideMark/>
          </w:tcPr>
          <w:p w14:paraId="69B8A72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79.83</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6BF26B7F"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-216.31</w:t>
            </w:r>
          </w:p>
        </w:tc>
        <w:tc>
          <w:tcPr>
            <w:tcW w:w="627" w:type="dxa"/>
            <w:tcBorders>
              <w:top w:val="nil"/>
              <w:left w:val="nil"/>
              <w:bottom w:val="single" w:sz="4" w:space="0" w:color="auto"/>
              <w:right w:val="single" w:sz="4" w:space="0" w:color="auto"/>
            </w:tcBorders>
            <w:shd w:val="clear" w:color="auto" w:fill="auto"/>
            <w:noWrap/>
            <w:vAlign w:val="bottom"/>
            <w:hideMark/>
          </w:tcPr>
          <w:p w14:paraId="4E12D488"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10.53</w:t>
            </w:r>
          </w:p>
        </w:tc>
        <w:tc>
          <w:tcPr>
            <w:tcW w:w="627" w:type="dxa"/>
            <w:tcBorders>
              <w:top w:val="nil"/>
              <w:left w:val="nil"/>
              <w:bottom w:val="single" w:sz="4" w:space="0" w:color="auto"/>
              <w:right w:val="single" w:sz="4" w:space="0" w:color="auto"/>
            </w:tcBorders>
            <w:shd w:val="clear" w:color="auto" w:fill="auto"/>
            <w:noWrap/>
            <w:vAlign w:val="bottom"/>
            <w:hideMark/>
          </w:tcPr>
          <w:p w14:paraId="437046B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75.94</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455698A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1.67</w:t>
            </w:r>
          </w:p>
        </w:tc>
        <w:tc>
          <w:tcPr>
            <w:tcW w:w="627" w:type="dxa"/>
            <w:tcBorders>
              <w:top w:val="nil"/>
              <w:left w:val="nil"/>
              <w:bottom w:val="single" w:sz="4" w:space="0" w:color="auto"/>
              <w:right w:val="single" w:sz="4" w:space="0" w:color="auto"/>
            </w:tcBorders>
            <w:shd w:val="clear" w:color="auto" w:fill="auto"/>
            <w:noWrap/>
            <w:vAlign w:val="bottom"/>
            <w:hideMark/>
          </w:tcPr>
          <w:p w14:paraId="262A1568"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1.69</w:t>
            </w:r>
          </w:p>
        </w:tc>
        <w:tc>
          <w:tcPr>
            <w:tcW w:w="627" w:type="dxa"/>
            <w:tcBorders>
              <w:top w:val="nil"/>
              <w:left w:val="nil"/>
              <w:bottom w:val="single" w:sz="4" w:space="0" w:color="auto"/>
              <w:right w:val="single" w:sz="4" w:space="0" w:color="auto"/>
            </w:tcBorders>
            <w:shd w:val="clear" w:color="auto" w:fill="auto"/>
            <w:noWrap/>
            <w:vAlign w:val="bottom"/>
            <w:hideMark/>
          </w:tcPr>
          <w:p w14:paraId="3784041C"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76.39</w:t>
            </w:r>
          </w:p>
        </w:tc>
      </w:tr>
      <w:tr w:rsidR="003E4F6F" w:rsidRPr="00B20F18" w14:paraId="414EEB67"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7E7CE8F8"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Return on Assets</w:t>
            </w:r>
          </w:p>
        </w:tc>
        <w:tc>
          <w:tcPr>
            <w:tcW w:w="627" w:type="dxa"/>
            <w:tcBorders>
              <w:top w:val="nil"/>
              <w:left w:val="nil"/>
              <w:bottom w:val="single" w:sz="4" w:space="0" w:color="auto"/>
              <w:right w:val="single" w:sz="4" w:space="0" w:color="auto"/>
            </w:tcBorders>
            <w:shd w:val="clear" w:color="auto" w:fill="auto"/>
            <w:noWrap/>
            <w:vAlign w:val="bottom"/>
            <w:hideMark/>
          </w:tcPr>
          <w:p w14:paraId="190274D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-4.06</w:t>
            </w:r>
          </w:p>
        </w:tc>
        <w:tc>
          <w:tcPr>
            <w:tcW w:w="627" w:type="dxa"/>
            <w:tcBorders>
              <w:top w:val="nil"/>
              <w:left w:val="nil"/>
              <w:bottom w:val="single" w:sz="4" w:space="0" w:color="auto"/>
              <w:right w:val="single" w:sz="4" w:space="0" w:color="auto"/>
            </w:tcBorders>
            <w:shd w:val="clear" w:color="auto" w:fill="auto"/>
            <w:noWrap/>
            <w:vAlign w:val="bottom"/>
            <w:hideMark/>
          </w:tcPr>
          <w:p w14:paraId="0E495AF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0.16</w:t>
            </w:r>
          </w:p>
        </w:tc>
        <w:tc>
          <w:tcPr>
            <w:tcW w:w="627" w:type="dxa"/>
            <w:tcBorders>
              <w:top w:val="nil"/>
              <w:left w:val="nil"/>
              <w:bottom w:val="single" w:sz="4" w:space="0" w:color="auto"/>
              <w:right w:val="single" w:sz="4" w:space="0" w:color="auto"/>
            </w:tcBorders>
            <w:shd w:val="clear" w:color="auto" w:fill="auto"/>
            <w:noWrap/>
            <w:vAlign w:val="bottom"/>
            <w:hideMark/>
          </w:tcPr>
          <w:p w14:paraId="2F3356B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10.61</w:t>
            </w:r>
          </w:p>
        </w:tc>
        <w:tc>
          <w:tcPr>
            <w:tcW w:w="718" w:type="dxa"/>
            <w:tcBorders>
              <w:top w:val="nil"/>
              <w:left w:val="nil"/>
              <w:bottom w:val="single" w:sz="4" w:space="0" w:color="auto"/>
              <w:right w:val="single" w:sz="4" w:space="0" w:color="auto"/>
            </w:tcBorders>
            <w:shd w:val="clear" w:color="auto" w:fill="auto"/>
            <w:noWrap/>
            <w:vAlign w:val="bottom"/>
            <w:hideMark/>
          </w:tcPr>
          <w:p w14:paraId="5F91E7DE"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-7.51</w:t>
            </w:r>
          </w:p>
        </w:tc>
        <w:tc>
          <w:tcPr>
            <w:tcW w:w="627" w:type="dxa"/>
            <w:tcBorders>
              <w:top w:val="nil"/>
              <w:left w:val="nil"/>
              <w:bottom w:val="single" w:sz="4" w:space="0" w:color="auto"/>
              <w:right w:val="single" w:sz="4" w:space="0" w:color="auto"/>
            </w:tcBorders>
            <w:shd w:val="clear" w:color="auto" w:fill="auto"/>
            <w:noWrap/>
            <w:vAlign w:val="bottom"/>
            <w:hideMark/>
          </w:tcPr>
          <w:p w14:paraId="7B791D7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-6.77</w:t>
            </w:r>
          </w:p>
        </w:tc>
        <w:tc>
          <w:tcPr>
            <w:tcW w:w="627" w:type="dxa"/>
            <w:tcBorders>
              <w:top w:val="nil"/>
              <w:left w:val="nil"/>
              <w:bottom w:val="single" w:sz="4" w:space="0" w:color="auto"/>
              <w:right w:val="single" w:sz="4" w:space="0" w:color="auto"/>
            </w:tcBorders>
            <w:shd w:val="clear" w:color="auto" w:fill="auto"/>
            <w:noWrap/>
            <w:vAlign w:val="bottom"/>
            <w:hideMark/>
          </w:tcPr>
          <w:p w14:paraId="706D4F8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11.82</w:t>
            </w:r>
          </w:p>
        </w:tc>
        <w:tc>
          <w:tcPr>
            <w:tcW w:w="627" w:type="dxa"/>
            <w:tcBorders>
              <w:top w:val="nil"/>
              <w:left w:val="nil"/>
              <w:bottom w:val="single" w:sz="4" w:space="0" w:color="auto"/>
              <w:right w:val="single" w:sz="4" w:space="0" w:color="auto"/>
            </w:tcBorders>
            <w:shd w:val="clear" w:color="auto" w:fill="auto"/>
            <w:noWrap/>
            <w:vAlign w:val="bottom"/>
            <w:hideMark/>
          </w:tcPr>
          <w:p w14:paraId="2C91B9E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14.02</w:t>
            </w:r>
          </w:p>
        </w:tc>
        <w:tc>
          <w:tcPr>
            <w:tcW w:w="627" w:type="dxa"/>
            <w:tcBorders>
              <w:top w:val="nil"/>
              <w:left w:val="nil"/>
              <w:bottom w:val="single" w:sz="4" w:space="0" w:color="auto"/>
              <w:right w:val="single" w:sz="4" w:space="0" w:color="auto"/>
            </w:tcBorders>
            <w:shd w:val="clear" w:color="auto" w:fill="auto"/>
            <w:noWrap/>
            <w:vAlign w:val="bottom"/>
            <w:hideMark/>
          </w:tcPr>
          <w:p w14:paraId="6D95992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-2.31</w:t>
            </w:r>
          </w:p>
        </w:tc>
        <w:tc>
          <w:tcPr>
            <w:tcW w:w="627" w:type="dxa"/>
            <w:tcBorders>
              <w:top w:val="nil"/>
              <w:left w:val="nil"/>
              <w:bottom w:val="single" w:sz="4" w:space="0" w:color="auto"/>
              <w:right w:val="single" w:sz="4" w:space="0" w:color="auto"/>
            </w:tcBorders>
            <w:shd w:val="clear" w:color="auto" w:fill="auto"/>
            <w:noWrap/>
            <w:vAlign w:val="bottom"/>
            <w:hideMark/>
          </w:tcPr>
          <w:p w14:paraId="1F20420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2.67</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33920BD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-15.79</w:t>
            </w:r>
          </w:p>
        </w:tc>
        <w:tc>
          <w:tcPr>
            <w:tcW w:w="627" w:type="dxa"/>
            <w:tcBorders>
              <w:top w:val="nil"/>
              <w:left w:val="nil"/>
              <w:bottom w:val="single" w:sz="4" w:space="0" w:color="auto"/>
              <w:right w:val="single" w:sz="4" w:space="0" w:color="auto"/>
            </w:tcBorders>
            <w:shd w:val="clear" w:color="auto" w:fill="auto"/>
            <w:noWrap/>
            <w:vAlign w:val="bottom"/>
            <w:hideMark/>
          </w:tcPr>
          <w:p w14:paraId="04DD164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2.24</w:t>
            </w:r>
          </w:p>
        </w:tc>
        <w:tc>
          <w:tcPr>
            <w:tcW w:w="627" w:type="dxa"/>
            <w:tcBorders>
              <w:top w:val="nil"/>
              <w:left w:val="nil"/>
              <w:bottom w:val="single" w:sz="4" w:space="0" w:color="auto"/>
              <w:right w:val="single" w:sz="4" w:space="0" w:color="auto"/>
            </w:tcBorders>
            <w:shd w:val="clear" w:color="auto" w:fill="auto"/>
            <w:noWrap/>
            <w:vAlign w:val="bottom"/>
            <w:hideMark/>
          </w:tcPr>
          <w:p w14:paraId="30ABFC68"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8.96</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50FEE31E"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0.38</w:t>
            </w:r>
          </w:p>
        </w:tc>
        <w:tc>
          <w:tcPr>
            <w:tcW w:w="627" w:type="dxa"/>
            <w:tcBorders>
              <w:top w:val="nil"/>
              <w:left w:val="nil"/>
              <w:bottom w:val="single" w:sz="4" w:space="0" w:color="auto"/>
              <w:right w:val="single" w:sz="4" w:space="0" w:color="auto"/>
            </w:tcBorders>
            <w:shd w:val="clear" w:color="auto" w:fill="auto"/>
            <w:noWrap/>
            <w:vAlign w:val="bottom"/>
            <w:hideMark/>
          </w:tcPr>
          <w:p w14:paraId="5D5BDEB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0.34</w:t>
            </w:r>
          </w:p>
        </w:tc>
        <w:tc>
          <w:tcPr>
            <w:tcW w:w="627" w:type="dxa"/>
            <w:tcBorders>
              <w:top w:val="nil"/>
              <w:left w:val="nil"/>
              <w:bottom w:val="single" w:sz="4" w:space="0" w:color="auto"/>
              <w:right w:val="single" w:sz="4" w:space="0" w:color="auto"/>
            </w:tcBorders>
            <w:shd w:val="clear" w:color="auto" w:fill="auto"/>
            <w:noWrap/>
            <w:vAlign w:val="bottom"/>
            <w:hideMark/>
          </w:tcPr>
          <w:p w14:paraId="287C3D78"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9.82</w:t>
            </w:r>
          </w:p>
        </w:tc>
      </w:tr>
      <w:tr w:rsidR="003E4F6F" w:rsidRPr="00B20F18" w14:paraId="26EE9BB9" w14:textId="77777777" w:rsidTr="003E4F6F">
        <w:trPr>
          <w:gridAfter w:val="1"/>
          <w:wAfter w:w="6" w:type="dxa"/>
          <w:trHeight w:val="475"/>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14:paraId="0BA99AD9" w14:textId="77777777" w:rsidR="00D23EB4" w:rsidRPr="00B20F18" w:rsidRDefault="00D23EB4" w:rsidP="003B4A37">
            <w:pPr>
              <w:spacing w:after="0" w:line="240" w:lineRule="auto"/>
              <w:jc w:val="lef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Return on Investment</w:t>
            </w:r>
          </w:p>
        </w:tc>
        <w:tc>
          <w:tcPr>
            <w:tcW w:w="627" w:type="dxa"/>
            <w:tcBorders>
              <w:top w:val="nil"/>
              <w:left w:val="nil"/>
              <w:bottom w:val="single" w:sz="4" w:space="0" w:color="auto"/>
              <w:right w:val="single" w:sz="4" w:space="0" w:color="auto"/>
            </w:tcBorders>
            <w:shd w:val="clear" w:color="auto" w:fill="auto"/>
            <w:noWrap/>
            <w:vAlign w:val="bottom"/>
            <w:hideMark/>
          </w:tcPr>
          <w:p w14:paraId="04A634C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-84.25</w:t>
            </w:r>
          </w:p>
        </w:tc>
        <w:tc>
          <w:tcPr>
            <w:tcW w:w="627" w:type="dxa"/>
            <w:tcBorders>
              <w:top w:val="nil"/>
              <w:left w:val="nil"/>
              <w:bottom w:val="single" w:sz="4" w:space="0" w:color="auto"/>
              <w:right w:val="single" w:sz="4" w:space="0" w:color="auto"/>
            </w:tcBorders>
            <w:shd w:val="clear" w:color="auto" w:fill="auto"/>
            <w:noWrap/>
            <w:vAlign w:val="bottom"/>
            <w:hideMark/>
          </w:tcPr>
          <w:p w14:paraId="77445843"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0.44</w:t>
            </w:r>
          </w:p>
        </w:tc>
        <w:tc>
          <w:tcPr>
            <w:tcW w:w="627" w:type="dxa"/>
            <w:tcBorders>
              <w:top w:val="nil"/>
              <w:left w:val="nil"/>
              <w:bottom w:val="single" w:sz="4" w:space="0" w:color="auto"/>
              <w:right w:val="single" w:sz="4" w:space="0" w:color="auto"/>
            </w:tcBorders>
            <w:shd w:val="clear" w:color="auto" w:fill="auto"/>
            <w:noWrap/>
            <w:vAlign w:val="bottom"/>
            <w:hideMark/>
          </w:tcPr>
          <w:p w14:paraId="13FB009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20.89</w:t>
            </w:r>
          </w:p>
        </w:tc>
        <w:tc>
          <w:tcPr>
            <w:tcW w:w="718" w:type="dxa"/>
            <w:tcBorders>
              <w:top w:val="nil"/>
              <w:left w:val="nil"/>
              <w:bottom w:val="single" w:sz="4" w:space="0" w:color="auto"/>
              <w:right w:val="single" w:sz="4" w:space="0" w:color="auto"/>
            </w:tcBorders>
            <w:shd w:val="clear" w:color="auto" w:fill="auto"/>
            <w:noWrap/>
            <w:vAlign w:val="bottom"/>
            <w:hideMark/>
          </w:tcPr>
          <w:p w14:paraId="1F52A39C"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-86.95</w:t>
            </w:r>
          </w:p>
        </w:tc>
        <w:tc>
          <w:tcPr>
            <w:tcW w:w="627" w:type="dxa"/>
            <w:tcBorders>
              <w:top w:val="nil"/>
              <w:left w:val="nil"/>
              <w:bottom w:val="single" w:sz="4" w:space="0" w:color="auto"/>
              <w:right w:val="single" w:sz="4" w:space="0" w:color="auto"/>
            </w:tcBorders>
            <w:shd w:val="clear" w:color="auto" w:fill="auto"/>
            <w:noWrap/>
            <w:vAlign w:val="bottom"/>
            <w:hideMark/>
          </w:tcPr>
          <w:p w14:paraId="405B49B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-15.01</w:t>
            </w:r>
          </w:p>
        </w:tc>
        <w:tc>
          <w:tcPr>
            <w:tcW w:w="627" w:type="dxa"/>
            <w:tcBorders>
              <w:top w:val="nil"/>
              <w:left w:val="nil"/>
              <w:bottom w:val="single" w:sz="4" w:space="0" w:color="auto"/>
              <w:right w:val="single" w:sz="4" w:space="0" w:color="auto"/>
            </w:tcBorders>
            <w:shd w:val="clear" w:color="auto" w:fill="auto"/>
            <w:noWrap/>
            <w:vAlign w:val="bottom"/>
            <w:hideMark/>
          </w:tcPr>
          <w:p w14:paraId="092824F0"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24.28</w:t>
            </w:r>
          </w:p>
        </w:tc>
        <w:tc>
          <w:tcPr>
            <w:tcW w:w="627" w:type="dxa"/>
            <w:tcBorders>
              <w:top w:val="nil"/>
              <w:left w:val="nil"/>
              <w:bottom w:val="single" w:sz="4" w:space="0" w:color="auto"/>
              <w:right w:val="single" w:sz="4" w:space="0" w:color="auto"/>
            </w:tcBorders>
            <w:shd w:val="clear" w:color="auto" w:fill="auto"/>
            <w:noWrap/>
            <w:vAlign w:val="bottom"/>
            <w:hideMark/>
          </w:tcPr>
          <w:p w14:paraId="641DBFC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43.94</w:t>
            </w:r>
          </w:p>
        </w:tc>
        <w:tc>
          <w:tcPr>
            <w:tcW w:w="627" w:type="dxa"/>
            <w:tcBorders>
              <w:top w:val="nil"/>
              <w:left w:val="nil"/>
              <w:bottom w:val="single" w:sz="4" w:space="0" w:color="auto"/>
              <w:right w:val="single" w:sz="4" w:space="0" w:color="auto"/>
            </w:tcBorders>
            <w:shd w:val="clear" w:color="auto" w:fill="auto"/>
            <w:noWrap/>
            <w:vAlign w:val="bottom"/>
            <w:hideMark/>
          </w:tcPr>
          <w:p w14:paraId="64536F7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-4.69</w:t>
            </w:r>
          </w:p>
        </w:tc>
        <w:tc>
          <w:tcPr>
            <w:tcW w:w="627" w:type="dxa"/>
            <w:tcBorders>
              <w:top w:val="nil"/>
              <w:left w:val="nil"/>
              <w:bottom w:val="single" w:sz="4" w:space="0" w:color="auto"/>
              <w:right w:val="single" w:sz="4" w:space="0" w:color="auto"/>
            </w:tcBorders>
            <w:shd w:val="clear" w:color="auto" w:fill="auto"/>
            <w:noWrap/>
            <w:vAlign w:val="bottom"/>
            <w:hideMark/>
          </w:tcPr>
          <w:p w14:paraId="6FE8F6B5"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5.43</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574D77F6"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-79.85</w:t>
            </w:r>
          </w:p>
        </w:tc>
        <w:tc>
          <w:tcPr>
            <w:tcW w:w="627" w:type="dxa"/>
            <w:tcBorders>
              <w:top w:val="nil"/>
              <w:left w:val="nil"/>
              <w:bottom w:val="single" w:sz="4" w:space="0" w:color="auto"/>
              <w:right w:val="single" w:sz="4" w:space="0" w:color="auto"/>
            </w:tcBorders>
            <w:shd w:val="clear" w:color="auto" w:fill="auto"/>
            <w:noWrap/>
            <w:vAlign w:val="bottom"/>
            <w:hideMark/>
          </w:tcPr>
          <w:p w14:paraId="51FFFC19"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4.47</w:t>
            </w:r>
          </w:p>
        </w:tc>
        <w:tc>
          <w:tcPr>
            <w:tcW w:w="627" w:type="dxa"/>
            <w:tcBorders>
              <w:top w:val="nil"/>
              <w:left w:val="nil"/>
              <w:bottom w:val="single" w:sz="4" w:space="0" w:color="auto"/>
              <w:right w:val="single" w:sz="4" w:space="0" w:color="auto"/>
            </w:tcBorders>
            <w:shd w:val="clear" w:color="auto" w:fill="auto"/>
            <w:noWrap/>
            <w:vAlign w:val="bottom"/>
            <w:hideMark/>
          </w:tcPr>
          <w:p w14:paraId="64771BDA"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15.28</w:t>
            </w:r>
          </w:p>
        </w:tc>
        <w:tc>
          <w:tcPr>
            <w:tcW w:w="718" w:type="dxa"/>
            <w:gridSpan w:val="2"/>
            <w:tcBorders>
              <w:top w:val="nil"/>
              <w:left w:val="nil"/>
              <w:bottom w:val="single" w:sz="4" w:space="0" w:color="auto"/>
              <w:right w:val="single" w:sz="4" w:space="0" w:color="auto"/>
            </w:tcBorders>
            <w:shd w:val="clear" w:color="auto" w:fill="auto"/>
            <w:noWrap/>
            <w:vAlign w:val="bottom"/>
            <w:hideMark/>
          </w:tcPr>
          <w:p w14:paraId="4874730E"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1.06</w:t>
            </w:r>
          </w:p>
        </w:tc>
        <w:tc>
          <w:tcPr>
            <w:tcW w:w="627" w:type="dxa"/>
            <w:tcBorders>
              <w:top w:val="nil"/>
              <w:left w:val="nil"/>
              <w:bottom w:val="single" w:sz="4" w:space="0" w:color="auto"/>
              <w:right w:val="single" w:sz="4" w:space="0" w:color="auto"/>
            </w:tcBorders>
            <w:shd w:val="clear" w:color="auto" w:fill="auto"/>
            <w:noWrap/>
            <w:vAlign w:val="bottom"/>
            <w:hideMark/>
          </w:tcPr>
          <w:p w14:paraId="366EB967"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0.69</w:t>
            </w:r>
          </w:p>
        </w:tc>
        <w:tc>
          <w:tcPr>
            <w:tcW w:w="627" w:type="dxa"/>
            <w:tcBorders>
              <w:top w:val="nil"/>
              <w:left w:val="nil"/>
              <w:bottom w:val="single" w:sz="4" w:space="0" w:color="auto"/>
              <w:right w:val="single" w:sz="4" w:space="0" w:color="auto"/>
            </w:tcBorders>
            <w:shd w:val="clear" w:color="auto" w:fill="auto"/>
            <w:noWrap/>
            <w:vAlign w:val="bottom"/>
            <w:hideMark/>
          </w:tcPr>
          <w:p w14:paraId="50CB6BAD" w14:textId="77777777" w:rsidR="00D23EB4" w:rsidRPr="00B20F18" w:rsidRDefault="00D23EB4" w:rsidP="003B4A37">
            <w:pPr>
              <w:spacing w:after="0" w:line="240" w:lineRule="auto"/>
              <w:jc w:val="right"/>
              <w:rPr>
                <w:rFonts w:ascii="Arial" w:eastAsia="Times New Roman" w:hAnsi="Arial" w:cs="Arial"/>
                <w:color w:val="000000"/>
                <w:sz w:val="18"/>
                <w:szCs w:val="18"/>
                <w:lang w:eastAsia="en-GB"/>
              </w:rPr>
            </w:pPr>
            <w:r w:rsidRPr="00B20F18">
              <w:rPr>
                <w:rFonts w:ascii="Arial" w:eastAsia="Times New Roman" w:hAnsi="Arial" w:cs="Arial"/>
                <w:color w:val="000000"/>
                <w:sz w:val="18"/>
                <w:szCs w:val="18"/>
                <w:lang w:eastAsia="en-GB"/>
              </w:rPr>
              <w:t>20.21</w:t>
            </w:r>
          </w:p>
        </w:tc>
      </w:tr>
    </w:tbl>
    <w:p w14:paraId="58AA4290" w14:textId="77777777" w:rsidR="00D23EB4" w:rsidRPr="00B20F18" w:rsidRDefault="00D23EB4" w:rsidP="00621E76">
      <w:pPr>
        <w:rPr>
          <w:rFonts w:ascii="Arial" w:hAnsi="Arial" w:cs="Arial"/>
          <w:lang w:eastAsia="en-GB"/>
        </w:rPr>
      </w:pPr>
    </w:p>
    <w:p w14:paraId="2FCF463F" w14:textId="2C0909F5" w:rsidR="00CA65E8" w:rsidRPr="00B20F18" w:rsidRDefault="00BB2ACB" w:rsidP="00621E76">
      <w:pPr>
        <w:rPr>
          <w:rFonts w:ascii="Arial" w:hAnsi="Arial" w:cs="Arial"/>
          <w:lang w:eastAsia="en-GB"/>
        </w:rPr>
      </w:pPr>
      <w:r w:rsidRPr="00B20F18">
        <w:rPr>
          <w:rFonts w:ascii="Arial" w:hAnsi="Arial" w:cs="Arial"/>
          <w:lang w:eastAsia="en-GB"/>
        </w:rPr>
        <w:t xml:space="preserve">In the above table, RR stands for Rolls-Royce Holdings PLC., GE stands for General Electric and HI stands for </w:t>
      </w:r>
      <w:r w:rsidRPr="00B20F18">
        <w:rPr>
          <w:rFonts w:ascii="Arial" w:hAnsi="Arial" w:cs="Arial"/>
        </w:rPr>
        <w:t>Honeywell International Inc.</w:t>
      </w:r>
      <w:r w:rsidRPr="00B20F18">
        <w:rPr>
          <w:rFonts w:ascii="Arial" w:hAnsi="Arial" w:cs="Arial"/>
          <w:lang w:eastAsia="en-GB"/>
        </w:rPr>
        <w:t xml:space="preserve"> </w:t>
      </w:r>
      <w:r w:rsidR="00D23EB4" w:rsidRPr="00B20F18">
        <w:rPr>
          <w:rFonts w:ascii="Arial" w:hAnsi="Arial" w:cs="Arial"/>
          <w:lang w:eastAsia="en-GB"/>
        </w:rPr>
        <w:t xml:space="preserve">For better understanding and quick view of different ratios, </w:t>
      </w:r>
      <w:r w:rsidRPr="00B20F18">
        <w:rPr>
          <w:rFonts w:ascii="Arial" w:hAnsi="Arial" w:cs="Arial"/>
          <w:lang w:eastAsia="en-GB"/>
        </w:rPr>
        <w:t>the above results are shown in the bar chart</w:t>
      </w:r>
      <w:r w:rsidR="003E4F6F" w:rsidRPr="00B20F18">
        <w:rPr>
          <w:rFonts w:ascii="Arial" w:hAnsi="Arial" w:cs="Arial"/>
          <w:lang w:eastAsia="en-GB"/>
        </w:rPr>
        <w:t>:</w:t>
      </w:r>
    </w:p>
    <w:p w14:paraId="0AC67376" w14:textId="5F51A2B1" w:rsidR="00CA65E8" w:rsidRPr="00B20F18" w:rsidRDefault="00BB2ACB" w:rsidP="00BB2ACB">
      <w:pPr>
        <w:jc w:val="center"/>
        <w:rPr>
          <w:rFonts w:ascii="Arial" w:hAnsi="Arial" w:cs="Arial"/>
          <w:lang w:eastAsia="en-GB"/>
        </w:rPr>
      </w:pPr>
      <w:r w:rsidRPr="00B20F18">
        <w:rPr>
          <w:rFonts w:ascii="Arial" w:hAnsi="Arial" w:cs="Arial"/>
          <w:noProof/>
          <w:lang w:eastAsia="en-GB"/>
        </w:rPr>
        <w:drawing>
          <wp:inline distT="0" distB="0" distL="0" distR="0" wp14:anchorId="2BFF5A8A" wp14:editId="2CE8D310">
            <wp:extent cx="5534403" cy="3409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4403" cy="3409950"/>
                    </a:xfrm>
                    <a:prstGeom prst="rect">
                      <a:avLst/>
                    </a:prstGeom>
                    <a:noFill/>
                  </pic:spPr>
                </pic:pic>
              </a:graphicData>
            </a:graphic>
          </wp:inline>
        </w:drawing>
      </w:r>
    </w:p>
    <w:p w14:paraId="48944775" w14:textId="2B547744" w:rsidR="003E4F6F" w:rsidRPr="00B20F18" w:rsidRDefault="00BB2ACB" w:rsidP="003E4F6F">
      <w:pPr>
        <w:jc w:val="center"/>
        <w:rPr>
          <w:rFonts w:ascii="Arial" w:hAnsi="Arial" w:cs="Arial"/>
          <w:lang w:eastAsia="en-GB"/>
        </w:rPr>
      </w:pPr>
      <w:r w:rsidRPr="00B20F18">
        <w:rPr>
          <w:rFonts w:ascii="Arial" w:hAnsi="Arial" w:cs="Arial"/>
          <w:lang w:eastAsia="en-GB"/>
        </w:rPr>
        <w:t xml:space="preserve">Figure: Comparison of the profitability ratios (self-developed) </w:t>
      </w:r>
    </w:p>
    <w:p w14:paraId="62703DAC" w14:textId="77777777" w:rsidR="003E4F6F" w:rsidRPr="00B20F18" w:rsidRDefault="003E4F6F" w:rsidP="003E4F6F">
      <w:pPr>
        <w:jc w:val="center"/>
        <w:rPr>
          <w:rFonts w:ascii="Arial" w:hAnsi="Arial" w:cs="Arial"/>
          <w:lang w:eastAsia="en-GB"/>
        </w:rPr>
      </w:pPr>
    </w:p>
    <w:p w14:paraId="66275365" w14:textId="23239A5C" w:rsidR="003E4F6F" w:rsidRPr="00B20F18" w:rsidRDefault="00BB2ACB" w:rsidP="00621E76">
      <w:pPr>
        <w:rPr>
          <w:rFonts w:ascii="Arial" w:hAnsi="Arial" w:cs="Arial"/>
          <w:lang w:eastAsia="en-GB"/>
        </w:rPr>
      </w:pPr>
      <w:r w:rsidRPr="00B20F18">
        <w:rPr>
          <w:rFonts w:ascii="Arial" w:hAnsi="Arial" w:cs="Arial"/>
          <w:lang w:eastAsia="en-GB"/>
        </w:rPr>
        <w:t xml:space="preserve">From the above figure, on an average, the profitability ratios of Rolls-Royce Holdings PLC. varied significantly over the periods. </w:t>
      </w:r>
      <w:r w:rsidR="003E04C3" w:rsidRPr="00B20F18">
        <w:rPr>
          <w:rFonts w:ascii="Arial" w:hAnsi="Arial" w:cs="Arial"/>
          <w:lang w:eastAsia="en-GB"/>
        </w:rPr>
        <w:t xml:space="preserve">For instance, the positive and negative returns on equity of Rolls-Royce Holdings PLC. in 2018 and 2016 respectively. Except the negative, the return on equity is the highest among these three organisations. </w:t>
      </w:r>
      <w:r w:rsidR="005E37A3" w:rsidRPr="00B20F18">
        <w:rPr>
          <w:rFonts w:ascii="Arial" w:hAnsi="Arial" w:cs="Arial"/>
          <w:lang w:eastAsia="en-GB"/>
        </w:rPr>
        <w:t xml:space="preserve">In </w:t>
      </w:r>
      <w:r w:rsidR="005E37A3" w:rsidRPr="00B20F18">
        <w:rPr>
          <w:rFonts w:ascii="Arial" w:hAnsi="Arial" w:cs="Arial"/>
          <w:lang w:eastAsia="en-GB"/>
        </w:rPr>
        <w:lastRenderedPageBreak/>
        <w:t>2018, not only the profitability ratios of Rolls-Royce Holdings PLC., but also those of General Electric were negative in some cases. However, while the profitability ratios of Rolls-Royce Holdings PLC. are volatile over the periods, those ratios of the other two companies are more consistent over these periods.</w:t>
      </w:r>
      <w:r w:rsidR="004C4F2C" w:rsidRPr="00B20F18">
        <w:rPr>
          <w:rFonts w:ascii="Arial" w:hAnsi="Arial" w:cs="Arial"/>
          <w:lang w:eastAsia="en-GB"/>
        </w:rPr>
        <w:t xml:space="preserve"> </w:t>
      </w:r>
    </w:p>
    <w:p w14:paraId="25A47060" w14:textId="4BAFCB92" w:rsidR="00FE29A4" w:rsidRPr="00B20F18" w:rsidRDefault="006A7D27" w:rsidP="00FE29A4">
      <w:pPr>
        <w:jc w:val="center"/>
        <w:rPr>
          <w:rFonts w:ascii="Arial" w:hAnsi="Arial" w:cs="Arial"/>
          <w:lang w:eastAsia="en-GB"/>
        </w:rPr>
      </w:pPr>
      <w:r w:rsidRPr="00B20F18">
        <w:rPr>
          <w:rFonts w:ascii="Arial" w:hAnsi="Arial" w:cs="Arial"/>
          <w:noProof/>
          <w:lang w:eastAsia="en-GB"/>
        </w:rPr>
        <w:drawing>
          <wp:inline distT="0" distB="0" distL="0" distR="0" wp14:anchorId="614AD96A" wp14:editId="400309C4">
            <wp:extent cx="4176979" cy="2510816"/>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3523" cy="2514750"/>
                    </a:xfrm>
                    <a:prstGeom prst="rect">
                      <a:avLst/>
                    </a:prstGeom>
                    <a:noFill/>
                  </pic:spPr>
                </pic:pic>
              </a:graphicData>
            </a:graphic>
          </wp:inline>
        </w:drawing>
      </w:r>
    </w:p>
    <w:p w14:paraId="666322D8" w14:textId="0DB748FF" w:rsidR="00FE29A4" w:rsidRPr="00B20F18" w:rsidRDefault="00FE29A4" w:rsidP="00FE29A4">
      <w:pPr>
        <w:jc w:val="center"/>
        <w:rPr>
          <w:rFonts w:ascii="Arial" w:hAnsi="Arial" w:cs="Arial"/>
          <w:lang w:eastAsia="en-GB"/>
        </w:rPr>
      </w:pPr>
      <w:r w:rsidRPr="00B20F18">
        <w:rPr>
          <w:rFonts w:ascii="Arial" w:hAnsi="Arial" w:cs="Arial"/>
          <w:lang w:eastAsia="en-GB"/>
        </w:rPr>
        <w:t xml:space="preserve">Figure: Comparison of the current ratios (self-developed) </w:t>
      </w:r>
    </w:p>
    <w:p w14:paraId="4B78296A" w14:textId="77777777" w:rsidR="003E4F6F" w:rsidRPr="00B20F18" w:rsidRDefault="003E4F6F" w:rsidP="00FE29A4">
      <w:pPr>
        <w:jc w:val="center"/>
        <w:rPr>
          <w:rFonts w:ascii="Arial" w:hAnsi="Arial" w:cs="Arial"/>
          <w:lang w:eastAsia="en-GB"/>
        </w:rPr>
      </w:pPr>
    </w:p>
    <w:p w14:paraId="7F238F4D" w14:textId="5BD9ABFC" w:rsidR="00FE29A4" w:rsidRPr="00B20F18" w:rsidRDefault="00DF10DA" w:rsidP="00621E76">
      <w:pPr>
        <w:rPr>
          <w:rFonts w:ascii="Arial" w:hAnsi="Arial" w:cs="Arial"/>
          <w:lang w:eastAsia="en-GB"/>
        </w:rPr>
      </w:pPr>
      <w:r w:rsidRPr="00B20F18">
        <w:rPr>
          <w:rFonts w:ascii="Arial" w:hAnsi="Arial" w:cs="Arial"/>
          <w:lang w:eastAsia="en-GB"/>
        </w:rPr>
        <w:t xml:space="preserve">In the above bar chart, the liquidity ratios (i.e. current ratio) of the three companies have been depicted. It is observed that, among the three companies, General Elect has the best liquidity position in terms of </w:t>
      </w:r>
      <w:r w:rsidR="00253838" w:rsidRPr="00B20F18">
        <w:rPr>
          <w:rFonts w:ascii="Arial" w:hAnsi="Arial" w:cs="Arial"/>
          <w:lang w:eastAsia="en-GB"/>
        </w:rPr>
        <w:t>current ratio and Rolls-Royce Holdings PLC. has the worst liquidity position</w:t>
      </w:r>
      <w:r w:rsidR="005A558D" w:rsidRPr="00B20F18">
        <w:rPr>
          <w:rFonts w:ascii="Arial" w:hAnsi="Arial" w:cs="Arial"/>
          <w:lang w:eastAsia="en-GB"/>
        </w:rPr>
        <w:t xml:space="preserve"> among the three. </w:t>
      </w:r>
    </w:p>
    <w:p w14:paraId="48A7D2A4" w14:textId="77777777" w:rsidR="003E4F6F" w:rsidRPr="00B20F18" w:rsidRDefault="003E4F6F" w:rsidP="00621E76">
      <w:pPr>
        <w:rPr>
          <w:rFonts w:ascii="Arial" w:hAnsi="Arial" w:cs="Arial"/>
          <w:lang w:eastAsia="en-GB"/>
        </w:rPr>
      </w:pPr>
    </w:p>
    <w:p w14:paraId="176CB1DA" w14:textId="7B4E73B2" w:rsidR="00890318" w:rsidRPr="00B20F18" w:rsidRDefault="00890318" w:rsidP="00890318">
      <w:pPr>
        <w:jc w:val="center"/>
        <w:rPr>
          <w:rFonts w:ascii="Arial" w:hAnsi="Arial" w:cs="Arial"/>
          <w:lang w:eastAsia="en-GB"/>
        </w:rPr>
      </w:pPr>
      <w:r w:rsidRPr="00B20F18">
        <w:rPr>
          <w:rFonts w:ascii="Arial" w:hAnsi="Arial" w:cs="Arial"/>
          <w:noProof/>
          <w:lang w:eastAsia="en-GB"/>
        </w:rPr>
        <w:drawing>
          <wp:inline distT="0" distB="0" distL="0" distR="0" wp14:anchorId="2D6A5F48" wp14:editId="288112B9">
            <wp:extent cx="3825850" cy="2265888"/>
            <wp:effectExtent l="0" t="0" r="381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7078" cy="2266615"/>
                    </a:xfrm>
                    <a:prstGeom prst="rect">
                      <a:avLst/>
                    </a:prstGeom>
                    <a:noFill/>
                  </pic:spPr>
                </pic:pic>
              </a:graphicData>
            </a:graphic>
          </wp:inline>
        </w:drawing>
      </w:r>
    </w:p>
    <w:p w14:paraId="59E8BAFD" w14:textId="6948AD3A" w:rsidR="00890318" w:rsidRPr="00B20F18" w:rsidRDefault="005E37A3" w:rsidP="00890318">
      <w:pPr>
        <w:jc w:val="center"/>
        <w:rPr>
          <w:rFonts w:ascii="Arial" w:hAnsi="Arial" w:cs="Arial"/>
          <w:lang w:eastAsia="en-GB"/>
        </w:rPr>
      </w:pPr>
      <w:r w:rsidRPr="00B20F18">
        <w:rPr>
          <w:rFonts w:ascii="Arial" w:hAnsi="Arial" w:cs="Arial"/>
          <w:lang w:eastAsia="en-GB"/>
        </w:rPr>
        <w:t xml:space="preserve"> </w:t>
      </w:r>
      <w:r w:rsidR="00890318" w:rsidRPr="00B20F18">
        <w:rPr>
          <w:rFonts w:ascii="Arial" w:hAnsi="Arial" w:cs="Arial"/>
          <w:lang w:eastAsia="en-GB"/>
        </w:rPr>
        <w:t xml:space="preserve">Figure: Comparison of the gearing ratios (self-developed) </w:t>
      </w:r>
    </w:p>
    <w:p w14:paraId="242A6722" w14:textId="77777777" w:rsidR="003E4F6F" w:rsidRPr="00B20F18" w:rsidRDefault="003E4F6F" w:rsidP="00890318">
      <w:pPr>
        <w:jc w:val="center"/>
        <w:rPr>
          <w:rFonts w:ascii="Arial" w:hAnsi="Arial" w:cs="Arial"/>
          <w:lang w:eastAsia="en-GB"/>
        </w:rPr>
      </w:pPr>
    </w:p>
    <w:p w14:paraId="40216737" w14:textId="09C34DC2" w:rsidR="00CA65E8" w:rsidRPr="00B20F18" w:rsidRDefault="00890318" w:rsidP="00621E76">
      <w:pPr>
        <w:rPr>
          <w:rFonts w:ascii="Arial" w:hAnsi="Arial" w:cs="Arial"/>
        </w:rPr>
      </w:pPr>
      <w:r w:rsidRPr="00B20F18">
        <w:rPr>
          <w:rFonts w:ascii="Arial" w:hAnsi="Arial" w:cs="Arial"/>
          <w:lang w:eastAsia="en-GB"/>
        </w:rPr>
        <w:t xml:space="preserve">From the above bar chart, it is found that, the debt to equity ratio of General Electric is comparatively higher than that of Rolls-Royce Holdings PLC. but this ratio is lowest for </w:t>
      </w:r>
      <w:r w:rsidRPr="00B20F18">
        <w:rPr>
          <w:rFonts w:ascii="Arial" w:hAnsi="Arial" w:cs="Arial"/>
        </w:rPr>
        <w:t>Honeywell International Inc.</w:t>
      </w:r>
      <w:r w:rsidRPr="00B20F18">
        <w:rPr>
          <w:rFonts w:ascii="Arial" w:hAnsi="Arial" w:cs="Arial"/>
          <w:lang w:eastAsia="en-GB"/>
        </w:rPr>
        <w:t xml:space="preserve"> among these three organisations. </w:t>
      </w:r>
      <w:r w:rsidR="001C1FA0" w:rsidRPr="00B20F18">
        <w:rPr>
          <w:rFonts w:ascii="Arial" w:hAnsi="Arial" w:cs="Arial"/>
          <w:lang w:eastAsia="en-GB"/>
        </w:rPr>
        <w:t xml:space="preserve">On the other hand, the long-term debt to capital ratio is comparatively higher for Rolls-Royce Holdings PLC. than that of General Electric. Compared to these two, this ratio is lower for </w:t>
      </w:r>
      <w:r w:rsidR="001C1FA0" w:rsidRPr="00B20F18">
        <w:rPr>
          <w:rFonts w:ascii="Arial" w:hAnsi="Arial" w:cs="Arial"/>
        </w:rPr>
        <w:t>Honeywell International Inc.</w:t>
      </w:r>
    </w:p>
    <w:p w14:paraId="248ACD1E" w14:textId="77777777" w:rsidR="003E4F6F" w:rsidRPr="00B20F18" w:rsidRDefault="003E4F6F" w:rsidP="00621E76">
      <w:pPr>
        <w:rPr>
          <w:rFonts w:ascii="Arial" w:hAnsi="Arial" w:cs="Arial"/>
        </w:rPr>
      </w:pPr>
    </w:p>
    <w:p w14:paraId="46B7C5CA" w14:textId="73C1E9BE" w:rsidR="0026333D" w:rsidRPr="00B20F18" w:rsidRDefault="005867FE" w:rsidP="0026333D">
      <w:pPr>
        <w:jc w:val="center"/>
        <w:rPr>
          <w:rFonts w:ascii="Arial" w:hAnsi="Arial" w:cs="Arial"/>
          <w:lang w:eastAsia="en-GB"/>
        </w:rPr>
      </w:pPr>
      <w:r w:rsidRPr="00B20F18">
        <w:rPr>
          <w:rFonts w:ascii="Arial" w:hAnsi="Arial" w:cs="Arial"/>
          <w:noProof/>
          <w:lang w:eastAsia="en-GB"/>
        </w:rPr>
        <w:drawing>
          <wp:inline distT="0" distB="0" distL="0" distR="0" wp14:anchorId="49189C9A" wp14:editId="08746135">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779D115" w14:textId="4CCB23A9" w:rsidR="0026333D" w:rsidRPr="00B20F18" w:rsidRDefault="0026333D" w:rsidP="0026333D">
      <w:pPr>
        <w:jc w:val="center"/>
        <w:rPr>
          <w:rFonts w:ascii="Arial" w:hAnsi="Arial" w:cs="Arial"/>
          <w:lang w:eastAsia="en-GB"/>
        </w:rPr>
      </w:pPr>
      <w:r w:rsidRPr="00B20F18">
        <w:rPr>
          <w:rFonts w:ascii="Arial" w:hAnsi="Arial" w:cs="Arial"/>
          <w:lang w:eastAsia="en-GB"/>
        </w:rPr>
        <w:t xml:space="preserve">Figure: Comparison of the efficiency ratios (self-developed) </w:t>
      </w:r>
    </w:p>
    <w:p w14:paraId="1BC6CBCA" w14:textId="77777777" w:rsidR="003E4F6F" w:rsidRPr="00B20F18" w:rsidRDefault="003E4F6F" w:rsidP="00621E76">
      <w:pPr>
        <w:rPr>
          <w:rFonts w:ascii="Arial" w:hAnsi="Arial" w:cs="Arial"/>
          <w:lang w:eastAsia="en-GB"/>
        </w:rPr>
      </w:pPr>
    </w:p>
    <w:p w14:paraId="0D8A5297" w14:textId="3484CCD7" w:rsidR="0026333D" w:rsidRPr="00B20F18" w:rsidRDefault="00246385" w:rsidP="00621E76">
      <w:pPr>
        <w:rPr>
          <w:rFonts w:ascii="Arial" w:hAnsi="Arial" w:cs="Arial"/>
        </w:rPr>
      </w:pPr>
      <w:r w:rsidRPr="00B20F18">
        <w:rPr>
          <w:rFonts w:ascii="Arial" w:hAnsi="Arial" w:cs="Arial"/>
          <w:lang w:eastAsia="en-GB"/>
        </w:rPr>
        <w:t xml:space="preserve">The above chart portrays the efficiency ratios of the selected companies. </w:t>
      </w:r>
      <w:r w:rsidR="00920E60" w:rsidRPr="00B20F18">
        <w:rPr>
          <w:rFonts w:ascii="Arial" w:hAnsi="Arial" w:cs="Arial"/>
          <w:lang w:eastAsia="en-GB"/>
        </w:rPr>
        <w:t xml:space="preserve">According to the proposition of the efficiency ratios, the higher the ratios are, the more efficient the organisations are. However, the results from </w:t>
      </w:r>
      <w:r w:rsidR="007D74EB" w:rsidRPr="00B20F18">
        <w:rPr>
          <w:rFonts w:ascii="Arial" w:hAnsi="Arial" w:cs="Arial"/>
          <w:lang w:eastAsia="en-GB"/>
        </w:rPr>
        <w:t xml:space="preserve">comparable organisations are mixed in these cases because the results </w:t>
      </w:r>
      <w:r w:rsidR="005867FE" w:rsidRPr="00B20F18">
        <w:rPr>
          <w:rFonts w:ascii="Arial" w:hAnsi="Arial" w:cs="Arial"/>
          <w:lang w:eastAsia="en-GB"/>
        </w:rPr>
        <w:t xml:space="preserve">are on an average consistent for each organisation. In some cases, General Electric looks more efficient and in some cases </w:t>
      </w:r>
      <w:r w:rsidR="005867FE" w:rsidRPr="00B20F18">
        <w:rPr>
          <w:rFonts w:ascii="Arial" w:hAnsi="Arial" w:cs="Arial"/>
        </w:rPr>
        <w:t xml:space="preserve">Honeywell International Inc. looks more efficient. In some other cases and in some other years, Rolls-Royce Holdings PLC. looks more efficient from the perspective of the given </w:t>
      </w:r>
      <w:r w:rsidR="002D6C2A" w:rsidRPr="00B20F18">
        <w:rPr>
          <w:rFonts w:ascii="Arial" w:hAnsi="Arial" w:cs="Arial"/>
        </w:rPr>
        <w:t xml:space="preserve">ratios. </w:t>
      </w:r>
    </w:p>
    <w:p w14:paraId="65B32061" w14:textId="77777777" w:rsidR="003E4F6F" w:rsidRPr="00B20F18" w:rsidRDefault="003E4F6F" w:rsidP="00621E76">
      <w:pPr>
        <w:rPr>
          <w:rFonts w:ascii="Arial" w:hAnsi="Arial" w:cs="Arial"/>
          <w:lang w:eastAsia="en-GB"/>
        </w:rPr>
      </w:pPr>
    </w:p>
    <w:p w14:paraId="153B3F99" w14:textId="77777777" w:rsidR="00C51DE8" w:rsidRPr="00B20F18" w:rsidRDefault="00872EA3" w:rsidP="003E4F6F">
      <w:pPr>
        <w:pStyle w:val="Heading2"/>
        <w:rPr>
          <w:rFonts w:ascii="Arial" w:hAnsi="Arial" w:cs="Arial"/>
        </w:rPr>
      </w:pPr>
      <w:bookmarkStart w:id="18" w:name="_Toc61434494"/>
      <w:r w:rsidRPr="00B20F18">
        <w:rPr>
          <w:rFonts w:ascii="Arial" w:hAnsi="Arial" w:cs="Arial"/>
        </w:rPr>
        <w:lastRenderedPageBreak/>
        <w:t>Recommendation</w:t>
      </w:r>
      <w:r w:rsidR="00963A63" w:rsidRPr="00B20F18">
        <w:rPr>
          <w:rFonts w:ascii="Arial" w:hAnsi="Arial" w:cs="Arial"/>
        </w:rPr>
        <w:t>:</w:t>
      </w:r>
      <w:bookmarkEnd w:id="18"/>
      <w:r w:rsidR="00963A63" w:rsidRPr="00B20F18">
        <w:rPr>
          <w:rFonts w:ascii="Arial" w:hAnsi="Arial" w:cs="Arial"/>
        </w:rPr>
        <w:t xml:space="preserve"> </w:t>
      </w:r>
    </w:p>
    <w:p w14:paraId="3F97EB3B" w14:textId="0A6B9285" w:rsidR="003E4F6F" w:rsidRPr="00B20F18" w:rsidRDefault="00FE2E84" w:rsidP="003E4F6F">
      <w:pPr>
        <w:rPr>
          <w:rFonts w:ascii="Arial" w:hAnsi="Arial" w:cs="Arial"/>
        </w:rPr>
      </w:pPr>
      <w:r w:rsidRPr="00B20F18">
        <w:rPr>
          <w:rFonts w:ascii="Arial" w:hAnsi="Arial" w:cs="Arial"/>
        </w:rPr>
        <w:t xml:space="preserve">Based on the financial metrics and results, it is found </w:t>
      </w:r>
      <w:r w:rsidR="003E4F6F" w:rsidRPr="00B20F18">
        <w:rPr>
          <w:rFonts w:ascii="Arial" w:hAnsi="Arial" w:cs="Arial"/>
        </w:rPr>
        <w:t>that</w:t>
      </w:r>
      <w:r w:rsidRPr="00B20F18">
        <w:rPr>
          <w:rFonts w:ascii="Arial" w:hAnsi="Arial" w:cs="Arial"/>
        </w:rPr>
        <w:t xml:space="preserve"> the financial performance and position of Rolls-Royce Holdings PLC. have been decreased in the recent couple of years. In order to make better financial health of the organisation, the management of Rolls-Royce Holdings PLC. needs to make some strategic decisions on sector or segment basis. For instance, </w:t>
      </w:r>
      <w:r w:rsidR="003259A1" w:rsidRPr="00B20F18">
        <w:rPr>
          <w:rFonts w:ascii="Arial" w:hAnsi="Arial" w:cs="Arial"/>
        </w:rPr>
        <w:t xml:space="preserve">for attracting the new customers, the organisation needs to invest more in the research and development for manufacturing eco-friendly and </w:t>
      </w:r>
      <w:r w:rsidR="00A1764A" w:rsidRPr="00B20F18">
        <w:rPr>
          <w:rFonts w:ascii="Arial" w:hAnsi="Arial" w:cs="Arial"/>
        </w:rPr>
        <w:t>fuel-efficient</w:t>
      </w:r>
      <w:r w:rsidR="003259A1" w:rsidRPr="00B20F18">
        <w:rPr>
          <w:rFonts w:ascii="Arial" w:hAnsi="Arial" w:cs="Arial"/>
        </w:rPr>
        <w:t xml:space="preserve"> products in case of aircraft engine and motor cars. </w:t>
      </w:r>
      <w:r w:rsidR="00A1764A" w:rsidRPr="00B20F18">
        <w:rPr>
          <w:rFonts w:ascii="Arial" w:hAnsi="Arial" w:cs="Arial"/>
        </w:rPr>
        <w:t xml:space="preserve">The organisation needs to invest more </w:t>
      </w:r>
      <w:r w:rsidR="00BB4597" w:rsidRPr="00B20F18">
        <w:rPr>
          <w:rFonts w:ascii="Arial" w:hAnsi="Arial" w:cs="Arial"/>
        </w:rPr>
        <w:t xml:space="preserve">in different segments to compete with the potential counterparts. </w:t>
      </w:r>
      <w:r w:rsidR="00173EF6" w:rsidRPr="00B20F18">
        <w:rPr>
          <w:rFonts w:ascii="Arial" w:hAnsi="Arial" w:cs="Arial"/>
        </w:rPr>
        <w:t xml:space="preserve">For making the most efficient and optimum level of debt to equity ratio, the decision makers of the organisation must </w:t>
      </w:r>
      <w:r w:rsidR="003770C9" w:rsidRPr="00B20F18">
        <w:rPr>
          <w:rFonts w:ascii="Arial" w:hAnsi="Arial" w:cs="Arial"/>
        </w:rPr>
        <w:t xml:space="preserve">work very carefully. </w:t>
      </w:r>
      <w:r w:rsidR="00D86EBE" w:rsidRPr="00B20F18">
        <w:rPr>
          <w:rFonts w:ascii="Arial" w:hAnsi="Arial" w:cs="Arial"/>
        </w:rPr>
        <w:t xml:space="preserve">Moreover, the liquidity position of the organisation needs to be considered as well at the time of making new investments. </w:t>
      </w:r>
      <w:r w:rsidR="003B4A37" w:rsidRPr="00B20F18">
        <w:rPr>
          <w:rFonts w:ascii="Arial" w:hAnsi="Arial" w:cs="Arial"/>
        </w:rPr>
        <w:t xml:space="preserve">The reasons behind the </w:t>
      </w:r>
      <w:r w:rsidR="009212B2" w:rsidRPr="00B20F18">
        <w:rPr>
          <w:rFonts w:ascii="Arial" w:hAnsi="Arial" w:cs="Arial"/>
        </w:rPr>
        <w:t xml:space="preserve">negative profitability should be analysed further and the costs needs to decreased further. In this connection, various models can be customised and used for the purpose of making the organisation more efficient than ever.  </w:t>
      </w:r>
      <w:r w:rsidR="003770C9" w:rsidRPr="00B20F18">
        <w:rPr>
          <w:rFonts w:ascii="Arial" w:hAnsi="Arial" w:cs="Arial"/>
        </w:rPr>
        <w:t xml:space="preserve"> </w:t>
      </w:r>
      <w:r w:rsidR="00A1764A" w:rsidRPr="00B20F18">
        <w:rPr>
          <w:rFonts w:ascii="Arial" w:hAnsi="Arial" w:cs="Arial"/>
        </w:rPr>
        <w:t xml:space="preserve"> </w:t>
      </w:r>
      <w:r w:rsidR="003259A1" w:rsidRPr="00B20F18">
        <w:rPr>
          <w:rFonts w:ascii="Arial" w:hAnsi="Arial" w:cs="Arial"/>
        </w:rPr>
        <w:t xml:space="preserve"> </w:t>
      </w:r>
    </w:p>
    <w:p w14:paraId="5BE0B24F" w14:textId="77777777" w:rsidR="00E66B03" w:rsidRPr="00B20F18" w:rsidRDefault="00E66B03" w:rsidP="003E4F6F">
      <w:pPr>
        <w:rPr>
          <w:rFonts w:ascii="Arial" w:hAnsi="Arial" w:cs="Arial"/>
        </w:rPr>
      </w:pPr>
    </w:p>
    <w:p w14:paraId="5DC78DDD" w14:textId="37EDF9E0" w:rsidR="00982164" w:rsidRPr="00B20F18" w:rsidRDefault="00982164" w:rsidP="003E4F6F">
      <w:pPr>
        <w:pStyle w:val="Heading1"/>
        <w:rPr>
          <w:rFonts w:ascii="Arial" w:hAnsi="Arial" w:cs="Arial"/>
        </w:rPr>
      </w:pPr>
      <w:bookmarkStart w:id="19" w:name="_Toc61434495"/>
      <w:r w:rsidRPr="00B20F18">
        <w:rPr>
          <w:rFonts w:ascii="Arial" w:hAnsi="Arial" w:cs="Arial"/>
        </w:rPr>
        <w:t>Part C</w:t>
      </w:r>
      <w:bookmarkEnd w:id="19"/>
      <w:r w:rsidRPr="00B20F18">
        <w:rPr>
          <w:rFonts w:ascii="Arial" w:hAnsi="Arial" w:cs="Arial"/>
        </w:rPr>
        <w:t xml:space="preserve"> </w:t>
      </w:r>
    </w:p>
    <w:p w14:paraId="6B2725C8" w14:textId="4227FCA4" w:rsidR="00982164" w:rsidRPr="00B20F18" w:rsidRDefault="00256EFC" w:rsidP="00982164">
      <w:pPr>
        <w:rPr>
          <w:rFonts w:ascii="Arial" w:hAnsi="Arial" w:cs="Arial"/>
        </w:rPr>
      </w:pPr>
      <w:r w:rsidRPr="00B20F18">
        <w:rPr>
          <w:rFonts w:ascii="Arial" w:hAnsi="Arial" w:cs="Arial"/>
        </w:rPr>
        <w:t xml:space="preserve">As per the </w:t>
      </w:r>
      <w:r w:rsidR="00B908A8" w:rsidRPr="00B20F18">
        <w:rPr>
          <w:rFonts w:ascii="Arial" w:hAnsi="Arial" w:cs="Arial"/>
        </w:rPr>
        <w:t>given cashflows of the promising projects, the investment appraisal</w:t>
      </w:r>
      <w:r w:rsidR="00EF586E" w:rsidRPr="00B20F18">
        <w:rPr>
          <w:rFonts w:ascii="Arial" w:hAnsi="Arial" w:cs="Arial"/>
        </w:rPr>
        <w:t xml:space="preserve">s have been made based on three suggested appraisal techniques. </w:t>
      </w:r>
    </w:p>
    <w:p w14:paraId="131400FD" w14:textId="77777777" w:rsidR="003E4F6F" w:rsidRPr="00B20F18" w:rsidRDefault="003E4F6F" w:rsidP="00982164">
      <w:pPr>
        <w:rPr>
          <w:rFonts w:ascii="Arial" w:hAnsi="Arial" w:cs="Arial"/>
        </w:rPr>
      </w:pPr>
    </w:p>
    <w:p w14:paraId="74D002CB" w14:textId="34B9572C" w:rsidR="007411FB" w:rsidRPr="00B20F18" w:rsidRDefault="007411FB" w:rsidP="00E66B03">
      <w:pPr>
        <w:pStyle w:val="Heading2"/>
        <w:rPr>
          <w:rFonts w:ascii="Arial" w:hAnsi="Arial" w:cs="Arial"/>
        </w:rPr>
      </w:pPr>
      <w:bookmarkStart w:id="20" w:name="_Toc61434496"/>
      <w:r w:rsidRPr="00B20F18">
        <w:rPr>
          <w:rFonts w:ascii="Arial" w:hAnsi="Arial" w:cs="Arial"/>
        </w:rPr>
        <w:t>Project Appraisal:</w:t>
      </w:r>
      <w:bookmarkEnd w:id="20"/>
      <w:r w:rsidRPr="00B20F18">
        <w:rPr>
          <w:rFonts w:ascii="Arial" w:hAnsi="Arial" w:cs="Arial"/>
        </w:rPr>
        <w:t xml:space="preserve"> </w:t>
      </w:r>
    </w:p>
    <w:p w14:paraId="4551FFC9" w14:textId="77777777" w:rsidR="003E4F6F" w:rsidRPr="00B20F18" w:rsidRDefault="003E4F6F" w:rsidP="003E4F6F">
      <w:pPr>
        <w:rPr>
          <w:rFonts w:ascii="Arial" w:hAnsi="Arial" w:cs="Arial"/>
        </w:rPr>
      </w:pPr>
    </w:p>
    <w:p w14:paraId="4962D961" w14:textId="060A29A1" w:rsidR="00EF586E" w:rsidRPr="00B20F18" w:rsidRDefault="00EF586E" w:rsidP="00982164">
      <w:pPr>
        <w:rPr>
          <w:rFonts w:ascii="Arial" w:hAnsi="Arial" w:cs="Arial"/>
        </w:rPr>
      </w:pPr>
      <w:r w:rsidRPr="00B20F18">
        <w:rPr>
          <w:rFonts w:ascii="Arial" w:hAnsi="Arial" w:cs="Arial"/>
          <w:b/>
          <w:bCs/>
        </w:rPr>
        <w:t>Payback Period:</w:t>
      </w:r>
      <w:r w:rsidRPr="00B20F18">
        <w:rPr>
          <w:rFonts w:ascii="Arial" w:hAnsi="Arial" w:cs="Arial"/>
        </w:rPr>
        <w:t xml:space="preserve"> The payback period can be defined as the </w:t>
      </w:r>
      <w:r w:rsidR="009A35F8" w:rsidRPr="00B20F18">
        <w:rPr>
          <w:rFonts w:ascii="Arial" w:hAnsi="Arial" w:cs="Arial"/>
        </w:rPr>
        <w:t>shortest possible time within which the initial investment of the project can be recovered</w:t>
      </w:r>
      <w:r w:rsidR="00610C33" w:rsidRPr="00B20F18">
        <w:rPr>
          <w:rFonts w:ascii="Arial" w:hAnsi="Arial" w:cs="Arial"/>
        </w:rPr>
        <w:t xml:space="preserve"> </w:t>
      </w:r>
      <w:r w:rsidR="00610C33" w:rsidRPr="00B20F18">
        <w:rPr>
          <w:rFonts w:ascii="Arial" w:eastAsia="Times New Roman" w:hAnsi="Arial" w:cs="Arial"/>
          <w:szCs w:val="24"/>
          <w:lang w:eastAsia="en-GB"/>
        </w:rPr>
        <w:t>(Brigham and Ehrhardt, 2019)</w:t>
      </w:r>
      <w:r w:rsidR="009A35F8" w:rsidRPr="00B20F18">
        <w:rPr>
          <w:rFonts w:ascii="Arial" w:hAnsi="Arial" w:cs="Arial"/>
        </w:rPr>
        <w:t xml:space="preserve">. </w:t>
      </w:r>
      <w:r w:rsidR="00EF4947" w:rsidRPr="00B20F18">
        <w:rPr>
          <w:rFonts w:ascii="Arial" w:hAnsi="Arial" w:cs="Arial"/>
        </w:rPr>
        <w:t>However, the payback period of the two projects have been calculated below</w:t>
      </w:r>
      <w:r w:rsidR="003E4F6F" w:rsidRPr="00B20F18">
        <w:rPr>
          <w:rFonts w:ascii="Arial" w:hAnsi="Arial" w:cs="Arial"/>
        </w:rPr>
        <w:t>:</w:t>
      </w:r>
    </w:p>
    <w:p w14:paraId="4EEBB884" w14:textId="77777777" w:rsidR="003E4F6F" w:rsidRPr="00B20F18" w:rsidRDefault="003E4F6F" w:rsidP="00982164">
      <w:pPr>
        <w:rPr>
          <w:rFonts w:ascii="Arial" w:hAnsi="Arial" w:cs="Arial"/>
        </w:rPr>
      </w:pPr>
    </w:p>
    <w:tbl>
      <w:tblPr>
        <w:tblStyle w:val="TableGrid"/>
        <w:tblW w:w="6486" w:type="dxa"/>
        <w:jc w:val="center"/>
        <w:tblLook w:val="04A0" w:firstRow="1" w:lastRow="0" w:firstColumn="1" w:lastColumn="0" w:noHBand="0" w:noVBand="1"/>
      </w:tblPr>
      <w:tblGrid>
        <w:gridCol w:w="1600"/>
        <w:gridCol w:w="1995"/>
        <w:gridCol w:w="2880"/>
        <w:gridCol w:w="11"/>
      </w:tblGrid>
      <w:tr w:rsidR="00281784" w:rsidRPr="00B20F18" w14:paraId="02140F97" w14:textId="77777777" w:rsidTr="00C2351A">
        <w:trPr>
          <w:trHeight w:val="300"/>
          <w:jc w:val="center"/>
        </w:trPr>
        <w:tc>
          <w:tcPr>
            <w:tcW w:w="6486" w:type="dxa"/>
            <w:gridSpan w:val="4"/>
            <w:noWrap/>
          </w:tcPr>
          <w:p w14:paraId="2339F90C" w14:textId="5A34DB93"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A</w:t>
            </w:r>
          </w:p>
        </w:tc>
      </w:tr>
      <w:tr w:rsidR="00281784" w:rsidRPr="00B20F18" w14:paraId="2B9B8125" w14:textId="77777777" w:rsidTr="00C2351A">
        <w:trPr>
          <w:gridAfter w:val="1"/>
          <w:wAfter w:w="11" w:type="dxa"/>
          <w:trHeight w:val="300"/>
          <w:jc w:val="center"/>
        </w:trPr>
        <w:tc>
          <w:tcPr>
            <w:tcW w:w="1600" w:type="dxa"/>
            <w:noWrap/>
            <w:hideMark/>
          </w:tcPr>
          <w:p w14:paraId="1B26C703"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Year</w:t>
            </w:r>
          </w:p>
        </w:tc>
        <w:tc>
          <w:tcPr>
            <w:tcW w:w="1995" w:type="dxa"/>
            <w:noWrap/>
            <w:hideMark/>
          </w:tcPr>
          <w:p w14:paraId="39AD8CB1" w14:textId="2F590C88"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Cash Flow (£m)</w:t>
            </w:r>
          </w:p>
        </w:tc>
        <w:tc>
          <w:tcPr>
            <w:tcW w:w="2880" w:type="dxa"/>
            <w:noWrap/>
            <w:hideMark/>
          </w:tcPr>
          <w:p w14:paraId="51FB2A88" w14:textId="58E16A78"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Cumulative Cash Flow (£m)</w:t>
            </w:r>
          </w:p>
        </w:tc>
      </w:tr>
      <w:tr w:rsidR="00281784" w:rsidRPr="00B20F18" w14:paraId="51B5A752" w14:textId="77777777" w:rsidTr="00C2351A">
        <w:trPr>
          <w:gridAfter w:val="1"/>
          <w:wAfter w:w="11" w:type="dxa"/>
          <w:trHeight w:val="300"/>
          <w:jc w:val="center"/>
        </w:trPr>
        <w:tc>
          <w:tcPr>
            <w:tcW w:w="1600" w:type="dxa"/>
            <w:noWrap/>
            <w:hideMark/>
          </w:tcPr>
          <w:p w14:paraId="07B624D6"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lastRenderedPageBreak/>
              <w:t>1</w:t>
            </w:r>
          </w:p>
        </w:tc>
        <w:tc>
          <w:tcPr>
            <w:tcW w:w="1995" w:type="dxa"/>
            <w:noWrap/>
            <w:hideMark/>
          </w:tcPr>
          <w:p w14:paraId="71AFE8A7"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w:t>
            </w:r>
          </w:p>
        </w:tc>
        <w:tc>
          <w:tcPr>
            <w:tcW w:w="2880" w:type="dxa"/>
            <w:noWrap/>
            <w:hideMark/>
          </w:tcPr>
          <w:p w14:paraId="047D3061"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w:t>
            </w:r>
          </w:p>
        </w:tc>
      </w:tr>
      <w:tr w:rsidR="00281784" w:rsidRPr="00B20F18" w14:paraId="2B475E89" w14:textId="77777777" w:rsidTr="00C2351A">
        <w:trPr>
          <w:gridAfter w:val="1"/>
          <w:wAfter w:w="11" w:type="dxa"/>
          <w:trHeight w:val="300"/>
          <w:jc w:val="center"/>
        </w:trPr>
        <w:tc>
          <w:tcPr>
            <w:tcW w:w="1600" w:type="dxa"/>
            <w:noWrap/>
            <w:hideMark/>
          </w:tcPr>
          <w:p w14:paraId="40E0C377"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w:t>
            </w:r>
          </w:p>
        </w:tc>
        <w:tc>
          <w:tcPr>
            <w:tcW w:w="1995" w:type="dxa"/>
            <w:noWrap/>
            <w:hideMark/>
          </w:tcPr>
          <w:p w14:paraId="09B77B6F"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w:t>
            </w:r>
          </w:p>
        </w:tc>
        <w:tc>
          <w:tcPr>
            <w:tcW w:w="2880" w:type="dxa"/>
            <w:noWrap/>
            <w:hideMark/>
          </w:tcPr>
          <w:p w14:paraId="5F070493"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30</w:t>
            </w:r>
          </w:p>
        </w:tc>
      </w:tr>
      <w:tr w:rsidR="00281784" w:rsidRPr="00B20F18" w14:paraId="758809F0" w14:textId="77777777" w:rsidTr="00C2351A">
        <w:trPr>
          <w:gridAfter w:val="1"/>
          <w:wAfter w:w="11" w:type="dxa"/>
          <w:trHeight w:val="300"/>
          <w:jc w:val="center"/>
        </w:trPr>
        <w:tc>
          <w:tcPr>
            <w:tcW w:w="1600" w:type="dxa"/>
            <w:noWrap/>
            <w:hideMark/>
          </w:tcPr>
          <w:p w14:paraId="6C026D28"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w:t>
            </w:r>
          </w:p>
        </w:tc>
        <w:tc>
          <w:tcPr>
            <w:tcW w:w="1995" w:type="dxa"/>
            <w:noWrap/>
            <w:hideMark/>
          </w:tcPr>
          <w:p w14:paraId="34228AFF"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w:t>
            </w:r>
          </w:p>
        </w:tc>
        <w:tc>
          <w:tcPr>
            <w:tcW w:w="2880" w:type="dxa"/>
            <w:noWrap/>
            <w:hideMark/>
          </w:tcPr>
          <w:p w14:paraId="2C3B2F08"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60</w:t>
            </w:r>
          </w:p>
        </w:tc>
      </w:tr>
      <w:tr w:rsidR="00281784" w:rsidRPr="00B20F18" w14:paraId="7E108C03" w14:textId="77777777" w:rsidTr="00C2351A">
        <w:trPr>
          <w:gridAfter w:val="1"/>
          <w:wAfter w:w="11" w:type="dxa"/>
          <w:trHeight w:val="300"/>
          <w:jc w:val="center"/>
        </w:trPr>
        <w:tc>
          <w:tcPr>
            <w:tcW w:w="1600" w:type="dxa"/>
            <w:noWrap/>
            <w:hideMark/>
          </w:tcPr>
          <w:p w14:paraId="7EF239B0"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w:t>
            </w:r>
          </w:p>
        </w:tc>
        <w:tc>
          <w:tcPr>
            <w:tcW w:w="1995" w:type="dxa"/>
            <w:noWrap/>
            <w:hideMark/>
          </w:tcPr>
          <w:p w14:paraId="2D9C1EBB"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55</w:t>
            </w:r>
          </w:p>
        </w:tc>
        <w:tc>
          <w:tcPr>
            <w:tcW w:w="2880" w:type="dxa"/>
            <w:noWrap/>
            <w:hideMark/>
          </w:tcPr>
          <w:p w14:paraId="5953C745" w14:textId="77777777" w:rsidR="00281784" w:rsidRPr="00B20F18" w:rsidRDefault="00281784" w:rsidP="0028178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115</w:t>
            </w:r>
          </w:p>
        </w:tc>
      </w:tr>
    </w:tbl>
    <w:p w14:paraId="527DD48A" w14:textId="77777777" w:rsidR="003E4F6F" w:rsidRPr="00B20F18" w:rsidRDefault="003E4F6F" w:rsidP="00982164">
      <w:pPr>
        <w:rPr>
          <w:rFonts w:ascii="Arial" w:hAnsi="Arial" w:cs="Arial"/>
        </w:rPr>
      </w:pPr>
    </w:p>
    <w:p w14:paraId="18C883E6" w14:textId="22FD6EFB" w:rsidR="00EF4947" w:rsidRPr="00B20F18" w:rsidRDefault="00281784" w:rsidP="00982164">
      <w:pPr>
        <w:rPr>
          <w:rFonts w:ascii="Arial" w:hAnsi="Arial" w:cs="Arial"/>
        </w:rPr>
      </w:pPr>
      <w:r w:rsidRPr="00B20F18">
        <w:rPr>
          <w:rFonts w:ascii="Arial" w:hAnsi="Arial" w:cs="Arial"/>
        </w:rPr>
        <w:t>For project A, the initial investment is £89 million which is recovered after year 3. So, the payback period will be</w:t>
      </w:r>
      <w:r w:rsidR="003E4F6F" w:rsidRPr="00B20F18">
        <w:rPr>
          <w:rFonts w:ascii="Arial" w:hAnsi="Arial" w:cs="Arial"/>
        </w:rPr>
        <w:t>:</w:t>
      </w:r>
    </w:p>
    <w:p w14:paraId="6F975AAA" w14:textId="77777777" w:rsidR="003E4F6F" w:rsidRPr="00B20F18" w:rsidRDefault="003E4F6F" w:rsidP="00982164">
      <w:pPr>
        <w:rPr>
          <w:rFonts w:ascii="Arial" w:hAnsi="Arial" w:cs="Arial"/>
        </w:rPr>
      </w:pPr>
    </w:p>
    <w:p w14:paraId="18C05D9F" w14:textId="09820732" w:rsidR="00281784" w:rsidRPr="00B20F18" w:rsidRDefault="00281784" w:rsidP="00982164">
      <w:pPr>
        <w:rPr>
          <w:rFonts w:ascii="Arial" w:hAnsi="Arial" w:cs="Arial"/>
        </w:rPr>
      </w:pPr>
      <w:r w:rsidRPr="00B20F18">
        <w:rPr>
          <w:rFonts w:ascii="Arial" w:hAnsi="Arial" w:cs="Arial"/>
        </w:rPr>
        <w:t xml:space="preserve">3 years + [(89-60)/55] = </w:t>
      </w:r>
      <w:r w:rsidR="00A9759A" w:rsidRPr="00B20F18">
        <w:rPr>
          <w:rFonts w:ascii="Arial" w:hAnsi="Arial" w:cs="Arial"/>
        </w:rPr>
        <w:t>3.53 years</w:t>
      </w:r>
    </w:p>
    <w:p w14:paraId="5C5AD07F" w14:textId="77777777" w:rsidR="003E4F6F" w:rsidRPr="00B20F18" w:rsidRDefault="003E4F6F" w:rsidP="00982164">
      <w:pPr>
        <w:rPr>
          <w:rFonts w:ascii="Arial" w:hAnsi="Arial" w:cs="Arial"/>
        </w:rPr>
      </w:pPr>
    </w:p>
    <w:tbl>
      <w:tblPr>
        <w:tblStyle w:val="TableGrid"/>
        <w:tblW w:w="6486" w:type="dxa"/>
        <w:jc w:val="center"/>
        <w:tblLook w:val="04A0" w:firstRow="1" w:lastRow="0" w:firstColumn="1" w:lastColumn="0" w:noHBand="0" w:noVBand="1"/>
      </w:tblPr>
      <w:tblGrid>
        <w:gridCol w:w="1600"/>
        <w:gridCol w:w="1995"/>
        <w:gridCol w:w="2880"/>
        <w:gridCol w:w="11"/>
      </w:tblGrid>
      <w:tr w:rsidR="00A9759A" w:rsidRPr="00B20F18" w14:paraId="2ED6EC7A" w14:textId="77777777" w:rsidTr="00C2351A">
        <w:trPr>
          <w:trHeight w:val="300"/>
          <w:jc w:val="center"/>
        </w:trPr>
        <w:tc>
          <w:tcPr>
            <w:tcW w:w="6486" w:type="dxa"/>
            <w:gridSpan w:val="4"/>
            <w:noWrap/>
          </w:tcPr>
          <w:p w14:paraId="19D8D7AE" w14:textId="1AA676F1" w:rsidR="00A9759A" w:rsidRPr="00B20F18" w:rsidRDefault="00A9759A" w:rsidP="003B4A37">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B</w:t>
            </w:r>
          </w:p>
        </w:tc>
      </w:tr>
      <w:tr w:rsidR="00A9759A" w:rsidRPr="00B20F18" w14:paraId="1B098486" w14:textId="77777777" w:rsidTr="00C2351A">
        <w:trPr>
          <w:gridAfter w:val="1"/>
          <w:wAfter w:w="11" w:type="dxa"/>
          <w:trHeight w:val="300"/>
          <w:jc w:val="center"/>
        </w:trPr>
        <w:tc>
          <w:tcPr>
            <w:tcW w:w="1600" w:type="dxa"/>
            <w:noWrap/>
            <w:hideMark/>
          </w:tcPr>
          <w:p w14:paraId="063ADBFE" w14:textId="77777777" w:rsidR="00A9759A" w:rsidRPr="00B20F18" w:rsidRDefault="00A9759A" w:rsidP="003B4A37">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Year</w:t>
            </w:r>
          </w:p>
        </w:tc>
        <w:tc>
          <w:tcPr>
            <w:tcW w:w="1995" w:type="dxa"/>
            <w:noWrap/>
            <w:hideMark/>
          </w:tcPr>
          <w:p w14:paraId="1B164052" w14:textId="77777777" w:rsidR="00A9759A" w:rsidRPr="00B20F18" w:rsidRDefault="00A9759A" w:rsidP="003B4A37">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Cash Flow (£m)</w:t>
            </w:r>
          </w:p>
        </w:tc>
        <w:tc>
          <w:tcPr>
            <w:tcW w:w="2880" w:type="dxa"/>
            <w:noWrap/>
            <w:hideMark/>
          </w:tcPr>
          <w:p w14:paraId="3FAE413D" w14:textId="77777777" w:rsidR="00A9759A" w:rsidRPr="00B20F18" w:rsidRDefault="00A9759A" w:rsidP="003B4A37">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Cumulative Cash Flow (£m)</w:t>
            </w:r>
          </w:p>
        </w:tc>
      </w:tr>
      <w:tr w:rsidR="00A9759A" w:rsidRPr="00B20F18" w14:paraId="2C0C7700" w14:textId="77777777" w:rsidTr="00C2351A">
        <w:trPr>
          <w:gridAfter w:val="1"/>
          <w:wAfter w:w="11" w:type="dxa"/>
          <w:trHeight w:val="300"/>
          <w:jc w:val="center"/>
        </w:trPr>
        <w:tc>
          <w:tcPr>
            <w:tcW w:w="1600" w:type="dxa"/>
            <w:noWrap/>
            <w:hideMark/>
          </w:tcPr>
          <w:p w14:paraId="572DC778" w14:textId="77777777"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w:t>
            </w:r>
          </w:p>
        </w:tc>
        <w:tc>
          <w:tcPr>
            <w:tcW w:w="1995" w:type="dxa"/>
            <w:noWrap/>
            <w:vAlign w:val="bottom"/>
            <w:hideMark/>
          </w:tcPr>
          <w:p w14:paraId="124A28AE" w14:textId="4DE14BB2"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25</w:t>
            </w:r>
          </w:p>
        </w:tc>
        <w:tc>
          <w:tcPr>
            <w:tcW w:w="2880" w:type="dxa"/>
            <w:noWrap/>
            <w:vAlign w:val="bottom"/>
            <w:hideMark/>
          </w:tcPr>
          <w:p w14:paraId="420745C5" w14:textId="43D6CC3A"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25</w:t>
            </w:r>
          </w:p>
        </w:tc>
      </w:tr>
      <w:tr w:rsidR="00A9759A" w:rsidRPr="00B20F18" w14:paraId="6002D3F2" w14:textId="77777777" w:rsidTr="00C2351A">
        <w:trPr>
          <w:gridAfter w:val="1"/>
          <w:wAfter w:w="11" w:type="dxa"/>
          <w:trHeight w:val="300"/>
          <w:jc w:val="center"/>
        </w:trPr>
        <w:tc>
          <w:tcPr>
            <w:tcW w:w="1600" w:type="dxa"/>
            <w:noWrap/>
            <w:hideMark/>
          </w:tcPr>
          <w:p w14:paraId="753E0C12" w14:textId="77777777"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w:t>
            </w:r>
          </w:p>
        </w:tc>
        <w:tc>
          <w:tcPr>
            <w:tcW w:w="1995" w:type="dxa"/>
            <w:noWrap/>
            <w:vAlign w:val="bottom"/>
            <w:hideMark/>
          </w:tcPr>
          <w:p w14:paraId="6861FCE8" w14:textId="31C3BEAE"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30</w:t>
            </w:r>
          </w:p>
        </w:tc>
        <w:tc>
          <w:tcPr>
            <w:tcW w:w="2880" w:type="dxa"/>
            <w:noWrap/>
            <w:vAlign w:val="bottom"/>
            <w:hideMark/>
          </w:tcPr>
          <w:p w14:paraId="12303F8E" w14:textId="136EB867"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55</w:t>
            </w:r>
          </w:p>
        </w:tc>
      </w:tr>
      <w:tr w:rsidR="00A9759A" w:rsidRPr="00B20F18" w14:paraId="753276F1" w14:textId="77777777" w:rsidTr="00C2351A">
        <w:trPr>
          <w:gridAfter w:val="1"/>
          <w:wAfter w:w="11" w:type="dxa"/>
          <w:trHeight w:val="300"/>
          <w:jc w:val="center"/>
        </w:trPr>
        <w:tc>
          <w:tcPr>
            <w:tcW w:w="1600" w:type="dxa"/>
            <w:noWrap/>
            <w:hideMark/>
          </w:tcPr>
          <w:p w14:paraId="6789CEF1" w14:textId="77777777"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w:t>
            </w:r>
          </w:p>
        </w:tc>
        <w:tc>
          <w:tcPr>
            <w:tcW w:w="1995" w:type="dxa"/>
            <w:noWrap/>
            <w:vAlign w:val="bottom"/>
            <w:hideMark/>
          </w:tcPr>
          <w:p w14:paraId="2CD4E033" w14:textId="6B5C1C4A"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35</w:t>
            </w:r>
          </w:p>
        </w:tc>
        <w:tc>
          <w:tcPr>
            <w:tcW w:w="2880" w:type="dxa"/>
            <w:noWrap/>
            <w:vAlign w:val="bottom"/>
            <w:hideMark/>
          </w:tcPr>
          <w:p w14:paraId="7DA9C689" w14:textId="33CB90AD"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85</w:t>
            </w:r>
          </w:p>
        </w:tc>
      </w:tr>
      <w:tr w:rsidR="00A9759A" w:rsidRPr="00B20F18" w14:paraId="740F27AB" w14:textId="77777777" w:rsidTr="00C2351A">
        <w:trPr>
          <w:gridAfter w:val="1"/>
          <w:wAfter w:w="11" w:type="dxa"/>
          <w:trHeight w:val="300"/>
          <w:jc w:val="center"/>
        </w:trPr>
        <w:tc>
          <w:tcPr>
            <w:tcW w:w="1600" w:type="dxa"/>
            <w:noWrap/>
            <w:hideMark/>
          </w:tcPr>
          <w:p w14:paraId="2C0A0173" w14:textId="77777777"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w:t>
            </w:r>
          </w:p>
        </w:tc>
        <w:tc>
          <w:tcPr>
            <w:tcW w:w="1995" w:type="dxa"/>
            <w:noWrap/>
            <w:vAlign w:val="bottom"/>
            <w:hideMark/>
          </w:tcPr>
          <w:p w14:paraId="16E66309" w14:textId="1A2A7920"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40</w:t>
            </w:r>
          </w:p>
        </w:tc>
        <w:tc>
          <w:tcPr>
            <w:tcW w:w="2880" w:type="dxa"/>
            <w:noWrap/>
            <w:vAlign w:val="bottom"/>
            <w:hideMark/>
          </w:tcPr>
          <w:p w14:paraId="1F7203F9" w14:textId="39A89BF3" w:rsidR="00A9759A" w:rsidRPr="00B20F18" w:rsidRDefault="00A9759A" w:rsidP="00A9759A">
            <w:pPr>
              <w:spacing w:line="240" w:lineRule="auto"/>
              <w:jc w:val="center"/>
              <w:rPr>
                <w:rFonts w:ascii="Arial" w:eastAsia="Times New Roman" w:hAnsi="Arial" w:cs="Arial"/>
                <w:color w:val="000000"/>
                <w:szCs w:val="24"/>
                <w:lang w:eastAsia="en-GB"/>
              </w:rPr>
            </w:pPr>
            <w:r w:rsidRPr="00B20F18">
              <w:rPr>
                <w:rFonts w:ascii="Arial" w:hAnsi="Arial" w:cs="Arial"/>
                <w:color w:val="000000"/>
                <w:szCs w:val="24"/>
              </w:rPr>
              <w:t>125</w:t>
            </w:r>
          </w:p>
        </w:tc>
      </w:tr>
    </w:tbl>
    <w:p w14:paraId="2B4D3D73" w14:textId="77777777" w:rsidR="003E4F6F" w:rsidRPr="00B20F18" w:rsidRDefault="003E4F6F" w:rsidP="00A9759A">
      <w:pPr>
        <w:rPr>
          <w:rFonts w:ascii="Arial" w:hAnsi="Arial" w:cs="Arial"/>
        </w:rPr>
      </w:pPr>
    </w:p>
    <w:p w14:paraId="42147F82" w14:textId="276C7D63" w:rsidR="003E4F6F" w:rsidRPr="00B20F18" w:rsidRDefault="00A9759A" w:rsidP="00A9759A">
      <w:pPr>
        <w:rPr>
          <w:rFonts w:ascii="Arial" w:hAnsi="Arial" w:cs="Arial"/>
        </w:rPr>
      </w:pPr>
      <w:r w:rsidRPr="00B20F18">
        <w:rPr>
          <w:rFonts w:ascii="Arial" w:hAnsi="Arial" w:cs="Arial"/>
        </w:rPr>
        <w:t>For project B, the initial investment is £90 million which is recovered after year 3. So, the payback period will be</w:t>
      </w:r>
      <w:r w:rsidR="003E4F6F" w:rsidRPr="00B20F18">
        <w:rPr>
          <w:rFonts w:ascii="Arial" w:hAnsi="Arial" w:cs="Arial"/>
        </w:rPr>
        <w:t>:</w:t>
      </w:r>
    </w:p>
    <w:p w14:paraId="594C8587" w14:textId="08130CAB" w:rsidR="00A9759A" w:rsidRPr="00B20F18" w:rsidRDefault="00A9759A" w:rsidP="00A9759A">
      <w:pPr>
        <w:rPr>
          <w:rFonts w:ascii="Arial" w:hAnsi="Arial" w:cs="Arial"/>
        </w:rPr>
      </w:pPr>
      <w:r w:rsidRPr="00B20F18">
        <w:rPr>
          <w:rFonts w:ascii="Arial" w:hAnsi="Arial" w:cs="Arial"/>
        </w:rPr>
        <w:t>3 years + [(90-85)/55] = 3.09 years</w:t>
      </w:r>
    </w:p>
    <w:p w14:paraId="5DD9BD75" w14:textId="77777777" w:rsidR="003E4F6F" w:rsidRPr="00B20F18" w:rsidRDefault="003E4F6F" w:rsidP="00A9759A">
      <w:pPr>
        <w:rPr>
          <w:rFonts w:ascii="Arial" w:hAnsi="Arial" w:cs="Arial"/>
        </w:rPr>
      </w:pPr>
    </w:p>
    <w:p w14:paraId="2EE4C7FC" w14:textId="05461A55" w:rsidR="00A9759A" w:rsidRPr="00B20F18" w:rsidRDefault="002A7228" w:rsidP="00982164">
      <w:pPr>
        <w:rPr>
          <w:rFonts w:ascii="Arial" w:hAnsi="Arial" w:cs="Arial"/>
        </w:rPr>
      </w:pPr>
      <w:r w:rsidRPr="00B20F18">
        <w:rPr>
          <w:rFonts w:ascii="Arial" w:hAnsi="Arial" w:cs="Arial"/>
        </w:rPr>
        <w:t xml:space="preserve">Since, the payback period of project B is lower, the investor should accept the project B. </w:t>
      </w:r>
    </w:p>
    <w:p w14:paraId="6D6CE6C6" w14:textId="77777777" w:rsidR="003E4F6F" w:rsidRPr="00B20F18" w:rsidRDefault="003E4F6F" w:rsidP="00982164">
      <w:pPr>
        <w:rPr>
          <w:rFonts w:ascii="Arial" w:hAnsi="Arial" w:cs="Arial"/>
        </w:rPr>
      </w:pPr>
    </w:p>
    <w:p w14:paraId="39BEC91C" w14:textId="3B83C4A7" w:rsidR="00A814FB" w:rsidRPr="00B20F18" w:rsidRDefault="00EF4947" w:rsidP="00982164">
      <w:pPr>
        <w:rPr>
          <w:rFonts w:ascii="Arial" w:hAnsi="Arial" w:cs="Arial"/>
        </w:rPr>
      </w:pPr>
      <w:r w:rsidRPr="00B20F18">
        <w:rPr>
          <w:rFonts w:ascii="Arial" w:hAnsi="Arial" w:cs="Arial"/>
          <w:b/>
          <w:bCs/>
        </w:rPr>
        <w:t>Net Present Value (NPV):</w:t>
      </w:r>
      <w:r w:rsidRPr="00B20F18">
        <w:rPr>
          <w:rFonts w:ascii="Arial" w:hAnsi="Arial" w:cs="Arial"/>
        </w:rPr>
        <w:t xml:space="preserve"> The Net Present Value involves the </w:t>
      </w:r>
      <w:r w:rsidR="007A36BD" w:rsidRPr="00B20F18">
        <w:rPr>
          <w:rFonts w:ascii="Arial" w:hAnsi="Arial" w:cs="Arial"/>
        </w:rPr>
        <w:t xml:space="preserve">expected </w:t>
      </w:r>
      <w:r w:rsidR="00A814FB" w:rsidRPr="00B20F18">
        <w:rPr>
          <w:rFonts w:ascii="Arial" w:hAnsi="Arial" w:cs="Arial"/>
        </w:rPr>
        <w:t xml:space="preserve">and discounted </w:t>
      </w:r>
      <w:r w:rsidR="00E0167A" w:rsidRPr="00B20F18">
        <w:rPr>
          <w:rFonts w:ascii="Arial" w:hAnsi="Arial" w:cs="Arial"/>
        </w:rPr>
        <w:t xml:space="preserve">residuals </w:t>
      </w:r>
      <w:r w:rsidR="00335871" w:rsidRPr="00B20F18">
        <w:rPr>
          <w:rFonts w:ascii="Arial" w:hAnsi="Arial" w:cs="Arial"/>
        </w:rPr>
        <w:t xml:space="preserve">from the projects after adjusting all the </w:t>
      </w:r>
      <w:r w:rsidR="00A814FB" w:rsidRPr="00B20F18">
        <w:rPr>
          <w:rFonts w:ascii="Arial" w:hAnsi="Arial" w:cs="Arial"/>
        </w:rPr>
        <w:t>cash inflows and outflows</w:t>
      </w:r>
      <w:r w:rsidR="00610C33" w:rsidRPr="00B20F18">
        <w:rPr>
          <w:rFonts w:ascii="Arial" w:hAnsi="Arial" w:cs="Arial"/>
        </w:rPr>
        <w:t xml:space="preserve"> (</w:t>
      </w:r>
      <w:r w:rsidR="00610C33" w:rsidRPr="00B20F18">
        <w:rPr>
          <w:rFonts w:ascii="Arial" w:eastAsia="Times New Roman" w:hAnsi="Arial" w:cs="Arial"/>
          <w:szCs w:val="24"/>
          <w:lang w:eastAsia="en-GB"/>
        </w:rPr>
        <w:t>Lumby and Jones, 2020)</w:t>
      </w:r>
      <w:r w:rsidR="00A814FB" w:rsidRPr="00B20F18">
        <w:rPr>
          <w:rFonts w:ascii="Arial" w:hAnsi="Arial" w:cs="Arial"/>
        </w:rPr>
        <w:t>. However, the NPV of both the projects have been calculated below</w:t>
      </w:r>
      <w:r w:rsidR="003E4F6F" w:rsidRPr="00B20F18">
        <w:rPr>
          <w:rFonts w:ascii="Arial" w:hAnsi="Arial" w:cs="Arial"/>
        </w:rPr>
        <w:t>:</w:t>
      </w:r>
    </w:p>
    <w:p w14:paraId="491C12EF" w14:textId="77777777" w:rsidR="003E4F6F" w:rsidRPr="00B20F18" w:rsidRDefault="003E4F6F" w:rsidP="00982164">
      <w:pPr>
        <w:rPr>
          <w:rFonts w:ascii="Arial" w:hAnsi="Arial" w:cs="Arial"/>
        </w:rPr>
      </w:pPr>
    </w:p>
    <w:tbl>
      <w:tblPr>
        <w:tblStyle w:val="PlainTable1"/>
        <w:tblW w:w="7966" w:type="dxa"/>
        <w:jc w:val="center"/>
        <w:tblLook w:val="04A0" w:firstRow="1" w:lastRow="0" w:firstColumn="1" w:lastColumn="0" w:noHBand="0" w:noVBand="1"/>
      </w:tblPr>
      <w:tblGrid>
        <w:gridCol w:w="960"/>
        <w:gridCol w:w="1290"/>
        <w:gridCol w:w="1255"/>
        <w:gridCol w:w="1220"/>
        <w:gridCol w:w="1877"/>
        <w:gridCol w:w="1364"/>
      </w:tblGrid>
      <w:tr w:rsidR="002A7228" w:rsidRPr="00B20F18" w14:paraId="3F3BFD19" w14:textId="77777777" w:rsidTr="00610C3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vMerge w:val="restart"/>
            <w:noWrap/>
            <w:hideMark/>
          </w:tcPr>
          <w:p w14:paraId="0F6788CD"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Year</w:t>
            </w:r>
          </w:p>
        </w:tc>
        <w:tc>
          <w:tcPr>
            <w:tcW w:w="2545" w:type="dxa"/>
            <w:gridSpan w:val="2"/>
            <w:noWrap/>
            <w:hideMark/>
          </w:tcPr>
          <w:p w14:paraId="11F7D60D" w14:textId="77777777" w:rsidR="002A7228" w:rsidRPr="00B20F18" w:rsidRDefault="002A7228" w:rsidP="002A7228">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Cash Flow</w:t>
            </w:r>
          </w:p>
        </w:tc>
        <w:tc>
          <w:tcPr>
            <w:tcW w:w="1220" w:type="dxa"/>
            <w:vMerge w:val="restart"/>
            <w:noWrap/>
            <w:hideMark/>
          </w:tcPr>
          <w:p w14:paraId="6BDB5F53" w14:textId="33B6E8E8" w:rsidR="002A7228" w:rsidRPr="00B20F18" w:rsidRDefault="002A7228" w:rsidP="002A7228">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PV</w:t>
            </w:r>
            <w:r w:rsidR="00C2351A" w:rsidRPr="00B20F18">
              <w:rPr>
                <w:rFonts w:ascii="Arial" w:eastAsia="Times New Roman" w:hAnsi="Arial" w:cs="Arial"/>
                <w:b w:val="0"/>
                <w:bCs w:val="0"/>
                <w:color w:val="000000"/>
                <w:szCs w:val="24"/>
                <w:lang w:eastAsia="en-GB"/>
              </w:rPr>
              <w:t>IFA (</w:t>
            </w:r>
            <w:r w:rsidRPr="00B20F18">
              <w:rPr>
                <w:rFonts w:ascii="Arial" w:eastAsia="Times New Roman" w:hAnsi="Arial" w:cs="Arial"/>
                <w:b w:val="0"/>
                <w:bCs w:val="0"/>
                <w:color w:val="000000"/>
                <w:szCs w:val="24"/>
                <w:lang w:eastAsia="en-GB"/>
              </w:rPr>
              <w:t>10.50%</w:t>
            </w:r>
            <w:r w:rsidR="00C2351A" w:rsidRPr="00B20F18">
              <w:rPr>
                <w:rFonts w:ascii="Arial" w:eastAsia="Times New Roman" w:hAnsi="Arial" w:cs="Arial"/>
                <w:b w:val="0"/>
                <w:bCs w:val="0"/>
                <w:color w:val="000000"/>
                <w:szCs w:val="24"/>
                <w:lang w:eastAsia="en-GB"/>
              </w:rPr>
              <w:t>)</w:t>
            </w:r>
          </w:p>
        </w:tc>
        <w:tc>
          <w:tcPr>
            <w:tcW w:w="3241" w:type="dxa"/>
            <w:gridSpan w:val="2"/>
            <w:noWrap/>
            <w:hideMark/>
          </w:tcPr>
          <w:p w14:paraId="59E4F29B" w14:textId="77777777" w:rsidR="002A7228" w:rsidRPr="00B20F18" w:rsidRDefault="002A7228" w:rsidP="002A7228">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Present Value</w:t>
            </w:r>
          </w:p>
        </w:tc>
      </w:tr>
      <w:tr w:rsidR="002A7228" w:rsidRPr="00B20F18" w14:paraId="221202D7" w14:textId="77777777" w:rsidTr="00610C3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vMerge/>
            <w:hideMark/>
          </w:tcPr>
          <w:p w14:paraId="7B698B49"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p>
        </w:tc>
        <w:tc>
          <w:tcPr>
            <w:tcW w:w="1290" w:type="dxa"/>
            <w:noWrap/>
            <w:hideMark/>
          </w:tcPr>
          <w:p w14:paraId="1B115C3E" w14:textId="604B564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A</w:t>
            </w:r>
          </w:p>
        </w:tc>
        <w:tc>
          <w:tcPr>
            <w:tcW w:w="1255" w:type="dxa"/>
            <w:noWrap/>
            <w:hideMark/>
          </w:tcPr>
          <w:p w14:paraId="040C7F95" w14:textId="58048C4A"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B</w:t>
            </w:r>
          </w:p>
        </w:tc>
        <w:tc>
          <w:tcPr>
            <w:tcW w:w="1220" w:type="dxa"/>
            <w:vMerge/>
            <w:hideMark/>
          </w:tcPr>
          <w:p w14:paraId="6E872E6C" w14:textId="7777777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p>
        </w:tc>
        <w:tc>
          <w:tcPr>
            <w:tcW w:w="1877" w:type="dxa"/>
            <w:noWrap/>
            <w:hideMark/>
          </w:tcPr>
          <w:p w14:paraId="530CE762" w14:textId="6FF1F2A1"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A</w:t>
            </w:r>
          </w:p>
        </w:tc>
        <w:tc>
          <w:tcPr>
            <w:tcW w:w="1364" w:type="dxa"/>
            <w:noWrap/>
            <w:hideMark/>
          </w:tcPr>
          <w:p w14:paraId="31158813" w14:textId="0AA95536"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Project B</w:t>
            </w:r>
          </w:p>
        </w:tc>
      </w:tr>
      <w:tr w:rsidR="00304104" w:rsidRPr="00B20F18" w14:paraId="00276666" w14:textId="77777777" w:rsidTr="00610C33">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803C5F4"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lastRenderedPageBreak/>
              <w:t>0</w:t>
            </w:r>
          </w:p>
        </w:tc>
        <w:tc>
          <w:tcPr>
            <w:tcW w:w="1290" w:type="dxa"/>
            <w:noWrap/>
            <w:hideMark/>
          </w:tcPr>
          <w:p w14:paraId="33CDDEEF" w14:textId="2DD2810B" w:rsidR="002A7228" w:rsidRPr="00B20F18" w:rsidRDefault="00610C33"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w:t>
            </w:r>
            <w:r w:rsidR="002A7228" w:rsidRPr="00B20F18">
              <w:rPr>
                <w:rFonts w:ascii="Arial" w:eastAsia="Times New Roman" w:hAnsi="Arial" w:cs="Arial"/>
                <w:color w:val="000000"/>
                <w:szCs w:val="24"/>
                <w:lang w:eastAsia="en-GB"/>
              </w:rPr>
              <w:t>85</w:t>
            </w:r>
            <w:r w:rsidRPr="00B20F18">
              <w:rPr>
                <w:rFonts w:ascii="Arial" w:eastAsia="Times New Roman" w:hAnsi="Arial" w:cs="Arial"/>
                <w:color w:val="000000"/>
                <w:szCs w:val="24"/>
                <w:lang w:eastAsia="en-GB"/>
              </w:rPr>
              <w:t>)</w:t>
            </w:r>
          </w:p>
        </w:tc>
        <w:tc>
          <w:tcPr>
            <w:tcW w:w="1255" w:type="dxa"/>
            <w:noWrap/>
            <w:hideMark/>
          </w:tcPr>
          <w:p w14:paraId="7BEE40A0" w14:textId="4F32B57B" w:rsidR="002A7228" w:rsidRPr="00B20F18" w:rsidRDefault="00610C33"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w:t>
            </w:r>
            <w:r w:rsidR="002A7228" w:rsidRPr="00B20F18">
              <w:rPr>
                <w:rFonts w:ascii="Arial" w:eastAsia="Times New Roman" w:hAnsi="Arial" w:cs="Arial"/>
                <w:color w:val="000000"/>
                <w:szCs w:val="24"/>
                <w:lang w:eastAsia="en-GB"/>
              </w:rPr>
              <w:t>90</w:t>
            </w:r>
            <w:r w:rsidRPr="00B20F18">
              <w:rPr>
                <w:rFonts w:ascii="Arial" w:eastAsia="Times New Roman" w:hAnsi="Arial" w:cs="Arial"/>
                <w:color w:val="000000"/>
                <w:szCs w:val="24"/>
                <w:lang w:eastAsia="en-GB"/>
              </w:rPr>
              <w:t>)</w:t>
            </w:r>
          </w:p>
        </w:tc>
        <w:tc>
          <w:tcPr>
            <w:tcW w:w="1220" w:type="dxa"/>
            <w:noWrap/>
            <w:hideMark/>
          </w:tcPr>
          <w:p w14:paraId="7E32371A" w14:textId="0EFC95E7"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w:t>
            </w:r>
          </w:p>
        </w:tc>
        <w:tc>
          <w:tcPr>
            <w:tcW w:w="1877" w:type="dxa"/>
            <w:noWrap/>
            <w:hideMark/>
          </w:tcPr>
          <w:p w14:paraId="6778DFBF" w14:textId="207BE4EB"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(85)</w:t>
            </w:r>
          </w:p>
        </w:tc>
        <w:tc>
          <w:tcPr>
            <w:tcW w:w="1364" w:type="dxa"/>
            <w:noWrap/>
            <w:hideMark/>
          </w:tcPr>
          <w:p w14:paraId="232C939B" w14:textId="4C09CBE2"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(90)</w:t>
            </w:r>
          </w:p>
        </w:tc>
      </w:tr>
      <w:tr w:rsidR="002A7228" w:rsidRPr="00B20F18" w14:paraId="2F4490ED" w14:textId="77777777" w:rsidTr="00610C3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028FF64E"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1</w:t>
            </w:r>
          </w:p>
        </w:tc>
        <w:tc>
          <w:tcPr>
            <w:tcW w:w="1290" w:type="dxa"/>
            <w:noWrap/>
            <w:hideMark/>
          </w:tcPr>
          <w:p w14:paraId="67E8B7FF" w14:textId="7777777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w:t>
            </w:r>
          </w:p>
        </w:tc>
        <w:tc>
          <w:tcPr>
            <w:tcW w:w="1255" w:type="dxa"/>
            <w:noWrap/>
            <w:hideMark/>
          </w:tcPr>
          <w:p w14:paraId="65E7998C" w14:textId="7777777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25</w:t>
            </w:r>
          </w:p>
        </w:tc>
        <w:tc>
          <w:tcPr>
            <w:tcW w:w="1220" w:type="dxa"/>
            <w:noWrap/>
            <w:hideMark/>
          </w:tcPr>
          <w:p w14:paraId="00FA8DAB" w14:textId="67690B18"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0.905</w:t>
            </w:r>
          </w:p>
        </w:tc>
        <w:tc>
          <w:tcPr>
            <w:tcW w:w="1877" w:type="dxa"/>
            <w:noWrap/>
            <w:hideMark/>
          </w:tcPr>
          <w:p w14:paraId="27198BA0" w14:textId="7758E0B9"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9.05</w:t>
            </w:r>
          </w:p>
        </w:tc>
        <w:tc>
          <w:tcPr>
            <w:tcW w:w="1364" w:type="dxa"/>
            <w:noWrap/>
            <w:hideMark/>
          </w:tcPr>
          <w:p w14:paraId="1A0E3CF0" w14:textId="77AAD5B2"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22.62</w:t>
            </w:r>
          </w:p>
        </w:tc>
      </w:tr>
      <w:tr w:rsidR="00304104" w:rsidRPr="00B20F18" w14:paraId="7275EC74" w14:textId="77777777" w:rsidTr="00610C33">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478AC19"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2</w:t>
            </w:r>
          </w:p>
        </w:tc>
        <w:tc>
          <w:tcPr>
            <w:tcW w:w="1290" w:type="dxa"/>
            <w:noWrap/>
            <w:hideMark/>
          </w:tcPr>
          <w:p w14:paraId="546F3507" w14:textId="77777777"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w:t>
            </w:r>
          </w:p>
        </w:tc>
        <w:tc>
          <w:tcPr>
            <w:tcW w:w="1255" w:type="dxa"/>
            <w:noWrap/>
            <w:hideMark/>
          </w:tcPr>
          <w:p w14:paraId="49522C07" w14:textId="77777777"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30</w:t>
            </w:r>
          </w:p>
        </w:tc>
        <w:tc>
          <w:tcPr>
            <w:tcW w:w="1220" w:type="dxa"/>
            <w:noWrap/>
            <w:hideMark/>
          </w:tcPr>
          <w:p w14:paraId="706FE441" w14:textId="43DB88A3"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0.819</w:t>
            </w:r>
          </w:p>
        </w:tc>
        <w:tc>
          <w:tcPr>
            <w:tcW w:w="1877" w:type="dxa"/>
            <w:noWrap/>
            <w:hideMark/>
          </w:tcPr>
          <w:p w14:paraId="0F94780B" w14:textId="35A6F6E9"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16.38</w:t>
            </w:r>
          </w:p>
        </w:tc>
        <w:tc>
          <w:tcPr>
            <w:tcW w:w="1364" w:type="dxa"/>
            <w:noWrap/>
            <w:hideMark/>
          </w:tcPr>
          <w:p w14:paraId="4DCDFD29" w14:textId="7D83A088"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24.57</w:t>
            </w:r>
          </w:p>
        </w:tc>
      </w:tr>
      <w:tr w:rsidR="002A7228" w:rsidRPr="00B20F18" w14:paraId="5B6104F7" w14:textId="77777777" w:rsidTr="00610C3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0FD00D3"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3</w:t>
            </w:r>
          </w:p>
        </w:tc>
        <w:tc>
          <w:tcPr>
            <w:tcW w:w="1290" w:type="dxa"/>
            <w:noWrap/>
            <w:hideMark/>
          </w:tcPr>
          <w:p w14:paraId="75155AAB" w14:textId="7777777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w:t>
            </w:r>
          </w:p>
        </w:tc>
        <w:tc>
          <w:tcPr>
            <w:tcW w:w="1255" w:type="dxa"/>
            <w:noWrap/>
            <w:hideMark/>
          </w:tcPr>
          <w:p w14:paraId="4F443EEB" w14:textId="77777777"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35</w:t>
            </w:r>
          </w:p>
        </w:tc>
        <w:tc>
          <w:tcPr>
            <w:tcW w:w="1220" w:type="dxa"/>
            <w:noWrap/>
            <w:hideMark/>
          </w:tcPr>
          <w:p w14:paraId="082E8D53" w14:textId="11CF1BD2"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0.741</w:t>
            </w:r>
          </w:p>
        </w:tc>
        <w:tc>
          <w:tcPr>
            <w:tcW w:w="1877" w:type="dxa"/>
            <w:noWrap/>
            <w:hideMark/>
          </w:tcPr>
          <w:p w14:paraId="7CF0555B" w14:textId="345810B6"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29.65</w:t>
            </w:r>
          </w:p>
        </w:tc>
        <w:tc>
          <w:tcPr>
            <w:tcW w:w="1364" w:type="dxa"/>
            <w:noWrap/>
            <w:hideMark/>
          </w:tcPr>
          <w:p w14:paraId="2B078AB5" w14:textId="77582E02"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25.94</w:t>
            </w:r>
          </w:p>
        </w:tc>
      </w:tr>
      <w:tr w:rsidR="00304104" w:rsidRPr="00B20F18" w14:paraId="5636A3DC" w14:textId="77777777" w:rsidTr="00610C33">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4084EF3" w14:textId="77777777"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4</w:t>
            </w:r>
          </w:p>
        </w:tc>
        <w:tc>
          <w:tcPr>
            <w:tcW w:w="1290" w:type="dxa"/>
            <w:noWrap/>
            <w:hideMark/>
          </w:tcPr>
          <w:p w14:paraId="3DC9843D" w14:textId="77777777"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55</w:t>
            </w:r>
          </w:p>
        </w:tc>
        <w:tc>
          <w:tcPr>
            <w:tcW w:w="1255" w:type="dxa"/>
            <w:noWrap/>
            <w:hideMark/>
          </w:tcPr>
          <w:p w14:paraId="76E2E855" w14:textId="77777777"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w:t>
            </w:r>
          </w:p>
        </w:tc>
        <w:tc>
          <w:tcPr>
            <w:tcW w:w="1220" w:type="dxa"/>
            <w:noWrap/>
            <w:hideMark/>
          </w:tcPr>
          <w:p w14:paraId="79F7EC5A" w14:textId="5D39C8D0"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0.67</w:t>
            </w:r>
            <w:r w:rsidR="00610C33" w:rsidRPr="00B20F18">
              <w:rPr>
                <w:rFonts w:ascii="Arial" w:eastAsia="Times New Roman" w:hAnsi="Arial" w:cs="Arial"/>
                <w:color w:val="000000"/>
                <w:szCs w:val="24"/>
                <w:lang w:eastAsia="en-GB"/>
              </w:rPr>
              <w:t>1</w:t>
            </w:r>
          </w:p>
        </w:tc>
        <w:tc>
          <w:tcPr>
            <w:tcW w:w="1877" w:type="dxa"/>
            <w:noWrap/>
            <w:hideMark/>
          </w:tcPr>
          <w:p w14:paraId="3733330E" w14:textId="012DD81C"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36.89</w:t>
            </w:r>
          </w:p>
        </w:tc>
        <w:tc>
          <w:tcPr>
            <w:tcW w:w="1364" w:type="dxa"/>
            <w:noWrap/>
            <w:hideMark/>
          </w:tcPr>
          <w:p w14:paraId="423A6B64" w14:textId="61080C1B" w:rsidR="002A7228" w:rsidRPr="00B20F18" w:rsidRDefault="002A7228" w:rsidP="002A7228">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26.83</w:t>
            </w:r>
          </w:p>
        </w:tc>
      </w:tr>
      <w:tr w:rsidR="002A7228" w:rsidRPr="00B20F18" w14:paraId="1503C24D" w14:textId="77777777" w:rsidTr="00610C3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05" w:type="dxa"/>
            <w:gridSpan w:val="3"/>
            <w:noWrap/>
            <w:hideMark/>
          </w:tcPr>
          <w:p w14:paraId="0939022C" w14:textId="3E7B02CE" w:rsidR="002A7228" w:rsidRPr="00B20F18" w:rsidRDefault="002A7228" w:rsidP="002A7228">
            <w:pPr>
              <w:spacing w:line="240" w:lineRule="auto"/>
              <w:jc w:val="center"/>
              <w:rPr>
                <w:rFonts w:ascii="Arial" w:eastAsia="Times New Roman" w:hAnsi="Arial" w:cs="Arial"/>
                <w:b w:val="0"/>
                <w:bCs w:val="0"/>
                <w:color w:val="000000"/>
                <w:szCs w:val="24"/>
                <w:lang w:eastAsia="en-GB"/>
              </w:rPr>
            </w:pPr>
            <w:r w:rsidRPr="00B20F18">
              <w:rPr>
                <w:rFonts w:ascii="Arial" w:eastAsia="Times New Roman" w:hAnsi="Arial" w:cs="Arial"/>
                <w:b w:val="0"/>
                <w:bCs w:val="0"/>
                <w:color w:val="000000"/>
                <w:szCs w:val="24"/>
                <w:lang w:eastAsia="en-GB"/>
              </w:rPr>
              <w:t xml:space="preserve">Net Present Value </w:t>
            </w:r>
          </w:p>
        </w:tc>
        <w:tc>
          <w:tcPr>
            <w:tcW w:w="1220" w:type="dxa"/>
            <w:noWrap/>
            <w:hideMark/>
          </w:tcPr>
          <w:p w14:paraId="6B14FDE4" w14:textId="0CC53F1A"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p>
        </w:tc>
        <w:tc>
          <w:tcPr>
            <w:tcW w:w="1877" w:type="dxa"/>
            <w:noWrap/>
            <w:hideMark/>
          </w:tcPr>
          <w:p w14:paraId="1F5CFE9A" w14:textId="11AC95EE"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6.97</w:t>
            </w:r>
          </w:p>
        </w:tc>
        <w:tc>
          <w:tcPr>
            <w:tcW w:w="1364" w:type="dxa"/>
            <w:noWrap/>
            <w:hideMark/>
          </w:tcPr>
          <w:p w14:paraId="4DA02DA4" w14:textId="212C16AD" w:rsidR="002A7228" w:rsidRPr="00B20F18" w:rsidRDefault="002A7228" w:rsidP="002A7228">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9.96</w:t>
            </w:r>
          </w:p>
        </w:tc>
      </w:tr>
    </w:tbl>
    <w:p w14:paraId="433BF13E" w14:textId="77777777" w:rsidR="003E4F6F" w:rsidRPr="00B20F18" w:rsidRDefault="003E4F6F" w:rsidP="00982164">
      <w:pPr>
        <w:rPr>
          <w:rFonts w:ascii="Arial" w:hAnsi="Arial" w:cs="Arial"/>
        </w:rPr>
      </w:pPr>
    </w:p>
    <w:p w14:paraId="539B11B3" w14:textId="4716A570" w:rsidR="00304104" w:rsidRPr="00B20F18" w:rsidRDefault="00304104" w:rsidP="00982164">
      <w:pPr>
        <w:rPr>
          <w:rFonts w:ascii="Arial" w:hAnsi="Arial" w:cs="Arial"/>
        </w:rPr>
      </w:pPr>
      <w:r w:rsidRPr="00B20F18">
        <w:rPr>
          <w:rFonts w:ascii="Arial" w:hAnsi="Arial" w:cs="Arial"/>
        </w:rPr>
        <w:t xml:space="preserve">From the above calculation, it is found </w:t>
      </w:r>
      <w:r w:rsidR="003E4F6F" w:rsidRPr="00B20F18">
        <w:rPr>
          <w:rFonts w:ascii="Arial" w:hAnsi="Arial" w:cs="Arial"/>
        </w:rPr>
        <w:t>that</w:t>
      </w:r>
      <w:r w:rsidRPr="00B20F18">
        <w:rPr>
          <w:rFonts w:ascii="Arial" w:hAnsi="Arial" w:cs="Arial"/>
        </w:rPr>
        <w:t xml:space="preserve"> the NPV of the project B is higher than that of the project A. Therefore, the management should go for project B. </w:t>
      </w:r>
    </w:p>
    <w:p w14:paraId="128FB016" w14:textId="77777777" w:rsidR="003E4F6F" w:rsidRPr="00B20F18" w:rsidRDefault="003E4F6F" w:rsidP="00982164">
      <w:pPr>
        <w:rPr>
          <w:rFonts w:ascii="Arial" w:hAnsi="Arial" w:cs="Arial"/>
        </w:rPr>
      </w:pPr>
    </w:p>
    <w:p w14:paraId="157CAF76" w14:textId="314AE1DE" w:rsidR="007411FB" w:rsidRPr="00B20F18" w:rsidRDefault="00710954" w:rsidP="00982164">
      <w:pPr>
        <w:rPr>
          <w:rFonts w:ascii="Arial" w:hAnsi="Arial" w:cs="Arial"/>
        </w:rPr>
      </w:pPr>
      <w:r w:rsidRPr="00B20F18">
        <w:rPr>
          <w:rFonts w:ascii="Arial" w:hAnsi="Arial" w:cs="Arial"/>
          <w:b/>
          <w:bCs/>
        </w:rPr>
        <w:t>Accounting Rate of Return (ARR):</w:t>
      </w:r>
      <w:r w:rsidRPr="00B20F18">
        <w:rPr>
          <w:rFonts w:ascii="Arial" w:hAnsi="Arial" w:cs="Arial"/>
        </w:rPr>
        <w:t xml:space="preserve"> The Accounting Rate of Return involves the average rate of return with respect to the initial investments</w:t>
      </w:r>
      <w:r w:rsidR="00610C33" w:rsidRPr="00B20F18">
        <w:rPr>
          <w:rFonts w:ascii="Arial" w:hAnsi="Arial" w:cs="Arial"/>
        </w:rPr>
        <w:t xml:space="preserve"> </w:t>
      </w:r>
      <w:r w:rsidR="00610C33" w:rsidRPr="00B20F18">
        <w:rPr>
          <w:rFonts w:ascii="Arial" w:eastAsia="Times New Roman" w:hAnsi="Arial" w:cs="Arial"/>
          <w:szCs w:val="24"/>
          <w:lang w:eastAsia="en-GB"/>
        </w:rPr>
        <w:t>(Brigham and Ehrhardt, 2019)</w:t>
      </w:r>
      <w:r w:rsidRPr="00B20F18">
        <w:rPr>
          <w:rFonts w:ascii="Arial" w:hAnsi="Arial" w:cs="Arial"/>
        </w:rPr>
        <w:t xml:space="preserve">. However, the ARR of the given projects have been calculated below as per the requirements. </w:t>
      </w:r>
    </w:p>
    <w:tbl>
      <w:tblPr>
        <w:tblStyle w:val="TableGrid"/>
        <w:tblW w:w="4585" w:type="dxa"/>
        <w:jc w:val="center"/>
        <w:tblLook w:val="04A0" w:firstRow="1" w:lastRow="0" w:firstColumn="1" w:lastColumn="0" w:noHBand="0" w:noVBand="1"/>
      </w:tblPr>
      <w:tblGrid>
        <w:gridCol w:w="1900"/>
        <w:gridCol w:w="1245"/>
        <w:gridCol w:w="1440"/>
      </w:tblGrid>
      <w:tr w:rsidR="00304104" w:rsidRPr="00B20F18" w14:paraId="49E8F73B" w14:textId="77777777" w:rsidTr="00304104">
        <w:trPr>
          <w:trHeight w:val="300"/>
          <w:jc w:val="center"/>
        </w:trPr>
        <w:tc>
          <w:tcPr>
            <w:tcW w:w="1900" w:type="dxa"/>
            <w:vMerge w:val="restart"/>
            <w:noWrap/>
            <w:vAlign w:val="center"/>
            <w:hideMark/>
          </w:tcPr>
          <w:p w14:paraId="6528D757" w14:textId="77777777" w:rsidR="00304104" w:rsidRPr="00B20F18" w:rsidRDefault="00304104" w:rsidP="00304104">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Year</w:t>
            </w:r>
          </w:p>
        </w:tc>
        <w:tc>
          <w:tcPr>
            <w:tcW w:w="2685" w:type="dxa"/>
            <w:gridSpan w:val="2"/>
            <w:noWrap/>
            <w:vAlign w:val="center"/>
            <w:hideMark/>
          </w:tcPr>
          <w:p w14:paraId="6ADA0B1B" w14:textId="77777777" w:rsidR="00304104" w:rsidRPr="00B20F18" w:rsidRDefault="00304104" w:rsidP="00304104">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Cash Flow</w:t>
            </w:r>
          </w:p>
        </w:tc>
      </w:tr>
      <w:tr w:rsidR="00304104" w:rsidRPr="00B20F18" w14:paraId="1252B803" w14:textId="77777777" w:rsidTr="00304104">
        <w:trPr>
          <w:trHeight w:val="300"/>
          <w:jc w:val="center"/>
        </w:trPr>
        <w:tc>
          <w:tcPr>
            <w:tcW w:w="1900" w:type="dxa"/>
            <w:vMerge/>
            <w:vAlign w:val="center"/>
            <w:hideMark/>
          </w:tcPr>
          <w:p w14:paraId="096165FB" w14:textId="77777777" w:rsidR="00304104" w:rsidRPr="00B20F18" w:rsidRDefault="00304104" w:rsidP="00304104">
            <w:pPr>
              <w:spacing w:line="240" w:lineRule="auto"/>
              <w:jc w:val="center"/>
              <w:rPr>
                <w:rFonts w:ascii="Arial" w:eastAsia="Times New Roman" w:hAnsi="Arial" w:cs="Arial"/>
                <w:b/>
                <w:bCs/>
                <w:color w:val="000000"/>
                <w:szCs w:val="24"/>
                <w:lang w:eastAsia="en-GB"/>
              </w:rPr>
            </w:pPr>
          </w:p>
        </w:tc>
        <w:tc>
          <w:tcPr>
            <w:tcW w:w="1245" w:type="dxa"/>
            <w:noWrap/>
            <w:vAlign w:val="center"/>
            <w:hideMark/>
          </w:tcPr>
          <w:p w14:paraId="789215F6" w14:textId="51B6AE22" w:rsidR="00304104" w:rsidRPr="00B20F18" w:rsidRDefault="00304104" w:rsidP="00304104">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Project A</w:t>
            </w:r>
          </w:p>
        </w:tc>
        <w:tc>
          <w:tcPr>
            <w:tcW w:w="1440" w:type="dxa"/>
            <w:noWrap/>
            <w:vAlign w:val="center"/>
            <w:hideMark/>
          </w:tcPr>
          <w:p w14:paraId="17617F06" w14:textId="72305F91" w:rsidR="00304104" w:rsidRPr="00B20F18" w:rsidRDefault="00304104" w:rsidP="00304104">
            <w:pPr>
              <w:spacing w:line="240" w:lineRule="auto"/>
              <w:jc w:val="center"/>
              <w:rPr>
                <w:rFonts w:ascii="Arial" w:eastAsia="Times New Roman" w:hAnsi="Arial" w:cs="Arial"/>
                <w:b/>
                <w:bCs/>
                <w:color w:val="000000"/>
                <w:szCs w:val="24"/>
                <w:lang w:eastAsia="en-GB"/>
              </w:rPr>
            </w:pPr>
            <w:r w:rsidRPr="00B20F18">
              <w:rPr>
                <w:rFonts w:ascii="Arial" w:eastAsia="Times New Roman" w:hAnsi="Arial" w:cs="Arial"/>
                <w:b/>
                <w:bCs/>
                <w:color w:val="000000"/>
                <w:szCs w:val="24"/>
                <w:lang w:eastAsia="en-GB"/>
              </w:rPr>
              <w:t>Project B</w:t>
            </w:r>
          </w:p>
        </w:tc>
      </w:tr>
      <w:tr w:rsidR="00304104" w:rsidRPr="00B20F18" w14:paraId="6DD3C2F9" w14:textId="77777777" w:rsidTr="00304104">
        <w:trPr>
          <w:trHeight w:val="300"/>
          <w:jc w:val="center"/>
        </w:trPr>
        <w:tc>
          <w:tcPr>
            <w:tcW w:w="1900" w:type="dxa"/>
            <w:noWrap/>
            <w:hideMark/>
          </w:tcPr>
          <w:p w14:paraId="0A6A12BA"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0</w:t>
            </w:r>
          </w:p>
        </w:tc>
        <w:tc>
          <w:tcPr>
            <w:tcW w:w="1245" w:type="dxa"/>
            <w:noWrap/>
            <w:hideMark/>
          </w:tcPr>
          <w:p w14:paraId="225D0F90" w14:textId="58667BDD" w:rsidR="00304104" w:rsidRPr="00B20F18" w:rsidRDefault="001F4338"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w:t>
            </w:r>
            <w:r w:rsidR="00304104" w:rsidRPr="00B20F18">
              <w:rPr>
                <w:rFonts w:ascii="Arial" w:eastAsia="Times New Roman" w:hAnsi="Arial" w:cs="Arial"/>
                <w:color w:val="000000"/>
                <w:szCs w:val="24"/>
                <w:lang w:eastAsia="en-GB"/>
              </w:rPr>
              <w:t>85</w:t>
            </w:r>
            <w:r w:rsidRPr="00B20F18">
              <w:rPr>
                <w:rFonts w:ascii="Arial" w:eastAsia="Times New Roman" w:hAnsi="Arial" w:cs="Arial"/>
                <w:color w:val="000000"/>
                <w:szCs w:val="24"/>
                <w:lang w:eastAsia="en-GB"/>
              </w:rPr>
              <w:t>)</w:t>
            </w:r>
          </w:p>
        </w:tc>
        <w:tc>
          <w:tcPr>
            <w:tcW w:w="1440" w:type="dxa"/>
            <w:noWrap/>
            <w:hideMark/>
          </w:tcPr>
          <w:p w14:paraId="672ABE4F" w14:textId="7D9907F9" w:rsidR="00304104" w:rsidRPr="00B20F18" w:rsidRDefault="001F4338"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w:t>
            </w:r>
            <w:r w:rsidR="00304104" w:rsidRPr="00B20F18">
              <w:rPr>
                <w:rFonts w:ascii="Arial" w:eastAsia="Times New Roman" w:hAnsi="Arial" w:cs="Arial"/>
                <w:color w:val="000000"/>
                <w:szCs w:val="24"/>
                <w:lang w:eastAsia="en-GB"/>
              </w:rPr>
              <w:t>90</w:t>
            </w:r>
            <w:r w:rsidRPr="00B20F18">
              <w:rPr>
                <w:rFonts w:ascii="Arial" w:eastAsia="Times New Roman" w:hAnsi="Arial" w:cs="Arial"/>
                <w:color w:val="000000"/>
                <w:szCs w:val="24"/>
                <w:lang w:eastAsia="en-GB"/>
              </w:rPr>
              <w:t>)</w:t>
            </w:r>
          </w:p>
        </w:tc>
      </w:tr>
      <w:tr w:rsidR="00304104" w:rsidRPr="00B20F18" w14:paraId="4B2C627C" w14:textId="77777777" w:rsidTr="00304104">
        <w:trPr>
          <w:trHeight w:val="300"/>
          <w:jc w:val="center"/>
        </w:trPr>
        <w:tc>
          <w:tcPr>
            <w:tcW w:w="1900" w:type="dxa"/>
            <w:noWrap/>
            <w:hideMark/>
          </w:tcPr>
          <w:p w14:paraId="6FEBC855"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w:t>
            </w:r>
          </w:p>
        </w:tc>
        <w:tc>
          <w:tcPr>
            <w:tcW w:w="1245" w:type="dxa"/>
            <w:noWrap/>
            <w:hideMark/>
          </w:tcPr>
          <w:p w14:paraId="43716B13"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10</w:t>
            </w:r>
          </w:p>
        </w:tc>
        <w:tc>
          <w:tcPr>
            <w:tcW w:w="1440" w:type="dxa"/>
            <w:noWrap/>
            <w:hideMark/>
          </w:tcPr>
          <w:p w14:paraId="71259E07"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25</w:t>
            </w:r>
          </w:p>
        </w:tc>
      </w:tr>
      <w:tr w:rsidR="00304104" w:rsidRPr="00B20F18" w14:paraId="696AF277" w14:textId="77777777" w:rsidTr="00304104">
        <w:trPr>
          <w:trHeight w:val="300"/>
          <w:jc w:val="center"/>
        </w:trPr>
        <w:tc>
          <w:tcPr>
            <w:tcW w:w="1900" w:type="dxa"/>
            <w:noWrap/>
            <w:hideMark/>
          </w:tcPr>
          <w:p w14:paraId="00CB1747"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w:t>
            </w:r>
          </w:p>
        </w:tc>
        <w:tc>
          <w:tcPr>
            <w:tcW w:w="1245" w:type="dxa"/>
            <w:noWrap/>
            <w:hideMark/>
          </w:tcPr>
          <w:p w14:paraId="0A48A54F"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20</w:t>
            </w:r>
          </w:p>
        </w:tc>
        <w:tc>
          <w:tcPr>
            <w:tcW w:w="1440" w:type="dxa"/>
            <w:noWrap/>
            <w:hideMark/>
          </w:tcPr>
          <w:p w14:paraId="1FFA891D"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30</w:t>
            </w:r>
          </w:p>
        </w:tc>
      </w:tr>
      <w:tr w:rsidR="00304104" w:rsidRPr="00B20F18" w14:paraId="5B2BFE59" w14:textId="77777777" w:rsidTr="00304104">
        <w:trPr>
          <w:trHeight w:val="300"/>
          <w:jc w:val="center"/>
        </w:trPr>
        <w:tc>
          <w:tcPr>
            <w:tcW w:w="1900" w:type="dxa"/>
            <w:noWrap/>
            <w:hideMark/>
          </w:tcPr>
          <w:p w14:paraId="46E4A805"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w:t>
            </w:r>
          </w:p>
        </w:tc>
        <w:tc>
          <w:tcPr>
            <w:tcW w:w="1245" w:type="dxa"/>
            <w:noWrap/>
            <w:hideMark/>
          </w:tcPr>
          <w:p w14:paraId="4D0E8F73"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w:t>
            </w:r>
          </w:p>
        </w:tc>
        <w:tc>
          <w:tcPr>
            <w:tcW w:w="1440" w:type="dxa"/>
            <w:noWrap/>
            <w:hideMark/>
          </w:tcPr>
          <w:p w14:paraId="42A1FB21"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35</w:t>
            </w:r>
          </w:p>
        </w:tc>
      </w:tr>
      <w:tr w:rsidR="00304104" w:rsidRPr="00B20F18" w14:paraId="1D2EEC1F" w14:textId="77777777" w:rsidTr="00304104">
        <w:trPr>
          <w:trHeight w:val="300"/>
          <w:jc w:val="center"/>
        </w:trPr>
        <w:tc>
          <w:tcPr>
            <w:tcW w:w="1900" w:type="dxa"/>
            <w:noWrap/>
            <w:hideMark/>
          </w:tcPr>
          <w:p w14:paraId="41C9829C"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w:t>
            </w:r>
          </w:p>
        </w:tc>
        <w:tc>
          <w:tcPr>
            <w:tcW w:w="1245" w:type="dxa"/>
            <w:noWrap/>
            <w:hideMark/>
          </w:tcPr>
          <w:p w14:paraId="6AA47230"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55</w:t>
            </w:r>
          </w:p>
        </w:tc>
        <w:tc>
          <w:tcPr>
            <w:tcW w:w="1440" w:type="dxa"/>
            <w:noWrap/>
            <w:hideMark/>
          </w:tcPr>
          <w:p w14:paraId="41BD7B45"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40</w:t>
            </w:r>
          </w:p>
        </w:tc>
      </w:tr>
      <w:tr w:rsidR="00304104" w:rsidRPr="00B20F18" w14:paraId="5053B3C1" w14:textId="77777777" w:rsidTr="00304104">
        <w:trPr>
          <w:trHeight w:val="300"/>
          <w:jc w:val="center"/>
        </w:trPr>
        <w:tc>
          <w:tcPr>
            <w:tcW w:w="1900" w:type="dxa"/>
            <w:noWrap/>
            <w:hideMark/>
          </w:tcPr>
          <w:p w14:paraId="4CDE9A73"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Average Income</w:t>
            </w:r>
          </w:p>
        </w:tc>
        <w:tc>
          <w:tcPr>
            <w:tcW w:w="1245" w:type="dxa"/>
            <w:noWrap/>
            <w:hideMark/>
          </w:tcPr>
          <w:p w14:paraId="12D804FF"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31.25</w:t>
            </w:r>
          </w:p>
        </w:tc>
        <w:tc>
          <w:tcPr>
            <w:tcW w:w="1440" w:type="dxa"/>
            <w:noWrap/>
            <w:hideMark/>
          </w:tcPr>
          <w:p w14:paraId="04446E9A"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32.5</w:t>
            </w:r>
          </w:p>
        </w:tc>
      </w:tr>
      <w:tr w:rsidR="00304104" w:rsidRPr="00B20F18" w14:paraId="4244396D" w14:textId="77777777" w:rsidTr="00304104">
        <w:trPr>
          <w:trHeight w:val="300"/>
          <w:jc w:val="center"/>
        </w:trPr>
        <w:tc>
          <w:tcPr>
            <w:tcW w:w="1900" w:type="dxa"/>
            <w:noWrap/>
            <w:hideMark/>
          </w:tcPr>
          <w:p w14:paraId="69DDEB0E" w14:textId="77777777" w:rsidR="00304104" w:rsidRPr="00B20F18" w:rsidRDefault="00304104" w:rsidP="00304104">
            <w:pPr>
              <w:spacing w:line="240" w:lineRule="auto"/>
              <w:jc w:val="center"/>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ARR</w:t>
            </w:r>
          </w:p>
        </w:tc>
        <w:tc>
          <w:tcPr>
            <w:tcW w:w="1245" w:type="dxa"/>
            <w:noWrap/>
            <w:hideMark/>
          </w:tcPr>
          <w:p w14:paraId="018F73DF" w14:textId="77777777" w:rsidR="00304104" w:rsidRPr="00B20F18" w:rsidRDefault="00304104" w:rsidP="0030410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36.76%</w:t>
            </w:r>
          </w:p>
        </w:tc>
        <w:tc>
          <w:tcPr>
            <w:tcW w:w="1440" w:type="dxa"/>
            <w:noWrap/>
            <w:hideMark/>
          </w:tcPr>
          <w:p w14:paraId="775CE82F" w14:textId="77777777" w:rsidR="00304104" w:rsidRPr="00B20F18" w:rsidRDefault="00304104" w:rsidP="00304104">
            <w:pPr>
              <w:spacing w:line="240" w:lineRule="auto"/>
              <w:jc w:val="right"/>
              <w:rPr>
                <w:rFonts w:ascii="Arial" w:eastAsia="Times New Roman" w:hAnsi="Arial" w:cs="Arial"/>
                <w:color w:val="000000"/>
                <w:szCs w:val="24"/>
                <w:lang w:eastAsia="en-GB"/>
              </w:rPr>
            </w:pPr>
            <w:r w:rsidRPr="00B20F18">
              <w:rPr>
                <w:rFonts w:ascii="Arial" w:eastAsia="Times New Roman" w:hAnsi="Arial" w:cs="Arial"/>
                <w:color w:val="000000"/>
                <w:szCs w:val="24"/>
                <w:lang w:eastAsia="en-GB"/>
              </w:rPr>
              <w:t>36.11%</w:t>
            </w:r>
          </w:p>
        </w:tc>
      </w:tr>
    </w:tbl>
    <w:p w14:paraId="002D20D6" w14:textId="77777777" w:rsidR="003E4F6F" w:rsidRPr="00B20F18" w:rsidRDefault="003E4F6F" w:rsidP="00982164">
      <w:pPr>
        <w:rPr>
          <w:rFonts w:ascii="Arial" w:hAnsi="Arial" w:cs="Arial"/>
        </w:rPr>
      </w:pPr>
    </w:p>
    <w:p w14:paraId="7460874B" w14:textId="5E5170E8" w:rsidR="007411FB" w:rsidRPr="00B20F18" w:rsidRDefault="00304104" w:rsidP="00982164">
      <w:pPr>
        <w:rPr>
          <w:rFonts w:ascii="Arial" w:hAnsi="Arial" w:cs="Arial"/>
        </w:rPr>
      </w:pPr>
      <w:r w:rsidRPr="00B20F18">
        <w:rPr>
          <w:rFonts w:ascii="Arial" w:hAnsi="Arial" w:cs="Arial"/>
        </w:rPr>
        <w:t xml:space="preserve">Based on the given information, the ARR have been calculated in the above table. As per ARR result, the Accounting Rate of Return of Project A is greater than that of the project B. Therefore, based on these results, the management should go for Project A. </w:t>
      </w:r>
    </w:p>
    <w:p w14:paraId="756552D7" w14:textId="77777777" w:rsidR="003E4F6F" w:rsidRPr="00B20F18" w:rsidRDefault="003E4F6F" w:rsidP="00982164">
      <w:pPr>
        <w:rPr>
          <w:rFonts w:ascii="Arial" w:hAnsi="Arial" w:cs="Arial"/>
        </w:rPr>
      </w:pPr>
    </w:p>
    <w:p w14:paraId="3B222BC1" w14:textId="6A96296E" w:rsidR="00EF4947" w:rsidRPr="00B20F18" w:rsidRDefault="007411FB" w:rsidP="00E66B03">
      <w:pPr>
        <w:pStyle w:val="Heading2"/>
        <w:rPr>
          <w:rFonts w:ascii="Arial" w:hAnsi="Arial" w:cs="Arial"/>
        </w:rPr>
      </w:pPr>
      <w:bookmarkStart w:id="21" w:name="_Toc61434497"/>
      <w:r w:rsidRPr="00B20F18">
        <w:rPr>
          <w:rFonts w:ascii="Arial" w:hAnsi="Arial" w:cs="Arial"/>
        </w:rPr>
        <w:t>Advantages and shortcomings of different project appraisal techniques:</w:t>
      </w:r>
      <w:bookmarkEnd w:id="21"/>
      <w:r w:rsidRPr="00B20F18">
        <w:rPr>
          <w:rFonts w:ascii="Arial" w:hAnsi="Arial" w:cs="Arial"/>
        </w:rPr>
        <w:t xml:space="preserve"> </w:t>
      </w:r>
      <w:r w:rsidR="00A814FB" w:rsidRPr="00B20F18">
        <w:rPr>
          <w:rFonts w:ascii="Arial" w:hAnsi="Arial" w:cs="Arial"/>
        </w:rPr>
        <w:t xml:space="preserve"> </w:t>
      </w:r>
    </w:p>
    <w:p w14:paraId="23CA372A" w14:textId="4B27F32C" w:rsidR="00EF4947" w:rsidRPr="00B20F18" w:rsidRDefault="00CF61F3" w:rsidP="00982164">
      <w:pPr>
        <w:rPr>
          <w:rFonts w:ascii="Arial" w:hAnsi="Arial" w:cs="Arial"/>
        </w:rPr>
      </w:pPr>
      <w:r w:rsidRPr="00B20F18">
        <w:rPr>
          <w:rFonts w:ascii="Arial" w:hAnsi="Arial" w:cs="Arial"/>
        </w:rPr>
        <w:t xml:space="preserve">Payback Period: There are different advantages and disadvantages of the payback period. </w:t>
      </w:r>
      <w:r w:rsidR="00654C3A" w:rsidRPr="00B20F18">
        <w:rPr>
          <w:rFonts w:ascii="Arial" w:hAnsi="Arial" w:cs="Arial"/>
        </w:rPr>
        <w:t xml:space="preserve">The payback period is very easy to calculate by the individuals. It provides the </w:t>
      </w:r>
      <w:r w:rsidR="00654C3A" w:rsidRPr="00B20F18">
        <w:rPr>
          <w:rFonts w:ascii="Arial" w:hAnsi="Arial" w:cs="Arial"/>
        </w:rPr>
        <w:lastRenderedPageBreak/>
        <w:t xml:space="preserve">results in terms of time required to recover the initial investment. </w:t>
      </w:r>
      <w:r w:rsidR="00CD5999" w:rsidRPr="00B20F18">
        <w:rPr>
          <w:rFonts w:ascii="Arial" w:hAnsi="Arial" w:cs="Arial"/>
        </w:rPr>
        <w:t xml:space="preserve">Therefore, the people who actually care about the time would get the results very easily. </w:t>
      </w:r>
      <w:r w:rsidR="005B550D" w:rsidRPr="00B20F18">
        <w:rPr>
          <w:rFonts w:ascii="Arial" w:hAnsi="Arial" w:cs="Arial"/>
        </w:rPr>
        <w:t xml:space="preserve">Again, the person or organisation that is concerned about the </w:t>
      </w:r>
      <w:r w:rsidR="006843FE" w:rsidRPr="00B20F18">
        <w:rPr>
          <w:rFonts w:ascii="Arial" w:hAnsi="Arial" w:cs="Arial"/>
        </w:rPr>
        <w:t>liquidity of the project would prefer this project appraisal technique because it helps them to make quick decision</w:t>
      </w:r>
      <w:r w:rsidR="00435747" w:rsidRPr="00B20F18">
        <w:rPr>
          <w:rFonts w:ascii="Arial" w:hAnsi="Arial" w:cs="Arial"/>
        </w:rPr>
        <w:t xml:space="preserve"> (</w:t>
      </w:r>
      <w:r w:rsidR="00435747" w:rsidRPr="00B20F18">
        <w:rPr>
          <w:rFonts w:ascii="Arial" w:eastAsia="Times New Roman" w:hAnsi="Arial" w:cs="Arial"/>
          <w:szCs w:val="24"/>
          <w:lang w:eastAsia="en-GB"/>
        </w:rPr>
        <w:t>Pandey, 2015)</w:t>
      </w:r>
      <w:r w:rsidR="006843FE" w:rsidRPr="00B20F18">
        <w:rPr>
          <w:rFonts w:ascii="Arial" w:hAnsi="Arial" w:cs="Arial"/>
        </w:rPr>
        <w:t xml:space="preserve">. </w:t>
      </w:r>
    </w:p>
    <w:p w14:paraId="56A8BC92" w14:textId="77777777" w:rsidR="003E4F6F" w:rsidRPr="00B20F18" w:rsidRDefault="003E4F6F" w:rsidP="00982164">
      <w:pPr>
        <w:rPr>
          <w:rFonts w:ascii="Arial" w:hAnsi="Arial" w:cs="Arial"/>
        </w:rPr>
      </w:pPr>
    </w:p>
    <w:p w14:paraId="67F4092D" w14:textId="2681FE93" w:rsidR="00654C3A" w:rsidRPr="00B20F18" w:rsidRDefault="00654C3A" w:rsidP="00982164">
      <w:pPr>
        <w:rPr>
          <w:rFonts w:ascii="Arial" w:hAnsi="Arial" w:cs="Arial"/>
        </w:rPr>
      </w:pPr>
      <w:r w:rsidRPr="00B20F18">
        <w:rPr>
          <w:rFonts w:ascii="Arial" w:hAnsi="Arial" w:cs="Arial"/>
        </w:rPr>
        <w:t xml:space="preserve">The main disadvantage of this project appraisal technique is that, it does not consider the time value of money concept. As a result, the true picture of the cash flows cannot be depicted. </w:t>
      </w:r>
      <w:r w:rsidR="008E2DA9" w:rsidRPr="00B20F18">
        <w:rPr>
          <w:rFonts w:ascii="Arial" w:hAnsi="Arial" w:cs="Arial"/>
        </w:rPr>
        <w:t xml:space="preserve">Another disadvantage of the payback period is that, it does not </w:t>
      </w:r>
      <w:r w:rsidR="00EE0669" w:rsidRPr="00B20F18">
        <w:rPr>
          <w:rFonts w:ascii="Arial" w:hAnsi="Arial" w:cs="Arial"/>
        </w:rPr>
        <w:t>consider different patterns of the cashflows</w:t>
      </w:r>
      <w:r w:rsidR="00996EE9" w:rsidRPr="00B20F18">
        <w:rPr>
          <w:rFonts w:ascii="Arial" w:hAnsi="Arial" w:cs="Arial"/>
        </w:rPr>
        <w:t xml:space="preserve"> </w:t>
      </w:r>
      <w:bookmarkStart w:id="22" w:name="_Hlk60168956"/>
      <w:r w:rsidR="00996EE9" w:rsidRPr="00B20F18">
        <w:rPr>
          <w:rFonts w:ascii="Arial" w:eastAsia="Times New Roman" w:hAnsi="Arial" w:cs="Arial"/>
          <w:szCs w:val="24"/>
          <w:lang w:eastAsia="en-GB"/>
        </w:rPr>
        <w:t>(Gibson and Frishkoff, 2019)</w:t>
      </w:r>
      <w:bookmarkEnd w:id="22"/>
      <w:r w:rsidR="00EE0669" w:rsidRPr="00B20F18">
        <w:rPr>
          <w:rFonts w:ascii="Arial" w:hAnsi="Arial" w:cs="Arial"/>
        </w:rPr>
        <w:t>. As a result, a project with more cash flows at the later part of the p</w:t>
      </w:r>
      <w:r w:rsidR="00CD5999" w:rsidRPr="00B20F18">
        <w:rPr>
          <w:rFonts w:ascii="Arial" w:hAnsi="Arial" w:cs="Arial"/>
        </w:rPr>
        <w:t xml:space="preserve">roject duration may not be preferred due to slow cash inflows at the beginning part of the </w:t>
      </w:r>
      <w:r w:rsidR="00E66B03" w:rsidRPr="00B20F18">
        <w:rPr>
          <w:rFonts w:ascii="Arial" w:hAnsi="Arial" w:cs="Arial"/>
        </w:rPr>
        <w:t>project.</w:t>
      </w:r>
      <w:r w:rsidR="00CD5999" w:rsidRPr="00B20F18">
        <w:rPr>
          <w:rFonts w:ascii="Arial" w:hAnsi="Arial" w:cs="Arial"/>
        </w:rPr>
        <w:t xml:space="preserve"> </w:t>
      </w:r>
    </w:p>
    <w:p w14:paraId="59BA288F" w14:textId="77777777" w:rsidR="003E4F6F" w:rsidRPr="00B20F18" w:rsidRDefault="003E4F6F" w:rsidP="00982164">
      <w:pPr>
        <w:rPr>
          <w:rFonts w:ascii="Arial" w:hAnsi="Arial" w:cs="Arial"/>
        </w:rPr>
      </w:pPr>
    </w:p>
    <w:p w14:paraId="0330B142" w14:textId="55B2D568" w:rsidR="00CF61F3" w:rsidRPr="00B20F18" w:rsidRDefault="00CF61F3" w:rsidP="00982164">
      <w:pPr>
        <w:rPr>
          <w:rFonts w:ascii="Arial" w:hAnsi="Arial" w:cs="Arial"/>
        </w:rPr>
      </w:pPr>
      <w:r w:rsidRPr="00B20F18">
        <w:rPr>
          <w:rFonts w:ascii="Arial" w:hAnsi="Arial" w:cs="Arial"/>
        </w:rPr>
        <w:t xml:space="preserve">Net Present Value: </w:t>
      </w:r>
      <w:r w:rsidR="00691E3E" w:rsidRPr="00B20F18">
        <w:rPr>
          <w:rFonts w:ascii="Arial" w:hAnsi="Arial" w:cs="Arial"/>
        </w:rPr>
        <w:t xml:space="preserve">Among the most common project appraisal techniques, the NPV is regarded as the best method of project evaluation. </w:t>
      </w:r>
      <w:r w:rsidR="008266C4" w:rsidRPr="00B20F18">
        <w:rPr>
          <w:rFonts w:ascii="Arial" w:hAnsi="Arial" w:cs="Arial"/>
        </w:rPr>
        <w:t>The NPV method considers the time value of the money and as a result the actual cash flows are reflected in the project</w:t>
      </w:r>
      <w:r w:rsidR="00996EE9" w:rsidRPr="00B20F18">
        <w:rPr>
          <w:rFonts w:ascii="Arial" w:hAnsi="Arial" w:cs="Arial"/>
        </w:rPr>
        <w:t xml:space="preserve"> (</w:t>
      </w:r>
      <w:r w:rsidR="00996EE9" w:rsidRPr="00B20F18">
        <w:rPr>
          <w:rFonts w:ascii="Arial" w:eastAsia="Times New Roman" w:hAnsi="Arial" w:cs="Arial"/>
          <w:szCs w:val="24"/>
          <w:lang w:eastAsia="en-GB"/>
        </w:rPr>
        <w:t>Madura, 2015)</w:t>
      </w:r>
      <w:r w:rsidR="008266C4" w:rsidRPr="00B20F18">
        <w:rPr>
          <w:rFonts w:ascii="Arial" w:hAnsi="Arial" w:cs="Arial"/>
        </w:rPr>
        <w:t xml:space="preserve">. </w:t>
      </w:r>
      <w:r w:rsidR="00A33723" w:rsidRPr="00B20F18">
        <w:rPr>
          <w:rFonts w:ascii="Arial" w:hAnsi="Arial" w:cs="Arial"/>
        </w:rPr>
        <w:t>The results are produced in terms of actual cash flow in the NPV calculation</w:t>
      </w:r>
      <w:r w:rsidR="0052474F" w:rsidRPr="00B20F18">
        <w:rPr>
          <w:rFonts w:ascii="Arial" w:hAnsi="Arial" w:cs="Arial"/>
        </w:rPr>
        <w:t xml:space="preserve"> which is helpful for the investor to make the investment decisions. </w:t>
      </w:r>
      <w:r w:rsidR="009E6AD5" w:rsidRPr="00B20F18">
        <w:rPr>
          <w:rFonts w:ascii="Arial" w:hAnsi="Arial" w:cs="Arial"/>
        </w:rPr>
        <w:t xml:space="preserve">It also considers all the cash flows during the project life time. Therefore, the results are less affected due to different pattern of the cash flows. </w:t>
      </w:r>
    </w:p>
    <w:p w14:paraId="48B1E05B" w14:textId="77777777" w:rsidR="003E4F6F" w:rsidRPr="00B20F18" w:rsidRDefault="003E4F6F" w:rsidP="00982164">
      <w:pPr>
        <w:rPr>
          <w:rFonts w:ascii="Arial" w:hAnsi="Arial" w:cs="Arial"/>
        </w:rPr>
      </w:pPr>
    </w:p>
    <w:p w14:paraId="5DBEB527" w14:textId="6AF8DA46" w:rsidR="00CF61F3" w:rsidRPr="00B20F18" w:rsidRDefault="00DF5968" w:rsidP="00982164">
      <w:pPr>
        <w:rPr>
          <w:rFonts w:ascii="Arial" w:hAnsi="Arial" w:cs="Arial"/>
        </w:rPr>
      </w:pPr>
      <w:r w:rsidRPr="00B20F18">
        <w:rPr>
          <w:rFonts w:ascii="Arial" w:hAnsi="Arial" w:cs="Arial"/>
        </w:rPr>
        <w:t xml:space="preserve">There are some disadvantages as well for NPV. The calculation and determination method of </w:t>
      </w:r>
      <w:r w:rsidR="00E90D5E" w:rsidRPr="00B20F18">
        <w:rPr>
          <w:rFonts w:ascii="Arial" w:hAnsi="Arial" w:cs="Arial"/>
        </w:rPr>
        <w:t xml:space="preserve">the </w:t>
      </w:r>
      <w:r w:rsidR="004D1696" w:rsidRPr="00B20F18">
        <w:rPr>
          <w:rFonts w:ascii="Arial" w:hAnsi="Arial" w:cs="Arial"/>
        </w:rPr>
        <w:t xml:space="preserve">required rate of return or discounting rate is very difficult to calculate because it involves different </w:t>
      </w:r>
      <w:r w:rsidR="001B5CC7" w:rsidRPr="00B20F18">
        <w:rPr>
          <w:rFonts w:ascii="Arial" w:hAnsi="Arial" w:cs="Arial"/>
        </w:rPr>
        <w:t xml:space="preserve">assumptions </w:t>
      </w:r>
      <w:r w:rsidR="00560206" w:rsidRPr="00B20F18">
        <w:rPr>
          <w:rFonts w:ascii="Arial" w:hAnsi="Arial" w:cs="Arial"/>
        </w:rPr>
        <w:t xml:space="preserve">and determination of different other factors. </w:t>
      </w:r>
      <w:r w:rsidRPr="00B20F18">
        <w:rPr>
          <w:rFonts w:ascii="Arial" w:hAnsi="Arial" w:cs="Arial"/>
        </w:rPr>
        <w:t xml:space="preserve"> </w:t>
      </w:r>
    </w:p>
    <w:p w14:paraId="67DA99C0" w14:textId="77777777" w:rsidR="003E4F6F" w:rsidRPr="00B20F18" w:rsidRDefault="003E4F6F" w:rsidP="00982164">
      <w:pPr>
        <w:rPr>
          <w:rFonts w:ascii="Arial" w:hAnsi="Arial" w:cs="Arial"/>
        </w:rPr>
      </w:pPr>
    </w:p>
    <w:p w14:paraId="2AFC8A3E" w14:textId="1A9412B7" w:rsidR="00CF61F3" w:rsidRPr="00B20F18" w:rsidRDefault="00CF61F3" w:rsidP="00982164">
      <w:pPr>
        <w:rPr>
          <w:rFonts w:ascii="Arial" w:hAnsi="Arial" w:cs="Arial"/>
        </w:rPr>
      </w:pPr>
      <w:r w:rsidRPr="00B20F18">
        <w:rPr>
          <w:rFonts w:ascii="Arial" w:hAnsi="Arial" w:cs="Arial"/>
        </w:rPr>
        <w:t xml:space="preserve">Accounting Rate of Return: </w:t>
      </w:r>
      <w:r w:rsidR="00471C66" w:rsidRPr="00B20F18">
        <w:rPr>
          <w:rFonts w:ascii="Arial" w:hAnsi="Arial" w:cs="Arial"/>
        </w:rPr>
        <w:t xml:space="preserve">This method of the investment appraisal is very easy to calculate and understand by the investor. This method is aligned with the normal accounting records and transactions </w:t>
      </w:r>
      <w:r w:rsidR="007E454D" w:rsidRPr="00B20F18">
        <w:rPr>
          <w:rFonts w:ascii="Arial" w:hAnsi="Arial" w:cs="Arial"/>
        </w:rPr>
        <w:t>and thus it can be easily compared with the net profit as per the financial statements</w:t>
      </w:r>
      <w:r w:rsidR="00610C33" w:rsidRPr="00B20F18">
        <w:rPr>
          <w:rFonts w:ascii="Arial" w:hAnsi="Arial" w:cs="Arial"/>
        </w:rPr>
        <w:t xml:space="preserve"> (</w:t>
      </w:r>
      <w:r w:rsidR="00610C33" w:rsidRPr="00B20F18">
        <w:rPr>
          <w:rFonts w:ascii="Arial" w:eastAsia="Times New Roman" w:hAnsi="Arial" w:cs="Arial"/>
          <w:szCs w:val="24"/>
          <w:lang w:eastAsia="en-GB"/>
        </w:rPr>
        <w:t>Fridson and Alvarez, 2011)</w:t>
      </w:r>
      <w:r w:rsidR="007E454D" w:rsidRPr="00B20F18">
        <w:rPr>
          <w:rFonts w:ascii="Arial" w:hAnsi="Arial" w:cs="Arial"/>
        </w:rPr>
        <w:t xml:space="preserve">. </w:t>
      </w:r>
      <w:r w:rsidR="009F4D73" w:rsidRPr="00B20F18">
        <w:rPr>
          <w:rFonts w:ascii="Arial" w:hAnsi="Arial" w:cs="Arial"/>
        </w:rPr>
        <w:t xml:space="preserve">The non-cash expenses like depreciation </w:t>
      </w:r>
      <w:r w:rsidR="00085BEC" w:rsidRPr="00B20F18">
        <w:rPr>
          <w:rFonts w:ascii="Arial" w:hAnsi="Arial" w:cs="Arial"/>
        </w:rPr>
        <w:t>are</w:t>
      </w:r>
      <w:r w:rsidR="00107765" w:rsidRPr="00B20F18">
        <w:rPr>
          <w:rFonts w:ascii="Arial" w:hAnsi="Arial" w:cs="Arial"/>
        </w:rPr>
        <w:t xml:space="preserve"> considered in this method. </w:t>
      </w:r>
    </w:p>
    <w:p w14:paraId="3FC324DE" w14:textId="77777777" w:rsidR="003E4F6F" w:rsidRPr="00B20F18" w:rsidRDefault="003E4F6F" w:rsidP="00982164">
      <w:pPr>
        <w:rPr>
          <w:rFonts w:ascii="Arial" w:hAnsi="Arial" w:cs="Arial"/>
        </w:rPr>
      </w:pPr>
    </w:p>
    <w:p w14:paraId="2FCCA96A" w14:textId="2E925834" w:rsidR="00107765" w:rsidRPr="00B20F18" w:rsidRDefault="00107765" w:rsidP="00982164">
      <w:pPr>
        <w:rPr>
          <w:rFonts w:ascii="Arial" w:hAnsi="Arial" w:cs="Arial"/>
        </w:rPr>
      </w:pPr>
      <w:r w:rsidRPr="00B20F18">
        <w:rPr>
          <w:rFonts w:ascii="Arial" w:hAnsi="Arial" w:cs="Arial"/>
        </w:rPr>
        <w:t>On the other hand, the main disadvantage of this method would be the lack of considering the time value of money</w:t>
      </w:r>
      <w:r w:rsidR="00610C33" w:rsidRPr="00B20F18">
        <w:rPr>
          <w:rFonts w:ascii="Arial" w:hAnsi="Arial" w:cs="Arial"/>
        </w:rPr>
        <w:t xml:space="preserve"> </w:t>
      </w:r>
      <w:r w:rsidR="00610C33" w:rsidRPr="00B20F18">
        <w:rPr>
          <w:rFonts w:ascii="Arial" w:eastAsia="Times New Roman" w:hAnsi="Arial" w:cs="Arial"/>
          <w:szCs w:val="24"/>
          <w:lang w:eastAsia="en-GB"/>
        </w:rPr>
        <w:t>(Brigham and Ehrhardt, 2019)</w:t>
      </w:r>
      <w:r w:rsidRPr="00B20F18">
        <w:rPr>
          <w:rFonts w:ascii="Arial" w:hAnsi="Arial" w:cs="Arial"/>
        </w:rPr>
        <w:t xml:space="preserve">. </w:t>
      </w:r>
      <w:r w:rsidR="000C3BED" w:rsidRPr="00B20F18">
        <w:rPr>
          <w:rFonts w:ascii="Arial" w:hAnsi="Arial" w:cs="Arial"/>
        </w:rPr>
        <w:t xml:space="preserve">The cash flow concepts are ignored in this method. Moreover, the terminal value of the project at the end of the period is not considered in this method. </w:t>
      </w:r>
    </w:p>
    <w:p w14:paraId="752F29F5" w14:textId="2D6986A1" w:rsidR="00CF61F3" w:rsidRPr="00B20F18" w:rsidRDefault="00CF61F3" w:rsidP="00982164">
      <w:pPr>
        <w:rPr>
          <w:rFonts w:ascii="Arial" w:hAnsi="Arial" w:cs="Arial"/>
        </w:rPr>
      </w:pPr>
    </w:p>
    <w:p w14:paraId="445E943F" w14:textId="63110F21" w:rsidR="00CF61F3" w:rsidRPr="00B20F18" w:rsidRDefault="00CF61F3" w:rsidP="00E66B03">
      <w:pPr>
        <w:pStyle w:val="Heading2"/>
        <w:rPr>
          <w:rFonts w:ascii="Arial" w:hAnsi="Arial" w:cs="Arial"/>
        </w:rPr>
      </w:pPr>
      <w:bookmarkStart w:id="23" w:name="_Toc61434498"/>
      <w:r w:rsidRPr="00B20F18">
        <w:rPr>
          <w:rFonts w:ascii="Arial" w:hAnsi="Arial" w:cs="Arial"/>
        </w:rPr>
        <w:t>Non-financial factors to be considered:</w:t>
      </w:r>
      <w:bookmarkEnd w:id="23"/>
      <w:r w:rsidRPr="00B20F18">
        <w:rPr>
          <w:rFonts w:ascii="Arial" w:hAnsi="Arial" w:cs="Arial"/>
        </w:rPr>
        <w:t xml:space="preserve"> </w:t>
      </w:r>
    </w:p>
    <w:p w14:paraId="2F61E021" w14:textId="1E4FFFB2" w:rsidR="00CF61F3" w:rsidRPr="00B20F18" w:rsidRDefault="00D67070" w:rsidP="00982164">
      <w:pPr>
        <w:rPr>
          <w:rFonts w:ascii="Arial" w:hAnsi="Arial" w:cs="Arial"/>
        </w:rPr>
      </w:pPr>
      <w:r w:rsidRPr="00B20F18">
        <w:rPr>
          <w:rFonts w:ascii="Arial" w:hAnsi="Arial" w:cs="Arial"/>
        </w:rPr>
        <w:t xml:space="preserve">There are some non-financial factors which needs to be considered as well at the time of making the investment decision. </w:t>
      </w:r>
      <w:r w:rsidR="00D208CC" w:rsidRPr="00B20F18">
        <w:rPr>
          <w:rFonts w:ascii="Arial" w:hAnsi="Arial" w:cs="Arial"/>
        </w:rPr>
        <w:t xml:space="preserve">For instance, the potential demand for the products and supply of the raw materials </w:t>
      </w:r>
      <w:r w:rsidR="006D31BF" w:rsidRPr="00B20F18">
        <w:rPr>
          <w:rFonts w:ascii="Arial" w:hAnsi="Arial" w:cs="Arial"/>
        </w:rPr>
        <w:t xml:space="preserve">may not be determined specifically. </w:t>
      </w:r>
      <w:r w:rsidR="00F24DDB" w:rsidRPr="00B20F18">
        <w:rPr>
          <w:rFonts w:ascii="Arial" w:hAnsi="Arial" w:cs="Arial"/>
        </w:rPr>
        <w:t xml:space="preserve">Therefore, there would be an expectation gap after </w:t>
      </w:r>
      <w:r w:rsidR="004F7A42" w:rsidRPr="00B20F18">
        <w:rPr>
          <w:rFonts w:ascii="Arial" w:hAnsi="Arial" w:cs="Arial"/>
        </w:rPr>
        <w:t>launching</w:t>
      </w:r>
      <w:r w:rsidR="00F24DDB" w:rsidRPr="00B20F18">
        <w:rPr>
          <w:rFonts w:ascii="Arial" w:hAnsi="Arial" w:cs="Arial"/>
        </w:rPr>
        <w:t xml:space="preserve"> the project. </w:t>
      </w:r>
      <w:r w:rsidR="00CE7672" w:rsidRPr="00B20F18">
        <w:rPr>
          <w:rFonts w:ascii="Arial" w:hAnsi="Arial" w:cs="Arial"/>
        </w:rPr>
        <w:t>The laws, rules and regulations need to be considered as well at the time of making the investment decisions</w:t>
      </w:r>
      <w:r w:rsidR="008A6241" w:rsidRPr="00B20F18">
        <w:rPr>
          <w:rFonts w:ascii="Arial" w:hAnsi="Arial" w:cs="Arial"/>
        </w:rPr>
        <w:t xml:space="preserve"> because the existence and performance of the organisation would be significantly affected by such rules and regulations.</w:t>
      </w:r>
      <w:r w:rsidR="00586466" w:rsidRPr="00B20F18">
        <w:rPr>
          <w:rFonts w:ascii="Arial" w:hAnsi="Arial" w:cs="Arial"/>
        </w:rPr>
        <w:t xml:space="preserve"> The quality and skills of the employees and management team are regarded as the non-financial factors which affect the performance of the investment projects.</w:t>
      </w:r>
      <w:r w:rsidR="004F7A42" w:rsidRPr="00B20F18">
        <w:rPr>
          <w:rFonts w:ascii="Arial" w:hAnsi="Arial" w:cs="Arial"/>
        </w:rPr>
        <w:t xml:space="preserve"> The market dominance, good brand value, strong customer relationship etc. also affect</w:t>
      </w:r>
      <w:r w:rsidR="00BF70CB" w:rsidRPr="00B20F18">
        <w:rPr>
          <w:rFonts w:ascii="Arial" w:hAnsi="Arial" w:cs="Arial"/>
        </w:rPr>
        <w:t>s</w:t>
      </w:r>
      <w:r w:rsidR="004F7A42" w:rsidRPr="00B20F18">
        <w:rPr>
          <w:rFonts w:ascii="Arial" w:hAnsi="Arial" w:cs="Arial"/>
        </w:rPr>
        <w:t xml:space="preserve"> the </w:t>
      </w:r>
      <w:r w:rsidR="00BF70CB" w:rsidRPr="00B20F18">
        <w:rPr>
          <w:rFonts w:ascii="Arial" w:hAnsi="Arial" w:cs="Arial"/>
        </w:rPr>
        <w:t xml:space="preserve">investment decision. Innovation and rapid change in the technologies and methodologies may obsolete the existing facilities within very short time. </w:t>
      </w:r>
      <w:r w:rsidR="000B4172" w:rsidRPr="00B20F18">
        <w:rPr>
          <w:rFonts w:ascii="Arial" w:hAnsi="Arial" w:cs="Arial"/>
        </w:rPr>
        <w:t>The</w:t>
      </w:r>
      <w:r w:rsidR="00F7743E" w:rsidRPr="00B20F18">
        <w:rPr>
          <w:rFonts w:ascii="Arial" w:hAnsi="Arial" w:cs="Arial"/>
        </w:rPr>
        <w:t xml:space="preserve"> taste and demand of the customers would be changed as well. Therefore, before making the investment decision, the management of the organisation must consider these issues besides the financial results. </w:t>
      </w:r>
      <w:r w:rsidR="00BF70CB" w:rsidRPr="00B20F18">
        <w:rPr>
          <w:rFonts w:ascii="Arial" w:hAnsi="Arial" w:cs="Arial"/>
        </w:rPr>
        <w:t xml:space="preserve"> </w:t>
      </w:r>
      <w:r w:rsidR="008A6241" w:rsidRPr="00B20F18">
        <w:rPr>
          <w:rFonts w:ascii="Arial" w:hAnsi="Arial" w:cs="Arial"/>
        </w:rPr>
        <w:t xml:space="preserve"> </w:t>
      </w:r>
    </w:p>
    <w:p w14:paraId="7E11078F" w14:textId="77777777" w:rsidR="00791D10" w:rsidRPr="00B20F18" w:rsidRDefault="00791D10" w:rsidP="00982164">
      <w:pPr>
        <w:rPr>
          <w:rFonts w:ascii="Arial" w:hAnsi="Arial" w:cs="Arial"/>
        </w:rPr>
      </w:pPr>
    </w:p>
    <w:p w14:paraId="0391CDF2" w14:textId="77322088" w:rsidR="00982164" w:rsidRPr="00B20F18" w:rsidRDefault="00982164" w:rsidP="00E66B03">
      <w:pPr>
        <w:pStyle w:val="Heading1"/>
        <w:rPr>
          <w:rFonts w:ascii="Arial" w:hAnsi="Arial" w:cs="Arial"/>
        </w:rPr>
      </w:pPr>
      <w:bookmarkStart w:id="24" w:name="_Toc61434499"/>
      <w:r w:rsidRPr="00B20F18">
        <w:rPr>
          <w:rFonts w:ascii="Arial" w:hAnsi="Arial" w:cs="Arial"/>
        </w:rPr>
        <w:t>Conclusion</w:t>
      </w:r>
      <w:bookmarkEnd w:id="24"/>
      <w:r w:rsidRPr="00B20F18">
        <w:rPr>
          <w:rFonts w:ascii="Arial" w:hAnsi="Arial" w:cs="Arial"/>
        </w:rPr>
        <w:t xml:space="preserve"> </w:t>
      </w:r>
    </w:p>
    <w:p w14:paraId="2096ACDE" w14:textId="3C6A2873" w:rsidR="009A1CC4" w:rsidRPr="00B20F18" w:rsidRDefault="00BF4F10" w:rsidP="003E4F6F">
      <w:pPr>
        <w:rPr>
          <w:rFonts w:ascii="Arial" w:hAnsi="Arial" w:cs="Arial"/>
        </w:rPr>
      </w:pPr>
      <w:r w:rsidRPr="00B20F18">
        <w:rPr>
          <w:rFonts w:ascii="Arial" w:hAnsi="Arial" w:cs="Arial"/>
        </w:rPr>
        <w:t xml:space="preserve">Each and every business decision in the </w:t>
      </w:r>
      <w:r w:rsidR="005A5252" w:rsidRPr="00B20F18">
        <w:rPr>
          <w:rFonts w:ascii="Arial" w:hAnsi="Arial" w:cs="Arial"/>
        </w:rPr>
        <w:t xml:space="preserve">corporate organisation is ultimately a financial decision. In making the prudent, effective and efficient financial decision, there is no alternative to learn and master the financial management. Various perspectives of the financial management have been discussed in this report from the view point of Rolls-Royce Holdings PLC. and given scenario. </w:t>
      </w:r>
      <w:r w:rsidR="00351F01" w:rsidRPr="00B20F18">
        <w:rPr>
          <w:rFonts w:ascii="Arial" w:hAnsi="Arial" w:cs="Arial"/>
        </w:rPr>
        <w:t xml:space="preserve">In making the strategic business decision, it is imperative to master the critical knowledge, expertise and understating of the financial management required in different parts of the business organisations. </w:t>
      </w:r>
      <w:r w:rsidR="005A5252" w:rsidRPr="00B20F18">
        <w:rPr>
          <w:rFonts w:ascii="Arial" w:hAnsi="Arial" w:cs="Arial"/>
        </w:rPr>
        <w:t xml:space="preserve"> </w:t>
      </w:r>
    </w:p>
    <w:p w14:paraId="654C80A1" w14:textId="4F9E8869" w:rsidR="00CA517C" w:rsidRPr="00B20F18" w:rsidRDefault="00CA517C" w:rsidP="006965B5">
      <w:pPr>
        <w:jc w:val="left"/>
        <w:rPr>
          <w:rFonts w:ascii="Arial" w:hAnsi="Arial" w:cs="Arial"/>
          <w:b/>
          <w:sz w:val="22"/>
        </w:rPr>
      </w:pPr>
    </w:p>
    <w:p w14:paraId="6532CE42" w14:textId="0025FEDD" w:rsidR="00D80B24" w:rsidRPr="00B20F18" w:rsidRDefault="00D80B24" w:rsidP="006965B5">
      <w:pPr>
        <w:pStyle w:val="Heading1"/>
        <w:rPr>
          <w:rFonts w:ascii="Arial" w:hAnsi="Arial" w:cs="Arial"/>
        </w:rPr>
      </w:pPr>
      <w:bookmarkStart w:id="25" w:name="_Toc58368917"/>
      <w:bookmarkStart w:id="26" w:name="_Toc61434500"/>
      <w:r w:rsidRPr="00B20F18">
        <w:rPr>
          <w:rFonts w:ascii="Arial" w:hAnsi="Arial" w:cs="Arial"/>
        </w:rPr>
        <w:t>References</w:t>
      </w:r>
      <w:bookmarkEnd w:id="25"/>
      <w:bookmarkEnd w:id="26"/>
    </w:p>
    <w:p w14:paraId="4A0F2805"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Belloc, H., 2017. </w:t>
      </w:r>
      <w:r w:rsidRPr="00B20F18">
        <w:rPr>
          <w:rFonts w:ascii="Arial" w:eastAsia="Times New Roman" w:hAnsi="Arial" w:cs="Arial"/>
          <w:i/>
          <w:iCs/>
          <w:szCs w:val="24"/>
          <w:lang w:eastAsia="en-GB"/>
        </w:rPr>
        <w:t>On</w:t>
      </w:r>
      <w:r w:rsidRPr="00B20F18">
        <w:rPr>
          <w:rFonts w:ascii="Arial" w:eastAsia="Times New Roman" w:hAnsi="Arial" w:cs="Arial"/>
          <w:szCs w:val="24"/>
          <w:lang w:eastAsia="en-GB"/>
        </w:rPr>
        <w:t>. Freeport, N.Y.: Books for Libraries Press.</w:t>
      </w:r>
    </w:p>
    <w:p w14:paraId="427F1A03"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Brigham, E. and Ehrhardt, M., 2019. </w:t>
      </w:r>
      <w:r w:rsidRPr="00B20F18">
        <w:rPr>
          <w:rFonts w:ascii="Arial" w:eastAsia="Times New Roman" w:hAnsi="Arial" w:cs="Arial"/>
          <w:i/>
          <w:iCs/>
          <w:szCs w:val="24"/>
          <w:lang w:eastAsia="en-GB"/>
        </w:rPr>
        <w:t>Financial Management</w:t>
      </w:r>
      <w:r w:rsidRPr="00B20F18">
        <w:rPr>
          <w:rFonts w:ascii="Arial" w:eastAsia="Times New Roman" w:hAnsi="Arial" w:cs="Arial"/>
          <w:szCs w:val="24"/>
          <w:lang w:eastAsia="en-GB"/>
        </w:rPr>
        <w:t>. Mason, OH: Cengage.</w:t>
      </w:r>
    </w:p>
    <w:p w14:paraId="2115C8E6"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 xml:space="preserve">Fridson, M.S. and Alvarez, F., 2011. </w:t>
      </w:r>
      <w:r w:rsidRPr="00B20F18">
        <w:rPr>
          <w:rFonts w:ascii="Arial" w:eastAsia="Times New Roman" w:hAnsi="Arial" w:cs="Arial"/>
          <w:i/>
          <w:iCs/>
          <w:szCs w:val="24"/>
          <w:lang w:eastAsia="en-GB"/>
        </w:rPr>
        <w:t>Financial statement analysis: a practitioner's guide</w:t>
      </w:r>
      <w:r w:rsidRPr="00B20F18">
        <w:rPr>
          <w:rFonts w:ascii="Arial" w:eastAsia="Times New Roman" w:hAnsi="Arial" w:cs="Arial"/>
          <w:szCs w:val="24"/>
          <w:lang w:eastAsia="en-GB"/>
        </w:rPr>
        <w:t xml:space="preserve"> (Vol. 597). John Wiley &amp; Sons.</w:t>
      </w:r>
    </w:p>
    <w:p w14:paraId="5BC8D0EE"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Gibson, C.H. and Frishkoff, P.A., 2019. Financial statement analysis: Using financial accounting information.</w:t>
      </w:r>
    </w:p>
    <w:p w14:paraId="42042F33"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Lumby, S. and Jones, C., 2010. </w:t>
      </w:r>
      <w:r w:rsidRPr="00B20F18">
        <w:rPr>
          <w:rFonts w:ascii="Arial" w:eastAsia="Times New Roman" w:hAnsi="Arial" w:cs="Arial"/>
          <w:i/>
          <w:iCs/>
          <w:szCs w:val="24"/>
          <w:lang w:eastAsia="en-GB"/>
        </w:rPr>
        <w:t>Investment Appraisal And Financial Decisions</w:t>
      </w:r>
      <w:r w:rsidRPr="00B20F18">
        <w:rPr>
          <w:rFonts w:ascii="Arial" w:eastAsia="Times New Roman" w:hAnsi="Arial" w:cs="Arial"/>
          <w:szCs w:val="24"/>
          <w:lang w:eastAsia="en-GB"/>
        </w:rPr>
        <w:t>. London: Thomson Learning.</w:t>
      </w:r>
    </w:p>
    <w:p w14:paraId="35939138"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Madura, J., 2012. </w:t>
      </w:r>
      <w:r w:rsidRPr="00B20F18">
        <w:rPr>
          <w:rFonts w:ascii="Arial" w:eastAsia="Times New Roman" w:hAnsi="Arial" w:cs="Arial"/>
          <w:i/>
          <w:iCs/>
          <w:szCs w:val="24"/>
          <w:lang w:eastAsia="en-GB"/>
        </w:rPr>
        <w:t>International Financial Management</w:t>
      </w:r>
      <w:r w:rsidRPr="00B20F18">
        <w:rPr>
          <w:rFonts w:ascii="Arial" w:eastAsia="Times New Roman" w:hAnsi="Arial" w:cs="Arial"/>
          <w:szCs w:val="24"/>
          <w:lang w:eastAsia="en-GB"/>
        </w:rPr>
        <w:t>.</w:t>
      </w:r>
    </w:p>
    <w:p w14:paraId="7936D513"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Pandey, I., 2015. </w:t>
      </w:r>
      <w:r w:rsidRPr="00B20F18">
        <w:rPr>
          <w:rFonts w:ascii="Arial" w:eastAsia="Times New Roman" w:hAnsi="Arial" w:cs="Arial"/>
          <w:i/>
          <w:iCs/>
          <w:szCs w:val="24"/>
          <w:lang w:eastAsia="en-GB"/>
        </w:rPr>
        <w:t>Financial Management</w:t>
      </w:r>
      <w:r w:rsidRPr="00B20F18">
        <w:rPr>
          <w:rFonts w:ascii="Arial" w:eastAsia="Times New Roman" w:hAnsi="Arial" w:cs="Arial"/>
          <w:szCs w:val="24"/>
          <w:lang w:eastAsia="en-GB"/>
        </w:rPr>
        <w:t>. New Delhi: Vikas Publishing House PVT LTD.</w:t>
      </w:r>
    </w:p>
    <w:p w14:paraId="479941E6"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 xml:space="preserve">Robinson, T.R., 2020. </w:t>
      </w:r>
      <w:r w:rsidRPr="00B20F18">
        <w:rPr>
          <w:rFonts w:ascii="Arial" w:eastAsia="Times New Roman" w:hAnsi="Arial" w:cs="Arial"/>
          <w:i/>
          <w:iCs/>
          <w:szCs w:val="24"/>
          <w:lang w:eastAsia="en-GB"/>
        </w:rPr>
        <w:t>International financial statement analysis</w:t>
      </w:r>
      <w:r w:rsidRPr="00B20F18">
        <w:rPr>
          <w:rFonts w:ascii="Arial" w:eastAsia="Times New Roman" w:hAnsi="Arial" w:cs="Arial"/>
          <w:szCs w:val="24"/>
          <w:lang w:eastAsia="en-GB"/>
        </w:rPr>
        <w:t>. John Wiley &amp; Sons.</w:t>
      </w:r>
    </w:p>
    <w:p w14:paraId="5D81E21B"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Rolls-royce.com. 2020. </w:t>
      </w:r>
      <w:r w:rsidRPr="00B20F18">
        <w:rPr>
          <w:rFonts w:ascii="Arial" w:eastAsia="Times New Roman" w:hAnsi="Arial" w:cs="Arial"/>
          <w:i/>
          <w:iCs/>
          <w:szCs w:val="24"/>
          <w:lang w:eastAsia="en-GB"/>
        </w:rPr>
        <w:t>Results And Events</w:t>
      </w:r>
      <w:r w:rsidRPr="00B20F18">
        <w:rPr>
          <w:rFonts w:ascii="Arial" w:eastAsia="Times New Roman" w:hAnsi="Arial" w:cs="Arial"/>
          <w:szCs w:val="24"/>
          <w:lang w:eastAsia="en-GB"/>
        </w:rPr>
        <w:t>. [online] Available at: &lt;https://www.rolls-royce.com/investors/results-and-events.aspx#yr-2019&gt; [Accessed 28 December 2020].</w:t>
      </w:r>
    </w:p>
    <w:p w14:paraId="5ACBFF92" w14:textId="77777777" w:rsidR="008061C7" w:rsidRPr="00B20F18" w:rsidRDefault="008061C7" w:rsidP="008061C7">
      <w:pPr>
        <w:spacing w:before="100" w:beforeAutospacing="1" w:after="100" w:afterAutospacing="1"/>
        <w:rPr>
          <w:rFonts w:ascii="Arial" w:eastAsia="Times New Roman" w:hAnsi="Arial" w:cs="Arial"/>
          <w:szCs w:val="24"/>
          <w:lang w:eastAsia="en-GB"/>
        </w:rPr>
      </w:pPr>
      <w:r w:rsidRPr="00B20F18">
        <w:rPr>
          <w:rFonts w:ascii="Arial" w:eastAsia="Times New Roman" w:hAnsi="Arial" w:cs="Arial"/>
          <w:szCs w:val="24"/>
          <w:lang w:eastAsia="en-GB"/>
        </w:rPr>
        <w:t xml:space="preserve">Smith, P., 2020. </w:t>
      </w:r>
      <w:r w:rsidRPr="00B20F18">
        <w:rPr>
          <w:rFonts w:ascii="Arial" w:eastAsia="Times New Roman" w:hAnsi="Arial" w:cs="Arial"/>
          <w:i/>
          <w:iCs/>
          <w:szCs w:val="24"/>
          <w:lang w:eastAsia="en-GB"/>
        </w:rPr>
        <w:t>Aircraft Engine Market Share | T4</w:t>
      </w:r>
      <w:r w:rsidRPr="00B20F18">
        <w:rPr>
          <w:rFonts w:ascii="Arial" w:eastAsia="Times New Roman" w:hAnsi="Arial" w:cs="Arial"/>
          <w:szCs w:val="24"/>
          <w:lang w:eastAsia="en-GB"/>
        </w:rPr>
        <w:t>. [online] T4.ai. Available at: &lt;https://www.t4.ai/industry/aircraft-engine-market-share&gt; [Accessed 28 December 2020].</w:t>
      </w:r>
    </w:p>
    <w:p w14:paraId="5F18751B"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 xml:space="preserve">Subramanyam, K.R., 2014. </w:t>
      </w:r>
      <w:r w:rsidRPr="00B20F18">
        <w:rPr>
          <w:rFonts w:ascii="Arial" w:eastAsia="Times New Roman" w:hAnsi="Arial" w:cs="Arial"/>
          <w:i/>
          <w:iCs/>
          <w:szCs w:val="24"/>
          <w:lang w:eastAsia="en-GB"/>
        </w:rPr>
        <w:t>Financial statement analysis</w:t>
      </w:r>
      <w:r w:rsidRPr="00B20F18">
        <w:rPr>
          <w:rFonts w:ascii="Arial" w:eastAsia="Times New Roman" w:hAnsi="Arial" w:cs="Arial"/>
          <w:szCs w:val="24"/>
          <w:lang w:eastAsia="en-GB"/>
        </w:rPr>
        <w:t>. McGraw Hill Education.</w:t>
      </w:r>
    </w:p>
    <w:p w14:paraId="48516A52"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 xml:space="preserve">Van Horne, J.C. and Wachowicz, J.M., 2015. </w:t>
      </w:r>
      <w:r w:rsidRPr="00B20F18">
        <w:rPr>
          <w:rFonts w:ascii="Arial" w:eastAsia="Times New Roman" w:hAnsi="Arial" w:cs="Arial"/>
          <w:i/>
          <w:iCs/>
          <w:szCs w:val="24"/>
          <w:lang w:eastAsia="en-GB"/>
        </w:rPr>
        <w:t>Fundamentals of financial management</w:t>
      </w:r>
      <w:r w:rsidRPr="00B20F18">
        <w:rPr>
          <w:rFonts w:ascii="Arial" w:eastAsia="Times New Roman" w:hAnsi="Arial" w:cs="Arial"/>
          <w:szCs w:val="24"/>
          <w:lang w:eastAsia="en-GB"/>
        </w:rPr>
        <w:t>. Pearson Education.</w:t>
      </w:r>
    </w:p>
    <w:p w14:paraId="766899A3" w14:textId="77777777" w:rsidR="008061C7" w:rsidRPr="00B20F18" w:rsidRDefault="008061C7" w:rsidP="008061C7">
      <w:pPr>
        <w:spacing w:after="0"/>
        <w:rPr>
          <w:rFonts w:ascii="Arial" w:eastAsia="Times New Roman" w:hAnsi="Arial" w:cs="Arial"/>
          <w:szCs w:val="24"/>
          <w:lang w:eastAsia="en-GB"/>
        </w:rPr>
      </w:pPr>
      <w:r w:rsidRPr="00B20F18">
        <w:rPr>
          <w:rFonts w:ascii="Arial" w:eastAsia="Times New Roman" w:hAnsi="Arial" w:cs="Arial"/>
          <w:szCs w:val="24"/>
          <w:lang w:eastAsia="en-GB"/>
        </w:rPr>
        <w:t xml:space="preserve">Wahlen, J.M., Baginski, S.P. and Bradshaw, M., 2014. </w:t>
      </w:r>
      <w:r w:rsidRPr="00B20F18">
        <w:rPr>
          <w:rFonts w:ascii="Arial" w:eastAsia="Times New Roman" w:hAnsi="Arial" w:cs="Arial"/>
          <w:i/>
          <w:iCs/>
          <w:szCs w:val="24"/>
          <w:lang w:eastAsia="en-GB"/>
        </w:rPr>
        <w:t>Financial reporting, financial statement analysis and valuation</w:t>
      </w:r>
      <w:r w:rsidRPr="00B20F18">
        <w:rPr>
          <w:rFonts w:ascii="Arial" w:eastAsia="Times New Roman" w:hAnsi="Arial" w:cs="Arial"/>
          <w:szCs w:val="24"/>
          <w:lang w:eastAsia="en-GB"/>
        </w:rPr>
        <w:t>. Nelson Education.</w:t>
      </w:r>
    </w:p>
    <w:p w14:paraId="4CAF0554" w14:textId="77777777" w:rsidR="008061C7" w:rsidRPr="002C0B15" w:rsidRDefault="008061C7" w:rsidP="008061C7"/>
    <w:sectPr w:rsidR="008061C7" w:rsidRPr="002C0B1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373DE8"/>
    <w:multiLevelType w:val="hybridMultilevel"/>
    <w:tmpl w:val="73C4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5905EE"/>
    <w:multiLevelType w:val="hybridMultilevel"/>
    <w:tmpl w:val="5A7A4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89C"/>
    <w:rsid w:val="0001750A"/>
    <w:rsid w:val="00024422"/>
    <w:rsid w:val="00027B4D"/>
    <w:rsid w:val="00034AA5"/>
    <w:rsid w:val="00035EF7"/>
    <w:rsid w:val="000374CD"/>
    <w:rsid w:val="0004334A"/>
    <w:rsid w:val="00044BCA"/>
    <w:rsid w:val="00045695"/>
    <w:rsid w:val="000476DD"/>
    <w:rsid w:val="00052502"/>
    <w:rsid w:val="00062074"/>
    <w:rsid w:val="00067922"/>
    <w:rsid w:val="00077F9B"/>
    <w:rsid w:val="00085BEC"/>
    <w:rsid w:val="000977B7"/>
    <w:rsid w:val="000A03B3"/>
    <w:rsid w:val="000A6DFE"/>
    <w:rsid w:val="000B4172"/>
    <w:rsid w:val="000B4D0B"/>
    <w:rsid w:val="000B7883"/>
    <w:rsid w:val="000C0F38"/>
    <w:rsid w:val="000C3BED"/>
    <w:rsid w:val="000E116C"/>
    <w:rsid w:val="000F48CE"/>
    <w:rsid w:val="000F60B2"/>
    <w:rsid w:val="00107765"/>
    <w:rsid w:val="00113686"/>
    <w:rsid w:val="00130097"/>
    <w:rsid w:val="00130194"/>
    <w:rsid w:val="001336BC"/>
    <w:rsid w:val="001357F5"/>
    <w:rsid w:val="00141A1B"/>
    <w:rsid w:val="00147D59"/>
    <w:rsid w:val="001509E8"/>
    <w:rsid w:val="001511D9"/>
    <w:rsid w:val="001545D4"/>
    <w:rsid w:val="00162EF4"/>
    <w:rsid w:val="00173EF6"/>
    <w:rsid w:val="00176FBA"/>
    <w:rsid w:val="00195DCA"/>
    <w:rsid w:val="001A3349"/>
    <w:rsid w:val="001A731C"/>
    <w:rsid w:val="001A7F36"/>
    <w:rsid w:val="001B5CC7"/>
    <w:rsid w:val="001C1FA0"/>
    <w:rsid w:val="001C734D"/>
    <w:rsid w:val="001D0301"/>
    <w:rsid w:val="001F4338"/>
    <w:rsid w:val="001F7137"/>
    <w:rsid w:val="00202240"/>
    <w:rsid w:val="00210C27"/>
    <w:rsid w:val="0021175F"/>
    <w:rsid w:val="00214F88"/>
    <w:rsid w:val="002308A8"/>
    <w:rsid w:val="0024636E"/>
    <w:rsid w:val="00246385"/>
    <w:rsid w:val="00253838"/>
    <w:rsid w:val="00254EF3"/>
    <w:rsid w:val="00256EFC"/>
    <w:rsid w:val="002625BB"/>
    <w:rsid w:val="0026333D"/>
    <w:rsid w:val="002715C5"/>
    <w:rsid w:val="00274795"/>
    <w:rsid w:val="002756C3"/>
    <w:rsid w:val="00281784"/>
    <w:rsid w:val="002959E5"/>
    <w:rsid w:val="002972F5"/>
    <w:rsid w:val="002A1775"/>
    <w:rsid w:val="002A2AE8"/>
    <w:rsid w:val="002A5F73"/>
    <w:rsid w:val="002A7228"/>
    <w:rsid w:val="002B0575"/>
    <w:rsid w:val="002B40CC"/>
    <w:rsid w:val="002C06C6"/>
    <w:rsid w:val="002C0B15"/>
    <w:rsid w:val="002C2730"/>
    <w:rsid w:val="002C7193"/>
    <w:rsid w:val="002D6C2A"/>
    <w:rsid w:val="002D748F"/>
    <w:rsid w:val="002E3C58"/>
    <w:rsid w:val="002F0C1B"/>
    <w:rsid w:val="002F37AE"/>
    <w:rsid w:val="002F77B9"/>
    <w:rsid w:val="00300721"/>
    <w:rsid w:val="00303D18"/>
    <w:rsid w:val="00304104"/>
    <w:rsid w:val="003132A2"/>
    <w:rsid w:val="003259A1"/>
    <w:rsid w:val="00335871"/>
    <w:rsid w:val="00340A2C"/>
    <w:rsid w:val="00341B73"/>
    <w:rsid w:val="00341DF4"/>
    <w:rsid w:val="00341FE4"/>
    <w:rsid w:val="0035082E"/>
    <w:rsid w:val="00350C10"/>
    <w:rsid w:val="00351F01"/>
    <w:rsid w:val="00355620"/>
    <w:rsid w:val="00356E89"/>
    <w:rsid w:val="003755B8"/>
    <w:rsid w:val="003770C9"/>
    <w:rsid w:val="003A2DA9"/>
    <w:rsid w:val="003B3055"/>
    <w:rsid w:val="003B4A37"/>
    <w:rsid w:val="003C539B"/>
    <w:rsid w:val="003D189C"/>
    <w:rsid w:val="003D6FD6"/>
    <w:rsid w:val="003E04C3"/>
    <w:rsid w:val="003E4F6F"/>
    <w:rsid w:val="003E762A"/>
    <w:rsid w:val="003F358A"/>
    <w:rsid w:val="00405866"/>
    <w:rsid w:val="00435747"/>
    <w:rsid w:val="00441846"/>
    <w:rsid w:val="00444C50"/>
    <w:rsid w:val="00454558"/>
    <w:rsid w:val="004633A4"/>
    <w:rsid w:val="004674A7"/>
    <w:rsid w:val="00471C66"/>
    <w:rsid w:val="00472421"/>
    <w:rsid w:val="004737F9"/>
    <w:rsid w:val="00476963"/>
    <w:rsid w:val="004919DF"/>
    <w:rsid w:val="004933EC"/>
    <w:rsid w:val="004948B2"/>
    <w:rsid w:val="00496AAB"/>
    <w:rsid w:val="004B7956"/>
    <w:rsid w:val="004C2E5D"/>
    <w:rsid w:val="004C4F2C"/>
    <w:rsid w:val="004D1696"/>
    <w:rsid w:val="004D7AF9"/>
    <w:rsid w:val="004E15F9"/>
    <w:rsid w:val="004E7C13"/>
    <w:rsid w:val="004F3470"/>
    <w:rsid w:val="004F7A42"/>
    <w:rsid w:val="00502B2A"/>
    <w:rsid w:val="005112AB"/>
    <w:rsid w:val="00520B2C"/>
    <w:rsid w:val="0052474F"/>
    <w:rsid w:val="0053315A"/>
    <w:rsid w:val="0053473B"/>
    <w:rsid w:val="00541648"/>
    <w:rsid w:val="0054361C"/>
    <w:rsid w:val="00556551"/>
    <w:rsid w:val="00560206"/>
    <w:rsid w:val="00570D16"/>
    <w:rsid w:val="005749A4"/>
    <w:rsid w:val="005773AC"/>
    <w:rsid w:val="00586466"/>
    <w:rsid w:val="005867FE"/>
    <w:rsid w:val="00595DFE"/>
    <w:rsid w:val="00596D8C"/>
    <w:rsid w:val="00596DF3"/>
    <w:rsid w:val="005A3942"/>
    <w:rsid w:val="005A5252"/>
    <w:rsid w:val="005A558D"/>
    <w:rsid w:val="005B550D"/>
    <w:rsid w:val="005B76D9"/>
    <w:rsid w:val="005D619F"/>
    <w:rsid w:val="005D7ABE"/>
    <w:rsid w:val="005E20D1"/>
    <w:rsid w:val="005E37A3"/>
    <w:rsid w:val="005F03FD"/>
    <w:rsid w:val="005F27BA"/>
    <w:rsid w:val="005F3AFC"/>
    <w:rsid w:val="005F7DCA"/>
    <w:rsid w:val="006066C7"/>
    <w:rsid w:val="00610C33"/>
    <w:rsid w:val="00621E76"/>
    <w:rsid w:val="006300E1"/>
    <w:rsid w:val="006368B0"/>
    <w:rsid w:val="0065200F"/>
    <w:rsid w:val="00654C3A"/>
    <w:rsid w:val="00662492"/>
    <w:rsid w:val="00674DCD"/>
    <w:rsid w:val="0067735A"/>
    <w:rsid w:val="006843FE"/>
    <w:rsid w:val="00691BD0"/>
    <w:rsid w:val="00691E3E"/>
    <w:rsid w:val="00693153"/>
    <w:rsid w:val="00695AA4"/>
    <w:rsid w:val="006965B5"/>
    <w:rsid w:val="006A4DDA"/>
    <w:rsid w:val="006A71D0"/>
    <w:rsid w:val="006A7D27"/>
    <w:rsid w:val="006B6014"/>
    <w:rsid w:val="006C238D"/>
    <w:rsid w:val="006D2158"/>
    <w:rsid w:val="006D31BF"/>
    <w:rsid w:val="006E7621"/>
    <w:rsid w:val="006F0775"/>
    <w:rsid w:val="00701FF2"/>
    <w:rsid w:val="00710954"/>
    <w:rsid w:val="00714A62"/>
    <w:rsid w:val="00717E89"/>
    <w:rsid w:val="00731339"/>
    <w:rsid w:val="007319B3"/>
    <w:rsid w:val="007411FB"/>
    <w:rsid w:val="0074538F"/>
    <w:rsid w:val="007528FE"/>
    <w:rsid w:val="00782B86"/>
    <w:rsid w:val="0078313B"/>
    <w:rsid w:val="00791D10"/>
    <w:rsid w:val="007A2253"/>
    <w:rsid w:val="007A36BD"/>
    <w:rsid w:val="007A5B6B"/>
    <w:rsid w:val="007A66F6"/>
    <w:rsid w:val="007B1B0E"/>
    <w:rsid w:val="007D74EB"/>
    <w:rsid w:val="007E454D"/>
    <w:rsid w:val="007E47EF"/>
    <w:rsid w:val="008061C7"/>
    <w:rsid w:val="00817BD0"/>
    <w:rsid w:val="00820015"/>
    <w:rsid w:val="00825257"/>
    <w:rsid w:val="008266C4"/>
    <w:rsid w:val="0083029C"/>
    <w:rsid w:val="008356E9"/>
    <w:rsid w:val="008358A6"/>
    <w:rsid w:val="00835BF8"/>
    <w:rsid w:val="008450CE"/>
    <w:rsid w:val="008459EA"/>
    <w:rsid w:val="00851EDE"/>
    <w:rsid w:val="008560D3"/>
    <w:rsid w:val="008567ED"/>
    <w:rsid w:val="00872EA3"/>
    <w:rsid w:val="00890318"/>
    <w:rsid w:val="008A1CB4"/>
    <w:rsid w:val="008A32D4"/>
    <w:rsid w:val="008A6241"/>
    <w:rsid w:val="008B175E"/>
    <w:rsid w:val="008C0A31"/>
    <w:rsid w:val="008D1369"/>
    <w:rsid w:val="008D1D42"/>
    <w:rsid w:val="008D2487"/>
    <w:rsid w:val="008E0618"/>
    <w:rsid w:val="008E19B3"/>
    <w:rsid w:val="008E1C3F"/>
    <w:rsid w:val="008E2DA9"/>
    <w:rsid w:val="008E2F8A"/>
    <w:rsid w:val="008F001F"/>
    <w:rsid w:val="00920E60"/>
    <w:rsid w:val="009212B2"/>
    <w:rsid w:val="00925452"/>
    <w:rsid w:val="009364EA"/>
    <w:rsid w:val="0095673D"/>
    <w:rsid w:val="00963A63"/>
    <w:rsid w:val="00971752"/>
    <w:rsid w:val="00982164"/>
    <w:rsid w:val="00986519"/>
    <w:rsid w:val="00993D98"/>
    <w:rsid w:val="00996EE9"/>
    <w:rsid w:val="009A15E4"/>
    <w:rsid w:val="009A1CC4"/>
    <w:rsid w:val="009A35F8"/>
    <w:rsid w:val="009B2952"/>
    <w:rsid w:val="009B3964"/>
    <w:rsid w:val="009B7BB6"/>
    <w:rsid w:val="009E286A"/>
    <w:rsid w:val="009E6AD5"/>
    <w:rsid w:val="009E7A71"/>
    <w:rsid w:val="009F02F9"/>
    <w:rsid w:val="009F4D73"/>
    <w:rsid w:val="009F6716"/>
    <w:rsid w:val="00A00542"/>
    <w:rsid w:val="00A00C56"/>
    <w:rsid w:val="00A1764A"/>
    <w:rsid w:val="00A2065C"/>
    <w:rsid w:val="00A33723"/>
    <w:rsid w:val="00A34E2F"/>
    <w:rsid w:val="00A64257"/>
    <w:rsid w:val="00A814FB"/>
    <w:rsid w:val="00A9759A"/>
    <w:rsid w:val="00AA2FDF"/>
    <w:rsid w:val="00AA3983"/>
    <w:rsid w:val="00AA7661"/>
    <w:rsid w:val="00AB6F44"/>
    <w:rsid w:val="00AB740D"/>
    <w:rsid w:val="00AD5F01"/>
    <w:rsid w:val="00AE5E7B"/>
    <w:rsid w:val="00AF228C"/>
    <w:rsid w:val="00AF40C6"/>
    <w:rsid w:val="00AF750A"/>
    <w:rsid w:val="00B047E3"/>
    <w:rsid w:val="00B05C66"/>
    <w:rsid w:val="00B16968"/>
    <w:rsid w:val="00B20EE1"/>
    <w:rsid w:val="00B20F18"/>
    <w:rsid w:val="00B23760"/>
    <w:rsid w:val="00B24035"/>
    <w:rsid w:val="00B31476"/>
    <w:rsid w:val="00B43ECB"/>
    <w:rsid w:val="00B5035E"/>
    <w:rsid w:val="00B507B6"/>
    <w:rsid w:val="00B57BF5"/>
    <w:rsid w:val="00B7745E"/>
    <w:rsid w:val="00B80858"/>
    <w:rsid w:val="00B908A8"/>
    <w:rsid w:val="00B966DB"/>
    <w:rsid w:val="00BA3E83"/>
    <w:rsid w:val="00BB11B8"/>
    <w:rsid w:val="00BB2ACB"/>
    <w:rsid w:val="00BB4597"/>
    <w:rsid w:val="00BB7429"/>
    <w:rsid w:val="00BC3AD9"/>
    <w:rsid w:val="00BC5477"/>
    <w:rsid w:val="00BC6708"/>
    <w:rsid w:val="00BD1A94"/>
    <w:rsid w:val="00BD4013"/>
    <w:rsid w:val="00BD4097"/>
    <w:rsid w:val="00BF0A52"/>
    <w:rsid w:val="00BF2F61"/>
    <w:rsid w:val="00BF37FC"/>
    <w:rsid w:val="00BF4017"/>
    <w:rsid w:val="00BF4F10"/>
    <w:rsid w:val="00BF70CB"/>
    <w:rsid w:val="00C115FC"/>
    <w:rsid w:val="00C2351A"/>
    <w:rsid w:val="00C4515C"/>
    <w:rsid w:val="00C45A62"/>
    <w:rsid w:val="00C45B55"/>
    <w:rsid w:val="00C51DE8"/>
    <w:rsid w:val="00C639C4"/>
    <w:rsid w:val="00C90940"/>
    <w:rsid w:val="00C966C8"/>
    <w:rsid w:val="00CA27F6"/>
    <w:rsid w:val="00CA517C"/>
    <w:rsid w:val="00CA65E8"/>
    <w:rsid w:val="00CA7525"/>
    <w:rsid w:val="00CB17D8"/>
    <w:rsid w:val="00CB7288"/>
    <w:rsid w:val="00CC61D1"/>
    <w:rsid w:val="00CD5999"/>
    <w:rsid w:val="00CE7672"/>
    <w:rsid w:val="00CF61F3"/>
    <w:rsid w:val="00CF67F3"/>
    <w:rsid w:val="00CF70E2"/>
    <w:rsid w:val="00D029C5"/>
    <w:rsid w:val="00D14D1C"/>
    <w:rsid w:val="00D208CC"/>
    <w:rsid w:val="00D2244C"/>
    <w:rsid w:val="00D23EB4"/>
    <w:rsid w:val="00D24617"/>
    <w:rsid w:val="00D34447"/>
    <w:rsid w:val="00D42870"/>
    <w:rsid w:val="00D51499"/>
    <w:rsid w:val="00D635D5"/>
    <w:rsid w:val="00D67070"/>
    <w:rsid w:val="00D80B24"/>
    <w:rsid w:val="00D80FF0"/>
    <w:rsid w:val="00D811F3"/>
    <w:rsid w:val="00D82545"/>
    <w:rsid w:val="00D86EBE"/>
    <w:rsid w:val="00DA3E31"/>
    <w:rsid w:val="00DA4258"/>
    <w:rsid w:val="00DC1834"/>
    <w:rsid w:val="00DC7C3A"/>
    <w:rsid w:val="00DD566E"/>
    <w:rsid w:val="00DD7E2D"/>
    <w:rsid w:val="00DE364F"/>
    <w:rsid w:val="00DE6B9E"/>
    <w:rsid w:val="00DE7E25"/>
    <w:rsid w:val="00DF10DA"/>
    <w:rsid w:val="00DF2243"/>
    <w:rsid w:val="00DF316B"/>
    <w:rsid w:val="00DF5968"/>
    <w:rsid w:val="00DF6BB3"/>
    <w:rsid w:val="00E0167A"/>
    <w:rsid w:val="00E0681D"/>
    <w:rsid w:val="00E25C43"/>
    <w:rsid w:val="00E35EC8"/>
    <w:rsid w:val="00E406B4"/>
    <w:rsid w:val="00E45CAE"/>
    <w:rsid w:val="00E54A05"/>
    <w:rsid w:val="00E66B03"/>
    <w:rsid w:val="00E67107"/>
    <w:rsid w:val="00E776BE"/>
    <w:rsid w:val="00E8407F"/>
    <w:rsid w:val="00E8455A"/>
    <w:rsid w:val="00E84A6E"/>
    <w:rsid w:val="00E908D6"/>
    <w:rsid w:val="00E90D5E"/>
    <w:rsid w:val="00E9213E"/>
    <w:rsid w:val="00EA0584"/>
    <w:rsid w:val="00EA766D"/>
    <w:rsid w:val="00EB1B1A"/>
    <w:rsid w:val="00EC352E"/>
    <w:rsid w:val="00EC3718"/>
    <w:rsid w:val="00EC3D2C"/>
    <w:rsid w:val="00EC65CF"/>
    <w:rsid w:val="00ED230E"/>
    <w:rsid w:val="00EE0669"/>
    <w:rsid w:val="00EF2C6D"/>
    <w:rsid w:val="00EF4947"/>
    <w:rsid w:val="00EF586E"/>
    <w:rsid w:val="00F147BC"/>
    <w:rsid w:val="00F24DDB"/>
    <w:rsid w:val="00F3221E"/>
    <w:rsid w:val="00F45139"/>
    <w:rsid w:val="00F45D0A"/>
    <w:rsid w:val="00F47647"/>
    <w:rsid w:val="00F50186"/>
    <w:rsid w:val="00F53B60"/>
    <w:rsid w:val="00F55F67"/>
    <w:rsid w:val="00F66F1A"/>
    <w:rsid w:val="00F72BB3"/>
    <w:rsid w:val="00F7743E"/>
    <w:rsid w:val="00F84D82"/>
    <w:rsid w:val="00F97462"/>
    <w:rsid w:val="00FA3836"/>
    <w:rsid w:val="00FC172F"/>
    <w:rsid w:val="00FE1EAD"/>
    <w:rsid w:val="00FE29A4"/>
    <w:rsid w:val="00FE2E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69EE4"/>
  <w15:chartTrackingRefBased/>
  <w15:docId w15:val="{434383EB-3654-48A4-9448-73D3CA69D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3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A517C"/>
    <w:pPr>
      <w:keepNext/>
      <w:keepLines/>
      <w:pBdr>
        <w:top w:val="nil"/>
        <w:left w:val="nil"/>
        <w:bottom w:val="nil"/>
        <w:right w:val="nil"/>
        <w:between w:val="nil"/>
        <w:bar w:val="nil"/>
      </w:pBd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50C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63A63"/>
    <w:pPr>
      <w:keepNext/>
      <w:keepLines/>
      <w:pBdr>
        <w:top w:val="nil"/>
        <w:left w:val="nil"/>
        <w:bottom w:val="nil"/>
        <w:right w:val="nil"/>
        <w:between w:val="nil"/>
        <w:bar w:val="nil"/>
      </w:pBdr>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1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450C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963A63"/>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BC3AD9"/>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C3AD9"/>
    <w:rPr>
      <w:rFonts w:ascii="Times New Roman" w:eastAsiaTheme="majorEastAsia" w:hAnsi="Times New Roman" w:cstheme="majorBidi"/>
      <w:spacing w:val="-10"/>
      <w:kern w:val="28"/>
      <w:sz w:val="56"/>
      <w:szCs w:val="56"/>
    </w:rPr>
  </w:style>
  <w:style w:type="paragraph" w:styleId="TOCHeading">
    <w:name w:val="TOC Heading"/>
    <w:basedOn w:val="Heading1"/>
    <w:next w:val="Normal"/>
    <w:uiPriority w:val="39"/>
    <w:unhideWhenUsed/>
    <w:qFormat/>
    <w:rsid w:val="00CA517C"/>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A517C"/>
    <w:pPr>
      <w:spacing w:after="100"/>
    </w:pPr>
  </w:style>
  <w:style w:type="character" w:styleId="Hyperlink">
    <w:name w:val="Hyperlink"/>
    <w:basedOn w:val="DefaultParagraphFont"/>
    <w:uiPriority w:val="99"/>
    <w:unhideWhenUsed/>
    <w:rsid w:val="00CA517C"/>
    <w:rPr>
      <w:color w:val="0563C1" w:themeColor="hyperlink"/>
      <w:u w:val="single"/>
    </w:rPr>
  </w:style>
  <w:style w:type="table" w:styleId="PlainTable5">
    <w:name w:val="Plain Table 5"/>
    <w:basedOn w:val="TableNormal"/>
    <w:uiPriority w:val="45"/>
    <w:rsid w:val="008E19B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DC1834"/>
    <w:pPr>
      <w:ind w:left="720"/>
      <w:contextualSpacing/>
    </w:pPr>
  </w:style>
  <w:style w:type="paragraph" w:styleId="TOC2">
    <w:name w:val="toc 2"/>
    <w:basedOn w:val="Normal"/>
    <w:next w:val="Normal"/>
    <w:autoRedefine/>
    <w:uiPriority w:val="39"/>
    <w:unhideWhenUsed/>
    <w:rsid w:val="00DE6B9E"/>
    <w:pPr>
      <w:spacing w:after="100"/>
      <w:ind w:left="240"/>
    </w:pPr>
  </w:style>
  <w:style w:type="paragraph" w:styleId="TOC3">
    <w:name w:val="toc 3"/>
    <w:basedOn w:val="Normal"/>
    <w:next w:val="Normal"/>
    <w:autoRedefine/>
    <w:uiPriority w:val="39"/>
    <w:unhideWhenUsed/>
    <w:rsid w:val="00DE6B9E"/>
    <w:pPr>
      <w:spacing w:after="100"/>
      <w:ind w:left="480"/>
    </w:pPr>
  </w:style>
  <w:style w:type="character" w:customStyle="1" w:styleId="hgkelc">
    <w:name w:val="hgkelc"/>
    <w:basedOn w:val="DefaultParagraphFont"/>
    <w:rsid w:val="00520B2C"/>
  </w:style>
  <w:style w:type="character" w:customStyle="1" w:styleId="kx21rb">
    <w:name w:val="kx21rb"/>
    <w:basedOn w:val="DefaultParagraphFont"/>
    <w:rsid w:val="00067922"/>
  </w:style>
  <w:style w:type="table" w:styleId="TableGrid">
    <w:name w:val="Table Grid"/>
    <w:basedOn w:val="TableNormal"/>
    <w:uiPriority w:val="39"/>
    <w:rsid w:val="00963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A72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3E4F6F"/>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67798">
      <w:bodyDiv w:val="1"/>
      <w:marLeft w:val="0"/>
      <w:marRight w:val="0"/>
      <w:marTop w:val="0"/>
      <w:marBottom w:val="0"/>
      <w:divBdr>
        <w:top w:val="none" w:sz="0" w:space="0" w:color="auto"/>
        <w:left w:val="none" w:sz="0" w:space="0" w:color="auto"/>
        <w:bottom w:val="none" w:sz="0" w:space="0" w:color="auto"/>
        <w:right w:val="none" w:sz="0" w:space="0" w:color="auto"/>
      </w:divBdr>
    </w:div>
    <w:div w:id="277569018">
      <w:bodyDiv w:val="1"/>
      <w:marLeft w:val="0"/>
      <w:marRight w:val="0"/>
      <w:marTop w:val="0"/>
      <w:marBottom w:val="0"/>
      <w:divBdr>
        <w:top w:val="none" w:sz="0" w:space="0" w:color="auto"/>
        <w:left w:val="none" w:sz="0" w:space="0" w:color="auto"/>
        <w:bottom w:val="none" w:sz="0" w:space="0" w:color="auto"/>
        <w:right w:val="none" w:sz="0" w:space="0" w:color="auto"/>
      </w:divBdr>
    </w:div>
    <w:div w:id="324092008">
      <w:bodyDiv w:val="1"/>
      <w:marLeft w:val="0"/>
      <w:marRight w:val="0"/>
      <w:marTop w:val="0"/>
      <w:marBottom w:val="0"/>
      <w:divBdr>
        <w:top w:val="none" w:sz="0" w:space="0" w:color="auto"/>
        <w:left w:val="none" w:sz="0" w:space="0" w:color="auto"/>
        <w:bottom w:val="none" w:sz="0" w:space="0" w:color="auto"/>
        <w:right w:val="none" w:sz="0" w:space="0" w:color="auto"/>
      </w:divBdr>
      <w:divsChild>
        <w:div w:id="2011176339">
          <w:marLeft w:val="0"/>
          <w:marRight w:val="0"/>
          <w:marTop w:val="0"/>
          <w:marBottom w:val="0"/>
          <w:divBdr>
            <w:top w:val="none" w:sz="0" w:space="0" w:color="auto"/>
            <w:left w:val="none" w:sz="0" w:space="0" w:color="auto"/>
            <w:bottom w:val="none" w:sz="0" w:space="0" w:color="auto"/>
            <w:right w:val="none" w:sz="0" w:space="0" w:color="auto"/>
          </w:divBdr>
        </w:div>
      </w:divsChild>
    </w:div>
    <w:div w:id="553393093">
      <w:bodyDiv w:val="1"/>
      <w:marLeft w:val="0"/>
      <w:marRight w:val="0"/>
      <w:marTop w:val="0"/>
      <w:marBottom w:val="0"/>
      <w:divBdr>
        <w:top w:val="none" w:sz="0" w:space="0" w:color="auto"/>
        <w:left w:val="none" w:sz="0" w:space="0" w:color="auto"/>
        <w:bottom w:val="none" w:sz="0" w:space="0" w:color="auto"/>
        <w:right w:val="none" w:sz="0" w:space="0" w:color="auto"/>
      </w:divBdr>
    </w:div>
    <w:div w:id="654725727">
      <w:bodyDiv w:val="1"/>
      <w:marLeft w:val="0"/>
      <w:marRight w:val="0"/>
      <w:marTop w:val="0"/>
      <w:marBottom w:val="0"/>
      <w:divBdr>
        <w:top w:val="none" w:sz="0" w:space="0" w:color="auto"/>
        <w:left w:val="none" w:sz="0" w:space="0" w:color="auto"/>
        <w:bottom w:val="none" w:sz="0" w:space="0" w:color="auto"/>
        <w:right w:val="none" w:sz="0" w:space="0" w:color="auto"/>
      </w:divBdr>
    </w:div>
    <w:div w:id="818309240">
      <w:bodyDiv w:val="1"/>
      <w:marLeft w:val="0"/>
      <w:marRight w:val="0"/>
      <w:marTop w:val="0"/>
      <w:marBottom w:val="0"/>
      <w:divBdr>
        <w:top w:val="none" w:sz="0" w:space="0" w:color="auto"/>
        <w:left w:val="none" w:sz="0" w:space="0" w:color="auto"/>
        <w:bottom w:val="none" w:sz="0" w:space="0" w:color="auto"/>
        <w:right w:val="none" w:sz="0" w:space="0" w:color="auto"/>
      </w:divBdr>
    </w:div>
    <w:div w:id="896935499">
      <w:bodyDiv w:val="1"/>
      <w:marLeft w:val="0"/>
      <w:marRight w:val="0"/>
      <w:marTop w:val="0"/>
      <w:marBottom w:val="0"/>
      <w:divBdr>
        <w:top w:val="none" w:sz="0" w:space="0" w:color="auto"/>
        <w:left w:val="none" w:sz="0" w:space="0" w:color="auto"/>
        <w:bottom w:val="none" w:sz="0" w:space="0" w:color="auto"/>
        <w:right w:val="none" w:sz="0" w:space="0" w:color="auto"/>
      </w:divBdr>
    </w:div>
    <w:div w:id="971643001">
      <w:bodyDiv w:val="1"/>
      <w:marLeft w:val="0"/>
      <w:marRight w:val="0"/>
      <w:marTop w:val="0"/>
      <w:marBottom w:val="0"/>
      <w:divBdr>
        <w:top w:val="none" w:sz="0" w:space="0" w:color="auto"/>
        <w:left w:val="none" w:sz="0" w:space="0" w:color="auto"/>
        <w:bottom w:val="none" w:sz="0" w:space="0" w:color="auto"/>
        <w:right w:val="none" w:sz="0" w:space="0" w:color="auto"/>
      </w:divBdr>
    </w:div>
    <w:div w:id="1085541611">
      <w:bodyDiv w:val="1"/>
      <w:marLeft w:val="0"/>
      <w:marRight w:val="0"/>
      <w:marTop w:val="0"/>
      <w:marBottom w:val="0"/>
      <w:divBdr>
        <w:top w:val="none" w:sz="0" w:space="0" w:color="auto"/>
        <w:left w:val="none" w:sz="0" w:space="0" w:color="auto"/>
        <w:bottom w:val="none" w:sz="0" w:space="0" w:color="auto"/>
        <w:right w:val="none" w:sz="0" w:space="0" w:color="auto"/>
      </w:divBdr>
      <w:divsChild>
        <w:div w:id="1074468303">
          <w:marLeft w:val="0"/>
          <w:marRight w:val="0"/>
          <w:marTop w:val="0"/>
          <w:marBottom w:val="0"/>
          <w:divBdr>
            <w:top w:val="none" w:sz="0" w:space="0" w:color="auto"/>
            <w:left w:val="none" w:sz="0" w:space="0" w:color="auto"/>
            <w:bottom w:val="none" w:sz="0" w:space="0" w:color="auto"/>
            <w:right w:val="none" w:sz="0" w:space="0" w:color="auto"/>
          </w:divBdr>
        </w:div>
      </w:divsChild>
    </w:div>
    <w:div w:id="1088236745">
      <w:bodyDiv w:val="1"/>
      <w:marLeft w:val="0"/>
      <w:marRight w:val="0"/>
      <w:marTop w:val="0"/>
      <w:marBottom w:val="0"/>
      <w:divBdr>
        <w:top w:val="none" w:sz="0" w:space="0" w:color="auto"/>
        <w:left w:val="none" w:sz="0" w:space="0" w:color="auto"/>
        <w:bottom w:val="none" w:sz="0" w:space="0" w:color="auto"/>
        <w:right w:val="none" w:sz="0" w:space="0" w:color="auto"/>
      </w:divBdr>
    </w:div>
    <w:div w:id="1107038243">
      <w:bodyDiv w:val="1"/>
      <w:marLeft w:val="0"/>
      <w:marRight w:val="0"/>
      <w:marTop w:val="0"/>
      <w:marBottom w:val="0"/>
      <w:divBdr>
        <w:top w:val="none" w:sz="0" w:space="0" w:color="auto"/>
        <w:left w:val="none" w:sz="0" w:space="0" w:color="auto"/>
        <w:bottom w:val="none" w:sz="0" w:space="0" w:color="auto"/>
        <w:right w:val="none" w:sz="0" w:space="0" w:color="auto"/>
      </w:divBdr>
    </w:div>
    <w:div w:id="1162546567">
      <w:bodyDiv w:val="1"/>
      <w:marLeft w:val="0"/>
      <w:marRight w:val="0"/>
      <w:marTop w:val="0"/>
      <w:marBottom w:val="0"/>
      <w:divBdr>
        <w:top w:val="none" w:sz="0" w:space="0" w:color="auto"/>
        <w:left w:val="none" w:sz="0" w:space="0" w:color="auto"/>
        <w:bottom w:val="none" w:sz="0" w:space="0" w:color="auto"/>
        <w:right w:val="none" w:sz="0" w:space="0" w:color="auto"/>
      </w:divBdr>
    </w:div>
    <w:div w:id="1229461965">
      <w:bodyDiv w:val="1"/>
      <w:marLeft w:val="0"/>
      <w:marRight w:val="0"/>
      <w:marTop w:val="0"/>
      <w:marBottom w:val="0"/>
      <w:divBdr>
        <w:top w:val="none" w:sz="0" w:space="0" w:color="auto"/>
        <w:left w:val="none" w:sz="0" w:space="0" w:color="auto"/>
        <w:bottom w:val="none" w:sz="0" w:space="0" w:color="auto"/>
        <w:right w:val="none" w:sz="0" w:space="0" w:color="auto"/>
      </w:divBdr>
      <w:divsChild>
        <w:div w:id="648285283">
          <w:marLeft w:val="0"/>
          <w:marRight w:val="0"/>
          <w:marTop w:val="0"/>
          <w:marBottom w:val="0"/>
          <w:divBdr>
            <w:top w:val="none" w:sz="0" w:space="0" w:color="auto"/>
            <w:left w:val="none" w:sz="0" w:space="0" w:color="auto"/>
            <w:bottom w:val="none" w:sz="0" w:space="0" w:color="auto"/>
            <w:right w:val="none" w:sz="0" w:space="0" w:color="auto"/>
          </w:divBdr>
        </w:div>
      </w:divsChild>
    </w:div>
    <w:div w:id="1269000219">
      <w:bodyDiv w:val="1"/>
      <w:marLeft w:val="0"/>
      <w:marRight w:val="0"/>
      <w:marTop w:val="0"/>
      <w:marBottom w:val="0"/>
      <w:divBdr>
        <w:top w:val="none" w:sz="0" w:space="0" w:color="auto"/>
        <w:left w:val="none" w:sz="0" w:space="0" w:color="auto"/>
        <w:bottom w:val="none" w:sz="0" w:space="0" w:color="auto"/>
        <w:right w:val="none" w:sz="0" w:space="0" w:color="auto"/>
      </w:divBdr>
    </w:div>
    <w:div w:id="1448889276">
      <w:bodyDiv w:val="1"/>
      <w:marLeft w:val="0"/>
      <w:marRight w:val="0"/>
      <w:marTop w:val="0"/>
      <w:marBottom w:val="0"/>
      <w:divBdr>
        <w:top w:val="none" w:sz="0" w:space="0" w:color="auto"/>
        <w:left w:val="none" w:sz="0" w:space="0" w:color="auto"/>
        <w:bottom w:val="none" w:sz="0" w:space="0" w:color="auto"/>
        <w:right w:val="none" w:sz="0" w:space="0" w:color="auto"/>
      </w:divBdr>
    </w:div>
    <w:div w:id="1490562823">
      <w:bodyDiv w:val="1"/>
      <w:marLeft w:val="0"/>
      <w:marRight w:val="0"/>
      <w:marTop w:val="0"/>
      <w:marBottom w:val="0"/>
      <w:divBdr>
        <w:top w:val="none" w:sz="0" w:space="0" w:color="auto"/>
        <w:left w:val="none" w:sz="0" w:space="0" w:color="auto"/>
        <w:bottom w:val="none" w:sz="0" w:space="0" w:color="auto"/>
        <w:right w:val="none" w:sz="0" w:space="0" w:color="auto"/>
      </w:divBdr>
    </w:div>
    <w:div w:id="1498812774">
      <w:bodyDiv w:val="1"/>
      <w:marLeft w:val="0"/>
      <w:marRight w:val="0"/>
      <w:marTop w:val="0"/>
      <w:marBottom w:val="0"/>
      <w:divBdr>
        <w:top w:val="none" w:sz="0" w:space="0" w:color="auto"/>
        <w:left w:val="none" w:sz="0" w:space="0" w:color="auto"/>
        <w:bottom w:val="none" w:sz="0" w:space="0" w:color="auto"/>
        <w:right w:val="none" w:sz="0" w:space="0" w:color="auto"/>
      </w:divBdr>
    </w:div>
    <w:div w:id="1650741699">
      <w:bodyDiv w:val="1"/>
      <w:marLeft w:val="0"/>
      <w:marRight w:val="0"/>
      <w:marTop w:val="0"/>
      <w:marBottom w:val="0"/>
      <w:divBdr>
        <w:top w:val="none" w:sz="0" w:space="0" w:color="auto"/>
        <w:left w:val="none" w:sz="0" w:space="0" w:color="auto"/>
        <w:bottom w:val="none" w:sz="0" w:space="0" w:color="auto"/>
        <w:right w:val="none" w:sz="0" w:space="0" w:color="auto"/>
      </w:divBdr>
    </w:div>
    <w:div w:id="1736734105">
      <w:bodyDiv w:val="1"/>
      <w:marLeft w:val="0"/>
      <w:marRight w:val="0"/>
      <w:marTop w:val="0"/>
      <w:marBottom w:val="0"/>
      <w:divBdr>
        <w:top w:val="none" w:sz="0" w:space="0" w:color="auto"/>
        <w:left w:val="none" w:sz="0" w:space="0" w:color="auto"/>
        <w:bottom w:val="none" w:sz="0" w:space="0" w:color="auto"/>
        <w:right w:val="none" w:sz="0" w:space="0" w:color="auto"/>
      </w:divBdr>
      <w:divsChild>
        <w:div w:id="627859769">
          <w:marLeft w:val="0"/>
          <w:marRight w:val="0"/>
          <w:marTop w:val="0"/>
          <w:marBottom w:val="0"/>
          <w:divBdr>
            <w:top w:val="none" w:sz="0" w:space="0" w:color="auto"/>
            <w:left w:val="none" w:sz="0" w:space="0" w:color="auto"/>
            <w:bottom w:val="none" w:sz="0" w:space="0" w:color="auto"/>
            <w:right w:val="none" w:sz="0" w:space="0" w:color="auto"/>
          </w:divBdr>
        </w:div>
      </w:divsChild>
    </w:div>
    <w:div w:id="1779834869">
      <w:bodyDiv w:val="1"/>
      <w:marLeft w:val="0"/>
      <w:marRight w:val="0"/>
      <w:marTop w:val="0"/>
      <w:marBottom w:val="0"/>
      <w:divBdr>
        <w:top w:val="none" w:sz="0" w:space="0" w:color="auto"/>
        <w:left w:val="none" w:sz="0" w:space="0" w:color="auto"/>
        <w:bottom w:val="none" w:sz="0" w:space="0" w:color="auto"/>
        <w:right w:val="none" w:sz="0" w:space="0" w:color="auto"/>
      </w:divBdr>
    </w:div>
    <w:div w:id="1779988029">
      <w:bodyDiv w:val="1"/>
      <w:marLeft w:val="0"/>
      <w:marRight w:val="0"/>
      <w:marTop w:val="0"/>
      <w:marBottom w:val="0"/>
      <w:divBdr>
        <w:top w:val="none" w:sz="0" w:space="0" w:color="auto"/>
        <w:left w:val="none" w:sz="0" w:space="0" w:color="auto"/>
        <w:bottom w:val="none" w:sz="0" w:space="0" w:color="auto"/>
        <w:right w:val="none" w:sz="0" w:space="0" w:color="auto"/>
      </w:divBdr>
    </w:div>
    <w:div w:id="1799956934">
      <w:bodyDiv w:val="1"/>
      <w:marLeft w:val="0"/>
      <w:marRight w:val="0"/>
      <w:marTop w:val="0"/>
      <w:marBottom w:val="0"/>
      <w:divBdr>
        <w:top w:val="none" w:sz="0" w:space="0" w:color="auto"/>
        <w:left w:val="none" w:sz="0" w:space="0" w:color="auto"/>
        <w:bottom w:val="none" w:sz="0" w:space="0" w:color="auto"/>
        <w:right w:val="none" w:sz="0" w:space="0" w:color="auto"/>
      </w:divBdr>
    </w:div>
    <w:div w:id="1830435879">
      <w:bodyDiv w:val="1"/>
      <w:marLeft w:val="0"/>
      <w:marRight w:val="0"/>
      <w:marTop w:val="0"/>
      <w:marBottom w:val="0"/>
      <w:divBdr>
        <w:top w:val="none" w:sz="0" w:space="0" w:color="auto"/>
        <w:left w:val="none" w:sz="0" w:space="0" w:color="auto"/>
        <w:bottom w:val="none" w:sz="0" w:space="0" w:color="auto"/>
        <w:right w:val="none" w:sz="0" w:space="0" w:color="auto"/>
      </w:divBdr>
    </w:div>
    <w:div w:id="196314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5CB5F-A744-4EBE-846F-D487A1590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4388</Words>
  <Characters>25016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dc:creator>
  <cp:keywords/>
  <dc:description/>
  <cp:lastModifiedBy>sijjila ali</cp:lastModifiedBy>
  <cp:revision>7</cp:revision>
  <dcterms:created xsi:type="dcterms:W3CDTF">2020-12-30T22:53:00Z</dcterms:created>
  <dcterms:modified xsi:type="dcterms:W3CDTF">2021-01-13T12:48:00Z</dcterms:modified>
</cp:coreProperties>
</file>