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eastAsiaTheme="minorHAnsi" w:hAnsi="Tahoma"/>
          <w:color w:val="4472C4" w:themeColor="accent1"/>
          <w:sz w:val="24"/>
        </w:rPr>
        <w:id w:val="-2016450551"/>
        <w:docPartObj>
          <w:docPartGallery w:val="Cover Pages"/>
          <w:docPartUnique/>
        </w:docPartObj>
      </w:sdtPr>
      <w:sdtEndPr>
        <w:rPr>
          <w:rFonts w:eastAsia="Times New Roman" w:cs="Tahoma"/>
          <w:color w:val="auto"/>
          <w:szCs w:val="24"/>
        </w:rPr>
      </w:sdtEndPr>
      <w:sdtContent>
        <w:p w14:paraId="3416D2F5" w14:textId="3F922BBE" w:rsidR="00121F6A" w:rsidRPr="00C03E14" w:rsidRDefault="00121F6A" w:rsidP="00C03E14">
          <w:pPr>
            <w:pStyle w:val="NoSpacing"/>
            <w:spacing w:before="1540" w:after="240"/>
            <w:jc w:val="center"/>
            <w:rPr>
              <w:rFonts w:ascii="Arial" w:hAnsi="Arial" w:cs="Arial"/>
              <w:b/>
              <w:bCs/>
              <w:color w:val="4472C4" w:themeColor="accent1"/>
              <w:sz w:val="28"/>
              <w:szCs w:val="28"/>
            </w:rPr>
          </w:pPr>
        </w:p>
        <w:p w14:paraId="49892FE4" w14:textId="4F13BCAD" w:rsidR="00507590" w:rsidRPr="00066F80" w:rsidRDefault="00121F6A" w:rsidP="00507590">
          <w:pPr>
            <w:pStyle w:val="NoSpacing"/>
            <w:spacing w:after="240"/>
            <w:jc w:val="center"/>
            <w:rPr>
              <w:rFonts w:ascii="Arial" w:hAnsi="Arial" w:cs="Arial"/>
              <w:b/>
              <w:bCs/>
              <w:sz w:val="28"/>
              <w:szCs w:val="28"/>
            </w:rPr>
          </w:pPr>
          <w:r w:rsidRPr="00066F80">
            <w:rPr>
              <w:rFonts w:ascii="Arial" w:hAnsi="Arial" w:cs="Arial"/>
              <w:b/>
              <w:bCs/>
              <w:sz w:val="28"/>
              <w:szCs w:val="28"/>
            </w:rPr>
            <w:t>Student Name: Fatema Uddin</w:t>
          </w:r>
        </w:p>
        <w:p w14:paraId="5C4798DB" w14:textId="77A92331" w:rsidR="006F6CAF" w:rsidRPr="00066F80" w:rsidRDefault="006F6CAF" w:rsidP="00507590">
          <w:pPr>
            <w:pStyle w:val="NoSpacing"/>
            <w:spacing w:after="240"/>
            <w:jc w:val="center"/>
            <w:rPr>
              <w:rFonts w:ascii="Arial" w:hAnsi="Arial" w:cs="Arial"/>
              <w:b/>
              <w:bCs/>
              <w:sz w:val="28"/>
              <w:szCs w:val="28"/>
            </w:rPr>
          </w:pPr>
          <w:r w:rsidRPr="00066F80">
            <w:rPr>
              <w:rFonts w:ascii="Arial" w:hAnsi="Arial" w:cs="Arial"/>
              <w:b/>
              <w:bCs/>
              <w:sz w:val="28"/>
              <w:szCs w:val="28"/>
            </w:rPr>
            <w:t>Student ID:</w:t>
          </w:r>
          <w:r w:rsidR="003A3525" w:rsidRPr="00066F80">
            <w:rPr>
              <w:rFonts w:ascii="Arial" w:hAnsi="Arial" w:cs="Arial"/>
              <w:b/>
              <w:bCs/>
              <w:sz w:val="28"/>
              <w:szCs w:val="28"/>
            </w:rPr>
            <w:t xml:space="preserve"> </w:t>
          </w:r>
          <w:r w:rsidR="005B20CC" w:rsidRPr="00066F80">
            <w:rPr>
              <w:rFonts w:ascii="Arial" w:hAnsi="Arial" w:cs="Arial"/>
              <w:b/>
              <w:bCs/>
              <w:sz w:val="28"/>
              <w:szCs w:val="28"/>
            </w:rPr>
            <w:t>2131</w:t>
          </w:r>
          <w:r w:rsidR="003A3525" w:rsidRPr="00066F80">
            <w:rPr>
              <w:rFonts w:ascii="Arial" w:hAnsi="Arial" w:cs="Arial"/>
              <w:b/>
              <w:bCs/>
              <w:sz w:val="28"/>
              <w:szCs w:val="28"/>
            </w:rPr>
            <w:t>514</w:t>
          </w:r>
        </w:p>
        <w:p w14:paraId="32E93EBA" w14:textId="716EB36C" w:rsidR="00121F6A" w:rsidRPr="00066F80" w:rsidRDefault="00281259" w:rsidP="00507590">
          <w:pPr>
            <w:pStyle w:val="NoSpacing"/>
            <w:spacing w:after="240"/>
            <w:jc w:val="center"/>
            <w:rPr>
              <w:rFonts w:ascii="Arial" w:hAnsi="Arial" w:cs="Arial"/>
              <w:b/>
              <w:bCs/>
              <w:sz w:val="28"/>
              <w:szCs w:val="28"/>
            </w:rPr>
          </w:pPr>
          <w:r w:rsidRPr="00066F80">
            <w:rPr>
              <w:rFonts w:ascii="Arial" w:hAnsi="Arial" w:cs="Arial"/>
              <w:b/>
              <w:bCs/>
              <w:sz w:val="28"/>
              <w:szCs w:val="28"/>
            </w:rPr>
            <w:t>BMIH5007 – Finance Management – Seaview Resort Report</w:t>
          </w:r>
        </w:p>
        <w:p w14:paraId="63FF63BC" w14:textId="6A8AABCD" w:rsidR="003A3525" w:rsidRPr="00066F80" w:rsidRDefault="003A3525" w:rsidP="00507590">
          <w:pPr>
            <w:pStyle w:val="NoSpacing"/>
            <w:spacing w:after="240"/>
            <w:jc w:val="center"/>
            <w:rPr>
              <w:rFonts w:ascii="Arial" w:hAnsi="Arial" w:cs="Arial"/>
              <w:b/>
              <w:bCs/>
              <w:sz w:val="28"/>
              <w:szCs w:val="28"/>
            </w:rPr>
          </w:pPr>
          <w:r w:rsidRPr="00066F80">
            <w:rPr>
              <w:rFonts w:ascii="Arial" w:hAnsi="Arial" w:cs="Arial"/>
              <w:b/>
              <w:bCs/>
              <w:sz w:val="28"/>
              <w:szCs w:val="28"/>
            </w:rPr>
            <w:t xml:space="preserve">Tutor Name: </w:t>
          </w:r>
          <w:r w:rsidR="00066F80" w:rsidRPr="00066F80">
            <w:rPr>
              <w:rFonts w:ascii="Arial" w:hAnsi="Arial" w:cs="Arial"/>
              <w:b/>
              <w:bCs/>
              <w:sz w:val="28"/>
              <w:szCs w:val="28"/>
            </w:rPr>
            <w:t>Tristan Hawkins</w:t>
          </w:r>
        </w:p>
        <w:p w14:paraId="269B13B9" w14:textId="77777777" w:rsidR="00507590" w:rsidRDefault="00507590" w:rsidP="00507590">
          <w:pPr>
            <w:pStyle w:val="NoSpacing"/>
            <w:spacing w:after="240"/>
            <w:jc w:val="center"/>
            <w:rPr>
              <w:rFonts w:ascii="Arial" w:hAnsi="Arial" w:cs="Arial"/>
              <w:b/>
              <w:bCs/>
              <w:color w:val="4472C4" w:themeColor="accent1"/>
              <w:sz w:val="28"/>
              <w:szCs w:val="28"/>
            </w:rPr>
          </w:pPr>
        </w:p>
        <w:p w14:paraId="61D8E46C" w14:textId="77777777" w:rsidR="00507590" w:rsidRDefault="00507590" w:rsidP="00507590">
          <w:pPr>
            <w:pStyle w:val="NoSpacing"/>
            <w:spacing w:after="240"/>
            <w:jc w:val="center"/>
            <w:rPr>
              <w:rFonts w:ascii="Arial" w:hAnsi="Arial" w:cs="Arial"/>
              <w:b/>
              <w:bCs/>
              <w:color w:val="4472C4" w:themeColor="accent1"/>
              <w:sz w:val="28"/>
              <w:szCs w:val="28"/>
            </w:rPr>
          </w:pPr>
        </w:p>
        <w:p w14:paraId="1DBB1B5B" w14:textId="77777777" w:rsidR="00281259" w:rsidRDefault="00281259" w:rsidP="00121F6A">
          <w:pPr>
            <w:pStyle w:val="NoSpacing"/>
            <w:spacing w:before="1540" w:after="240"/>
            <w:jc w:val="center"/>
            <w:rPr>
              <w:rFonts w:ascii="Arial" w:hAnsi="Arial" w:cs="Arial"/>
              <w:b/>
              <w:bCs/>
              <w:color w:val="4472C4" w:themeColor="accent1"/>
              <w:sz w:val="28"/>
              <w:szCs w:val="28"/>
            </w:rPr>
          </w:pPr>
        </w:p>
        <w:p w14:paraId="34015B8A" w14:textId="69198D4F" w:rsidR="00121F6A" w:rsidRDefault="00121F6A" w:rsidP="00121F6A">
          <w:pPr>
            <w:pStyle w:val="NoSpacing"/>
            <w:spacing w:before="1540" w:after="240"/>
            <w:jc w:val="center"/>
            <w:rPr>
              <w:rFonts w:ascii="Arial" w:hAnsi="Arial" w:cs="Arial"/>
              <w:b/>
              <w:bCs/>
              <w:color w:val="4472C4" w:themeColor="accent1"/>
              <w:sz w:val="28"/>
              <w:szCs w:val="28"/>
            </w:rPr>
          </w:pPr>
        </w:p>
        <w:p w14:paraId="5C27B5FB" w14:textId="77777777" w:rsidR="00121F6A" w:rsidRDefault="00121F6A" w:rsidP="00121F6A">
          <w:pPr>
            <w:pStyle w:val="NoSpacing"/>
            <w:spacing w:before="1540" w:after="240"/>
            <w:jc w:val="center"/>
            <w:rPr>
              <w:rFonts w:ascii="Arial" w:hAnsi="Arial" w:cs="Arial"/>
              <w:b/>
              <w:bCs/>
              <w:color w:val="4472C4" w:themeColor="accent1"/>
              <w:sz w:val="28"/>
              <w:szCs w:val="28"/>
            </w:rPr>
          </w:pPr>
        </w:p>
        <w:p w14:paraId="6669C2D6" w14:textId="77777777" w:rsidR="00C03E14" w:rsidRPr="00C03E14" w:rsidRDefault="00C03E14" w:rsidP="00C03E14">
          <w:pPr>
            <w:pStyle w:val="NoSpacing"/>
            <w:spacing w:before="1540" w:after="240"/>
            <w:jc w:val="center"/>
            <w:rPr>
              <w:color w:val="4472C4" w:themeColor="accent1"/>
            </w:rPr>
          </w:pPr>
        </w:p>
        <w:p w14:paraId="7678133D" w14:textId="47A2132D" w:rsidR="006A6516" w:rsidRDefault="006A6516">
          <w:pPr>
            <w:pStyle w:val="NoSpacing"/>
            <w:jc w:val="center"/>
            <w:rPr>
              <w:color w:val="4472C4" w:themeColor="accent1"/>
              <w:sz w:val="28"/>
              <w:szCs w:val="28"/>
            </w:rPr>
          </w:pPr>
        </w:p>
        <w:p w14:paraId="77870C8F" w14:textId="5A958FC0" w:rsidR="006A6516" w:rsidRDefault="006A6516">
          <w:pPr>
            <w:pStyle w:val="NoSpacing"/>
            <w:spacing w:before="480"/>
            <w:jc w:val="center"/>
            <w:rPr>
              <w:color w:val="4472C4" w:themeColor="accent1"/>
            </w:rPr>
          </w:pPr>
        </w:p>
        <w:p w14:paraId="54388BEC" w14:textId="3E71896E" w:rsidR="006A6516" w:rsidRDefault="00000000">
          <w:pPr>
            <w:spacing w:line="259" w:lineRule="auto"/>
            <w:jc w:val="left"/>
            <w:rPr>
              <w:rFonts w:eastAsia="Times New Roman" w:cs="Tahoma"/>
              <w:szCs w:val="24"/>
            </w:rPr>
          </w:pPr>
        </w:p>
      </w:sdtContent>
    </w:sdt>
    <w:sdt>
      <w:sdtPr>
        <w:rPr>
          <w:rFonts w:ascii="Tahoma" w:eastAsiaTheme="minorHAnsi" w:hAnsi="Tahoma" w:cstheme="minorBidi"/>
          <w:color w:val="auto"/>
          <w:sz w:val="24"/>
          <w:szCs w:val="22"/>
        </w:rPr>
        <w:id w:val="19439179"/>
        <w:docPartObj>
          <w:docPartGallery w:val="Table of Contents"/>
          <w:docPartUnique/>
        </w:docPartObj>
      </w:sdtPr>
      <w:sdtEndPr>
        <w:rPr>
          <w:rFonts w:ascii="Arial" w:hAnsi="Arial" w:cs="Arial"/>
          <w:b/>
          <w:bCs/>
          <w:noProof/>
        </w:rPr>
      </w:sdtEndPr>
      <w:sdtContent>
        <w:p w14:paraId="5874FB92" w14:textId="499AD70B" w:rsidR="00E850F2" w:rsidRPr="00E850F2" w:rsidRDefault="00E850F2" w:rsidP="00E850F2">
          <w:pPr>
            <w:pStyle w:val="TOCHeading"/>
            <w:jc w:val="center"/>
            <w:rPr>
              <w:rFonts w:ascii="Tahoma" w:hAnsi="Tahoma" w:cs="Tahoma"/>
              <w:b/>
              <w:bCs/>
            </w:rPr>
          </w:pPr>
          <w:r w:rsidRPr="00E850F2">
            <w:rPr>
              <w:rFonts w:ascii="Tahoma" w:hAnsi="Tahoma" w:cs="Tahoma"/>
              <w:b/>
              <w:bCs/>
            </w:rPr>
            <w:t>Table of Contents</w:t>
          </w:r>
        </w:p>
        <w:p w14:paraId="232AA75B" w14:textId="17B5B116" w:rsidR="00E850F2" w:rsidRPr="005F67CC" w:rsidRDefault="00E850F2" w:rsidP="006A6516">
          <w:pPr>
            <w:pStyle w:val="TOC1"/>
            <w:rPr>
              <w:rFonts w:ascii="Arial" w:hAnsi="Arial" w:cs="Arial"/>
            </w:rPr>
          </w:pPr>
          <w:r w:rsidRPr="005F67CC">
            <w:rPr>
              <w:rFonts w:ascii="Arial" w:hAnsi="Arial" w:cs="Arial"/>
            </w:rPr>
            <w:fldChar w:fldCharType="begin"/>
          </w:r>
          <w:r w:rsidRPr="005F67CC">
            <w:rPr>
              <w:rFonts w:ascii="Arial" w:hAnsi="Arial" w:cs="Arial"/>
            </w:rPr>
            <w:instrText xml:space="preserve"> TOC \o "1-3" \h \z \u </w:instrText>
          </w:r>
          <w:r w:rsidRPr="005F67CC">
            <w:rPr>
              <w:rFonts w:ascii="Arial" w:hAnsi="Arial" w:cs="Arial"/>
            </w:rPr>
            <w:fldChar w:fldCharType="separate"/>
          </w:r>
          <w:hyperlink w:anchor="_Toc150722489" w:history="1">
            <w:r w:rsidRPr="005F67CC">
              <w:rPr>
                <w:rStyle w:val="Hyperlink"/>
                <w:rFonts w:ascii="Arial" w:hAnsi="Arial" w:cs="Arial"/>
              </w:rPr>
              <w:t>Executive Summary</w:t>
            </w:r>
            <w:r w:rsidRPr="005F67CC">
              <w:rPr>
                <w:rFonts w:ascii="Arial" w:hAnsi="Arial" w:cs="Arial"/>
                <w:webHidden/>
              </w:rPr>
              <w:tab/>
            </w:r>
            <w:r w:rsidRPr="005F67CC">
              <w:rPr>
                <w:rFonts w:ascii="Arial" w:hAnsi="Arial" w:cs="Arial"/>
                <w:webHidden/>
              </w:rPr>
              <w:fldChar w:fldCharType="begin"/>
            </w:r>
            <w:r w:rsidRPr="005F67CC">
              <w:rPr>
                <w:rFonts w:ascii="Arial" w:hAnsi="Arial" w:cs="Arial"/>
                <w:webHidden/>
              </w:rPr>
              <w:instrText xml:space="preserve"> PAGEREF _Toc150722489 \h </w:instrText>
            </w:r>
            <w:r w:rsidRPr="005F67CC">
              <w:rPr>
                <w:rFonts w:ascii="Arial" w:hAnsi="Arial" w:cs="Arial"/>
                <w:webHidden/>
              </w:rPr>
            </w:r>
            <w:r w:rsidRPr="005F67CC">
              <w:rPr>
                <w:rFonts w:ascii="Arial" w:hAnsi="Arial" w:cs="Arial"/>
                <w:webHidden/>
              </w:rPr>
              <w:fldChar w:fldCharType="separate"/>
            </w:r>
            <w:r w:rsidRPr="005F67CC">
              <w:rPr>
                <w:rFonts w:ascii="Arial" w:hAnsi="Arial" w:cs="Arial"/>
                <w:webHidden/>
              </w:rPr>
              <w:t>1</w:t>
            </w:r>
            <w:r w:rsidRPr="005F67CC">
              <w:rPr>
                <w:rFonts w:ascii="Arial" w:hAnsi="Arial" w:cs="Arial"/>
                <w:webHidden/>
              </w:rPr>
              <w:fldChar w:fldCharType="end"/>
            </w:r>
          </w:hyperlink>
        </w:p>
        <w:p w14:paraId="366311B8" w14:textId="249C3605" w:rsidR="00E850F2" w:rsidRPr="005F67CC" w:rsidRDefault="00000000" w:rsidP="006A6516">
          <w:pPr>
            <w:pStyle w:val="TOC1"/>
            <w:rPr>
              <w:rFonts w:ascii="Arial" w:hAnsi="Arial" w:cs="Arial"/>
            </w:rPr>
          </w:pPr>
          <w:hyperlink w:anchor="_Toc150722490" w:history="1">
            <w:r w:rsidR="00E850F2" w:rsidRPr="005F67CC">
              <w:rPr>
                <w:rStyle w:val="Hyperlink"/>
                <w:rFonts w:ascii="Arial" w:hAnsi="Arial" w:cs="Arial"/>
              </w:rPr>
              <w:t>Introduction</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_Toc150722490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2</w:t>
            </w:r>
            <w:r w:rsidR="00E850F2" w:rsidRPr="005F67CC">
              <w:rPr>
                <w:rFonts w:ascii="Arial" w:hAnsi="Arial" w:cs="Arial"/>
                <w:webHidden/>
              </w:rPr>
              <w:fldChar w:fldCharType="end"/>
            </w:r>
          </w:hyperlink>
        </w:p>
        <w:p w14:paraId="11AB9A83" w14:textId="7C17BA94" w:rsidR="00E850F2" w:rsidRPr="005F67CC" w:rsidRDefault="00000000" w:rsidP="006A6516">
          <w:pPr>
            <w:pStyle w:val="TOC1"/>
            <w:rPr>
              <w:rFonts w:ascii="Arial" w:hAnsi="Arial" w:cs="Arial"/>
            </w:rPr>
          </w:pPr>
          <w:hyperlink w:anchor="_Toc150722491" w:history="1">
            <w:r w:rsidR="00E850F2" w:rsidRPr="005F67CC">
              <w:rPr>
                <w:rStyle w:val="Hyperlink"/>
                <w:rFonts w:ascii="Arial" w:hAnsi="Arial" w:cs="Arial"/>
              </w:rPr>
              <w:t>Scope and objectives</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_Toc150722491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3</w:t>
            </w:r>
            <w:r w:rsidR="00E850F2" w:rsidRPr="005F67CC">
              <w:rPr>
                <w:rFonts w:ascii="Arial" w:hAnsi="Arial" w:cs="Arial"/>
                <w:webHidden/>
              </w:rPr>
              <w:fldChar w:fldCharType="end"/>
            </w:r>
          </w:hyperlink>
        </w:p>
        <w:p w14:paraId="7F533ED2" w14:textId="0D022C18" w:rsidR="00E850F2" w:rsidRPr="005F67CC" w:rsidRDefault="00000000" w:rsidP="006A6516">
          <w:pPr>
            <w:pStyle w:val="TOC1"/>
            <w:rPr>
              <w:rFonts w:ascii="Arial" w:hAnsi="Arial" w:cs="Arial"/>
            </w:rPr>
          </w:pPr>
          <w:hyperlink w:anchor="_Toc150722492" w:history="1">
            <w:r w:rsidR="00E850F2" w:rsidRPr="005F67CC">
              <w:rPr>
                <w:rStyle w:val="Hyperlink"/>
                <w:rFonts w:ascii="Arial" w:hAnsi="Arial" w:cs="Arial"/>
              </w:rPr>
              <w:t>Financial Analysis</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_Toc150722492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4</w:t>
            </w:r>
            <w:r w:rsidR="00E850F2" w:rsidRPr="005F67CC">
              <w:rPr>
                <w:rFonts w:ascii="Arial" w:hAnsi="Arial" w:cs="Arial"/>
                <w:webHidden/>
              </w:rPr>
              <w:fldChar w:fldCharType="end"/>
            </w:r>
          </w:hyperlink>
        </w:p>
        <w:p w14:paraId="379DF713" w14:textId="21DD6906" w:rsidR="00E850F2" w:rsidRPr="005F67CC" w:rsidRDefault="00000000" w:rsidP="00E850F2">
          <w:pPr>
            <w:pStyle w:val="TOC2"/>
            <w:tabs>
              <w:tab w:val="right" w:leader="dot" w:pos="9016"/>
            </w:tabs>
            <w:spacing w:line="240" w:lineRule="auto"/>
            <w:rPr>
              <w:rFonts w:ascii="Arial" w:hAnsi="Arial" w:cs="Arial"/>
              <w:noProof/>
            </w:rPr>
          </w:pPr>
          <w:hyperlink w:anchor="_Toc150722493" w:history="1">
            <w:r w:rsidR="00E850F2" w:rsidRPr="005F67CC">
              <w:rPr>
                <w:rStyle w:val="Hyperlink"/>
                <w:rFonts w:ascii="Arial" w:hAnsi="Arial" w:cs="Arial"/>
                <w:noProof/>
              </w:rPr>
              <w:t>Income Statement Analysis</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_Toc150722493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4</w:t>
            </w:r>
            <w:r w:rsidR="00E850F2" w:rsidRPr="005F67CC">
              <w:rPr>
                <w:rFonts w:ascii="Arial" w:hAnsi="Arial" w:cs="Arial"/>
                <w:noProof/>
                <w:webHidden/>
              </w:rPr>
              <w:fldChar w:fldCharType="end"/>
            </w:r>
          </w:hyperlink>
        </w:p>
        <w:p w14:paraId="421C6640" w14:textId="1240CEFE" w:rsidR="00E850F2" w:rsidRPr="005F67CC" w:rsidRDefault="00000000" w:rsidP="00E850F2">
          <w:pPr>
            <w:pStyle w:val="TOC2"/>
            <w:tabs>
              <w:tab w:val="right" w:leader="dot" w:pos="9016"/>
            </w:tabs>
            <w:spacing w:line="240" w:lineRule="auto"/>
            <w:rPr>
              <w:rFonts w:ascii="Arial" w:hAnsi="Arial" w:cs="Arial"/>
              <w:noProof/>
            </w:rPr>
          </w:pPr>
          <w:hyperlink w:anchor="_Toc150722494" w:history="1">
            <w:r w:rsidR="00E850F2" w:rsidRPr="005F67CC">
              <w:rPr>
                <w:rStyle w:val="Hyperlink"/>
                <w:rFonts w:ascii="Arial" w:hAnsi="Arial" w:cs="Arial"/>
                <w:noProof/>
              </w:rPr>
              <w:t>Balance Sheet Analysis</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_Toc150722494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5</w:t>
            </w:r>
            <w:r w:rsidR="00E850F2" w:rsidRPr="005F67CC">
              <w:rPr>
                <w:rFonts w:ascii="Arial" w:hAnsi="Arial" w:cs="Arial"/>
                <w:noProof/>
                <w:webHidden/>
              </w:rPr>
              <w:fldChar w:fldCharType="end"/>
            </w:r>
          </w:hyperlink>
        </w:p>
        <w:p w14:paraId="568B70A0" w14:textId="650D6717" w:rsidR="00E850F2" w:rsidRPr="005F67CC" w:rsidRDefault="00000000" w:rsidP="00E850F2">
          <w:pPr>
            <w:pStyle w:val="TOC2"/>
            <w:tabs>
              <w:tab w:val="right" w:leader="dot" w:pos="9016"/>
            </w:tabs>
            <w:spacing w:line="240" w:lineRule="auto"/>
            <w:rPr>
              <w:rFonts w:ascii="Arial" w:hAnsi="Arial" w:cs="Arial"/>
              <w:noProof/>
            </w:rPr>
          </w:pPr>
          <w:hyperlink w:anchor="_Toc150722495" w:history="1">
            <w:r w:rsidR="00E850F2" w:rsidRPr="005F67CC">
              <w:rPr>
                <w:rStyle w:val="Hyperlink"/>
                <w:rFonts w:ascii="Arial" w:hAnsi="Arial" w:cs="Arial"/>
                <w:noProof/>
              </w:rPr>
              <w:t>Cashflow statement analysis</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_Toc150722495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5</w:t>
            </w:r>
            <w:r w:rsidR="00E850F2" w:rsidRPr="005F67CC">
              <w:rPr>
                <w:rFonts w:ascii="Arial" w:hAnsi="Arial" w:cs="Arial"/>
                <w:noProof/>
                <w:webHidden/>
              </w:rPr>
              <w:fldChar w:fldCharType="end"/>
            </w:r>
          </w:hyperlink>
        </w:p>
        <w:p w14:paraId="3E6C9FFD" w14:textId="4D4AC9B5" w:rsidR="00E850F2" w:rsidRPr="005F67CC" w:rsidRDefault="00000000" w:rsidP="006A6516">
          <w:pPr>
            <w:pStyle w:val="TOC1"/>
            <w:rPr>
              <w:rFonts w:ascii="Arial" w:hAnsi="Arial" w:cs="Arial"/>
            </w:rPr>
          </w:pPr>
          <w:hyperlink w:anchor="_Toc150722496" w:history="1">
            <w:r w:rsidR="00E850F2" w:rsidRPr="005F67CC">
              <w:rPr>
                <w:rStyle w:val="Hyperlink"/>
                <w:rFonts w:ascii="Arial" w:hAnsi="Arial" w:cs="Arial"/>
              </w:rPr>
              <w:t>Financial Ratio Analysis</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_Toc150722496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6</w:t>
            </w:r>
            <w:r w:rsidR="00E850F2" w:rsidRPr="005F67CC">
              <w:rPr>
                <w:rFonts w:ascii="Arial" w:hAnsi="Arial" w:cs="Arial"/>
                <w:webHidden/>
              </w:rPr>
              <w:fldChar w:fldCharType="end"/>
            </w:r>
          </w:hyperlink>
        </w:p>
        <w:p w14:paraId="68427C08" w14:textId="60005D01" w:rsidR="00E850F2" w:rsidRPr="005F67CC" w:rsidRDefault="00000000" w:rsidP="00E850F2">
          <w:pPr>
            <w:pStyle w:val="TOC2"/>
            <w:tabs>
              <w:tab w:val="right" w:leader="dot" w:pos="9016"/>
            </w:tabs>
            <w:spacing w:line="240" w:lineRule="auto"/>
            <w:rPr>
              <w:rFonts w:ascii="Arial" w:hAnsi="Arial" w:cs="Arial"/>
              <w:noProof/>
            </w:rPr>
          </w:pPr>
          <w:hyperlink w:anchor="_Toc150722497" w:history="1">
            <w:r w:rsidR="00E850F2" w:rsidRPr="005F67CC">
              <w:rPr>
                <w:rStyle w:val="Hyperlink"/>
                <w:rFonts w:ascii="Arial" w:hAnsi="Arial" w:cs="Arial"/>
                <w:noProof/>
              </w:rPr>
              <w:t>Current Ratio</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_Toc150722497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6</w:t>
            </w:r>
            <w:r w:rsidR="00E850F2" w:rsidRPr="005F67CC">
              <w:rPr>
                <w:rFonts w:ascii="Arial" w:hAnsi="Arial" w:cs="Arial"/>
                <w:noProof/>
                <w:webHidden/>
              </w:rPr>
              <w:fldChar w:fldCharType="end"/>
            </w:r>
          </w:hyperlink>
        </w:p>
        <w:p w14:paraId="599D37EA" w14:textId="4FFBAFBF" w:rsidR="00E850F2" w:rsidRPr="005F67CC" w:rsidRDefault="00000000" w:rsidP="00E850F2">
          <w:pPr>
            <w:pStyle w:val="TOC2"/>
            <w:tabs>
              <w:tab w:val="right" w:leader="dot" w:pos="9016"/>
            </w:tabs>
            <w:spacing w:line="240" w:lineRule="auto"/>
            <w:rPr>
              <w:rFonts w:ascii="Arial" w:hAnsi="Arial" w:cs="Arial"/>
              <w:noProof/>
            </w:rPr>
          </w:pPr>
          <w:hyperlink w:anchor="_Toc150722498" w:history="1">
            <w:r w:rsidR="00E850F2" w:rsidRPr="005F67CC">
              <w:rPr>
                <w:rStyle w:val="Hyperlink"/>
                <w:rFonts w:ascii="Arial" w:hAnsi="Arial" w:cs="Arial"/>
                <w:noProof/>
              </w:rPr>
              <w:t>Quick Ratio</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_Toc150722498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6</w:t>
            </w:r>
            <w:r w:rsidR="00E850F2" w:rsidRPr="005F67CC">
              <w:rPr>
                <w:rFonts w:ascii="Arial" w:hAnsi="Arial" w:cs="Arial"/>
                <w:noProof/>
                <w:webHidden/>
              </w:rPr>
              <w:fldChar w:fldCharType="end"/>
            </w:r>
          </w:hyperlink>
        </w:p>
        <w:p w14:paraId="7F76F341" w14:textId="1F209455" w:rsidR="00E850F2" w:rsidRPr="005F67CC" w:rsidRDefault="00000000" w:rsidP="00E850F2">
          <w:pPr>
            <w:pStyle w:val="TOC2"/>
            <w:tabs>
              <w:tab w:val="right" w:leader="dot" w:pos="9016"/>
            </w:tabs>
            <w:spacing w:line="240" w:lineRule="auto"/>
            <w:rPr>
              <w:rFonts w:ascii="Arial" w:hAnsi="Arial" w:cs="Arial"/>
              <w:noProof/>
            </w:rPr>
          </w:pPr>
          <w:hyperlink w:anchor="_Toc150722499" w:history="1">
            <w:r w:rsidR="00E850F2" w:rsidRPr="005F67CC">
              <w:rPr>
                <w:rStyle w:val="Hyperlink"/>
                <w:rFonts w:ascii="Arial" w:hAnsi="Arial" w:cs="Arial"/>
                <w:noProof/>
              </w:rPr>
              <w:t>Debt to Equity Ratio</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_Toc150722499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7</w:t>
            </w:r>
            <w:r w:rsidR="00E850F2" w:rsidRPr="005F67CC">
              <w:rPr>
                <w:rFonts w:ascii="Arial" w:hAnsi="Arial" w:cs="Arial"/>
                <w:noProof/>
                <w:webHidden/>
              </w:rPr>
              <w:fldChar w:fldCharType="end"/>
            </w:r>
          </w:hyperlink>
        </w:p>
        <w:p w14:paraId="115F105C" w14:textId="08B69620" w:rsidR="00E850F2" w:rsidRPr="005F67CC" w:rsidRDefault="00000000" w:rsidP="00E850F2">
          <w:pPr>
            <w:pStyle w:val="TOC2"/>
            <w:tabs>
              <w:tab w:val="right" w:leader="dot" w:pos="9016"/>
            </w:tabs>
            <w:spacing w:line="240" w:lineRule="auto"/>
            <w:rPr>
              <w:rFonts w:ascii="Arial" w:hAnsi="Arial" w:cs="Arial"/>
              <w:noProof/>
            </w:rPr>
          </w:pPr>
          <w:hyperlink w:anchor="_Toc150722500" w:history="1">
            <w:r w:rsidR="00E850F2" w:rsidRPr="005F67CC">
              <w:rPr>
                <w:rStyle w:val="Hyperlink"/>
                <w:rFonts w:ascii="Arial" w:hAnsi="Arial" w:cs="Arial"/>
                <w:noProof/>
              </w:rPr>
              <w:t>Return on Asset</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_Toc150722500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7</w:t>
            </w:r>
            <w:r w:rsidR="00E850F2" w:rsidRPr="005F67CC">
              <w:rPr>
                <w:rFonts w:ascii="Arial" w:hAnsi="Arial" w:cs="Arial"/>
                <w:noProof/>
                <w:webHidden/>
              </w:rPr>
              <w:fldChar w:fldCharType="end"/>
            </w:r>
          </w:hyperlink>
        </w:p>
        <w:p w14:paraId="070343C3" w14:textId="0739112F" w:rsidR="00E850F2" w:rsidRPr="005F67CC" w:rsidRDefault="00000000" w:rsidP="00E850F2">
          <w:pPr>
            <w:pStyle w:val="TOC2"/>
            <w:tabs>
              <w:tab w:val="right" w:leader="dot" w:pos="9016"/>
            </w:tabs>
            <w:spacing w:line="240" w:lineRule="auto"/>
            <w:rPr>
              <w:rFonts w:ascii="Arial" w:hAnsi="Arial" w:cs="Arial"/>
              <w:noProof/>
            </w:rPr>
          </w:pPr>
          <w:hyperlink w:anchor="_Toc150722501" w:history="1">
            <w:r w:rsidR="00E850F2" w:rsidRPr="005F67CC">
              <w:rPr>
                <w:rStyle w:val="Hyperlink"/>
                <w:rFonts w:ascii="Arial" w:hAnsi="Arial" w:cs="Arial"/>
                <w:noProof/>
              </w:rPr>
              <w:t>Return on Equity</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_Toc150722501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7</w:t>
            </w:r>
            <w:r w:rsidR="00E850F2" w:rsidRPr="005F67CC">
              <w:rPr>
                <w:rFonts w:ascii="Arial" w:hAnsi="Arial" w:cs="Arial"/>
                <w:noProof/>
                <w:webHidden/>
              </w:rPr>
              <w:fldChar w:fldCharType="end"/>
            </w:r>
          </w:hyperlink>
        </w:p>
        <w:p w14:paraId="234B3502" w14:textId="281F2B31" w:rsidR="00E850F2" w:rsidRPr="005F67CC" w:rsidRDefault="00000000" w:rsidP="00E850F2">
          <w:pPr>
            <w:pStyle w:val="TOC2"/>
            <w:tabs>
              <w:tab w:val="right" w:leader="dot" w:pos="9016"/>
            </w:tabs>
            <w:spacing w:line="240" w:lineRule="auto"/>
            <w:rPr>
              <w:rFonts w:ascii="Arial" w:hAnsi="Arial" w:cs="Arial"/>
              <w:noProof/>
            </w:rPr>
          </w:pPr>
          <w:hyperlink w:anchor="_Toc150722502" w:history="1">
            <w:r w:rsidR="00E850F2" w:rsidRPr="005F67CC">
              <w:rPr>
                <w:rStyle w:val="Hyperlink"/>
                <w:rFonts w:ascii="Arial" w:hAnsi="Arial" w:cs="Arial"/>
                <w:noProof/>
              </w:rPr>
              <w:t>Average Room Rate</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_Toc150722502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8</w:t>
            </w:r>
            <w:r w:rsidR="00E850F2" w:rsidRPr="005F67CC">
              <w:rPr>
                <w:rFonts w:ascii="Arial" w:hAnsi="Arial" w:cs="Arial"/>
                <w:noProof/>
                <w:webHidden/>
              </w:rPr>
              <w:fldChar w:fldCharType="end"/>
            </w:r>
          </w:hyperlink>
        </w:p>
        <w:p w14:paraId="173D44CD" w14:textId="256C0A1C" w:rsidR="00E850F2" w:rsidRPr="005F67CC" w:rsidRDefault="00000000" w:rsidP="00E850F2">
          <w:pPr>
            <w:pStyle w:val="TOC2"/>
            <w:tabs>
              <w:tab w:val="right" w:leader="dot" w:pos="9016"/>
            </w:tabs>
            <w:spacing w:line="240" w:lineRule="auto"/>
            <w:rPr>
              <w:rFonts w:ascii="Arial" w:hAnsi="Arial" w:cs="Arial"/>
              <w:noProof/>
            </w:rPr>
          </w:pPr>
          <w:hyperlink w:anchor="_Toc150722503" w:history="1">
            <w:r w:rsidR="00E850F2" w:rsidRPr="005F67CC">
              <w:rPr>
                <w:rStyle w:val="Hyperlink"/>
                <w:rFonts w:ascii="Arial" w:hAnsi="Arial" w:cs="Arial"/>
                <w:noProof/>
              </w:rPr>
              <w:t>Occupancy Rate</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_Toc150722503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8</w:t>
            </w:r>
            <w:r w:rsidR="00E850F2" w:rsidRPr="005F67CC">
              <w:rPr>
                <w:rFonts w:ascii="Arial" w:hAnsi="Arial" w:cs="Arial"/>
                <w:noProof/>
                <w:webHidden/>
              </w:rPr>
              <w:fldChar w:fldCharType="end"/>
            </w:r>
          </w:hyperlink>
        </w:p>
        <w:p w14:paraId="2485335B" w14:textId="33FE8277" w:rsidR="00E850F2" w:rsidRPr="005F67CC" w:rsidRDefault="00000000" w:rsidP="006A6516">
          <w:pPr>
            <w:pStyle w:val="TOC1"/>
            <w:rPr>
              <w:rFonts w:ascii="Arial" w:hAnsi="Arial" w:cs="Arial"/>
            </w:rPr>
          </w:pPr>
          <w:hyperlink w:anchor="_Toc150722504" w:history="1">
            <w:r w:rsidR="00E850F2" w:rsidRPr="005F67CC">
              <w:rPr>
                <w:rStyle w:val="Hyperlink"/>
                <w:rFonts w:ascii="Arial" w:hAnsi="Arial" w:cs="Arial"/>
              </w:rPr>
              <w:t>SWOT Analysis of Seaview Resort</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_Toc150722504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9</w:t>
            </w:r>
            <w:r w:rsidR="00E850F2" w:rsidRPr="005F67CC">
              <w:rPr>
                <w:rFonts w:ascii="Arial" w:hAnsi="Arial" w:cs="Arial"/>
                <w:webHidden/>
              </w:rPr>
              <w:fldChar w:fldCharType="end"/>
            </w:r>
          </w:hyperlink>
        </w:p>
        <w:p w14:paraId="250FFD75" w14:textId="6C5F8AC3" w:rsidR="00E850F2" w:rsidRPr="005F67CC" w:rsidRDefault="00000000" w:rsidP="006A6516">
          <w:pPr>
            <w:pStyle w:val="TOC1"/>
            <w:rPr>
              <w:rFonts w:ascii="Arial" w:hAnsi="Arial" w:cs="Arial"/>
            </w:rPr>
          </w:pPr>
          <w:hyperlink w:anchor="_Toc150722505" w:history="1">
            <w:r w:rsidR="00E850F2" w:rsidRPr="005F67CC">
              <w:rPr>
                <w:rStyle w:val="Hyperlink"/>
                <w:rFonts w:ascii="Arial" w:hAnsi="Arial" w:cs="Arial"/>
              </w:rPr>
              <w:t>Turnaround Strategy</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_Toc150722505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9</w:t>
            </w:r>
            <w:r w:rsidR="00E850F2" w:rsidRPr="005F67CC">
              <w:rPr>
                <w:rFonts w:ascii="Arial" w:hAnsi="Arial" w:cs="Arial"/>
                <w:webHidden/>
              </w:rPr>
              <w:fldChar w:fldCharType="end"/>
            </w:r>
          </w:hyperlink>
        </w:p>
        <w:p w14:paraId="717B2B59" w14:textId="7BBE1AD4" w:rsidR="00E850F2" w:rsidRPr="005F67CC" w:rsidRDefault="00000000" w:rsidP="00E850F2">
          <w:pPr>
            <w:pStyle w:val="TOC2"/>
            <w:tabs>
              <w:tab w:val="right" w:leader="dot" w:pos="9016"/>
            </w:tabs>
            <w:spacing w:line="240" w:lineRule="auto"/>
            <w:rPr>
              <w:rFonts w:ascii="Arial" w:hAnsi="Arial" w:cs="Arial"/>
              <w:noProof/>
            </w:rPr>
          </w:pPr>
          <w:hyperlink w:anchor="_Toc150722506" w:history="1">
            <w:r w:rsidR="00E850F2" w:rsidRPr="005F67CC">
              <w:rPr>
                <w:rStyle w:val="Hyperlink"/>
                <w:rFonts w:ascii="Arial" w:hAnsi="Arial" w:cs="Arial"/>
                <w:noProof/>
              </w:rPr>
              <w:t>Offer discount and incorporation of customer loyalty program</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_Toc150722506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9</w:t>
            </w:r>
            <w:r w:rsidR="00E850F2" w:rsidRPr="005F67CC">
              <w:rPr>
                <w:rFonts w:ascii="Arial" w:hAnsi="Arial" w:cs="Arial"/>
                <w:noProof/>
                <w:webHidden/>
              </w:rPr>
              <w:fldChar w:fldCharType="end"/>
            </w:r>
          </w:hyperlink>
        </w:p>
        <w:p w14:paraId="1D3AD7DD" w14:textId="0008EAEE" w:rsidR="00E850F2" w:rsidRPr="005F67CC" w:rsidRDefault="00000000" w:rsidP="00E850F2">
          <w:pPr>
            <w:pStyle w:val="TOC2"/>
            <w:tabs>
              <w:tab w:val="right" w:leader="dot" w:pos="9016"/>
            </w:tabs>
            <w:spacing w:line="240" w:lineRule="auto"/>
            <w:rPr>
              <w:rFonts w:ascii="Arial" w:hAnsi="Arial" w:cs="Arial"/>
              <w:noProof/>
            </w:rPr>
          </w:pPr>
          <w:hyperlink w:anchor="_Toc150722507" w:history="1">
            <w:r w:rsidR="00E850F2" w:rsidRPr="005F67CC">
              <w:rPr>
                <w:rStyle w:val="Hyperlink"/>
                <w:rFonts w:ascii="Arial" w:hAnsi="Arial" w:cs="Arial"/>
                <w:noProof/>
              </w:rPr>
              <w:t>Reduction of operating cost</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_Toc150722507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10</w:t>
            </w:r>
            <w:r w:rsidR="00E850F2" w:rsidRPr="005F67CC">
              <w:rPr>
                <w:rFonts w:ascii="Arial" w:hAnsi="Arial" w:cs="Arial"/>
                <w:noProof/>
                <w:webHidden/>
              </w:rPr>
              <w:fldChar w:fldCharType="end"/>
            </w:r>
          </w:hyperlink>
        </w:p>
        <w:p w14:paraId="75780DBA" w14:textId="2A21A292" w:rsidR="00E850F2" w:rsidRPr="005F67CC" w:rsidRDefault="00000000" w:rsidP="00E850F2">
          <w:pPr>
            <w:pStyle w:val="TOC2"/>
            <w:tabs>
              <w:tab w:val="right" w:leader="dot" w:pos="9016"/>
            </w:tabs>
            <w:spacing w:line="240" w:lineRule="auto"/>
            <w:rPr>
              <w:rFonts w:ascii="Arial" w:hAnsi="Arial" w:cs="Arial"/>
              <w:noProof/>
            </w:rPr>
          </w:pPr>
          <w:hyperlink w:anchor="_Toc150722508" w:history="1">
            <w:r w:rsidR="00E850F2" w:rsidRPr="005F67CC">
              <w:rPr>
                <w:rStyle w:val="Hyperlink"/>
                <w:rFonts w:ascii="Arial" w:hAnsi="Arial" w:cs="Arial"/>
                <w:noProof/>
              </w:rPr>
              <w:t>Installation of updated amenities</w:t>
            </w:r>
            <w:r w:rsidR="00E850F2" w:rsidRPr="005F67CC">
              <w:rPr>
                <w:rFonts w:ascii="Arial" w:hAnsi="Arial" w:cs="Arial"/>
                <w:noProof/>
                <w:webHidden/>
              </w:rPr>
              <w:tab/>
            </w:r>
            <w:r w:rsidR="00E850F2" w:rsidRPr="005F67CC">
              <w:rPr>
                <w:rFonts w:ascii="Arial" w:hAnsi="Arial" w:cs="Arial"/>
                <w:noProof/>
                <w:webHidden/>
              </w:rPr>
              <w:fldChar w:fldCharType="begin"/>
            </w:r>
            <w:r w:rsidR="00E850F2" w:rsidRPr="005F67CC">
              <w:rPr>
                <w:rFonts w:ascii="Arial" w:hAnsi="Arial" w:cs="Arial"/>
                <w:noProof/>
                <w:webHidden/>
              </w:rPr>
              <w:instrText xml:space="preserve"> PAGEREF _Toc150722508 \h </w:instrText>
            </w:r>
            <w:r w:rsidR="00E850F2" w:rsidRPr="005F67CC">
              <w:rPr>
                <w:rFonts w:ascii="Arial" w:hAnsi="Arial" w:cs="Arial"/>
                <w:noProof/>
                <w:webHidden/>
              </w:rPr>
            </w:r>
            <w:r w:rsidR="00E850F2" w:rsidRPr="005F67CC">
              <w:rPr>
                <w:rFonts w:ascii="Arial" w:hAnsi="Arial" w:cs="Arial"/>
                <w:noProof/>
                <w:webHidden/>
              </w:rPr>
              <w:fldChar w:fldCharType="separate"/>
            </w:r>
            <w:r w:rsidR="00E850F2" w:rsidRPr="005F67CC">
              <w:rPr>
                <w:rFonts w:ascii="Arial" w:hAnsi="Arial" w:cs="Arial"/>
                <w:noProof/>
                <w:webHidden/>
              </w:rPr>
              <w:t>10</w:t>
            </w:r>
            <w:r w:rsidR="00E850F2" w:rsidRPr="005F67CC">
              <w:rPr>
                <w:rFonts w:ascii="Arial" w:hAnsi="Arial" w:cs="Arial"/>
                <w:noProof/>
                <w:webHidden/>
              </w:rPr>
              <w:fldChar w:fldCharType="end"/>
            </w:r>
          </w:hyperlink>
        </w:p>
        <w:p w14:paraId="19B38D9C" w14:textId="215B8090" w:rsidR="00E850F2" w:rsidRPr="005F67CC" w:rsidRDefault="00000000" w:rsidP="006A6516">
          <w:pPr>
            <w:pStyle w:val="TOC1"/>
            <w:rPr>
              <w:rFonts w:ascii="Arial" w:hAnsi="Arial" w:cs="Arial"/>
            </w:rPr>
          </w:pPr>
          <w:hyperlink w:anchor="_Toc150722509" w:history="1">
            <w:r w:rsidR="00E850F2" w:rsidRPr="005F67CC">
              <w:rPr>
                <w:rStyle w:val="Hyperlink"/>
                <w:rFonts w:ascii="Arial" w:hAnsi="Arial" w:cs="Arial"/>
              </w:rPr>
              <w:t>Financial Projection for the year 2023 to 2026</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_Toc150722509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10</w:t>
            </w:r>
            <w:r w:rsidR="00E850F2" w:rsidRPr="005F67CC">
              <w:rPr>
                <w:rFonts w:ascii="Arial" w:hAnsi="Arial" w:cs="Arial"/>
                <w:webHidden/>
              </w:rPr>
              <w:fldChar w:fldCharType="end"/>
            </w:r>
          </w:hyperlink>
        </w:p>
        <w:p w14:paraId="184C6906" w14:textId="773E4092" w:rsidR="00E850F2" w:rsidRPr="005F67CC" w:rsidRDefault="00000000" w:rsidP="006A6516">
          <w:pPr>
            <w:pStyle w:val="TOC1"/>
            <w:rPr>
              <w:rFonts w:ascii="Arial" w:hAnsi="Arial" w:cs="Arial"/>
            </w:rPr>
          </w:pPr>
          <w:hyperlink w:anchor="_Toc150722510" w:history="1">
            <w:r w:rsidR="00E850F2" w:rsidRPr="005F67CC">
              <w:rPr>
                <w:rStyle w:val="Hyperlink"/>
                <w:rFonts w:ascii="Arial" w:hAnsi="Arial" w:cs="Arial"/>
              </w:rPr>
              <w:t>Recommendations and Conclusion</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_Toc150722510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11</w:t>
            </w:r>
            <w:r w:rsidR="00E850F2" w:rsidRPr="005F67CC">
              <w:rPr>
                <w:rFonts w:ascii="Arial" w:hAnsi="Arial" w:cs="Arial"/>
                <w:webHidden/>
              </w:rPr>
              <w:fldChar w:fldCharType="end"/>
            </w:r>
          </w:hyperlink>
        </w:p>
        <w:p w14:paraId="4665CC5E" w14:textId="309DD7A5" w:rsidR="00E850F2" w:rsidRPr="005F67CC" w:rsidRDefault="00000000" w:rsidP="006A6516">
          <w:pPr>
            <w:pStyle w:val="TOC1"/>
            <w:rPr>
              <w:rFonts w:ascii="Arial" w:hAnsi="Arial" w:cs="Arial"/>
            </w:rPr>
          </w:pPr>
          <w:hyperlink w:anchor="_Toc150722511" w:history="1">
            <w:r w:rsidR="00E850F2" w:rsidRPr="005F67CC">
              <w:rPr>
                <w:rStyle w:val="Hyperlink"/>
                <w:rFonts w:ascii="Arial" w:hAnsi="Arial" w:cs="Arial"/>
              </w:rPr>
              <w:t>Reference</w:t>
            </w:r>
            <w:r w:rsidR="00BE37C1" w:rsidRPr="005F67CC">
              <w:rPr>
                <w:rStyle w:val="Hyperlink"/>
                <w:rFonts w:ascii="Arial" w:hAnsi="Arial" w:cs="Arial"/>
              </w:rPr>
              <w:t>s</w:t>
            </w:r>
            <w:r w:rsidR="00E850F2" w:rsidRPr="005F67CC">
              <w:rPr>
                <w:rFonts w:ascii="Arial" w:hAnsi="Arial" w:cs="Arial"/>
                <w:webHidden/>
              </w:rPr>
              <w:tab/>
            </w:r>
            <w:r w:rsidR="00E850F2" w:rsidRPr="005F67CC">
              <w:rPr>
                <w:rFonts w:ascii="Arial" w:hAnsi="Arial" w:cs="Arial"/>
                <w:webHidden/>
              </w:rPr>
              <w:fldChar w:fldCharType="begin"/>
            </w:r>
            <w:r w:rsidR="00E850F2" w:rsidRPr="005F67CC">
              <w:rPr>
                <w:rFonts w:ascii="Arial" w:hAnsi="Arial" w:cs="Arial"/>
                <w:webHidden/>
              </w:rPr>
              <w:instrText xml:space="preserve"> PAGEREF _Toc150722511 \h </w:instrText>
            </w:r>
            <w:r w:rsidR="00E850F2" w:rsidRPr="005F67CC">
              <w:rPr>
                <w:rFonts w:ascii="Arial" w:hAnsi="Arial" w:cs="Arial"/>
                <w:webHidden/>
              </w:rPr>
            </w:r>
            <w:r w:rsidR="00E850F2" w:rsidRPr="005F67CC">
              <w:rPr>
                <w:rFonts w:ascii="Arial" w:hAnsi="Arial" w:cs="Arial"/>
                <w:webHidden/>
              </w:rPr>
              <w:fldChar w:fldCharType="separate"/>
            </w:r>
            <w:r w:rsidR="00E850F2" w:rsidRPr="005F67CC">
              <w:rPr>
                <w:rFonts w:ascii="Arial" w:hAnsi="Arial" w:cs="Arial"/>
                <w:webHidden/>
              </w:rPr>
              <w:t>12</w:t>
            </w:r>
            <w:r w:rsidR="00E850F2" w:rsidRPr="005F67CC">
              <w:rPr>
                <w:rFonts w:ascii="Arial" w:hAnsi="Arial" w:cs="Arial"/>
                <w:webHidden/>
              </w:rPr>
              <w:fldChar w:fldCharType="end"/>
            </w:r>
          </w:hyperlink>
        </w:p>
        <w:p w14:paraId="1AE3F5DF" w14:textId="7DE82602" w:rsidR="00E850F2" w:rsidRPr="005F67CC" w:rsidRDefault="00E850F2">
          <w:pPr>
            <w:rPr>
              <w:rFonts w:ascii="Arial" w:hAnsi="Arial" w:cs="Arial"/>
            </w:rPr>
          </w:pPr>
          <w:r w:rsidRPr="005F67CC">
            <w:rPr>
              <w:rFonts w:ascii="Arial" w:hAnsi="Arial" w:cs="Arial"/>
              <w:b/>
              <w:bCs/>
              <w:noProof/>
            </w:rPr>
            <w:fldChar w:fldCharType="end"/>
          </w:r>
        </w:p>
      </w:sdtContent>
    </w:sdt>
    <w:p w14:paraId="59A79D0A" w14:textId="77777777" w:rsidR="006A6516" w:rsidRPr="005F67CC" w:rsidRDefault="006A6516">
      <w:pPr>
        <w:spacing w:line="259" w:lineRule="auto"/>
        <w:jc w:val="left"/>
        <w:rPr>
          <w:rFonts w:ascii="Arial" w:eastAsiaTheme="majorEastAsia" w:hAnsi="Arial" w:cs="Arial"/>
          <w:b/>
          <w:color w:val="2F5496" w:themeColor="accent1" w:themeShade="BF"/>
          <w:sz w:val="28"/>
          <w:szCs w:val="32"/>
        </w:rPr>
      </w:pPr>
      <w:bookmarkStart w:id="0" w:name="_Toc150722489"/>
      <w:r w:rsidRPr="005F67CC">
        <w:rPr>
          <w:rFonts w:ascii="Arial" w:hAnsi="Arial" w:cs="Arial"/>
        </w:rPr>
        <w:br w:type="page"/>
      </w:r>
    </w:p>
    <w:p w14:paraId="32CD9335" w14:textId="44966B85" w:rsidR="00F10357" w:rsidRDefault="00F10357" w:rsidP="005A493D">
      <w:pPr>
        <w:pStyle w:val="Heading1"/>
      </w:pPr>
      <w:r>
        <w:lastRenderedPageBreak/>
        <w:t>Executive Summary</w:t>
      </w:r>
      <w:bookmarkEnd w:id="0"/>
    </w:p>
    <w:p w14:paraId="22AEBA84" w14:textId="625B7411" w:rsidR="00F10357" w:rsidRPr="005C2F2C" w:rsidRDefault="00F10357" w:rsidP="0084513C">
      <w:pPr>
        <w:rPr>
          <w:rFonts w:ascii="Arial" w:hAnsi="Arial" w:cs="Arial"/>
        </w:rPr>
      </w:pPr>
      <w:r w:rsidRPr="005C2F2C">
        <w:rPr>
          <w:rFonts w:ascii="Arial" w:hAnsi="Arial" w:cs="Arial"/>
        </w:rPr>
        <w:t xml:space="preserve">This business report has been prepared to assess whether business and financial condition of Seaview Resort is viable. First of all, the challenge and reasons for reduction of revenue and profit of Seaview Resort has been identified. Based on the problem and </w:t>
      </w:r>
      <w:r w:rsidR="00085010" w:rsidRPr="005C2F2C">
        <w:rPr>
          <w:rFonts w:ascii="Arial" w:hAnsi="Arial" w:cs="Arial"/>
        </w:rPr>
        <w:t>research question, the scope and objective of research has been identified. Under the part of financial analysis, income statement analysis, balance sheet analysis, cashflow statement analysis, and financial ratio analysis has been performed. A</w:t>
      </w:r>
      <w:r w:rsidR="0048613A" w:rsidRPr="005C2F2C">
        <w:rPr>
          <w:rFonts w:ascii="Arial" w:hAnsi="Arial" w:cs="Arial"/>
        </w:rPr>
        <w:t xml:space="preserve"> </w:t>
      </w:r>
      <w:r w:rsidR="00085010" w:rsidRPr="005C2F2C">
        <w:rPr>
          <w:rFonts w:ascii="Arial" w:hAnsi="Arial" w:cs="Arial"/>
        </w:rPr>
        <w:t>SWOT analysis has been performed and</w:t>
      </w:r>
      <w:r w:rsidR="0048613A" w:rsidRPr="005C2F2C">
        <w:rPr>
          <w:rFonts w:ascii="Arial" w:hAnsi="Arial" w:cs="Arial"/>
        </w:rPr>
        <w:t xml:space="preserve"> a</w:t>
      </w:r>
      <w:r w:rsidR="00085010" w:rsidRPr="005C2F2C">
        <w:rPr>
          <w:rFonts w:ascii="Arial" w:hAnsi="Arial" w:cs="Arial"/>
        </w:rPr>
        <w:t xml:space="preserve"> turnaround strategy has been set based on results of SWOT analysis</w:t>
      </w:r>
      <w:r w:rsidR="00E850F2" w:rsidRPr="005C2F2C">
        <w:rPr>
          <w:rFonts w:ascii="Arial" w:hAnsi="Arial" w:cs="Arial"/>
        </w:rPr>
        <w:t xml:space="preserve"> (Brenner &amp; Dascher, 2015)</w:t>
      </w:r>
      <w:r w:rsidR="00085010" w:rsidRPr="005C2F2C">
        <w:rPr>
          <w:rFonts w:ascii="Arial" w:hAnsi="Arial" w:cs="Arial"/>
        </w:rPr>
        <w:t xml:space="preserve">. </w:t>
      </w:r>
      <w:r w:rsidRPr="005C2F2C">
        <w:rPr>
          <w:rFonts w:ascii="Arial" w:hAnsi="Arial" w:cs="Arial"/>
        </w:rPr>
        <w:t xml:space="preserve">  </w:t>
      </w:r>
    </w:p>
    <w:p w14:paraId="5A907858" w14:textId="77777777" w:rsidR="00F10357" w:rsidRDefault="00F10357" w:rsidP="005A493D">
      <w:pPr>
        <w:pStyle w:val="Heading1"/>
      </w:pPr>
    </w:p>
    <w:p w14:paraId="1C22DDB4" w14:textId="5ACD014D" w:rsidR="00085010" w:rsidRDefault="00085010">
      <w:pPr>
        <w:spacing w:line="259" w:lineRule="auto"/>
        <w:jc w:val="left"/>
        <w:rPr>
          <w:rFonts w:eastAsiaTheme="majorEastAsia" w:cstheme="majorBidi"/>
          <w:b/>
          <w:color w:val="2F5496" w:themeColor="accent1" w:themeShade="BF"/>
          <w:sz w:val="28"/>
          <w:szCs w:val="32"/>
        </w:rPr>
      </w:pPr>
      <w:r>
        <w:br w:type="page"/>
      </w:r>
    </w:p>
    <w:p w14:paraId="79231519" w14:textId="73659C1C" w:rsidR="002B6FC5" w:rsidRDefault="005A493D" w:rsidP="005A493D">
      <w:pPr>
        <w:pStyle w:val="Heading1"/>
      </w:pPr>
      <w:bookmarkStart w:id="1" w:name="_Toc150722490"/>
      <w:r>
        <w:lastRenderedPageBreak/>
        <w:t>Introduction</w:t>
      </w:r>
      <w:bookmarkEnd w:id="1"/>
    </w:p>
    <w:p w14:paraId="3ABE014E" w14:textId="70C5D6BB" w:rsidR="009E3095" w:rsidRPr="005C2F2C" w:rsidRDefault="005A493D" w:rsidP="005C2F2C">
      <w:pPr>
        <w:rPr>
          <w:rFonts w:ascii="Arial" w:hAnsi="Arial" w:cs="Arial"/>
        </w:rPr>
      </w:pPr>
      <w:r w:rsidRPr="005C2F2C">
        <w:rPr>
          <w:rFonts w:ascii="Arial" w:hAnsi="Arial" w:cs="Arial"/>
        </w:rPr>
        <w:t xml:space="preserve">Seaview Resort is one of the best luxurious </w:t>
      </w:r>
      <w:r w:rsidR="00683360" w:rsidRPr="005C2F2C">
        <w:rPr>
          <w:rFonts w:ascii="Arial" w:hAnsi="Arial" w:cs="Arial"/>
        </w:rPr>
        <w:t>hotels</w:t>
      </w:r>
      <w:r w:rsidRPr="005C2F2C">
        <w:rPr>
          <w:rFonts w:ascii="Arial" w:hAnsi="Arial" w:cs="Arial"/>
        </w:rPr>
        <w:t xml:space="preserve"> which was situated in the lucrative coastal area</w:t>
      </w:r>
      <w:r w:rsidR="00E850F2" w:rsidRPr="005C2F2C">
        <w:rPr>
          <w:rFonts w:ascii="Arial" w:hAnsi="Arial" w:cs="Arial"/>
        </w:rPr>
        <w:t xml:space="preserve"> (Collis, 2016)</w:t>
      </w:r>
      <w:r w:rsidRPr="005C2F2C">
        <w:rPr>
          <w:rFonts w:ascii="Arial" w:hAnsi="Arial" w:cs="Arial"/>
        </w:rPr>
        <w:t>. Seaview Resort offers</w:t>
      </w:r>
      <w:r w:rsidR="00683360" w:rsidRPr="005C2F2C">
        <w:rPr>
          <w:rFonts w:ascii="Arial" w:hAnsi="Arial" w:cs="Arial"/>
        </w:rPr>
        <w:t xml:space="preserve"> restaurant service, suit service, bar facilities, and event facilities to its customers. </w:t>
      </w:r>
      <w:r w:rsidRPr="005C2F2C">
        <w:rPr>
          <w:rFonts w:ascii="Arial" w:hAnsi="Arial" w:cs="Arial"/>
        </w:rPr>
        <w:t>The coastal area where Seaview Resort is situated is very popular to visitors, travelers, and tourists.</w:t>
      </w:r>
      <w:r w:rsidR="00683360" w:rsidRPr="005C2F2C">
        <w:rPr>
          <w:rFonts w:ascii="Arial" w:hAnsi="Arial" w:cs="Arial"/>
        </w:rPr>
        <w:t xml:space="preserve"> Recently, it is observed that the revenue and profitability of Seaview Resort has been declined significantly along with reduction of occupancy rate and customer satisfaction rate</w:t>
      </w:r>
      <w:r w:rsidR="00E850F2" w:rsidRPr="005C2F2C">
        <w:rPr>
          <w:rFonts w:ascii="Arial" w:hAnsi="Arial" w:cs="Arial"/>
        </w:rPr>
        <w:t xml:space="preserve"> (Diamond et al., 2020)</w:t>
      </w:r>
      <w:r w:rsidR="00683360" w:rsidRPr="005C2F2C">
        <w:rPr>
          <w:rFonts w:ascii="Arial" w:hAnsi="Arial" w:cs="Arial"/>
        </w:rPr>
        <w:t>. From the income statement of Seaview Resort, it is observed that the revenue is following the decreasing trend and decreased to £4,30,000 in the year 2022 from £5,20,000 in the year 2020. As revenue of Seaview Resort follows the decreasing trend of revenue, the net profit of Seaview Resort  has also decreased and subsequently faced net loss. Initially, the management of Seaview Resort identified that</w:t>
      </w:r>
      <w:r w:rsidR="009E3095" w:rsidRPr="005C2F2C">
        <w:rPr>
          <w:rFonts w:ascii="Arial" w:hAnsi="Arial" w:cs="Arial"/>
        </w:rPr>
        <w:t xml:space="preserve"> revenue and net profit has decreased due to lower customer satisfaction and shifting of customer behaviors.</w:t>
      </w:r>
    </w:p>
    <w:p w14:paraId="5D14F853" w14:textId="77777777" w:rsidR="009E3095" w:rsidRPr="005C2F2C" w:rsidRDefault="009E3095" w:rsidP="005C2F2C">
      <w:pPr>
        <w:jc w:val="left"/>
        <w:rPr>
          <w:rFonts w:ascii="Arial" w:hAnsi="Arial" w:cs="Arial"/>
        </w:rPr>
      </w:pPr>
      <w:r w:rsidRPr="005C2F2C">
        <w:rPr>
          <w:rFonts w:ascii="Arial" w:hAnsi="Arial" w:cs="Arial"/>
        </w:rPr>
        <w:br w:type="page"/>
      </w:r>
    </w:p>
    <w:p w14:paraId="0291A8E5" w14:textId="3E34B218" w:rsidR="009E3095" w:rsidRDefault="009E3095" w:rsidP="00F55A10">
      <w:pPr>
        <w:pStyle w:val="Heading1"/>
      </w:pPr>
      <w:bookmarkStart w:id="2" w:name="_Toc150722491"/>
      <w:r>
        <w:lastRenderedPageBreak/>
        <w:t>Scope and objectives</w:t>
      </w:r>
      <w:bookmarkEnd w:id="2"/>
    </w:p>
    <w:p w14:paraId="3E4CC2A6" w14:textId="72FA0F43" w:rsidR="009E3095" w:rsidRPr="0084513C" w:rsidRDefault="009E3095" w:rsidP="0084513C">
      <w:pPr>
        <w:rPr>
          <w:rFonts w:ascii="Arial" w:hAnsi="Arial" w:cs="Arial"/>
        </w:rPr>
      </w:pPr>
      <w:r w:rsidRPr="0084513C">
        <w:rPr>
          <w:rFonts w:ascii="Arial" w:hAnsi="Arial" w:cs="Arial"/>
        </w:rPr>
        <w:t xml:space="preserve">This research report has been </w:t>
      </w:r>
      <w:proofErr w:type="spellStart"/>
      <w:r w:rsidRPr="0084513C">
        <w:rPr>
          <w:rFonts w:ascii="Arial" w:hAnsi="Arial" w:cs="Arial"/>
        </w:rPr>
        <w:t>analy</w:t>
      </w:r>
      <w:r w:rsidR="00855125">
        <w:rPr>
          <w:rFonts w:ascii="Arial" w:hAnsi="Arial" w:cs="Arial"/>
        </w:rPr>
        <w:t>s</w:t>
      </w:r>
      <w:r w:rsidRPr="0084513C">
        <w:rPr>
          <w:rFonts w:ascii="Arial" w:hAnsi="Arial" w:cs="Arial"/>
        </w:rPr>
        <w:t>ed</w:t>
      </w:r>
      <w:proofErr w:type="spellEnd"/>
      <w:r w:rsidRPr="0084513C">
        <w:rPr>
          <w:rFonts w:ascii="Arial" w:hAnsi="Arial" w:cs="Arial"/>
        </w:rPr>
        <w:t xml:space="preserve"> to achieve</w:t>
      </w:r>
      <w:r w:rsidR="00855125">
        <w:rPr>
          <w:rFonts w:ascii="Arial" w:hAnsi="Arial" w:cs="Arial"/>
        </w:rPr>
        <w:t xml:space="preserve"> the</w:t>
      </w:r>
      <w:r w:rsidRPr="0084513C">
        <w:rPr>
          <w:rFonts w:ascii="Arial" w:hAnsi="Arial" w:cs="Arial"/>
        </w:rPr>
        <w:t xml:space="preserve"> following objectives: </w:t>
      </w:r>
    </w:p>
    <w:p w14:paraId="5ACE494B" w14:textId="424AE21B" w:rsidR="009E3095" w:rsidRPr="0084513C" w:rsidRDefault="009E3095" w:rsidP="0084513C">
      <w:pPr>
        <w:pStyle w:val="ListParagraph"/>
        <w:numPr>
          <w:ilvl w:val="0"/>
          <w:numId w:val="1"/>
        </w:numPr>
        <w:rPr>
          <w:rFonts w:ascii="Arial" w:hAnsi="Arial" w:cs="Arial"/>
        </w:rPr>
      </w:pPr>
      <w:r w:rsidRPr="0084513C">
        <w:rPr>
          <w:rFonts w:ascii="Arial" w:hAnsi="Arial" w:cs="Arial"/>
        </w:rPr>
        <w:t>to assess whether the business of Seaview Resort is financially viable;</w:t>
      </w:r>
    </w:p>
    <w:p w14:paraId="4DD0EB31" w14:textId="5897B484" w:rsidR="009E3095" w:rsidRPr="0084513C" w:rsidRDefault="009E3095" w:rsidP="0084513C">
      <w:pPr>
        <w:pStyle w:val="ListParagraph"/>
        <w:numPr>
          <w:ilvl w:val="0"/>
          <w:numId w:val="1"/>
        </w:numPr>
        <w:rPr>
          <w:rFonts w:ascii="Arial" w:hAnsi="Arial" w:cs="Arial"/>
        </w:rPr>
      </w:pPr>
      <w:r w:rsidRPr="0084513C">
        <w:rPr>
          <w:rFonts w:ascii="Arial" w:hAnsi="Arial" w:cs="Arial"/>
        </w:rPr>
        <w:t>to identify the reasons for decreasing of revenue and profit; and</w:t>
      </w:r>
    </w:p>
    <w:p w14:paraId="67D3D4C8" w14:textId="751AD123" w:rsidR="009E3095" w:rsidRPr="0084513C" w:rsidRDefault="009E3095" w:rsidP="0084513C">
      <w:pPr>
        <w:pStyle w:val="ListParagraph"/>
        <w:numPr>
          <w:ilvl w:val="0"/>
          <w:numId w:val="1"/>
        </w:numPr>
        <w:rPr>
          <w:rFonts w:ascii="Arial" w:hAnsi="Arial" w:cs="Arial"/>
        </w:rPr>
      </w:pPr>
      <w:r w:rsidRPr="0084513C">
        <w:rPr>
          <w:rFonts w:ascii="Arial" w:hAnsi="Arial" w:cs="Arial"/>
        </w:rPr>
        <w:t>to suggest appropriate solution for retrieve reputation and financial performance of Seaview Resort.</w:t>
      </w:r>
    </w:p>
    <w:p w14:paraId="129E8F9C" w14:textId="2CC7A854" w:rsidR="00E850F2" w:rsidRPr="0084513C" w:rsidRDefault="009E3095" w:rsidP="0084513C">
      <w:pPr>
        <w:rPr>
          <w:rFonts w:ascii="Arial" w:hAnsi="Arial" w:cs="Arial"/>
        </w:rPr>
      </w:pPr>
      <w:r w:rsidRPr="0084513C">
        <w:rPr>
          <w:rFonts w:ascii="Arial" w:hAnsi="Arial" w:cs="Arial"/>
        </w:rPr>
        <w:t xml:space="preserve">To achieve the </w:t>
      </w:r>
      <w:r w:rsidR="000D6107" w:rsidRPr="0084513C">
        <w:rPr>
          <w:rFonts w:ascii="Arial" w:hAnsi="Arial" w:cs="Arial"/>
        </w:rPr>
        <w:t>above-mentioned</w:t>
      </w:r>
      <w:r w:rsidRPr="0084513C">
        <w:rPr>
          <w:rFonts w:ascii="Arial" w:hAnsi="Arial" w:cs="Arial"/>
        </w:rPr>
        <w:t xml:space="preserve"> </w:t>
      </w:r>
      <w:r w:rsidR="000D6107" w:rsidRPr="0084513C">
        <w:rPr>
          <w:rFonts w:ascii="Arial" w:hAnsi="Arial" w:cs="Arial"/>
        </w:rPr>
        <w:t xml:space="preserve">objectives, financial </w:t>
      </w:r>
      <w:r w:rsidR="00F32F74" w:rsidRPr="0084513C">
        <w:rPr>
          <w:rFonts w:ascii="Arial" w:hAnsi="Arial" w:cs="Arial"/>
        </w:rPr>
        <w:t>analysts</w:t>
      </w:r>
      <w:r w:rsidR="000D6107" w:rsidRPr="0084513C">
        <w:rPr>
          <w:rFonts w:ascii="Arial" w:hAnsi="Arial" w:cs="Arial"/>
        </w:rPr>
        <w:t xml:space="preserve"> will</w:t>
      </w:r>
      <w:r w:rsidRPr="0084513C">
        <w:rPr>
          <w:rFonts w:ascii="Arial" w:hAnsi="Arial" w:cs="Arial"/>
        </w:rPr>
        <w:t xml:space="preserve"> </w:t>
      </w:r>
      <w:proofErr w:type="spellStart"/>
      <w:r w:rsidRPr="0084513C">
        <w:rPr>
          <w:rFonts w:ascii="Arial" w:hAnsi="Arial" w:cs="Arial"/>
        </w:rPr>
        <w:t>analy</w:t>
      </w:r>
      <w:r w:rsidR="0084513C">
        <w:rPr>
          <w:rFonts w:ascii="Arial" w:hAnsi="Arial" w:cs="Arial"/>
        </w:rPr>
        <w:t>s</w:t>
      </w:r>
      <w:r w:rsidRPr="0084513C">
        <w:rPr>
          <w:rFonts w:ascii="Arial" w:hAnsi="Arial" w:cs="Arial"/>
        </w:rPr>
        <w:t>e</w:t>
      </w:r>
      <w:proofErr w:type="spellEnd"/>
      <w:r w:rsidRPr="0084513C">
        <w:rPr>
          <w:rFonts w:ascii="Arial" w:hAnsi="Arial" w:cs="Arial"/>
        </w:rPr>
        <w:t xml:space="preserve"> the financial statements,</w:t>
      </w:r>
      <w:r w:rsidR="000D6107" w:rsidRPr="0084513C">
        <w:rPr>
          <w:rFonts w:ascii="Arial" w:hAnsi="Arial" w:cs="Arial"/>
        </w:rPr>
        <w:t xml:space="preserve"> market position, strengths &amp; weakness, and present condition of the hotel and tourism industry</w:t>
      </w:r>
      <w:r w:rsidR="00E850F2" w:rsidRPr="0084513C">
        <w:rPr>
          <w:rFonts w:ascii="Arial" w:hAnsi="Arial" w:cs="Arial"/>
        </w:rPr>
        <w:t xml:space="preserve"> (Graham et al., 2021)</w:t>
      </w:r>
      <w:r w:rsidR="000D6107" w:rsidRPr="0084513C">
        <w:rPr>
          <w:rFonts w:ascii="Arial" w:hAnsi="Arial" w:cs="Arial"/>
        </w:rPr>
        <w:t>. After that, an appropriate strategy will be suggested and a financial projection will be prepared.</w:t>
      </w:r>
    </w:p>
    <w:p w14:paraId="7BDDE4F1" w14:textId="77777777" w:rsidR="00E850F2" w:rsidRPr="0084513C" w:rsidRDefault="00E850F2" w:rsidP="0084513C">
      <w:pPr>
        <w:jc w:val="left"/>
        <w:rPr>
          <w:rFonts w:ascii="Arial" w:hAnsi="Arial" w:cs="Arial"/>
        </w:rPr>
      </w:pPr>
      <w:r w:rsidRPr="0084513C">
        <w:rPr>
          <w:rFonts w:ascii="Arial" w:hAnsi="Arial" w:cs="Arial"/>
        </w:rPr>
        <w:br w:type="page"/>
      </w:r>
    </w:p>
    <w:p w14:paraId="2311CC99" w14:textId="267240F6" w:rsidR="000D6107" w:rsidRDefault="000D6107" w:rsidP="000D6107">
      <w:pPr>
        <w:pStyle w:val="Heading1"/>
      </w:pPr>
      <w:bookmarkStart w:id="3" w:name="_Toc150722492"/>
      <w:r>
        <w:lastRenderedPageBreak/>
        <w:t>Financial Analysis</w:t>
      </w:r>
      <w:bookmarkEnd w:id="3"/>
    </w:p>
    <w:p w14:paraId="6CEE526E" w14:textId="1AFF328D" w:rsidR="009E3095" w:rsidRPr="00D26782" w:rsidRDefault="000D6107" w:rsidP="009E3095">
      <w:pPr>
        <w:rPr>
          <w:rFonts w:ascii="Arial" w:hAnsi="Arial" w:cs="Arial"/>
        </w:rPr>
      </w:pPr>
      <w:r w:rsidRPr="00D26782">
        <w:rPr>
          <w:rFonts w:ascii="Arial" w:hAnsi="Arial" w:cs="Arial"/>
        </w:rPr>
        <w:t xml:space="preserve">To perform the financial analysis, profit &amp; loss, balance sheet, and cashflow statements will be </w:t>
      </w:r>
      <w:proofErr w:type="spellStart"/>
      <w:r w:rsidRPr="00D26782">
        <w:rPr>
          <w:rFonts w:ascii="Arial" w:hAnsi="Arial" w:cs="Arial"/>
        </w:rPr>
        <w:t>analy</w:t>
      </w:r>
      <w:r w:rsidR="00B040DA" w:rsidRPr="00D26782">
        <w:rPr>
          <w:rFonts w:ascii="Arial" w:hAnsi="Arial" w:cs="Arial"/>
        </w:rPr>
        <w:t>s</w:t>
      </w:r>
      <w:r w:rsidRPr="00D26782">
        <w:rPr>
          <w:rFonts w:ascii="Arial" w:hAnsi="Arial" w:cs="Arial"/>
        </w:rPr>
        <w:t>ed</w:t>
      </w:r>
      <w:proofErr w:type="spellEnd"/>
      <w:r w:rsidR="00E850F2" w:rsidRPr="00D26782">
        <w:rPr>
          <w:rFonts w:ascii="Arial" w:hAnsi="Arial" w:cs="Arial"/>
        </w:rPr>
        <w:t xml:space="preserve"> (Imdieke &amp; Smith, 2021)</w:t>
      </w:r>
      <w:r w:rsidRPr="00D26782">
        <w:rPr>
          <w:rFonts w:ascii="Arial" w:hAnsi="Arial" w:cs="Arial"/>
        </w:rPr>
        <w:t>. Apart from this, the key financial ratios will be calculated and interpreted to assess financial viability and financial condition of Seaview Resort.</w:t>
      </w:r>
    </w:p>
    <w:p w14:paraId="4F2FDD8E" w14:textId="5F9096E9" w:rsidR="000D6107" w:rsidRPr="000D6107" w:rsidRDefault="000D6107" w:rsidP="00F55A10">
      <w:pPr>
        <w:pStyle w:val="Heading2"/>
      </w:pPr>
      <w:bookmarkStart w:id="4" w:name="_Toc150722493"/>
      <w:r w:rsidRPr="000D6107">
        <w:t>Income Statement Analysis</w:t>
      </w:r>
      <w:bookmarkEnd w:id="4"/>
    </w:p>
    <w:p w14:paraId="20C9281B" w14:textId="32358D0F" w:rsidR="00A21117" w:rsidRPr="00D26782" w:rsidRDefault="000D6107">
      <w:pPr>
        <w:rPr>
          <w:rFonts w:ascii="Arial" w:hAnsi="Arial" w:cs="Arial"/>
        </w:rPr>
      </w:pPr>
      <w:r w:rsidRPr="00D26782">
        <w:rPr>
          <w:rFonts w:ascii="Arial" w:hAnsi="Arial" w:cs="Arial"/>
        </w:rPr>
        <w:t>Generally, income statements contain the financial information about revenue, cost of goods sold, gross profit, operating profit, and net profit of the business</w:t>
      </w:r>
      <w:r w:rsidR="00E850F2" w:rsidRPr="00D26782">
        <w:rPr>
          <w:rFonts w:ascii="Arial" w:hAnsi="Arial" w:cs="Arial"/>
        </w:rPr>
        <w:t xml:space="preserve"> (Kemp et al., 2021)</w:t>
      </w:r>
      <w:r w:rsidRPr="00D26782">
        <w:rPr>
          <w:rFonts w:ascii="Arial" w:hAnsi="Arial" w:cs="Arial"/>
        </w:rPr>
        <w:t xml:space="preserve">. Under the income statement analysis, the trend of the revenue, expenses, and profitability will be assessed. </w:t>
      </w:r>
    </w:p>
    <w:tbl>
      <w:tblPr>
        <w:tblW w:w="8545" w:type="dxa"/>
        <w:tblLook w:val="04A0" w:firstRow="1" w:lastRow="0" w:firstColumn="1" w:lastColumn="0" w:noHBand="0" w:noVBand="1"/>
      </w:tblPr>
      <w:tblGrid>
        <w:gridCol w:w="2065"/>
        <w:gridCol w:w="1350"/>
        <w:gridCol w:w="1350"/>
        <w:gridCol w:w="1046"/>
        <w:gridCol w:w="1384"/>
        <w:gridCol w:w="1350"/>
      </w:tblGrid>
      <w:tr w:rsidR="00A21117" w:rsidRPr="00A21117" w14:paraId="46B3D619" w14:textId="77777777" w:rsidTr="00A21117">
        <w:trPr>
          <w:trHeight w:val="289"/>
        </w:trPr>
        <w:tc>
          <w:tcPr>
            <w:tcW w:w="2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144B07" w14:textId="77777777" w:rsidR="00A21117" w:rsidRPr="00A21117" w:rsidRDefault="00A21117" w:rsidP="00A21117">
            <w:pPr>
              <w:spacing w:after="0" w:line="240" w:lineRule="auto"/>
              <w:jc w:val="center"/>
              <w:rPr>
                <w:rFonts w:eastAsia="Times New Roman" w:cs="Tahoma"/>
                <w:b/>
                <w:bCs/>
                <w:color w:val="000000"/>
                <w:sz w:val="22"/>
              </w:rPr>
            </w:pPr>
            <w:r w:rsidRPr="00A21117">
              <w:rPr>
                <w:rFonts w:eastAsia="Times New Roman" w:cs="Tahoma"/>
                <w:b/>
                <w:bCs/>
                <w:color w:val="000000"/>
                <w:sz w:val="22"/>
              </w:rPr>
              <w:t>Item</w:t>
            </w:r>
          </w:p>
        </w:tc>
        <w:tc>
          <w:tcPr>
            <w:tcW w:w="1350" w:type="dxa"/>
            <w:tcBorders>
              <w:top w:val="single" w:sz="4" w:space="0" w:color="auto"/>
              <w:left w:val="nil"/>
              <w:bottom w:val="single" w:sz="4" w:space="0" w:color="auto"/>
              <w:right w:val="single" w:sz="4" w:space="0" w:color="auto"/>
            </w:tcBorders>
            <w:shd w:val="clear" w:color="auto" w:fill="auto"/>
            <w:noWrap/>
            <w:vAlign w:val="bottom"/>
            <w:hideMark/>
          </w:tcPr>
          <w:p w14:paraId="058F46BB" w14:textId="77777777" w:rsidR="00A21117" w:rsidRPr="00A21117" w:rsidRDefault="00A21117" w:rsidP="00A21117">
            <w:pPr>
              <w:spacing w:after="0" w:line="240" w:lineRule="auto"/>
              <w:jc w:val="center"/>
              <w:rPr>
                <w:rFonts w:eastAsia="Times New Roman" w:cs="Tahoma"/>
                <w:b/>
                <w:bCs/>
                <w:color w:val="000000"/>
                <w:sz w:val="22"/>
              </w:rPr>
            </w:pPr>
            <w:r w:rsidRPr="00A21117">
              <w:rPr>
                <w:rFonts w:eastAsia="Times New Roman" w:cs="Tahoma"/>
                <w:b/>
                <w:bCs/>
                <w:color w:val="000000"/>
                <w:sz w:val="22"/>
              </w:rPr>
              <w:t>2020</w:t>
            </w:r>
          </w:p>
        </w:tc>
        <w:tc>
          <w:tcPr>
            <w:tcW w:w="1350" w:type="dxa"/>
            <w:tcBorders>
              <w:top w:val="single" w:sz="4" w:space="0" w:color="auto"/>
              <w:left w:val="nil"/>
              <w:bottom w:val="single" w:sz="4" w:space="0" w:color="auto"/>
              <w:right w:val="single" w:sz="4" w:space="0" w:color="auto"/>
            </w:tcBorders>
            <w:shd w:val="clear" w:color="auto" w:fill="auto"/>
            <w:noWrap/>
            <w:vAlign w:val="bottom"/>
            <w:hideMark/>
          </w:tcPr>
          <w:p w14:paraId="649918B9" w14:textId="77777777" w:rsidR="00A21117" w:rsidRPr="00A21117" w:rsidRDefault="00A21117" w:rsidP="00A21117">
            <w:pPr>
              <w:spacing w:after="0" w:line="240" w:lineRule="auto"/>
              <w:jc w:val="center"/>
              <w:rPr>
                <w:rFonts w:eastAsia="Times New Roman" w:cs="Tahoma"/>
                <w:b/>
                <w:bCs/>
                <w:color w:val="000000"/>
                <w:sz w:val="22"/>
              </w:rPr>
            </w:pPr>
            <w:r w:rsidRPr="00A21117">
              <w:rPr>
                <w:rFonts w:eastAsia="Times New Roman" w:cs="Tahoma"/>
                <w:b/>
                <w:bCs/>
                <w:color w:val="000000"/>
                <w:sz w:val="22"/>
              </w:rPr>
              <w:t>2021</w:t>
            </w:r>
          </w:p>
        </w:tc>
        <w:tc>
          <w:tcPr>
            <w:tcW w:w="1046" w:type="dxa"/>
            <w:tcBorders>
              <w:top w:val="single" w:sz="4" w:space="0" w:color="auto"/>
              <w:left w:val="nil"/>
              <w:bottom w:val="single" w:sz="4" w:space="0" w:color="auto"/>
              <w:right w:val="single" w:sz="4" w:space="0" w:color="auto"/>
            </w:tcBorders>
            <w:shd w:val="clear" w:color="auto" w:fill="auto"/>
            <w:noWrap/>
            <w:vAlign w:val="bottom"/>
            <w:hideMark/>
          </w:tcPr>
          <w:p w14:paraId="6056522A" w14:textId="77777777" w:rsidR="00A21117" w:rsidRPr="00A21117" w:rsidRDefault="00A21117" w:rsidP="00A21117">
            <w:pPr>
              <w:spacing w:after="0" w:line="240" w:lineRule="auto"/>
              <w:jc w:val="center"/>
              <w:rPr>
                <w:rFonts w:eastAsia="Times New Roman" w:cs="Tahoma"/>
                <w:b/>
                <w:bCs/>
                <w:color w:val="000000"/>
                <w:sz w:val="22"/>
              </w:rPr>
            </w:pPr>
            <w:r w:rsidRPr="00A21117">
              <w:rPr>
                <w:rFonts w:eastAsia="Times New Roman" w:cs="Tahoma"/>
                <w:b/>
                <w:bCs/>
                <w:color w:val="000000"/>
                <w:sz w:val="22"/>
              </w:rPr>
              <w:t>% Change</w:t>
            </w:r>
          </w:p>
        </w:tc>
        <w:tc>
          <w:tcPr>
            <w:tcW w:w="1384" w:type="dxa"/>
            <w:tcBorders>
              <w:top w:val="single" w:sz="4" w:space="0" w:color="auto"/>
              <w:left w:val="nil"/>
              <w:bottom w:val="single" w:sz="4" w:space="0" w:color="auto"/>
              <w:right w:val="single" w:sz="4" w:space="0" w:color="auto"/>
            </w:tcBorders>
            <w:shd w:val="clear" w:color="auto" w:fill="auto"/>
            <w:noWrap/>
            <w:vAlign w:val="bottom"/>
            <w:hideMark/>
          </w:tcPr>
          <w:p w14:paraId="6A9AF0BE" w14:textId="77777777" w:rsidR="00A21117" w:rsidRPr="00A21117" w:rsidRDefault="00A21117" w:rsidP="00A21117">
            <w:pPr>
              <w:spacing w:after="0" w:line="240" w:lineRule="auto"/>
              <w:jc w:val="center"/>
              <w:rPr>
                <w:rFonts w:eastAsia="Times New Roman" w:cs="Tahoma"/>
                <w:b/>
                <w:bCs/>
                <w:color w:val="000000"/>
                <w:sz w:val="22"/>
              </w:rPr>
            </w:pPr>
            <w:r w:rsidRPr="00A21117">
              <w:rPr>
                <w:rFonts w:eastAsia="Times New Roman" w:cs="Tahoma"/>
                <w:b/>
                <w:bCs/>
                <w:color w:val="000000"/>
                <w:sz w:val="22"/>
              </w:rPr>
              <w:t>2022</w:t>
            </w:r>
          </w:p>
        </w:tc>
        <w:tc>
          <w:tcPr>
            <w:tcW w:w="1350" w:type="dxa"/>
            <w:tcBorders>
              <w:top w:val="single" w:sz="4" w:space="0" w:color="auto"/>
              <w:left w:val="nil"/>
              <w:bottom w:val="single" w:sz="4" w:space="0" w:color="auto"/>
              <w:right w:val="single" w:sz="4" w:space="0" w:color="auto"/>
            </w:tcBorders>
            <w:shd w:val="clear" w:color="auto" w:fill="auto"/>
            <w:noWrap/>
            <w:vAlign w:val="bottom"/>
            <w:hideMark/>
          </w:tcPr>
          <w:p w14:paraId="5512A0E8" w14:textId="77777777" w:rsidR="00A21117" w:rsidRPr="00A21117" w:rsidRDefault="00A21117" w:rsidP="00A21117">
            <w:pPr>
              <w:spacing w:after="0" w:line="240" w:lineRule="auto"/>
              <w:jc w:val="center"/>
              <w:rPr>
                <w:rFonts w:eastAsia="Times New Roman" w:cs="Tahoma"/>
                <w:b/>
                <w:bCs/>
                <w:color w:val="000000"/>
                <w:sz w:val="22"/>
              </w:rPr>
            </w:pPr>
            <w:r w:rsidRPr="00A21117">
              <w:rPr>
                <w:rFonts w:eastAsia="Times New Roman" w:cs="Tahoma"/>
                <w:b/>
                <w:bCs/>
                <w:color w:val="000000"/>
                <w:sz w:val="22"/>
              </w:rPr>
              <w:t>% Change</w:t>
            </w:r>
          </w:p>
        </w:tc>
      </w:tr>
      <w:tr w:rsidR="00A21117" w:rsidRPr="00A21117" w14:paraId="7F1355B5" w14:textId="77777777" w:rsidTr="00A21117">
        <w:trPr>
          <w:trHeight w:val="289"/>
        </w:trPr>
        <w:tc>
          <w:tcPr>
            <w:tcW w:w="2065" w:type="dxa"/>
            <w:tcBorders>
              <w:top w:val="nil"/>
              <w:left w:val="single" w:sz="4" w:space="0" w:color="auto"/>
              <w:bottom w:val="single" w:sz="4" w:space="0" w:color="auto"/>
              <w:right w:val="single" w:sz="4" w:space="0" w:color="auto"/>
            </w:tcBorders>
            <w:shd w:val="clear" w:color="auto" w:fill="auto"/>
            <w:noWrap/>
            <w:vAlign w:val="bottom"/>
            <w:hideMark/>
          </w:tcPr>
          <w:p w14:paraId="7C29538C" w14:textId="77777777"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Total Revenue</w:t>
            </w:r>
          </w:p>
        </w:tc>
        <w:tc>
          <w:tcPr>
            <w:tcW w:w="1350" w:type="dxa"/>
            <w:tcBorders>
              <w:top w:val="nil"/>
              <w:left w:val="nil"/>
              <w:bottom w:val="single" w:sz="4" w:space="0" w:color="auto"/>
              <w:right w:val="single" w:sz="4" w:space="0" w:color="auto"/>
            </w:tcBorders>
            <w:shd w:val="clear" w:color="auto" w:fill="auto"/>
            <w:noWrap/>
            <w:vAlign w:val="bottom"/>
            <w:hideMark/>
          </w:tcPr>
          <w:p w14:paraId="5877133A" w14:textId="1E0DDFBF"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£ 520,000 </w:t>
            </w:r>
          </w:p>
        </w:tc>
        <w:tc>
          <w:tcPr>
            <w:tcW w:w="1350" w:type="dxa"/>
            <w:tcBorders>
              <w:top w:val="nil"/>
              <w:left w:val="nil"/>
              <w:bottom w:val="single" w:sz="4" w:space="0" w:color="auto"/>
              <w:right w:val="single" w:sz="4" w:space="0" w:color="auto"/>
            </w:tcBorders>
            <w:shd w:val="clear" w:color="auto" w:fill="auto"/>
            <w:noWrap/>
            <w:vAlign w:val="bottom"/>
            <w:hideMark/>
          </w:tcPr>
          <w:p w14:paraId="6B296B2A" w14:textId="0D441272"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£ 480,000 </w:t>
            </w:r>
          </w:p>
        </w:tc>
        <w:tc>
          <w:tcPr>
            <w:tcW w:w="1046" w:type="dxa"/>
            <w:tcBorders>
              <w:top w:val="nil"/>
              <w:left w:val="nil"/>
              <w:bottom w:val="single" w:sz="4" w:space="0" w:color="auto"/>
              <w:right w:val="single" w:sz="4" w:space="0" w:color="auto"/>
            </w:tcBorders>
            <w:shd w:val="clear" w:color="auto" w:fill="auto"/>
            <w:noWrap/>
            <w:vAlign w:val="bottom"/>
            <w:hideMark/>
          </w:tcPr>
          <w:p w14:paraId="2F0114F5" w14:textId="77777777" w:rsidR="00A21117" w:rsidRPr="00A21117" w:rsidRDefault="00A21117" w:rsidP="00A21117">
            <w:pPr>
              <w:spacing w:after="0" w:line="240" w:lineRule="auto"/>
              <w:jc w:val="right"/>
              <w:rPr>
                <w:rFonts w:eastAsia="Times New Roman" w:cs="Tahoma"/>
                <w:color w:val="000000"/>
                <w:sz w:val="22"/>
              </w:rPr>
            </w:pPr>
            <w:r w:rsidRPr="00A21117">
              <w:rPr>
                <w:rFonts w:eastAsia="Times New Roman" w:cs="Tahoma"/>
                <w:color w:val="000000"/>
                <w:sz w:val="22"/>
              </w:rPr>
              <w:t>-8%</w:t>
            </w:r>
          </w:p>
        </w:tc>
        <w:tc>
          <w:tcPr>
            <w:tcW w:w="1384" w:type="dxa"/>
            <w:tcBorders>
              <w:top w:val="nil"/>
              <w:left w:val="nil"/>
              <w:bottom w:val="single" w:sz="4" w:space="0" w:color="auto"/>
              <w:right w:val="single" w:sz="4" w:space="0" w:color="auto"/>
            </w:tcBorders>
            <w:shd w:val="clear" w:color="auto" w:fill="auto"/>
            <w:noWrap/>
            <w:vAlign w:val="bottom"/>
            <w:hideMark/>
          </w:tcPr>
          <w:p w14:paraId="578DC7A8" w14:textId="2C9CC26C"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£ 430,000 </w:t>
            </w:r>
          </w:p>
        </w:tc>
        <w:tc>
          <w:tcPr>
            <w:tcW w:w="1350" w:type="dxa"/>
            <w:tcBorders>
              <w:top w:val="nil"/>
              <w:left w:val="nil"/>
              <w:bottom w:val="single" w:sz="4" w:space="0" w:color="auto"/>
              <w:right w:val="single" w:sz="4" w:space="0" w:color="auto"/>
            </w:tcBorders>
            <w:shd w:val="clear" w:color="auto" w:fill="auto"/>
            <w:noWrap/>
            <w:vAlign w:val="bottom"/>
            <w:hideMark/>
          </w:tcPr>
          <w:p w14:paraId="75314AE6" w14:textId="77777777" w:rsidR="00A21117" w:rsidRPr="00A21117" w:rsidRDefault="00A21117" w:rsidP="00A21117">
            <w:pPr>
              <w:spacing w:after="0" w:line="240" w:lineRule="auto"/>
              <w:jc w:val="right"/>
              <w:rPr>
                <w:rFonts w:eastAsia="Times New Roman" w:cs="Tahoma"/>
                <w:color w:val="000000"/>
                <w:sz w:val="22"/>
              </w:rPr>
            </w:pPr>
            <w:r w:rsidRPr="00A21117">
              <w:rPr>
                <w:rFonts w:eastAsia="Times New Roman" w:cs="Tahoma"/>
                <w:color w:val="000000"/>
                <w:sz w:val="22"/>
              </w:rPr>
              <w:t>-11.63%</w:t>
            </w:r>
          </w:p>
        </w:tc>
      </w:tr>
      <w:tr w:rsidR="00A21117" w:rsidRPr="00A21117" w14:paraId="206BB147" w14:textId="77777777" w:rsidTr="00A21117">
        <w:trPr>
          <w:trHeight w:val="289"/>
        </w:trPr>
        <w:tc>
          <w:tcPr>
            <w:tcW w:w="2065" w:type="dxa"/>
            <w:tcBorders>
              <w:top w:val="nil"/>
              <w:left w:val="single" w:sz="4" w:space="0" w:color="auto"/>
              <w:bottom w:val="single" w:sz="4" w:space="0" w:color="auto"/>
              <w:right w:val="single" w:sz="4" w:space="0" w:color="auto"/>
            </w:tcBorders>
            <w:shd w:val="clear" w:color="auto" w:fill="auto"/>
            <w:noWrap/>
            <w:vAlign w:val="bottom"/>
            <w:hideMark/>
          </w:tcPr>
          <w:p w14:paraId="23CC0035" w14:textId="77777777"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Operating Expense</w:t>
            </w:r>
          </w:p>
        </w:tc>
        <w:tc>
          <w:tcPr>
            <w:tcW w:w="1350" w:type="dxa"/>
            <w:tcBorders>
              <w:top w:val="nil"/>
              <w:left w:val="nil"/>
              <w:bottom w:val="single" w:sz="4" w:space="0" w:color="auto"/>
              <w:right w:val="single" w:sz="4" w:space="0" w:color="auto"/>
            </w:tcBorders>
            <w:shd w:val="clear" w:color="auto" w:fill="auto"/>
            <w:noWrap/>
            <w:vAlign w:val="bottom"/>
            <w:hideMark/>
          </w:tcPr>
          <w:p w14:paraId="6430CA0B" w14:textId="082606FA"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£ 390,000 </w:t>
            </w:r>
          </w:p>
        </w:tc>
        <w:tc>
          <w:tcPr>
            <w:tcW w:w="1350" w:type="dxa"/>
            <w:tcBorders>
              <w:top w:val="nil"/>
              <w:left w:val="nil"/>
              <w:bottom w:val="single" w:sz="4" w:space="0" w:color="auto"/>
              <w:right w:val="single" w:sz="4" w:space="0" w:color="auto"/>
            </w:tcBorders>
            <w:shd w:val="clear" w:color="auto" w:fill="auto"/>
            <w:noWrap/>
            <w:vAlign w:val="bottom"/>
            <w:hideMark/>
          </w:tcPr>
          <w:p w14:paraId="3EC3EB34" w14:textId="7CB4633D"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£ 400,000 </w:t>
            </w:r>
          </w:p>
        </w:tc>
        <w:tc>
          <w:tcPr>
            <w:tcW w:w="1046" w:type="dxa"/>
            <w:tcBorders>
              <w:top w:val="nil"/>
              <w:left w:val="nil"/>
              <w:bottom w:val="single" w:sz="4" w:space="0" w:color="auto"/>
              <w:right w:val="single" w:sz="4" w:space="0" w:color="auto"/>
            </w:tcBorders>
            <w:shd w:val="clear" w:color="auto" w:fill="auto"/>
            <w:noWrap/>
            <w:vAlign w:val="bottom"/>
            <w:hideMark/>
          </w:tcPr>
          <w:p w14:paraId="7D22F03F" w14:textId="77777777" w:rsidR="00A21117" w:rsidRPr="00A21117" w:rsidRDefault="00A21117" w:rsidP="00A21117">
            <w:pPr>
              <w:spacing w:after="0" w:line="240" w:lineRule="auto"/>
              <w:jc w:val="right"/>
              <w:rPr>
                <w:rFonts w:eastAsia="Times New Roman" w:cs="Tahoma"/>
                <w:color w:val="000000"/>
                <w:sz w:val="22"/>
              </w:rPr>
            </w:pPr>
            <w:r w:rsidRPr="00A21117">
              <w:rPr>
                <w:rFonts w:eastAsia="Times New Roman" w:cs="Tahoma"/>
                <w:color w:val="000000"/>
                <w:sz w:val="22"/>
              </w:rPr>
              <w:t>3%</w:t>
            </w:r>
          </w:p>
        </w:tc>
        <w:tc>
          <w:tcPr>
            <w:tcW w:w="1384" w:type="dxa"/>
            <w:tcBorders>
              <w:top w:val="nil"/>
              <w:left w:val="nil"/>
              <w:bottom w:val="single" w:sz="4" w:space="0" w:color="auto"/>
              <w:right w:val="single" w:sz="4" w:space="0" w:color="auto"/>
            </w:tcBorders>
            <w:shd w:val="clear" w:color="auto" w:fill="auto"/>
            <w:noWrap/>
            <w:vAlign w:val="bottom"/>
            <w:hideMark/>
          </w:tcPr>
          <w:p w14:paraId="4067903B" w14:textId="43A228B0"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£ 450,000 </w:t>
            </w:r>
          </w:p>
        </w:tc>
        <w:tc>
          <w:tcPr>
            <w:tcW w:w="1350" w:type="dxa"/>
            <w:tcBorders>
              <w:top w:val="nil"/>
              <w:left w:val="nil"/>
              <w:bottom w:val="single" w:sz="4" w:space="0" w:color="auto"/>
              <w:right w:val="single" w:sz="4" w:space="0" w:color="auto"/>
            </w:tcBorders>
            <w:shd w:val="clear" w:color="auto" w:fill="auto"/>
            <w:noWrap/>
            <w:vAlign w:val="bottom"/>
            <w:hideMark/>
          </w:tcPr>
          <w:p w14:paraId="6014FE46" w14:textId="77777777" w:rsidR="00A21117" w:rsidRPr="00A21117" w:rsidRDefault="00A21117" w:rsidP="00A21117">
            <w:pPr>
              <w:spacing w:after="0" w:line="240" w:lineRule="auto"/>
              <w:jc w:val="right"/>
              <w:rPr>
                <w:rFonts w:eastAsia="Times New Roman" w:cs="Tahoma"/>
                <w:color w:val="000000"/>
                <w:sz w:val="22"/>
              </w:rPr>
            </w:pPr>
            <w:r w:rsidRPr="00A21117">
              <w:rPr>
                <w:rFonts w:eastAsia="Times New Roman" w:cs="Tahoma"/>
                <w:color w:val="000000"/>
                <w:sz w:val="22"/>
              </w:rPr>
              <w:t>11.11%</w:t>
            </w:r>
          </w:p>
        </w:tc>
      </w:tr>
      <w:tr w:rsidR="00A21117" w:rsidRPr="00A21117" w14:paraId="347209BD" w14:textId="77777777" w:rsidTr="00A21117">
        <w:trPr>
          <w:trHeight w:val="289"/>
        </w:trPr>
        <w:tc>
          <w:tcPr>
            <w:tcW w:w="2065" w:type="dxa"/>
            <w:tcBorders>
              <w:top w:val="nil"/>
              <w:left w:val="single" w:sz="4" w:space="0" w:color="auto"/>
              <w:bottom w:val="single" w:sz="4" w:space="0" w:color="auto"/>
              <w:right w:val="single" w:sz="4" w:space="0" w:color="auto"/>
            </w:tcBorders>
            <w:shd w:val="clear" w:color="auto" w:fill="auto"/>
            <w:noWrap/>
            <w:vAlign w:val="bottom"/>
            <w:hideMark/>
          </w:tcPr>
          <w:p w14:paraId="5E7CAF35" w14:textId="77777777"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Gross Profit</w:t>
            </w:r>
          </w:p>
        </w:tc>
        <w:tc>
          <w:tcPr>
            <w:tcW w:w="1350" w:type="dxa"/>
            <w:tcBorders>
              <w:top w:val="nil"/>
              <w:left w:val="nil"/>
              <w:bottom w:val="single" w:sz="4" w:space="0" w:color="auto"/>
              <w:right w:val="single" w:sz="4" w:space="0" w:color="auto"/>
            </w:tcBorders>
            <w:shd w:val="clear" w:color="auto" w:fill="auto"/>
            <w:noWrap/>
            <w:vAlign w:val="bottom"/>
            <w:hideMark/>
          </w:tcPr>
          <w:p w14:paraId="705A69DB" w14:textId="56FD0268"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£ 130,000 </w:t>
            </w:r>
          </w:p>
        </w:tc>
        <w:tc>
          <w:tcPr>
            <w:tcW w:w="1350" w:type="dxa"/>
            <w:tcBorders>
              <w:top w:val="nil"/>
              <w:left w:val="nil"/>
              <w:bottom w:val="single" w:sz="4" w:space="0" w:color="auto"/>
              <w:right w:val="single" w:sz="4" w:space="0" w:color="auto"/>
            </w:tcBorders>
            <w:shd w:val="clear" w:color="auto" w:fill="auto"/>
            <w:noWrap/>
            <w:vAlign w:val="bottom"/>
            <w:hideMark/>
          </w:tcPr>
          <w:p w14:paraId="579BDC16" w14:textId="7C3EC831"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£ 80,000 </w:t>
            </w:r>
          </w:p>
        </w:tc>
        <w:tc>
          <w:tcPr>
            <w:tcW w:w="1046" w:type="dxa"/>
            <w:tcBorders>
              <w:top w:val="nil"/>
              <w:left w:val="nil"/>
              <w:bottom w:val="single" w:sz="4" w:space="0" w:color="auto"/>
              <w:right w:val="single" w:sz="4" w:space="0" w:color="auto"/>
            </w:tcBorders>
            <w:shd w:val="clear" w:color="auto" w:fill="auto"/>
            <w:noWrap/>
            <w:vAlign w:val="bottom"/>
            <w:hideMark/>
          </w:tcPr>
          <w:p w14:paraId="115716A1" w14:textId="77777777" w:rsidR="00A21117" w:rsidRPr="00A21117" w:rsidRDefault="00A21117" w:rsidP="00A21117">
            <w:pPr>
              <w:spacing w:after="0" w:line="240" w:lineRule="auto"/>
              <w:jc w:val="right"/>
              <w:rPr>
                <w:rFonts w:eastAsia="Times New Roman" w:cs="Tahoma"/>
                <w:color w:val="000000"/>
                <w:sz w:val="22"/>
              </w:rPr>
            </w:pPr>
            <w:r w:rsidRPr="00A21117">
              <w:rPr>
                <w:rFonts w:eastAsia="Times New Roman" w:cs="Tahoma"/>
                <w:color w:val="000000"/>
                <w:sz w:val="22"/>
              </w:rPr>
              <w:t>-38%</w:t>
            </w:r>
          </w:p>
        </w:tc>
        <w:tc>
          <w:tcPr>
            <w:tcW w:w="1384" w:type="dxa"/>
            <w:tcBorders>
              <w:top w:val="nil"/>
              <w:left w:val="nil"/>
              <w:bottom w:val="single" w:sz="4" w:space="0" w:color="auto"/>
              <w:right w:val="single" w:sz="4" w:space="0" w:color="auto"/>
            </w:tcBorders>
            <w:shd w:val="clear" w:color="auto" w:fill="auto"/>
            <w:noWrap/>
            <w:vAlign w:val="bottom"/>
            <w:hideMark/>
          </w:tcPr>
          <w:p w14:paraId="550BE1C6" w14:textId="68F62893"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£ 80,000 </w:t>
            </w:r>
          </w:p>
        </w:tc>
        <w:tc>
          <w:tcPr>
            <w:tcW w:w="1350" w:type="dxa"/>
            <w:tcBorders>
              <w:top w:val="nil"/>
              <w:left w:val="nil"/>
              <w:bottom w:val="single" w:sz="4" w:space="0" w:color="auto"/>
              <w:right w:val="single" w:sz="4" w:space="0" w:color="auto"/>
            </w:tcBorders>
            <w:shd w:val="clear" w:color="auto" w:fill="auto"/>
            <w:noWrap/>
            <w:vAlign w:val="bottom"/>
            <w:hideMark/>
          </w:tcPr>
          <w:p w14:paraId="43E1471D" w14:textId="77777777" w:rsidR="00A21117" w:rsidRPr="00A21117" w:rsidRDefault="00A21117" w:rsidP="00A21117">
            <w:pPr>
              <w:spacing w:after="0" w:line="240" w:lineRule="auto"/>
              <w:jc w:val="right"/>
              <w:rPr>
                <w:rFonts w:eastAsia="Times New Roman" w:cs="Tahoma"/>
                <w:color w:val="000000"/>
                <w:sz w:val="22"/>
              </w:rPr>
            </w:pPr>
            <w:r w:rsidRPr="00A21117">
              <w:rPr>
                <w:rFonts w:eastAsia="Times New Roman" w:cs="Tahoma"/>
                <w:color w:val="000000"/>
                <w:sz w:val="22"/>
              </w:rPr>
              <w:t>0.00%</w:t>
            </w:r>
          </w:p>
        </w:tc>
      </w:tr>
      <w:tr w:rsidR="00A21117" w:rsidRPr="00A21117" w14:paraId="4597EA77" w14:textId="77777777" w:rsidTr="00A21117">
        <w:trPr>
          <w:trHeight w:val="289"/>
        </w:trPr>
        <w:tc>
          <w:tcPr>
            <w:tcW w:w="2065" w:type="dxa"/>
            <w:tcBorders>
              <w:top w:val="nil"/>
              <w:left w:val="single" w:sz="4" w:space="0" w:color="auto"/>
              <w:bottom w:val="single" w:sz="4" w:space="0" w:color="auto"/>
              <w:right w:val="single" w:sz="4" w:space="0" w:color="auto"/>
            </w:tcBorders>
            <w:shd w:val="clear" w:color="auto" w:fill="auto"/>
            <w:noWrap/>
            <w:vAlign w:val="bottom"/>
            <w:hideMark/>
          </w:tcPr>
          <w:p w14:paraId="15EC6836" w14:textId="77777777"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Net Profit</w:t>
            </w:r>
          </w:p>
        </w:tc>
        <w:tc>
          <w:tcPr>
            <w:tcW w:w="1350" w:type="dxa"/>
            <w:tcBorders>
              <w:top w:val="nil"/>
              <w:left w:val="nil"/>
              <w:bottom w:val="single" w:sz="4" w:space="0" w:color="auto"/>
              <w:right w:val="single" w:sz="4" w:space="0" w:color="auto"/>
            </w:tcBorders>
            <w:shd w:val="clear" w:color="auto" w:fill="auto"/>
            <w:noWrap/>
            <w:vAlign w:val="bottom"/>
            <w:hideMark/>
          </w:tcPr>
          <w:p w14:paraId="29669D36" w14:textId="67A2CEAE"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£ 78,000 </w:t>
            </w:r>
          </w:p>
        </w:tc>
        <w:tc>
          <w:tcPr>
            <w:tcW w:w="1350" w:type="dxa"/>
            <w:tcBorders>
              <w:top w:val="nil"/>
              <w:left w:val="nil"/>
              <w:bottom w:val="single" w:sz="4" w:space="0" w:color="auto"/>
              <w:right w:val="single" w:sz="4" w:space="0" w:color="auto"/>
            </w:tcBorders>
            <w:shd w:val="clear" w:color="auto" w:fill="auto"/>
            <w:noWrap/>
            <w:vAlign w:val="bottom"/>
            <w:hideMark/>
          </w:tcPr>
          <w:p w14:paraId="60A9DFEE" w14:textId="15889741"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£ 40,000 </w:t>
            </w:r>
          </w:p>
        </w:tc>
        <w:tc>
          <w:tcPr>
            <w:tcW w:w="1046" w:type="dxa"/>
            <w:tcBorders>
              <w:top w:val="nil"/>
              <w:left w:val="nil"/>
              <w:bottom w:val="single" w:sz="4" w:space="0" w:color="auto"/>
              <w:right w:val="single" w:sz="4" w:space="0" w:color="auto"/>
            </w:tcBorders>
            <w:shd w:val="clear" w:color="auto" w:fill="auto"/>
            <w:noWrap/>
            <w:vAlign w:val="bottom"/>
            <w:hideMark/>
          </w:tcPr>
          <w:p w14:paraId="700099F4" w14:textId="77777777" w:rsidR="00A21117" w:rsidRPr="00A21117" w:rsidRDefault="00A21117" w:rsidP="00A21117">
            <w:pPr>
              <w:spacing w:after="0" w:line="240" w:lineRule="auto"/>
              <w:jc w:val="right"/>
              <w:rPr>
                <w:rFonts w:eastAsia="Times New Roman" w:cs="Tahoma"/>
                <w:color w:val="000000"/>
                <w:sz w:val="22"/>
              </w:rPr>
            </w:pPr>
            <w:r w:rsidRPr="00A21117">
              <w:rPr>
                <w:rFonts w:eastAsia="Times New Roman" w:cs="Tahoma"/>
                <w:color w:val="000000"/>
                <w:sz w:val="22"/>
              </w:rPr>
              <w:t>-49%</w:t>
            </w:r>
          </w:p>
        </w:tc>
        <w:tc>
          <w:tcPr>
            <w:tcW w:w="1384" w:type="dxa"/>
            <w:tcBorders>
              <w:top w:val="nil"/>
              <w:left w:val="nil"/>
              <w:bottom w:val="single" w:sz="4" w:space="0" w:color="auto"/>
              <w:right w:val="single" w:sz="4" w:space="0" w:color="auto"/>
            </w:tcBorders>
            <w:shd w:val="clear" w:color="auto" w:fill="auto"/>
            <w:noWrap/>
            <w:vAlign w:val="bottom"/>
            <w:hideMark/>
          </w:tcPr>
          <w:p w14:paraId="621F2671" w14:textId="2395E2EF"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xml:space="preserve"> £ 17,500 </w:t>
            </w:r>
          </w:p>
        </w:tc>
        <w:tc>
          <w:tcPr>
            <w:tcW w:w="1350" w:type="dxa"/>
            <w:tcBorders>
              <w:top w:val="nil"/>
              <w:left w:val="nil"/>
              <w:bottom w:val="single" w:sz="4" w:space="0" w:color="auto"/>
              <w:right w:val="single" w:sz="4" w:space="0" w:color="auto"/>
            </w:tcBorders>
            <w:shd w:val="clear" w:color="auto" w:fill="auto"/>
            <w:noWrap/>
            <w:vAlign w:val="bottom"/>
            <w:hideMark/>
          </w:tcPr>
          <w:p w14:paraId="6012A02E" w14:textId="77777777" w:rsidR="00A21117" w:rsidRPr="00A21117" w:rsidRDefault="00A21117" w:rsidP="00A21117">
            <w:pPr>
              <w:spacing w:after="0" w:line="240" w:lineRule="auto"/>
              <w:jc w:val="right"/>
              <w:rPr>
                <w:rFonts w:eastAsia="Times New Roman" w:cs="Tahoma"/>
                <w:color w:val="000000"/>
                <w:sz w:val="22"/>
              </w:rPr>
            </w:pPr>
            <w:r w:rsidRPr="00A21117">
              <w:rPr>
                <w:rFonts w:eastAsia="Times New Roman" w:cs="Tahoma"/>
                <w:color w:val="000000"/>
                <w:sz w:val="22"/>
              </w:rPr>
              <w:t>-128.57%</w:t>
            </w:r>
          </w:p>
        </w:tc>
      </w:tr>
      <w:tr w:rsidR="00A21117" w:rsidRPr="00A21117" w14:paraId="43DF0C66" w14:textId="77777777" w:rsidTr="00A21117">
        <w:trPr>
          <w:trHeight w:val="289"/>
        </w:trPr>
        <w:tc>
          <w:tcPr>
            <w:tcW w:w="2065" w:type="dxa"/>
            <w:tcBorders>
              <w:top w:val="nil"/>
              <w:left w:val="single" w:sz="4" w:space="0" w:color="auto"/>
              <w:bottom w:val="single" w:sz="4" w:space="0" w:color="auto"/>
              <w:right w:val="single" w:sz="4" w:space="0" w:color="auto"/>
            </w:tcBorders>
            <w:shd w:val="clear" w:color="auto" w:fill="auto"/>
            <w:noWrap/>
            <w:vAlign w:val="bottom"/>
            <w:hideMark/>
          </w:tcPr>
          <w:p w14:paraId="700AA454" w14:textId="77777777"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Net Profit Margin</w:t>
            </w:r>
          </w:p>
        </w:tc>
        <w:tc>
          <w:tcPr>
            <w:tcW w:w="1350" w:type="dxa"/>
            <w:tcBorders>
              <w:top w:val="nil"/>
              <w:left w:val="nil"/>
              <w:bottom w:val="single" w:sz="4" w:space="0" w:color="auto"/>
              <w:right w:val="single" w:sz="4" w:space="0" w:color="auto"/>
            </w:tcBorders>
            <w:shd w:val="clear" w:color="auto" w:fill="auto"/>
            <w:noWrap/>
            <w:vAlign w:val="bottom"/>
            <w:hideMark/>
          </w:tcPr>
          <w:p w14:paraId="634F2732" w14:textId="77777777" w:rsidR="00A21117" w:rsidRPr="00A21117" w:rsidRDefault="00A21117" w:rsidP="00A21117">
            <w:pPr>
              <w:spacing w:after="0" w:line="240" w:lineRule="auto"/>
              <w:jc w:val="center"/>
              <w:rPr>
                <w:rFonts w:eastAsia="Times New Roman" w:cs="Tahoma"/>
                <w:color w:val="000000"/>
                <w:sz w:val="22"/>
              </w:rPr>
            </w:pPr>
            <w:r w:rsidRPr="00A21117">
              <w:rPr>
                <w:rFonts w:eastAsia="Times New Roman" w:cs="Tahoma"/>
                <w:color w:val="000000"/>
                <w:sz w:val="22"/>
              </w:rPr>
              <w:t>15%</w:t>
            </w:r>
          </w:p>
        </w:tc>
        <w:tc>
          <w:tcPr>
            <w:tcW w:w="1350" w:type="dxa"/>
            <w:tcBorders>
              <w:top w:val="nil"/>
              <w:left w:val="nil"/>
              <w:bottom w:val="single" w:sz="4" w:space="0" w:color="auto"/>
              <w:right w:val="single" w:sz="4" w:space="0" w:color="auto"/>
            </w:tcBorders>
            <w:shd w:val="clear" w:color="auto" w:fill="auto"/>
            <w:noWrap/>
            <w:vAlign w:val="bottom"/>
            <w:hideMark/>
          </w:tcPr>
          <w:p w14:paraId="6E9F8C97" w14:textId="77777777" w:rsidR="00A21117" w:rsidRPr="00A21117" w:rsidRDefault="00A21117" w:rsidP="00A21117">
            <w:pPr>
              <w:spacing w:after="0" w:line="240" w:lineRule="auto"/>
              <w:jc w:val="center"/>
              <w:rPr>
                <w:rFonts w:eastAsia="Times New Roman" w:cs="Tahoma"/>
                <w:color w:val="000000"/>
                <w:sz w:val="22"/>
              </w:rPr>
            </w:pPr>
            <w:r w:rsidRPr="00A21117">
              <w:rPr>
                <w:rFonts w:eastAsia="Times New Roman" w:cs="Tahoma"/>
                <w:color w:val="000000"/>
                <w:sz w:val="22"/>
              </w:rPr>
              <w:t>8%</w:t>
            </w:r>
          </w:p>
        </w:tc>
        <w:tc>
          <w:tcPr>
            <w:tcW w:w="1046" w:type="dxa"/>
            <w:tcBorders>
              <w:top w:val="nil"/>
              <w:left w:val="nil"/>
              <w:bottom w:val="single" w:sz="4" w:space="0" w:color="auto"/>
              <w:right w:val="single" w:sz="4" w:space="0" w:color="auto"/>
            </w:tcBorders>
            <w:shd w:val="clear" w:color="auto" w:fill="auto"/>
            <w:noWrap/>
            <w:vAlign w:val="bottom"/>
            <w:hideMark/>
          </w:tcPr>
          <w:p w14:paraId="79E17E7A" w14:textId="77777777" w:rsidR="00A21117" w:rsidRPr="00A21117" w:rsidRDefault="00A21117" w:rsidP="00A21117">
            <w:pPr>
              <w:spacing w:after="0" w:line="240" w:lineRule="auto"/>
              <w:jc w:val="center"/>
              <w:rPr>
                <w:rFonts w:eastAsia="Times New Roman" w:cs="Tahoma"/>
                <w:color w:val="000000"/>
                <w:sz w:val="22"/>
              </w:rPr>
            </w:pPr>
            <w:r w:rsidRPr="00A21117">
              <w:rPr>
                <w:rFonts w:eastAsia="Times New Roman" w:cs="Tahoma"/>
                <w:color w:val="000000"/>
                <w:sz w:val="22"/>
              </w:rPr>
              <w:t> </w:t>
            </w:r>
          </w:p>
        </w:tc>
        <w:tc>
          <w:tcPr>
            <w:tcW w:w="1384" w:type="dxa"/>
            <w:tcBorders>
              <w:top w:val="nil"/>
              <w:left w:val="nil"/>
              <w:bottom w:val="single" w:sz="4" w:space="0" w:color="auto"/>
              <w:right w:val="single" w:sz="4" w:space="0" w:color="auto"/>
            </w:tcBorders>
            <w:shd w:val="clear" w:color="auto" w:fill="auto"/>
            <w:noWrap/>
            <w:vAlign w:val="bottom"/>
            <w:hideMark/>
          </w:tcPr>
          <w:p w14:paraId="5ABE17D0" w14:textId="77777777" w:rsidR="00A21117" w:rsidRPr="00A21117" w:rsidRDefault="00A21117" w:rsidP="00A21117">
            <w:pPr>
              <w:spacing w:after="0" w:line="240" w:lineRule="auto"/>
              <w:jc w:val="center"/>
              <w:rPr>
                <w:rFonts w:eastAsia="Times New Roman" w:cs="Tahoma"/>
                <w:color w:val="000000"/>
                <w:sz w:val="22"/>
              </w:rPr>
            </w:pPr>
            <w:r w:rsidRPr="00A21117">
              <w:rPr>
                <w:rFonts w:eastAsia="Times New Roman" w:cs="Tahoma"/>
                <w:color w:val="000000"/>
                <w:sz w:val="22"/>
              </w:rPr>
              <w:t>4%</w:t>
            </w:r>
          </w:p>
        </w:tc>
        <w:tc>
          <w:tcPr>
            <w:tcW w:w="1350" w:type="dxa"/>
            <w:tcBorders>
              <w:top w:val="nil"/>
              <w:left w:val="nil"/>
              <w:bottom w:val="single" w:sz="4" w:space="0" w:color="auto"/>
              <w:right w:val="single" w:sz="4" w:space="0" w:color="auto"/>
            </w:tcBorders>
            <w:shd w:val="clear" w:color="auto" w:fill="auto"/>
            <w:noWrap/>
            <w:vAlign w:val="bottom"/>
            <w:hideMark/>
          </w:tcPr>
          <w:p w14:paraId="49A46C64" w14:textId="77777777" w:rsidR="00A21117" w:rsidRPr="00A21117" w:rsidRDefault="00A21117" w:rsidP="00A21117">
            <w:pPr>
              <w:spacing w:after="0" w:line="240" w:lineRule="auto"/>
              <w:jc w:val="left"/>
              <w:rPr>
                <w:rFonts w:eastAsia="Times New Roman" w:cs="Tahoma"/>
                <w:color w:val="000000"/>
                <w:sz w:val="22"/>
              </w:rPr>
            </w:pPr>
            <w:r w:rsidRPr="00A21117">
              <w:rPr>
                <w:rFonts w:eastAsia="Times New Roman" w:cs="Tahoma"/>
                <w:color w:val="000000"/>
                <w:sz w:val="22"/>
              </w:rPr>
              <w:t> </w:t>
            </w:r>
          </w:p>
        </w:tc>
      </w:tr>
    </w:tbl>
    <w:p w14:paraId="06A125C7" w14:textId="0462981D" w:rsidR="009E3095" w:rsidRDefault="009E3095"/>
    <w:p w14:paraId="5D1422D9" w14:textId="45965D79" w:rsidR="00E850F2" w:rsidRPr="00D26782" w:rsidRDefault="00A21117" w:rsidP="00D26782">
      <w:pPr>
        <w:rPr>
          <w:rFonts w:ascii="Arial" w:hAnsi="Arial" w:cs="Arial"/>
        </w:rPr>
      </w:pPr>
      <w:r w:rsidRPr="00D26782">
        <w:rPr>
          <w:rFonts w:ascii="Arial" w:hAnsi="Arial" w:cs="Arial"/>
        </w:rPr>
        <w:t xml:space="preserve">From the above financial information, it is observed that </w:t>
      </w:r>
      <w:r w:rsidR="000A2850" w:rsidRPr="00D26782">
        <w:rPr>
          <w:rFonts w:ascii="Arial" w:hAnsi="Arial" w:cs="Arial"/>
        </w:rPr>
        <w:t>the revenue of Seaview Resort has followed the decreasing trends for the last three years. Revenue has decreased by 8% from the year 2020 to year 2021. Further, revenue has further decreased by 11.63% from the year 2021 to the year 2022. Although, revenue has decreased over the last three years the operating expense has been increased for the last three years</w:t>
      </w:r>
      <w:r w:rsidR="00E850F2" w:rsidRPr="00D26782">
        <w:rPr>
          <w:rFonts w:ascii="Arial" w:hAnsi="Arial" w:cs="Arial"/>
        </w:rPr>
        <w:t xml:space="preserve"> (Libby et al., 2023)</w:t>
      </w:r>
      <w:r w:rsidR="000A2850" w:rsidRPr="00D26782">
        <w:rPr>
          <w:rFonts w:ascii="Arial" w:hAnsi="Arial" w:cs="Arial"/>
        </w:rPr>
        <w:t>. Because of decreasing of revenue and increasing of operating expense, the net profit of Seaview Resort has decreased for the last three years</w:t>
      </w:r>
      <w:r w:rsidR="00E850F2" w:rsidRPr="00D26782">
        <w:rPr>
          <w:rFonts w:ascii="Arial" w:hAnsi="Arial" w:cs="Arial"/>
        </w:rPr>
        <w:t xml:space="preserve"> (Parkin, 2023)</w:t>
      </w:r>
      <w:r w:rsidR="000A2850" w:rsidRPr="00D26782">
        <w:rPr>
          <w:rFonts w:ascii="Arial" w:hAnsi="Arial" w:cs="Arial"/>
        </w:rPr>
        <w:t>.</w:t>
      </w:r>
    </w:p>
    <w:p w14:paraId="348CC3F9" w14:textId="77777777" w:rsidR="00E850F2" w:rsidRPr="00D26782" w:rsidRDefault="00E850F2" w:rsidP="00D26782">
      <w:pPr>
        <w:jc w:val="left"/>
        <w:rPr>
          <w:rFonts w:ascii="Arial" w:hAnsi="Arial" w:cs="Arial"/>
        </w:rPr>
      </w:pPr>
      <w:r w:rsidRPr="00D26782">
        <w:rPr>
          <w:rFonts w:ascii="Arial" w:hAnsi="Arial" w:cs="Arial"/>
        </w:rPr>
        <w:br w:type="page"/>
      </w:r>
    </w:p>
    <w:p w14:paraId="08EE3419" w14:textId="6087AEFB" w:rsidR="000A2850" w:rsidRPr="004B1E7C" w:rsidRDefault="00446F82" w:rsidP="00F55A10">
      <w:pPr>
        <w:pStyle w:val="Heading2"/>
      </w:pPr>
      <w:bookmarkStart w:id="5" w:name="_Toc150722494"/>
      <w:r w:rsidRPr="004B1E7C">
        <w:lastRenderedPageBreak/>
        <w:t>Balance Sheet Analysis</w:t>
      </w:r>
      <w:bookmarkEnd w:id="5"/>
    </w:p>
    <w:p w14:paraId="796DB720" w14:textId="2EE371A8" w:rsidR="00446F82" w:rsidRPr="00670489" w:rsidRDefault="00446F82" w:rsidP="00670489">
      <w:pPr>
        <w:rPr>
          <w:rFonts w:ascii="Arial" w:hAnsi="Arial" w:cs="Arial"/>
        </w:rPr>
      </w:pPr>
      <w:r w:rsidRPr="00670489">
        <w:rPr>
          <w:rFonts w:ascii="Arial" w:hAnsi="Arial" w:cs="Arial"/>
        </w:rPr>
        <w:t>Generally, balance sheet contains the financial information about asset, liability, equity of the business. Under the balance sheet analysis, the trend of the asset, liability, and equity will be assessed</w:t>
      </w:r>
      <w:r w:rsidR="00E850F2" w:rsidRPr="00670489">
        <w:rPr>
          <w:rFonts w:ascii="Arial" w:hAnsi="Arial" w:cs="Arial"/>
        </w:rPr>
        <w:t xml:space="preserve"> (Spiceland et al., 2022)</w:t>
      </w:r>
      <w:r w:rsidRPr="00670489">
        <w:rPr>
          <w:rFonts w:ascii="Arial" w:hAnsi="Arial" w:cs="Arial"/>
        </w:rPr>
        <w:t xml:space="preserve">. </w:t>
      </w:r>
    </w:p>
    <w:tbl>
      <w:tblPr>
        <w:tblW w:w="6096" w:type="dxa"/>
        <w:jc w:val="center"/>
        <w:tblLook w:val="04A0" w:firstRow="1" w:lastRow="0" w:firstColumn="1" w:lastColumn="0" w:noHBand="0" w:noVBand="1"/>
      </w:tblPr>
      <w:tblGrid>
        <w:gridCol w:w="3978"/>
        <w:gridCol w:w="2118"/>
      </w:tblGrid>
      <w:tr w:rsidR="001973DF" w:rsidRPr="001973DF" w14:paraId="4C0E71EA" w14:textId="77777777" w:rsidTr="001973DF">
        <w:trPr>
          <w:trHeight w:val="239"/>
          <w:jc w:val="center"/>
        </w:trPr>
        <w:tc>
          <w:tcPr>
            <w:tcW w:w="39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E91E85" w14:textId="77777777" w:rsidR="001973DF" w:rsidRPr="001973DF" w:rsidRDefault="001973DF" w:rsidP="001973DF">
            <w:pPr>
              <w:spacing w:after="0" w:line="240" w:lineRule="auto"/>
              <w:jc w:val="center"/>
              <w:rPr>
                <w:rFonts w:eastAsia="Times New Roman" w:cs="Tahoma"/>
                <w:b/>
                <w:bCs/>
                <w:color w:val="000000"/>
                <w:sz w:val="22"/>
              </w:rPr>
            </w:pPr>
            <w:r w:rsidRPr="001973DF">
              <w:rPr>
                <w:rFonts w:eastAsia="Times New Roman" w:cs="Tahoma"/>
                <w:b/>
                <w:bCs/>
                <w:color w:val="000000"/>
                <w:sz w:val="22"/>
              </w:rPr>
              <w:t>Item</w:t>
            </w:r>
          </w:p>
        </w:tc>
        <w:tc>
          <w:tcPr>
            <w:tcW w:w="2118" w:type="dxa"/>
            <w:tcBorders>
              <w:top w:val="single" w:sz="4" w:space="0" w:color="auto"/>
              <w:left w:val="nil"/>
              <w:bottom w:val="single" w:sz="4" w:space="0" w:color="auto"/>
              <w:right w:val="single" w:sz="4" w:space="0" w:color="auto"/>
            </w:tcBorders>
            <w:shd w:val="clear" w:color="auto" w:fill="auto"/>
            <w:noWrap/>
            <w:vAlign w:val="bottom"/>
            <w:hideMark/>
          </w:tcPr>
          <w:p w14:paraId="724494D4" w14:textId="77777777" w:rsidR="001973DF" w:rsidRPr="001973DF" w:rsidRDefault="001973DF" w:rsidP="001973DF">
            <w:pPr>
              <w:spacing w:after="0" w:line="240" w:lineRule="auto"/>
              <w:jc w:val="center"/>
              <w:rPr>
                <w:rFonts w:eastAsia="Times New Roman" w:cs="Tahoma"/>
                <w:b/>
                <w:bCs/>
                <w:color w:val="000000"/>
                <w:sz w:val="22"/>
              </w:rPr>
            </w:pPr>
            <w:r w:rsidRPr="001973DF">
              <w:rPr>
                <w:rFonts w:eastAsia="Times New Roman" w:cs="Tahoma"/>
                <w:b/>
                <w:bCs/>
                <w:color w:val="000000"/>
                <w:sz w:val="22"/>
              </w:rPr>
              <w:t>Amount</w:t>
            </w:r>
          </w:p>
        </w:tc>
      </w:tr>
      <w:tr w:rsidR="001973DF" w:rsidRPr="001973DF" w14:paraId="651C3AA2"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6135033C" w14:textId="77777777" w:rsidR="001973DF" w:rsidRPr="001973DF" w:rsidRDefault="001973DF" w:rsidP="001973DF">
            <w:pPr>
              <w:spacing w:after="0" w:line="240" w:lineRule="auto"/>
              <w:jc w:val="left"/>
              <w:rPr>
                <w:rFonts w:eastAsia="Times New Roman" w:cs="Tahoma"/>
                <w:b/>
                <w:bCs/>
                <w:color w:val="000000"/>
                <w:sz w:val="22"/>
              </w:rPr>
            </w:pPr>
            <w:r w:rsidRPr="001973DF">
              <w:rPr>
                <w:rFonts w:eastAsia="Times New Roman" w:cs="Tahoma"/>
                <w:b/>
                <w:bCs/>
                <w:color w:val="000000"/>
                <w:sz w:val="22"/>
              </w:rPr>
              <w:t>Total Assets</w:t>
            </w:r>
          </w:p>
        </w:tc>
        <w:tc>
          <w:tcPr>
            <w:tcW w:w="2118" w:type="dxa"/>
            <w:tcBorders>
              <w:top w:val="nil"/>
              <w:left w:val="nil"/>
              <w:bottom w:val="single" w:sz="4" w:space="0" w:color="auto"/>
              <w:right w:val="single" w:sz="4" w:space="0" w:color="auto"/>
            </w:tcBorders>
            <w:shd w:val="clear" w:color="auto" w:fill="auto"/>
            <w:noWrap/>
            <w:vAlign w:val="bottom"/>
            <w:hideMark/>
          </w:tcPr>
          <w:p w14:paraId="49C9FDD9" w14:textId="77777777" w:rsidR="001973DF" w:rsidRPr="001973DF" w:rsidRDefault="001973DF" w:rsidP="001973DF">
            <w:pPr>
              <w:spacing w:after="0" w:line="240" w:lineRule="auto"/>
              <w:jc w:val="right"/>
              <w:rPr>
                <w:rFonts w:eastAsia="Times New Roman" w:cs="Tahoma"/>
                <w:b/>
                <w:bCs/>
                <w:color w:val="000000"/>
                <w:sz w:val="22"/>
              </w:rPr>
            </w:pPr>
            <w:r w:rsidRPr="001973DF">
              <w:rPr>
                <w:rFonts w:eastAsia="Times New Roman" w:cs="Tahoma"/>
                <w:b/>
                <w:bCs/>
                <w:color w:val="000000"/>
                <w:sz w:val="22"/>
              </w:rPr>
              <w:t xml:space="preserve">       1,030,000 </w:t>
            </w:r>
          </w:p>
        </w:tc>
      </w:tr>
      <w:tr w:rsidR="001973DF" w:rsidRPr="001973DF" w14:paraId="4C9E7EAD"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070239AA" w14:textId="77777777" w:rsidR="001973DF" w:rsidRPr="001973DF" w:rsidRDefault="001973DF" w:rsidP="001973DF">
            <w:pPr>
              <w:spacing w:after="0" w:line="240" w:lineRule="auto"/>
              <w:jc w:val="left"/>
              <w:rPr>
                <w:rFonts w:eastAsia="Times New Roman" w:cs="Tahoma"/>
                <w:color w:val="000000"/>
                <w:sz w:val="22"/>
              </w:rPr>
            </w:pPr>
            <w:r w:rsidRPr="001973DF">
              <w:rPr>
                <w:rFonts w:eastAsia="Times New Roman" w:cs="Tahoma"/>
                <w:color w:val="000000"/>
                <w:sz w:val="22"/>
              </w:rPr>
              <w:t>Current Asset</w:t>
            </w:r>
          </w:p>
        </w:tc>
        <w:tc>
          <w:tcPr>
            <w:tcW w:w="2118" w:type="dxa"/>
            <w:tcBorders>
              <w:top w:val="nil"/>
              <w:left w:val="nil"/>
              <w:bottom w:val="single" w:sz="4" w:space="0" w:color="auto"/>
              <w:right w:val="single" w:sz="4" w:space="0" w:color="auto"/>
            </w:tcBorders>
            <w:shd w:val="clear" w:color="auto" w:fill="auto"/>
            <w:noWrap/>
            <w:vAlign w:val="bottom"/>
            <w:hideMark/>
          </w:tcPr>
          <w:p w14:paraId="7B6AD5F1" w14:textId="77777777" w:rsidR="001973DF" w:rsidRPr="001973DF" w:rsidRDefault="001973DF" w:rsidP="001973DF">
            <w:pPr>
              <w:spacing w:after="0" w:line="240" w:lineRule="auto"/>
              <w:jc w:val="right"/>
              <w:rPr>
                <w:rFonts w:eastAsia="Times New Roman" w:cs="Tahoma"/>
                <w:color w:val="000000"/>
                <w:sz w:val="22"/>
              </w:rPr>
            </w:pPr>
            <w:r w:rsidRPr="001973DF">
              <w:rPr>
                <w:rFonts w:eastAsia="Times New Roman" w:cs="Tahoma"/>
                <w:color w:val="000000"/>
                <w:sz w:val="22"/>
              </w:rPr>
              <w:t xml:space="preserve">         250,000 </w:t>
            </w:r>
          </w:p>
        </w:tc>
      </w:tr>
      <w:tr w:rsidR="001973DF" w:rsidRPr="001973DF" w14:paraId="06A0011A"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776EA410" w14:textId="77777777" w:rsidR="001973DF" w:rsidRPr="001973DF" w:rsidRDefault="001973DF" w:rsidP="001973DF">
            <w:pPr>
              <w:spacing w:after="0" w:line="240" w:lineRule="auto"/>
              <w:jc w:val="left"/>
              <w:rPr>
                <w:rFonts w:eastAsia="Times New Roman" w:cs="Tahoma"/>
                <w:color w:val="000000"/>
                <w:sz w:val="22"/>
              </w:rPr>
            </w:pPr>
            <w:r w:rsidRPr="001973DF">
              <w:rPr>
                <w:rFonts w:eastAsia="Times New Roman" w:cs="Tahoma"/>
                <w:color w:val="000000"/>
                <w:sz w:val="22"/>
              </w:rPr>
              <w:t>Property &amp; Equipment</w:t>
            </w:r>
          </w:p>
        </w:tc>
        <w:tc>
          <w:tcPr>
            <w:tcW w:w="2118" w:type="dxa"/>
            <w:tcBorders>
              <w:top w:val="nil"/>
              <w:left w:val="nil"/>
              <w:bottom w:val="single" w:sz="4" w:space="0" w:color="auto"/>
              <w:right w:val="single" w:sz="4" w:space="0" w:color="auto"/>
            </w:tcBorders>
            <w:shd w:val="clear" w:color="auto" w:fill="auto"/>
            <w:noWrap/>
            <w:vAlign w:val="bottom"/>
            <w:hideMark/>
          </w:tcPr>
          <w:p w14:paraId="6A98E542" w14:textId="77777777" w:rsidR="001973DF" w:rsidRPr="001973DF" w:rsidRDefault="001973DF" w:rsidP="001973DF">
            <w:pPr>
              <w:spacing w:after="0" w:line="240" w:lineRule="auto"/>
              <w:jc w:val="right"/>
              <w:rPr>
                <w:rFonts w:eastAsia="Times New Roman" w:cs="Tahoma"/>
                <w:color w:val="000000"/>
                <w:sz w:val="22"/>
              </w:rPr>
            </w:pPr>
            <w:r w:rsidRPr="001973DF">
              <w:rPr>
                <w:rFonts w:eastAsia="Times New Roman" w:cs="Tahoma"/>
                <w:color w:val="000000"/>
                <w:sz w:val="22"/>
              </w:rPr>
              <w:t xml:space="preserve">         630,000 </w:t>
            </w:r>
          </w:p>
        </w:tc>
      </w:tr>
      <w:tr w:rsidR="001973DF" w:rsidRPr="001973DF" w14:paraId="30DF9F29"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4356FA0B" w14:textId="77777777" w:rsidR="001973DF" w:rsidRPr="001973DF" w:rsidRDefault="001973DF" w:rsidP="001973DF">
            <w:pPr>
              <w:spacing w:after="0" w:line="240" w:lineRule="auto"/>
              <w:jc w:val="left"/>
              <w:rPr>
                <w:rFonts w:eastAsia="Times New Roman" w:cs="Tahoma"/>
                <w:color w:val="000000"/>
                <w:sz w:val="22"/>
              </w:rPr>
            </w:pPr>
            <w:r w:rsidRPr="001973DF">
              <w:rPr>
                <w:rFonts w:eastAsia="Times New Roman" w:cs="Tahoma"/>
                <w:color w:val="000000"/>
                <w:sz w:val="22"/>
              </w:rPr>
              <w:t>Other Asset</w:t>
            </w:r>
          </w:p>
        </w:tc>
        <w:tc>
          <w:tcPr>
            <w:tcW w:w="2118" w:type="dxa"/>
            <w:tcBorders>
              <w:top w:val="nil"/>
              <w:left w:val="nil"/>
              <w:bottom w:val="single" w:sz="4" w:space="0" w:color="auto"/>
              <w:right w:val="single" w:sz="4" w:space="0" w:color="auto"/>
            </w:tcBorders>
            <w:shd w:val="clear" w:color="auto" w:fill="auto"/>
            <w:noWrap/>
            <w:vAlign w:val="bottom"/>
            <w:hideMark/>
          </w:tcPr>
          <w:p w14:paraId="7AC3494A" w14:textId="77777777" w:rsidR="001973DF" w:rsidRPr="001973DF" w:rsidRDefault="001973DF" w:rsidP="001973DF">
            <w:pPr>
              <w:spacing w:after="0" w:line="240" w:lineRule="auto"/>
              <w:jc w:val="right"/>
              <w:rPr>
                <w:rFonts w:eastAsia="Times New Roman" w:cs="Tahoma"/>
                <w:color w:val="000000"/>
                <w:sz w:val="22"/>
              </w:rPr>
            </w:pPr>
            <w:r w:rsidRPr="001973DF">
              <w:rPr>
                <w:rFonts w:eastAsia="Times New Roman" w:cs="Tahoma"/>
                <w:color w:val="000000"/>
                <w:sz w:val="22"/>
              </w:rPr>
              <w:t xml:space="preserve">         150,000 </w:t>
            </w:r>
          </w:p>
        </w:tc>
      </w:tr>
      <w:tr w:rsidR="001973DF" w:rsidRPr="001973DF" w14:paraId="31D75058" w14:textId="77777777" w:rsidTr="001973DF">
        <w:trPr>
          <w:trHeight w:val="314"/>
          <w:jc w:val="center"/>
        </w:trPr>
        <w:tc>
          <w:tcPr>
            <w:tcW w:w="6096" w:type="dxa"/>
            <w:gridSpan w:val="2"/>
            <w:tcBorders>
              <w:top w:val="nil"/>
              <w:left w:val="single" w:sz="4" w:space="0" w:color="auto"/>
              <w:bottom w:val="single" w:sz="4" w:space="0" w:color="auto"/>
              <w:right w:val="single" w:sz="4" w:space="0" w:color="auto"/>
            </w:tcBorders>
            <w:shd w:val="clear" w:color="auto" w:fill="auto"/>
            <w:noWrap/>
            <w:vAlign w:val="bottom"/>
            <w:hideMark/>
          </w:tcPr>
          <w:p w14:paraId="57534DAA" w14:textId="3420350C" w:rsidR="001973DF" w:rsidRPr="001973DF" w:rsidRDefault="001973DF" w:rsidP="001973DF">
            <w:pPr>
              <w:spacing w:after="0" w:line="240" w:lineRule="auto"/>
              <w:jc w:val="left"/>
              <w:rPr>
                <w:rFonts w:eastAsia="Times New Roman" w:cs="Tahoma"/>
                <w:color w:val="000000"/>
                <w:sz w:val="22"/>
              </w:rPr>
            </w:pPr>
            <w:r w:rsidRPr="001973DF">
              <w:rPr>
                <w:rFonts w:eastAsia="Times New Roman" w:cs="Tahoma"/>
                <w:color w:val="000000"/>
                <w:sz w:val="22"/>
              </w:rPr>
              <w:t>  </w:t>
            </w:r>
          </w:p>
        </w:tc>
      </w:tr>
      <w:tr w:rsidR="001973DF" w:rsidRPr="001973DF" w14:paraId="763BECB9"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2C3214CA" w14:textId="77777777" w:rsidR="001973DF" w:rsidRPr="001973DF" w:rsidRDefault="001973DF" w:rsidP="001973DF">
            <w:pPr>
              <w:spacing w:after="0" w:line="240" w:lineRule="auto"/>
              <w:jc w:val="left"/>
              <w:rPr>
                <w:rFonts w:eastAsia="Times New Roman" w:cs="Tahoma"/>
                <w:b/>
                <w:bCs/>
                <w:color w:val="000000"/>
                <w:sz w:val="22"/>
              </w:rPr>
            </w:pPr>
            <w:r w:rsidRPr="001973DF">
              <w:rPr>
                <w:rFonts w:eastAsia="Times New Roman" w:cs="Tahoma"/>
                <w:b/>
                <w:bCs/>
                <w:color w:val="000000"/>
                <w:sz w:val="22"/>
              </w:rPr>
              <w:t>Total Liabilities and Equity</w:t>
            </w:r>
          </w:p>
        </w:tc>
        <w:tc>
          <w:tcPr>
            <w:tcW w:w="2118" w:type="dxa"/>
            <w:tcBorders>
              <w:top w:val="nil"/>
              <w:left w:val="nil"/>
              <w:bottom w:val="single" w:sz="4" w:space="0" w:color="auto"/>
              <w:right w:val="single" w:sz="4" w:space="0" w:color="auto"/>
            </w:tcBorders>
            <w:shd w:val="clear" w:color="auto" w:fill="auto"/>
            <w:noWrap/>
            <w:vAlign w:val="bottom"/>
            <w:hideMark/>
          </w:tcPr>
          <w:p w14:paraId="1854548A" w14:textId="77777777" w:rsidR="001973DF" w:rsidRPr="001973DF" w:rsidRDefault="001973DF" w:rsidP="001973DF">
            <w:pPr>
              <w:spacing w:after="0" w:line="240" w:lineRule="auto"/>
              <w:jc w:val="right"/>
              <w:rPr>
                <w:rFonts w:eastAsia="Times New Roman" w:cs="Tahoma"/>
                <w:b/>
                <w:bCs/>
                <w:color w:val="000000"/>
                <w:sz w:val="22"/>
              </w:rPr>
            </w:pPr>
            <w:r w:rsidRPr="001973DF">
              <w:rPr>
                <w:rFonts w:eastAsia="Times New Roman" w:cs="Tahoma"/>
                <w:b/>
                <w:bCs/>
                <w:color w:val="000000"/>
                <w:sz w:val="22"/>
              </w:rPr>
              <w:t xml:space="preserve">       1,030,000 </w:t>
            </w:r>
          </w:p>
        </w:tc>
      </w:tr>
      <w:tr w:rsidR="001973DF" w:rsidRPr="001973DF" w14:paraId="39A33ADB"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73F5770E" w14:textId="77777777" w:rsidR="001973DF" w:rsidRPr="001973DF" w:rsidRDefault="001973DF" w:rsidP="001973DF">
            <w:pPr>
              <w:spacing w:after="0" w:line="240" w:lineRule="auto"/>
              <w:jc w:val="left"/>
              <w:rPr>
                <w:rFonts w:eastAsia="Times New Roman" w:cs="Tahoma"/>
                <w:b/>
                <w:bCs/>
                <w:color w:val="000000"/>
                <w:sz w:val="22"/>
              </w:rPr>
            </w:pPr>
            <w:r w:rsidRPr="001973DF">
              <w:rPr>
                <w:rFonts w:eastAsia="Times New Roman" w:cs="Tahoma"/>
                <w:b/>
                <w:bCs/>
                <w:color w:val="000000"/>
                <w:sz w:val="22"/>
              </w:rPr>
              <w:t>Total Liabilities</w:t>
            </w:r>
          </w:p>
        </w:tc>
        <w:tc>
          <w:tcPr>
            <w:tcW w:w="2118" w:type="dxa"/>
            <w:tcBorders>
              <w:top w:val="nil"/>
              <w:left w:val="nil"/>
              <w:bottom w:val="single" w:sz="4" w:space="0" w:color="auto"/>
              <w:right w:val="single" w:sz="4" w:space="0" w:color="auto"/>
            </w:tcBorders>
            <w:shd w:val="clear" w:color="auto" w:fill="auto"/>
            <w:noWrap/>
            <w:vAlign w:val="bottom"/>
            <w:hideMark/>
          </w:tcPr>
          <w:p w14:paraId="2AE54C0C" w14:textId="77777777" w:rsidR="001973DF" w:rsidRPr="001973DF" w:rsidRDefault="001973DF" w:rsidP="001973DF">
            <w:pPr>
              <w:spacing w:after="0" w:line="240" w:lineRule="auto"/>
              <w:jc w:val="right"/>
              <w:rPr>
                <w:rFonts w:eastAsia="Times New Roman" w:cs="Tahoma"/>
                <w:b/>
                <w:bCs/>
                <w:color w:val="000000"/>
                <w:sz w:val="22"/>
              </w:rPr>
            </w:pPr>
            <w:r w:rsidRPr="001973DF">
              <w:rPr>
                <w:rFonts w:eastAsia="Times New Roman" w:cs="Tahoma"/>
                <w:b/>
                <w:bCs/>
                <w:color w:val="000000"/>
                <w:sz w:val="22"/>
              </w:rPr>
              <w:t xml:space="preserve">         580,000 </w:t>
            </w:r>
          </w:p>
        </w:tc>
      </w:tr>
      <w:tr w:rsidR="001973DF" w:rsidRPr="001973DF" w14:paraId="32E7AABA"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4615BCE0" w14:textId="77777777" w:rsidR="001973DF" w:rsidRPr="001973DF" w:rsidRDefault="001973DF" w:rsidP="001973DF">
            <w:pPr>
              <w:spacing w:after="0" w:line="240" w:lineRule="auto"/>
              <w:jc w:val="left"/>
              <w:rPr>
                <w:rFonts w:eastAsia="Times New Roman" w:cs="Tahoma"/>
                <w:color w:val="000000"/>
                <w:sz w:val="22"/>
              </w:rPr>
            </w:pPr>
            <w:r w:rsidRPr="001973DF">
              <w:rPr>
                <w:rFonts w:eastAsia="Times New Roman" w:cs="Tahoma"/>
                <w:color w:val="000000"/>
                <w:sz w:val="22"/>
              </w:rPr>
              <w:t>Current Liabilities</w:t>
            </w:r>
          </w:p>
        </w:tc>
        <w:tc>
          <w:tcPr>
            <w:tcW w:w="2118" w:type="dxa"/>
            <w:tcBorders>
              <w:top w:val="nil"/>
              <w:left w:val="nil"/>
              <w:bottom w:val="single" w:sz="4" w:space="0" w:color="auto"/>
              <w:right w:val="single" w:sz="4" w:space="0" w:color="auto"/>
            </w:tcBorders>
            <w:shd w:val="clear" w:color="auto" w:fill="auto"/>
            <w:noWrap/>
            <w:vAlign w:val="bottom"/>
            <w:hideMark/>
          </w:tcPr>
          <w:p w14:paraId="4AFBA4A2" w14:textId="77777777" w:rsidR="001973DF" w:rsidRPr="001973DF" w:rsidRDefault="001973DF" w:rsidP="001973DF">
            <w:pPr>
              <w:spacing w:after="0" w:line="240" w:lineRule="auto"/>
              <w:jc w:val="right"/>
              <w:rPr>
                <w:rFonts w:eastAsia="Times New Roman" w:cs="Tahoma"/>
                <w:color w:val="000000"/>
                <w:sz w:val="22"/>
              </w:rPr>
            </w:pPr>
            <w:r w:rsidRPr="001973DF">
              <w:rPr>
                <w:rFonts w:eastAsia="Times New Roman" w:cs="Tahoma"/>
                <w:color w:val="000000"/>
                <w:sz w:val="22"/>
              </w:rPr>
              <w:t xml:space="preserve">         180,000 </w:t>
            </w:r>
          </w:p>
        </w:tc>
      </w:tr>
      <w:tr w:rsidR="001973DF" w:rsidRPr="001973DF" w14:paraId="5D1B6016"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7C8D6D2B" w14:textId="77777777" w:rsidR="001973DF" w:rsidRPr="001973DF" w:rsidRDefault="001973DF" w:rsidP="001973DF">
            <w:pPr>
              <w:spacing w:after="0" w:line="240" w:lineRule="auto"/>
              <w:jc w:val="left"/>
              <w:rPr>
                <w:rFonts w:eastAsia="Times New Roman" w:cs="Tahoma"/>
                <w:color w:val="000000"/>
                <w:sz w:val="22"/>
              </w:rPr>
            </w:pPr>
            <w:r w:rsidRPr="001973DF">
              <w:rPr>
                <w:rFonts w:eastAsia="Times New Roman" w:cs="Tahoma"/>
                <w:color w:val="000000"/>
                <w:sz w:val="22"/>
              </w:rPr>
              <w:t>Long-term Debt</w:t>
            </w:r>
          </w:p>
        </w:tc>
        <w:tc>
          <w:tcPr>
            <w:tcW w:w="2118" w:type="dxa"/>
            <w:tcBorders>
              <w:top w:val="nil"/>
              <w:left w:val="nil"/>
              <w:bottom w:val="single" w:sz="4" w:space="0" w:color="auto"/>
              <w:right w:val="single" w:sz="4" w:space="0" w:color="auto"/>
            </w:tcBorders>
            <w:shd w:val="clear" w:color="auto" w:fill="auto"/>
            <w:noWrap/>
            <w:vAlign w:val="bottom"/>
            <w:hideMark/>
          </w:tcPr>
          <w:p w14:paraId="58A21563" w14:textId="77777777" w:rsidR="001973DF" w:rsidRPr="001973DF" w:rsidRDefault="001973DF" w:rsidP="001973DF">
            <w:pPr>
              <w:spacing w:after="0" w:line="240" w:lineRule="auto"/>
              <w:jc w:val="right"/>
              <w:rPr>
                <w:rFonts w:eastAsia="Times New Roman" w:cs="Tahoma"/>
                <w:color w:val="000000"/>
                <w:sz w:val="22"/>
              </w:rPr>
            </w:pPr>
            <w:r w:rsidRPr="001973DF">
              <w:rPr>
                <w:rFonts w:eastAsia="Times New Roman" w:cs="Tahoma"/>
                <w:color w:val="000000"/>
                <w:sz w:val="22"/>
              </w:rPr>
              <w:t xml:space="preserve">         400,000 </w:t>
            </w:r>
          </w:p>
        </w:tc>
      </w:tr>
      <w:tr w:rsidR="001973DF" w:rsidRPr="001973DF" w14:paraId="6170A910" w14:textId="77777777" w:rsidTr="001973DF">
        <w:trPr>
          <w:trHeight w:val="239"/>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14:paraId="7E42261F" w14:textId="77777777" w:rsidR="001973DF" w:rsidRPr="001973DF" w:rsidRDefault="001973DF" w:rsidP="001973DF">
            <w:pPr>
              <w:spacing w:after="0" w:line="240" w:lineRule="auto"/>
              <w:jc w:val="left"/>
              <w:rPr>
                <w:rFonts w:eastAsia="Times New Roman" w:cs="Tahoma"/>
                <w:b/>
                <w:bCs/>
                <w:color w:val="000000"/>
                <w:sz w:val="22"/>
              </w:rPr>
            </w:pPr>
            <w:r w:rsidRPr="001973DF">
              <w:rPr>
                <w:rFonts w:eastAsia="Times New Roman" w:cs="Tahoma"/>
                <w:b/>
                <w:bCs/>
                <w:color w:val="000000"/>
                <w:sz w:val="22"/>
              </w:rPr>
              <w:t>Equity</w:t>
            </w:r>
          </w:p>
        </w:tc>
        <w:tc>
          <w:tcPr>
            <w:tcW w:w="2118" w:type="dxa"/>
            <w:tcBorders>
              <w:top w:val="nil"/>
              <w:left w:val="nil"/>
              <w:bottom w:val="single" w:sz="4" w:space="0" w:color="auto"/>
              <w:right w:val="single" w:sz="4" w:space="0" w:color="auto"/>
            </w:tcBorders>
            <w:shd w:val="clear" w:color="auto" w:fill="auto"/>
            <w:noWrap/>
            <w:vAlign w:val="bottom"/>
            <w:hideMark/>
          </w:tcPr>
          <w:p w14:paraId="4ABD7650" w14:textId="456E33E9" w:rsidR="001973DF" w:rsidRPr="001973DF" w:rsidRDefault="001973DF" w:rsidP="001973DF">
            <w:pPr>
              <w:spacing w:after="0" w:line="240" w:lineRule="auto"/>
              <w:jc w:val="right"/>
              <w:rPr>
                <w:rFonts w:eastAsia="Times New Roman" w:cs="Tahoma"/>
                <w:b/>
                <w:bCs/>
                <w:color w:val="000000"/>
                <w:sz w:val="22"/>
              </w:rPr>
            </w:pPr>
            <w:r w:rsidRPr="001973DF">
              <w:rPr>
                <w:rFonts w:eastAsia="Times New Roman" w:cs="Tahoma"/>
                <w:b/>
                <w:bCs/>
                <w:color w:val="000000"/>
                <w:sz w:val="22"/>
              </w:rPr>
              <w:t xml:space="preserve">         450,000 </w:t>
            </w:r>
          </w:p>
        </w:tc>
      </w:tr>
    </w:tbl>
    <w:p w14:paraId="11D5E470" w14:textId="77777777" w:rsidR="00446F82" w:rsidRDefault="00446F82"/>
    <w:p w14:paraId="259BEFF9" w14:textId="37281B11" w:rsidR="00446F82" w:rsidRPr="00670489" w:rsidRDefault="001973DF">
      <w:pPr>
        <w:rPr>
          <w:rFonts w:ascii="Arial" w:hAnsi="Arial" w:cs="Arial"/>
        </w:rPr>
      </w:pPr>
      <w:r w:rsidRPr="00670489">
        <w:rPr>
          <w:rFonts w:ascii="Arial" w:hAnsi="Arial" w:cs="Arial"/>
        </w:rPr>
        <w:t xml:space="preserve">From the above financial information, it is observed that the current asset, property &amp; equipment, and other asset worth of amounting to BDT 2,50,000, BDT 6,30,000, and BDT 1,50,000 respectively. On the other hand, it is observed that the current </w:t>
      </w:r>
      <w:r w:rsidR="004B1E7C" w:rsidRPr="00670489">
        <w:rPr>
          <w:rFonts w:ascii="Arial" w:hAnsi="Arial" w:cs="Arial"/>
        </w:rPr>
        <w:t>liability and long-term liability worth of amounting to BDT 1,80,000 and BDT 4,00,000. From the above financial information, it is also observed that the value of current asset is higher than value of current liabilities. So, this company has enough liquidity in terms of working capital requirement</w:t>
      </w:r>
      <w:r w:rsidR="00E850F2" w:rsidRPr="00670489">
        <w:rPr>
          <w:rFonts w:ascii="Arial" w:hAnsi="Arial" w:cs="Arial"/>
        </w:rPr>
        <w:t xml:space="preserve"> (Warren et al., 2024)</w:t>
      </w:r>
      <w:r w:rsidR="004B1E7C" w:rsidRPr="00670489">
        <w:rPr>
          <w:rFonts w:ascii="Arial" w:hAnsi="Arial" w:cs="Arial"/>
        </w:rPr>
        <w:t xml:space="preserve">.  </w:t>
      </w:r>
    </w:p>
    <w:p w14:paraId="304EB405" w14:textId="337B6C49" w:rsidR="004B1E7C" w:rsidRPr="00044E72" w:rsidRDefault="004B1E7C" w:rsidP="00F55A10">
      <w:pPr>
        <w:pStyle w:val="Heading2"/>
      </w:pPr>
      <w:bookmarkStart w:id="6" w:name="_Toc150722495"/>
      <w:r w:rsidRPr="00044E72">
        <w:t>Cashflow statement analysis</w:t>
      </w:r>
      <w:bookmarkEnd w:id="6"/>
    </w:p>
    <w:p w14:paraId="22571DAF" w14:textId="626E48FD" w:rsidR="004B1E7C" w:rsidRPr="00670489" w:rsidRDefault="004B1E7C">
      <w:pPr>
        <w:rPr>
          <w:rFonts w:ascii="Arial" w:hAnsi="Arial" w:cs="Arial"/>
        </w:rPr>
      </w:pPr>
      <w:r w:rsidRPr="00670489">
        <w:rPr>
          <w:rFonts w:ascii="Arial" w:hAnsi="Arial" w:cs="Arial"/>
        </w:rPr>
        <w:t>The cashflow statement contains financial information regarding cashflow operating activities, cash flow from investing activities, and cashflow from financing activities</w:t>
      </w:r>
      <w:r w:rsidR="00E850F2" w:rsidRPr="00670489">
        <w:rPr>
          <w:rFonts w:ascii="Arial" w:hAnsi="Arial" w:cs="Arial"/>
        </w:rPr>
        <w:t xml:space="preserve"> (Correia et al., 2019)</w:t>
      </w:r>
      <w:r w:rsidRPr="00670489">
        <w:rPr>
          <w:rFonts w:ascii="Arial" w:hAnsi="Arial" w:cs="Arial"/>
        </w:rPr>
        <w:t xml:space="preserve">. The flow of cash in and cash out has been </w:t>
      </w:r>
      <w:proofErr w:type="spellStart"/>
      <w:r w:rsidRPr="00670489">
        <w:rPr>
          <w:rFonts w:ascii="Arial" w:hAnsi="Arial" w:cs="Arial"/>
        </w:rPr>
        <w:t>analy</w:t>
      </w:r>
      <w:r w:rsidR="00670489">
        <w:rPr>
          <w:rFonts w:ascii="Arial" w:hAnsi="Arial" w:cs="Arial"/>
        </w:rPr>
        <w:t>s</w:t>
      </w:r>
      <w:r w:rsidRPr="00670489">
        <w:rPr>
          <w:rFonts w:ascii="Arial" w:hAnsi="Arial" w:cs="Arial"/>
        </w:rPr>
        <w:t>ed</w:t>
      </w:r>
      <w:proofErr w:type="spellEnd"/>
      <w:r w:rsidRPr="00670489">
        <w:rPr>
          <w:rFonts w:ascii="Arial" w:hAnsi="Arial" w:cs="Arial"/>
        </w:rPr>
        <w:t xml:space="preserve"> through analysis of the cash flow statements. </w:t>
      </w:r>
    </w:p>
    <w:tbl>
      <w:tblPr>
        <w:tblStyle w:val="TableGrid"/>
        <w:tblW w:w="0" w:type="auto"/>
        <w:tblLook w:val="04A0" w:firstRow="1" w:lastRow="0" w:firstColumn="1" w:lastColumn="0" w:noHBand="0" w:noVBand="1"/>
      </w:tblPr>
      <w:tblGrid>
        <w:gridCol w:w="7515"/>
        <w:gridCol w:w="1501"/>
      </w:tblGrid>
      <w:tr w:rsidR="004B1E7C" w14:paraId="02E64703" w14:textId="77777777" w:rsidTr="00044E72">
        <w:trPr>
          <w:trHeight w:val="287"/>
        </w:trPr>
        <w:tc>
          <w:tcPr>
            <w:tcW w:w="7515" w:type="dxa"/>
          </w:tcPr>
          <w:p w14:paraId="422EE49B" w14:textId="5068712C" w:rsidR="004B1E7C" w:rsidRPr="00044E72" w:rsidRDefault="004B1E7C" w:rsidP="00044E72">
            <w:pPr>
              <w:spacing w:line="240" w:lineRule="auto"/>
              <w:jc w:val="center"/>
              <w:rPr>
                <w:b/>
                <w:bCs/>
              </w:rPr>
            </w:pPr>
            <w:r w:rsidRPr="00044E72">
              <w:rPr>
                <w:b/>
                <w:bCs/>
              </w:rPr>
              <w:t>Item</w:t>
            </w:r>
          </w:p>
        </w:tc>
        <w:tc>
          <w:tcPr>
            <w:tcW w:w="1501" w:type="dxa"/>
          </w:tcPr>
          <w:p w14:paraId="1C04E588" w14:textId="1585D77F" w:rsidR="004B1E7C" w:rsidRPr="00044E72" w:rsidRDefault="004B1E7C" w:rsidP="00044E72">
            <w:pPr>
              <w:spacing w:line="240" w:lineRule="auto"/>
              <w:jc w:val="center"/>
              <w:rPr>
                <w:b/>
                <w:bCs/>
              </w:rPr>
            </w:pPr>
            <w:r w:rsidRPr="00044E72">
              <w:rPr>
                <w:b/>
                <w:bCs/>
              </w:rPr>
              <w:t>Amount</w:t>
            </w:r>
          </w:p>
        </w:tc>
      </w:tr>
      <w:tr w:rsidR="004B1E7C" w14:paraId="2E03F30F" w14:textId="77777777" w:rsidTr="00044E72">
        <w:tc>
          <w:tcPr>
            <w:tcW w:w="7515" w:type="dxa"/>
          </w:tcPr>
          <w:p w14:paraId="573EDED5" w14:textId="5537FD5F" w:rsidR="004B1E7C" w:rsidRPr="00965155" w:rsidRDefault="004B1E7C" w:rsidP="00044E72">
            <w:pPr>
              <w:spacing w:line="240" w:lineRule="auto"/>
              <w:rPr>
                <w:rFonts w:ascii="Arial" w:hAnsi="Arial" w:cs="Arial"/>
              </w:rPr>
            </w:pPr>
            <w:r w:rsidRPr="00965155">
              <w:rPr>
                <w:rFonts w:ascii="Arial" w:hAnsi="Arial" w:cs="Arial"/>
              </w:rPr>
              <w:t>Net Cash Flow from Operation</w:t>
            </w:r>
          </w:p>
        </w:tc>
        <w:tc>
          <w:tcPr>
            <w:tcW w:w="1501" w:type="dxa"/>
          </w:tcPr>
          <w:p w14:paraId="21F779AF" w14:textId="5DD8748C" w:rsidR="004B1E7C" w:rsidRDefault="004B1E7C" w:rsidP="00044E72">
            <w:pPr>
              <w:spacing w:line="240" w:lineRule="auto"/>
              <w:jc w:val="right"/>
            </w:pPr>
            <w:r>
              <w:t>(80,000)</w:t>
            </w:r>
          </w:p>
        </w:tc>
      </w:tr>
      <w:tr w:rsidR="004B1E7C" w14:paraId="1E3CEBE2" w14:textId="77777777" w:rsidTr="00044E72">
        <w:tc>
          <w:tcPr>
            <w:tcW w:w="7515" w:type="dxa"/>
          </w:tcPr>
          <w:p w14:paraId="68906109" w14:textId="21939B80" w:rsidR="004B1E7C" w:rsidRPr="00965155" w:rsidRDefault="004B1E7C" w:rsidP="00044E72">
            <w:pPr>
              <w:spacing w:line="240" w:lineRule="auto"/>
              <w:rPr>
                <w:rFonts w:ascii="Arial" w:hAnsi="Arial" w:cs="Arial"/>
              </w:rPr>
            </w:pPr>
            <w:r w:rsidRPr="00965155">
              <w:rPr>
                <w:rFonts w:ascii="Arial" w:hAnsi="Arial" w:cs="Arial"/>
              </w:rPr>
              <w:t>Capital Expenditures</w:t>
            </w:r>
          </w:p>
        </w:tc>
        <w:tc>
          <w:tcPr>
            <w:tcW w:w="1501" w:type="dxa"/>
          </w:tcPr>
          <w:p w14:paraId="05E78744" w14:textId="5469A385" w:rsidR="004B1E7C" w:rsidRDefault="00044E72" w:rsidP="00044E72">
            <w:pPr>
              <w:spacing w:line="240" w:lineRule="auto"/>
              <w:jc w:val="right"/>
            </w:pPr>
            <w:r>
              <w:t>(</w:t>
            </w:r>
            <w:r w:rsidR="004B1E7C">
              <w:t>30,000</w:t>
            </w:r>
            <w:r>
              <w:t>)</w:t>
            </w:r>
          </w:p>
        </w:tc>
      </w:tr>
      <w:tr w:rsidR="004B1E7C" w14:paraId="42060E94" w14:textId="77777777" w:rsidTr="00044E72">
        <w:tc>
          <w:tcPr>
            <w:tcW w:w="7515" w:type="dxa"/>
          </w:tcPr>
          <w:p w14:paraId="22320F13" w14:textId="54F8D5A6" w:rsidR="004B1E7C" w:rsidRPr="00965155" w:rsidRDefault="004B1E7C" w:rsidP="00044E72">
            <w:pPr>
              <w:spacing w:line="240" w:lineRule="auto"/>
              <w:rPr>
                <w:rFonts w:ascii="Arial" w:hAnsi="Arial" w:cs="Arial"/>
                <w:b/>
                <w:bCs/>
              </w:rPr>
            </w:pPr>
            <w:r w:rsidRPr="00965155">
              <w:rPr>
                <w:rFonts w:ascii="Arial" w:hAnsi="Arial" w:cs="Arial"/>
                <w:b/>
                <w:bCs/>
              </w:rPr>
              <w:t>Net Cash Flow (Change in Cash Balance)</w:t>
            </w:r>
          </w:p>
        </w:tc>
        <w:tc>
          <w:tcPr>
            <w:tcW w:w="1501" w:type="dxa"/>
          </w:tcPr>
          <w:p w14:paraId="75791ACD" w14:textId="446BE074" w:rsidR="004B1E7C" w:rsidRPr="00044E72" w:rsidRDefault="004B1E7C" w:rsidP="00044E72">
            <w:pPr>
              <w:spacing w:line="240" w:lineRule="auto"/>
              <w:jc w:val="right"/>
              <w:rPr>
                <w:b/>
                <w:bCs/>
              </w:rPr>
            </w:pPr>
            <w:r w:rsidRPr="00044E72">
              <w:rPr>
                <w:b/>
                <w:bCs/>
              </w:rPr>
              <w:t>(1,10,000)</w:t>
            </w:r>
          </w:p>
        </w:tc>
      </w:tr>
    </w:tbl>
    <w:p w14:paraId="02166C47" w14:textId="7805929B" w:rsidR="004B1E7C" w:rsidRDefault="004B1E7C"/>
    <w:p w14:paraId="7C90243D" w14:textId="2A8F3143" w:rsidR="00044E72" w:rsidRPr="0034412A" w:rsidRDefault="00044E72">
      <w:pPr>
        <w:rPr>
          <w:rFonts w:ascii="Arial" w:hAnsi="Arial" w:cs="Arial"/>
        </w:rPr>
      </w:pPr>
      <w:r w:rsidRPr="00965155">
        <w:rPr>
          <w:rFonts w:ascii="Arial" w:hAnsi="Arial" w:cs="Arial"/>
        </w:rPr>
        <w:t>From the above cash flow related information, it is observed that the cash flow operation is negative and the negative cashflow indicates that Seaview Resort cannot generate positive cash from its operation</w:t>
      </w:r>
      <w:r w:rsidR="00E850F2" w:rsidRPr="00965155">
        <w:rPr>
          <w:rFonts w:ascii="Arial" w:hAnsi="Arial" w:cs="Arial"/>
        </w:rPr>
        <w:t xml:space="preserve"> (Crane, 2018)</w:t>
      </w:r>
      <w:r w:rsidRPr="00965155">
        <w:rPr>
          <w:rFonts w:ascii="Arial" w:hAnsi="Arial" w:cs="Arial"/>
        </w:rPr>
        <w:t xml:space="preserve">. It indicates that the cashflow </w:t>
      </w:r>
      <w:r w:rsidRPr="0034412A">
        <w:rPr>
          <w:rFonts w:ascii="Arial" w:hAnsi="Arial" w:cs="Arial"/>
        </w:rPr>
        <w:lastRenderedPageBreak/>
        <w:t>position of Seaview Resort is not good enough. Further, Seaview Resor</w:t>
      </w:r>
      <w:r w:rsidR="0034412A" w:rsidRPr="0034412A">
        <w:rPr>
          <w:rFonts w:ascii="Arial" w:hAnsi="Arial" w:cs="Arial"/>
        </w:rPr>
        <w:t>t</w:t>
      </w:r>
      <w:r w:rsidRPr="0034412A">
        <w:rPr>
          <w:rFonts w:ascii="Arial" w:hAnsi="Arial" w:cs="Arial"/>
        </w:rPr>
        <w:t xml:space="preserve"> has made </w:t>
      </w:r>
      <w:proofErr w:type="gramStart"/>
      <w:r w:rsidRPr="0034412A">
        <w:rPr>
          <w:rFonts w:ascii="Arial" w:hAnsi="Arial" w:cs="Arial"/>
        </w:rPr>
        <w:t>investment</w:t>
      </w:r>
      <w:proofErr w:type="gramEnd"/>
      <w:r w:rsidRPr="0034412A">
        <w:rPr>
          <w:rFonts w:ascii="Arial" w:hAnsi="Arial" w:cs="Arial"/>
        </w:rPr>
        <w:t xml:space="preserve"> on capital expenditure during this year. </w:t>
      </w:r>
    </w:p>
    <w:p w14:paraId="3DA4B5E2" w14:textId="17DCFD67" w:rsidR="00E63B2C" w:rsidRDefault="00E63B2C" w:rsidP="00F55A10">
      <w:pPr>
        <w:pStyle w:val="Heading1"/>
      </w:pPr>
      <w:bookmarkStart w:id="7" w:name="_Toc150722496"/>
      <w:r>
        <w:t>Financial Ratio Analysis</w:t>
      </w:r>
      <w:bookmarkEnd w:id="7"/>
    </w:p>
    <w:p w14:paraId="618492C3" w14:textId="65A579AF" w:rsidR="00E63B2C" w:rsidRPr="008F055F" w:rsidRDefault="00E63B2C">
      <w:pPr>
        <w:rPr>
          <w:rFonts w:ascii="Arial" w:hAnsi="Arial" w:cs="Arial"/>
        </w:rPr>
      </w:pPr>
      <w:r w:rsidRPr="008F055F">
        <w:rPr>
          <w:rFonts w:ascii="Arial" w:hAnsi="Arial" w:cs="Arial"/>
        </w:rPr>
        <w:t xml:space="preserve">Financial ratio analysis helps the business </w:t>
      </w:r>
      <w:proofErr w:type="spellStart"/>
      <w:r w:rsidRPr="008F055F">
        <w:rPr>
          <w:rFonts w:ascii="Arial" w:hAnsi="Arial" w:cs="Arial"/>
        </w:rPr>
        <w:t>organi</w:t>
      </w:r>
      <w:r w:rsidR="0034412A" w:rsidRPr="008F055F">
        <w:rPr>
          <w:rFonts w:ascii="Arial" w:hAnsi="Arial" w:cs="Arial"/>
        </w:rPr>
        <w:t>s</w:t>
      </w:r>
      <w:r w:rsidRPr="008F055F">
        <w:rPr>
          <w:rFonts w:ascii="Arial" w:hAnsi="Arial" w:cs="Arial"/>
        </w:rPr>
        <w:t>ation</w:t>
      </w:r>
      <w:proofErr w:type="spellEnd"/>
      <w:r w:rsidRPr="008F055F">
        <w:rPr>
          <w:rFonts w:ascii="Arial" w:hAnsi="Arial" w:cs="Arial"/>
        </w:rPr>
        <w:t xml:space="preserve"> to assess the financial condition and financial performance in different dimensions like liquidity, solvency, and profitability</w:t>
      </w:r>
      <w:r w:rsidR="00E850F2" w:rsidRPr="008F055F">
        <w:rPr>
          <w:rFonts w:ascii="Arial" w:hAnsi="Arial" w:cs="Arial"/>
        </w:rPr>
        <w:t xml:space="preserve"> (Droms, 2022)</w:t>
      </w:r>
      <w:r w:rsidRPr="008F055F">
        <w:rPr>
          <w:rFonts w:ascii="Arial" w:hAnsi="Arial" w:cs="Arial"/>
        </w:rPr>
        <w:t>. The financial ratios of Seaview Resort have been calculated below along with interpretations.</w:t>
      </w:r>
    </w:p>
    <w:p w14:paraId="7B929944" w14:textId="45A1C40D" w:rsidR="00E63B2C" w:rsidRDefault="00E63B2C" w:rsidP="00F55A10">
      <w:pPr>
        <w:pStyle w:val="Heading2"/>
      </w:pPr>
      <w:bookmarkStart w:id="8" w:name="_Toc150722497"/>
      <w:r>
        <w:t>Current Ratio</w:t>
      </w:r>
      <w:bookmarkEnd w:id="8"/>
    </w:p>
    <w:p w14:paraId="6F9883AE" w14:textId="097281EB" w:rsidR="00E63B2C" w:rsidRPr="008F055F" w:rsidRDefault="00E63B2C">
      <w:pPr>
        <w:rPr>
          <w:rFonts w:ascii="Arial" w:hAnsi="Arial" w:cs="Arial"/>
        </w:rPr>
      </w:pPr>
      <w:r w:rsidRPr="008F055F">
        <w:rPr>
          <w:rFonts w:ascii="Arial" w:hAnsi="Arial" w:cs="Arial"/>
        </w:rPr>
        <w:t>Current ratio is calculated to assess liquidity of the company through comparison of current assets and current liabilities</w:t>
      </w:r>
      <w:r w:rsidR="00E850F2" w:rsidRPr="008F055F">
        <w:rPr>
          <w:rFonts w:ascii="Arial" w:hAnsi="Arial" w:cs="Arial"/>
        </w:rPr>
        <w:t xml:space="preserve"> (Financial management, 2021)</w:t>
      </w:r>
      <w:r w:rsidRPr="008F055F">
        <w:rPr>
          <w:rFonts w:ascii="Arial" w:hAnsi="Arial" w:cs="Arial"/>
        </w:rPr>
        <w:t>. The current ratio of Seaview Resort is calculated below:</w:t>
      </w:r>
    </w:p>
    <w:p w14:paraId="654A978D" w14:textId="1746F935" w:rsidR="00E63B2C" w:rsidRPr="00E850F2" w:rsidRDefault="00E63B2C" w:rsidP="00E850F2">
      <w:pPr>
        <w:jc w:val="center"/>
        <w:rPr>
          <w:rFonts w:eastAsiaTheme="minorEastAsia"/>
        </w:rPr>
      </w:pPr>
      <w:r>
        <w:t xml:space="preserve">Current Ratio = </w:t>
      </w:r>
      <m:oMath>
        <m:f>
          <m:fPr>
            <m:ctrlPr>
              <w:rPr>
                <w:rFonts w:ascii="Cambria Math" w:hAnsi="Cambria Math"/>
                <w:i/>
              </w:rPr>
            </m:ctrlPr>
          </m:fPr>
          <m:num>
            <m:r>
              <w:rPr>
                <w:rFonts w:ascii="Cambria Math" w:hAnsi="Cambria Math"/>
              </w:rPr>
              <m:t>Current Asset</m:t>
            </m:r>
          </m:num>
          <m:den>
            <m:r>
              <w:rPr>
                <w:rFonts w:ascii="Cambria Math" w:hAnsi="Cambria Math"/>
              </w:rPr>
              <m:t>Current Liability</m:t>
            </m:r>
          </m:den>
        </m:f>
      </m:oMath>
      <w:r>
        <w:t xml:space="preserve">    = </w:t>
      </w:r>
      <m:oMath>
        <m:f>
          <m:fPr>
            <m:ctrlPr>
              <w:rPr>
                <w:rFonts w:ascii="Cambria Math" w:hAnsi="Cambria Math"/>
                <w:i/>
              </w:rPr>
            </m:ctrlPr>
          </m:fPr>
          <m:num>
            <m:r>
              <w:rPr>
                <w:rFonts w:ascii="Cambria Math" w:hAnsi="Cambria Math"/>
              </w:rPr>
              <m:t>2,50,000</m:t>
            </m:r>
          </m:num>
          <m:den>
            <m:r>
              <w:rPr>
                <w:rFonts w:ascii="Cambria Math" w:hAnsi="Cambria Math"/>
              </w:rPr>
              <m:t>1,80,000</m:t>
            </m:r>
          </m:den>
        </m:f>
      </m:oMath>
      <w:r>
        <w:rPr>
          <w:rFonts w:eastAsiaTheme="minorEastAsia"/>
        </w:rPr>
        <w:t xml:space="preserve"> = 1.38:1</w:t>
      </w:r>
    </w:p>
    <w:p w14:paraId="61F57DDA" w14:textId="18D32040" w:rsidR="0007339B" w:rsidRPr="008F055F" w:rsidRDefault="00E63B2C">
      <w:pPr>
        <w:rPr>
          <w:rFonts w:ascii="Arial" w:hAnsi="Arial" w:cs="Arial"/>
        </w:rPr>
      </w:pPr>
      <w:r w:rsidRPr="008F055F">
        <w:rPr>
          <w:rFonts w:ascii="Arial" w:hAnsi="Arial" w:cs="Arial"/>
        </w:rPr>
        <w:t xml:space="preserve">The current ratio of Seaview resort indicates that it has current asset worth of £1.38 against current liability worth of </w:t>
      </w:r>
      <w:r w:rsidR="0007339B" w:rsidRPr="008F055F">
        <w:rPr>
          <w:rFonts w:ascii="Arial" w:hAnsi="Arial" w:cs="Arial"/>
        </w:rPr>
        <w:t>£1. The current ratio of Seaview Resort is not satisfactory at all as the value of current ratio is less than 2:1.</w:t>
      </w:r>
    </w:p>
    <w:p w14:paraId="6D4D79AF" w14:textId="50C1DBD4" w:rsidR="0007339B" w:rsidRDefault="0007339B" w:rsidP="00F55A10">
      <w:pPr>
        <w:pStyle w:val="Heading2"/>
      </w:pPr>
      <w:bookmarkStart w:id="9" w:name="_Toc150722498"/>
      <w:r>
        <w:t>Quick Ratio</w:t>
      </w:r>
      <w:bookmarkEnd w:id="9"/>
    </w:p>
    <w:p w14:paraId="4740D83F" w14:textId="10B1D9AD" w:rsidR="0007339B" w:rsidRPr="008F055F" w:rsidRDefault="0007339B" w:rsidP="0007339B">
      <w:pPr>
        <w:rPr>
          <w:rFonts w:ascii="Arial" w:hAnsi="Arial" w:cs="Arial"/>
        </w:rPr>
      </w:pPr>
      <w:r w:rsidRPr="008F055F">
        <w:rPr>
          <w:rFonts w:ascii="Arial" w:hAnsi="Arial" w:cs="Arial"/>
        </w:rPr>
        <w:t>Quick ratio is calculated to assess liquidity of the company through comparison of current assets except value of inventory and current liabilities</w:t>
      </w:r>
      <w:r w:rsidR="00E850F2" w:rsidRPr="008F055F">
        <w:rPr>
          <w:rFonts w:ascii="Arial" w:hAnsi="Arial" w:cs="Arial"/>
        </w:rPr>
        <w:t xml:space="preserve"> (Financial management, 2014)</w:t>
      </w:r>
      <w:r w:rsidRPr="008F055F">
        <w:rPr>
          <w:rFonts w:ascii="Arial" w:hAnsi="Arial" w:cs="Arial"/>
        </w:rPr>
        <w:t xml:space="preserve">. The </w:t>
      </w:r>
      <w:r w:rsidR="00793561" w:rsidRPr="008F055F">
        <w:rPr>
          <w:rFonts w:ascii="Arial" w:hAnsi="Arial" w:cs="Arial"/>
        </w:rPr>
        <w:t>quick</w:t>
      </w:r>
      <w:r w:rsidRPr="008F055F">
        <w:rPr>
          <w:rFonts w:ascii="Arial" w:hAnsi="Arial" w:cs="Arial"/>
        </w:rPr>
        <w:t xml:space="preserve"> ratio of Seaview Resort is calculated below:</w:t>
      </w:r>
    </w:p>
    <w:p w14:paraId="1DB4CE58" w14:textId="4DE1B0ED" w:rsidR="0007339B" w:rsidRDefault="0007339B" w:rsidP="0007339B">
      <w:pPr>
        <w:jc w:val="center"/>
        <w:rPr>
          <w:rFonts w:eastAsiaTheme="minorEastAsia"/>
        </w:rPr>
      </w:pPr>
      <w:r>
        <w:t xml:space="preserve">Quick Ratio = </w:t>
      </w:r>
      <m:oMath>
        <m:f>
          <m:fPr>
            <m:ctrlPr>
              <w:rPr>
                <w:rFonts w:ascii="Cambria Math" w:hAnsi="Cambria Math"/>
                <w:i/>
              </w:rPr>
            </m:ctrlPr>
          </m:fPr>
          <m:num>
            <m:r>
              <w:rPr>
                <w:rFonts w:ascii="Cambria Math" w:hAnsi="Cambria Math"/>
              </w:rPr>
              <m:t>Current Asset-Inventory</m:t>
            </m:r>
          </m:num>
          <m:den>
            <m:r>
              <w:rPr>
                <w:rFonts w:ascii="Cambria Math" w:hAnsi="Cambria Math"/>
              </w:rPr>
              <m:t>Current Liability</m:t>
            </m:r>
          </m:den>
        </m:f>
      </m:oMath>
      <w:r>
        <w:t xml:space="preserve">    = </w:t>
      </w:r>
      <m:oMath>
        <m:f>
          <m:fPr>
            <m:ctrlPr>
              <w:rPr>
                <w:rFonts w:ascii="Cambria Math" w:hAnsi="Cambria Math"/>
                <w:i/>
              </w:rPr>
            </m:ctrlPr>
          </m:fPr>
          <m:num>
            <m:r>
              <w:rPr>
                <w:rFonts w:ascii="Cambria Math" w:hAnsi="Cambria Math"/>
              </w:rPr>
              <m:t>1,50,000</m:t>
            </m:r>
          </m:num>
          <m:den>
            <m:r>
              <w:rPr>
                <w:rFonts w:ascii="Cambria Math" w:hAnsi="Cambria Math"/>
              </w:rPr>
              <m:t>1,80,000</m:t>
            </m:r>
          </m:den>
        </m:f>
      </m:oMath>
      <w:r>
        <w:rPr>
          <w:rFonts w:eastAsiaTheme="minorEastAsia"/>
        </w:rPr>
        <w:t xml:space="preserve"> = 0.833:1</w:t>
      </w:r>
    </w:p>
    <w:p w14:paraId="3C5CB732" w14:textId="77777777" w:rsidR="0007339B" w:rsidRDefault="0007339B" w:rsidP="0007339B"/>
    <w:p w14:paraId="4BECDFF7" w14:textId="0A32FF88" w:rsidR="0007339B" w:rsidRPr="00D2574C" w:rsidRDefault="0007339B" w:rsidP="0007339B">
      <w:pPr>
        <w:rPr>
          <w:rFonts w:ascii="Arial" w:hAnsi="Arial" w:cs="Arial"/>
        </w:rPr>
      </w:pPr>
      <w:r w:rsidRPr="00D2574C">
        <w:rPr>
          <w:rFonts w:ascii="Arial" w:hAnsi="Arial" w:cs="Arial"/>
        </w:rPr>
        <w:t>The quick ratio of Seaview resort indicates that it has current asset worth of £0.8331 against current liability worth of £1. The quick ratio of Seaview Resort is not satisfactory at all as the value of quick ratio is less than 1:1.</w:t>
      </w:r>
    </w:p>
    <w:p w14:paraId="08D6377A" w14:textId="541C2EC4" w:rsidR="00793561" w:rsidRDefault="00793561">
      <w:pPr>
        <w:spacing w:line="259" w:lineRule="auto"/>
        <w:jc w:val="left"/>
      </w:pPr>
      <w:r>
        <w:br w:type="page"/>
      </w:r>
    </w:p>
    <w:p w14:paraId="5F7CC5EC" w14:textId="7689015A" w:rsidR="00F55A10" w:rsidRDefault="00793561" w:rsidP="00E850F2">
      <w:pPr>
        <w:pStyle w:val="Heading2"/>
      </w:pPr>
      <w:bookmarkStart w:id="10" w:name="_Toc150722499"/>
      <w:r>
        <w:lastRenderedPageBreak/>
        <w:t>Debt to Equity Ratio</w:t>
      </w:r>
      <w:bookmarkEnd w:id="10"/>
    </w:p>
    <w:p w14:paraId="4083F19F" w14:textId="6C63A9A4" w:rsidR="00793561" w:rsidRPr="00A87516" w:rsidRDefault="00793561" w:rsidP="00793561">
      <w:pPr>
        <w:rPr>
          <w:rFonts w:ascii="Arial" w:hAnsi="Arial" w:cs="Arial"/>
        </w:rPr>
      </w:pPr>
      <w:r w:rsidRPr="00A87516">
        <w:rPr>
          <w:rFonts w:ascii="Arial" w:hAnsi="Arial" w:cs="Arial"/>
        </w:rPr>
        <w:t>Debt to Equity ratio is calculated to assess solvency of the company through comparison of total debt and total equity</w:t>
      </w:r>
      <w:r w:rsidR="00E850F2" w:rsidRPr="00A87516">
        <w:rPr>
          <w:rFonts w:ascii="Arial" w:hAnsi="Arial" w:cs="Arial"/>
        </w:rPr>
        <w:t xml:space="preserve"> (Johnson &amp; Melicher, 2021)</w:t>
      </w:r>
      <w:r w:rsidRPr="00A87516">
        <w:rPr>
          <w:rFonts w:ascii="Arial" w:hAnsi="Arial" w:cs="Arial"/>
        </w:rPr>
        <w:t>. The debt-to-equity ratio of Seaview Resort is calculated below:</w:t>
      </w:r>
    </w:p>
    <w:p w14:paraId="46DE0C4F" w14:textId="0105CC31" w:rsidR="00793561" w:rsidRPr="00E850F2" w:rsidRDefault="00793561" w:rsidP="00E850F2">
      <w:pPr>
        <w:jc w:val="center"/>
        <w:rPr>
          <w:rFonts w:eastAsiaTheme="minorEastAsia"/>
        </w:rPr>
      </w:pPr>
      <w:r>
        <w:t xml:space="preserve">Debt to Equity Ratio = </w:t>
      </w:r>
      <m:oMath>
        <m:f>
          <m:fPr>
            <m:ctrlPr>
              <w:rPr>
                <w:rFonts w:ascii="Cambria Math" w:hAnsi="Cambria Math"/>
                <w:i/>
              </w:rPr>
            </m:ctrlPr>
          </m:fPr>
          <m:num>
            <m:r>
              <w:rPr>
                <w:rFonts w:ascii="Cambria Math" w:hAnsi="Cambria Math"/>
              </w:rPr>
              <m:t>Total Debt</m:t>
            </m:r>
          </m:num>
          <m:den>
            <m:r>
              <w:rPr>
                <w:rFonts w:ascii="Cambria Math" w:hAnsi="Cambria Math"/>
              </w:rPr>
              <m:t>Total Equity</m:t>
            </m:r>
          </m:den>
        </m:f>
      </m:oMath>
      <w:r>
        <w:t xml:space="preserve">    = </w:t>
      </w:r>
      <m:oMath>
        <m:f>
          <m:fPr>
            <m:ctrlPr>
              <w:rPr>
                <w:rFonts w:ascii="Cambria Math" w:hAnsi="Cambria Math"/>
                <w:i/>
              </w:rPr>
            </m:ctrlPr>
          </m:fPr>
          <m:num>
            <m:r>
              <w:rPr>
                <w:rFonts w:ascii="Cambria Math" w:hAnsi="Cambria Math"/>
              </w:rPr>
              <m:t>4,00,000</m:t>
            </m:r>
          </m:num>
          <m:den>
            <m:r>
              <w:rPr>
                <w:rFonts w:ascii="Cambria Math" w:hAnsi="Cambria Math"/>
              </w:rPr>
              <m:t>4,50,000</m:t>
            </m:r>
          </m:den>
        </m:f>
      </m:oMath>
      <w:r>
        <w:rPr>
          <w:rFonts w:eastAsiaTheme="minorEastAsia"/>
        </w:rPr>
        <w:t xml:space="preserve"> = 0.88:1</w:t>
      </w:r>
    </w:p>
    <w:p w14:paraId="1F5E0A2D" w14:textId="567715E4" w:rsidR="00F55A10" w:rsidRPr="00A87516" w:rsidRDefault="00793561" w:rsidP="00793561">
      <w:pPr>
        <w:rPr>
          <w:rFonts w:ascii="Arial" w:hAnsi="Arial" w:cs="Arial"/>
        </w:rPr>
      </w:pPr>
      <w:r w:rsidRPr="00A87516">
        <w:rPr>
          <w:rFonts w:ascii="Arial" w:hAnsi="Arial" w:cs="Arial"/>
        </w:rPr>
        <w:t xml:space="preserve">The debt-to-equity ratio of Seaview resort indicates that it has debt worth of £0.88 against equity worth of £1. The </w:t>
      </w:r>
      <w:r w:rsidR="00207BB5" w:rsidRPr="00A87516">
        <w:rPr>
          <w:rFonts w:ascii="Arial" w:hAnsi="Arial" w:cs="Arial"/>
        </w:rPr>
        <w:t>debt-to-equity</w:t>
      </w:r>
      <w:r w:rsidRPr="00A87516">
        <w:rPr>
          <w:rFonts w:ascii="Arial" w:hAnsi="Arial" w:cs="Arial"/>
        </w:rPr>
        <w:t xml:space="preserve"> ratio of Seaview Resort is satisfactory at all as</w:t>
      </w:r>
      <w:r w:rsidR="00207BB5" w:rsidRPr="00A87516">
        <w:rPr>
          <w:rFonts w:ascii="Arial" w:hAnsi="Arial" w:cs="Arial"/>
        </w:rPr>
        <w:t xml:space="preserve"> the value of equity is greater than its long-term debt.</w:t>
      </w:r>
    </w:p>
    <w:p w14:paraId="03D2E098" w14:textId="75B9268D" w:rsidR="00207BB5" w:rsidRDefault="00023CFC" w:rsidP="00F55A10">
      <w:pPr>
        <w:pStyle w:val="Heading2"/>
      </w:pPr>
      <w:bookmarkStart w:id="11" w:name="_Toc150722500"/>
      <w:r>
        <w:t>Return on Asset</w:t>
      </w:r>
      <w:bookmarkEnd w:id="11"/>
    </w:p>
    <w:p w14:paraId="01AE0893" w14:textId="1679936B" w:rsidR="00023CFC" w:rsidRPr="00A87516" w:rsidRDefault="00023CFC" w:rsidP="00023CFC">
      <w:pPr>
        <w:rPr>
          <w:rFonts w:ascii="Arial" w:hAnsi="Arial" w:cs="Arial"/>
        </w:rPr>
      </w:pPr>
      <w:r w:rsidRPr="00A87516">
        <w:rPr>
          <w:rFonts w:ascii="Arial" w:hAnsi="Arial" w:cs="Arial"/>
        </w:rPr>
        <w:t xml:space="preserve">Return on Asset is calculated to assess profitability of the company through comparison of total Asset and total </w:t>
      </w:r>
      <w:r w:rsidR="008322CE" w:rsidRPr="00A87516">
        <w:rPr>
          <w:rFonts w:ascii="Arial" w:hAnsi="Arial" w:cs="Arial"/>
        </w:rPr>
        <w:t>net</w:t>
      </w:r>
      <w:r w:rsidRPr="00A87516">
        <w:rPr>
          <w:rFonts w:ascii="Arial" w:hAnsi="Arial" w:cs="Arial"/>
        </w:rPr>
        <w:t xml:space="preserve"> </w:t>
      </w:r>
      <w:r w:rsidR="008322CE" w:rsidRPr="00A87516">
        <w:rPr>
          <w:rFonts w:ascii="Arial" w:hAnsi="Arial" w:cs="Arial"/>
        </w:rPr>
        <w:t>p</w:t>
      </w:r>
      <w:r w:rsidRPr="00A87516">
        <w:rPr>
          <w:rFonts w:ascii="Arial" w:hAnsi="Arial" w:cs="Arial"/>
        </w:rPr>
        <w:t>rofit</w:t>
      </w:r>
      <w:r w:rsidR="00E850F2" w:rsidRPr="00A87516">
        <w:rPr>
          <w:rFonts w:ascii="Arial" w:hAnsi="Arial" w:cs="Arial"/>
        </w:rPr>
        <w:t xml:space="preserve"> (Khan &amp; Jain, 2019)</w:t>
      </w:r>
      <w:r w:rsidRPr="00A87516">
        <w:rPr>
          <w:rFonts w:ascii="Arial" w:hAnsi="Arial" w:cs="Arial"/>
        </w:rPr>
        <w:t>. The Return on Asset of Seaview Resort is calculated below:</w:t>
      </w:r>
    </w:p>
    <w:p w14:paraId="664488C5" w14:textId="318FBE79" w:rsidR="00023CFC" w:rsidRPr="00E850F2" w:rsidRDefault="00023CFC" w:rsidP="00E850F2">
      <w:pPr>
        <w:jc w:val="center"/>
        <w:rPr>
          <w:rFonts w:eastAsiaTheme="minorEastAsia"/>
        </w:rPr>
      </w:pPr>
      <w:r>
        <w:t xml:space="preserve">Return on Asset = </w:t>
      </w:r>
      <m:oMath>
        <m:f>
          <m:fPr>
            <m:ctrlPr>
              <w:rPr>
                <w:rFonts w:ascii="Cambria Math" w:hAnsi="Cambria Math"/>
                <w:i/>
              </w:rPr>
            </m:ctrlPr>
          </m:fPr>
          <m:num>
            <m:r>
              <w:rPr>
                <w:rFonts w:ascii="Cambria Math" w:hAnsi="Cambria Math"/>
              </w:rPr>
              <m:t>Net Profit</m:t>
            </m:r>
          </m:num>
          <m:den>
            <m:r>
              <w:rPr>
                <w:rFonts w:ascii="Cambria Math" w:hAnsi="Cambria Math"/>
              </w:rPr>
              <m:t>Total Asset</m:t>
            </m:r>
          </m:den>
        </m:f>
      </m:oMath>
      <w:r>
        <w:t xml:space="preserve">    = </w:t>
      </w:r>
      <m:oMath>
        <m:f>
          <m:fPr>
            <m:ctrlPr>
              <w:rPr>
                <w:rFonts w:ascii="Cambria Math" w:hAnsi="Cambria Math"/>
                <w:i/>
              </w:rPr>
            </m:ctrlPr>
          </m:fPr>
          <m:num>
            <m:r>
              <w:rPr>
                <w:rFonts w:ascii="Cambria Math" w:hAnsi="Cambria Math"/>
              </w:rPr>
              <m:t>17,500</m:t>
            </m:r>
          </m:num>
          <m:den>
            <m:r>
              <w:rPr>
                <w:rFonts w:ascii="Cambria Math" w:hAnsi="Cambria Math"/>
              </w:rPr>
              <m:t>10,30,000</m:t>
            </m:r>
          </m:den>
        </m:f>
      </m:oMath>
      <w:r>
        <w:rPr>
          <w:rFonts w:eastAsiaTheme="minorEastAsia"/>
        </w:rPr>
        <w:t xml:space="preserve"> = 1.69%</w:t>
      </w:r>
    </w:p>
    <w:p w14:paraId="538F1737" w14:textId="2455269F" w:rsidR="00023CFC" w:rsidRPr="00A87516" w:rsidRDefault="00023CFC">
      <w:pPr>
        <w:rPr>
          <w:rFonts w:ascii="Arial" w:hAnsi="Arial" w:cs="Arial"/>
        </w:rPr>
      </w:pPr>
      <w:r w:rsidRPr="00A87516">
        <w:rPr>
          <w:rFonts w:ascii="Arial" w:hAnsi="Arial" w:cs="Arial"/>
        </w:rPr>
        <w:t xml:space="preserve">The Return on Asset of Seaview resort indicates that this company can generate net profit of £1.69 with </w:t>
      </w:r>
      <w:proofErr w:type="spellStart"/>
      <w:r w:rsidRPr="00A87516">
        <w:rPr>
          <w:rFonts w:ascii="Arial" w:hAnsi="Arial" w:cs="Arial"/>
        </w:rPr>
        <w:t>utili</w:t>
      </w:r>
      <w:r w:rsidR="00A87516">
        <w:rPr>
          <w:rFonts w:ascii="Arial" w:hAnsi="Arial" w:cs="Arial"/>
        </w:rPr>
        <w:t>s</w:t>
      </w:r>
      <w:r w:rsidRPr="00A87516">
        <w:rPr>
          <w:rFonts w:ascii="Arial" w:hAnsi="Arial" w:cs="Arial"/>
        </w:rPr>
        <w:t>ation</w:t>
      </w:r>
      <w:proofErr w:type="spellEnd"/>
      <w:r w:rsidRPr="00A87516">
        <w:rPr>
          <w:rFonts w:ascii="Arial" w:hAnsi="Arial" w:cs="Arial"/>
        </w:rPr>
        <w:t xml:space="preserve"> of asset worth of £100. The Return on Asset of Seaview Resort is very </w:t>
      </w:r>
      <w:proofErr w:type="gramStart"/>
      <w:r w:rsidRPr="00A87516">
        <w:rPr>
          <w:rFonts w:ascii="Arial" w:hAnsi="Arial" w:cs="Arial"/>
        </w:rPr>
        <w:t>minimal</w:t>
      </w:r>
      <w:proofErr w:type="gramEnd"/>
      <w:r w:rsidRPr="00A87516">
        <w:rPr>
          <w:rFonts w:ascii="Arial" w:hAnsi="Arial" w:cs="Arial"/>
        </w:rPr>
        <w:t xml:space="preserve"> and it also indicates that the company is not capable to </w:t>
      </w:r>
      <w:proofErr w:type="spellStart"/>
      <w:r w:rsidRPr="00A87516">
        <w:rPr>
          <w:rFonts w:ascii="Arial" w:hAnsi="Arial" w:cs="Arial"/>
        </w:rPr>
        <w:t>utili</w:t>
      </w:r>
      <w:r w:rsidR="0041214D">
        <w:rPr>
          <w:rFonts w:ascii="Arial" w:hAnsi="Arial" w:cs="Arial"/>
        </w:rPr>
        <w:t>s</w:t>
      </w:r>
      <w:r w:rsidRPr="00A87516">
        <w:rPr>
          <w:rFonts w:ascii="Arial" w:hAnsi="Arial" w:cs="Arial"/>
        </w:rPr>
        <w:t>e</w:t>
      </w:r>
      <w:proofErr w:type="spellEnd"/>
      <w:r w:rsidRPr="00A87516">
        <w:rPr>
          <w:rFonts w:ascii="Arial" w:hAnsi="Arial" w:cs="Arial"/>
        </w:rPr>
        <w:t xml:space="preserve"> its </w:t>
      </w:r>
      <w:r w:rsidR="00DF08D5" w:rsidRPr="00A87516">
        <w:rPr>
          <w:rFonts w:ascii="Arial" w:hAnsi="Arial" w:cs="Arial"/>
        </w:rPr>
        <w:t>asset</w:t>
      </w:r>
      <w:r w:rsidRPr="00A87516">
        <w:rPr>
          <w:rFonts w:ascii="Arial" w:hAnsi="Arial" w:cs="Arial"/>
        </w:rPr>
        <w:t xml:space="preserve"> at satisfactory level.</w:t>
      </w:r>
    </w:p>
    <w:p w14:paraId="5E229874" w14:textId="230047C0" w:rsidR="00023CFC" w:rsidRDefault="00023CFC" w:rsidP="00F55A10">
      <w:pPr>
        <w:pStyle w:val="Heading2"/>
      </w:pPr>
      <w:bookmarkStart w:id="12" w:name="_Toc150722501"/>
      <w:r>
        <w:t>Return on Equity</w:t>
      </w:r>
      <w:bookmarkEnd w:id="12"/>
    </w:p>
    <w:p w14:paraId="703F801E" w14:textId="02C161AE" w:rsidR="00023CFC" w:rsidRPr="0041214D" w:rsidRDefault="00023CFC" w:rsidP="00023CFC">
      <w:pPr>
        <w:rPr>
          <w:rFonts w:ascii="Arial" w:hAnsi="Arial" w:cs="Arial"/>
        </w:rPr>
      </w:pPr>
      <w:r w:rsidRPr="0041214D">
        <w:rPr>
          <w:rFonts w:ascii="Arial" w:hAnsi="Arial" w:cs="Arial"/>
        </w:rPr>
        <w:t xml:space="preserve">Return on Equity is calculated to assess profitability of the company through comparison of total equity and total </w:t>
      </w:r>
      <w:r w:rsidR="008322CE" w:rsidRPr="0041214D">
        <w:rPr>
          <w:rFonts w:ascii="Arial" w:hAnsi="Arial" w:cs="Arial"/>
        </w:rPr>
        <w:t>n</w:t>
      </w:r>
      <w:r w:rsidRPr="0041214D">
        <w:rPr>
          <w:rFonts w:ascii="Arial" w:hAnsi="Arial" w:cs="Arial"/>
        </w:rPr>
        <w:t xml:space="preserve">et </w:t>
      </w:r>
      <w:r w:rsidR="008322CE" w:rsidRPr="0041214D">
        <w:rPr>
          <w:rFonts w:ascii="Arial" w:hAnsi="Arial" w:cs="Arial"/>
        </w:rPr>
        <w:t>p</w:t>
      </w:r>
      <w:r w:rsidRPr="0041214D">
        <w:rPr>
          <w:rFonts w:ascii="Arial" w:hAnsi="Arial" w:cs="Arial"/>
        </w:rPr>
        <w:t>rofit</w:t>
      </w:r>
      <w:r w:rsidR="00E850F2" w:rsidRPr="0041214D">
        <w:rPr>
          <w:rFonts w:ascii="Arial" w:hAnsi="Arial" w:cs="Arial"/>
        </w:rPr>
        <w:t xml:space="preserve"> (Pandey, 2021)</w:t>
      </w:r>
      <w:r w:rsidRPr="0041214D">
        <w:rPr>
          <w:rFonts w:ascii="Arial" w:hAnsi="Arial" w:cs="Arial"/>
        </w:rPr>
        <w:t>. The Return on Equity of Seaview Resort is calculated below:</w:t>
      </w:r>
    </w:p>
    <w:p w14:paraId="081AEE3D" w14:textId="7FB7A255" w:rsidR="00023CFC" w:rsidRPr="00E850F2" w:rsidRDefault="00023CFC" w:rsidP="00E850F2">
      <w:pPr>
        <w:jc w:val="center"/>
        <w:rPr>
          <w:rFonts w:eastAsiaTheme="minorEastAsia"/>
        </w:rPr>
      </w:pPr>
      <w:r>
        <w:t xml:space="preserve">Return on Equity = </w:t>
      </w:r>
      <m:oMath>
        <m:f>
          <m:fPr>
            <m:ctrlPr>
              <w:rPr>
                <w:rFonts w:ascii="Cambria Math" w:hAnsi="Cambria Math"/>
                <w:i/>
              </w:rPr>
            </m:ctrlPr>
          </m:fPr>
          <m:num>
            <m:r>
              <w:rPr>
                <w:rFonts w:ascii="Cambria Math" w:hAnsi="Cambria Math"/>
              </w:rPr>
              <m:t>Net Profit</m:t>
            </m:r>
          </m:num>
          <m:den>
            <m:r>
              <w:rPr>
                <w:rFonts w:ascii="Cambria Math" w:hAnsi="Cambria Math"/>
              </w:rPr>
              <m:t>Total Equity</m:t>
            </m:r>
          </m:den>
        </m:f>
      </m:oMath>
      <w:r>
        <w:t xml:space="preserve">    = </w:t>
      </w:r>
      <m:oMath>
        <m:f>
          <m:fPr>
            <m:ctrlPr>
              <w:rPr>
                <w:rFonts w:ascii="Cambria Math" w:hAnsi="Cambria Math"/>
                <w:i/>
              </w:rPr>
            </m:ctrlPr>
          </m:fPr>
          <m:num>
            <m:r>
              <w:rPr>
                <w:rFonts w:ascii="Cambria Math" w:hAnsi="Cambria Math"/>
              </w:rPr>
              <m:t>17,500</m:t>
            </m:r>
          </m:num>
          <m:den>
            <m:r>
              <w:rPr>
                <w:rFonts w:ascii="Cambria Math" w:hAnsi="Cambria Math"/>
              </w:rPr>
              <m:t>4,50,000</m:t>
            </m:r>
          </m:den>
        </m:f>
      </m:oMath>
      <w:r>
        <w:rPr>
          <w:rFonts w:eastAsiaTheme="minorEastAsia"/>
        </w:rPr>
        <w:t xml:space="preserve"> = </w:t>
      </w:r>
      <w:r w:rsidR="00DF08D5">
        <w:rPr>
          <w:rFonts w:eastAsiaTheme="minorEastAsia"/>
        </w:rPr>
        <w:t>3</w:t>
      </w:r>
      <w:r>
        <w:rPr>
          <w:rFonts w:eastAsiaTheme="minorEastAsia"/>
        </w:rPr>
        <w:t>.</w:t>
      </w:r>
      <w:r w:rsidR="00DF08D5">
        <w:rPr>
          <w:rFonts w:eastAsiaTheme="minorEastAsia"/>
        </w:rPr>
        <w:t>88</w:t>
      </w:r>
      <w:r>
        <w:rPr>
          <w:rFonts w:eastAsiaTheme="minorEastAsia"/>
        </w:rPr>
        <w:t>%</w:t>
      </w:r>
    </w:p>
    <w:p w14:paraId="7E96114C" w14:textId="66A6197E" w:rsidR="00023CFC" w:rsidRPr="0041214D" w:rsidRDefault="00023CFC">
      <w:pPr>
        <w:rPr>
          <w:rFonts w:ascii="Arial" w:hAnsi="Arial" w:cs="Arial"/>
        </w:rPr>
      </w:pPr>
      <w:r w:rsidRPr="0041214D">
        <w:rPr>
          <w:rFonts w:ascii="Arial" w:hAnsi="Arial" w:cs="Arial"/>
        </w:rPr>
        <w:t xml:space="preserve">The Return on </w:t>
      </w:r>
      <w:r w:rsidR="008322CE" w:rsidRPr="0041214D">
        <w:rPr>
          <w:rFonts w:ascii="Arial" w:hAnsi="Arial" w:cs="Arial"/>
        </w:rPr>
        <w:t>Equity</w:t>
      </w:r>
      <w:r w:rsidRPr="0041214D">
        <w:rPr>
          <w:rFonts w:ascii="Arial" w:hAnsi="Arial" w:cs="Arial"/>
        </w:rPr>
        <w:t xml:space="preserve"> of Seaview resort indicates that this company can generate net profit of £</w:t>
      </w:r>
      <w:r w:rsidR="00DF08D5" w:rsidRPr="0041214D">
        <w:rPr>
          <w:rFonts w:ascii="Arial" w:hAnsi="Arial" w:cs="Arial"/>
        </w:rPr>
        <w:t>3</w:t>
      </w:r>
      <w:r w:rsidRPr="0041214D">
        <w:rPr>
          <w:rFonts w:ascii="Arial" w:hAnsi="Arial" w:cs="Arial"/>
        </w:rPr>
        <w:t>.</w:t>
      </w:r>
      <w:r w:rsidR="00DF08D5" w:rsidRPr="0041214D">
        <w:rPr>
          <w:rFonts w:ascii="Arial" w:hAnsi="Arial" w:cs="Arial"/>
        </w:rPr>
        <w:t>88</w:t>
      </w:r>
      <w:r w:rsidRPr="0041214D">
        <w:rPr>
          <w:rFonts w:ascii="Arial" w:hAnsi="Arial" w:cs="Arial"/>
        </w:rPr>
        <w:t xml:space="preserve"> with </w:t>
      </w:r>
      <w:proofErr w:type="spellStart"/>
      <w:r w:rsidRPr="0041214D">
        <w:rPr>
          <w:rFonts w:ascii="Arial" w:hAnsi="Arial" w:cs="Arial"/>
        </w:rPr>
        <w:t>utili</w:t>
      </w:r>
      <w:r w:rsidR="006C3873">
        <w:rPr>
          <w:rFonts w:ascii="Arial" w:hAnsi="Arial" w:cs="Arial"/>
        </w:rPr>
        <w:t>s</w:t>
      </w:r>
      <w:r w:rsidRPr="0041214D">
        <w:rPr>
          <w:rFonts w:ascii="Arial" w:hAnsi="Arial" w:cs="Arial"/>
        </w:rPr>
        <w:t>ation</w:t>
      </w:r>
      <w:proofErr w:type="spellEnd"/>
      <w:r w:rsidRPr="0041214D">
        <w:rPr>
          <w:rFonts w:ascii="Arial" w:hAnsi="Arial" w:cs="Arial"/>
        </w:rPr>
        <w:t xml:space="preserve"> of </w:t>
      </w:r>
      <w:proofErr w:type="gramStart"/>
      <w:r w:rsidRPr="0041214D">
        <w:rPr>
          <w:rFonts w:ascii="Arial" w:hAnsi="Arial" w:cs="Arial"/>
        </w:rPr>
        <w:t>asset</w:t>
      </w:r>
      <w:proofErr w:type="gramEnd"/>
      <w:r w:rsidRPr="0041214D">
        <w:rPr>
          <w:rFonts w:ascii="Arial" w:hAnsi="Arial" w:cs="Arial"/>
        </w:rPr>
        <w:t xml:space="preserve"> worth of £100. The Return on </w:t>
      </w:r>
      <w:r w:rsidR="00DF08D5" w:rsidRPr="0041214D">
        <w:rPr>
          <w:rFonts w:ascii="Arial" w:hAnsi="Arial" w:cs="Arial"/>
        </w:rPr>
        <w:t>Equity</w:t>
      </w:r>
      <w:r w:rsidRPr="0041214D">
        <w:rPr>
          <w:rFonts w:ascii="Arial" w:hAnsi="Arial" w:cs="Arial"/>
        </w:rPr>
        <w:t xml:space="preserve"> of Seaview Resort is very </w:t>
      </w:r>
      <w:proofErr w:type="gramStart"/>
      <w:r w:rsidRPr="0041214D">
        <w:rPr>
          <w:rFonts w:ascii="Arial" w:hAnsi="Arial" w:cs="Arial"/>
        </w:rPr>
        <w:t>minimal</w:t>
      </w:r>
      <w:proofErr w:type="gramEnd"/>
      <w:r w:rsidRPr="0041214D">
        <w:rPr>
          <w:rFonts w:ascii="Arial" w:hAnsi="Arial" w:cs="Arial"/>
        </w:rPr>
        <w:t xml:space="preserve"> and it also indicates that the company is not capable to </w:t>
      </w:r>
      <w:proofErr w:type="spellStart"/>
      <w:r w:rsidRPr="0041214D">
        <w:rPr>
          <w:rFonts w:ascii="Arial" w:hAnsi="Arial" w:cs="Arial"/>
        </w:rPr>
        <w:t>utili</w:t>
      </w:r>
      <w:r w:rsidR="006C3873">
        <w:rPr>
          <w:rFonts w:ascii="Arial" w:hAnsi="Arial" w:cs="Arial"/>
        </w:rPr>
        <w:t>s</w:t>
      </w:r>
      <w:r w:rsidRPr="0041214D">
        <w:rPr>
          <w:rFonts w:ascii="Arial" w:hAnsi="Arial" w:cs="Arial"/>
        </w:rPr>
        <w:t>e</w:t>
      </w:r>
      <w:proofErr w:type="spellEnd"/>
      <w:r w:rsidRPr="0041214D">
        <w:rPr>
          <w:rFonts w:ascii="Arial" w:hAnsi="Arial" w:cs="Arial"/>
        </w:rPr>
        <w:t xml:space="preserve"> its </w:t>
      </w:r>
      <w:r w:rsidR="00DF08D5" w:rsidRPr="0041214D">
        <w:rPr>
          <w:rFonts w:ascii="Arial" w:hAnsi="Arial" w:cs="Arial"/>
        </w:rPr>
        <w:t>equity</w:t>
      </w:r>
      <w:r w:rsidRPr="0041214D">
        <w:rPr>
          <w:rFonts w:ascii="Arial" w:hAnsi="Arial" w:cs="Arial"/>
        </w:rPr>
        <w:t xml:space="preserve"> at satisfactory level.</w:t>
      </w:r>
    </w:p>
    <w:p w14:paraId="401F2C98" w14:textId="77777777" w:rsidR="00F55A10" w:rsidRDefault="00F55A10"/>
    <w:p w14:paraId="0ADFB78D" w14:textId="1C959E6A" w:rsidR="00DF08D5" w:rsidRDefault="00DF08D5" w:rsidP="00F55A10">
      <w:pPr>
        <w:pStyle w:val="Heading2"/>
      </w:pPr>
      <w:bookmarkStart w:id="13" w:name="_Toc150722502"/>
      <w:r>
        <w:lastRenderedPageBreak/>
        <w:t>Average Room Rate</w:t>
      </w:r>
      <w:bookmarkEnd w:id="13"/>
    </w:p>
    <w:p w14:paraId="0CA8CA8C" w14:textId="0A0390A4" w:rsidR="00DF08D5" w:rsidRPr="006C3873" w:rsidRDefault="00DF08D5">
      <w:pPr>
        <w:rPr>
          <w:rFonts w:ascii="Arial" w:hAnsi="Arial" w:cs="Arial"/>
        </w:rPr>
      </w:pPr>
      <w:r w:rsidRPr="006C3873">
        <w:rPr>
          <w:rFonts w:ascii="Arial" w:hAnsi="Arial" w:cs="Arial"/>
        </w:rPr>
        <w:t>Average Rate of room means average revenue generated from renting out the room</w:t>
      </w:r>
      <w:r w:rsidR="00E850F2" w:rsidRPr="006C3873">
        <w:rPr>
          <w:rFonts w:ascii="Arial" w:hAnsi="Arial" w:cs="Arial"/>
        </w:rPr>
        <w:t xml:space="preserve"> (Petty, 2022)</w:t>
      </w:r>
      <w:r w:rsidRPr="006C3873">
        <w:rPr>
          <w:rFonts w:ascii="Arial" w:hAnsi="Arial" w:cs="Arial"/>
        </w:rPr>
        <w:t>. The average rate of room is calculated by dividing the total revenue generated during the period by the numbers of room rented out. The average room rate of Seaview Resort is given below for the last three years:</w:t>
      </w:r>
    </w:p>
    <w:tbl>
      <w:tblPr>
        <w:tblStyle w:val="TableGrid"/>
        <w:tblW w:w="0" w:type="auto"/>
        <w:jc w:val="center"/>
        <w:tblLook w:val="04A0" w:firstRow="1" w:lastRow="0" w:firstColumn="1" w:lastColumn="0" w:noHBand="0" w:noVBand="1"/>
      </w:tblPr>
      <w:tblGrid>
        <w:gridCol w:w="1435"/>
        <w:gridCol w:w="1530"/>
      </w:tblGrid>
      <w:tr w:rsidR="00DF08D5" w14:paraId="3D2E5CCF" w14:textId="77777777" w:rsidTr="00DF08D5">
        <w:trPr>
          <w:trHeight w:val="332"/>
          <w:jc w:val="center"/>
        </w:trPr>
        <w:tc>
          <w:tcPr>
            <w:tcW w:w="1435" w:type="dxa"/>
          </w:tcPr>
          <w:p w14:paraId="05312462" w14:textId="57264A73" w:rsidR="00DF08D5" w:rsidRPr="00DF08D5" w:rsidRDefault="00DF08D5" w:rsidP="00DF08D5">
            <w:pPr>
              <w:spacing w:line="276" w:lineRule="auto"/>
              <w:jc w:val="center"/>
              <w:rPr>
                <w:b/>
                <w:bCs/>
              </w:rPr>
            </w:pPr>
            <w:r w:rsidRPr="00DF08D5">
              <w:rPr>
                <w:b/>
                <w:bCs/>
              </w:rPr>
              <w:t>Year</w:t>
            </w:r>
          </w:p>
        </w:tc>
        <w:tc>
          <w:tcPr>
            <w:tcW w:w="1530" w:type="dxa"/>
          </w:tcPr>
          <w:p w14:paraId="494D7FD8" w14:textId="59D3095C" w:rsidR="00DF08D5" w:rsidRPr="00DF08D5" w:rsidRDefault="00DF08D5" w:rsidP="00DF08D5">
            <w:pPr>
              <w:spacing w:line="276" w:lineRule="auto"/>
              <w:jc w:val="center"/>
              <w:rPr>
                <w:b/>
                <w:bCs/>
              </w:rPr>
            </w:pPr>
            <w:r w:rsidRPr="00DF08D5">
              <w:rPr>
                <w:b/>
                <w:bCs/>
              </w:rPr>
              <w:t>Average Room Rate (</w:t>
            </w:r>
            <w:r w:rsidRPr="00DF08D5">
              <w:rPr>
                <w:rFonts w:cs="Tahoma"/>
                <w:b/>
                <w:bCs/>
              </w:rPr>
              <w:t>£</w:t>
            </w:r>
            <w:r w:rsidRPr="00DF08D5">
              <w:rPr>
                <w:b/>
                <w:bCs/>
              </w:rPr>
              <w:t>)</w:t>
            </w:r>
          </w:p>
        </w:tc>
      </w:tr>
      <w:tr w:rsidR="00DF08D5" w14:paraId="777E0032" w14:textId="77777777" w:rsidTr="00DF08D5">
        <w:trPr>
          <w:trHeight w:val="251"/>
          <w:jc w:val="center"/>
        </w:trPr>
        <w:tc>
          <w:tcPr>
            <w:tcW w:w="1435" w:type="dxa"/>
          </w:tcPr>
          <w:p w14:paraId="36AB34C9" w14:textId="2CFA9131" w:rsidR="00DF08D5" w:rsidRDefault="00DF08D5" w:rsidP="00DF08D5">
            <w:pPr>
              <w:spacing w:line="276" w:lineRule="auto"/>
            </w:pPr>
            <w:r>
              <w:t>2020</w:t>
            </w:r>
          </w:p>
        </w:tc>
        <w:tc>
          <w:tcPr>
            <w:tcW w:w="1530" w:type="dxa"/>
          </w:tcPr>
          <w:p w14:paraId="6114D6B6" w14:textId="25DD742B" w:rsidR="00DF08D5" w:rsidRDefault="00DF08D5" w:rsidP="00DF08D5">
            <w:pPr>
              <w:spacing w:line="276" w:lineRule="auto"/>
              <w:jc w:val="center"/>
            </w:pPr>
            <w:r>
              <w:t>250</w:t>
            </w:r>
          </w:p>
        </w:tc>
      </w:tr>
      <w:tr w:rsidR="00DF08D5" w14:paraId="513705EB" w14:textId="77777777" w:rsidTr="00DF08D5">
        <w:trPr>
          <w:jc w:val="center"/>
        </w:trPr>
        <w:tc>
          <w:tcPr>
            <w:tcW w:w="1435" w:type="dxa"/>
          </w:tcPr>
          <w:p w14:paraId="37DA7693" w14:textId="49751C66" w:rsidR="00DF08D5" w:rsidRDefault="00DF08D5" w:rsidP="00DF08D5">
            <w:pPr>
              <w:spacing w:line="276" w:lineRule="auto"/>
            </w:pPr>
            <w:r>
              <w:t>2021</w:t>
            </w:r>
          </w:p>
        </w:tc>
        <w:tc>
          <w:tcPr>
            <w:tcW w:w="1530" w:type="dxa"/>
          </w:tcPr>
          <w:p w14:paraId="5303BB58" w14:textId="5BF753D3" w:rsidR="00DF08D5" w:rsidRDefault="00DF08D5" w:rsidP="00DF08D5">
            <w:pPr>
              <w:spacing w:line="276" w:lineRule="auto"/>
              <w:jc w:val="center"/>
            </w:pPr>
            <w:r>
              <w:t>230</w:t>
            </w:r>
          </w:p>
        </w:tc>
      </w:tr>
      <w:tr w:rsidR="00DF08D5" w14:paraId="6669A320" w14:textId="77777777" w:rsidTr="00DF08D5">
        <w:trPr>
          <w:jc w:val="center"/>
        </w:trPr>
        <w:tc>
          <w:tcPr>
            <w:tcW w:w="1435" w:type="dxa"/>
          </w:tcPr>
          <w:p w14:paraId="46EAF83D" w14:textId="2A248A63" w:rsidR="00DF08D5" w:rsidRDefault="00DF08D5" w:rsidP="00DF08D5">
            <w:pPr>
              <w:spacing w:line="276" w:lineRule="auto"/>
            </w:pPr>
            <w:r>
              <w:t>2022</w:t>
            </w:r>
          </w:p>
        </w:tc>
        <w:tc>
          <w:tcPr>
            <w:tcW w:w="1530" w:type="dxa"/>
          </w:tcPr>
          <w:p w14:paraId="3F421D45" w14:textId="73A9C251" w:rsidR="00DF08D5" w:rsidRDefault="00DF08D5" w:rsidP="00DF08D5">
            <w:pPr>
              <w:spacing w:line="276" w:lineRule="auto"/>
              <w:jc w:val="center"/>
            </w:pPr>
            <w:r>
              <w:t>210</w:t>
            </w:r>
          </w:p>
        </w:tc>
      </w:tr>
    </w:tbl>
    <w:p w14:paraId="09A18F9F" w14:textId="5B6C5206" w:rsidR="00DF08D5" w:rsidRDefault="00DF08D5">
      <w:r>
        <w:t xml:space="preserve"> </w:t>
      </w:r>
    </w:p>
    <w:p w14:paraId="0866DFAA" w14:textId="42DB8BB1" w:rsidR="00F55A10" w:rsidRPr="00642B25" w:rsidRDefault="00DF08D5">
      <w:pPr>
        <w:rPr>
          <w:rFonts w:ascii="Arial" w:hAnsi="Arial" w:cs="Arial"/>
        </w:rPr>
      </w:pPr>
      <w:r w:rsidRPr="00642B25">
        <w:rPr>
          <w:rFonts w:ascii="Arial" w:hAnsi="Arial" w:cs="Arial"/>
        </w:rPr>
        <w:t xml:space="preserve">From the above table, it is observed that the average room rate </w:t>
      </w:r>
      <w:r w:rsidR="00F55A10" w:rsidRPr="00642B25">
        <w:rPr>
          <w:rFonts w:ascii="Arial" w:hAnsi="Arial" w:cs="Arial"/>
        </w:rPr>
        <w:t xml:space="preserve">of Seaview Resort has been declined over the last three years. This decline has been occurred due to reduction of the total revenue over the last three years. </w:t>
      </w:r>
    </w:p>
    <w:p w14:paraId="77AB7112" w14:textId="56CB3D61" w:rsidR="00F55A10" w:rsidRDefault="00F55A10" w:rsidP="00F55A10">
      <w:pPr>
        <w:pStyle w:val="Heading2"/>
      </w:pPr>
      <w:bookmarkStart w:id="14" w:name="_Toc150722503"/>
      <w:r>
        <w:t>Occupancy Rate</w:t>
      </w:r>
      <w:bookmarkEnd w:id="14"/>
    </w:p>
    <w:p w14:paraId="071DBE79" w14:textId="12B4D72A" w:rsidR="00F55A10" w:rsidRPr="00D24467" w:rsidRDefault="00F55A10" w:rsidP="00F55A10">
      <w:pPr>
        <w:rPr>
          <w:rFonts w:ascii="Arial" w:hAnsi="Arial" w:cs="Arial"/>
        </w:rPr>
      </w:pPr>
      <w:r w:rsidRPr="00D24467">
        <w:rPr>
          <w:rFonts w:ascii="Arial" w:hAnsi="Arial" w:cs="Arial"/>
        </w:rPr>
        <w:t>Occupancy rate means percentage of room occupied by the users or customers out of the total available room</w:t>
      </w:r>
      <w:r w:rsidR="00E850F2" w:rsidRPr="00D24467">
        <w:rPr>
          <w:rFonts w:ascii="Arial" w:hAnsi="Arial" w:cs="Arial"/>
        </w:rPr>
        <w:t xml:space="preserve"> (Wilson, 2018)</w:t>
      </w:r>
      <w:r w:rsidRPr="00D24467">
        <w:rPr>
          <w:rFonts w:ascii="Arial" w:hAnsi="Arial" w:cs="Arial"/>
        </w:rPr>
        <w:t xml:space="preserve">. The management of </w:t>
      </w:r>
      <w:proofErr w:type="gramStart"/>
      <w:r w:rsidRPr="00D24467">
        <w:rPr>
          <w:rFonts w:ascii="Arial" w:hAnsi="Arial" w:cs="Arial"/>
        </w:rPr>
        <w:t>hotel</w:t>
      </w:r>
      <w:proofErr w:type="gramEnd"/>
      <w:r w:rsidRPr="00D24467">
        <w:rPr>
          <w:rFonts w:ascii="Arial" w:hAnsi="Arial" w:cs="Arial"/>
        </w:rPr>
        <w:t xml:space="preserve"> and tourism business </w:t>
      </w:r>
      <w:proofErr w:type="spellStart"/>
      <w:r w:rsidRPr="00D24467">
        <w:rPr>
          <w:rFonts w:ascii="Arial" w:hAnsi="Arial" w:cs="Arial"/>
        </w:rPr>
        <w:t>organi</w:t>
      </w:r>
      <w:r w:rsidR="00D24467" w:rsidRPr="00D24467">
        <w:rPr>
          <w:rFonts w:ascii="Arial" w:hAnsi="Arial" w:cs="Arial"/>
        </w:rPr>
        <w:t>s</w:t>
      </w:r>
      <w:r w:rsidRPr="00D24467">
        <w:rPr>
          <w:rFonts w:ascii="Arial" w:hAnsi="Arial" w:cs="Arial"/>
        </w:rPr>
        <w:t>ation</w:t>
      </w:r>
      <w:proofErr w:type="spellEnd"/>
      <w:r w:rsidRPr="00D24467">
        <w:rPr>
          <w:rFonts w:ascii="Arial" w:hAnsi="Arial" w:cs="Arial"/>
        </w:rPr>
        <w:t xml:space="preserve"> has calculated the occupancy rate to assess performance of the business. The occupancy rate of Seaview Resort is given below for the last three years:</w:t>
      </w:r>
    </w:p>
    <w:tbl>
      <w:tblPr>
        <w:tblStyle w:val="TableGrid"/>
        <w:tblW w:w="0" w:type="auto"/>
        <w:jc w:val="center"/>
        <w:tblLook w:val="04A0" w:firstRow="1" w:lastRow="0" w:firstColumn="1" w:lastColumn="0" w:noHBand="0" w:noVBand="1"/>
      </w:tblPr>
      <w:tblGrid>
        <w:gridCol w:w="2147"/>
        <w:gridCol w:w="2290"/>
      </w:tblGrid>
      <w:tr w:rsidR="00F55A10" w14:paraId="4DA3EAA5" w14:textId="77777777" w:rsidTr="00F55A10">
        <w:trPr>
          <w:trHeight w:val="341"/>
          <w:jc w:val="center"/>
        </w:trPr>
        <w:tc>
          <w:tcPr>
            <w:tcW w:w="2147" w:type="dxa"/>
          </w:tcPr>
          <w:p w14:paraId="1B20D00C" w14:textId="77777777" w:rsidR="00F55A10" w:rsidRPr="00DF08D5" w:rsidRDefault="00F55A10" w:rsidP="00BC39C8">
            <w:pPr>
              <w:spacing w:line="276" w:lineRule="auto"/>
              <w:jc w:val="center"/>
              <w:rPr>
                <w:b/>
                <w:bCs/>
              </w:rPr>
            </w:pPr>
            <w:r w:rsidRPr="00DF08D5">
              <w:rPr>
                <w:b/>
                <w:bCs/>
              </w:rPr>
              <w:t>Year</w:t>
            </w:r>
          </w:p>
        </w:tc>
        <w:tc>
          <w:tcPr>
            <w:tcW w:w="2290" w:type="dxa"/>
          </w:tcPr>
          <w:p w14:paraId="54DA16A7" w14:textId="75C26635" w:rsidR="00F55A10" w:rsidRPr="00DF08D5" w:rsidRDefault="00F55A10" w:rsidP="00BC39C8">
            <w:pPr>
              <w:spacing w:line="276" w:lineRule="auto"/>
              <w:jc w:val="center"/>
              <w:rPr>
                <w:b/>
                <w:bCs/>
              </w:rPr>
            </w:pPr>
            <w:r>
              <w:rPr>
                <w:b/>
                <w:bCs/>
              </w:rPr>
              <w:t>Occupancy Rate</w:t>
            </w:r>
          </w:p>
        </w:tc>
      </w:tr>
      <w:tr w:rsidR="00F55A10" w14:paraId="73A6E4FC" w14:textId="77777777" w:rsidTr="00F55A10">
        <w:trPr>
          <w:trHeight w:val="258"/>
          <w:jc w:val="center"/>
        </w:trPr>
        <w:tc>
          <w:tcPr>
            <w:tcW w:w="2147" w:type="dxa"/>
          </w:tcPr>
          <w:p w14:paraId="246D9DF3" w14:textId="77777777" w:rsidR="00F55A10" w:rsidRDefault="00F55A10" w:rsidP="00BC39C8">
            <w:pPr>
              <w:spacing w:line="276" w:lineRule="auto"/>
            </w:pPr>
            <w:r>
              <w:t>2020</w:t>
            </w:r>
          </w:p>
        </w:tc>
        <w:tc>
          <w:tcPr>
            <w:tcW w:w="2290" w:type="dxa"/>
          </w:tcPr>
          <w:p w14:paraId="1C513D3C" w14:textId="3DACAA2F" w:rsidR="00F55A10" w:rsidRDefault="00F55A10" w:rsidP="00BC39C8">
            <w:pPr>
              <w:spacing w:line="276" w:lineRule="auto"/>
              <w:jc w:val="center"/>
            </w:pPr>
            <w:r>
              <w:t>70%</w:t>
            </w:r>
          </w:p>
        </w:tc>
      </w:tr>
      <w:tr w:rsidR="00F55A10" w14:paraId="7A4BDBD5" w14:textId="77777777" w:rsidTr="00F55A10">
        <w:trPr>
          <w:trHeight w:val="345"/>
          <w:jc w:val="center"/>
        </w:trPr>
        <w:tc>
          <w:tcPr>
            <w:tcW w:w="2147" w:type="dxa"/>
          </w:tcPr>
          <w:p w14:paraId="64AB8E9B" w14:textId="77777777" w:rsidR="00F55A10" w:rsidRDefault="00F55A10" w:rsidP="00BC39C8">
            <w:pPr>
              <w:spacing w:line="276" w:lineRule="auto"/>
            </w:pPr>
            <w:r>
              <w:t>2021</w:t>
            </w:r>
          </w:p>
        </w:tc>
        <w:tc>
          <w:tcPr>
            <w:tcW w:w="2290" w:type="dxa"/>
          </w:tcPr>
          <w:p w14:paraId="248AC247" w14:textId="3DF157E7" w:rsidR="00F55A10" w:rsidRDefault="00F55A10" w:rsidP="00BC39C8">
            <w:pPr>
              <w:spacing w:line="276" w:lineRule="auto"/>
              <w:jc w:val="center"/>
            </w:pPr>
            <w:r>
              <w:t>65%</w:t>
            </w:r>
          </w:p>
        </w:tc>
      </w:tr>
      <w:tr w:rsidR="00F55A10" w14:paraId="7E104668" w14:textId="77777777" w:rsidTr="00F55A10">
        <w:trPr>
          <w:trHeight w:val="333"/>
          <w:jc w:val="center"/>
        </w:trPr>
        <w:tc>
          <w:tcPr>
            <w:tcW w:w="2147" w:type="dxa"/>
          </w:tcPr>
          <w:p w14:paraId="4B3D6381" w14:textId="77777777" w:rsidR="00F55A10" w:rsidRDefault="00F55A10" w:rsidP="00BC39C8">
            <w:pPr>
              <w:spacing w:line="276" w:lineRule="auto"/>
            </w:pPr>
            <w:r>
              <w:t>2022</w:t>
            </w:r>
          </w:p>
        </w:tc>
        <w:tc>
          <w:tcPr>
            <w:tcW w:w="2290" w:type="dxa"/>
          </w:tcPr>
          <w:p w14:paraId="0D1F1FB6" w14:textId="4B3340A7" w:rsidR="00F55A10" w:rsidRDefault="00F55A10" w:rsidP="00BC39C8">
            <w:pPr>
              <w:spacing w:line="276" w:lineRule="auto"/>
              <w:jc w:val="center"/>
            </w:pPr>
            <w:r>
              <w:t>60%</w:t>
            </w:r>
          </w:p>
        </w:tc>
      </w:tr>
    </w:tbl>
    <w:p w14:paraId="5169F3F3" w14:textId="77777777" w:rsidR="00F55A10" w:rsidRDefault="00F55A10" w:rsidP="00F55A10">
      <w:r>
        <w:t xml:space="preserve"> </w:t>
      </w:r>
    </w:p>
    <w:p w14:paraId="0F241E4F" w14:textId="72F9AFD8" w:rsidR="00F55A10" w:rsidRPr="008E5559" w:rsidRDefault="00F55A10">
      <w:pPr>
        <w:rPr>
          <w:rFonts w:ascii="Arial" w:hAnsi="Arial" w:cs="Arial"/>
        </w:rPr>
      </w:pPr>
      <w:r w:rsidRPr="008E5559">
        <w:rPr>
          <w:rFonts w:ascii="Arial" w:hAnsi="Arial" w:cs="Arial"/>
        </w:rPr>
        <w:t>From the above table, it is observed that occupancy rate of Seaview Resort has been declined over the last three years. This decline has been occurred due to reduction of the customer satisfaction level.</w:t>
      </w:r>
    </w:p>
    <w:p w14:paraId="6FDBF32B" w14:textId="77777777" w:rsidR="0098761B" w:rsidRPr="008E5559" w:rsidRDefault="0098761B">
      <w:pPr>
        <w:rPr>
          <w:rFonts w:ascii="Arial" w:hAnsi="Arial" w:cs="Arial"/>
        </w:rPr>
      </w:pPr>
    </w:p>
    <w:p w14:paraId="323BD995" w14:textId="2AB78C17" w:rsidR="009F1AEC" w:rsidRDefault="009F1AEC" w:rsidP="00E850F2">
      <w:pPr>
        <w:pStyle w:val="Heading1"/>
      </w:pPr>
      <w:bookmarkStart w:id="15" w:name="_Toc150722504"/>
      <w:r>
        <w:lastRenderedPageBreak/>
        <w:t>SWOT Analysis of Seaview Resort</w:t>
      </w:r>
      <w:bookmarkEnd w:id="15"/>
    </w:p>
    <w:p w14:paraId="36EB0B13" w14:textId="45D992CA" w:rsidR="002E038C" w:rsidRPr="004771C3" w:rsidRDefault="009F1AEC">
      <w:pPr>
        <w:rPr>
          <w:rFonts w:ascii="Arial" w:hAnsi="Arial" w:cs="Arial"/>
        </w:rPr>
      </w:pPr>
      <w:r w:rsidRPr="004771C3">
        <w:rPr>
          <w:rFonts w:ascii="Arial" w:hAnsi="Arial" w:cs="Arial"/>
        </w:rPr>
        <w:t xml:space="preserve">Every business </w:t>
      </w:r>
      <w:proofErr w:type="spellStart"/>
      <w:r w:rsidRPr="004771C3">
        <w:rPr>
          <w:rFonts w:ascii="Arial" w:hAnsi="Arial" w:cs="Arial"/>
        </w:rPr>
        <w:t>organi</w:t>
      </w:r>
      <w:r w:rsidR="008C0F2C" w:rsidRPr="004771C3">
        <w:rPr>
          <w:rFonts w:ascii="Arial" w:hAnsi="Arial" w:cs="Arial"/>
        </w:rPr>
        <w:t>s</w:t>
      </w:r>
      <w:r w:rsidRPr="004771C3">
        <w:rPr>
          <w:rFonts w:ascii="Arial" w:hAnsi="Arial" w:cs="Arial"/>
        </w:rPr>
        <w:t>ation</w:t>
      </w:r>
      <w:proofErr w:type="spellEnd"/>
      <w:r w:rsidRPr="004771C3">
        <w:rPr>
          <w:rFonts w:ascii="Arial" w:hAnsi="Arial" w:cs="Arial"/>
        </w:rPr>
        <w:t xml:space="preserve"> can assess its own position, capabilities, market share, external </w:t>
      </w:r>
      <w:r w:rsidR="004771C3" w:rsidRPr="004771C3">
        <w:rPr>
          <w:rFonts w:ascii="Arial" w:hAnsi="Arial" w:cs="Arial"/>
        </w:rPr>
        <w:t>opportunities,</w:t>
      </w:r>
      <w:r w:rsidRPr="004771C3">
        <w:rPr>
          <w:rFonts w:ascii="Arial" w:hAnsi="Arial" w:cs="Arial"/>
        </w:rPr>
        <w:t xml:space="preserve"> and external threats by performing the SWOT Analysis</w:t>
      </w:r>
      <w:r w:rsidR="00E850F2" w:rsidRPr="004771C3">
        <w:rPr>
          <w:rFonts w:ascii="Arial" w:hAnsi="Arial" w:cs="Arial"/>
        </w:rPr>
        <w:t xml:space="preserve"> (Correia et al., 2019)</w:t>
      </w:r>
      <w:r w:rsidRPr="004771C3">
        <w:rPr>
          <w:rFonts w:ascii="Arial" w:hAnsi="Arial" w:cs="Arial"/>
        </w:rPr>
        <w:t>. From the given information and customer service, the main strengths of Seaview Resort are location of hotel, resourceful management, reputation, and peaceful &amp; safety environment. Major weakness of Seaview Resort includes the lower customer satisfaction level, high price, outdated service stream, negative online</w:t>
      </w:r>
      <w:r>
        <w:t xml:space="preserve"> </w:t>
      </w:r>
      <w:r w:rsidRPr="004771C3">
        <w:rPr>
          <w:rFonts w:ascii="Arial" w:hAnsi="Arial" w:cs="Arial"/>
        </w:rPr>
        <w:t>reviews, and non-availability of sophisticated technology</w:t>
      </w:r>
      <w:r w:rsidR="00E850F2" w:rsidRPr="004771C3">
        <w:rPr>
          <w:rFonts w:ascii="Arial" w:hAnsi="Arial" w:cs="Arial"/>
        </w:rPr>
        <w:t xml:space="preserve"> (Crane, 2018)</w:t>
      </w:r>
      <w:r w:rsidRPr="004771C3">
        <w:rPr>
          <w:rFonts w:ascii="Arial" w:hAnsi="Arial" w:cs="Arial"/>
        </w:rPr>
        <w:t xml:space="preserve">. Although Seaview Resort has some </w:t>
      </w:r>
      <w:r w:rsidR="002E038C" w:rsidRPr="004771C3">
        <w:rPr>
          <w:rFonts w:ascii="Arial" w:hAnsi="Arial" w:cs="Arial"/>
        </w:rPr>
        <w:t>weakness, it has some opportunities to explore in the market. The Opportunities of Seaview Resort includes implementation of turnaround strategy, uniqueness, flexible price strategy, implementation of online booking system, and improved service delivery strategy.</w:t>
      </w:r>
      <w:r w:rsidR="0098761B" w:rsidRPr="004771C3">
        <w:rPr>
          <w:rFonts w:ascii="Arial" w:hAnsi="Arial" w:cs="Arial"/>
        </w:rPr>
        <w:t xml:space="preserve"> Apart from the external opportunities, there have some threats for business of Seaview Resort</w:t>
      </w:r>
      <w:bookmarkStart w:id="16" w:name="_Hlk150722128"/>
      <w:r w:rsidR="00E850F2" w:rsidRPr="004771C3">
        <w:rPr>
          <w:rFonts w:ascii="Arial" w:hAnsi="Arial" w:cs="Arial"/>
        </w:rPr>
        <w:t>(Johnson &amp; Melicher, 2021)</w:t>
      </w:r>
      <w:bookmarkEnd w:id="16"/>
      <w:r w:rsidR="0098761B" w:rsidRPr="004771C3">
        <w:rPr>
          <w:rFonts w:ascii="Arial" w:hAnsi="Arial" w:cs="Arial"/>
        </w:rPr>
        <w:t xml:space="preserve">. The threats include highly competitive market, imposition of high tax rate by government, shifting of the customer preference, negative review of the customers, and unfavorable economic condition.  </w:t>
      </w:r>
    </w:p>
    <w:p w14:paraId="5E861C48" w14:textId="403D43A2" w:rsidR="009F1AEC" w:rsidRDefault="00ED4C82" w:rsidP="00724B17">
      <w:pPr>
        <w:pStyle w:val="Heading1"/>
      </w:pPr>
      <w:bookmarkStart w:id="17" w:name="_Toc150722505"/>
      <w:r>
        <w:t>Turnaround Strategy</w:t>
      </w:r>
      <w:bookmarkEnd w:id="17"/>
    </w:p>
    <w:p w14:paraId="71CD573B" w14:textId="0FD746EA" w:rsidR="00ED4C82" w:rsidRPr="004771C3" w:rsidRDefault="00ED4C82">
      <w:pPr>
        <w:rPr>
          <w:rFonts w:ascii="Arial" w:hAnsi="Arial" w:cs="Arial"/>
        </w:rPr>
      </w:pPr>
      <w:r w:rsidRPr="004771C3">
        <w:rPr>
          <w:rFonts w:ascii="Arial" w:hAnsi="Arial" w:cs="Arial"/>
        </w:rPr>
        <w:t xml:space="preserve">Turnround strategy is the business re-engineering and business restructuring strategy which is taken by the business </w:t>
      </w:r>
      <w:proofErr w:type="spellStart"/>
      <w:r w:rsidRPr="004771C3">
        <w:rPr>
          <w:rFonts w:ascii="Arial" w:hAnsi="Arial" w:cs="Arial"/>
        </w:rPr>
        <w:t>organi</w:t>
      </w:r>
      <w:r w:rsidR="0080626A" w:rsidRPr="004771C3">
        <w:rPr>
          <w:rFonts w:ascii="Arial" w:hAnsi="Arial" w:cs="Arial"/>
        </w:rPr>
        <w:t>s</w:t>
      </w:r>
      <w:r w:rsidRPr="004771C3">
        <w:rPr>
          <w:rFonts w:ascii="Arial" w:hAnsi="Arial" w:cs="Arial"/>
        </w:rPr>
        <w:t>ation</w:t>
      </w:r>
      <w:proofErr w:type="spellEnd"/>
      <w:r w:rsidRPr="004771C3">
        <w:rPr>
          <w:rFonts w:ascii="Arial" w:hAnsi="Arial" w:cs="Arial"/>
        </w:rPr>
        <w:t xml:space="preserve"> to make profitable </w:t>
      </w:r>
      <w:proofErr w:type="spellStart"/>
      <w:r w:rsidRPr="004771C3">
        <w:rPr>
          <w:rFonts w:ascii="Arial" w:hAnsi="Arial" w:cs="Arial"/>
        </w:rPr>
        <w:t>organi</w:t>
      </w:r>
      <w:r w:rsidR="004771C3" w:rsidRPr="004771C3">
        <w:rPr>
          <w:rFonts w:ascii="Arial" w:hAnsi="Arial" w:cs="Arial"/>
        </w:rPr>
        <w:t>s</w:t>
      </w:r>
      <w:r w:rsidRPr="004771C3">
        <w:rPr>
          <w:rFonts w:ascii="Arial" w:hAnsi="Arial" w:cs="Arial"/>
        </w:rPr>
        <w:t>ation</w:t>
      </w:r>
      <w:proofErr w:type="spellEnd"/>
      <w:r w:rsidRPr="004771C3">
        <w:rPr>
          <w:rFonts w:ascii="Arial" w:hAnsi="Arial" w:cs="Arial"/>
        </w:rPr>
        <w:t xml:space="preserve"> from the </w:t>
      </w:r>
      <w:r w:rsidR="00724B17" w:rsidRPr="004771C3">
        <w:rPr>
          <w:rFonts w:ascii="Arial" w:hAnsi="Arial" w:cs="Arial"/>
        </w:rPr>
        <w:t>loss-making</w:t>
      </w:r>
      <w:r w:rsidRPr="004771C3">
        <w:rPr>
          <w:rFonts w:ascii="Arial" w:hAnsi="Arial" w:cs="Arial"/>
        </w:rPr>
        <w:t xml:space="preserve"> </w:t>
      </w:r>
      <w:proofErr w:type="spellStart"/>
      <w:r w:rsidRPr="004771C3">
        <w:rPr>
          <w:rFonts w:ascii="Arial" w:hAnsi="Arial" w:cs="Arial"/>
        </w:rPr>
        <w:t>organi</w:t>
      </w:r>
      <w:r w:rsidR="00860AB3">
        <w:rPr>
          <w:rFonts w:ascii="Arial" w:hAnsi="Arial" w:cs="Arial"/>
        </w:rPr>
        <w:t>s</w:t>
      </w:r>
      <w:r w:rsidRPr="004771C3">
        <w:rPr>
          <w:rFonts w:ascii="Arial" w:hAnsi="Arial" w:cs="Arial"/>
        </w:rPr>
        <w:t>ation</w:t>
      </w:r>
      <w:proofErr w:type="spellEnd"/>
      <w:r w:rsidR="00E850F2" w:rsidRPr="004771C3">
        <w:rPr>
          <w:rFonts w:ascii="Arial" w:hAnsi="Arial" w:cs="Arial"/>
        </w:rPr>
        <w:t xml:space="preserve"> </w:t>
      </w:r>
      <w:bookmarkStart w:id="18" w:name="_Hlk150722140"/>
      <w:r w:rsidR="00E850F2" w:rsidRPr="004771C3">
        <w:rPr>
          <w:rFonts w:ascii="Arial" w:hAnsi="Arial" w:cs="Arial"/>
        </w:rPr>
        <w:t>(Khan &amp; Jain, 2019)</w:t>
      </w:r>
      <w:bookmarkEnd w:id="18"/>
      <w:r w:rsidRPr="004771C3">
        <w:rPr>
          <w:rFonts w:ascii="Arial" w:hAnsi="Arial" w:cs="Arial"/>
        </w:rPr>
        <w:t xml:space="preserve">. Generally, business </w:t>
      </w:r>
      <w:proofErr w:type="spellStart"/>
      <w:r w:rsidRPr="004771C3">
        <w:rPr>
          <w:rFonts w:ascii="Arial" w:hAnsi="Arial" w:cs="Arial"/>
        </w:rPr>
        <w:t>organi</w:t>
      </w:r>
      <w:r w:rsidR="004771C3" w:rsidRPr="004771C3">
        <w:rPr>
          <w:rFonts w:ascii="Arial" w:hAnsi="Arial" w:cs="Arial"/>
        </w:rPr>
        <w:t>s</w:t>
      </w:r>
      <w:r w:rsidRPr="004771C3">
        <w:rPr>
          <w:rFonts w:ascii="Arial" w:hAnsi="Arial" w:cs="Arial"/>
        </w:rPr>
        <w:t>ation</w:t>
      </w:r>
      <w:proofErr w:type="spellEnd"/>
      <w:r w:rsidRPr="004771C3">
        <w:rPr>
          <w:rFonts w:ascii="Arial" w:hAnsi="Arial" w:cs="Arial"/>
        </w:rPr>
        <w:t xml:space="preserve"> should take the turnaround strategy based on the identified existing strategy and current economic condition. As a part of turnaround strategy, Seaview resort can take following strategy:</w:t>
      </w:r>
    </w:p>
    <w:p w14:paraId="32312F69" w14:textId="77777777" w:rsidR="008613AB" w:rsidRDefault="00ED4C82" w:rsidP="00724B17">
      <w:pPr>
        <w:pStyle w:val="Heading2"/>
      </w:pPr>
      <w:bookmarkStart w:id="19" w:name="_Toc150722506"/>
      <w:r>
        <w:t>Offer discount and incorporation of customer loyalty program</w:t>
      </w:r>
      <w:bookmarkEnd w:id="19"/>
    </w:p>
    <w:p w14:paraId="0C1E8F4A" w14:textId="0FB77657" w:rsidR="008613AB" w:rsidRPr="00546046" w:rsidRDefault="00ED4C82">
      <w:pPr>
        <w:rPr>
          <w:rFonts w:ascii="Arial" w:hAnsi="Arial" w:cs="Arial"/>
        </w:rPr>
      </w:pPr>
      <w:r w:rsidRPr="00546046">
        <w:rPr>
          <w:rFonts w:ascii="Arial" w:hAnsi="Arial" w:cs="Arial"/>
        </w:rPr>
        <w:t>The management of Seaview Resort can offer the discount for the new customers to attract them and increase the room occupancy rate</w:t>
      </w:r>
      <w:r w:rsidR="00E850F2" w:rsidRPr="00546046">
        <w:rPr>
          <w:rFonts w:ascii="Arial" w:hAnsi="Arial" w:cs="Arial"/>
        </w:rPr>
        <w:t xml:space="preserve"> </w:t>
      </w:r>
      <w:bookmarkStart w:id="20" w:name="_Hlk150722151"/>
      <w:r w:rsidR="00E850F2" w:rsidRPr="00546046">
        <w:rPr>
          <w:rFonts w:ascii="Arial" w:hAnsi="Arial" w:cs="Arial"/>
        </w:rPr>
        <w:t>(Pandey, 2021)</w:t>
      </w:r>
      <w:bookmarkEnd w:id="20"/>
      <w:r w:rsidRPr="00546046">
        <w:rPr>
          <w:rFonts w:ascii="Arial" w:hAnsi="Arial" w:cs="Arial"/>
        </w:rPr>
        <w:t xml:space="preserve">. The discount should be offered during off-season of the tourism. Apart from this, management of Seaview Resort can offer customer loyalty scheme for the customers so that </w:t>
      </w:r>
      <w:r w:rsidR="008613AB" w:rsidRPr="00546046">
        <w:rPr>
          <w:rFonts w:ascii="Arial" w:hAnsi="Arial" w:cs="Arial"/>
        </w:rPr>
        <w:t>loyalty of customer has been increased. After implementation of the discount offer and customer loyalty program, it is expected the revenue will be increased almost 15%.</w:t>
      </w:r>
    </w:p>
    <w:p w14:paraId="6B3A39B9" w14:textId="3D708E7C" w:rsidR="00ED4C82" w:rsidRDefault="008613AB" w:rsidP="00724B17">
      <w:pPr>
        <w:pStyle w:val="Heading2"/>
      </w:pPr>
      <w:bookmarkStart w:id="21" w:name="_Toc150722507"/>
      <w:r>
        <w:lastRenderedPageBreak/>
        <w:t>Reduction of operating cost</w:t>
      </w:r>
      <w:bookmarkEnd w:id="21"/>
    </w:p>
    <w:p w14:paraId="55E4CFE0" w14:textId="1DEC59FB" w:rsidR="008613AB" w:rsidRPr="003252DE" w:rsidRDefault="008613AB" w:rsidP="00E850F2">
      <w:pPr>
        <w:rPr>
          <w:rFonts w:ascii="Arial" w:hAnsi="Arial" w:cs="Arial"/>
        </w:rPr>
      </w:pPr>
      <w:r w:rsidRPr="003252DE">
        <w:rPr>
          <w:rFonts w:ascii="Arial" w:hAnsi="Arial" w:cs="Arial"/>
        </w:rPr>
        <w:t>From the financial statements, it is observed that the operating expense has increased day by day and total operating expense has been increased to almost 11.11% during the year 2022. In this case management should take necessary action so that operating expense can reduce by almost 12%. To reduce the operating expense, management can reduce advertisement expense, rental expense, sales and marketing expense, and commission expense.</w:t>
      </w:r>
    </w:p>
    <w:p w14:paraId="5905DC0F" w14:textId="77777777" w:rsidR="008613AB" w:rsidRDefault="008613AB" w:rsidP="00E850F2">
      <w:pPr>
        <w:pStyle w:val="Heading2"/>
      </w:pPr>
      <w:bookmarkStart w:id="22" w:name="_Toc150722508"/>
      <w:r>
        <w:t>Installation of updated amenities</w:t>
      </w:r>
      <w:bookmarkEnd w:id="22"/>
    </w:p>
    <w:p w14:paraId="7240C66E" w14:textId="1AA7ADDB" w:rsidR="00724B17" w:rsidRPr="003252DE" w:rsidRDefault="008613AB">
      <w:pPr>
        <w:rPr>
          <w:rFonts w:ascii="Arial" w:hAnsi="Arial" w:cs="Arial"/>
        </w:rPr>
      </w:pPr>
      <w:r w:rsidRPr="003252DE">
        <w:rPr>
          <w:rFonts w:ascii="Arial" w:hAnsi="Arial" w:cs="Arial"/>
        </w:rPr>
        <w:t>To facilitate the customer service, the management of Seaview Resort can install the updated amenities and renovate the old buildings and equipment</w:t>
      </w:r>
      <w:r w:rsidR="00E850F2" w:rsidRPr="003252DE">
        <w:rPr>
          <w:rFonts w:ascii="Arial" w:hAnsi="Arial" w:cs="Arial"/>
        </w:rPr>
        <w:t xml:space="preserve"> </w:t>
      </w:r>
      <w:bookmarkStart w:id="23" w:name="_Hlk150722162"/>
      <w:r w:rsidR="00E850F2" w:rsidRPr="003252DE">
        <w:rPr>
          <w:rFonts w:ascii="Arial" w:hAnsi="Arial" w:cs="Arial"/>
        </w:rPr>
        <w:t>(Petty, 2022)</w:t>
      </w:r>
      <w:bookmarkEnd w:id="23"/>
      <w:r w:rsidRPr="003252DE">
        <w:rPr>
          <w:rFonts w:ascii="Arial" w:hAnsi="Arial" w:cs="Arial"/>
        </w:rPr>
        <w:t xml:space="preserve">. To renovate and install the updated amenities, </w:t>
      </w:r>
      <w:r w:rsidR="00724B17" w:rsidRPr="003252DE">
        <w:rPr>
          <w:rFonts w:ascii="Arial" w:hAnsi="Arial" w:cs="Arial"/>
        </w:rPr>
        <w:t>the management need to occur capital expenditure amounting to £1</w:t>
      </w:r>
      <w:r w:rsidR="00C13F6F" w:rsidRPr="003252DE">
        <w:rPr>
          <w:rFonts w:ascii="Arial" w:hAnsi="Arial" w:cs="Arial"/>
        </w:rPr>
        <w:t>,</w:t>
      </w:r>
      <w:r w:rsidR="00724B17" w:rsidRPr="003252DE">
        <w:rPr>
          <w:rFonts w:ascii="Arial" w:hAnsi="Arial" w:cs="Arial"/>
        </w:rPr>
        <w:t>5</w:t>
      </w:r>
      <w:r w:rsidR="00C13F6F" w:rsidRPr="003252DE">
        <w:rPr>
          <w:rFonts w:ascii="Arial" w:hAnsi="Arial" w:cs="Arial"/>
        </w:rPr>
        <w:t>0</w:t>
      </w:r>
      <w:r w:rsidR="00724B17" w:rsidRPr="003252DE">
        <w:rPr>
          <w:rFonts w:ascii="Arial" w:hAnsi="Arial" w:cs="Arial"/>
        </w:rPr>
        <w:t>,000.</w:t>
      </w:r>
    </w:p>
    <w:p w14:paraId="55B959CA" w14:textId="77777777" w:rsidR="00724B17" w:rsidRDefault="00724B17" w:rsidP="00E850F2">
      <w:pPr>
        <w:pStyle w:val="Heading1"/>
      </w:pPr>
      <w:bookmarkStart w:id="24" w:name="_Toc150722509"/>
      <w:r>
        <w:t>Financial Projection for the year 2023 to 2026</w:t>
      </w:r>
      <w:bookmarkEnd w:id="24"/>
    </w:p>
    <w:p w14:paraId="3BB89965" w14:textId="33CD10DE" w:rsidR="00A3675E" w:rsidRPr="000329D7" w:rsidRDefault="00724B17">
      <w:pPr>
        <w:rPr>
          <w:rFonts w:ascii="Arial" w:hAnsi="Arial" w:cs="Arial"/>
        </w:rPr>
      </w:pPr>
      <w:r w:rsidRPr="000329D7">
        <w:rPr>
          <w:rFonts w:ascii="Arial" w:hAnsi="Arial" w:cs="Arial"/>
        </w:rPr>
        <w:t>After implementation of turnaround strategy, the management expects that financial condition of Seaview Resort will be improved. The projected financial condition and performance of Seaview Resort for the year 2023 to 2026 has been given below:</w:t>
      </w:r>
    </w:p>
    <w:tbl>
      <w:tblPr>
        <w:tblW w:w="9085" w:type="dxa"/>
        <w:tblLook w:val="04A0" w:firstRow="1" w:lastRow="0" w:firstColumn="1" w:lastColumn="0" w:noHBand="0" w:noVBand="1"/>
      </w:tblPr>
      <w:tblGrid>
        <w:gridCol w:w="2605"/>
        <w:gridCol w:w="1498"/>
        <w:gridCol w:w="1613"/>
        <w:gridCol w:w="1752"/>
        <w:gridCol w:w="1617"/>
      </w:tblGrid>
      <w:tr w:rsidR="00A3675E" w:rsidRPr="00A3675E" w14:paraId="5D9D9719" w14:textId="77777777" w:rsidTr="00A3675E">
        <w:trPr>
          <w:trHeight w:val="266"/>
        </w:trPr>
        <w:tc>
          <w:tcPr>
            <w:tcW w:w="26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E18BB0" w14:textId="77777777" w:rsidR="00A3675E" w:rsidRPr="00A3675E" w:rsidRDefault="00A3675E" w:rsidP="00A3675E">
            <w:pPr>
              <w:spacing w:after="0" w:line="240" w:lineRule="auto"/>
              <w:jc w:val="center"/>
              <w:rPr>
                <w:rFonts w:eastAsia="Times New Roman" w:cs="Tahoma"/>
                <w:b/>
                <w:bCs/>
                <w:color w:val="000000"/>
                <w:sz w:val="22"/>
              </w:rPr>
            </w:pPr>
            <w:r w:rsidRPr="00A3675E">
              <w:rPr>
                <w:rFonts w:eastAsia="Times New Roman" w:cs="Tahoma"/>
                <w:b/>
                <w:bCs/>
                <w:color w:val="000000"/>
                <w:sz w:val="22"/>
              </w:rPr>
              <w:t>Item</w:t>
            </w:r>
          </w:p>
        </w:tc>
        <w:tc>
          <w:tcPr>
            <w:tcW w:w="1498" w:type="dxa"/>
            <w:tcBorders>
              <w:top w:val="single" w:sz="4" w:space="0" w:color="auto"/>
              <w:left w:val="nil"/>
              <w:bottom w:val="single" w:sz="4" w:space="0" w:color="auto"/>
              <w:right w:val="single" w:sz="4" w:space="0" w:color="auto"/>
            </w:tcBorders>
            <w:shd w:val="clear" w:color="auto" w:fill="auto"/>
            <w:noWrap/>
            <w:vAlign w:val="bottom"/>
            <w:hideMark/>
          </w:tcPr>
          <w:p w14:paraId="6EB8AA2A" w14:textId="77777777" w:rsidR="00A3675E" w:rsidRPr="00A3675E" w:rsidRDefault="00A3675E" w:rsidP="00A3675E">
            <w:pPr>
              <w:spacing w:after="0" w:line="240" w:lineRule="auto"/>
              <w:jc w:val="center"/>
              <w:rPr>
                <w:rFonts w:eastAsia="Times New Roman" w:cs="Tahoma"/>
                <w:b/>
                <w:bCs/>
                <w:color w:val="000000"/>
                <w:sz w:val="22"/>
              </w:rPr>
            </w:pPr>
            <w:r w:rsidRPr="00A3675E">
              <w:rPr>
                <w:rFonts w:eastAsia="Times New Roman" w:cs="Tahoma"/>
                <w:b/>
                <w:bCs/>
                <w:color w:val="000000"/>
                <w:sz w:val="22"/>
              </w:rPr>
              <w:t>2023</w:t>
            </w:r>
          </w:p>
        </w:tc>
        <w:tc>
          <w:tcPr>
            <w:tcW w:w="1613" w:type="dxa"/>
            <w:tcBorders>
              <w:top w:val="single" w:sz="4" w:space="0" w:color="auto"/>
              <w:left w:val="nil"/>
              <w:bottom w:val="single" w:sz="4" w:space="0" w:color="auto"/>
              <w:right w:val="single" w:sz="4" w:space="0" w:color="auto"/>
            </w:tcBorders>
            <w:shd w:val="clear" w:color="auto" w:fill="auto"/>
            <w:noWrap/>
            <w:vAlign w:val="bottom"/>
            <w:hideMark/>
          </w:tcPr>
          <w:p w14:paraId="3D64F52F" w14:textId="77777777" w:rsidR="00A3675E" w:rsidRPr="00A3675E" w:rsidRDefault="00A3675E" w:rsidP="00A3675E">
            <w:pPr>
              <w:spacing w:after="0" w:line="240" w:lineRule="auto"/>
              <w:jc w:val="center"/>
              <w:rPr>
                <w:rFonts w:eastAsia="Times New Roman" w:cs="Tahoma"/>
                <w:b/>
                <w:bCs/>
                <w:color w:val="000000"/>
                <w:sz w:val="22"/>
              </w:rPr>
            </w:pPr>
            <w:r w:rsidRPr="00A3675E">
              <w:rPr>
                <w:rFonts w:eastAsia="Times New Roman" w:cs="Tahoma"/>
                <w:b/>
                <w:bCs/>
                <w:color w:val="000000"/>
                <w:sz w:val="22"/>
              </w:rPr>
              <w:t>2024</w:t>
            </w:r>
          </w:p>
        </w:tc>
        <w:tc>
          <w:tcPr>
            <w:tcW w:w="1752" w:type="dxa"/>
            <w:tcBorders>
              <w:top w:val="single" w:sz="4" w:space="0" w:color="auto"/>
              <w:left w:val="nil"/>
              <w:bottom w:val="single" w:sz="4" w:space="0" w:color="auto"/>
              <w:right w:val="single" w:sz="4" w:space="0" w:color="auto"/>
            </w:tcBorders>
            <w:shd w:val="clear" w:color="auto" w:fill="auto"/>
            <w:noWrap/>
            <w:vAlign w:val="bottom"/>
            <w:hideMark/>
          </w:tcPr>
          <w:p w14:paraId="651EE383" w14:textId="77777777" w:rsidR="00A3675E" w:rsidRPr="00A3675E" w:rsidRDefault="00A3675E" w:rsidP="00A3675E">
            <w:pPr>
              <w:spacing w:after="0" w:line="240" w:lineRule="auto"/>
              <w:jc w:val="center"/>
              <w:rPr>
                <w:rFonts w:eastAsia="Times New Roman" w:cs="Tahoma"/>
                <w:b/>
                <w:bCs/>
                <w:color w:val="000000"/>
                <w:sz w:val="22"/>
              </w:rPr>
            </w:pPr>
            <w:r w:rsidRPr="00A3675E">
              <w:rPr>
                <w:rFonts w:eastAsia="Times New Roman" w:cs="Tahoma"/>
                <w:b/>
                <w:bCs/>
                <w:color w:val="000000"/>
                <w:sz w:val="22"/>
              </w:rPr>
              <w:t>2025</w:t>
            </w:r>
          </w:p>
        </w:tc>
        <w:tc>
          <w:tcPr>
            <w:tcW w:w="1617" w:type="dxa"/>
            <w:tcBorders>
              <w:top w:val="single" w:sz="4" w:space="0" w:color="auto"/>
              <w:left w:val="nil"/>
              <w:bottom w:val="single" w:sz="4" w:space="0" w:color="auto"/>
              <w:right w:val="single" w:sz="4" w:space="0" w:color="auto"/>
            </w:tcBorders>
            <w:shd w:val="clear" w:color="auto" w:fill="auto"/>
            <w:noWrap/>
            <w:vAlign w:val="bottom"/>
            <w:hideMark/>
          </w:tcPr>
          <w:p w14:paraId="6D0B17D1" w14:textId="77777777" w:rsidR="00A3675E" w:rsidRPr="00A3675E" w:rsidRDefault="00A3675E" w:rsidP="00A3675E">
            <w:pPr>
              <w:spacing w:after="0" w:line="240" w:lineRule="auto"/>
              <w:jc w:val="center"/>
              <w:rPr>
                <w:rFonts w:eastAsia="Times New Roman" w:cs="Tahoma"/>
                <w:b/>
                <w:bCs/>
                <w:color w:val="000000"/>
                <w:sz w:val="22"/>
              </w:rPr>
            </w:pPr>
            <w:r w:rsidRPr="00A3675E">
              <w:rPr>
                <w:rFonts w:eastAsia="Times New Roman" w:cs="Tahoma"/>
                <w:b/>
                <w:bCs/>
                <w:color w:val="000000"/>
                <w:sz w:val="22"/>
              </w:rPr>
              <w:t>2026</w:t>
            </w:r>
          </w:p>
        </w:tc>
      </w:tr>
      <w:tr w:rsidR="00A3675E" w:rsidRPr="00A3675E" w14:paraId="580B5266" w14:textId="77777777" w:rsidTr="00A3675E">
        <w:trPr>
          <w:trHeight w:val="266"/>
        </w:trPr>
        <w:tc>
          <w:tcPr>
            <w:tcW w:w="2605" w:type="dxa"/>
            <w:tcBorders>
              <w:top w:val="nil"/>
              <w:left w:val="single" w:sz="4" w:space="0" w:color="auto"/>
              <w:bottom w:val="single" w:sz="4" w:space="0" w:color="auto"/>
              <w:right w:val="single" w:sz="4" w:space="0" w:color="auto"/>
            </w:tcBorders>
            <w:shd w:val="clear" w:color="auto" w:fill="auto"/>
            <w:noWrap/>
            <w:vAlign w:val="bottom"/>
            <w:hideMark/>
          </w:tcPr>
          <w:p w14:paraId="01BA82C3"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Total Revenue</w:t>
            </w:r>
          </w:p>
        </w:tc>
        <w:tc>
          <w:tcPr>
            <w:tcW w:w="1498" w:type="dxa"/>
            <w:tcBorders>
              <w:top w:val="nil"/>
              <w:left w:val="nil"/>
              <w:bottom w:val="single" w:sz="4" w:space="0" w:color="auto"/>
              <w:right w:val="single" w:sz="4" w:space="0" w:color="auto"/>
            </w:tcBorders>
            <w:shd w:val="clear" w:color="auto" w:fill="auto"/>
            <w:noWrap/>
            <w:vAlign w:val="bottom"/>
            <w:hideMark/>
          </w:tcPr>
          <w:p w14:paraId="6B371CCC" w14:textId="52C2DE36"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£ 582,400 </w:t>
            </w:r>
          </w:p>
        </w:tc>
        <w:tc>
          <w:tcPr>
            <w:tcW w:w="1613" w:type="dxa"/>
            <w:tcBorders>
              <w:top w:val="nil"/>
              <w:left w:val="nil"/>
              <w:bottom w:val="single" w:sz="4" w:space="0" w:color="auto"/>
              <w:right w:val="single" w:sz="4" w:space="0" w:color="auto"/>
            </w:tcBorders>
            <w:shd w:val="clear" w:color="auto" w:fill="auto"/>
            <w:noWrap/>
            <w:vAlign w:val="bottom"/>
            <w:hideMark/>
          </w:tcPr>
          <w:p w14:paraId="3C58B386"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652,288 </w:t>
            </w:r>
          </w:p>
        </w:tc>
        <w:tc>
          <w:tcPr>
            <w:tcW w:w="1752" w:type="dxa"/>
            <w:tcBorders>
              <w:top w:val="nil"/>
              <w:left w:val="nil"/>
              <w:bottom w:val="single" w:sz="4" w:space="0" w:color="auto"/>
              <w:right w:val="single" w:sz="4" w:space="0" w:color="auto"/>
            </w:tcBorders>
            <w:shd w:val="clear" w:color="auto" w:fill="auto"/>
            <w:noWrap/>
            <w:vAlign w:val="bottom"/>
            <w:hideMark/>
          </w:tcPr>
          <w:p w14:paraId="31EBFE5D"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730,563 </w:t>
            </w:r>
          </w:p>
        </w:tc>
        <w:tc>
          <w:tcPr>
            <w:tcW w:w="1617" w:type="dxa"/>
            <w:tcBorders>
              <w:top w:val="nil"/>
              <w:left w:val="nil"/>
              <w:bottom w:val="single" w:sz="4" w:space="0" w:color="auto"/>
              <w:right w:val="single" w:sz="4" w:space="0" w:color="auto"/>
            </w:tcBorders>
            <w:shd w:val="clear" w:color="auto" w:fill="auto"/>
            <w:noWrap/>
            <w:vAlign w:val="bottom"/>
            <w:hideMark/>
          </w:tcPr>
          <w:p w14:paraId="4589F1BA" w14:textId="1898A49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w:t>
            </w:r>
            <w:r>
              <w:rPr>
                <w:rFonts w:eastAsia="Times New Roman" w:cs="Tahoma"/>
                <w:color w:val="000000"/>
                <w:sz w:val="22"/>
              </w:rPr>
              <w:t xml:space="preserve"> </w:t>
            </w:r>
            <w:r w:rsidRPr="00A3675E">
              <w:rPr>
                <w:rFonts w:eastAsia="Times New Roman" w:cs="Tahoma"/>
                <w:color w:val="000000"/>
                <w:sz w:val="22"/>
              </w:rPr>
              <w:t xml:space="preserve">818,230.07 </w:t>
            </w:r>
          </w:p>
        </w:tc>
      </w:tr>
      <w:tr w:rsidR="00A3675E" w:rsidRPr="00A3675E" w14:paraId="1BA75137" w14:textId="77777777" w:rsidTr="00A3675E">
        <w:trPr>
          <w:trHeight w:val="266"/>
        </w:trPr>
        <w:tc>
          <w:tcPr>
            <w:tcW w:w="2605" w:type="dxa"/>
            <w:tcBorders>
              <w:top w:val="nil"/>
              <w:left w:val="single" w:sz="4" w:space="0" w:color="auto"/>
              <w:bottom w:val="single" w:sz="4" w:space="0" w:color="auto"/>
              <w:right w:val="single" w:sz="4" w:space="0" w:color="auto"/>
            </w:tcBorders>
            <w:shd w:val="clear" w:color="auto" w:fill="auto"/>
            <w:noWrap/>
            <w:vAlign w:val="bottom"/>
            <w:hideMark/>
          </w:tcPr>
          <w:p w14:paraId="4564E720"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Cost of Sales</w:t>
            </w:r>
          </w:p>
        </w:tc>
        <w:tc>
          <w:tcPr>
            <w:tcW w:w="1498" w:type="dxa"/>
            <w:tcBorders>
              <w:top w:val="nil"/>
              <w:left w:val="nil"/>
              <w:bottom w:val="single" w:sz="4" w:space="0" w:color="auto"/>
              <w:right w:val="single" w:sz="4" w:space="0" w:color="auto"/>
            </w:tcBorders>
            <w:shd w:val="clear" w:color="auto" w:fill="auto"/>
            <w:noWrap/>
            <w:vAlign w:val="bottom"/>
            <w:hideMark/>
          </w:tcPr>
          <w:p w14:paraId="4B0388D2" w14:textId="0982C860"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£ 262,080 </w:t>
            </w:r>
          </w:p>
        </w:tc>
        <w:tc>
          <w:tcPr>
            <w:tcW w:w="1613" w:type="dxa"/>
            <w:tcBorders>
              <w:top w:val="nil"/>
              <w:left w:val="nil"/>
              <w:bottom w:val="single" w:sz="4" w:space="0" w:color="auto"/>
              <w:right w:val="single" w:sz="4" w:space="0" w:color="auto"/>
            </w:tcBorders>
            <w:shd w:val="clear" w:color="auto" w:fill="auto"/>
            <w:noWrap/>
            <w:vAlign w:val="bottom"/>
            <w:hideMark/>
          </w:tcPr>
          <w:p w14:paraId="61A4C418"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293,530 </w:t>
            </w:r>
          </w:p>
        </w:tc>
        <w:tc>
          <w:tcPr>
            <w:tcW w:w="1752" w:type="dxa"/>
            <w:tcBorders>
              <w:top w:val="nil"/>
              <w:left w:val="nil"/>
              <w:bottom w:val="single" w:sz="4" w:space="0" w:color="auto"/>
              <w:right w:val="single" w:sz="4" w:space="0" w:color="auto"/>
            </w:tcBorders>
            <w:shd w:val="clear" w:color="auto" w:fill="auto"/>
            <w:noWrap/>
            <w:vAlign w:val="bottom"/>
            <w:hideMark/>
          </w:tcPr>
          <w:p w14:paraId="0903A477"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328,753 </w:t>
            </w:r>
          </w:p>
        </w:tc>
        <w:tc>
          <w:tcPr>
            <w:tcW w:w="1617" w:type="dxa"/>
            <w:tcBorders>
              <w:top w:val="nil"/>
              <w:left w:val="nil"/>
              <w:bottom w:val="single" w:sz="4" w:space="0" w:color="auto"/>
              <w:right w:val="single" w:sz="4" w:space="0" w:color="auto"/>
            </w:tcBorders>
            <w:shd w:val="clear" w:color="auto" w:fill="auto"/>
            <w:noWrap/>
            <w:vAlign w:val="bottom"/>
            <w:hideMark/>
          </w:tcPr>
          <w:p w14:paraId="6BC9113D" w14:textId="227DE150"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£ 368,204 </w:t>
            </w:r>
          </w:p>
        </w:tc>
      </w:tr>
      <w:tr w:rsidR="00A3675E" w:rsidRPr="00A3675E" w14:paraId="04D90CAC" w14:textId="77777777" w:rsidTr="00A3675E">
        <w:trPr>
          <w:trHeight w:val="266"/>
        </w:trPr>
        <w:tc>
          <w:tcPr>
            <w:tcW w:w="2605" w:type="dxa"/>
            <w:tcBorders>
              <w:top w:val="nil"/>
              <w:left w:val="single" w:sz="4" w:space="0" w:color="auto"/>
              <w:bottom w:val="single" w:sz="4" w:space="0" w:color="auto"/>
              <w:right w:val="single" w:sz="4" w:space="0" w:color="auto"/>
            </w:tcBorders>
            <w:shd w:val="clear" w:color="auto" w:fill="auto"/>
            <w:noWrap/>
            <w:vAlign w:val="bottom"/>
            <w:hideMark/>
          </w:tcPr>
          <w:p w14:paraId="7CE36ECA" w14:textId="77777777"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Gross Profit</w:t>
            </w:r>
          </w:p>
        </w:tc>
        <w:tc>
          <w:tcPr>
            <w:tcW w:w="1498" w:type="dxa"/>
            <w:tcBorders>
              <w:top w:val="nil"/>
              <w:left w:val="nil"/>
              <w:bottom w:val="single" w:sz="4" w:space="0" w:color="auto"/>
              <w:right w:val="single" w:sz="4" w:space="0" w:color="auto"/>
            </w:tcBorders>
            <w:shd w:val="clear" w:color="auto" w:fill="auto"/>
            <w:noWrap/>
            <w:vAlign w:val="bottom"/>
            <w:hideMark/>
          </w:tcPr>
          <w:p w14:paraId="3C1E23FC" w14:textId="77777777"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 xml:space="preserve"> £ 320,320 </w:t>
            </w:r>
          </w:p>
        </w:tc>
        <w:tc>
          <w:tcPr>
            <w:tcW w:w="1613" w:type="dxa"/>
            <w:tcBorders>
              <w:top w:val="nil"/>
              <w:left w:val="nil"/>
              <w:bottom w:val="single" w:sz="4" w:space="0" w:color="auto"/>
              <w:right w:val="single" w:sz="4" w:space="0" w:color="auto"/>
            </w:tcBorders>
            <w:shd w:val="clear" w:color="auto" w:fill="auto"/>
            <w:noWrap/>
            <w:vAlign w:val="bottom"/>
            <w:hideMark/>
          </w:tcPr>
          <w:p w14:paraId="6B5743E6" w14:textId="77777777"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 xml:space="preserve"> £   358,758 </w:t>
            </w:r>
          </w:p>
        </w:tc>
        <w:tc>
          <w:tcPr>
            <w:tcW w:w="1752" w:type="dxa"/>
            <w:tcBorders>
              <w:top w:val="nil"/>
              <w:left w:val="nil"/>
              <w:bottom w:val="single" w:sz="4" w:space="0" w:color="auto"/>
              <w:right w:val="single" w:sz="4" w:space="0" w:color="auto"/>
            </w:tcBorders>
            <w:shd w:val="clear" w:color="auto" w:fill="auto"/>
            <w:noWrap/>
            <w:vAlign w:val="bottom"/>
            <w:hideMark/>
          </w:tcPr>
          <w:p w14:paraId="0DD4C817" w14:textId="77777777"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 xml:space="preserve"> £     401,809 </w:t>
            </w:r>
          </w:p>
        </w:tc>
        <w:tc>
          <w:tcPr>
            <w:tcW w:w="1617" w:type="dxa"/>
            <w:tcBorders>
              <w:top w:val="nil"/>
              <w:left w:val="nil"/>
              <w:bottom w:val="single" w:sz="4" w:space="0" w:color="auto"/>
              <w:right w:val="single" w:sz="4" w:space="0" w:color="auto"/>
            </w:tcBorders>
            <w:shd w:val="clear" w:color="auto" w:fill="auto"/>
            <w:noWrap/>
            <w:vAlign w:val="bottom"/>
            <w:hideMark/>
          </w:tcPr>
          <w:p w14:paraId="370CE5CF" w14:textId="5A4A7613"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 xml:space="preserve"> £ 450,027 </w:t>
            </w:r>
          </w:p>
        </w:tc>
      </w:tr>
      <w:tr w:rsidR="00A3675E" w:rsidRPr="00A3675E" w14:paraId="2C99F246" w14:textId="77777777" w:rsidTr="00A3675E">
        <w:trPr>
          <w:trHeight w:val="266"/>
        </w:trPr>
        <w:tc>
          <w:tcPr>
            <w:tcW w:w="2605" w:type="dxa"/>
            <w:tcBorders>
              <w:top w:val="nil"/>
              <w:left w:val="single" w:sz="4" w:space="0" w:color="auto"/>
              <w:bottom w:val="single" w:sz="4" w:space="0" w:color="auto"/>
              <w:right w:val="single" w:sz="4" w:space="0" w:color="auto"/>
            </w:tcBorders>
            <w:shd w:val="clear" w:color="auto" w:fill="auto"/>
            <w:noWrap/>
            <w:vAlign w:val="bottom"/>
            <w:hideMark/>
          </w:tcPr>
          <w:p w14:paraId="15C7C721"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Operating Expense</w:t>
            </w:r>
          </w:p>
        </w:tc>
        <w:tc>
          <w:tcPr>
            <w:tcW w:w="1498" w:type="dxa"/>
            <w:tcBorders>
              <w:top w:val="nil"/>
              <w:left w:val="nil"/>
              <w:bottom w:val="single" w:sz="4" w:space="0" w:color="auto"/>
              <w:right w:val="single" w:sz="4" w:space="0" w:color="auto"/>
            </w:tcBorders>
            <w:shd w:val="clear" w:color="auto" w:fill="auto"/>
            <w:noWrap/>
            <w:vAlign w:val="bottom"/>
            <w:hideMark/>
          </w:tcPr>
          <w:p w14:paraId="2C2EE9A6" w14:textId="38949CF6"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£ 172,973 </w:t>
            </w:r>
          </w:p>
        </w:tc>
        <w:tc>
          <w:tcPr>
            <w:tcW w:w="1613" w:type="dxa"/>
            <w:tcBorders>
              <w:top w:val="nil"/>
              <w:left w:val="nil"/>
              <w:bottom w:val="single" w:sz="4" w:space="0" w:color="auto"/>
              <w:right w:val="single" w:sz="4" w:space="0" w:color="auto"/>
            </w:tcBorders>
            <w:shd w:val="clear" w:color="auto" w:fill="auto"/>
            <w:noWrap/>
            <w:vAlign w:val="bottom"/>
            <w:hideMark/>
          </w:tcPr>
          <w:p w14:paraId="1EC642AC"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184,924 </w:t>
            </w:r>
          </w:p>
        </w:tc>
        <w:tc>
          <w:tcPr>
            <w:tcW w:w="1752" w:type="dxa"/>
            <w:tcBorders>
              <w:top w:val="nil"/>
              <w:left w:val="nil"/>
              <w:bottom w:val="single" w:sz="4" w:space="0" w:color="auto"/>
              <w:right w:val="single" w:sz="4" w:space="0" w:color="auto"/>
            </w:tcBorders>
            <w:shd w:val="clear" w:color="auto" w:fill="auto"/>
            <w:noWrap/>
            <w:vAlign w:val="bottom"/>
            <w:hideMark/>
          </w:tcPr>
          <w:p w14:paraId="36F89142" w14:textId="77777777"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198,347 </w:t>
            </w:r>
          </w:p>
        </w:tc>
        <w:tc>
          <w:tcPr>
            <w:tcW w:w="1617" w:type="dxa"/>
            <w:tcBorders>
              <w:top w:val="nil"/>
              <w:left w:val="nil"/>
              <w:bottom w:val="single" w:sz="4" w:space="0" w:color="auto"/>
              <w:right w:val="single" w:sz="4" w:space="0" w:color="auto"/>
            </w:tcBorders>
            <w:shd w:val="clear" w:color="auto" w:fill="auto"/>
            <w:noWrap/>
            <w:vAlign w:val="bottom"/>
            <w:hideMark/>
          </w:tcPr>
          <w:p w14:paraId="78E96378" w14:textId="3CAF0A6F" w:rsidR="00A3675E" w:rsidRPr="00A3675E" w:rsidRDefault="00A3675E" w:rsidP="00A3675E">
            <w:pPr>
              <w:spacing w:after="0" w:line="240" w:lineRule="auto"/>
              <w:jc w:val="left"/>
              <w:rPr>
                <w:rFonts w:eastAsia="Times New Roman" w:cs="Tahoma"/>
                <w:color w:val="000000"/>
                <w:sz w:val="22"/>
              </w:rPr>
            </w:pPr>
            <w:r w:rsidRPr="00A3675E">
              <w:rPr>
                <w:rFonts w:eastAsia="Times New Roman" w:cs="Tahoma"/>
                <w:color w:val="000000"/>
                <w:sz w:val="22"/>
              </w:rPr>
              <w:t xml:space="preserve"> £ 222,148 </w:t>
            </w:r>
          </w:p>
        </w:tc>
      </w:tr>
      <w:tr w:rsidR="00A3675E" w:rsidRPr="00A3675E" w14:paraId="728C3D15" w14:textId="77777777" w:rsidTr="00A3675E">
        <w:trPr>
          <w:trHeight w:val="266"/>
        </w:trPr>
        <w:tc>
          <w:tcPr>
            <w:tcW w:w="2605" w:type="dxa"/>
            <w:tcBorders>
              <w:top w:val="nil"/>
              <w:left w:val="single" w:sz="4" w:space="0" w:color="auto"/>
              <w:bottom w:val="single" w:sz="4" w:space="0" w:color="auto"/>
              <w:right w:val="single" w:sz="4" w:space="0" w:color="auto"/>
            </w:tcBorders>
            <w:shd w:val="clear" w:color="auto" w:fill="auto"/>
            <w:noWrap/>
            <w:vAlign w:val="bottom"/>
            <w:hideMark/>
          </w:tcPr>
          <w:p w14:paraId="28F02EB0" w14:textId="77777777"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Net Profit</w:t>
            </w:r>
          </w:p>
        </w:tc>
        <w:tc>
          <w:tcPr>
            <w:tcW w:w="1498" w:type="dxa"/>
            <w:tcBorders>
              <w:top w:val="nil"/>
              <w:left w:val="nil"/>
              <w:bottom w:val="single" w:sz="4" w:space="0" w:color="auto"/>
              <w:right w:val="single" w:sz="4" w:space="0" w:color="auto"/>
            </w:tcBorders>
            <w:shd w:val="clear" w:color="auto" w:fill="auto"/>
            <w:noWrap/>
            <w:vAlign w:val="bottom"/>
            <w:hideMark/>
          </w:tcPr>
          <w:p w14:paraId="213BE5D0" w14:textId="77777777"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 xml:space="preserve"> £ 147,347 </w:t>
            </w:r>
          </w:p>
        </w:tc>
        <w:tc>
          <w:tcPr>
            <w:tcW w:w="1613" w:type="dxa"/>
            <w:tcBorders>
              <w:top w:val="nil"/>
              <w:left w:val="nil"/>
              <w:bottom w:val="single" w:sz="4" w:space="0" w:color="auto"/>
              <w:right w:val="single" w:sz="4" w:space="0" w:color="auto"/>
            </w:tcBorders>
            <w:shd w:val="clear" w:color="auto" w:fill="auto"/>
            <w:noWrap/>
            <w:vAlign w:val="bottom"/>
            <w:hideMark/>
          </w:tcPr>
          <w:p w14:paraId="11EC282B" w14:textId="77777777"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 xml:space="preserve"> £   173,835 </w:t>
            </w:r>
          </w:p>
        </w:tc>
        <w:tc>
          <w:tcPr>
            <w:tcW w:w="1752" w:type="dxa"/>
            <w:tcBorders>
              <w:top w:val="nil"/>
              <w:left w:val="nil"/>
              <w:bottom w:val="single" w:sz="4" w:space="0" w:color="auto"/>
              <w:right w:val="single" w:sz="4" w:space="0" w:color="auto"/>
            </w:tcBorders>
            <w:shd w:val="clear" w:color="auto" w:fill="auto"/>
            <w:noWrap/>
            <w:vAlign w:val="bottom"/>
            <w:hideMark/>
          </w:tcPr>
          <w:p w14:paraId="2BCDB7AA" w14:textId="77777777"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 xml:space="preserve"> £     203,463 </w:t>
            </w:r>
          </w:p>
        </w:tc>
        <w:tc>
          <w:tcPr>
            <w:tcW w:w="1617" w:type="dxa"/>
            <w:tcBorders>
              <w:top w:val="nil"/>
              <w:left w:val="nil"/>
              <w:bottom w:val="single" w:sz="4" w:space="0" w:color="auto"/>
              <w:right w:val="single" w:sz="4" w:space="0" w:color="auto"/>
            </w:tcBorders>
            <w:shd w:val="clear" w:color="auto" w:fill="auto"/>
            <w:noWrap/>
            <w:vAlign w:val="bottom"/>
            <w:hideMark/>
          </w:tcPr>
          <w:p w14:paraId="0E0BB786" w14:textId="05C1B74A" w:rsidR="00A3675E" w:rsidRPr="00A3675E" w:rsidRDefault="00A3675E" w:rsidP="00A3675E">
            <w:pPr>
              <w:spacing w:after="0" w:line="240" w:lineRule="auto"/>
              <w:jc w:val="left"/>
              <w:rPr>
                <w:rFonts w:eastAsia="Times New Roman" w:cs="Tahoma"/>
                <w:b/>
                <w:bCs/>
                <w:color w:val="000000"/>
                <w:sz w:val="22"/>
              </w:rPr>
            </w:pPr>
            <w:r w:rsidRPr="00A3675E">
              <w:rPr>
                <w:rFonts w:eastAsia="Times New Roman" w:cs="Tahoma"/>
                <w:b/>
                <w:bCs/>
                <w:color w:val="000000"/>
                <w:sz w:val="22"/>
              </w:rPr>
              <w:t xml:space="preserve"> £227,878 </w:t>
            </w:r>
          </w:p>
        </w:tc>
      </w:tr>
      <w:tr w:rsidR="00A3675E" w:rsidRPr="00A3675E" w14:paraId="2AEE2203" w14:textId="77777777" w:rsidTr="00A3675E">
        <w:trPr>
          <w:trHeight w:val="266"/>
        </w:trPr>
        <w:tc>
          <w:tcPr>
            <w:tcW w:w="2605" w:type="dxa"/>
            <w:tcBorders>
              <w:top w:val="nil"/>
              <w:left w:val="single" w:sz="4" w:space="0" w:color="auto"/>
              <w:bottom w:val="single" w:sz="4" w:space="0" w:color="auto"/>
              <w:right w:val="single" w:sz="4" w:space="0" w:color="auto"/>
            </w:tcBorders>
            <w:shd w:val="clear" w:color="auto" w:fill="auto"/>
            <w:noWrap/>
            <w:vAlign w:val="bottom"/>
            <w:hideMark/>
          </w:tcPr>
          <w:p w14:paraId="091051AF" w14:textId="3B297289" w:rsidR="00A3675E" w:rsidRPr="00A3675E" w:rsidRDefault="00A3675E" w:rsidP="00A3675E">
            <w:pPr>
              <w:spacing w:after="0" w:line="240" w:lineRule="auto"/>
              <w:jc w:val="left"/>
              <w:rPr>
                <w:rFonts w:eastAsia="Times New Roman" w:cs="Tahoma"/>
                <w:color w:val="000000"/>
                <w:sz w:val="22"/>
              </w:rPr>
            </w:pPr>
            <w:r>
              <w:rPr>
                <w:rFonts w:eastAsia="Times New Roman" w:cs="Tahoma"/>
                <w:color w:val="000000"/>
                <w:sz w:val="22"/>
              </w:rPr>
              <w:t xml:space="preserve">Target </w:t>
            </w:r>
            <w:r w:rsidRPr="00A3675E">
              <w:rPr>
                <w:rFonts w:eastAsia="Times New Roman" w:cs="Tahoma"/>
                <w:color w:val="000000"/>
                <w:sz w:val="22"/>
              </w:rPr>
              <w:t>Net Profit Margin</w:t>
            </w:r>
          </w:p>
        </w:tc>
        <w:tc>
          <w:tcPr>
            <w:tcW w:w="1498" w:type="dxa"/>
            <w:tcBorders>
              <w:top w:val="nil"/>
              <w:left w:val="nil"/>
              <w:bottom w:val="single" w:sz="4" w:space="0" w:color="auto"/>
              <w:right w:val="single" w:sz="4" w:space="0" w:color="auto"/>
            </w:tcBorders>
            <w:shd w:val="clear" w:color="auto" w:fill="auto"/>
            <w:noWrap/>
            <w:vAlign w:val="bottom"/>
            <w:hideMark/>
          </w:tcPr>
          <w:p w14:paraId="521A4E36" w14:textId="77777777" w:rsidR="00A3675E" w:rsidRPr="00A3675E" w:rsidRDefault="00A3675E" w:rsidP="00A3675E">
            <w:pPr>
              <w:spacing w:after="0" w:line="240" w:lineRule="auto"/>
              <w:jc w:val="center"/>
              <w:rPr>
                <w:rFonts w:eastAsia="Times New Roman" w:cs="Tahoma"/>
                <w:color w:val="000000"/>
                <w:sz w:val="22"/>
              </w:rPr>
            </w:pPr>
            <w:r w:rsidRPr="00A3675E">
              <w:rPr>
                <w:rFonts w:eastAsia="Times New Roman" w:cs="Tahoma"/>
                <w:color w:val="000000"/>
                <w:sz w:val="22"/>
              </w:rPr>
              <w:t>25%</w:t>
            </w:r>
          </w:p>
        </w:tc>
        <w:tc>
          <w:tcPr>
            <w:tcW w:w="1613" w:type="dxa"/>
            <w:tcBorders>
              <w:top w:val="nil"/>
              <w:left w:val="nil"/>
              <w:bottom w:val="single" w:sz="4" w:space="0" w:color="auto"/>
              <w:right w:val="single" w:sz="4" w:space="0" w:color="auto"/>
            </w:tcBorders>
            <w:shd w:val="clear" w:color="auto" w:fill="auto"/>
            <w:noWrap/>
            <w:vAlign w:val="bottom"/>
            <w:hideMark/>
          </w:tcPr>
          <w:p w14:paraId="56374AD4" w14:textId="77777777" w:rsidR="00A3675E" w:rsidRPr="00A3675E" w:rsidRDefault="00A3675E" w:rsidP="00A3675E">
            <w:pPr>
              <w:spacing w:after="0" w:line="240" w:lineRule="auto"/>
              <w:jc w:val="center"/>
              <w:rPr>
                <w:rFonts w:eastAsia="Times New Roman" w:cs="Tahoma"/>
                <w:color w:val="000000"/>
                <w:sz w:val="22"/>
              </w:rPr>
            </w:pPr>
            <w:r w:rsidRPr="00A3675E">
              <w:rPr>
                <w:rFonts w:eastAsia="Times New Roman" w:cs="Tahoma"/>
                <w:color w:val="000000"/>
                <w:sz w:val="22"/>
              </w:rPr>
              <w:t>27%</w:t>
            </w:r>
          </w:p>
        </w:tc>
        <w:tc>
          <w:tcPr>
            <w:tcW w:w="1752" w:type="dxa"/>
            <w:tcBorders>
              <w:top w:val="nil"/>
              <w:left w:val="nil"/>
              <w:bottom w:val="single" w:sz="4" w:space="0" w:color="auto"/>
              <w:right w:val="single" w:sz="4" w:space="0" w:color="auto"/>
            </w:tcBorders>
            <w:shd w:val="clear" w:color="auto" w:fill="auto"/>
            <w:noWrap/>
            <w:vAlign w:val="bottom"/>
            <w:hideMark/>
          </w:tcPr>
          <w:p w14:paraId="223E7F5C" w14:textId="77777777" w:rsidR="00A3675E" w:rsidRPr="00A3675E" w:rsidRDefault="00A3675E" w:rsidP="00A3675E">
            <w:pPr>
              <w:spacing w:after="0" w:line="240" w:lineRule="auto"/>
              <w:jc w:val="center"/>
              <w:rPr>
                <w:rFonts w:eastAsia="Times New Roman" w:cs="Tahoma"/>
                <w:color w:val="000000"/>
                <w:sz w:val="22"/>
              </w:rPr>
            </w:pPr>
            <w:r w:rsidRPr="00A3675E">
              <w:rPr>
                <w:rFonts w:eastAsia="Times New Roman" w:cs="Tahoma"/>
                <w:color w:val="000000"/>
                <w:sz w:val="22"/>
              </w:rPr>
              <w:t>28%</w:t>
            </w:r>
          </w:p>
        </w:tc>
        <w:tc>
          <w:tcPr>
            <w:tcW w:w="1617" w:type="dxa"/>
            <w:tcBorders>
              <w:top w:val="nil"/>
              <w:left w:val="nil"/>
              <w:bottom w:val="single" w:sz="4" w:space="0" w:color="auto"/>
              <w:right w:val="single" w:sz="4" w:space="0" w:color="auto"/>
            </w:tcBorders>
            <w:shd w:val="clear" w:color="auto" w:fill="auto"/>
            <w:noWrap/>
            <w:vAlign w:val="bottom"/>
            <w:hideMark/>
          </w:tcPr>
          <w:p w14:paraId="52A8A5D1" w14:textId="77777777" w:rsidR="00A3675E" w:rsidRPr="00A3675E" w:rsidRDefault="00A3675E" w:rsidP="00A3675E">
            <w:pPr>
              <w:spacing w:after="0" w:line="240" w:lineRule="auto"/>
              <w:jc w:val="center"/>
              <w:rPr>
                <w:rFonts w:eastAsia="Times New Roman" w:cs="Tahoma"/>
                <w:color w:val="000000"/>
                <w:sz w:val="22"/>
              </w:rPr>
            </w:pPr>
            <w:r w:rsidRPr="00A3675E">
              <w:rPr>
                <w:rFonts w:eastAsia="Times New Roman" w:cs="Tahoma"/>
                <w:color w:val="000000"/>
                <w:sz w:val="22"/>
              </w:rPr>
              <w:t>28%</w:t>
            </w:r>
          </w:p>
        </w:tc>
      </w:tr>
    </w:tbl>
    <w:p w14:paraId="2C61C042" w14:textId="5D0CDEC0" w:rsidR="008613AB" w:rsidRDefault="008613AB"/>
    <w:p w14:paraId="51CA5E3D" w14:textId="4C899961" w:rsidR="00A3675E" w:rsidRDefault="00C13F6F" w:rsidP="00C13F6F">
      <w:pPr>
        <w:jc w:val="center"/>
      </w:pPr>
      <w:r>
        <w:t xml:space="preserve">Break-Even Cash Flows = </w:t>
      </w:r>
      <m:oMath>
        <m:f>
          <m:fPr>
            <m:ctrlPr>
              <w:rPr>
                <w:rFonts w:ascii="Cambria Math" w:hAnsi="Cambria Math"/>
                <w:i/>
              </w:rPr>
            </m:ctrlPr>
          </m:fPr>
          <m:num>
            <m:r>
              <w:rPr>
                <w:rFonts w:ascii="Cambria Math" w:hAnsi="Cambria Math"/>
              </w:rPr>
              <m:t>£1,50,000</m:t>
            </m:r>
          </m:num>
          <m:den>
            <m:r>
              <w:rPr>
                <w:rFonts w:ascii="Cambria Math" w:hAnsi="Cambria Math"/>
              </w:rPr>
              <m:t>£1,47,347</m:t>
            </m:r>
          </m:den>
        </m:f>
      </m:oMath>
      <w:r>
        <w:rPr>
          <w:rFonts w:eastAsiaTheme="minorEastAsia"/>
        </w:rPr>
        <w:t xml:space="preserve"> = 1.01 Years.</w:t>
      </w:r>
    </w:p>
    <w:p w14:paraId="442492B0" w14:textId="2DC5623B" w:rsidR="00E850F2" w:rsidRDefault="00E850F2">
      <w:pPr>
        <w:spacing w:line="259" w:lineRule="auto"/>
        <w:jc w:val="left"/>
      </w:pPr>
      <w:r>
        <w:br w:type="page"/>
      </w:r>
    </w:p>
    <w:p w14:paraId="57BDDFFC" w14:textId="77777777" w:rsidR="00A3675E" w:rsidRDefault="00A3675E" w:rsidP="00E850F2">
      <w:pPr>
        <w:pStyle w:val="Heading1"/>
      </w:pPr>
      <w:bookmarkStart w:id="25" w:name="_Toc150722510"/>
      <w:r>
        <w:lastRenderedPageBreak/>
        <w:t>Recommendations and Conclusion</w:t>
      </w:r>
      <w:bookmarkEnd w:id="25"/>
    </w:p>
    <w:p w14:paraId="7A2CC175" w14:textId="2CF49C2C" w:rsidR="00E850F2" w:rsidRPr="0057401E" w:rsidRDefault="00A3675E">
      <w:pPr>
        <w:rPr>
          <w:rFonts w:ascii="Arial" w:hAnsi="Arial" w:cs="Arial"/>
        </w:rPr>
      </w:pPr>
      <w:r w:rsidRPr="0057401E">
        <w:rPr>
          <w:rFonts w:ascii="Arial" w:hAnsi="Arial" w:cs="Arial"/>
        </w:rPr>
        <w:t xml:space="preserve">To improve the financial performance and financial condition of Seaview Resort, the management should focus on increasing revenue </w:t>
      </w:r>
      <w:r w:rsidR="00DB3A88" w:rsidRPr="0057401E">
        <w:rPr>
          <w:rFonts w:ascii="Arial" w:hAnsi="Arial" w:cs="Arial"/>
        </w:rPr>
        <w:t>by</w:t>
      </w:r>
      <w:r w:rsidRPr="0057401E">
        <w:rPr>
          <w:rFonts w:ascii="Arial" w:hAnsi="Arial" w:cs="Arial"/>
        </w:rPr>
        <w:t xml:space="preserve"> improving customer satisfaction level and </w:t>
      </w:r>
      <w:proofErr w:type="gramStart"/>
      <w:r w:rsidRPr="0057401E">
        <w:rPr>
          <w:rFonts w:ascii="Arial" w:hAnsi="Arial" w:cs="Arial"/>
        </w:rPr>
        <w:t>improve</w:t>
      </w:r>
      <w:proofErr w:type="gramEnd"/>
      <w:r w:rsidRPr="0057401E">
        <w:rPr>
          <w:rFonts w:ascii="Arial" w:hAnsi="Arial" w:cs="Arial"/>
        </w:rPr>
        <w:t xml:space="preserve"> customer service</w:t>
      </w:r>
      <w:r w:rsidR="00DB3A88" w:rsidRPr="0057401E">
        <w:rPr>
          <w:rFonts w:ascii="Arial" w:hAnsi="Arial" w:cs="Arial"/>
        </w:rPr>
        <w:t>s</w:t>
      </w:r>
      <w:r w:rsidRPr="0057401E">
        <w:rPr>
          <w:rFonts w:ascii="Arial" w:hAnsi="Arial" w:cs="Arial"/>
        </w:rPr>
        <w:t xml:space="preserve">. Apart from this, the management should focus on reduction of operating cost to improve its operating profit. If management can increase its revenue and decrease its operating expense as expectation, net profit margin will be reached to at least 25%. </w:t>
      </w:r>
    </w:p>
    <w:p w14:paraId="4930E5F7" w14:textId="77777777" w:rsidR="00E850F2" w:rsidRDefault="00E850F2">
      <w:pPr>
        <w:spacing w:line="259" w:lineRule="auto"/>
        <w:jc w:val="left"/>
      </w:pPr>
      <w:r>
        <w:br w:type="page"/>
      </w:r>
    </w:p>
    <w:p w14:paraId="795590B5" w14:textId="3AF0EEF0" w:rsidR="00A3675E" w:rsidRDefault="00E850F2" w:rsidP="00E850F2">
      <w:pPr>
        <w:pStyle w:val="Heading1"/>
      </w:pPr>
      <w:bookmarkStart w:id="26" w:name="_Toc150722511"/>
      <w:r>
        <w:lastRenderedPageBreak/>
        <w:t>Reference</w:t>
      </w:r>
      <w:bookmarkEnd w:id="26"/>
    </w:p>
    <w:p w14:paraId="1A13CBB8" w14:textId="77777777" w:rsidR="00E850F2" w:rsidRPr="00915F78" w:rsidRDefault="00E850F2" w:rsidP="00787114">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Brenner, V.C. and Dascher, P.E. (2015) </w:t>
      </w:r>
      <w:r w:rsidRPr="00915F78">
        <w:rPr>
          <w:rFonts w:ascii="Arial" w:hAnsi="Arial" w:cs="Arial"/>
          <w:i/>
          <w:iCs/>
        </w:rPr>
        <w:t>Financial accounting</w:t>
      </w:r>
      <w:r w:rsidRPr="00915F78">
        <w:rPr>
          <w:rFonts w:ascii="Arial" w:hAnsi="Arial" w:cs="Arial"/>
        </w:rPr>
        <w:t xml:space="preserve">. Houston, TX: Dame Publications. </w:t>
      </w:r>
    </w:p>
    <w:p w14:paraId="047B20BF"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Collis, J. (2016) </w:t>
      </w:r>
      <w:r w:rsidRPr="00915F78">
        <w:rPr>
          <w:rFonts w:ascii="Arial" w:hAnsi="Arial" w:cs="Arial"/>
          <w:i/>
          <w:iCs/>
        </w:rPr>
        <w:t>Financial accounting</w:t>
      </w:r>
      <w:r w:rsidRPr="00915F78">
        <w:rPr>
          <w:rFonts w:ascii="Arial" w:hAnsi="Arial" w:cs="Arial"/>
        </w:rPr>
        <w:t xml:space="preserve">. Basingstoke, Hampshire: Palgrave Macmillan. </w:t>
      </w:r>
    </w:p>
    <w:p w14:paraId="02A3FD22"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Correia, C. </w:t>
      </w:r>
      <w:r w:rsidRPr="00915F78">
        <w:rPr>
          <w:rFonts w:ascii="Arial" w:hAnsi="Arial" w:cs="Arial"/>
          <w:i/>
          <w:iCs/>
        </w:rPr>
        <w:t>et al.</w:t>
      </w:r>
      <w:r w:rsidRPr="00915F78">
        <w:rPr>
          <w:rFonts w:ascii="Arial" w:hAnsi="Arial" w:cs="Arial"/>
        </w:rPr>
        <w:t xml:space="preserve"> (2019) </w:t>
      </w:r>
      <w:r w:rsidRPr="00915F78">
        <w:rPr>
          <w:rFonts w:ascii="Arial" w:hAnsi="Arial" w:cs="Arial"/>
          <w:i/>
          <w:iCs/>
        </w:rPr>
        <w:t>Financial management</w:t>
      </w:r>
      <w:r w:rsidRPr="00915F78">
        <w:rPr>
          <w:rFonts w:ascii="Arial" w:hAnsi="Arial" w:cs="Arial"/>
        </w:rPr>
        <w:t xml:space="preserve">. Lansdowne: Juta. </w:t>
      </w:r>
    </w:p>
    <w:p w14:paraId="6832A83D"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Crane, D.B. (2018) </w:t>
      </w:r>
      <w:r w:rsidRPr="00915F78">
        <w:rPr>
          <w:rFonts w:ascii="Arial" w:hAnsi="Arial" w:cs="Arial"/>
          <w:i/>
          <w:iCs/>
        </w:rPr>
        <w:t>Financial management</w:t>
      </w:r>
      <w:r w:rsidRPr="00915F78">
        <w:rPr>
          <w:rFonts w:ascii="Arial" w:hAnsi="Arial" w:cs="Arial"/>
        </w:rPr>
        <w:t xml:space="preserve">. New York: Wiley. </w:t>
      </w:r>
    </w:p>
    <w:p w14:paraId="7A6D106A"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Diamond, M.A., Stice, E.K. and Stice, J.D. (2020) </w:t>
      </w:r>
      <w:r w:rsidRPr="00915F78">
        <w:rPr>
          <w:rFonts w:ascii="Arial" w:hAnsi="Arial" w:cs="Arial"/>
          <w:i/>
          <w:iCs/>
        </w:rPr>
        <w:t>Financial accounting</w:t>
      </w:r>
      <w:r w:rsidRPr="00915F78">
        <w:rPr>
          <w:rFonts w:ascii="Arial" w:hAnsi="Arial" w:cs="Arial"/>
        </w:rPr>
        <w:t xml:space="preserve">. Cincinnati, OH: Southwestern College Pub. </w:t>
      </w:r>
    </w:p>
    <w:p w14:paraId="451BA4B3"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Droms, W.G. (2022) </w:t>
      </w:r>
      <w:r w:rsidRPr="00915F78">
        <w:rPr>
          <w:rFonts w:ascii="Arial" w:hAnsi="Arial" w:cs="Arial"/>
          <w:i/>
          <w:iCs/>
        </w:rPr>
        <w:t>Financial management</w:t>
      </w:r>
      <w:r w:rsidRPr="00915F78">
        <w:rPr>
          <w:rFonts w:ascii="Arial" w:hAnsi="Arial" w:cs="Arial"/>
        </w:rPr>
        <w:t xml:space="preserve">. Washington: Small Business Administration. </w:t>
      </w:r>
    </w:p>
    <w:p w14:paraId="508A39F9"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i/>
          <w:iCs/>
        </w:rPr>
        <w:t>Financial management</w:t>
      </w:r>
      <w:r w:rsidRPr="00915F78">
        <w:rPr>
          <w:rFonts w:ascii="Arial" w:hAnsi="Arial" w:cs="Arial"/>
        </w:rPr>
        <w:t xml:space="preserve"> (2014). London: BPP Learning Media. </w:t>
      </w:r>
    </w:p>
    <w:p w14:paraId="61DEE237" w14:textId="3929E1FD"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i/>
          <w:iCs/>
        </w:rPr>
        <w:t>Financial management</w:t>
      </w:r>
      <w:r w:rsidRPr="00915F78">
        <w:rPr>
          <w:rFonts w:ascii="Arial" w:hAnsi="Arial" w:cs="Arial"/>
        </w:rPr>
        <w:t xml:space="preserve"> (2021). Alexandria, Va. Summer Food Service Program, U.S. Dept. of Agriculture, Food and Nutrition Service. </w:t>
      </w:r>
    </w:p>
    <w:p w14:paraId="3E99533D"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Graham, J.R., Adam, C. and Gunasingham, B. (2021) </w:t>
      </w:r>
      <w:r w:rsidRPr="00915F78">
        <w:rPr>
          <w:rFonts w:ascii="Arial" w:hAnsi="Arial" w:cs="Arial"/>
          <w:i/>
          <w:iCs/>
        </w:rPr>
        <w:t>Corporate finance</w:t>
      </w:r>
      <w:r w:rsidRPr="00915F78">
        <w:rPr>
          <w:rFonts w:ascii="Arial" w:hAnsi="Arial" w:cs="Arial"/>
        </w:rPr>
        <w:t xml:space="preserve">. South Melbourne, Victoria, Australia: Cengage Learning Australia. </w:t>
      </w:r>
    </w:p>
    <w:p w14:paraId="1B1B1D49"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Imdieke, L.F. and Smith, R.E. (2021) </w:t>
      </w:r>
      <w:r w:rsidRPr="00915F78">
        <w:rPr>
          <w:rFonts w:ascii="Arial" w:hAnsi="Arial" w:cs="Arial"/>
          <w:i/>
          <w:iCs/>
        </w:rPr>
        <w:t>Financial accounting</w:t>
      </w:r>
      <w:r w:rsidRPr="00915F78">
        <w:rPr>
          <w:rFonts w:ascii="Arial" w:hAnsi="Arial" w:cs="Arial"/>
        </w:rPr>
        <w:t xml:space="preserve">. New York, etc.: John Wiley. </w:t>
      </w:r>
    </w:p>
    <w:p w14:paraId="7A3F2FFD"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Johnson, R.W. and Melicher, R.W. (2021) </w:t>
      </w:r>
      <w:r w:rsidRPr="00915F78">
        <w:rPr>
          <w:rFonts w:ascii="Arial" w:hAnsi="Arial" w:cs="Arial"/>
          <w:i/>
          <w:iCs/>
        </w:rPr>
        <w:t>Financial management</w:t>
      </w:r>
      <w:r w:rsidRPr="00915F78">
        <w:rPr>
          <w:rFonts w:ascii="Arial" w:hAnsi="Arial" w:cs="Arial"/>
        </w:rPr>
        <w:t xml:space="preserve">. Boston: Allyn and Bacon. </w:t>
      </w:r>
    </w:p>
    <w:p w14:paraId="6520FF22"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Kemp, R.S. </w:t>
      </w:r>
      <w:r w:rsidRPr="00915F78">
        <w:rPr>
          <w:rFonts w:ascii="Arial" w:hAnsi="Arial" w:cs="Arial"/>
          <w:i/>
          <w:iCs/>
        </w:rPr>
        <w:t>et al.</w:t>
      </w:r>
      <w:r w:rsidRPr="00915F78">
        <w:rPr>
          <w:rFonts w:ascii="Arial" w:hAnsi="Arial" w:cs="Arial"/>
        </w:rPr>
        <w:t xml:space="preserve"> (2021) </w:t>
      </w:r>
      <w:r w:rsidRPr="00915F78">
        <w:rPr>
          <w:rFonts w:ascii="Arial" w:hAnsi="Arial" w:cs="Arial"/>
          <w:i/>
          <w:iCs/>
        </w:rPr>
        <w:t>Financial accounting</w:t>
      </w:r>
      <w:r w:rsidRPr="00915F78">
        <w:rPr>
          <w:rFonts w:ascii="Arial" w:hAnsi="Arial" w:cs="Arial"/>
        </w:rPr>
        <w:t xml:space="preserve">. Toronto: Pearson Canada. </w:t>
      </w:r>
    </w:p>
    <w:p w14:paraId="3DE8AFDE"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Khan, M.Y. and Jain, P.K. (2019) </w:t>
      </w:r>
      <w:r w:rsidRPr="00915F78">
        <w:rPr>
          <w:rFonts w:ascii="Arial" w:hAnsi="Arial" w:cs="Arial"/>
          <w:i/>
          <w:iCs/>
        </w:rPr>
        <w:t>Financial management</w:t>
      </w:r>
      <w:r w:rsidRPr="00915F78">
        <w:rPr>
          <w:rFonts w:ascii="Arial" w:hAnsi="Arial" w:cs="Arial"/>
        </w:rPr>
        <w:t xml:space="preserve">. New Delhi: Tata McGraw-Hill. </w:t>
      </w:r>
    </w:p>
    <w:p w14:paraId="22AF9C6F"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Libby, R., Libby, P.A. and Hodge, F. (2023) </w:t>
      </w:r>
      <w:r w:rsidRPr="00915F78">
        <w:rPr>
          <w:rFonts w:ascii="Arial" w:hAnsi="Arial" w:cs="Arial"/>
          <w:i/>
          <w:iCs/>
        </w:rPr>
        <w:t>Financial accounting</w:t>
      </w:r>
      <w:r w:rsidRPr="00915F78">
        <w:rPr>
          <w:rFonts w:ascii="Arial" w:hAnsi="Arial" w:cs="Arial"/>
        </w:rPr>
        <w:t xml:space="preserve">. New York, NY: McGraw Hill LLC. </w:t>
      </w:r>
    </w:p>
    <w:p w14:paraId="46111E6C"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Pandey, I.M. (2021) </w:t>
      </w:r>
      <w:r w:rsidRPr="00915F78">
        <w:rPr>
          <w:rFonts w:ascii="Arial" w:hAnsi="Arial" w:cs="Arial"/>
          <w:i/>
          <w:iCs/>
        </w:rPr>
        <w:t>Financial management</w:t>
      </w:r>
      <w:r w:rsidRPr="00915F78">
        <w:rPr>
          <w:rFonts w:ascii="Arial" w:hAnsi="Arial" w:cs="Arial"/>
        </w:rPr>
        <w:t xml:space="preserve">. Noida: Pearson India Education Services. </w:t>
      </w:r>
    </w:p>
    <w:p w14:paraId="19C8F5BF"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Parkin, M. (2023) </w:t>
      </w:r>
      <w:r w:rsidRPr="00915F78">
        <w:rPr>
          <w:rFonts w:ascii="Arial" w:hAnsi="Arial" w:cs="Arial"/>
          <w:i/>
          <w:iCs/>
        </w:rPr>
        <w:t>Economics</w:t>
      </w:r>
      <w:r w:rsidRPr="00915F78">
        <w:rPr>
          <w:rFonts w:ascii="Arial" w:hAnsi="Arial" w:cs="Arial"/>
        </w:rPr>
        <w:t xml:space="preserve">. Harlow, England: Pearson. </w:t>
      </w:r>
    </w:p>
    <w:p w14:paraId="4D885210"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Petty, J.W. (2022) </w:t>
      </w:r>
      <w:r w:rsidRPr="00915F78">
        <w:rPr>
          <w:rFonts w:ascii="Arial" w:hAnsi="Arial" w:cs="Arial"/>
          <w:i/>
          <w:iCs/>
        </w:rPr>
        <w:t>Financial management</w:t>
      </w:r>
      <w:r w:rsidRPr="00915F78">
        <w:rPr>
          <w:rFonts w:ascii="Arial" w:hAnsi="Arial" w:cs="Arial"/>
        </w:rPr>
        <w:t xml:space="preserve">. Frenchs Forest, N.S.W.: Pearson Education. </w:t>
      </w:r>
    </w:p>
    <w:p w14:paraId="01C11A11"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Spiceland, J.D., Thomas, W. and Herrmann, D. (2022) </w:t>
      </w:r>
      <w:r w:rsidRPr="00915F78">
        <w:rPr>
          <w:rFonts w:ascii="Arial" w:hAnsi="Arial" w:cs="Arial"/>
          <w:i/>
          <w:iCs/>
        </w:rPr>
        <w:t>Financial accounting</w:t>
      </w:r>
      <w:r w:rsidRPr="00915F78">
        <w:rPr>
          <w:rFonts w:ascii="Arial" w:hAnsi="Arial" w:cs="Arial"/>
        </w:rPr>
        <w:t xml:space="preserve">. New York, NY: McGraw Hill LLC. </w:t>
      </w:r>
    </w:p>
    <w:p w14:paraId="6811A104" w14:textId="77777777"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Warren, C.S. </w:t>
      </w:r>
      <w:r w:rsidRPr="00915F78">
        <w:rPr>
          <w:rFonts w:ascii="Arial" w:hAnsi="Arial" w:cs="Arial"/>
          <w:i/>
          <w:iCs/>
        </w:rPr>
        <w:t>et al.</w:t>
      </w:r>
      <w:r w:rsidRPr="00915F78">
        <w:rPr>
          <w:rFonts w:ascii="Arial" w:hAnsi="Arial" w:cs="Arial"/>
        </w:rPr>
        <w:t xml:space="preserve"> (2024) </w:t>
      </w:r>
      <w:r w:rsidRPr="00915F78">
        <w:rPr>
          <w:rFonts w:ascii="Arial" w:hAnsi="Arial" w:cs="Arial"/>
          <w:i/>
          <w:iCs/>
        </w:rPr>
        <w:t>Financial accounting</w:t>
      </w:r>
      <w:r w:rsidRPr="00915F78">
        <w:rPr>
          <w:rFonts w:ascii="Arial" w:hAnsi="Arial" w:cs="Arial"/>
        </w:rPr>
        <w:t xml:space="preserve">. Mason: Cengage. </w:t>
      </w:r>
    </w:p>
    <w:p w14:paraId="480B43E1" w14:textId="496A9745" w:rsidR="00E850F2" w:rsidRPr="00915F78" w:rsidRDefault="00E850F2" w:rsidP="00915F78">
      <w:pPr>
        <w:pStyle w:val="NormalWeb"/>
        <w:spacing w:before="0" w:beforeAutospacing="0" w:after="0" w:afterAutospacing="0" w:line="360" w:lineRule="auto"/>
        <w:ind w:left="567" w:hanging="567"/>
        <w:jc w:val="both"/>
        <w:rPr>
          <w:rFonts w:ascii="Arial" w:hAnsi="Arial" w:cs="Arial"/>
        </w:rPr>
      </w:pPr>
      <w:r w:rsidRPr="00915F78">
        <w:rPr>
          <w:rFonts w:ascii="Arial" w:hAnsi="Arial" w:cs="Arial"/>
        </w:rPr>
        <w:t xml:space="preserve">Wilson, C. (2018) </w:t>
      </w:r>
      <w:r w:rsidRPr="00915F78">
        <w:rPr>
          <w:rFonts w:ascii="Arial" w:hAnsi="Arial" w:cs="Arial"/>
          <w:i/>
          <w:iCs/>
        </w:rPr>
        <w:t>Financial management</w:t>
      </w:r>
      <w:r w:rsidRPr="00915F78">
        <w:rPr>
          <w:rFonts w:ascii="Arial" w:hAnsi="Arial" w:cs="Arial"/>
        </w:rPr>
        <w:t xml:space="preserve">. South Melbourne, Victoria: Cengage Learning Australia. </w:t>
      </w:r>
    </w:p>
    <w:sectPr w:rsidR="00E850F2" w:rsidRPr="00915F78" w:rsidSect="006A6516">
      <w:footerReference w:type="default" r:id="rId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95F7D" w14:textId="77777777" w:rsidR="00643C4B" w:rsidRDefault="00643C4B" w:rsidP="006A6516">
      <w:pPr>
        <w:spacing w:after="0" w:line="240" w:lineRule="auto"/>
      </w:pPr>
      <w:r>
        <w:separator/>
      </w:r>
    </w:p>
  </w:endnote>
  <w:endnote w:type="continuationSeparator" w:id="0">
    <w:p w14:paraId="13488EC3" w14:textId="77777777" w:rsidR="00643C4B" w:rsidRDefault="00643C4B" w:rsidP="006A6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213692"/>
      <w:docPartObj>
        <w:docPartGallery w:val="Page Numbers (Bottom of Page)"/>
        <w:docPartUnique/>
      </w:docPartObj>
    </w:sdtPr>
    <w:sdtContent>
      <w:p w14:paraId="7B230C54" w14:textId="1A8C485C" w:rsidR="006A6516" w:rsidRDefault="006A651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16C5240" w14:textId="77777777" w:rsidR="006A6516" w:rsidRDefault="006A6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DA208" w14:textId="77777777" w:rsidR="00643C4B" w:rsidRDefault="00643C4B" w:rsidP="006A6516">
      <w:pPr>
        <w:spacing w:after="0" w:line="240" w:lineRule="auto"/>
      </w:pPr>
      <w:r>
        <w:separator/>
      </w:r>
    </w:p>
  </w:footnote>
  <w:footnote w:type="continuationSeparator" w:id="0">
    <w:p w14:paraId="310CCE60" w14:textId="77777777" w:rsidR="00643C4B" w:rsidRDefault="00643C4B" w:rsidP="006A65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BA25DF"/>
    <w:multiLevelType w:val="hybridMultilevel"/>
    <w:tmpl w:val="2D743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8416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740"/>
    <w:rsid w:val="00023CFC"/>
    <w:rsid w:val="000329D7"/>
    <w:rsid w:val="00044E72"/>
    <w:rsid w:val="00066F80"/>
    <w:rsid w:val="0007339B"/>
    <w:rsid w:val="00085010"/>
    <w:rsid w:val="000A2850"/>
    <w:rsid w:val="000D6107"/>
    <w:rsid w:val="00121F6A"/>
    <w:rsid w:val="001973DF"/>
    <w:rsid w:val="00207BB5"/>
    <w:rsid w:val="00281259"/>
    <w:rsid w:val="002B6FC5"/>
    <w:rsid w:val="002E038C"/>
    <w:rsid w:val="00307FAB"/>
    <w:rsid w:val="003252DE"/>
    <w:rsid w:val="0034412A"/>
    <w:rsid w:val="003A3525"/>
    <w:rsid w:val="0041214D"/>
    <w:rsid w:val="00446F82"/>
    <w:rsid w:val="00474379"/>
    <w:rsid w:val="004768C9"/>
    <w:rsid w:val="004771C3"/>
    <w:rsid w:val="0048613A"/>
    <w:rsid w:val="004B1E7C"/>
    <w:rsid w:val="00507590"/>
    <w:rsid w:val="00546046"/>
    <w:rsid w:val="0057401E"/>
    <w:rsid w:val="005A493D"/>
    <w:rsid w:val="005B20CC"/>
    <w:rsid w:val="005C2F2C"/>
    <w:rsid w:val="005F67CC"/>
    <w:rsid w:val="00642B25"/>
    <w:rsid w:val="00643C4B"/>
    <w:rsid w:val="00670489"/>
    <w:rsid w:val="00683360"/>
    <w:rsid w:val="006A6516"/>
    <w:rsid w:val="006C3873"/>
    <w:rsid w:val="006F6CAF"/>
    <w:rsid w:val="00724B17"/>
    <w:rsid w:val="00774097"/>
    <w:rsid w:val="00787114"/>
    <w:rsid w:val="00793561"/>
    <w:rsid w:val="0080626A"/>
    <w:rsid w:val="008224ED"/>
    <w:rsid w:val="008322CE"/>
    <w:rsid w:val="0084513C"/>
    <w:rsid w:val="00855125"/>
    <w:rsid w:val="00860AB3"/>
    <w:rsid w:val="008613AB"/>
    <w:rsid w:val="00897E29"/>
    <w:rsid w:val="008C0F2C"/>
    <w:rsid w:val="008E5559"/>
    <w:rsid w:val="008F055F"/>
    <w:rsid w:val="00915F78"/>
    <w:rsid w:val="00965155"/>
    <w:rsid w:val="0098761B"/>
    <w:rsid w:val="009A10A6"/>
    <w:rsid w:val="009E3095"/>
    <w:rsid w:val="009F1AEC"/>
    <w:rsid w:val="00A21117"/>
    <w:rsid w:val="00A3675E"/>
    <w:rsid w:val="00A87516"/>
    <w:rsid w:val="00AD56E3"/>
    <w:rsid w:val="00B040DA"/>
    <w:rsid w:val="00BE37C1"/>
    <w:rsid w:val="00C03E14"/>
    <w:rsid w:val="00C13F6F"/>
    <w:rsid w:val="00C96316"/>
    <w:rsid w:val="00D24467"/>
    <w:rsid w:val="00D2574C"/>
    <w:rsid w:val="00D26782"/>
    <w:rsid w:val="00DB3A88"/>
    <w:rsid w:val="00DF08D5"/>
    <w:rsid w:val="00E32C26"/>
    <w:rsid w:val="00E63B2C"/>
    <w:rsid w:val="00E850F2"/>
    <w:rsid w:val="00EC1740"/>
    <w:rsid w:val="00ED4C82"/>
    <w:rsid w:val="00F10357"/>
    <w:rsid w:val="00F32F74"/>
    <w:rsid w:val="00F55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B564D"/>
  <w15:chartTrackingRefBased/>
  <w15:docId w15:val="{79C5D1E1-C1B4-4568-AD66-FFACE20AA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FAB"/>
    <w:pPr>
      <w:spacing w:line="360" w:lineRule="auto"/>
      <w:jc w:val="both"/>
    </w:pPr>
    <w:rPr>
      <w:rFonts w:ascii="Tahoma" w:hAnsi="Tahoma"/>
      <w:sz w:val="24"/>
    </w:rPr>
  </w:style>
  <w:style w:type="paragraph" w:styleId="Heading1">
    <w:name w:val="heading 1"/>
    <w:basedOn w:val="Normal"/>
    <w:next w:val="Normal"/>
    <w:link w:val="Heading1Char"/>
    <w:uiPriority w:val="9"/>
    <w:qFormat/>
    <w:rsid w:val="005A493D"/>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F55A10"/>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93D"/>
    <w:rPr>
      <w:rFonts w:ascii="Tahoma" w:eastAsiaTheme="majorEastAsia" w:hAnsi="Tahoma" w:cstheme="majorBidi"/>
      <w:b/>
      <w:color w:val="2F5496" w:themeColor="accent1" w:themeShade="BF"/>
      <w:sz w:val="28"/>
      <w:szCs w:val="32"/>
    </w:rPr>
  </w:style>
  <w:style w:type="paragraph" w:styleId="ListParagraph">
    <w:name w:val="List Paragraph"/>
    <w:basedOn w:val="Normal"/>
    <w:uiPriority w:val="34"/>
    <w:qFormat/>
    <w:rsid w:val="009E3095"/>
    <w:pPr>
      <w:ind w:left="720"/>
      <w:contextualSpacing/>
    </w:pPr>
  </w:style>
  <w:style w:type="character" w:customStyle="1" w:styleId="Heading2Char">
    <w:name w:val="Heading 2 Char"/>
    <w:basedOn w:val="DefaultParagraphFont"/>
    <w:link w:val="Heading2"/>
    <w:uiPriority w:val="9"/>
    <w:rsid w:val="00F55A10"/>
    <w:rPr>
      <w:rFonts w:ascii="Tahoma" w:eastAsiaTheme="majorEastAsia" w:hAnsi="Tahoma" w:cstheme="majorBidi"/>
      <w:b/>
      <w:color w:val="000000" w:themeColor="text1"/>
      <w:sz w:val="26"/>
      <w:szCs w:val="26"/>
    </w:rPr>
  </w:style>
  <w:style w:type="table" w:styleId="TableGrid">
    <w:name w:val="Table Grid"/>
    <w:basedOn w:val="TableNormal"/>
    <w:uiPriority w:val="39"/>
    <w:rsid w:val="004B1E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63B2C"/>
    <w:rPr>
      <w:color w:val="808080"/>
    </w:rPr>
  </w:style>
  <w:style w:type="paragraph" w:styleId="NormalWeb">
    <w:name w:val="Normal (Web)"/>
    <w:basedOn w:val="Normal"/>
    <w:uiPriority w:val="99"/>
    <w:unhideWhenUsed/>
    <w:rsid w:val="00E850F2"/>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E850F2"/>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6A6516"/>
    <w:pPr>
      <w:tabs>
        <w:tab w:val="right" w:leader="dot" w:pos="9016"/>
      </w:tabs>
      <w:spacing w:after="100" w:line="240" w:lineRule="auto"/>
    </w:pPr>
    <w:rPr>
      <w:b/>
      <w:bCs/>
      <w:noProof/>
    </w:rPr>
  </w:style>
  <w:style w:type="paragraph" w:styleId="TOC2">
    <w:name w:val="toc 2"/>
    <w:basedOn w:val="Normal"/>
    <w:next w:val="Normal"/>
    <w:autoRedefine/>
    <w:uiPriority w:val="39"/>
    <w:unhideWhenUsed/>
    <w:rsid w:val="00E850F2"/>
    <w:pPr>
      <w:spacing w:after="100"/>
      <w:ind w:left="240"/>
    </w:pPr>
  </w:style>
  <w:style w:type="character" w:styleId="Hyperlink">
    <w:name w:val="Hyperlink"/>
    <w:basedOn w:val="DefaultParagraphFont"/>
    <w:uiPriority w:val="99"/>
    <w:unhideWhenUsed/>
    <w:rsid w:val="00E850F2"/>
    <w:rPr>
      <w:color w:val="0563C1" w:themeColor="hyperlink"/>
      <w:u w:val="single"/>
    </w:rPr>
  </w:style>
  <w:style w:type="paragraph" w:styleId="NoSpacing">
    <w:name w:val="No Spacing"/>
    <w:link w:val="NoSpacingChar"/>
    <w:uiPriority w:val="1"/>
    <w:qFormat/>
    <w:rsid w:val="006A6516"/>
    <w:pPr>
      <w:spacing w:after="0" w:line="240" w:lineRule="auto"/>
    </w:pPr>
    <w:rPr>
      <w:rFonts w:eastAsiaTheme="minorEastAsia"/>
    </w:rPr>
  </w:style>
  <w:style w:type="character" w:customStyle="1" w:styleId="NoSpacingChar">
    <w:name w:val="No Spacing Char"/>
    <w:basedOn w:val="DefaultParagraphFont"/>
    <w:link w:val="NoSpacing"/>
    <w:uiPriority w:val="1"/>
    <w:rsid w:val="006A6516"/>
    <w:rPr>
      <w:rFonts w:eastAsiaTheme="minorEastAsia"/>
    </w:rPr>
  </w:style>
  <w:style w:type="paragraph" w:styleId="Header">
    <w:name w:val="header"/>
    <w:basedOn w:val="Normal"/>
    <w:link w:val="HeaderChar"/>
    <w:uiPriority w:val="99"/>
    <w:unhideWhenUsed/>
    <w:rsid w:val="006A65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6516"/>
    <w:rPr>
      <w:rFonts w:ascii="Tahoma" w:hAnsi="Tahoma"/>
      <w:sz w:val="24"/>
    </w:rPr>
  </w:style>
  <w:style w:type="paragraph" w:styleId="Footer">
    <w:name w:val="footer"/>
    <w:basedOn w:val="Normal"/>
    <w:link w:val="FooterChar"/>
    <w:uiPriority w:val="99"/>
    <w:unhideWhenUsed/>
    <w:rsid w:val="006A65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6516"/>
    <w:rPr>
      <w:rFonts w:ascii="Tahoma" w:hAnsi="Tahom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6050">
      <w:bodyDiv w:val="1"/>
      <w:marLeft w:val="0"/>
      <w:marRight w:val="0"/>
      <w:marTop w:val="0"/>
      <w:marBottom w:val="0"/>
      <w:divBdr>
        <w:top w:val="none" w:sz="0" w:space="0" w:color="auto"/>
        <w:left w:val="none" w:sz="0" w:space="0" w:color="auto"/>
        <w:bottom w:val="none" w:sz="0" w:space="0" w:color="auto"/>
        <w:right w:val="none" w:sz="0" w:space="0" w:color="auto"/>
      </w:divBdr>
    </w:div>
    <w:div w:id="253586535">
      <w:bodyDiv w:val="1"/>
      <w:marLeft w:val="0"/>
      <w:marRight w:val="0"/>
      <w:marTop w:val="0"/>
      <w:marBottom w:val="0"/>
      <w:divBdr>
        <w:top w:val="none" w:sz="0" w:space="0" w:color="auto"/>
        <w:left w:val="none" w:sz="0" w:space="0" w:color="auto"/>
        <w:bottom w:val="none" w:sz="0" w:space="0" w:color="auto"/>
        <w:right w:val="none" w:sz="0" w:space="0" w:color="auto"/>
      </w:divBdr>
    </w:div>
    <w:div w:id="2062442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314C84-4C7E-47EF-9D99-B9B19F8DA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14</Pages>
  <Words>2788</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Financial Management For The</vt:lpstr>
    </vt:vector>
  </TitlesOfParts>
  <Company/>
  <LinksUpToDate>false</LinksUpToDate>
  <CharactersWithSpaces>18643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Gulam Kibria ACA</dc:creator>
  <cp:keywords/>
  <dc:description/>
  <cp:lastModifiedBy>Fatema Uddin</cp:lastModifiedBy>
  <cp:revision>44</cp:revision>
  <dcterms:created xsi:type="dcterms:W3CDTF">2023-11-13T17:54:00Z</dcterms:created>
  <dcterms:modified xsi:type="dcterms:W3CDTF">2023-11-14T11:13:00Z</dcterms:modified>
</cp:coreProperties>
</file>