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rFonts w:hint="default"/>
          <w:b/>
          <w:lang w:val="en-IE"/>
        </w:rPr>
      </w:pPr>
      <w:r>
        <w:rPr>
          <w:rFonts w:hint="eastAsia"/>
          <w:b/>
          <w:lang w:val="en-GB"/>
        </w:rPr>
        <w:t xml:space="preserve">Corporate Social Responsibility in the Public Sector </w:t>
      </w:r>
    </w:p>
    <w:p>
      <w:pPr>
        <w:ind w:firstLine="0"/>
        <w:jc w:val="center"/>
        <w:rPr>
          <w:b/>
          <w:lang w:val="en-GB"/>
        </w:rPr>
      </w:pPr>
      <w:r>
        <w:rPr>
          <w:b/>
          <w:lang w:val="en-GB"/>
        </w:rPr>
        <w:t>CSR INVESTIGATION FOR STARBUCKS</w:t>
      </w:r>
    </w:p>
    <w:p>
      <w:pPr>
        <w:spacing w:after="160" w:line="259" w:lineRule="auto"/>
        <w:ind w:firstLine="0"/>
        <w:jc w:val="center"/>
        <w:rPr>
          <w:rFonts w:hint="default"/>
          <w:b/>
          <w:bCs/>
          <w:lang w:val="en-IE"/>
        </w:rPr>
      </w:pPr>
      <w:r>
        <w:rPr>
          <w:b/>
          <w:bCs/>
          <w:lang w:val="en-GB"/>
        </w:rPr>
        <w:t>Student Name</w:t>
      </w:r>
      <w:r>
        <w:rPr>
          <w:rFonts w:hint="default"/>
          <w:b/>
          <w:bCs/>
          <w:lang w:val="en-IE"/>
        </w:rPr>
        <w:t>: Zilai Wang</w:t>
      </w:r>
    </w:p>
    <w:p>
      <w:pPr>
        <w:spacing w:after="160" w:line="259" w:lineRule="auto"/>
        <w:ind w:firstLine="0"/>
        <w:jc w:val="center"/>
        <w:rPr>
          <w:rFonts w:hint="default"/>
          <w:b/>
          <w:bCs/>
          <w:lang w:val="en-IE"/>
        </w:rPr>
      </w:pPr>
      <w:r>
        <w:rPr>
          <w:rFonts w:hint="default"/>
          <w:b/>
          <w:bCs/>
          <w:lang w:val="en-IE"/>
        </w:rPr>
        <w:t>Student ID: 1903231</w:t>
      </w:r>
    </w:p>
    <w:p>
      <w:pPr>
        <w:spacing w:after="160" w:line="259" w:lineRule="auto"/>
        <w:ind w:firstLine="0"/>
        <w:jc w:val="center"/>
        <w:rPr>
          <w:rFonts w:hint="default"/>
          <w:lang w:val="en-IE"/>
        </w:rPr>
      </w:pPr>
    </w:p>
    <w:p>
      <w:pPr>
        <w:spacing w:after="160" w:line="259" w:lineRule="auto"/>
        <w:ind w:firstLine="0"/>
        <w:jc w:val="center"/>
        <w:rPr>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sdt>
      <w:sdtPr>
        <w:rPr>
          <w:rFonts w:ascii="Times New Roman" w:hAnsi="Times New Roman" w:cs="Times New Roman" w:eastAsiaTheme="minorHAnsi"/>
          <w:b/>
          <w:color w:val="auto"/>
          <w:sz w:val="24"/>
          <w:szCs w:val="24"/>
          <w:lang w:val="en-GB"/>
        </w:rPr>
        <w:id w:val="-425886182"/>
        <w:docPartObj>
          <w:docPartGallery w:val="Table of Contents"/>
          <w:docPartUnique/>
        </w:docPartObj>
      </w:sdtPr>
      <w:sdtEndPr>
        <w:rPr>
          <w:rFonts w:ascii="Times New Roman" w:hAnsi="Times New Roman" w:eastAsiaTheme="minorHAnsi" w:cstheme="minorBidi"/>
          <w:b/>
          <w:bCs/>
          <w:color w:val="auto"/>
          <w:sz w:val="24"/>
          <w:szCs w:val="22"/>
          <w:lang w:val="en-GB"/>
        </w:rPr>
      </w:sdtEndPr>
      <w:sdtContent>
        <w:p>
          <w:pPr>
            <w:rPr>
              <w:lang w:val="en-GB"/>
            </w:rPr>
          </w:pPr>
        </w:p>
      </w:sdtContent>
    </w:sdt>
    <w:p>
      <w:pPr>
        <w:spacing w:line="240" w:lineRule="auto"/>
        <w:rPr>
          <w:b/>
          <w:lang w:val="en-GB"/>
        </w:rPr>
      </w:pPr>
    </w:p>
    <w:p>
      <w:pPr>
        <w:pStyle w:val="2"/>
        <w:ind w:firstLine="120" w:firstLineChars="50"/>
        <w:rPr>
          <w:lang w:val="en-GB"/>
        </w:rPr>
      </w:pPr>
      <w:bookmarkStart w:id="0" w:name="_Toc34002341"/>
      <w:r>
        <w:rPr>
          <w:lang w:val="en-GB"/>
        </w:rPr>
        <w:t>1: INTRODUCTION</w:t>
      </w:r>
      <w:bookmarkEnd w:id="0"/>
    </w:p>
    <w:p>
      <w:r>
        <w:rPr>
          <w:lang w:val="en-GB"/>
        </w:rPr>
        <w:t xml:space="preserve">Starbucks is a private multinational company that serves premium exotic coffee. It has expanded to almost 75 countries with 28,000 stores all over the world. </w:t>
      </w:r>
      <w:r>
        <w:t xml:space="preserve">Corporate Social Responsibility, </w:t>
      </w:r>
      <w:r>
        <w:rPr>
          <w:lang w:val="en-GB"/>
        </w:rPr>
        <w:t xml:space="preserve">CSR activities of Starbucks are focused on four missions which comprises of, to source ethical and sustainable products, create career opportunities, lead in green retail and strengthen the community. The Company shows dedication to serve high quality coffee, by principled acquisitions of goods grown with responsibility. It makes a promise to impart education, training and employment to numerous youth. Firm emphasises on taking firm steps to preserve the environment and inspire others to follow the same path. Starbucks displays commitment to perform welfare activities to elevate the local public, civic community and farmer community </w:t>
      </w:r>
      <w:r>
        <w:t xml:space="preserve">(Starbucks Coffee Company, 2020a). </w:t>
      </w:r>
    </w:p>
    <w:p>
      <w:r>
        <w:t xml:space="preserve">The report investigates the fulfilment of the commitments of Starbucks in context to CSR. Investigation and evaluation is carried out considering the CSR report, annual reports of Starbucks and other credible sources after validating the information. </w:t>
      </w:r>
    </w:p>
    <w:p>
      <w:pPr>
        <w:pStyle w:val="2"/>
        <w:rPr>
          <w:lang w:val="en-GB"/>
        </w:rPr>
      </w:pPr>
      <w:bookmarkStart w:id="1" w:name="_Toc34002342"/>
      <w:r>
        <w:rPr>
          <w:lang w:val="en-GB"/>
        </w:rPr>
        <w:t>2: RECENT ACTIVITIES CONDUCTED FOR CSR BY STARBUCKS</w:t>
      </w:r>
      <w:bookmarkEnd w:id="1"/>
    </w:p>
    <w:p>
      <w:r>
        <w:rPr>
          <w:lang w:val="en-GB"/>
        </w:rPr>
        <w:t xml:space="preserve">Starbucks recently implemented some new strategies to reduce carbon emission, water usage and waste to all the stores. Firm redesigned its packaging from the disposable cups to reusable ones with the vision of adopting circular economy in the future. Firm added more choices of vegetarian food products to the menu to promote environment friendly food. Starbucks is planning to invest in regenerative farming practices, reforestation, forest preservation and water </w:t>
      </w:r>
      <w:r>
        <w:t>renewal in the supply chain. Enterprise has decided to capitalise in efficient techniques for reuse and recycling of the waste (Stories.starbucks.com, 2020).</w:t>
      </w:r>
    </w:p>
    <w:p>
      <w:pPr>
        <w:jc w:val="center"/>
        <w:rPr>
          <w:b/>
        </w:rPr>
      </w:pPr>
      <w:r>
        <w:rPr>
          <w:b/>
        </w:rPr>
        <w:t>Table 1: Contribution of Starbucks under CSR</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4"/>
        <w:gridCol w:w="1787"/>
        <w:gridCol w:w="1903"/>
        <w:gridCol w:w="1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b/>
              </w:rPr>
            </w:pPr>
            <w:r>
              <w:rPr>
                <w:rFonts w:cs="Times New Roman"/>
                <w:b/>
              </w:rPr>
              <w:t>AREA OF IMPACT</w:t>
            </w:r>
          </w:p>
        </w:tc>
        <w:tc>
          <w:tcPr>
            <w:tcW w:w="1787" w:type="dxa"/>
          </w:tcPr>
          <w:p>
            <w:pPr>
              <w:spacing w:after="0" w:line="276" w:lineRule="auto"/>
              <w:ind w:firstLine="0"/>
              <w:jc w:val="center"/>
              <w:rPr>
                <w:rFonts w:cs="Times New Roman"/>
                <w:b/>
              </w:rPr>
            </w:pPr>
            <w:r>
              <w:rPr>
                <w:rFonts w:cs="Times New Roman"/>
                <w:b/>
              </w:rPr>
              <w:t>2018</w:t>
            </w:r>
          </w:p>
        </w:tc>
        <w:tc>
          <w:tcPr>
            <w:tcW w:w="1763" w:type="dxa"/>
          </w:tcPr>
          <w:p>
            <w:pPr>
              <w:spacing w:after="0" w:line="276" w:lineRule="auto"/>
              <w:ind w:firstLine="0"/>
              <w:jc w:val="center"/>
              <w:rPr>
                <w:rFonts w:cs="Times New Roman"/>
                <w:b/>
              </w:rPr>
            </w:pPr>
            <w:r>
              <w:rPr>
                <w:rFonts w:cs="Times New Roman"/>
                <w:b/>
              </w:rPr>
              <w:t>2017</w:t>
            </w:r>
          </w:p>
        </w:tc>
        <w:tc>
          <w:tcPr>
            <w:tcW w:w="1615" w:type="dxa"/>
          </w:tcPr>
          <w:p>
            <w:pPr>
              <w:spacing w:after="0" w:line="276" w:lineRule="auto"/>
              <w:ind w:firstLine="0"/>
              <w:jc w:val="center"/>
              <w:rPr>
                <w:rFonts w:cs="Times New Roman"/>
                <w:b/>
              </w:rPr>
            </w:pPr>
            <w:r>
              <w:rPr>
                <w:rFonts w:cs="Times New Roman"/>
                <w:b/>
              </w:rPr>
              <w:t>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Sourcing Commitment Coffee</w:t>
            </w:r>
          </w:p>
        </w:tc>
        <w:tc>
          <w:tcPr>
            <w:tcW w:w="1787" w:type="dxa"/>
          </w:tcPr>
          <w:p>
            <w:pPr>
              <w:spacing w:after="0" w:line="276" w:lineRule="auto"/>
              <w:ind w:firstLine="0"/>
              <w:jc w:val="center"/>
              <w:rPr>
                <w:rFonts w:cs="Times New Roman"/>
              </w:rPr>
            </w:pPr>
            <w:r>
              <w:rPr>
                <w:rFonts w:cs="Times New Roman"/>
              </w:rPr>
              <w:t>99%</w:t>
            </w:r>
          </w:p>
        </w:tc>
        <w:tc>
          <w:tcPr>
            <w:tcW w:w="1763" w:type="dxa"/>
          </w:tcPr>
          <w:p>
            <w:pPr>
              <w:spacing w:after="0" w:line="276" w:lineRule="auto"/>
              <w:ind w:firstLine="0"/>
              <w:jc w:val="center"/>
              <w:rPr>
                <w:rFonts w:cs="Times New Roman"/>
              </w:rPr>
            </w:pPr>
            <w:r>
              <w:rPr>
                <w:rFonts w:cs="Times New Roman"/>
              </w:rPr>
              <w:t>99%</w:t>
            </w:r>
          </w:p>
        </w:tc>
        <w:tc>
          <w:tcPr>
            <w:tcW w:w="1615" w:type="dxa"/>
          </w:tcPr>
          <w:p>
            <w:pPr>
              <w:spacing w:after="0" w:line="276" w:lineRule="auto"/>
              <w:ind w:firstLine="0"/>
              <w:jc w:val="center"/>
              <w:rPr>
                <w:rFonts w:cs="Times New Roman"/>
              </w:rPr>
            </w:pPr>
            <w:r>
              <w:rPr>
                <w:rFonts w:cs="Times New Roman"/>
              </w:rPr>
              <w:t>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Sourcing Commitment Tea</w:t>
            </w:r>
          </w:p>
        </w:tc>
        <w:tc>
          <w:tcPr>
            <w:tcW w:w="1787" w:type="dxa"/>
          </w:tcPr>
          <w:p>
            <w:pPr>
              <w:spacing w:after="0" w:line="276" w:lineRule="auto"/>
              <w:ind w:firstLine="0"/>
              <w:jc w:val="center"/>
              <w:rPr>
                <w:rFonts w:cs="Times New Roman"/>
              </w:rPr>
            </w:pPr>
            <w:r>
              <w:rPr>
                <w:rFonts w:cs="Times New Roman"/>
              </w:rPr>
              <w:t>95%</w:t>
            </w:r>
          </w:p>
        </w:tc>
        <w:tc>
          <w:tcPr>
            <w:tcW w:w="1763" w:type="dxa"/>
          </w:tcPr>
          <w:p>
            <w:pPr>
              <w:spacing w:after="0" w:line="276" w:lineRule="auto"/>
              <w:ind w:firstLine="0"/>
              <w:jc w:val="center"/>
              <w:rPr>
                <w:rFonts w:cs="Times New Roman"/>
              </w:rPr>
            </w:pPr>
            <w:r>
              <w:rPr>
                <w:rFonts w:cs="Times New Roman"/>
              </w:rPr>
              <w:t>72%</w:t>
            </w:r>
          </w:p>
        </w:tc>
        <w:tc>
          <w:tcPr>
            <w:tcW w:w="1615" w:type="dxa"/>
          </w:tcPr>
          <w:p>
            <w:pPr>
              <w:spacing w:after="0" w:line="276" w:lineRule="auto"/>
              <w:ind w:firstLine="0"/>
              <w:jc w:val="center"/>
              <w:rPr>
                <w:rFonts w:cs="Times New Roman"/>
              </w:rPr>
            </w:pPr>
            <w:r>
              <w:rPr>
                <w:rFonts w:cs="Times New Roman"/>
              </w:rPr>
              <w:t>New Goals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Planting Trees</w:t>
            </w:r>
          </w:p>
        </w:tc>
        <w:tc>
          <w:tcPr>
            <w:tcW w:w="1787" w:type="dxa"/>
          </w:tcPr>
          <w:p>
            <w:pPr>
              <w:spacing w:after="0" w:line="276" w:lineRule="auto"/>
              <w:ind w:firstLine="0"/>
              <w:jc w:val="center"/>
              <w:rPr>
                <w:rFonts w:cs="Times New Roman"/>
              </w:rPr>
            </w:pPr>
            <w:r>
              <w:rPr>
                <w:rFonts w:cs="Times New Roman"/>
              </w:rPr>
              <w:t>31 million trees</w:t>
            </w:r>
          </w:p>
        </w:tc>
        <w:tc>
          <w:tcPr>
            <w:tcW w:w="1763" w:type="dxa"/>
          </w:tcPr>
          <w:p>
            <w:pPr>
              <w:spacing w:after="0" w:line="276" w:lineRule="auto"/>
              <w:ind w:firstLine="0"/>
              <w:jc w:val="center"/>
              <w:rPr>
                <w:rFonts w:cs="Times New Roman"/>
              </w:rPr>
            </w:pPr>
            <w:r>
              <w:rPr>
                <w:rFonts w:cs="Times New Roman"/>
              </w:rPr>
              <w:t>21million trees</w:t>
            </w:r>
          </w:p>
        </w:tc>
        <w:tc>
          <w:tcPr>
            <w:tcW w:w="1615" w:type="dxa"/>
          </w:tcPr>
          <w:p>
            <w:pPr>
              <w:spacing w:after="0" w:line="276" w:lineRule="auto"/>
              <w:ind w:firstLine="0"/>
              <w:jc w:val="center"/>
              <w:rPr>
                <w:rFonts w:cs="Times New Roman"/>
              </w:rPr>
            </w:pPr>
            <w:r>
              <w:rPr>
                <w:rFonts w:cs="Times New Roman"/>
              </w:rPr>
              <w:t>9 million trees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Global Farmer Fund</w:t>
            </w:r>
          </w:p>
        </w:tc>
        <w:tc>
          <w:tcPr>
            <w:tcW w:w="1787" w:type="dxa"/>
          </w:tcPr>
          <w:p>
            <w:pPr>
              <w:spacing w:after="0" w:line="276" w:lineRule="auto"/>
              <w:ind w:firstLine="0"/>
              <w:jc w:val="center"/>
              <w:rPr>
                <w:rFonts w:cs="Times New Roman"/>
              </w:rPr>
            </w:pPr>
            <w:r>
              <w:rPr>
                <w:rFonts w:cs="Times New Roman"/>
              </w:rPr>
              <w:t>$ 21.7M</w:t>
            </w:r>
          </w:p>
        </w:tc>
        <w:tc>
          <w:tcPr>
            <w:tcW w:w="1763" w:type="dxa"/>
          </w:tcPr>
          <w:p>
            <w:pPr>
              <w:spacing w:after="0" w:line="276" w:lineRule="auto"/>
              <w:ind w:firstLine="0"/>
              <w:jc w:val="center"/>
              <w:rPr>
                <w:rFonts w:cs="Times New Roman"/>
              </w:rPr>
            </w:pPr>
            <w:r>
              <w:rPr>
                <w:rFonts w:cs="Times New Roman"/>
              </w:rPr>
              <w:t>$22.3 million</w:t>
            </w:r>
          </w:p>
        </w:tc>
        <w:tc>
          <w:tcPr>
            <w:tcW w:w="1615" w:type="dxa"/>
          </w:tcPr>
          <w:p>
            <w:pPr>
              <w:spacing w:after="0" w:line="276" w:lineRule="auto"/>
              <w:ind w:firstLine="0"/>
              <w:jc w:val="center"/>
              <w:rPr>
                <w:rFonts w:cs="Times New Roman"/>
              </w:rPr>
            </w:pPr>
            <w:r>
              <w:rPr>
                <w:rFonts w:cs="Times New Roman"/>
              </w:rPr>
              <w:t>$21.3M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Open-Source agronomy</w:t>
            </w:r>
          </w:p>
        </w:tc>
        <w:tc>
          <w:tcPr>
            <w:tcW w:w="1787" w:type="dxa"/>
          </w:tcPr>
          <w:p>
            <w:pPr>
              <w:spacing w:after="0" w:line="276" w:lineRule="auto"/>
              <w:ind w:firstLine="0"/>
              <w:jc w:val="center"/>
              <w:rPr>
                <w:rFonts w:cs="Times New Roman"/>
              </w:rPr>
            </w:pPr>
            <w:r>
              <w:rPr>
                <w:rFonts w:cs="Times New Roman"/>
              </w:rPr>
              <w:t>52,240</w:t>
            </w:r>
          </w:p>
        </w:tc>
        <w:tc>
          <w:tcPr>
            <w:tcW w:w="1763" w:type="dxa"/>
          </w:tcPr>
          <w:p>
            <w:pPr>
              <w:spacing w:after="0" w:line="276" w:lineRule="auto"/>
              <w:ind w:firstLine="0"/>
              <w:jc w:val="center"/>
              <w:rPr>
                <w:rFonts w:cs="Times New Roman"/>
              </w:rPr>
            </w:pPr>
            <w:r>
              <w:rPr>
                <w:rFonts w:cs="Times New Roman"/>
              </w:rPr>
              <w:t>24,302</w:t>
            </w:r>
          </w:p>
        </w:tc>
        <w:tc>
          <w:tcPr>
            <w:tcW w:w="1615" w:type="dxa"/>
          </w:tcPr>
          <w:p>
            <w:pPr>
              <w:spacing w:after="0" w:line="276" w:lineRule="auto"/>
              <w:ind w:firstLine="0"/>
              <w:jc w:val="center"/>
              <w:rPr>
                <w:rFonts w:cs="Times New Roman"/>
              </w:rPr>
            </w:pPr>
            <w:r>
              <w:rPr>
                <w:rFonts w:cs="Times New Roman"/>
              </w:rPr>
              <w:t>New goals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 xml:space="preserve">Greener Cup Packaging </w:t>
            </w:r>
          </w:p>
        </w:tc>
        <w:tc>
          <w:tcPr>
            <w:tcW w:w="1787" w:type="dxa"/>
          </w:tcPr>
          <w:p>
            <w:pPr>
              <w:spacing w:after="0" w:line="276" w:lineRule="auto"/>
              <w:ind w:firstLine="0"/>
              <w:jc w:val="center"/>
              <w:rPr>
                <w:rFonts w:cs="Times New Roman"/>
              </w:rPr>
            </w:pPr>
            <w:r>
              <w:rPr>
                <w:rFonts w:cs="Times New Roman"/>
              </w:rPr>
              <w:t>Cups contain 10% post-consumer fibre</w:t>
            </w:r>
          </w:p>
        </w:tc>
        <w:tc>
          <w:tcPr>
            <w:tcW w:w="1763" w:type="dxa"/>
          </w:tcPr>
          <w:p>
            <w:pPr>
              <w:spacing w:after="0" w:line="276" w:lineRule="auto"/>
              <w:ind w:firstLine="0"/>
              <w:jc w:val="center"/>
              <w:rPr>
                <w:rFonts w:cs="Times New Roman"/>
              </w:rPr>
            </w:pPr>
            <w:r>
              <w:rPr>
                <w:rFonts w:cs="Times New Roman"/>
              </w:rPr>
              <w:t>Cups contain 10% post-consumer fibre</w:t>
            </w:r>
          </w:p>
        </w:tc>
        <w:tc>
          <w:tcPr>
            <w:tcW w:w="1615" w:type="dxa"/>
          </w:tcPr>
          <w:p>
            <w:pPr>
              <w:spacing w:after="0" w:line="276" w:lineRule="auto"/>
              <w:ind w:firstLine="0"/>
              <w:jc w:val="center"/>
              <w:rPr>
                <w:rFonts w:cs="Times New Roman"/>
              </w:rPr>
            </w:pPr>
            <w:r>
              <w:rPr>
                <w:rFonts w:cs="Times New Roman"/>
              </w:rPr>
              <w:t>New goals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Greener Stores</w:t>
            </w:r>
          </w:p>
        </w:tc>
        <w:tc>
          <w:tcPr>
            <w:tcW w:w="1787" w:type="dxa"/>
          </w:tcPr>
          <w:p>
            <w:pPr>
              <w:spacing w:after="0" w:line="276" w:lineRule="auto"/>
              <w:ind w:firstLine="0"/>
              <w:jc w:val="center"/>
              <w:rPr>
                <w:rFonts w:cs="Times New Roman"/>
              </w:rPr>
            </w:pPr>
            <w:r>
              <w:rPr>
                <w:rFonts w:cs="Times New Roman"/>
              </w:rPr>
              <w:t>1,612</w:t>
            </w:r>
          </w:p>
        </w:tc>
        <w:tc>
          <w:tcPr>
            <w:tcW w:w="1763" w:type="dxa"/>
          </w:tcPr>
          <w:p>
            <w:pPr>
              <w:spacing w:after="0" w:line="276" w:lineRule="auto"/>
              <w:ind w:firstLine="0"/>
              <w:jc w:val="center"/>
              <w:rPr>
                <w:rFonts w:cs="Times New Roman"/>
              </w:rPr>
            </w:pPr>
            <w:r>
              <w:rPr>
                <w:rFonts w:cs="Times New Roman"/>
              </w:rPr>
              <w:t>1,400</w:t>
            </w:r>
          </w:p>
        </w:tc>
        <w:tc>
          <w:tcPr>
            <w:tcW w:w="1615" w:type="dxa"/>
          </w:tcPr>
          <w:p>
            <w:pPr>
              <w:spacing w:after="0" w:line="276" w:lineRule="auto"/>
              <w:ind w:firstLine="0"/>
              <w:jc w:val="center"/>
              <w:rPr>
                <w:rFonts w:cs="Times New Roman"/>
              </w:rPr>
            </w:pPr>
            <w:r>
              <w:rPr>
                <w:rFonts w:cs="Times New Roman"/>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 xml:space="preserve">Greener Power </w:t>
            </w:r>
          </w:p>
        </w:tc>
        <w:tc>
          <w:tcPr>
            <w:tcW w:w="1787" w:type="dxa"/>
          </w:tcPr>
          <w:p>
            <w:pPr>
              <w:spacing w:after="0" w:line="276" w:lineRule="auto"/>
              <w:ind w:firstLine="0"/>
              <w:jc w:val="center"/>
              <w:rPr>
                <w:rFonts w:cs="Times New Roman"/>
              </w:rPr>
            </w:pPr>
            <w:r>
              <w:rPr>
                <w:rFonts w:cs="Times New Roman"/>
              </w:rPr>
              <w:t>77%</w:t>
            </w:r>
          </w:p>
        </w:tc>
        <w:tc>
          <w:tcPr>
            <w:tcW w:w="1763" w:type="dxa"/>
          </w:tcPr>
          <w:p>
            <w:pPr>
              <w:spacing w:after="0" w:line="276" w:lineRule="auto"/>
              <w:ind w:firstLine="0"/>
              <w:jc w:val="center"/>
              <w:rPr>
                <w:rFonts w:cs="Times New Roman"/>
              </w:rPr>
            </w:pPr>
            <w:r>
              <w:rPr>
                <w:rFonts w:cs="Times New Roman"/>
              </w:rPr>
              <w:t>62%</w:t>
            </w:r>
          </w:p>
        </w:tc>
        <w:tc>
          <w:tcPr>
            <w:tcW w:w="1615" w:type="dxa"/>
          </w:tcPr>
          <w:p>
            <w:pPr>
              <w:spacing w:after="0" w:line="276" w:lineRule="auto"/>
              <w:ind w:firstLine="0"/>
              <w:jc w:val="center"/>
              <w:rPr>
                <w:rFonts w:cs="Times New Roman"/>
              </w:rPr>
            </w:pPr>
            <w:r>
              <w:rPr>
                <w:rFonts w:cs="Times New Roman"/>
              </w:rPr>
              <w:t>New goals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Greener Aprons</w:t>
            </w:r>
          </w:p>
        </w:tc>
        <w:tc>
          <w:tcPr>
            <w:tcW w:w="1787" w:type="dxa"/>
          </w:tcPr>
          <w:p>
            <w:pPr>
              <w:spacing w:after="0" w:line="276" w:lineRule="auto"/>
              <w:ind w:firstLine="0"/>
              <w:jc w:val="center"/>
              <w:rPr>
                <w:rFonts w:cs="Times New Roman"/>
              </w:rPr>
            </w:pPr>
            <w:r>
              <w:rPr>
                <w:rFonts w:cs="Times New Roman"/>
              </w:rPr>
              <w:t>7,200</w:t>
            </w:r>
          </w:p>
        </w:tc>
        <w:tc>
          <w:tcPr>
            <w:tcW w:w="1763" w:type="dxa"/>
          </w:tcPr>
          <w:p>
            <w:pPr>
              <w:spacing w:after="0" w:line="276" w:lineRule="auto"/>
              <w:ind w:firstLine="0"/>
              <w:jc w:val="center"/>
              <w:rPr>
                <w:rFonts w:cs="Times New Roman"/>
              </w:rPr>
            </w:pPr>
            <w:r>
              <w:rPr>
                <w:rFonts w:cs="Times New Roman"/>
              </w:rPr>
              <w:t>5,139</w:t>
            </w:r>
          </w:p>
        </w:tc>
        <w:tc>
          <w:tcPr>
            <w:tcW w:w="1615" w:type="dxa"/>
          </w:tcPr>
          <w:p>
            <w:pPr>
              <w:spacing w:after="0" w:line="276" w:lineRule="auto"/>
              <w:ind w:firstLine="0"/>
              <w:jc w:val="center"/>
              <w:rPr>
                <w:rFonts w:cs="Times New Roman"/>
              </w:rPr>
            </w:pPr>
            <w:r>
              <w:rPr>
                <w:rFonts w:cs="Times New Roman"/>
              </w:rPr>
              <w:t>1,120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Veterans $ Military Spouses</w:t>
            </w:r>
          </w:p>
        </w:tc>
        <w:tc>
          <w:tcPr>
            <w:tcW w:w="1787" w:type="dxa"/>
          </w:tcPr>
          <w:p>
            <w:pPr>
              <w:spacing w:after="0" w:line="276" w:lineRule="auto"/>
              <w:ind w:firstLine="0"/>
              <w:jc w:val="center"/>
              <w:rPr>
                <w:rFonts w:cs="Times New Roman"/>
              </w:rPr>
            </w:pPr>
            <w:r>
              <w:rPr>
                <w:rFonts w:cs="Times New Roman"/>
              </w:rPr>
              <w:t>22,500</w:t>
            </w:r>
          </w:p>
        </w:tc>
        <w:tc>
          <w:tcPr>
            <w:tcW w:w="1763" w:type="dxa"/>
          </w:tcPr>
          <w:p>
            <w:pPr>
              <w:spacing w:after="0" w:line="276" w:lineRule="auto"/>
              <w:ind w:firstLine="0"/>
              <w:jc w:val="center"/>
              <w:rPr>
                <w:rFonts w:cs="Times New Roman"/>
              </w:rPr>
            </w:pPr>
            <w:r>
              <w:rPr>
                <w:rFonts w:cs="Times New Roman"/>
              </w:rPr>
              <w:t>12,876</w:t>
            </w:r>
          </w:p>
        </w:tc>
        <w:tc>
          <w:tcPr>
            <w:tcW w:w="1615" w:type="dxa"/>
          </w:tcPr>
          <w:p>
            <w:pPr>
              <w:spacing w:after="0" w:line="276" w:lineRule="auto"/>
              <w:ind w:firstLine="0"/>
              <w:jc w:val="center"/>
              <w:rPr>
                <w:rFonts w:cs="Times New Roman"/>
              </w:rPr>
            </w:pPr>
            <w:r>
              <w:rPr>
                <w:rFonts w:cs="Times New Roman"/>
              </w:rPr>
              <w:t>7,745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 xml:space="preserve">College Achievement Plan </w:t>
            </w:r>
          </w:p>
        </w:tc>
        <w:tc>
          <w:tcPr>
            <w:tcW w:w="1787" w:type="dxa"/>
          </w:tcPr>
          <w:p>
            <w:pPr>
              <w:spacing w:after="0" w:line="276" w:lineRule="auto"/>
              <w:ind w:firstLine="0"/>
              <w:jc w:val="center"/>
              <w:rPr>
                <w:rFonts w:cs="Times New Roman"/>
              </w:rPr>
            </w:pPr>
            <w:r>
              <w:rPr>
                <w:rFonts w:cs="Times New Roman"/>
              </w:rPr>
              <w:t>12,000 partners</w:t>
            </w:r>
          </w:p>
        </w:tc>
        <w:tc>
          <w:tcPr>
            <w:tcW w:w="1763" w:type="dxa"/>
          </w:tcPr>
          <w:p>
            <w:pPr>
              <w:spacing w:after="0" w:line="276" w:lineRule="auto"/>
              <w:ind w:firstLine="0"/>
              <w:jc w:val="center"/>
              <w:rPr>
                <w:rFonts w:cs="Times New Roman"/>
              </w:rPr>
            </w:pPr>
            <w:r>
              <w:rPr>
                <w:rFonts w:cs="Times New Roman"/>
              </w:rPr>
              <w:t>939 graduates  9,000 partners</w:t>
            </w:r>
          </w:p>
        </w:tc>
        <w:tc>
          <w:tcPr>
            <w:tcW w:w="1615" w:type="dxa"/>
          </w:tcPr>
          <w:p>
            <w:pPr>
              <w:spacing w:after="0" w:line="276" w:lineRule="auto"/>
              <w:ind w:firstLine="0"/>
              <w:jc w:val="center"/>
              <w:rPr>
                <w:rFonts w:cs="Times New Roman"/>
              </w:rPr>
            </w:pPr>
            <w:r>
              <w:rPr>
                <w:rFonts w:cs="Times New Roman"/>
              </w:rPr>
              <w:t>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Opportunity In Youths</w:t>
            </w:r>
          </w:p>
        </w:tc>
        <w:tc>
          <w:tcPr>
            <w:tcW w:w="1787" w:type="dxa"/>
          </w:tcPr>
          <w:p>
            <w:pPr>
              <w:spacing w:after="0" w:line="276" w:lineRule="auto"/>
              <w:ind w:firstLine="0"/>
              <w:jc w:val="center"/>
              <w:rPr>
                <w:rFonts w:cs="Times New Roman"/>
              </w:rPr>
            </w:pPr>
            <w:r>
              <w:rPr>
                <w:rFonts w:cs="Times New Roman"/>
              </w:rPr>
              <w:t>71,145</w:t>
            </w:r>
          </w:p>
        </w:tc>
        <w:tc>
          <w:tcPr>
            <w:tcW w:w="1763" w:type="dxa"/>
          </w:tcPr>
          <w:p>
            <w:pPr>
              <w:spacing w:after="0" w:line="276" w:lineRule="auto"/>
              <w:ind w:firstLine="0"/>
              <w:jc w:val="center"/>
              <w:rPr>
                <w:rFonts w:cs="Times New Roman"/>
              </w:rPr>
            </w:pPr>
            <w:r>
              <w:rPr>
                <w:rFonts w:cs="Times New Roman"/>
              </w:rPr>
              <w:t>46,737 hired</w:t>
            </w:r>
          </w:p>
        </w:tc>
        <w:tc>
          <w:tcPr>
            <w:tcW w:w="1615" w:type="dxa"/>
          </w:tcPr>
          <w:p>
            <w:pPr>
              <w:spacing w:after="0" w:line="276" w:lineRule="auto"/>
              <w:ind w:firstLine="0"/>
              <w:jc w:val="center"/>
              <w:rPr>
                <w:rFonts w:cs="Times New Roman"/>
              </w:rPr>
            </w:pPr>
            <w:r>
              <w:rPr>
                <w:rFonts w:cs="Times New Roman"/>
              </w:rPr>
              <w:t>New goals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4" w:type="dxa"/>
          </w:tcPr>
          <w:p>
            <w:pPr>
              <w:spacing w:after="0" w:line="276" w:lineRule="auto"/>
              <w:ind w:firstLine="0"/>
              <w:rPr>
                <w:rFonts w:cs="Times New Roman"/>
              </w:rPr>
            </w:pPr>
            <w:r>
              <w:rPr>
                <w:rFonts w:cs="Times New Roman"/>
              </w:rPr>
              <w:t>Food share</w:t>
            </w:r>
          </w:p>
        </w:tc>
        <w:tc>
          <w:tcPr>
            <w:tcW w:w="1787" w:type="dxa"/>
          </w:tcPr>
          <w:p>
            <w:pPr>
              <w:spacing w:after="0" w:line="276" w:lineRule="auto"/>
              <w:ind w:firstLine="0"/>
              <w:jc w:val="center"/>
              <w:rPr>
                <w:rFonts w:cs="Times New Roman"/>
              </w:rPr>
            </w:pPr>
            <w:r>
              <w:rPr>
                <w:rFonts w:cs="Times New Roman"/>
              </w:rPr>
              <w:t>10 million meals</w:t>
            </w:r>
          </w:p>
        </w:tc>
        <w:tc>
          <w:tcPr>
            <w:tcW w:w="1763" w:type="dxa"/>
          </w:tcPr>
          <w:p>
            <w:pPr>
              <w:spacing w:after="0" w:line="276" w:lineRule="auto"/>
              <w:ind w:firstLine="0"/>
              <w:jc w:val="center"/>
              <w:rPr>
                <w:rFonts w:cs="Times New Roman"/>
              </w:rPr>
            </w:pPr>
            <w:r>
              <w:rPr>
                <w:rFonts w:cs="Times New Roman"/>
              </w:rPr>
              <w:t>3.5millionpounds</w:t>
            </w:r>
          </w:p>
        </w:tc>
        <w:tc>
          <w:tcPr>
            <w:tcW w:w="1615" w:type="dxa"/>
          </w:tcPr>
          <w:p>
            <w:pPr>
              <w:keepNext/>
              <w:spacing w:after="0" w:line="276" w:lineRule="auto"/>
              <w:ind w:firstLine="0"/>
              <w:jc w:val="center"/>
              <w:rPr>
                <w:rFonts w:cs="Times New Roman"/>
              </w:rPr>
            </w:pPr>
            <w:r>
              <w:rPr>
                <w:rFonts w:cs="Times New Roman"/>
              </w:rPr>
              <w:t>New goals</w:t>
            </w:r>
          </w:p>
        </w:tc>
      </w:tr>
    </w:tbl>
    <w:p>
      <w:pPr>
        <w:ind w:firstLine="0"/>
      </w:pPr>
      <w:r>
        <w:t xml:space="preserve"> (Source: Starbucks.com, 2018; starbucks.com/social-impact, 2017; Stabucks.com/social impact, 2016). </w:t>
      </w:r>
    </w:p>
    <w:p>
      <w:r>
        <w:t xml:space="preserve">The CSR activities remain the same through the years except for some additions like firm started welfare works for refugees, recycling of cups and reduced the usage of straws. In 2018 the firm states to render 66,000 hours of service to the neighbourhoods. By greener power the firm meant production of renewable energy to power Starbucks stores. Greener stores denote transforming to LEED-certified stores and hence saving on power consumption. Company claims to replace 1 million plastic straws by introducing lightweight straw less-lid. Starbucks associated with Coffee and Farmer Equity (C.A.F.E.) Practices and follows the guidelines with the objective to support the farmers. Firm reports to be working on 12 new cup technologies to encourage sustainability. Thus Starbucks claims to be performing efficient CSR activities for sustainability and strengthening of community. </w:t>
      </w:r>
    </w:p>
    <w:p>
      <w:pPr>
        <w:pStyle w:val="2"/>
        <w:rPr>
          <w:lang w:val="en-GB"/>
        </w:rPr>
      </w:pPr>
      <w:bookmarkStart w:id="2" w:name="_Toc34002343"/>
      <w:r>
        <w:rPr>
          <w:lang w:val="en-GB"/>
        </w:rPr>
        <w:t>3: STARBUCKS’CSR APPROACH FOR STAKEHOLDER</w:t>
      </w:r>
      <w:bookmarkEnd w:id="2"/>
    </w:p>
    <w:p>
      <w:r>
        <w:rPr>
          <w:lang w:val="en-GB"/>
        </w:rPr>
        <w:t xml:space="preserve">Stakeholder theory suggests creation of associations </w:t>
      </w:r>
      <w:r>
        <w:t>between an organisation and its stakeholders (Brown and Forster, 2012). The stakeholders of Starbucks include employees, investors/ shareholders, customers, community and suppliers. Carroll’s moral management model gives insights of the company’s approach towards its stakeholders. The three approaches are: moral, amoral and immoral (Carrol, 1995).</w:t>
      </w:r>
    </w:p>
    <w:p>
      <w:pPr>
        <w:rPr>
          <w:b/>
          <w:bCs/>
        </w:rPr>
      </w:pPr>
      <w:r>
        <w:rPr>
          <w:b/>
          <w:bCs/>
        </w:rPr>
        <w:t>Employees-</w:t>
      </w:r>
      <w:r>
        <w:t>Starbucks addresses the employees as partners. Staffs were benefited with life insurance, admittance to the employee stock option plan named Bean Stock, pension and facility of financial scholarship for education. Firm paid more salary than the minimum wages (Rella, 2016). Therefore its approach towards employees is moral.</w:t>
      </w:r>
    </w:p>
    <w:p>
      <w:r>
        <w:rPr>
          <w:b/>
          <w:bCs/>
        </w:rPr>
        <w:t>Investors and shareholders</w:t>
      </w:r>
      <w:r>
        <w:t>-Firm invites the shareholders to attend the Annual meeting and Biennial Conference which is also telecasted online (Stories.starbucks.com, 2019). Communication with the investors is continued via emails. High financial performance of the company results in economic benefits for the shareholders. It encourages their involvement in the business with a moral approach towards them.</w:t>
      </w:r>
    </w:p>
    <w:p>
      <w:pPr>
        <w:keepNext/>
      </w:pPr>
    </w:p>
    <w:p/>
    <w:p>
      <w:r>
        <w:rPr>
          <w:b/>
          <w:bCs/>
        </w:rPr>
        <w:t>Customers</w:t>
      </w:r>
      <w:r>
        <w:t>- Coffee house makes sure that consumers have a pleasant experience with a unique combination of superior quality coffee, good ambience and excellent customer service. Store provides free Wi-Fi to the coffee drinkers (Starbucks Coffee Company, 2020b). Starbucks is a customer centric-company, providing moral approach towards its customers.</w:t>
      </w:r>
    </w:p>
    <w:p>
      <w:r>
        <w:rPr>
          <w:b/>
          <w:bCs/>
        </w:rPr>
        <w:t>Community</w:t>
      </w:r>
      <w:r>
        <w:t>-Starbucks has various human wellbeing programmes as well as partnership with non-profit organisations for uplifting humanity and environment. It works for the society, displaying a moral approach towards the community (Starbucks Coffee Company, 2020c).</w:t>
      </w:r>
    </w:p>
    <w:p>
      <w:r>
        <w:rPr>
          <w:b/>
          <w:bCs/>
        </w:rPr>
        <w:t>Suppliers</w:t>
      </w:r>
      <w:r>
        <w:t>- Starbucks is dedicated to Fair Trade business and also a member of Global social compliance programme. Firm build a strong relationship with the cultivators not just by buying coffee but also by donating trees and giving loans (Starbucks Coffee Company, 2020d). Again, the company has put up moral approach towards its suppliers empathizes with their gains as well.</w:t>
      </w:r>
    </w:p>
    <w:p>
      <w:pPr>
        <w:pStyle w:val="2"/>
        <w:rPr>
          <w:rStyle w:val="17"/>
          <w:b/>
          <w:bCs/>
        </w:rPr>
      </w:pPr>
      <w:bookmarkStart w:id="3" w:name="_Toc34002344"/>
      <w:r>
        <w:t xml:space="preserve">4: </w:t>
      </w:r>
      <w:r>
        <w:rPr>
          <w:rStyle w:val="17"/>
          <w:b/>
          <w:bCs/>
        </w:rPr>
        <w:t>STARBUCKS’ CSR PYRAMID</w:t>
      </w:r>
      <w:bookmarkEnd w:id="3"/>
    </w:p>
    <w:p>
      <w:r>
        <w:t xml:space="preserve">Carroll suggested a hierarchy pyramid that consists of four basic elements- economic, legal, ethical and philanthropic responsibilities (Ehie, 2016). </w:t>
      </w:r>
    </w:p>
    <w:p>
      <w:r>
        <w:rPr>
          <w:b/>
          <w:bCs/>
        </w:rPr>
        <w:t xml:space="preserve">Economic Responsibilities – </w:t>
      </w:r>
      <w:r>
        <w:t xml:space="preserve">Starbucks has reported net revenue of $ 24,719.5million in the FY 2018 (Sec.gov, 2018). Strong financial data reflects that the company is profitable and thus fulfils the first level of responsibility. </w:t>
      </w:r>
    </w:p>
    <w:p>
      <w:r>
        <w:rPr>
          <w:b/>
          <w:bCs/>
        </w:rPr>
        <w:t xml:space="preserve">Legal Responsibilities- </w:t>
      </w:r>
      <w:r>
        <w:t>Coffee house has presented a transparent report concerning the business ethics, property and proprietary details, community involvement and intelligent practices (Starbucks Coffee Company, 2020a). Thus by following the laws it satisfies the second level of the pyramid.</w:t>
      </w:r>
    </w:p>
    <w:p>
      <w:r>
        <w:rPr>
          <w:b/>
          <w:bCs/>
        </w:rPr>
        <w:t xml:space="preserve">Ethical Responsibilities- </w:t>
      </w:r>
      <w:r>
        <w:t>As discussed above firm follows fair as well as ethical purchase of coffee from the farmers and performs all the business trades morally. Hence, it pleases the third accountability (Starbucks, n.d.).</w:t>
      </w:r>
    </w:p>
    <w:p>
      <w:r>
        <w:rPr>
          <w:b/>
          <w:bCs/>
        </w:rPr>
        <w:t>Philanthropic Responsibilities-</w:t>
      </w:r>
      <w:r>
        <w:t xml:space="preserve">Starbucks has built up an image of benevolent saviour with a soul. It makes huge donations and welfare programs for the betterment of life and education of the community (Starbucks Coffee Company, 2020a). Thus it fulfils the topmost level too. </w:t>
      </w:r>
    </w:p>
    <w:p>
      <w:pPr>
        <w:keepNext/>
      </w:pPr>
    </w:p>
    <w:p>
      <w:pPr>
        <w:pStyle w:val="2"/>
        <w:rPr>
          <w:lang w:val="en-GB"/>
        </w:rPr>
      </w:pPr>
      <w:bookmarkStart w:id="4" w:name="_Toc34002345"/>
      <w:r>
        <w:rPr>
          <w:lang w:val="en-GB"/>
        </w:rPr>
        <w:t>5: INVESTIGATION OVER IMPLEMENTATION</w:t>
      </w:r>
      <w:bookmarkEnd w:id="4"/>
    </w:p>
    <w:p>
      <w:r>
        <w:rPr>
          <w:lang w:val="en-GB"/>
        </w:rPr>
        <w:t xml:space="preserve">Starbucks was the first multinational company to present CSR report publically. Firm for the first time reported all the accomplishments for helping coffee cultivators, communities and environment for the fiscal year 2007 </w:t>
      </w:r>
      <w:r>
        <w:t xml:space="preserve">(QSR magazine, 2008).In U.S. and Canada Starbucks generated the electricity needed for the store with the help of solar and wind power. This was a very noteworthy initiative taken by the firm. Company titled the store- "Starbucks Greener Stores" and shared the aim of converting 10,000 of its stores to eco-friendly stores (Snider, 2018). Coffee house developed an instrument that would assist the mangers to implement and optimise the green practices of the store (Atzori, Shapoval and Murphy, 2016). Investopedia (2020), praises Starbucks for its attainment of several milestones such as marking 99% of ethically sourced coffee, setting up a linkage of farmers all over the world, converting the stores to green shops, rendering community service of millions of hours and helping firm’s employees for college programmes. </w:t>
      </w:r>
    </w:p>
    <w:p>
      <w:r>
        <w:t xml:space="preserve">For last 20 years, Conservation International and Starbucks worked unitedly for sustainable coffee production beneficial for society and planet. A single coffee farm requires thousands of new coffee trees. Coffee plants are facing the problem due to climate change, pest and disease occurrences such as coffee rust, fungus etc. So the cultivators desperately want help. Millions of coffee plants are donated to such farmers (Conservation.org, 2020). But a few plants cannot help the farmer to set up a whole farm. So some better solution to the problem must be discovered to sustain the quality and the health of the coffee plants. </w:t>
      </w:r>
    </w:p>
    <w:p>
      <w:r>
        <w:t>Starbucks pictured itself as a responsible citizen through the CSR activities but did not pay UK corporate taxes. Firm is accused to have economic benefit beneath the missions of CSR activities. (Campbell and Helleloid, 2016). It seems to be having tax exemption due to its wellbeing works. Starbucks touts to have taken up tremendous responsibility of functioning for preservation of climate change by recycling its paper cups. But the coffee drinkers are unaware of the matter that the cups are not recycled and end up in a landfill (Harper, 2017).</w:t>
      </w:r>
    </w:p>
    <w:p>
      <w:r>
        <w:t xml:space="preserve">Starbucks has been reported to have issues related to employees and baristas. Starbucks Corporation was accused to reduce the working hours at U.S. cafes, hence damage the sentiments of the employees and consumer service. An online petition was drafted with signature of 9,000 persons (Baertlein, 2016).Recently a few weeks ago, a barista of Starbucks at the international airport of Orlando, emerged as a leading organiser of the labour union. Individual was fired from the job by accusing for creating fear (Sainato, 2020). Such cases reflect that firm addresses the employees as partners but do hold respect for the staff. </w:t>
      </w:r>
    </w:p>
    <w:p>
      <w:r>
        <w:t>Starbucks was blamed for violation of child labour rules. In Mexico’s coffee farms, children of just seven years old were found picking up coffee in hot sun and lifting coffee sacs (ILLUSION et al., 2017)</w:t>
      </w:r>
      <w:r>
        <w:rPr>
          <w:b/>
          <w:bCs/>
        </w:rPr>
        <w:t xml:space="preserve">. </w:t>
      </w:r>
      <w:r>
        <w:t xml:space="preserve">This evidence reflects that Starbucks plus other coffee companies are not inspecting efficiently and cannot claim for ethical sourcing for acquiring the coffee beans. At one of the Starbucks certified coffee farm in Brazil, slave labour was investigated by the Ministry of Labour team. The workers were living in a humiliating situations besides the surrounding and the living accommodation were much below the living standard (Scherer, 2018). Starbucks should have a well examined inspection of the farms and abolish slavery. </w:t>
      </w:r>
    </w:p>
    <w:p>
      <w:r>
        <w:t>Coffee cultivators all over the globe are facing financial crises due to continuous reduction in the coffee prices and at times due to unfavourable climatic conditions. Activists protested in front of a Bogota Starbucks store and shouted on the megaphone stating that the coffee the consumers are drinking is not at all of a fair trade (Rueda, 2019).  In this matter, Michelle Burns, Senior Vice President of Coffee and Tea for Starbucks Corporation declared that firm has made relief payments to many farmers in Guatemala, Nicaragua, El Salvador and Mexico (Splitter, 2019).Company person also stated that the purchase of coffee was always made at higher price than the coffee price. This reflects that Starbucks is always thoughtful of the farmers.</w:t>
      </w:r>
    </w:p>
    <w:p>
      <w:pPr>
        <w:pStyle w:val="2"/>
        <w:rPr>
          <w:lang w:val="en-GB"/>
        </w:rPr>
      </w:pPr>
      <w:bookmarkStart w:id="5" w:name="_Toc34002346"/>
      <w:r>
        <w:rPr>
          <w:lang w:val="en-GB"/>
        </w:rPr>
        <w:t>6: SHORTCOMINGS OF STARBUCKS IN CSR IMPLEMENTATION</w:t>
      </w:r>
      <w:bookmarkEnd w:id="5"/>
    </w:p>
    <w:p>
      <w:pPr>
        <w:rPr>
          <w:lang w:val="en-GB"/>
        </w:rPr>
      </w:pPr>
      <w:r>
        <w:rPr>
          <w:lang w:val="en-GB"/>
        </w:rPr>
        <w:t>Starbucks is one of the leading coffee brand that is working efficiently by application of principles, values and humanity to the business model. Firm is working remarkable for sustainability development and preservation of natural resources. Water conservation is observed and methods for reduction are looked after. Company has very elaborate and extraordinary CSR plans and performance. Enterprise manages to reach the milestones. The goals have not seen any major changes with time, though the areas of work have increased. There are evidences that reflect its performance. Firm presents a very comprehensive and transparent CSR report showing the authentication of the set goals and percent achieved.</w:t>
      </w:r>
    </w:p>
    <w:p>
      <w:r>
        <w:rPr>
          <w:lang w:val="en-GB"/>
        </w:rPr>
        <w:t xml:space="preserve">At some places like Vietnam, lack of CSR strategies and efforts is observed </w:t>
      </w:r>
      <w:r>
        <w:t>(Bilowol and Doan, 2015)</w:t>
      </w:r>
      <w:r>
        <w:rPr>
          <w:lang w:val="en-GB"/>
        </w:rPr>
        <w:t xml:space="preserve">. And at some places the CSR activities are conducted for a shorter time. Some stores do not execute proper recycling of the waste and thrown out goods ends up in landfill. The firm has numerous of stores and managing all would be a difficult task, but it is noticed that stores’ behaviour towards employees and baristas is not that smooth. Issues related to the staff keeps on going on at various Starbucks cafes. Starbucks implements fair trade for its business. But by this method company communicates directly with the coffee cultivators, without any mediator or dealers, hence saving on large revenue. Starbucks is not cautious about the conditions of the workers working in the coffee farms. Efforts need to be made to improve the economic conditions of the growers. By conducting all CSR deeds, it forms an image of a noble firm and hence gets exempted from heavy corporate taxes the other firms are paying </w:t>
      </w:r>
      <w:r>
        <w:t xml:space="preserve">(Neate, 2019). </w:t>
      </w:r>
      <w:r>
        <w:rPr>
          <w:lang w:val="en-GB"/>
        </w:rPr>
        <w:t xml:space="preserve">The government seems to be lenient with the firm. </w:t>
      </w:r>
    </w:p>
    <w:p>
      <w:pPr>
        <w:pStyle w:val="2"/>
        <w:rPr>
          <w:lang w:val="en-GB"/>
        </w:rPr>
      </w:pPr>
      <w:bookmarkStart w:id="6" w:name="_Toc34002347"/>
      <w:r>
        <w:rPr>
          <w:lang w:val="en-GB"/>
        </w:rPr>
        <w:t>7: CONCLUSION</w:t>
      </w:r>
      <w:bookmarkEnd w:id="6"/>
    </w:p>
    <w:p>
      <w:pPr>
        <w:rPr>
          <w:lang w:val="en-GB"/>
        </w:rPr>
      </w:pPr>
      <w:r>
        <w:rPr>
          <w:lang w:val="en-GB"/>
        </w:rPr>
        <w:t>The CSR report is presented every year to reveal the actions of the company. It reflects transparency to certain extend. Firm revels the set goals but does not relieve the budget calculated for CSR programmes. Clear figures of some welfare undertakings are missing. Stakeholder theory clarifies the activities coffee house carries out for its stakeholders. The hierarchy</w:t>
      </w:r>
      <w:r>
        <w:t xml:space="preserve">Carroll’s pyramid illustrates how the firm fulfils the duties step by step. Starbucks is analysed to satisfy all the responsibilities. Report presents elaborate investigation from the news article and journals to check the authenticity of the CSR works of Starbucks. Some articles appreciated the CSR doings of the firm, while some articles criticised the firm by illustrating the facts. Instances of lack of waste management, staff appreciation and scrutiny of the farms workers were detected. The shortcomings in CSR execution of the firm are revealed and suggestions for more efficient CSR are formulated. </w:t>
      </w:r>
    </w:p>
    <w:p>
      <w:pPr>
        <w:rPr>
          <w:lang w:val="en-GB"/>
        </w:rPr>
      </w:pPr>
      <w:r>
        <w:rPr>
          <w:lang w:val="en-GB"/>
        </w:rPr>
        <w:t xml:space="preserve">Starbucks’ social impact report is presented, inspected and analysed to derive the validation of the performance of the firm. Firm executes the tasks to accomplish the stated CSR goals and almost achieves it. There may be exemptions at some spaces, but on the whole Starbucks successfully attains the set goals. </w:t>
      </w:r>
    </w:p>
    <w:p>
      <w:pPr>
        <w:rPr>
          <w:lang w:val="en-GB"/>
        </w:rPr>
      </w:pPr>
    </w:p>
    <w:p>
      <w:pPr>
        <w:ind w:left="0" w:leftChars="0" w:firstLine="0" w:firstLineChars="0"/>
        <w:rPr>
          <w:lang w:val="en-GB"/>
        </w:rPr>
      </w:pPr>
    </w:p>
    <w:p>
      <w:pPr>
        <w:pStyle w:val="2"/>
        <w:rPr>
          <w:lang w:val="en-GB"/>
        </w:rPr>
      </w:pPr>
      <w:bookmarkStart w:id="7" w:name="_Toc34002348"/>
      <w:r>
        <w:rPr>
          <w:lang w:val="en-GB"/>
        </w:rPr>
        <w:t>REFERENCES</w:t>
      </w:r>
      <w:bookmarkEnd w:id="7"/>
    </w:p>
    <w:p>
      <w:pPr>
        <w:numPr>
          <w:ilvl w:val="0"/>
          <w:numId w:val="1"/>
        </w:numPr>
        <w:ind w:left="425" w:leftChars="0" w:hanging="425" w:firstLineChars="0"/>
        <w:jc w:val="left"/>
      </w:pPr>
      <w:r>
        <w:t>Atzori, R., Shapoval, V. and Murphy, K. (2016). Measuring Generation Y consumers’ perceptions of green practices at Starbucks: An IPA analysis. </w:t>
      </w:r>
      <w:r>
        <w:rPr>
          <w:i/>
          <w:iCs/>
        </w:rPr>
        <w:t>Journal of Foodservice Business Research</w:t>
      </w:r>
      <w:r>
        <w:t>, [online] 21(1), pp.1-21. Available at: https://doi.org/10.1080/15378020.2016.1229090 [Accessed 22 Feb. 2020].</w:t>
      </w:r>
    </w:p>
    <w:p>
      <w:pPr>
        <w:numPr>
          <w:ilvl w:val="0"/>
          <w:numId w:val="1"/>
        </w:numPr>
        <w:ind w:left="425" w:leftChars="0" w:hanging="425" w:firstLineChars="0"/>
        <w:jc w:val="left"/>
      </w:pPr>
      <w:r>
        <w:t>Baertlein, L. (2016). </w:t>
      </w:r>
      <w:r>
        <w:rPr>
          <w:i/>
          <w:iCs/>
        </w:rPr>
        <w:t>Starbucks accused of slashing employee work hours amid cost cuts</w:t>
      </w:r>
      <w:r>
        <w:t>. [online] U.S. Available at: https://www.reuters.com/article/us-starbucks-dispute/starbucks-accused-of-slashing-employee-work-hours-amid-cost-cuts-idUSKCN0ZG2GR [Accessed 22 Feb. 2020].</w:t>
      </w:r>
    </w:p>
    <w:p>
      <w:pPr>
        <w:numPr>
          <w:ilvl w:val="0"/>
          <w:numId w:val="1"/>
        </w:numPr>
        <w:ind w:left="425" w:leftChars="0" w:hanging="425" w:firstLineChars="0"/>
        <w:jc w:val="left"/>
      </w:pPr>
      <w:r>
        <w:t>Bilowol, J. and Doan, M. (2015). Multinational corporations’ role in developing Vietnam's public relations industry through corporate social responsibility. </w:t>
      </w:r>
      <w:r>
        <w:rPr>
          <w:i/>
          <w:iCs/>
        </w:rPr>
        <w:t>Public Relations Review</w:t>
      </w:r>
      <w:r>
        <w:t>, [online] 41(5), pp.825-832. Available at: https://doi.org/10.1016/j.pubrev.2015.06.004 [Accessed 22 Feb. 2020].</w:t>
      </w:r>
    </w:p>
    <w:p>
      <w:pPr>
        <w:numPr>
          <w:ilvl w:val="0"/>
          <w:numId w:val="1"/>
        </w:numPr>
        <w:ind w:left="425" w:leftChars="0" w:hanging="425" w:firstLineChars="0"/>
        <w:jc w:val="left"/>
      </w:pPr>
      <w:r>
        <w:t>Brown, J. and Forster, W. (2012). CSR and Stakeholder Theory: A Tale of Adam Smith. </w:t>
      </w:r>
      <w:r>
        <w:rPr>
          <w:i/>
          <w:iCs/>
        </w:rPr>
        <w:t>Journal of Business Ethics</w:t>
      </w:r>
      <w:r>
        <w:t>, [online] 112(2), pp.301-312. Available at: http://10.1007/s10551-012-1251-4 [Accessed 23 Feb. 2020].</w:t>
      </w:r>
    </w:p>
    <w:p>
      <w:pPr>
        <w:numPr>
          <w:ilvl w:val="0"/>
          <w:numId w:val="1"/>
        </w:numPr>
        <w:ind w:left="425" w:leftChars="0" w:hanging="425" w:firstLineChars="0"/>
        <w:jc w:val="left"/>
      </w:pPr>
      <w:r>
        <w:t>Campbell, K. and Helleloid, D. (2016). Starbucks: Social responsibility and tax avoidance. </w:t>
      </w:r>
      <w:r>
        <w:rPr>
          <w:i/>
          <w:iCs/>
        </w:rPr>
        <w:t>Journal of Accounting Education</w:t>
      </w:r>
      <w:r>
        <w:t>, [online] 37, pp.38-60. Available at: https://doi.org/10.1016/j.jaccedu.2016.09.001 [Accessed 22 Feb. 2020].</w:t>
      </w:r>
    </w:p>
    <w:p>
      <w:pPr>
        <w:numPr>
          <w:ilvl w:val="0"/>
          <w:numId w:val="1"/>
        </w:numPr>
        <w:ind w:left="425" w:leftChars="0" w:hanging="425" w:firstLineChars="0"/>
        <w:jc w:val="left"/>
      </w:pPr>
      <w:r>
        <w:t>Carrol, A. (1995). </w:t>
      </w:r>
      <w:r>
        <w:rPr>
          <w:i/>
          <w:iCs/>
        </w:rPr>
        <w:t>Stakeholder Thinking in Three Models of Management Morality</w:t>
      </w:r>
      <w:r>
        <w:t>. 1st ed. Helsinki: LSR-Publications, pp.51-55.</w:t>
      </w:r>
    </w:p>
    <w:p>
      <w:pPr>
        <w:numPr>
          <w:ilvl w:val="0"/>
          <w:numId w:val="1"/>
        </w:numPr>
        <w:ind w:left="425" w:leftChars="0" w:hanging="425" w:firstLineChars="0"/>
        <w:jc w:val="left"/>
      </w:pPr>
      <w:r>
        <w:t>Conservation.org. (2020). </w:t>
      </w:r>
      <w:r>
        <w:rPr>
          <w:i/>
          <w:iCs/>
        </w:rPr>
        <w:t>Starbucks' "One Tree for Every Bag" Sustainable Coffee Partnership</w:t>
      </w:r>
      <w:r>
        <w:t>. [online] Available at: https://www.conservation.org/stories/Starbucks-One-Tree-Conservation-International [Accessed 23 Feb. 2020].</w:t>
      </w:r>
    </w:p>
    <w:p>
      <w:pPr>
        <w:numPr>
          <w:ilvl w:val="0"/>
          <w:numId w:val="1"/>
        </w:numPr>
        <w:ind w:left="425" w:leftChars="0" w:hanging="425" w:firstLineChars="0"/>
        <w:jc w:val="left"/>
      </w:pPr>
      <w:r>
        <w:t>Ehie, I. (2016). Examining the corporate social responsibility orientation in developing countries: an empirical investigation of the Carroll's CSR pyramid. </w:t>
      </w:r>
      <w:r>
        <w:rPr>
          <w:i/>
          <w:iCs/>
        </w:rPr>
        <w:t>International Journal of Business Governance and Ethics</w:t>
      </w:r>
      <w:r>
        <w:t xml:space="preserve">, [online] 11(1), p.1. Available at: </w:t>
      </w:r>
      <w:bookmarkStart w:id="8" w:name="_GoBack"/>
      <w:r>
        <w:t>http://doi:10.1504/IJBGE.2016.076337 [Accessed 23 Feb. 2020].</w:t>
      </w:r>
    </w:p>
    <w:bookmarkEnd w:id="8"/>
    <w:p>
      <w:pPr>
        <w:numPr>
          <w:ilvl w:val="0"/>
          <w:numId w:val="1"/>
        </w:numPr>
        <w:ind w:left="425" w:leftChars="0" w:hanging="425" w:firstLineChars="0"/>
        <w:jc w:val="left"/>
      </w:pPr>
      <w:r>
        <w:t>Harper, D. (2017). </w:t>
      </w:r>
      <w:r>
        <w:rPr>
          <w:i/>
          <w:iCs/>
        </w:rPr>
        <w:t>Starbucks Falls Short on Environmental Commitments</w:t>
      </w:r>
      <w:r>
        <w:t>. [online] Sierra Club. Available at: https://www.sierraclub.org/sierra/starbucks-falls-short-environmental-commitments [Accessed 22 Feb. 2020].</w:t>
      </w:r>
    </w:p>
    <w:p>
      <w:pPr>
        <w:numPr>
          <w:ilvl w:val="0"/>
          <w:numId w:val="1"/>
        </w:numPr>
        <w:ind w:left="425" w:leftChars="0" w:hanging="425" w:firstLineChars="0"/>
        <w:jc w:val="left"/>
      </w:pPr>
      <w:r>
        <w:t>ILLUSION, I., INSPECTIONS, I., LABOR, I., LABEL, I., MIDDLEMEN, V. and TRADE, V. (2017). </w:t>
      </w:r>
      <w:r>
        <w:rPr>
          <w:i/>
          <w:iCs/>
        </w:rPr>
        <w:t>The Source</w:t>
      </w:r>
      <w:r>
        <w:t>. [online] The Source. Available at: https://features.weather.com/thesource/ [Accessed 23 Feb. 2020].</w:t>
      </w:r>
    </w:p>
    <w:p>
      <w:pPr>
        <w:numPr>
          <w:ilvl w:val="0"/>
          <w:numId w:val="1"/>
        </w:numPr>
        <w:ind w:left="425" w:leftChars="0" w:hanging="425" w:firstLineChars="0"/>
        <w:jc w:val="left"/>
      </w:pPr>
      <w:r>
        <w:t>Investopedia. (2020). </w:t>
      </w:r>
      <w:r>
        <w:rPr>
          <w:i/>
          <w:iCs/>
        </w:rPr>
        <w:t>Corporate Social Responsibility (CSR)</w:t>
      </w:r>
      <w:r>
        <w:t>. [online] Available at: https://www.investopedia.com/terms/c/corp-social-responsibility.asp [Accessed 27 Feb. 2020].</w:t>
      </w:r>
    </w:p>
    <w:p>
      <w:pPr>
        <w:numPr>
          <w:ilvl w:val="0"/>
          <w:numId w:val="1"/>
        </w:numPr>
        <w:ind w:left="425" w:leftChars="0" w:hanging="425" w:firstLineChars="0"/>
        <w:jc w:val="left"/>
        <w:rPr>
          <w:lang w:val="en-GB"/>
        </w:rPr>
      </w:pPr>
      <w:r>
        <w:t>Neate, R. (2019). </w:t>
      </w:r>
      <w:r>
        <w:rPr>
          <w:i/>
          <w:iCs/>
        </w:rPr>
        <w:t>Starbucks pays £18.3m tax but £348m in dividends</w:t>
      </w:r>
      <w:r>
        <w:t>. [online] the Guardian. Available at: https://www.theguardian.com/business/2019/jun/27/starbucks-emea-pays-183m-tax-but-348m-in-royalty-payments [Accessed 24 Feb. 2020].</w:t>
      </w:r>
    </w:p>
    <w:p>
      <w:pPr>
        <w:numPr>
          <w:ilvl w:val="0"/>
          <w:numId w:val="1"/>
        </w:numPr>
        <w:ind w:left="425" w:leftChars="0" w:hanging="425" w:firstLineChars="0"/>
        <w:jc w:val="left"/>
      </w:pPr>
      <w:r>
        <w:t>QSR magazine. (2008). </w:t>
      </w:r>
      <w:r>
        <w:rPr>
          <w:i/>
          <w:iCs/>
        </w:rPr>
        <w:t>Starbucks Makes Corporate Social Responsibility Report Public</w:t>
      </w:r>
      <w:r>
        <w:t>. [online] Available at: https://www.qsrmagazine.com/news/starbucks-makes-corporate-social-responsibility-report-public [Accessed 22 Feb. 2020].</w:t>
      </w:r>
    </w:p>
    <w:p>
      <w:pPr>
        <w:numPr>
          <w:ilvl w:val="0"/>
          <w:numId w:val="1"/>
        </w:numPr>
        <w:ind w:left="425" w:leftChars="0" w:hanging="425" w:firstLineChars="0"/>
        <w:jc w:val="left"/>
      </w:pPr>
      <w:r>
        <w:t>Rella, E. (2016). </w:t>
      </w:r>
      <w:r>
        <w:rPr>
          <w:i/>
          <w:iCs/>
        </w:rPr>
        <w:t>5 killer perks of working at Starbucks</w:t>
      </w:r>
      <w:r>
        <w:t>. [online] Aol.com. Available at: https://www.aol.com/article/2016/03/02/company-of-the-week-5-killer-perks-of-working-at-starbucks/21321716/ [Accessed 27 Feb. 2020].</w:t>
      </w:r>
    </w:p>
    <w:p>
      <w:pPr>
        <w:numPr>
          <w:ilvl w:val="0"/>
          <w:numId w:val="1"/>
        </w:numPr>
        <w:ind w:left="425" w:leftChars="0" w:hanging="425" w:firstLineChars="0"/>
        <w:jc w:val="left"/>
      </w:pPr>
      <w:r>
        <w:t>Rueda, M. (2019). </w:t>
      </w:r>
      <w:r>
        <w:rPr>
          <w:i/>
          <w:iCs/>
        </w:rPr>
        <w:t>Low coffee prices are starving farmers. Can a cartel fix it?</w:t>
      </w:r>
      <w:r>
        <w:t>. [online] Public Radio International. Available at: https://www.pri.org/stories/2019-09-26/low-coffee-prices-are-starving-farmers-can-cartel-fix-it [Accessed 21 Feb. 2020].</w:t>
      </w:r>
    </w:p>
    <w:p>
      <w:pPr>
        <w:numPr>
          <w:ilvl w:val="0"/>
          <w:numId w:val="1"/>
        </w:numPr>
        <w:ind w:left="425" w:leftChars="0" w:hanging="425" w:firstLineChars="0"/>
        <w:jc w:val="left"/>
      </w:pPr>
      <w:r>
        <w:t>Sainato, M. (2020). </w:t>
      </w:r>
      <w:r>
        <w:rPr>
          <w:i/>
          <w:iCs/>
        </w:rPr>
        <w:t>Starbucks worker says he was fired for union organizing and 'to create fear'</w:t>
      </w:r>
      <w:r>
        <w:t>. [online] the Guardian. Available at: https://www.theguardian.com/business/2020/feb/25/starbucks-worker-labor-unions-organizing [Accessed 22 Feb. 2020].</w:t>
      </w:r>
    </w:p>
    <w:p>
      <w:pPr>
        <w:numPr>
          <w:ilvl w:val="0"/>
          <w:numId w:val="1"/>
        </w:numPr>
        <w:ind w:left="425" w:leftChars="0" w:hanging="425" w:firstLineChars="0"/>
        <w:jc w:val="left"/>
      </w:pPr>
      <w:r>
        <w:t>Scherer, G. (2018). </w:t>
      </w:r>
      <w:r>
        <w:rPr>
          <w:i/>
          <w:iCs/>
        </w:rPr>
        <w:t>Slave labor found at Starbucks-certified Brazil coffee plantation</w:t>
      </w:r>
      <w:r>
        <w:t>. [online] Mongabay Environmental News. Available at: https://news.mongabay.com/2018/09/slave-labor-found-at-starbucks-certified-brazil-coffee-plantation/ [Accessed 22 Feb. 2020].</w:t>
      </w:r>
    </w:p>
    <w:p>
      <w:pPr>
        <w:numPr>
          <w:ilvl w:val="0"/>
          <w:numId w:val="1"/>
        </w:numPr>
        <w:ind w:left="425" w:leftChars="0" w:hanging="425" w:firstLineChars="0"/>
        <w:jc w:val="left"/>
      </w:pPr>
      <w:r>
        <w:t>Sec.gov. (2018). </w:t>
      </w:r>
      <w:r>
        <w:rPr>
          <w:i/>
          <w:iCs/>
        </w:rPr>
        <w:t>Document</w:t>
      </w:r>
      <w:r>
        <w:t>. [online] Available at: https://www.sec.gov/Archives/edgar/data/829224/000082922418000052/sbux-9302018x10xk.htm [Accessed 23 Feb. 2020].</w:t>
      </w:r>
    </w:p>
    <w:p>
      <w:pPr>
        <w:numPr>
          <w:ilvl w:val="0"/>
          <w:numId w:val="1"/>
        </w:numPr>
        <w:ind w:left="425" w:leftChars="0" w:hanging="425" w:firstLineChars="0"/>
        <w:jc w:val="left"/>
      </w:pPr>
      <w:r>
        <w:t>Snider, M. (2018). [online] Usatoday.com. Available at: https://www.usatoday.com/story/money/business/2018/09/13/starbucks-greener-stores-eco-friendly/1291573002/ [Accessed 22 Feb. 2020].</w:t>
      </w:r>
    </w:p>
    <w:p>
      <w:pPr>
        <w:numPr>
          <w:ilvl w:val="0"/>
          <w:numId w:val="1"/>
        </w:numPr>
        <w:ind w:left="425" w:leftChars="0" w:hanging="425" w:firstLineChars="0"/>
        <w:jc w:val="left"/>
      </w:pPr>
      <w:r>
        <w:t>Splitter, J. (2019). </w:t>
      </w:r>
      <w:r>
        <w:rPr>
          <w:i/>
          <w:iCs/>
        </w:rPr>
        <w:t>Coffee Farmers Are In Crisis. Starbucks Wants To Help.</w:t>
      </w:r>
      <w:r>
        <w:t>. [online] Forbes.com. Available at: https://www.forbes.com/sites/jennysplitter/2019/07/31/coffee-farmers-are-in-crisis-starbucks-wants-to-help/#2520bbce1c71 [Accessed 22 Feb. 2020].</w:t>
      </w:r>
    </w:p>
    <w:p>
      <w:pPr>
        <w:numPr>
          <w:ilvl w:val="0"/>
          <w:numId w:val="1"/>
        </w:numPr>
        <w:ind w:left="425" w:leftChars="0" w:hanging="425" w:firstLineChars="0"/>
        <w:jc w:val="left"/>
      </w:pPr>
      <w:r>
        <w:t>Stabucks.com/social impact (2016). </w:t>
      </w:r>
      <w:r>
        <w:rPr>
          <w:i/>
          <w:iCs/>
        </w:rPr>
        <w:t>2016 PERFORMANCE GLOBAL SOCIAL IMPACT 2</w:t>
      </w:r>
      <w:r>
        <w:t>.</w:t>
      </w:r>
    </w:p>
    <w:p>
      <w:pPr>
        <w:numPr>
          <w:ilvl w:val="0"/>
          <w:numId w:val="1"/>
        </w:numPr>
        <w:ind w:left="425" w:leftChars="0" w:hanging="425" w:firstLineChars="0"/>
        <w:jc w:val="left"/>
      </w:pPr>
      <w:r>
        <w:t>Starbucks Coffee Company. (2020a). </w:t>
      </w:r>
      <w:r>
        <w:rPr>
          <w:i/>
          <w:iCs/>
        </w:rPr>
        <w:t>Corporate Social Impact</w:t>
      </w:r>
      <w:r>
        <w:t>. [online] Available at: https://www.starbucks.com/responsibility [Accessed 22 Feb. 2020].</w:t>
      </w:r>
    </w:p>
    <w:p>
      <w:pPr>
        <w:numPr>
          <w:ilvl w:val="0"/>
          <w:numId w:val="1"/>
        </w:numPr>
        <w:ind w:left="425" w:leftChars="0" w:hanging="425" w:firstLineChars="0"/>
        <w:jc w:val="left"/>
      </w:pPr>
      <w:r>
        <w:t>Starbucks Coffee Company. (2020b). </w:t>
      </w:r>
      <w:r>
        <w:rPr>
          <w:i/>
          <w:iCs/>
        </w:rPr>
        <w:t>Wireless Internet</w:t>
      </w:r>
      <w:r>
        <w:t>. [online] Available at: https://www.starbucks.co.uk/coffeehouse%2Fwireless-internet [Accessed 25 Feb. 2020].</w:t>
      </w:r>
    </w:p>
    <w:p>
      <w:pPr>
        <w:numPr>
          <w:ilvl w:val="0"/>
          <w:numId w:val="1"/>
        </w:numPr>
        <w:ind w:left="425" w:leftChars="0" w:hanging="425" w:firstLineChars="0"/>
        <w:jc w:val="left"/>
        <w:rPr>
          <w:lang w:val="en-GB"/>
        </w:rPr>
      </w:pPr>
      <w:r>
        <w:t>Starbucks Coffee Company. (2020c). </w:t>
      </w:r>
      <w:r>
        <w:rPr>
          <w:i/>
          <w:iCs/>
        </w:rPr>
        <w:t>Our Community</w:t>
      </w:r>
      <w:r>
        <w:t>. [online] Available at: https://www.starbucks.co.uk/responsibility%2Fsocialimpact%2Fourcommunities [Accessed 27 Feb. 2020].</w:t>
      </w:r>
    </w:p>
    <w:p>
      <w:pPr>
        <w:numPr>
          <w:ilvl w:val="0"/>
          <w:numId w:val="1"/>
        </w:numPr>
        <w:ind w:left="425" w:leftChars="0" w:hanging="425" w:firstLineChars="0"/>
        <w:jc w:val="left"/>
      </w:pPr>
      <w:r>
        <w:t>Starbucks Coffee Company. (2020d). </w:t>
      </w:r>
      <w:r>
        <w:rPr>
          <w:i/>
          <w:iCs/>
        </w:rPr>
        <w:t>Investing in Coffee Communities</w:t>
      </w:r>
      <w:r>
        <w:t>. [online] Available at: https://www.starbucks.com/responsibility/community/farmer-support/social-development-investments [Accessed 27 Feb. 2020].</w:t>
      </w:r>
    </w:p>
    <w:p>
      <w:pPr>
        <w:numPr>
          <w:ilvl w:val="0"/>
          <w:numId w:val="1"/>
        </w:numPr>
        <w:ind w:left="425" w:leftChars="0" w:hanging="425" w:firstLineChars="0"/>
        <w:jc w:val="left"/>
      </w:pPr>
      <w:r>
        <w:t>Starbucks.com (2018). </w:t>
      </w:r>
      <w:r>
        <w:rPr>
          <w:i/>
          <w:iCs/>
        </w:rPr>
        <w:t>2018 STARBUCKS GLOBAL SOCIAL IMPACT REPORT</w:t>
      </w:r>
      <w:r>
        <w:t>. [online] Available at: https://globalassets.starbucks.com/assets/5064028eb31b40fa86c13dd54497de1f.pdf [Accessed 22 Feb. 2020].</w:t>
      </w:r>
    </w:p>
    <w:p>
      <w:pPr>
        <w:numPr>
          <w:ilvl w:val="0"/>
          <w:numId w:val="1"/>
        </w:numPr>
        <w:ind w:left="425" w:leftChars="0" w:hanging="425" w:firstLineChars="0"/>
        <w:jc w:val="left"/>
      </w:pPr>
      <w:r>
        <w:t>Starbucks.com/social-impact (2017). </w:t>
      </w:r>
      <w:r>
        <w:rPr>
          <w:i/>
          <w:iCs/>
        </w:rPr>
        <w:t>GLOBAL SOCIAL IMPACT 2017 Performance Report</w:t>
      </w:r>
      <w:r>
        <w:t>. [online] Available at: https://globalassets.starbucks.com/assets/8c1f8c07efde407e9d48bfaf518c0b45.pdf [Accessed 22 Feb. 2020].</w:t>
      </w:r>
    </w:p>
    <w:p>
      <w:pPr>
        <w:numPr>
          <w:ilvl w:val="0"/>
          <w:numId w:val="1"/>
        </w:numPr>
        <w:ind w:left="425" w:leftChars="0" w:hanging="425" w:firstLineChars="0"/>
        <w:jc w:val="left"/>
      </w:pPr>
      <w:r>
        <w:t>Stories.starbucks.com. (2019). </w:t>
      </w:r>
      <w:r>
        <w:rPr>
          <w:i/>
          <w:iCs/>
        </w:rPr>
        <w:t>Starbucks</w:t>
      </w:r>
      <w:r>
        <w:t>. [online] Available at: https://stories.starbucks.com/stories/2019/coverage-of-starbucks-2019-annual-meeting-of-shareholders/ [Accessed 23 Feb. 2020].</w:t>
      </w:r>
    </w:p>
    <w:p>
      <w:pPr>
        <w:numPr>
          <w:ilvl w:val="0"/>
          <w:numId w:val="1"/>
        </w:numPr>
        <w:ind w:left="425" w:leftChars="0" w:hanging="425" w:firstLineChars="0"/>
        <w:jc w:val="left"/>
      </w:pPr>
      <w:r>
        <w:t>Stories.starbucks.com. (2020). </w:t>
      </w:r>
      <w:r>
        <w:rPr>
          <w:i/>
          <w:iCs/>
        </w:rPr>
        <w:t>Starbucks</w:t>
      </w:r>
      <w:r>
        <w:t>. [online] Available at: https://stories.starbucks.com/press/2020/starbucks-commits-to-a-resource-positive-future/ [Accessed 22 Feb. 2020].</w:t>
      </w:r>
    </w:p>
    <w:sectPr>
      <w:headerReference r:id="rId4" w:type="first"/>
      <w:headerReference r:id="rId3" w:type="default"/>
      <w:footerReference r:id="rId5" w:type="default"/>
      <w:pgSz w:w="11906" w:h="16838"/>
      <w:pgMar w:top="1440" w:right="1440" w:bottom="1440" w:left="1440" w:header="708" w:footer="708"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1314565"/>
      <w:docPartObj>
        <w:docPartGallery w:val="autotext"/>
      </w:docPartObj>
    </w:sdtPr>
    <w:sdtContent>
      <w:p>
        <w:pPr>
          <w:pStyle w:val="8"/>
          <w:jc w:val="right"/>
        </w:pPr>
        <w:r>
          <w:fldChar w:fldCharType="begin"/>
        </w:r>
        <w:r>
          <w:instrText xml:space="preserve"> PAGE   \* MERGEFORMAT </w:instrText>
        </w:r>
        <w:r>
          <w:fldChar w:fldCharType="separate"/>
        </w:r>
        <w:r>
          <w:t>3</w:t>
        </w:r>
        <w:r>
          <w:fldChar w:fldCharType="end"/>
        </w:r>
      </w:p>
    </w:sdtContent>
  </w:sdt>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0"/>
    </w:pPr>
    <w:r>
      <w:t>CSR Investigation for Starbucks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0"/>
    </w:pPr>
    <w:r>
      <w:t>CSR Investigation for Starbucks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CFF5CA"/>
    <w:multiLevelType w:val="singleLevel"/>
    <w:tmpl w:val="32CFF5CA"/>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E31"/>
    <w:rsid w:val="0000542B"/>
    <w:rsid w:val="0000570F"/>
    <w:rsid w:val="00005D76"/>
    <w:rsid w:val="0001531D"/>
    <w:rsid w:val="00027054"/>
    <w:rsid w:val="00033480"/>
    <w:rsid w:val="00036D1D"/>
    <w:rsid w:val="0004153C"/>
    <w:rsid w:val="000423AE"/>
    <w:rsid w:val="0005205B"/>
    <w:rsid w:val="00052933"/>
    <w:rsid w:val="0005378C"/>
    <w:rsid w:val="000558F9"/>
    <w:rsid w:val="00055CEA"/>
    <w:rsid w:val="000700ED"/>
    <w:rsid w:val="00075B39"/>
    <w:rsid w:val="00076413"/>
    <w:rsid w:val="0009106C"/>
    <w:rsid w:val="000A092C"/>
    <w:rsid w:val="000A2E02"/>
    <w:rsid w:val="000B2E14"/>
    <w:rsid w:val="000B47BE"/>
    <w:rsid w:val="000B5564"/>
    <w:rsid w:val="000C3EF2"/>
    <w:rsid w:val="000D0EF2"/>
    <w:rsid w:val="000D5664"/>
    <w:rsid w:val="000D73D5"/>
    <w:rsid w:val="000D7A1B"/>
    <w:rsid w:val="000F105D"/>
    <w:rsid w:val="000F578D"/>
    <w:rsid w:val="00101223"/>
    <w:rsid w:val="001061F7"/>
    <w:rsid w:val="00111D70"/>
    <w:rsid w:val="00113E61"/>
    <w:rsid w:val="00117B3B"/>
    <w:rsid w:val="00120DCE"/>
    <w:rsid w:val="001269C6"/>
    <w:rsid w:val="00131A44"/>
    <w:rsid w:val="00131F49"/>
    <w:rsid w:val="00132292"/>
    <w:rsid w:val="001322D6"/>
    <w:rsid w:val="00136E84"/>
    <w:rsid w:val="00137344"/>
    <w:rsid w:val="0014248C"/>
    <w:rsid w:val="00146DAF"/>
    <w:rsid w:val="001477CD"/>
    <w:rsid w:val="00156CF5"/>
    <w:rsid w:val="00160286"/>
    <w:rsid w:val="00160EA4"/>
    <w:rsid w:val="001616F1"/>
    <w:rsid w:val="00165243"/>
    <w:rsid w:val="00171F0C"/>
    <w:rsid w:val="00173446"/>
    <w:rsid w:val="00173BE6"/>
    <w:rsid w:val="0018350E"/>
    <w:rsid w:val="0018533C"/>
    <w:rsid w:val="00190B29"/>
    <w:rsid w:val="00193A3E"/>
    <w:rsid w:val="001A03D5"/>
    <w:rsid w:val="001A0A87"/>
    <w:rsid w:val="001A6845"/>
    <w:rsid w:val="001A68AF"/>
    <w:rsid w:val="001B1ECE"/>
    <w:rsid w:val="001C210F"/>
    <w:rsid w:val="001C28B8"/>
    <w:rsid w:val="001C3530"/>
    <w:rsid w:val="001C7EB5"/>
    <w:rsid w:val="001D0EEE"/>
    <w:rsid w:val="001E43F8"/>
    <w:rsid w:val="001E7872"/>
    <w:rsid w:val="001F0459"/>
    <w:rsid w:val="001F0B3E"/>
    <w:rsid w:val="001F3358"/>
    <w:rsid w:val="001F671C"/>
    <w:rsid w:val="00204586"/>
    <w:rsid w:val="00204DFD"/>
    <w:rsid w:val="00214574"/>
    <w:rsid w:val="002214D3"/>
    <w:rsid w:val="00222853"/>
    <w:rsid w:val="00224F7A"/>
    <w:rsid w:val="00233368"/>
    <w:rsid w:val="00233897"/>
    <w:rsid w:val="00233C0E"/>
    <w:rsid w:val="00234B36"/>
    <w:rsid w:val="00235EF0"/>
    <w:rsid w:val="00237BD8"/>
    <w:rsid w:val="0024248D"/>
    <w:rsid w:val="00267611"/>
    <w:rsid w:val="00270276"/>
    <w:rsid w:val="00275A3A"/>
    <w:rsid w:val="002815D6"/>
    <w:rsid w:val="00281F45"/>
    <w:rsid w:val="002837C5"/>
    <w:rsid w:val="00283BCF"/>
    <w:rsid w:val="002858A5"/>
    <w:rsid w:val="002902C6"/>
    <w:rsid w:val="00290AAB"/>
    <w:rsid w:val="00291C57"/>
    <w:rsid w:val="002A2538"/>
    <w:rsid w:val="002B0303"/>
    <w:rsid w:val="002B79A8"/>
    <w:rsid w:val="002D1011"/>
    <w:rsid w:val="002D12A3"/>
    <w:rsid w:val="002D229B"/>
    <w:rsid w:val="002D7985"/>
    <w:rsid w:val="002E5894"/>
    <w:rsid w:val="002F069F"/>
    <w:rsid w:val="002F46F2"/>
    <w:rsid w:val="002F6655"/>
    <w:rsid w:val="00301158"/>
    <w:rsid w:val="00314899"/>
    <w:rsid w:val="003172E7"/>
    <w:rsid w:val="00320445"/>
    <w:rsid w:val="00322A37"/>
    <w:rsid w:val="00323CDF"/>
    <w:rsid w:val="0033057A"/>
    <w:rsid w:val="00333E43"/>
    <w:rsid w:val="00342E3E"/>
    <w:rsid w:val="00354564"/>
    <w:rsid w:val="00356F94"/>
    <w:rsid w:val="00362152"/>
    <w:rsid w:val="00362858"/>
    <w:rsid w:val="00362DFF"/>
    <w:rsid w:val="00370567"/>
    <w:rsid w:val="00370E4E"/>
    <w:rsid w:val="003768AA"/>
    <w:rsid w:val="00380474"/>
    <w:rsid w:val="003835A6"/>
    <w:rsid w:val="00391157"/>
    <w:rsid w:val="003B15D0"/>
    <w:rsid w:val="003B1EBC"/>
    <w:rsid w:val="003B3B08"/>
    <w:rsid w:val="003B6506"/>
    <w:rsid w:val="003B704E"/>
    <w:rsid w:val="003C01C8"/>
    <w:rsid w:val="003C4A32"/>
    <w:rsid w:val="003C5451"/>
    <w:rsid w:val="003D3F9F"/>
    <w:rsid w:val="003E334C"/>
    <w:rsid w:val="003E4261"/>
    <w:rsid w:val="003E432D"/>
    <w:rsid w:val="003E54D5"/>
    <w:rsid w:val="003E5DB6"/>
    <w:rsid w:val="003E72E3"/>
    <w:rsid w:val="003F47FB"/>
    <w:rsid w:val="003F4F3A"/>
    <w:rsid w:val="003F5CFB"/>
    <w:rsid w:val="003F5F62"/>
    <w:rsid w:val="003F6997"/>
    <w:rsid w:val="00403E23"/>
    <w:rsid w:val="00404AEF"/>
    <w:rsid w:val="004052C0"/>
    <w:rsid w:val="00407447"/>
    <w:rsid w:val="004116F2"/>
    <w:rsid w:val="00421F25"/>
    <w:rsid w:val="00422FA4"/>
    <w:rsid w:val="004271A4"/>
    <w:rsid w:val="00427612"/>
    <w:rsid w:val="0043421F"/>
    <w:rsid w:val="0044139F"/>
    <w:rsid w:val="00442B80"/>
    <w:rsid w:val="0044405C"/>
    <w:rsid w:val="0044443F"/>
    <w:rsid w:val="00445FE4"/>
    <w:rsid w:val="00446330"/>
    <w:rsid w:val="0044674F"/>
    <w:rsid w:val="00447B80"/>
    <w:rsid w:val="0045104D"/>
    <w:rsid w:val="00451F6D"/>
    <w:rsid w:val="0045536A"/>
    <w:rsid w:val="00457F49"/>
    <w:rsid w:val="004625CE"/>
    <w:rsid w:val="004730B6"/>
    <w:rsid w:val="004733FA"/>
    <w:rsid w:val="004828C9"/>
    <w:rsid w:val="004834ED"/>
    <w:rsid w:val="00487C5F"/>
    <w:rsid w:val="00491B72"/>
    <w:rsid w:val="0049268C"/>
    <w:rsid w:val="00493024"/>
    <w:rsid w:val="00494F2D"/>
    <w:rsid w:val="00496EB0"/>
    <w:rsid w:val="00496EE8"/>
    <w:rsid w:val="004A0559"/>
    <w:rsid w:val="004A2235"/>
    <w:rsid w:val="004A4CAE"/>
    <w:rsid w:val="004A7E71"/>
    <w:rsid w:val="004B6F15"/>
    <w:rsid w:val="004B75D1"/>
    <w:rsid w:val="004C126E"/>
    <w:rsid w:val="004C5ACA"/>
    <w:rsid w:val="004C77E3"/>
    <w:rsid w:val="004D0680"/>
    <w:rsid w:val="004D2EB3"/>
    <w:rsid w:val="004E0788"/>
    <w:rsid w:val="004E1053"/>
    <w:rsid w:val="004F0C44"/>
    <w:rsid w:val="004F4DF2"/>
    <w:rsid w:val="004F60F5"/>
    <w:rsid w:val="004F7CEB"/>
    <w:rsid w:val="00500D7A"/>
    <w:rsid w:val="0050629C"/>
    <w:rsid w:val="005062E8"/>
    <w:rsid w:val="00514EB2"/>
    <w:rsid w:val="00525A2B"/>
    <w:rsid w:val="00526C1A"/>
    <w:rsid w:val="00533075"/>
    <w:rsid w:val="00533859"/>
    <w:rsid w:val="00536AAA"/>
    <w:rsid w:val="00537D16"/>
    <w:rsid w:val="00542D3C"/>
    <w:rsid w:val="00544BEA"/>
    <w:rsid w:val="005462B5"/>
    <w:rsid w:val="005466CC"/>
    <w:rsid w:val="005510F0"/>
    <w:rsid w:val="00552138"/>
    <w:rsid w:val="005603F2"/>
    <w:rsid w:val="00560A8A"/>
    <w:rsid w:val="00563773"/>
    <w:rsid w:val="00563845"/>
    <w:rsid w:val="00563ADE"/>
    <w:rsid w:val="0056422D"/>
    <w:rsid w:val="00564F82"/>
    <w:rsid w:val="00566E60"/>
    <w:rsid w:val="00572BF0"/>
    <w:rsid w:val="00576C44"/>
    <w:rsid w:val="005779CF"/>
    <w:rsid w:val="005823DA"/>
    <w:rsid w:val="00587DB5"/>
    <w:rsid w:val="00594A39"/>
    <w:rsid w:val="00596601"/>
    <w:rsid w:val="005A3D18"/>
    <w:rsid w:val="005B01FA"/>
    <w:rsid w:val="005B0D22"/>
    <w:rsid w:val="005B1FE3"/>
    <w:rsid w:val="005C01E4"/>
    <w:rsid w:val="005C4FCF"/>
    <w:rsid w:val="005D64BE"/>
    <w:rsid w:val="005E4289"/>
    <w:rsid w:val="005E48D2"/>
    <w:rsid w:val="00601D7E"/>
    <w:rsid w:val="0060295D"/>
    <w:rsid w:val="00602EF3"/>
    <w:rsid w:val="00605810"/>
    <w:rsid w:val="00606691"/>
    <w:rsid w:val="00617628"/>
    <w:rsid w:val="0062134B"/>
    <w:rsid w:val="00625561"/>
    <w:rsid w:val="00650F23"/>
    <w:rsid w:val="00650F92"/>
    <w:rsid w:val="00656284"/>
    <w:rsid w:val="0065635C"/>
    <w:rsid w:val="00665AA0"/>
    <w:rsid w:val="00673695"/>
    <w:rsid w:val="00673E76"/>
    <w:rsid w:val="00686606"/>
    <w:rsid w:val="0068771C"/>
    <w:rsid w:val="00695B36"/>
    <w:rsid w:val="00697200"/>
    <w:rsid w:val="006A22D2"/>
    <w:rsid w:val="006A2D6B"/>
    <w:rsid w:val="006B1E3B"/>
    <w:rsid w:val="006B2100"/>
    <w:rsid w:val="006B35BF"/>
    <w:rsid w:val="006C267D"/>
    <w:rsid w:val="006C7447"/>
    <w:rsid w:val="006D2473"/>
    <w:rsid w:val="006D33B1"/>
    <w:rsid w:val="006F2512"/>
    <w:rsid w:val="00701453"/>
    <w:rsid w:val="00703252"/>
    <w:rsid w:val="0070331B"/>
    <w:rsid w:val="00706230"/>
    <w:rsid w:val="0070729A"/>
    <w:rsid w:val="00707E21"/>
    <w:rsid w:val="00714264"/>
    <w:rsid w:val="00714D3C"/>
    <w:rsid w:val="00715094"/>
    <w:rsid w:val="00720A5F"/>
    <w:rsid w:val="007215AD"/>
    <w:rsid w:val="00722123"/>
    <w:rsid w:val="00723C2D"/>
    <w:rsid w:val="00726F28"/>
    <w:rsid w:val="00731141"/>
    <w:rsid w:val="00735BA8"/>
    <w:rsid w:val="00735DDD"/>
    <w:rsid w:val="00740134"/>
    <w:rsid w:val="007415D0"/>
    <w:rsid w:val="00743024"/>
    <w:rsid w:val="00751B22"/>
    <w:rsid w:val="00755DBD"/>
    <w:rsid w:val="007601EB"/>
    <w:rsid w:val="00763310"/>
    <w:rsid w:val="0076356B"/>
    <w:rsid w:val="00771395"/>
    <w:rsid w:val="00772073"/>
    <w:rsid w:val="0077292B"/>
    <w:rsid w:val="007975FA"/>
    <w:rsid w:val="007A02EB"/>
    <w:rsid w:val="007A3BB4"/>
    <w:rsid w:val="007A6A4B"/>
    <w:rsid w:val="007B06AE"/>
    <w:rsid w:val="007B207D"/>
    <w:rsid w:val="007B4D26"/>
    <w:rsid w:val="007C375A"/>
    <w:rsid w:val="007C410D"/>
    <w:rsid w:val="007D2454"/>
    <w:rsid w:val="007D2C65"/>
    <w:rsid w:val="007D7257"/>
    <w:rsid w:val="007D7B6C"/>
    <w:rsid w:val="007E02E6"/>
    <w:rsid w:val="007F0E31"/>
    <w:rsid w:val="007F2B81"/>
    <w:rsid w:val="007F4459"/>
    <w:rsid w:val="007F4765"/>
    <w:rsid w:val="00803A8C"/>
    <w:rsid w:val="008040C3"/>
    <w:rsid w:val="00810B33"/>
    <w:rsid w:val="008230EF"/>
    <w:rsid w:val="008241A5"/>
    <w:rsid w:val="0083105C"/>
    <w:rsid w:val="0083177C"/>
    <w:rsid w:val="00831FA4"/>
    <w:rsid w:val="00841FFB"/>
    <w:rsid w:val="00847A1B"/>
    <w:rsid w:val="00850804"/>
    <w:rsid w:val="00852481"/>
    <w:rsid w:val="00852611"/>
    <w:rsid w:val="00856EB6"/>
    <w:rsid w:val="00863908"/>
    <w:rsid w:val="00863A22"/>
    <w:rsid w:val="00864E72"/>
    <w:rsid w:val="00874787"/>
    <w:rsid w:val="0087615B"/>
    <w:rsid w:val="00880587"/>
    <w:rsid w:val="00885F02"/>
    <w:rsid w:val="008A0FCD"/>
    <w:rsid w:val="008A58AC"/>
    <w:rsid w:val="008B15E0"/>
    <w:rsid w:val="008B50EE"/>
    <w:rsid w:val="008C0C91"/>
    <w:rsid w:val="008C16D0"/>
    <w:rsid w:val="008C26F7"/>
    <w:rsid w:val="008C5870"/>
    <w:rsid w:val="008C78C4"/>
    <w:rsid w:val="008D351B"/>
    <w:rsid w:val="008D59B8"/>
    <w:rsid w:val="008F09F3"/>
    <w:rsid w:val="008F30EE"/>
    <w:rsid w:val="008F4D91"/>
    <w:rsid w:val="00901732"/>
    <w:rsid w:val="009113F3"/>
    <w:rsid w:val="00912E75"/>
    <w:rsid w:val="009168E4"/>
    <w:rsid w:val="00925C5E"/>
    <w:rsid w:val="00925D1F"/>
    <w:rsid w:val="0094093E"/>
    <w:rsid w:val="0094341B"/>
    <w:rsid w:val="009538CB"/>
    <w:rsid w:val="009554A8"/>
    <w:rsid w:val="00957724"/>
    <w:rsid w:val="00960F0D"/>
    <w:rsid w:val="00963538"/>
    <w:rsid w:val="00966573"/>
    <w:rsid w:val="00972FD4"/>
    <w:rsid w:val="00982E55"/>
    <w:rsid w:val="00990D4C"/>
    <w:rsid w:val="0099531A"/>
    <w:rsid w:val="0099544E"/>
    <w:rsid w:val="009A0285"/>
    <w:rsid w:val="009B35F6"/>
    <w:rsid w:val="009B4C1B"/>
    <w:rsid w:val="009B68F5"/>
    <w:rsid w:val="009C3C0E"/>
    <w:rsid w:val="009D2BEF"/>
    <w:rsid w:val="009D3329"/>
    <w:rsid w:val="009D509B"/>
    <w:rsid w:val="009D6984"/>
    <w:rsid w:val="009D7B8F"/>
    <w:rsid w:val="009D7E65"/>
    <w:rsid w:val="009E03DB"/>
    <w:rsid w:val="009E284B"/>
    <w:rsid w:val="009E3CFC"/>
    <w:rsid w:val="009E445C"/>
    <w:rsid w:val="009E6774"/>
    <w:rsid w:val="009F02B5"/>
    <w:rsid w:val="00A00291"/>
    <w:rsid w:val="00A0201B"/>
    <w:rsid w:val="00A03CEE"/>
    <w:rsid w:val="00A06457"/>
    <w:rsid w:val="00A070C4"/>
    <w:rsid w:val="00A13D27"/>
    <w:rsid w:val="00A22858"/>
    <w:rsid w:val="00A23F79"/>
    <w:rsid w:val="00A24FF2"/>
    <w:rsid w:val="00A271A6"/>
    <w:rsid w:val="00A3063F"/>
    <w:rsid w:val="00A31180"/>
    <w:rsid w:val="00A3369E"/>
    <w:rsid w:val="00A346E7"/>
    <w:rsid w:val="00A34E79"/>
    <w:rsid w:val="00A43966"/>
    <w:rsid w:val="00A47088"/>
    <w:rsid w:val="00A51357"/>
    <w:rsid w:val="00A5261B"/>
    <w:rsid w:val="00A56A53"/>
    <w:rsid w:val="00A6293C"/>
    <w:rsid w:val="00A64601"/>
    <w:rsid w:val="00A7441C"/>
    <w:rsid w:val="00A762A9"/>
    <w:rsid w:val="00A80B9D"/>
    <w:rsid w:val="00A816F5"/>
    <w:rsid w:val="00A8372A"/>
    <w:rsid w:val="00A87538"/>
    <w:rsid w:val="00A87EB4"/>
    <w:rsid w:val="00A92678"/>
    <w:rsid w:val="00AA0177"/>
    <w:rsid w:val="00AA4FD2"/>
    <w:rsid w:val="00AB06BE"/>
    <w:rsid w:val="00AB2899"/>
    <w:rsid w:val="00AC6804"/>
    <w:rsid w:val="00AC6E05"/>
    <w:rsid w:val="00AD5D97"/>
    <w:rsid w:val="00AD7486"/>
    <w:rsid w:val="00AE6107"/>
    <w:rsid w:val="00B00680"/>
    <w:rsid w:val="00B10BD0"/>
    <w:rsid w:val="00B12F2E"/>
    <w:rsid w:val="00B13A54"/>
    <w:rsid w:val="00B22A4E"/>
    <w:rsid w:val="00B23CE7"/>
    <w:rsid w:val="00B25C7A"/>
    <w:rsid w:val="00B4469A"/>
    <w:rsid w:val="00B466A6"/>
    <w:rsid w:val="00B51555"/>
    <w:rsid w:val="00B51B6D"/>
    <w:rsid w:val="00B60DCF"/>
    <w:rsid w:val="00B62738"/>
    <w:rsid w:val="00B62DB6"/>
    <w:rsid w:val="00B721D2"/>
    <w:rsid w:val="00B85ACE"/>
    <w:rsid w:val="00B86947"/>
    <w:rsid w:val="00B92498"/>
    <w:rsid w:val="00B95591"/>
    <w:rsid w:val="00BA3304"/>
    <w:rsid w:val="00BA33CB"/>
    <w:rsid w:val="00BA4317"/>
    <w:rsid w:val="00BA552D"/>
    <w:rsid w:val="00BB2684"/>
    <w:rsid w:val="00BB59C6"/>
    <w:rsid w:val="00BB72C3"/>
    <w:rsid w:val="00BB7B0C"/>
    <w:rsid w:val="00BC7F55"/>
    <w:rsid w:val="00BD0326"/>
    <w:rsid w:val="00BD094E"/>
    <w:rsid w:val="00BD4F83"/>
    <w:rsid w:val="00BE20E0"/>
    <w:rsid w:val="00BE3155"/>
    <w:rsid w:val="00BE404D"/>
    <w:rsid w:val="00BF100E"/>
    <w:rsid w:val="00C00C67"/>
    <w:rsid w:val="00C014A9"/>
    <w:rsid w:val="00C02450"/>
    <w:rsid w:val="00C24A60"/>
    <w:rsid w:val="00C31390"/>
    <w:rsid w:val="00C367F3"/>
    <w:rsid w:val="00C4043C"/>
    <w:rsid w:val="00C440C9"/>
    <w:rsid w:val="00C444B9"/>
    <w:rsid w:val="00C47585"/>
    <w:rsid w:val="00C52CCB"/>
    <w:rsid w:val="00C53C04"/>
    <w:rsid w:val="00C53DF5"/>
    <w:rsid w:val="00C5470F"/>
    <w:rsid w:val="00C57F84"/>
    <w:rsid w:val="00C57FF4"/>
    <w:rsid w:val="00C604B6"/>
    <w:rsid w:val="00C626EA"/>
    <w:rsid w:val="00C636D1"/>
    <w:rsid w:val="00C67857"/>
    <w:rsid w:val="00C72034"/>
    <w:rsid w:val="00C72D8C"/>
    <w:rsid w:val="00C7341F"/>
    <w:rsid w:val="00C73817"/>
    <w:rsid w:val="00C745F3"/>
    <w:rsid w:val="00C74C25"/>
    <w:rsid w:val="00C8389E"/>
    <w:rsid w:val="00C86A96"/>
    <w:rsid w:val="00C87F14"/>
    <w:rsid w:val="00C93660"/>
    <w:rsid w:val="00C9528A"/>
    <w:rsid w:val="00CA1AD5"/>
    <w:rsid w:val="00CA5E18"/>
    <w:rsid w:val="00CB188E"/>
    <w:rsid w:val="00CB5068"/>
    <w:rsid w:val="00CC1E19"/>
    <w:rsid w:val="00CD6DC2"/>
    <w:rsid w:val="00CE030C"/>
    <w:rsid w:val="00CE0A7A"/>
    <w:rsid w:val="00CE1A1B"/>
    <w:rsid w:val="00CE75C4"/>
    <w:rsid w:val="00CE7B54"/>
    <w:rsid w:val="00CF215F"/>
    <w:rsid w:val="00CF2FFE"/>
    <w:rsid w:val="00CF51B5"/>
    <w:rsid w:val="00CF77E9"/>
    <w:rsid w:val="00D0642C"/>
    <w:rsid w:val="00D06DCB"/>
    <w:rsid w:val="00D12E84"/>
    <w:rsid w:val="00D24BDB"/>
    <w:rsid w:val="00D35A23"/>
    <w:rsid w:val="00D42BE4"/>
    <w:rsid w:val="00D607F9"/>
    <w:rsid w:val="00D6319A"/>
    <w:rsid w:val="00D678CE"/>
    <w:rsid w:val="00D75B4A"/>
    <w:rsid w:val="00D77345"/>
    <w:rsid w:val="00D81018"/>
    <w:rsid w:val="00D83D7B"/>
    <w:rsid w:val="00D86A22"/>
    <w:rsid w:val="00D87004"/>
    <w:rsid w:val="00D93B1E"/>
    <w:rsid w:val="00D955B4"/>
    <w:rsid w:val="00D95DD2"/>
    <w:rsid w:val="00DA0929"/>
    <w:rsid w:val="00DA1299"/>
    <w:rsid w:val="00DA40D5"/>
    <w:rsid w:val="00DA7E62"/>
    <w:rsid w:val="00DB42FE"/>
    <w:rsid w:val="00DC053C"/>
    <w:rsid w:val="00DC162D"/>
    <w:rsid w:val="00DC497E"/>
    <w:rsid w:val="00DC4E04"/>
    <w:rsid w:val="00DC787F"/>
    <w:rsid w:val="00DD6A02"/>
    <w:rsid w:val="00DD7D8A"/>
    <w:rsid w:val="00DD7DBC"/>
    <w:rsid w:val="00DE187F"/>
    <w:rsid w:val="00DE47BB"/>
    <w:rsid w:val="00DE6C09"/>
    <w:rsid w:val="00DF05ED"/>
    <w:rsid w:val="00DF1FD8"/>
    <w:rsid w:val="00DF31FE"/>
    <w:rsid w:val="00DF6CDB"/>
    <w:rsid w:val="00E00091"/>
    <w:rsid w:val="00E00A24"/>
    <w:rsid w:val="00E033D7"/>
    <w:rsid w:val="00E039BD"/>
    <w:rsid w:val="00E07A4C"/>
    <w:rsid w:val="00E07E48"/>
    <w:rsid w:val="00E11D9B"/>
    <w:rsid w:val="00E177C6"/>
    <w:rsid w:val="00E30D90"/>
    <w:rsid w:val="00E33C34"/>
    <w:rsid w:val="00E35594"/>
    <w:rsid w:val="00E358E9"/>
    <w:rsid w:val="00E51874"/>
    <w:rsid w:val="00E54800"/>
    <w:rsid w:val="00E61BE6"/>
    <w:rsid w:val="00E61F75"/>
    <w:rsid w:val="00E653A2"/>
    <w:rsid w:val="00E70F5F"/>
    <w:rsid w:val="00E7209F"/>
    <w:rsid w:val="00E75254"/>
    <w:rsid w:val="00E77BE6"/>
    <w:rsid w:val="00E8004D"/>
    <w:rsid w:val="00E80B12"/>
    <w:rsid w:val="00E81CC4"/>
    <w:rsid w:val="00E83AD0"/>
    <w:rsid w:val="00E851D5"/>
    <w:rsid w:val="00E877E1"/>
    <w:rsid w:val="00E92320"/>
    <w:rsid w:val="00E94412"/>
    <w:rsid w:val="00E94C62"/>
    <w:rsid w:val="00E97D36"/>
    <w:rsid w:val="00EA3043"/>
    <w:rsid w:val="00EA3356"/>
    <w:rsid w:val="00EA4C6A"/>
    <w:rsid w:val="00EB0D5C"/>
    <w:rsid w:val="00EB1332"/>
    <w:rsid w:val="00EB48F5"/>
    <w:rsid w:val="00EB729A"/>
    <w:rsid w:val="00EC5998"/>
    <w:rsid w:val="00EC5FB4"/>
    <w:rsid w:val="00ED1DCC"/>
    <w:rsid w:val="00ED437E"/>
    <w:rsid w:val="00ED54CB"/>
    <w:rsid w:val="00ED6F02"/>
    <w:rsid w:val="00EE0CC7"/>
    <w:rsid w:val="00EE0CC9"/>
    <w:rsid w:val="00EE6836"/>
    <w:rsid w:val="00EF75F9"/>
    <w:rsid w:val="00F2151B"/>
    <w:rsid w:val="00F21E74"/>
    <w:rsid w:val="00F22141"/>
    <w:rsid w:val="00F25792"/>
    <w:rsid w:val="00F304C8"/>
    <w:rsid w:val="00F315DD"/>
    <w:rsid w:val="00F44D12"/>
    <w:rsid w:val="00F44D31"/>
    <w:rsid w:val="00F528E0"/>
    <w:rsid w:val="00F63BEB"/>
    <w:rsid w:val="00F64845"/>
    <w:rsid w:val="00F7289D"/>
    <w:rsid w:val="00F800FE"/>
    <w:rsid w:val="00FA2510"/>
    <w:rsid w:val="00FA2620"/>
    <w:rsid w:val="00FA3E08"/>
    <w:rsid w:val="00FA4C24"/>
    <w:rsid w:val="00FA4E71"/>
    <w:rsid w:val="00FA7906"/>
    <w:rsid w:val="00FB1548"/>
    <w:rsid w:val="00FB46D5"/>
    <w:rsid w:val="00FD39E8"/>
    <w:rsid w:val="00FD6048"/>
    <w:rsid w:val="00FD6651"/>
    <w:rsid w:val="00FE168E"/>
    <w:rsid w:val="00FE6754"/>
    <w:rsid w:val="00FE68B1"/>
    <w:rsid w:val="00FF1126"/>
    <w:rsid w:val="00FF6955"/>
    <w:rsid w:val="115E018C"/>
    <w:rsid w:val="27B7790F"/>
  </w:rsids>
  <m:mathPr>
    <m:mathFont m:val="Cambria Math"/>
    <m:brkBin m:val="before"/>
    <m:brkBinSub m:val="--"/>
    <m:smallFrac m:val="1"/>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20" w:line="360" w:lineRule="auto"/>
      <w:ind w:firstLine="720"/>
      <w:jc w:val="both"/>
    </w:pPr>
    <w:rPr>
      <w:rFonts w:ascii="Times New Roman" w:hAnsi="Times New Roman" w:eastAsiaTheme="minorHAnsi" w:cstheme="minorBidi"/>
      <w:sz w:val="24"/>
      <w:szCs w:val="22"/>
      <w:lang w:val="en-IN" w:eastAsia="en-US" w:bidi="ar-SA"/>
    </w:rPr>
  </w:style>
  <w:style w:type="paragraph" w:styleId="2">
    <w:name w:val="heading 1"/>
    <w:basedOn w:val="1"/>
    <w:next w:val="1"/>
    <w:link w:val="17"/>
    <w:qFormat/>
    <w:uiPriority w:val="9"/>
    <w:pPr>
      <w:keepNext/>
      <w:keepLines/>
      <w:spacing w:before="240"/>
      <w:ind w:firstLine="0"/>
      <w:jc w:val="left"/>
      <w:outlineLvl w:val="0"/>
    </w:pPr>
    <w:rPr>
      <w:rFonts w:eastAsiaTheme="majorEastAsia" w:cstheme="majorBidi"/>
      <w:b/>
      <w:color w:val="000000" w:themeColor="text1"/>
      <w:szCs w:val="32"/>
      <w14:textFill>
        <w14:solidFill>
          <w14:schemeClr w14:val="tx1"/>
        </w14:solidFill>
      </w14:textFill>
    </w:rPr>
  </w:style>
  <w:style w:type="paragraph" w:styleId="3">
    <w:name w:val="heading 2"/>
    <w:basedOn w:val="1"/>
    <w:next w:val="1"/>
    <w:link w:val="18"/>
    <w:unhideWhenUsed/>
    <w:qFormat/>
    <w:uiPriority w:val="9"/>
    <w:pPr>
      <w:keepNext/>
      <w:keepLines/>
      <w:spacing w:before="40" w:after="0"/>
      <w:ind w:firstLine="0"/>
      <w:jc w:val="left"/>
      <w:outlineLvl w:val="1"/>
    </w:pPr>
    <w:rPr>
      <w:rFonts w:eastAsiaTheme="majorEastAsia" w:cstheme="majorBidi"/>
      <w:b/>
      <w:color w:val="000000" w:themeColor="text1"/>
      <w:szCs w:val="26"/>
      <w14:textFill>
        <w14:solidFill>
          <w14:schemeClr w14:val="tx1"/>
        </w14:solidFill>
      </w14:textFill>
    </w:rPr>
  </w:style>
  <w:style w:type="paragraph" w:styleId="4">
    <w:name w:val="heading 3"/>
    <w:basedOn w:val="1"/>
    <w:next w:val="1"/>
    <w:link w:val="20"/>
    <w:unhideWhenUsed/>
    <w:qFormat/>
    <w:uiPriority w:val="9"/>
    <w:pPr>
      <w:keepNext/>
      <w:keepLines/>
      <w:spacing w:after="0"/>
      <w:ind w:firstLine="360"/>
      <w:jc w:val="left"/>
      <w:outlineLvl w:val="2"/>
    </w:pPr>
    <w:rPr>
      <w:rFonts w:eastAsiaTheme="majorEastAsia" w:cstheme="majorBidi"/>
      <w:b/>
      <w:color w:val="000000" w:themeColor="text1"/>
      <w:szCs w:val="24"/>
      <w14:textFill>
        <w14:solidFill>
          <w14:schemeClr w14:val="tx1"/>
        </w14:solidFill>
      </w14:textFill>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5">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6">
    <w:name w:val="toc 3"/>
    <w:basedOn w:val="1"/>
    <w:next w:val="1"/>
    <w:unhideWhenUsed/>
    <w:uiPriority w:val="39"/>
    <w:pPr>
      <w:spacing w:after="100"/>
      <w:ind w:left="480"/>
    </w:pPr>
  </w:style>
  <w:style w:type="paragraph" w:styleId="7">
    <w:name w:val="Balloon Text"/>
    <w:basedOn w:val="1"/>
    <w:link w:val="25"/>
    <w:semiHidden/>
    <w:unhideWhenUsed/>
    <w:uiPriority w:val="99"/>
    <w:pPr>
      <w:spacing w:after="0" w:line="240" w:lineRule="auto"/>
    </w:pPr>
    <w:rPr>
      <w:rFonts w:ascii="Tahoma" w:hAnsi="Tahoma" w:cs="Tahoma"/>
      <w:sz w:val="16"/>
      <w:szCs w:val="16"/>
    </w:rPr>
  </w:style>
  <w:style w:type="paragraph" w:styleId="8">
    <w:name w:val="footer"/>
    <w:basedOn w:val="1"/>
    <w:link w:val="23"/>
    <w:unhideWhenUsed/>
    <w:uiPriority w:val="99"/>
    <w:pPr>
      <w:tabs>
        <w:tab w:val="center" w:pos="4513"/>
        <w:tab w:val="right" w:pos="9026"/>
      </w:tabs>
      <w:spacing w:after="0" w:line="240" w:lineRule="auto"/>
    </w:pPr>
  </w:style>
  <w:style w:type="paragraph" w:styleId="9">
    <w:name w:val="header"/>
    <w:basedOn w:val="1"/>
    <w:link w:val="22"/>
    <w:unhideWhenUsed/>
    <w:qFormat/>
    <w:uiPriority w:val="99"/>
    <w:pPr>
      <w:tabs>
        <w:tab w:val="center" w:pos="4513"/>
        <w:tab w:val="right" w:pos="9026"/>
      </w:tabs>
      <w:spacing w:after="0" w:line="240" w:lineRule="auto"/>
    </w:pPr>
  </w:style>
  <w:style w:type="paragraph" w:styleId="10">
    <w:name w:val="toc 1"/>
    <w:basedOn w:val="1"/>
    <w:next w:val="1"/>
    <w:unhideWhenUsed/>
    <w:uiPriority w:val="39"/>
    <w:pPr>
      <w:spacing w:after="100"/>
    </w:pPr>
  </w:style>
  <w:style w:type="paragraph" w:styleId="11">
    <w:name w:val="toc 2"/>
    <w:basedOn w:val="1"/>
    <w:next w:val="1"/>
    <w:unhideWhenUsed/>
    <w:qFormat/>
    <w:uiPriority w:val="39"/>
    <w:pPr>
      <w:spacing w:after="100"/>
      <w:ind w:left="240"/>
    </w:pPr>
  </w:style>
  <w:style w:type="paragraph" w:styleId="12">
    <w:name w:val="Normal (Web)"/>
    <w:basedOn w:val="1"/>
    <w:semiHidden/>
    <w:unhideWhenUsed/>
    <w:uiPriority w:val="99"/>
    <w:rPr>
      <w:rFonts w:cs="Times New Roman"/>
      <w:szCs w:val="24"/>
    </w:rPr>
  </w:style>
  <w:style w:type="table" w:styleId="14">
    <w:name w:val="Table Grid"/>
    <w:basedOn w:val="1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basedOn w:val="15"/>
    <w:unhideWhenUsed/>
    <w:uiPriority w:val="99"/>
    <w:rPr>
      <w:color w:val="0563C1" w:themeColor="hyperlink"/>
      <w:u w:val="single"/>
      <w14:textFill>
        <w14:solidFill>
          <w14:schemeClr w14:val="hlink"/>
        </w14:solidFill>
      </w14:textFill>
    </w:rPr>
  </w:style>
  <w:style w:type="character" w:customStyle="1" w:styleId="17">
    <w:name w:val="Heading 1 Char"/>
    <w:basedOn w:val="15"/>
    <w:link w:val="2"/>
    <w:uiPriority w:val="9"/>
    <w:rPr>
      <w:rFonts w:ascii="Times New Roman" w:hAnsi="Times New Roman" w:eastAsiaTheme="majorEastAsia" w:cstheme="majorBidi"/>
      <w:b/>
      <w:color w:val="000000" w:themeColor="text1"/>
      <w:sz w:val="24"/>
      <w:szCs w:val="32"/>
      <w14:textFill>
        <w14:solidFill>
          <w14:schemeClr w14:val="tx1"/>
        </w14:solidFill>
      </w14:textFill>
    </w:rPr>
  </w:style>
  <w:style w:type="character" w:customStyle="1" w:styleId="18">
    <w:name w:val="Heading 2 Char"/>
    <w:basedOn w:val="15"/>
    <w:link w:val="3"/>
    <w:uiPriority w:val="9"/>
    <w:rPr>
      <w:rFonts w:ascii="Times New Roman" w:hAnsi="Times New Roman" w:eastAsiaTheme="majorEastAsia" w:cstheme="majorBidi"/>
      <w:b/>
      <w:color w:val="000000" w:themeColor="text1"/>
      <w:sz w:val="24"/>
      <w:szCs w:val="26"/>
      <w14:textFill>
        <w14:solidFill>
          <w14:schemeClr w14:val="tx1"/>
        </w14:solidFill>
      </w14:textFill>
    </w:rPr>
  </w:style>
  <w:style w:type="paragraph" w:customStyle="1" w:styleId="19">
    <w:name w:val="Style1"/>
    <w:basedOn w:val="4"/>
    <w:link w:val="21"/>
    <w:qFormat/>
    <w:uiPriority w:val="0"/>
    <w:rPr>
      <w:b w:val="0"/>
    </w:rPr>
  </w:style>
  <w:style w:type="character" w:customStyle="1" w:styleId="20">
    <w:name w:val="Heading 3 Char"/>
    <w:basedOn w:val="15"/>
    <w:link w:val="4"/>
    <w:qFormat/>
    <w:uiPriority w:val="9"/>
    <w:rPr>
      <w:rFonts w:ascii="Times New Roman" w:hAnsi="Times New Roman" w:eastAsiaTheme="majorEastAsia" w:cstheme="majorBidi"/>
      <w:b/>
      <w:color w:val="000000" w:themeColor="text1"/>
      <w:sz w:val="24"/>
      <w:szCs w:val="24"/>
      <w14:textFill>
        <w14:solidFill>
          <w14:schemeClr w14:val="tx1"/>
        </w14:solidFill>
      </w14:textFill>
    </w:rPr>
  </w:style>
  <w:style w:type="character" w:customStyle="1" w:styleId="21">
    <w:name w:val="Style1 Char"/>
    <w:basedOn w:val="20"/>
    <w:link w:val="19"/>
    <w:qFormat/>
    <w:uiPriority w:val="0"/>
    <w:rPr>
      <w:rFonts w:ascii="Times New Roman" w:hAnsi="Times New Roman" w:eastAsiaTheme="majorEastAsia" w:cstheme="majorBidi"/>
      <w:b w:val="0"/>
      <w:color w:val="000000" w:themeColor="text1"/>
      <w:sz w:val="24"/>
      <w:szCs w:val="24"/>
      <w14:textFill>
        <w14:solidFill>
          <w14:schemeClr w14:val="tx1"/>
        </w14:solidFill>
      </w14:textFill>
    </w:rPr>
  </w:style>
  <w:style w:type="character" w:customStyle="1" w:styleId="22">
    <w:name w:val="Header Char"/>
    <w:basedOn w:val="15"/>
    <w:link w:val="9"/>
    <w:uiPriority w:val="99"/>
    <w:rPr>
      <w:rFonts w:ascii="Times New Roman" w:hAnsi="Times New Roman"/>
      <w:sz w:val="24"/>
    </w:rPr>
  </w:style>
  <w:style w:type="character" w:customStyle="1" w:styleId="23">
    <w:name w:val="Footer Char"/>
    <w:basedOn w:val="15"/>
    <w:link w:val="8"/>
    <w:uiPriority w:val="99"/>
    <w:rPr>
      <w:rFonts w:ascii="Times New Roman" w:hAnsi="Times New Roman"/>
      <w:sz w:val="24"/>
    </w:rPr>
  </w:style>
  <w:style w:type="paragraph" w:customStyle="1" w:styleId="24">
    <w:name w:val="TOC Heading"/>
    <w:basedOn w:val="2"/>
    <w:next w:val="1"/>
    <w:unhideWhenUsed/>
    <w:qFormat/>
    <w:uiPriority w:val="39"/>
    <w:pPr>
      <w:spacing w:after="0" w:line="259" w:lineRule="auto"/>
      <w:outlineLvl w:val="9"/>
    </w:pPr>
    <w:rPr>
      <w:rFonts w:asciiTheme="majorHAnsi" w:hAnsiTheme="majorHAnsi"/>
      <w:b w:val="0"/>
      <w:color w:val="2E75B6" w:themeColor="accent1" w:themeShade="BF"/>
      <w:sz w:val="32"/>
      <w:lang w:val="en-US"/>
    </w:rPr>
  </w:style>
  <w:style w:type="character" w:customStyle="1" w:styleId="25">
    <w:name w:val="Balloon Text Char"/>
    <w:basedOn w:val="15"/>
    <w:link w:val="7"/>
    <w:semiHidden/>
    <w:qFormat/>
    <w:uiPriority w:val="99"/>
    <w:rPr>
      <w:rFonts w:ascii="Tahoma" w:hAnsi="Tahoma" w:cs="Tahoma"/>
      <w:sz w:val="16"/>
      <w:szCs w:val="16"/>
    </w:rPr>
  </w:style>
  <w:style w:type="paragraph" w:styleId="2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B58AEB-3DCD-4ABB-905A-B9DD61C65494}">
  <ds:schemaRefs/>
</ds:datastoreItem>
</file>

<file path=docProps/app.xml><?xml version="1.0" encoding="utf-8"?>
<Properties xmlns="http://schemas.openxmlformats.org/officeDocument/2006/extended-properties" xmlns:vt="http://schemas.openxmlformats.org/officeDocument/2006/docPropsVTypes">
  <Template>Normal</Template>
  <Pages>12</Pages>
  <Words>3232</Words>
  <Characters>18423</Characters>
  <Lines>153</Lines>
  <Paragraphs>43</Paragraphs>
  <TotalTime>4</TotalTime>
  <ScaleCrop>false</ScaleCrop>
  <LinksUpToDate>false</LinksUpToDate>
  <CharactersWithSpaces>21612</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2020-03-01T19:35:00Z</dcterms:created>
  <dc:creator>DELL</dc:creator>
  <cp:lastModifiedBy>Administrator</cp:lastModifiedBy>
  <dcterms:modified xsi:type="dcterms:W3CDTF">2020-03-02T18:09:33Z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