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ACC659" w14:textId="77777777" w:rsidR="00B0043E" w:rsidRPr="00583CB1" w:rsidRDefault="00B0043E" w:rsidP="00B0043E">
      <w:pPr>
        <w:pStyle w:val="Normal1"/>
        <w:spacing w:line="240" w:lineRule="auto"/>
        <w:jc w:val="center"/>
        <w:rPr>
          <w:rFonts w:eastAsia="Times New Roman" w:cs="Times New Roman"/>
          <w:b/>
          <w:color w:val="244061" w:themeColor="accent1" w:themeShade="80"/>
          <w:sz w:val="32"/>
          <w:szCs w:val="32"/>
        </w:rPr>
      </w:pPr>
      <w:r w:rsidRPr="00583CB1">
        <w:rPr>
          <w:rFonts w:eastAsia="Times New Roman" w:cs="Times New Roman"/>
          <w:b/>
          <w:color w:val="244061" w:themeColor="accent1" w:themeShade="80"/>
          <w:sz w:val="32"/>
          <w:szCs w:val="32"/>
        </w:rPr>
        <w:t>UNIVERSITY OF WALES</w:t>
      </w:r>
    </w:p>
    <w:p w14:paraId="689412A2" w14:textId="139BBEC6" w:rsidR="0093680A" w:rsidRDefault="00B0043E" w:rsidP="0093680A">
      <w:pPr>
        <w:pStyle w:val="Normal1"/>
        <w:spacing w:line="240" w:lineRule="auto"/>
        <w:jc w:val="center"/>
        <w:rPr>
          <w:rFonts w:eastAsia="Times New Roman" w:cs="Times New Roman"/>
          <w:b/>
          <w:color w:val="244061" w:themeColor="accent1" w:themeShade="80"/>
          <w:sz w:val="32"/>
          <w:szCs w:val="32"/>
        </w:rPr>
      </w:pPr>
      <w:r w:rsidRPr="00583CB1">
        <w:rPr>
          <w:rFonts w:eastAsia="Times New Roman" w:cs="Times New Roman"/>
          <w:b/>
          <w:color w:val="244061" w:themeColor="accent1" w:themeShade="80"/>
          <w:sz w:val="32"/>
          <w:szCs w:val="32"/>
        </w:rPr>
        <w:t>TRINITY SAINT DAVID</w:t>
      </w:r>
    </w:p>
    <w:p w14:paraId="64E3042C" w14:textId="10F081A5" w:rsidR="0093680A" w:rsidRDefault="0093680A" w:rsidP="0093680A">
      <w:pPr>
        <w:tabs>
          <w:tab w:val="left" w:pos="8074"/>
        </w:tabs>
        <w:rPr>
          <w:b/>
          <w:color w:val="244061" w:themeColor="accent1" w:themeShade="80"/>
          <w:sz w:val="32"/>
          <w:szCs w:val="32"/>
          <w:lang w:val="en-US"/>
        </w:rPr>
      </w:pPr>
    </w:p>
    <w:p w14:paraId="22092C3F" w14:textId="77777777" w:rsidR="0093680A" w:rsidRPr="0093680A" w:rsidRDefault="0093680A" w:rsidP="0093680A">
      <w:pPr>
        <w:rPr>
          <w:lang w:val="en-US"/>
        </w:rPr>
      </w:pPr>
    </w:p>
    <w:p w14:paraId="01BF6AA6" w14:textId="028774EC" w:rsidR="00B0043E" w:rsidRDefault="00B0043E" w:rsidP="00B0043E">
      <w:pPr>
        <w:pStyle w:val="Title"/>
        <w:rPr>
          <w:b/>
          <w:bCs/>
          <w:color w:val="244061" w:themeColor="accent1" w:themeShade="80"/>
          <w:sz w:val="40"/>
          <w:szCs w:val="40"/>
        </w:rPr>
      </w:pPr>
    </w:p>
    <w:p w14:paraId="219D2CD2" w14:textId="25CD38C7" w:rsidR="0093680A" w:rsidRDefault="0093680A" w:rsidP="0093680A"/>
    <w:p w14:paraId="7BE83CE3" w14:textId="77777777" w:rsidR="0093680A" w:rsidRPr="0093680A" w:rsidRDefault="0093680A" w:rsidP="0093680A"/>
    <w:p w14:paraId="173453AF" w14:textId="3B658F15" w:rsidR="00B0043E" w:rsidRPr="0093680A" w:rsidRDefault="0093680A" w:rsidP="00B0043E">
      <w:pPr>
        <w:pStyle w:val="Title"/>
        <w:rPr>
          <w:b/>
          <w:bCs/>
          <w:color w:val="244061" w:themeColor="accent1" w:themeShade="80"/>
          <w:sz w:val="40"/>
          <w:szCs w:val="40"/>
        </w:rPr>
      </w:pPr>
      <w:r>
        <w:rPr>
          <w:b/>
          <w:bCs/>
          <w:color w:val="244061" w:themeColor="accent1" w:themeShade="80"/>
          <w:sz w:val="40"/>
          <w:szCs w:val="40"/>
        </w:rPr>
        <w:t xml:space="preserve">             </w:t>
      </w:r>
      <w:r w:rsidR="00B0043E" w:rsidRPr="0093680A">
        <w:rPr>
          <w:b/>
          <w:bCs/>
          <w:color w:val="244061" w:themeColor="accent1" w:themeShade="80"/>
          <w:sz w:val="40"/>
          <w:szCs w:val="40"/>
        </w:rPr>
        <w:t>International Financial Management</w:t>
      </w:r>
    </w:p>
    <w:p w14:paraId="4D7B2356" w14:textId="7E3A9A64" w:rsidR="00B0043E" w:rsidRPr="0093680A" w:rsidRDefault="00B0043E" w:rsidP="00B0043E">
      <w:pPr>
        <w:pStyle w:val="Title"/>
        <w:jc w:val="center"/>
        <w:rPr>
          <w:b/>
          <w:bCs/>
          <w:color w:val="244061" w:themeColor="accent1" w:themeShade="80"/>
          <w:sz w:val="40"/>
          <w:szCs w:val="40"/>
        </w:rPr>
      </w:pPr>
      <w:r w:rsidRPr="0093680A">
        <w:rPr>
          <w:b/>
          <w:bCs/>
          <w:color w:val="244061" w:themeColor="accent1" w:themeShade="80"/>
          <w:sz w:val="40"/>
          <w:szCs w:val="40"/>
        </w:rPr>
        <w:t>LCBB6002</w:t>
      </w:r>
    </w:p>
    <w:p w14:paraId="76454F93" w14:textId="77777777" w:rsidR="0093680A" w:rsidRPr="0093680A" w:rsidRDefault="0093680A" w:rsidP="0093680A"/>
    <w:p w14:paraId="20191B57" w14:textId="77777777" w:rsidR="0093680A" w:rsidRDefault="0093680A" w:rsidP="0093680A">
      <w:pPr>
        <w:pStyle w:val="Title"/>
        <w:jc w:val="center"/>
        <w:rPr>
          <w:b/>
          <w:bCs/>
          <w:color w:val="244061" w:themeColor="accent1" w:themeShade="80"/>
          <w:sz w:val="36"/>
          <w:szCs w:val="36"/>
          <w:u w:val="single"/>
        </w:rPr>
      </w:pPr>
    </w:p>
    <w:p w14:paraId="201445C7" w14:textId="7204169B" w:rsidR="00B0043E" w:rsidRPr="0093680A" w:rsidRDefault="00B0043E" w:rsidP="0093680A">
      <w:pPr>
        <w:pStyle w:val="Title"/>
        <w:jc w:val="center"/>
        <w:rPr>
          <w:b/>
          <w:bCs/>
          <w:color w:val="244061" w:themeColor="accent1" w:themeShade="80"/>
          <w:sz w:val="36"/>
          <w:szCs w:val="36"/>
          <w:u w:val="single"/>
        </w:rPr>
      </w:pPr>
      <w:r w:rsidRPr="0093680A">
        <w:rPr>
          <w:b/>
          <w:bCs/>
          <w:color w:val="244061" w:themeColor="accent1" w:themeShade="80"/>
          <w:sz w:val="36"/>
          <w:szCs w:val="36"/>
          <w:u w:val="single"/>
        </w:rPr>
        <w:t xml:space="preserve">-ASSESSMENT </w:t>
      </w:r>
      <w:r w:rsidR="0093680A">
        <w:rPr>
          <w:b/>
          <w:bCs/>
          <w:color w:val="244061" w:themeColor="accent1" w:themeShade="80"/>
          <w:sz w:val="36"/>
          <w:szCs w:val="36"/>
          <w:u w:val="single"/>
        </w:rPr>
        <w:t>1</w:t>
      </w:r>
      <w:r w:rsidRPr="0093680A">
        <w:rPr>
          <w:b/>
          <w:bCs/>
          <w:color w:val="244061" w:themeColor="accent1" w:themeShade="80"/>
          <w:sz w:val="36"/>
          <w:szCs w:val="36"/>
          <w:u w:val="single"/>
        </w:rPr>
        <w:t>-</w:t>
      </w:r>
    </w:p>
    <w:p w14:paraId="44C5B138" w14:textId="77777777" w:rsidR="00B0043E" w:rsidRPr="0093680A" w:rsidRDefault="00B0043E" w:rsidP="00B0043E">
      <w:pPr>
        <w:pStyle w:val="Title"/>
        <w:rPr>
          <w:color w:val="244061" w:themeColor="accent1" w:themeShade="80"/>
          <w:sz w:val="48"/>
          <w:szCs w:val="48"/>
          <w:u w:val="single"/>
        </w:rPr>
      </w:pPr>
    </w:p>
    <w:p w14:paraId="6F2C8795" w14:textId="77777777" w:rsidR="00B0043E" w:rsidRPr="0093680A" w:rsidRDefault="00B0043E" w:rsidP="00B0043E">
      <w:pPr>
        <w:pStyle w:val="Title"/>
        <w:rPr>
          <w:color w:val="244061" w:themeColor="accent1" w:themeShade="80"/>
          <w:sz w:val="32"/>
          <w:szCs w:val="32"/>
          <w:u w:val="single"/>
        </w:rPr>
      </w:pPr>
    </w:p>
    <w:p w14:paraId="1A5A61F5" w14:textId="77777777" w:rsidR="00B0043E" w:rsidRPr="0093680A" w:rsidRDefault="00B0043E" w:rsidP="00B0043E">
      <w:pPr>
        <w:pStyle w:val="Title"/>
        <w:rPr>
          <w:color w:val="244061" w:themeColor="accent1" w:themeShade="80"/>
          <w:sz w:val="48"/>
          <w:szCs w:val="48"/>
          <w:u w:val="single"/>
        </w:rPr>
      </w:pPr>
    </w:p>
    <w:p w14:paraId="186CAD2D" w14:textId="77777777" w:rsidR="00B0043E" w:rsidRPr="0093680A" w:rsidRDefault="00B0043E" w:rsidP="00B0043E">
      <w:pPr>
        <w:pStyle w:val="Title"/>
        <w:rPr>
          <w:color w:val="244061" w:themeColor="accent1" w:themeShade="80"/>
          <w:sz w:val="48"/>
          <w:szCs w:val="48"/>
          <w:u w:val="single"/>
        </w:rPr>
      </w:pPr>
    </w:p>
    <w:p w14:paraId="1C3C6187" w14:textId="77777777" w:rsidR="00B0043E" w:rsidRPr="0093680A" w:rsidRDefault="00B0043E" w:rsidP="00B0043E">
      <w:pPr>
        <w:pStyle w:val="Title"/>
        <w:rPr>
          <w:color w:val="244061" w:themeColor="accent1" w:themeShade="80"/>
          <w:sz w:val="48"/>
          <w:szCs w:val="48"/>
          <w:u w:val="single"/>
        </w:rPr>
      </w:pPr>
    </w:p>
    <w:p w14:paraId="53764B23" w14:textId="77777777" w:rsidR="00B0043E" w:rsidRDefault="00B0043E" w:rsidP="00B0043E">
      <w:pPr>
        <w:pStyle w:val="Title"/>
        <w:rPr>
          <w:color w:val="244061" w:themeColor="accent1" w:themeShade="80"/>
          <w:u w:val="single"/>
        </w:rPr>
      </w:pPr>
    </w:p>
    <w:p w14:paraId="7C2D6869" w14:textId="77777777" w:rsidR="00B0043E" w:rsidRPr="0093680A" w:rsidRDefault="00B0043E" w:rsidP="0093680A">
      <w:pPr>
        <w:pStyle w:val="Title"/>
        <w:jc w:val="left"/>
        <w:rPr>
          <w:b/>
          <w:bCs/>
          <w:color w:val="244061" w:themeColor="accent1" w:themeShade="80"/>
          <w:sz w:val="36"/>
        </w:rPr>
      </w:pPr>
      <w:r w:rsidRPr="0093680A">
        <w:rPr>
          <w:b/>
          <w:bCs/>
          <w:color w:val="244061" w:themeColor="accent1" w:themeShade="80"/>
          <w:sz w:val="36"/>
        </w:rPr>
        <w:t>Student: CRISTIAN GABRIEL GHIBURCEA (1916923)</w:t>
      </w:r>
    </w:p>
    <w:p w14:paraId="09F97F6B" w14:textId="5B8C11A0" w:rsidR="00B0043E" w:rsidRPr="0093680A" w:rsidRDefault="00B0043E" w:rsidP="0093680A">
      <w:pPr>
        <w:pStyle w:val="TOCHeading"/>
        <w:rPr>
          <w:rFonts w:ascii="Times New Roman" w:eastAsia="Times New Roman" w:hAnsi="Times New Roman" w:cs="Times New Roman"/>
          <w:b/>
          <w:bCs/>
          <w:color w:val="auto"/>
          <w:sz w:val="24"/>
          <w:szCs w:val="24"/>
          <w:lang w:val="en-GB"/>
        </w:rPr>
      </w:pPr>
      <w:r w:rsidRPr="0093680A">
        <w:rPr>
          <w:rFonts w:ascii="Times New Roman" w:hAnsi="Times New Roman" w:cs="Times New Roman"/>
          <w:b/>
          <w:bCs/>
          <w:color w:val="244061" w:themeColor="accent1" w:themeShade="80"/>
          <w:sz w:val="36"/>
          <w:szCs w:val="52"/>
        </w:rPr>
        <w:t xml:space="preserve">Lecturer: </w:t>
      </w:r>
      <w:r w:rsidR="005E449E">
        <w:rPr>
          <w:rFonts w:ascii="Times New Roman" w:hAnsi="Times New Roman" w:cs="Times New Roman"/>
          <w:b/>
          <w:bCs/>
          <w:color w:val="244061" w:themeColor="accent1" w:themeShade="80"/>
          <w:sz w:val="36"/>
          <w:szCs w:val="52"/>
        </w:rPr>
        <w:t>TAYE OSADIYA</w:t>
      </w:r>
      <w:r w:rsidRPr="0093680A">
        <w:rPr>
          <w:rFonts w:ascii="Times New Roman" w:eastAsia="Times New Roman" w:hAnsi="Times New Roman" w:cs="Times New Roman"/>
          <w:b/>
          <w:bCs/>
          <w:color w:val="auto"/>
          <w:sz w:val="24"/>
          <w:szCs w:val="24"/>
          <w:lang w:val="en-GB"/>
        </w:rPr>
        <w:t xml:space="preserve"> </w:t>
      </w:r>
    </w:p>
    <w:p w14:paraId="7B195717" w14:textId="162F01CC" w:rsidR="0093680A" w:rsidRDefault="0093680A" w:rsidP="0093680A"/>
    <w:p w14:paraId="2464AD14" w14:textId="77777777" w:rsidR="0093680A" w:rsidRPr="0093680A" w:rsidRDefault="0093680A" w:rsidP="0093680A"/>
    <w:sdt>
      <w:sdtPr>
        <w:rPr>
          <w:rFonts w:ascii="Times New Roman" w:eastAsia="Times New Roman" w:hAnsi="Times New Roman" w:cs="Times New Roman"/>
          <w:color w:val="auto"/>
          <w:sz w:val="24"/>
          <w:szCs w:val="24"/>
          <w:lang w:val="en-GB"/>
        </w:rPr>
        <w:id w:val="-1868667483"/>
        <w:docPartObj>
          <w:docPartGallery w:val="Table of Contents"/>
          <w:docPartUnique/>
        </w:docPartObj>
      </w:sdtPr>
      <w:sdtEndPr>
        <w:rPr>
          <w:b/>
          <w:bCs/>
          <w:noProof/>
        </w:rPr>
      </w:sdtEndPr>
      <w:sdtContent>
        <w:p w14:paraId="6AE02341" w14:textId="5639BC11" w:rsidR="006F1CC3" w:rsidRDefault="006F1CC3" w:rsidP="005E449E">
          <w:pPr>
            <w:pStyle w:val="TOCHeading"/>
            <w:spacing w:line="720" w:lineRule="auto"/>
            <w:jc w:val="center"/>
            <w:rPr>
              <w:rFonts w:ascii="Times New Roman" w:hAnsi="Times New Roman" w:cs="Times New Roman"/>
              <w:b/>
              <w:color w:val="000000" w:themeColor="text1"/>
            </w:rPr>
          </w:pPr>
          <w:r w:rsidRPr="005E449E">
            <w:rPr>
              <w:rFonts w:ascii="Times New Roman" w:hAnsi="Times New Roman" w:cs="Times New Roman"/>
              <w:b/>
              <w:color w:val="000000" w:themeColor="text1"/>
            </w:rPr>
            <w:t>Table of Contents</w:t>
          </w:r>
        </w:p>
        <w:p w14:paraId="7FF0CABD" w14:textId="539EAA72" w:rsidR="005E449E" w:rsidRDefault="005E449E" w:rsidP="005E449E">
          <w:pPr>
            <w:rPr>
              <w:lang w:val="en-US"/>
            </w:rPr>
          </w:pPr>
        </w:p>
        <w:p w14:paraId="08FDC5F0" w14:textId="77777777" w:rsidR="005E449E" w:rsidRPr="005E449E" w:rsidRDefault="005E449E" w:rsidP="005E449E">
          <w:pPr>
            <w:rPr>
              <w:lang w:val="en-US"/>
            </w:rPr>
          </w:pPr>
        </w:p>
        <w:p w14:paraId="251B64ED" w14:textId="4B252531" w:rsidR="006F1CC3" w:rsidRPr="005E449E" w:rsidRDefault="006F1CC3" w:rsidP="005E449E">
          <w:pPr>
            <w:pStyle w:val="TOC1"/>
            <w:tabs>
              <w:tab w:val="right" w:leader="dot" w:pos="9016"/>
            </w:tabs>
            <w:spacing w:line="720" w:lineRule="auto"/>
            <w:rPr>
              <w:noProof/>
              <w:sz w:val="28"/>
              <w:szCs w:val="28"/>
            </w:rPr>
          </w:pPr>
          <w:r w:rsidRPr="005E449E">
            <w:rPr>
              <w:sz w:val="28"/>
              <w:szCs w:val="28"/>
            </w:rPr>
            <w:fldChar w:fldCharType="begin"/>
          </w:r>
          <w:r w:rsidRPr="005E449E">
            <w:rPr>
              <w:sz w:val="28"/>
              <w:szCs w:val="28"/>
            </w:rPr>
            <w:instrText xml:space="preserve"> TOC \o "1-3" \h \z \u </w:instrText>
          </w:r>
          <w:r w:rsidRPr="005E449E">
            <w:rPr>
              <w:sz w:val="28"/>
              <w:szCs w:val="28"/>
            </w:rPr>
            <w:fldChar w:fldCharType="separate"/>
          </w:r>
          <w:hyperlink w:anchor="_Toc101437381" w:history="1">
            <w:r w:rsidRPr="005E449E">
              <w:rPr>
                <w:rStyle w:val="Hyperlink"/>
                <w:noProof/>
                <w:sz w:val="28"/>
                <w:szCs w:val="28"/>
              </w:rPr>
              <w:t>Introduction</w:t>
            </w:r>
            <w:r w:rsidRPr="005E449E">
              <w:rPr>
                <w:noProof/>
                <w:webHidden/>
                <w:sz w:val="28"/>
                <w:szCs w:val="28"/>
              </w:rPr>
              <w:tab/>
            </w:r>
            <w:r w:rsidRPr="005E449E">
              <w:rPr>
                <w:noProof/>
                <w:webHidden/>
                <w:sz w:val="28"/>
                <w:szCs w:val="28"/>
              </w:rPr>
              <w:fldChar w:fldCharType="begin"/>
            </w:r>
            <w:r w:rsidRPr="005E449E">
              <w:rPr>
                <w:noProof/>
                <w:webHidden/>
                <w:sz w:val="28"/>
                <w:szCs w:val="28"/>
              </w:rPr>
              <w:instrText xml:space="preserve"> PAGEREF _Toc101437381 \h </w:instrText>
            </w:r>
            <w:r w:rsidRPr="005E449E">
              <w:rPr>
                <w:noProof/>
                <w:webHidden/>
                <w:sz w:val="28"/>
                <w:szCs w:val="28"/>
              </w:rPr>
            </w:r>
            <w:r w:rsidRPr="005E449E">
              <w:rPr>
                <w:noProof/>
                <w:webHidden/>
                <w:sz w:val="28"/>
                <w:szCs w:val="28"/>
              </w:rPr>
              <w:fldChar w:fldCharType="separate"/>
            </w:r>
            <w:r w:rsidR="00791FA8">
              <w:rPr>
                <w:noProof/>
                <w:webHidden/>
                <w:sz w:val="28"/>
                <w:szCs w:val="28"/>
              </w:rPr>
              <w:t>3</w:t>
            </w:r>
            <w:r w:rsidRPr="005E449E">
              <w:rPr>
                <w:noProof/>
                <w:webHidden/>
                <w:sz w:val="28"/>
                <w:szCs w:val="28"/>
              </w:rPr>
              <w:fldChar w:fldCharType="end"/>
            </w:r>
          </w:hyperlink>
        </w:p>
        <w:p w14:paraId="26FB9DDC" w14:textId="1A50984E" w:rsidR="006F1CC3" w:rsidRPr="005E449E" w:rsidRDefault="006C3FD7" w:rsidP="005E449E">
          <w:pPr>
            <w:pStyle w:val="TOC1"/>
            <w:tabs>
              <w:tab w:val="right" w:leader="dot" w:pos="9016"/>
            </w:tabs>
            <w:spacing w:line="720" w:lineRule="auto"/>
            <w:rPr>
              <w:noProof/>
              <w:sz w:val="28"/>
              <w:szCs w:val="28"/>
            </w:rPr>
          </w:pPr>
          <w:hyperlink w:anchor="_Toc101437382" w:history="1">
            <w:r w:rsidR="006F1CC3" w:rsidRPr="005E449E">
              <w:rPr>
                <w:rStyle w:val="Hyperlink"/>
                <w:noProof/>
                <w:sz w:val="28"/>
                <w:szCs w:val="28"/>
              </w:rPr>
              <w:t>Discussions</w:t>
            </w:r>
            <w:r w:rsidR="006F1CC3" w:rsidRPr="005E449E">
              <w:rPr>
                <w:noProof/>
                <w:webHidden/>
                <w:sz w:val="28"/>
                <w:szCs w:val="28"/>
              </w:rPr>
              <w:tab/>
            </w:r>
            <w:r w:rsidR="006F1CC3" w:rsidRPr="005E449E">
              <w:rPr>
                <w:noProof/>
                <w:webHidden/>
                <w:sz w:val="28"/>
                <w:szCs w:val="28"/>
              </w:rPr>
              <w:fldChar w:fldCharType="begin"/>
            </w:r>
            <w:r w:rsidR="006F1CC3" w:rsidRPr="005E449E">
              <w:rPr>
                <w:noProof/>
                <w:webHidden/>
                <w:sz w:val="28"/>
                <w:szCs w:val="28"/>
              </w:rPr>
              <w:instrText xml:space="preserve"> PAGEREF _Toc101437382 \h </w:instrText>
            </w:r>
            <w:r w:rsidR="006F1CC3" w:rsidRPr="005E449E">
              <w:rPr>
                <w:noProof/>
                <w:webHidden/>
                <w:sz w:val="28"/>
                <w:szCs w:val="28"/>
              </w:rPr>
            </w:r>
            <w:r w:rsidR="006F1CC3" w:rsidRPr="005E449E">
              <w:rPr>
                <w:noProof/>
                <w:webHidden/>
                <w:sz w:val="28"/>
                <w:szCs w:val="28"/>
              </w:rPr>
              <w:fldChar w:fldCharType="separate"/>
            </w:r>
            <w:r w:rsidR="00791FA8">
              <w:rPr>
                <w:noProof/>
                <w:webHidden/>
                <w:sz w:val="28"/>
                <w:szCs w:val="28"/>
              </w:rPr>
              <w:t>4</w:t>
            </w:r>
            <w:r w:rsidR="006F1CC3" w:rsidRPr="005E449E">
              <w:rPr>
                <w:noProof/>
                <w:webHidden/>
                <w:sz w:val="28"/>
                <w:szCs w:val="28"/>
              </w:rPr>
              <w:fldChar w:fldCharType="end"/>
            </w:r>
          </w:hyperlink>
        </w:p>
        <w:p w14:paraId="1DE3B885" w14:textId="67B1FEC2" w:rsidR="006F1CC3" w:rsidRPr="005E449E" w:rsidRDefault="006C3FD7" w:rsidP="005E449E">
          <w:pPr>
            <w:pStyle w:val="TOC1"/>
            <w:tabs>
              <w:tab w:val="right" w:leader="dot" w:pos="9016"/>
            </w:tabs>
            <w:spacing w:line="720" w:lineRule="auto"/>
            <w:rPr>
              <w:noProof/>
              <w:sz w:val="28"/>
              <w:szCs w:val="28"/>
            </w:rPr>
          </w:pPr>
          <w:hyperlink w:anchor="_Toc101437383" w:history="1">
            <w:r w:rsidR="006F1CC3" w:rsidRPr="005E449E">
              <w:rPr>
                <w:rStyle w:val="Hyperlink"/>
                <w:noProof/>
                <w:sz w:val="28"/>
                <w:szCs w:val="28"/>
              </w:rPr>
              <w:t>Conclusions</w:t>
            </w:r>
            <w:r w:rsidR="006F1CC3" w:rsidRPr="005E449E">
              <w:rPr>
                <w:noProof/>
                <w:webHidden/>
                <w:sz w:val="28"/>
                <w:szCs w:val="28"/>
              </w:rPr>
              <w:tab/>
            </w:r>
            <w:r w:rsidR="006F1CC3" w:rsidRPr="005E449E">
              <w:rPr>
                <w:noProof/>
                <w:webHidden/>
                <w:sz w:val="28"/>
                <w:szCs w:val="28"/>
              </w:rPr>
              <w:fldChar w:fldCharType="begin"/>
            </w:r>
            <w:r w:rsidR="006F1CC3" w:rsidRPr="005E449E">
              <w:rPr>
                <w:noProof/>
                <w:webHidden/>
                <w:sz w:val="28"/>
                <w:szCs w:val="28"/>
              </w:rPr>
              <w:instrText xml:space="preserve"> PAGEREF _Toc101437383 \h </w:instrText>
            </w:r>
            <w:r w:rsidR="006F1CC3" w:rsidRPr="005E449E">
              <w:rPr>
                <w:noProof/>
                <w:webHidden/>
                <w:sz w:val="28"/>
                <w:szCs w:val="28"/>
              </w:rPr>
            </w:r>
            <w:r w:rsidR="006F1CC3" w:rsidRPr="005E449E">
              <w:rPr>
                <w:noProof/>
                <w:webHidden/>
                <w:sz w:val="28"/>
                <w:szCs w:val="28"/>
              </w:rPr>
              <w:fldChar w:fldCharType="separate"/>
            </w:r>
            <w:r w:rsidR="00791FA8">
              <w:rPr>
                <w:noProof/>
                <w:webHidden/>
                <w:sz w:val="28"/>
                <w:szCs w:val="28"/>
              </w:rPr>
              <w:t>8</w:t>
            </w:r>
            <w:r w:rsidR="006F1CC3" w:rsidRPr="005E449E">
              <w:rPr>
                <w:noProof/>
                <w:webHidden/>
                <w:sz w:val="28"/>
                <w:szCs w:val="28"/>
              </w:rPr>
              <w:fldChar w:fldCharType="end"/>
            </w:r>
          </w:hyperlink>
        </w:p>
        <w:p w14:paraId="442A979D" w14:textId="10D7E83F" w:rsidR="006F1CC3" w:rsidRPr="005E449E" w:rsidRDefault="006C3FD7" w:rsidP="005E449E">
          <w:pPr>
            <w:pStyle w:val="TOC1"/>
            <w:tabs>
              <w:tab w:val="right" w:leader="dot" w:pos="9016"/>
            </w:tabs>
            <w:spacing w:line="720" w:lineRule="auto"/>
            <w:rPr>
              <w:noProof/>
              <w:sz w:val="28"/>
              <w:szCs w:val="28"/>
            </w:rPr>
          </w:pPr>
          <w:hyperlink w:anchor="_Toc101437384" w:history="1">
            <w:r w:rsidR="006F1CC3" w:rsidRPr="005E449E">
              <w:rPr>
                <w:rStyle w:val="Hyperlink"/>
                <w:noProof/>
                <w:sz w:val="28"/>
                <w:szCs w:val="28"/>
              </w:rPr>
              <w:t>References</w:t>
            </w:r>
            <w:r w:rsidR="006F1CC3" w:rsidRPr="005E449E">
              <w:rPr>
                <w:noProof/>
                <w:webHidden/>
                <w:sz w:val="28"/>
                <w:szCs w:val="28"/>
              </w:rPr>
              <w:tab/>
            </w:r>
            <w:r w:rsidR="006F1CC3" w:rsidRPr="005E449E">
              <w:rPr>
                <w:noProof/>
                <w:webHidden/>
                <w:sz w:val="28"/>
                <w:szCs w:val="28"/>
              </w:rPr>
              <w:fldChar w:fldCharType="begin"/>
            </w:r>
            <w:r w:rsidR="006F1CC3" w:rsidRPr="005E449E">
              <w:rPr>
                <w:noProof/>
                <w:webHidden/>
                <w:sz w:val="28"/>
                <w:szCs w:val="28"/>
              </w:rPr>
              <w:instrText xml:space="preserve"> PAGEREF _Toc101437384 \h </w:instrText>
            </w:r>
            <w:r w:rsidR="006F1CC3" w:rsidRPr="005E449E">
              <w:rPr>
                <w:noProof/>
                <w:webHidden/>
                <w:sz w:val="28"/>
                <w:szCs w:val="28"/>
              </w:rPr>
            </w:r>
            <w:r w:rsidR="006F1CC3" w:rsidRPr="005E449E">
              <w:rPr>
                <w:noProof/>
                <w:webHidden/>
                <w:sz w:val="28"/>
                <w:szCs w:val="28"/>
              </w:rPr>
              <w:fldChar w:fldCharType="separate"/>
            </w:r>
            <w:r w:rsidR="00791FA8">
              <w:rPr>
                <w:noProof/>
                <w:webHidden/>
                <w:sz w:val="28"/>
                <w:szCs w:val="28"/>
              </w:rPr>
              <w:t>9</w:t>
            </w:r>
            <w:r w:rsidR="006F1CC3" w:rsidRPr="005E449E">
              <w:rPr>
                <w:noProof/>
                <w:webHidden/>
                <w:sz w:val="28"/>
                <w:szCs w:val="28"/>
              </w:rPr>
              <w:fldChar w:fldCharType="end"/>
            </w:r>
          </w:hyperlink>
        </w:p>
        <w:p w14:paraId="33B561EF" w14:textId="31073EF3" w:rsidR="006F1CC3" w:rsidRDefault="006F1CC3" w:rsidP="005E449E">
          <w:pPr>
            <w:spacing w:line="720" w:lineRule="auto"/>
          </w:pPr>
          <w:r w:rsidRPr="005E449E">
            <w:rPr>
              <w:b/>
              <w:bCs/>
              <w:noProof/>
              <w:sz w:val="28"/>
              <w:szCs w:val="28"/>
            </w:rPr>
            <w:fldChar w:fldCharType="end"/>
          </w:r>
        </w:p>
      </w:sdtContent>
    </w:sdt>
    <w:p w14:paraId="7A6D913F" w14:textId="77777777" w:rsidR="006F1CC3" w:rsidRDefault="006F1CC3">
      <w:pPr>
        <w:rPr>
          <w:b/>
        </w:rPr>
      </w:pPr>
      <w:r>
        <w:rPr>
          <w:b/>
        </w:rPr>
        <w:br w:type="page"/>
      </w:r>
    </w:p>
    <w:p w14:paraId="00000001" w14:textId="21E43837" w:rsidR="005A4FE7" w:rsidRDefault="00487882" w:rsidP="00791FA8">
      <w:pPr>
        <w:pStyle w:val="Heading1"/>
        <w:jc w:val="left"/>
        <w:rPr>
          <w:sz w:val="26"/>
          <w:szCs w:val="26"/>
        </w:rPr>
      </w:pPr>
      <w:bookmarkStart w:id="0" w:name="_Toc101437381"/>
      <w:r w:rsidRPr="0093680A">
        <w:rPr>
          <w:sz w:val="26"/>
          <w:szCs w:val="26"/>
        </w:rPr>
        <w:lastRenderedPageBreak/>
        <w:t>Introduction</w:t>
      </w:r>
      <w:bookmarkEnd w:id="0"/>
      <w:r w:rsidRPr="0093680A">
        <w:rPr>
          <w:sz w:val="26"/>
          <w:szCs w:val="26"/>
        </w:rPr>
        <w:t xml:space="preserve"> </w:t>
      </w:r>
    </w:p>
    <w:p w14:paraId="4B4D4BDB" w14:textId="77777777" w:rsidR="0093680A" w:rsidRPr="0093680A" w:rsidRDefault="0093680A" w:rsidP="00791FA8">
      <w:pPr>
        <w:jc w:val="left"/>
      </w:pPr>
    </w:p>
    <w:p w14:paraId="00000002" w14:textId="241FE411" w:rsidR="005A4FE7" w:rsidRDefault="00487882" w:rsidP="00791FA8">
      <w:pPr>
        <w:jc w:val="left"/>
      </w:pPr>
      <w:r>
        <w:t xml:space="preserve">Systematic accounting engagement including maintenance of financial principles brings a level of development including operating optimised growth in an effective basis. Provide important to different accounting principles and </w:t>
      </w:r>
      <w:r w:rsidR="0093680A">
        <w:t>s</w:t>
      </w:r>
      <w:r>
        <w:t xml:space="preserve">tandards a necessary in order to bring a systematic and optimised formulation related to understanding the business performances in a proper basis. </w:t>
      </w:r>
      <w:r w:rsidR="00BB4B76" w:rsidRPr="00BB4B76">
        <w:t>The basic approach to the Financial Management concept was a suitable accounting evaluation formulation, which included some managerial decision-making approaches as well as the systematic adjustment of business stability.</w:t>
      </w:r>
      <w:r w:rsidR="00BB4B76" w:rsidRPr="00BB4B76">
        <w:t xml:space="preserve"> </w:t>
      </w:r>
      <w:r>
        <w:t xml:space="preserve">(Goyal </w:t>
      </w:r>
      <w:r>
        <w:rPr>
          <w:i/>
        </w:rPr>
        <w:t>et al.,</w:t>
      </w:r>
      <w:r>
        <w:t xml:space="preserve"> 2021). </w:t>
      </w:r>
    </w:p>
    <w:p w14:paraId="20B7B287" w14:textId="77777777" w:rsidR="0093680A" w:rsidRDefault="0093680A" w:rsidP="00791FA8">
      <w:pPr>
        <w:jc w:val="left"/>
      </w:pPr>
    </w:p>
    <w:p w14:paraId="00000003" w14:textId="7140C83A" w:rsidR="005A4FE7" w:rsidRDefault="00BC62D1" w:rsidP="00791FA8">
      <w:pPr>
        <w:jc w:val="left"/>
      </w:pPr>
      <w:r w:rsidRPr="00BC62D1">
        <w:t>It can, however, be used to bring the fundamental structural processing associated to individual formulation development to a point where the potential opportunities, including performance efficiency, can be properly balanced.</w:t>
      </w:r>
      <w:r>
        <w:t xml:space="preserve"> </w:t>
      </w:r>
      <w:r w:rsidR="00487882">
        <w:t xml:space="preserve">In this report the overall financial analysis related to the area of dividend policy, market hypothesis theory and the applied investment appraisal processing for the business of </w:t>
      </w:r>
      <w:r w:rsidR="00D5402C">
        <w:t>Broken Hill Proprietary Company (BHP)</w:t>
      </w:r>
      <w:r w:rsidR="00487882">
        <w:t xml:space="preserve"> in an efficient manner. </w:t>
      </w:r>
    </w:p>
    <w:p w14:paraId="64D6D73D" w14:textId="210C1973" w:rsidR="0093680A" w:rsidRDefault="0093680A" w:rsidP="00791FA8">
      <w:pPr>
        <w:jc w:val="left"/>
      </w:pPr>
    </w:p>
    <w:p w14:paraId="683925E5" w14:textId="4108C410" w:rsidR="0093680A" w:rsidRDefault="0093680A" w:rsidP="00791FA8">
      <w:pPr>
        <w:jc w:val="left"/>
      </w:pPr>
    </w:p>
    <w:p w14:paraId="08566B30" w14:textId="3C2D8EF3" w:rsidR="0093680A" w:rsidRDefault="0093680A" w:rsidP="00791FA8">
      <w:pPr>
        <w:jc w:val="left"/>
      </w:pPr>
    </w:p>
    <w:p w14:paraId="3AD1DA57" w14:textId="274CDECC" w:rsidR="0093680A" w:rsidRDefault="0093680A" w:rsidP="00791FA8">
      <w:pPr>
        <w:jc w:val="left"/>
      </w:pPr>
    </w:p>
    <w:p w14:paraId="4B0BF94C" w14:textId="2DA55AA3" w:rsidR="0093680A" w:rsidRDefault="0093680A" w:rsidP="00791FA8">
      <w:pPr>
        <w:jc w:val="left"/>
      </w:pPr>
    </w:p>
    <w:p w14:paraId="3B92F2B0" w14:textId="28D267A4" w:rsidR="0093680A" w:rsidRDefault="0093680A" w:rsidP="00791FA8">
      <w:pPr>
        <w:jc w:val="left"/>
      </w:pPr>
    </w:p>
    <w:p w14:paraId="2ADEC2C4" w14:textId="70A58316" w:rsidR="0093680A" w:rsidRDefault="0093680A" w:rsidP="00791FA8">
      <w:pPr>
        <w:jc w:val="left"/>
      </w:pPr>
    </w:p>
    <w:p w14:paraId="18A2E96B" w14:textId="1B5B9031" w:rsidR="0093680A" w:rsidRDefault="0093680A" w:rsidP="00791FA8">
      <w:pPr>
        <w:jc w:val="left"/>
      </w:pPr>
    </w:p>
    <w:p w14:paraId="22B75C8D" w14:textId="0AA7CF96" w:rsidR="0093680A" w:rsidRDefault="0093680A" w:rsidP="00791FA8">
      <w:pPr>
        <w:jc w:val="left"/>
      </w:pPr>
    </w:p>
    <w:p w14:paraId="62D371AD" w14:textId="53F1BDA9" w:rsidR="0093680A" w:rsidRDefault="0093680A" w:rsidP="00791FA8">
      <w:pPr>
        <w:jc w:val="left"/>
      </w:pPr>
    </w:p>
    <w:p w14:paraId="7C05DC73" w14:textId="46DE2B79" w:rsidR="0093680A" w:rsidRDefault="0093680A" w:rsidP="00791FA8">
      <w:pPr>
        <w:jc w:val="left"/>
      </w:pPr>
    </w:p>
    <w:p w14:paraId="54369733" w14:textId="2C0297DA" w:rsidR="0093680A" w:rsidRDefault="0093680A" w:rsidP="00791FA8">
      <w:pPr>
        <w:jc w:val="left"/>
      </w:pPr>
    </w:p>
    <w:p w14:paraId="7A886188" w14:textId="1B452793" w:rsidR="0093680A" w:rsidRDefault="0093680A" w:rsidP="00791FA8">
      <w:pPr>
        <w:jc w:val="left"/>
      </w:pPr>
    </w:p>
    <w:p w14:paraId="470BFC35" w14:textId="6048DD6B" w:rsidR="0093680A" w:rsidRDefault="0093680A" w:rsidP="00791FA8">
      <w:pPr>
        <w:jc w:val="left"/>
      </w:pPr>
    </w:p>
    <w:p w14:paraId="66633659" w14:textId="3399C2F3" w:rsidR="0093680A" w:rsidRDefault="0093680A" w:rsidP="00791FA8">
      <w:pPr>
        <w:jc w:val="left"/>
      </w:pPr>
    </w:p>
    <w:p w14:paraId="2CD8AEAF" w14:textId="7E41D86A" w:rsidR="0093680A" w:rsidRDefault="0093680A" w:rsidP="00791FA8">
      <w:pPr>
        <w:jc w:val="left"/>
      </w:pPr>
    </w:p>
    <w:p w14:paraId="3F18492D" w14:textId="4F0C4B99" w:rsidR="0093680A" w:rsidRDefault="0093680A" w:rsidP="00791FA8">
      <w:pPr>
        <w:jc w:val="left"/>
      </w:pPr>
    </w:p>
    <w:p w14:paraId="25BD0B25" w14:textId="77777777" w:rsidR="0093680A" w:rsidRDefault="0093680A" w:rsidP="00791FA8">
      <w:pPr>
        <w:jc w:val="left"/>
      </w:pPr>
    </w:p>
    <w:p w14:paraId="00000004" w14:textId="6AAE787B" w:rsidR="005A4FE7" w:rsidRDefault="00487882" w:rsidP="00791FA8">
      <w:pPr>
        <w:pStyle w:val="Heading1"/>
        <w:jc w:val="left"/>
        <w:rPr>
          <w:sz w:val="26"/>
          <w:szCs w:val="26"/>
        </w:rPr>
      </w:pPr>
      <w:bookmarkStart w:id="1" w:name="_Toc101437382"/>
      <w:r w:rsidRPr="0093680A">
        <w:rPr>
          <w:sz w:val="26"/>
          <w:szCs w:val="26"/>
        </w:rPr>
        <w:t>Discussions</w:t>
      </w:r>
      <w:bookmarkEnd w:id="1"/>
      <w:r w:rsidRPr="0093680A">
        <w:rPr>
          <w:sz w:val="26"/>
          <w:szCs w:val="26"/>
        </w:rPr>
        <w:t xml:space="preserve"> </w:t>
      </w:r>
    </w:p>
    <w:p w14:paraId="4251011E" w14:textId="77777777" w:rsidR="0093680A" w:rsidRPr="0093680A" w:rsidRDefault="0093680A" w:rsidP="00791FA8">
      <w:pPr>
        <w:jc w:val="left"/>
      </w:pPr>
    </w:p>
    <w:p w14:paraId="5940ABB7" w14:textId="3BF94425" w:rsidR="00F32F4E" w:rsidRDefault="00D5402C" w:rsidP="00791FA8">
      <w:pPr>
        <w:jc w:val="left"/>
      </w:pPr>
      <w:r w:rsidRPr="00D5402C">
        <w:t xml:space="preserve">As per Prihartono and Asandimitra (2018), primary intention of financial management is to initiate a systematic approach regarding presentation of financial performance evaluation of business with considering basic approach of investors’ wealth enhancing approach mainly. </w:t>
      </w:r>
      <w:r w:rsidR="00BC62D1" w:rsidRPr="00BC62D1">
        <w:t>It's also employed to create a systematic and accountable corporate finance strategy, essentially with the help of which the optimal processing of business performance may be balanced in a right order. It also establishes a specific path along which the overall goal, as well as the specified development connected to corporate performance, can be implemented properly. However, it enabled us to preserve schematic rules for financial planning support, as well as the maintenance of which the likely opportunity, as well as the feasible approach to business, can be balanced in a right order.</w:t>
      </w:r>
      <w:r w:rsidRPr="00D5402C">
        <w:t xml:space="preserve"> (Al </w:t>
      </w:r>
      <w:proofErr w:type="spellStart"/>
      <w:r w:rsidRPr="00D5402C">
        <w:t>Ahbabi</w:t>
      </w:r>
      <w:proofErr w:type="spellEnd"/>
      <w:r w:rsidR="00AA17AD">
        <w:t xml:space="preserve">, </w:t>
      </w:r>
      <w:proofErr w:type="spellStart"/>
      <w:r w:rsidRPr="00D5402C">
        <w:t>Nobanee</w:t>
      </w:r>
      <w:proofErr w:type="spellEnd"/>
      <w:r w:rsidRPr="00D5402C">
        <w:t>, 2019).</w:t>
      </w:r>
    </w:p>
    <w:p w14:paraId="2458BEC3" w14:textId="77777777" w:rsidR="00D5402C" w:rsidRDefault="00D5402C" w:rsidP="00791FA8">
      <w:pPr>
        <w:jc w:val="left"/>
      </w:pPr>
    </w:p>
    <w:p w14:paraId="2CB1A47E" w14:textId="2050E434" w:rsidR="007A1485" w:rsidRDefault="00487882" w:rsidP="00791FA8">
      <w:pPr>
        <w:jc w:val="left"/>
      </w:pPr>
      <w:r>
        <w:t xml:space="preserve">Under the general principles of financial </w:t>
      </w:r>
      <w:r w:rsidR="00F32F4E">
        <w:t>management,</w:t>
      </w:r>
      <w:r>
        <w:t xml:space="preserve"> the approach of </w:t>
      </w:r>
      <w:r w:rsidRPr="00F32F4E">
        <w:rPr>
          <w:bCs/>
        </w:rPr>
        <w:t>dividend policy</w:t>
      </w:r>
      <w:r>
        <w:t xml:space="preserve"> is considered as one of the most systematic and identifiable approaches with respect to which the overall market capitalisation processing of business is initiated. </w:t>
      </w:r>
      <w:r w:rsidR="00BC62D1">
        <w:t>The main role is to create</w:t>
      </w:r>
      <w:r>
        <w:t xml:space="preserve"> a compatibility development also with the formulation of which business market formulation including the capital enhancing capabilities can also be increased on a proper (Martin </w:t>
      </w:r>
      <w:r>
        <w:rPr>
          <w:i/>
        </w:rPr>
        <w:t>et al.,</w:t>
      </w:r>
      <w:r>
        <w:t xml:space="preserve"> 2020). With our approach to the basic point of view the presence of dividend policy is one of the most essential </w:t>
      </w:r>
      <w:r w:rsidR="00AA17AD">
        <w:t>approaches</w:t>
      </w:r>
      <w:r>
        <w:t xml:space="preserve"> for financial prospect of individual business as it used to communicate the financial strength of the business as well as basic value and </w:t>
      </w:r>
      <w:r w:rsidR="007A1485">
        <w:t>g</w:t>
      </w:r>
      <w:r>
        <w:t xml:space="preserve">oodwill approach to the shareholder </w:t>
      </w:r>
      <w:proofErr w:type="gramStart"/>
      <w:r>
        <w:t>in order to</w:t>
      </w:r>
      <w:proofErr w:type="gramEnd"/>
      <w:r>
        <w:t xml:space="preserve"> maintain a systematic approach of business share investment in a proper order. (Brigham and Ehrhardt, 2019). </w:t>
      </w:r>
    </w:p>
    <w:p w14:paraId="07259F63" w14:textId="77777777" w:rsidR="00F32F4E" w:rsidRDefault="00F32F4E" w:rsidP="00791FA8">
      <w:pPr>
        <w:jc w:val="left"/>
      </w:pPr>
    </w:p>
    <w:p w14:paraId="175A146F" w14:textId="26A0F0C9" w:rsidR="007A1485" w:rsidRDefault="007A1485" w:rsidP="00791FA8">
      <w:pPr>
        <w:jc w:val="left"/>
      </w:pPr>
      <w:r w:rsidRPr="007A1485">
        <w:t xml:space="preserve">Respecting the basic approach of business dividend formulation, the management of BHP in the present accounting period provides US$3.01 as dividend per share to individual shareholders for initiating the optimised formulation in an efficient basis. </w:t>
      </w:r>
      <w:r w:rsidR="008D0594">
        <w:t xml:space="preserve">However, </w:t>
      </w:r>
      <w:r w:rsidRPr="007A1485">
        <w:t xml:space="preserve">the present management of the business also used to provide a fully Franked Dividend policy </w:t>
      </w:r>
      <w:proofErr w:type="gramStart"/>
      <w:r w:rsidRPr="007A1485">
        <w:t>in order to</w:t>
      </w:r>
      <w:proofErr w:type="gramEnd"/>
      <w:r w:rsidRPr="007A1485">
        <w:t xml:space="preserve"> provide a positive amount of distribution to the different approach for individual shareholders in an effective basis. At the present situation the dividend pay-out ratio for the business is 97.19%, which is indicating a comprehensive approach related to operational compatibility of the business on an efficient basis (BHP plc, 2022). According to the present </w:t>
      </w:r>
      <w:r w:rsidRPr="007A1485">
        <w:lastRenderedPageBreak/>
        <w:t xml:space="preserve">situation the managerial department of the business has decided in response to the dividend policy that to provide for a minimum 50 percent pay-out of underlying attributable profit at every reporting period. The minimum dividend payment for the second half of FY 2021 $109 per share represents the indication of Constant dividend policy support mainly with the approach of which positive attributes including operating efficiency related to the business can be initiated. It also provides a level of development including volatility of earnings and dividends on an efficient basis mainly (Mitchell and Calabrese, 2019). The primary formulation related to this type of processing is provided </w:t>
      </w:r>
      <w:r w:rsidR="008D0594">
        <w:t>by the</w:t>
      </w:r>
      <w:r w:rsidRPr="007A1485">
        <w:t xml:space="preserve"> systematic modification </w:t>
      </w:r>
      <w:r w:rsidR="008D0594">
        <w:t>for the</w:t>
      </w:r>
      <w:r w:rsidRPr="007A1485">
        <w:t xml:space="preserve"> business financial engagement including capital formulation approach also with maintenance of which primary compatibility including a systematic development related to business performances can also be initiated. Including the present performance approach, the business also used to provide importance to the dividend reinvestment planning approach since the period of 2018 with respect of which systematic volume of contribution has been initiated by the shareholder over the business capital development processing purpose basically. It is also used to provide a systematic formulated guidelines related to shareholders presence basically with the materials of which systematic identification including stabilised formulation related to accountability approach can also be initiated in a proper order. The primary approach related to this particular planning is also used to maintain the structural modifications of business also, with respect of which the probable opportunity of business feasibility support can be balanced. Depending on the present condition on 15</w:t>
      </w:r>
      <w:r w:rsidRPr="007A1485">
        <w:rPr>
          <w:vertAlign w:val="superscript"/>
        </w:rPr>
        <w:t>th</w:t>
      </w:r>
      <w:r>
        <w:t xml:space="preserve"> </w:t>
      </w:r>
      <w:r w:rsidRPr="007A1485">
        <w:t>February 2022 the board of directors of this business has determined to pay an Interim Dividend of US$1.50 per share as a fully franked approach (BHP plc, 2022).</w:t>
      </w:r>
    </w:p>
    <w:p w14:paraId="1170BBD7" w14:textId="77777777" w:rsidR="007A1485" w:rsidRDefault="007A1485" w:rsidP="00791FA8">
      <w:pPr>
        <w:jc w:val="left"/>
      </w:pPr>
    </w:p>
    <w:p w14:paraId="4E58FA49" w14:textId="66D03854" w:rsidR="00320A46" w:rsidRDefault="00320A46" w:rsidP="00791FA8">
      <w:pPr>
        <w:jc w:val="left"/>
      </w:pPr>
      <w:r w:rsidRPr="00320A46">
        <w:t xml:space="preserve">The conceptual approach related to market hypothesis theory states that, provide importance to the basic share price of individual business reflect all the necessary information with respect of which the fair market value as well as supportive information related to their formulation can also be realised on a proper. </w:t>
      </w:r>
      <w:r w:rsidR="00791FA8" w:rsidRPr="00791FA8">
        <w:rPr>
          <w:color w:val="000000" w:themeColor="text1"/>
          <w:shd w:val="clear" w:color="auto" w:fill="FFFFFF"/>
        </w:rPr>
        <w:t xml:space="preserve">It also refers to providing </w:t>
      </w:r>
      <w:r w:rsidR="00791FA8" w:rsidRPr="00791FA8">
        <w:rPr>
          <w:color w:val="000000" w:themeColor="text1"/>
        </w:rPr>
        <w:t>an ongoing</w:t>
      </w:r>
      <w:r w:rsidR="00791FA8" w:rsidRPr="00791FA8">
        <w:rPr>
          <w:color w:val="000000" w:themeColor="text1"/>
          <w:shd w:val="clear" w:color="auto" w:fill="FFFFFF"/>
        </w:rPr>
        <w:t xml:space="preserve"> level of technical </w:t>
      </w:r>
      <w:r w:rsidR="00791FA8" w:rsidRPr="00791FA8">
        <w:rPr>
          <w:color w:val="000000" w:themeColor="text1"/>
        </w:rPr>
        <w:t>support</w:t>
      </w:r>
      <w:r w:rsidR="00791FA8" w:rsidRPr="00791FA8">
        <w:rPr>
          <w:color w:val="000000" w:themeColor="text1"/>
          <w:shd w:val="clear" w:color="auto" w:fill="FFFFFF"/>
        </w:rPr>
        <w:t xml:space="preserve"> to individual external investors to </w:t>
      </w:r>
      <w:r w:rsidR="00791FA8" w:rsidRPr="00791FA8">
        <w:rPr>
          <w:color w:val="000000" w:themeColor="text1"/>
        </w:rPr>
        <w:t>achieve</w:t>
      </w:r>
      <w:r w:rsidR="00791FA8" w:rsidRPr="00791FA8">
        <w:rPr>
          <w:color w:val="000000" w:themeColor="text1"/>
          <w:shd w:val="clear" w:color="auto" w:fill="FFFFFF"/>
        </w:rPr>
        <w:t xml:space="preserve"> the </w:t>
      </w:r>
      <w:r w:rsidR="00791FA8" w:rsidRPr="00791FA8">
        <w:rPr>
          <w:color w:val="000000" w:themeColor="text1"/>
        </w:rPr>
        <w:t>company's</w:t>
      </w:r>
      <w:r w:rsidR="00791FA8" w:rsidRPr="00791FA8">
        <w:rPr>
          <w:color w:val="000000" w:themeColor="text1"/>
          <w:shd w:val="clear" w:color="auto" w:fill="FFFFFF"/>
        </w:rPr>
        <w:t xml:space="preserve"> current </w:t>
      </w:r>
      <w:r w:rsidR="00791FA8" w:rsidRPr="00791FA8">
        <w:rPr>
          <w:color w:val="000000" w:themeColor="text1"/>
        </w:rPr>
        <w:t>compatible</w:t>
      </w:r>
      <w:r w:rsidR="00791FA8" w:rsidRPr="00791FA8">
        <w:rPr>
          <w:color w:val="000000" w:themeColor="text1"/>
          <w:shd w:val="clear" w:color="auto" w:fill="FFFFFF"/>
        </w:rPr>
        <w:t xml:space="preserve"> strategy, </w:t>
      </w:r>
      <w:r w:rsidR="00791FA8" w:rsidRPr="00791FA8">
        <w:rPr>
          <w:color w:val="000000" w:themeColor="text1"/>
        </w:rPr>
        <w:t>utilizing</w:t>
      </w:r>
      <w:r w:rsidR="00791FA8" w:rsidRPr="00791FA8">
        <w:rPr>
          <w:color w:val="000000" w:themeColor="text1"/>
          <w:shd w:val="clear" w:color="auto" w:fill="FFFFFF"/>
        </w:rPr>
        <w:t xml:space="preserve"> potential opportunities, such as </w:t>
      </w:r>
      <w:r w:rsidR="00791FA8" w:rsidRPr="00791FA8">
        <w:rPr>
          <w:color w:val="000000" w:themeColor="text1"/>
        </w:rPr>
        <w:t>investment. improved strategic investment,</w:t>
      </w:r>
      <w:r w:rsidR="00791FA8" w:rsidRPr="00791FA8">
        <w:rPr>
          <w:color w:val="000000" w:themeColor="text1"/>
          <w:shd w:val="clear" w:color="auto" w:fill="FFFFFF"/>
        </w:rPr>
        <w:t xml:space="preserve"> can be </w:t>
      </w:r>
      <w:r w:rsidR="00791FA8" w:rsidRPr="00791FA8">
        <w:rPr>
          <w:color w:val="000000" w:themeColor="text1"/>
        </w:rPr>
        <w:t>introduced</w:t>
      </w:r>
      <w:r w:rsidR="00791FA8" w:rsidRPr="00791FA8">
        <w:rPr>
          <w:color w:val="000000" w:themeColor="text1"/>
          <w:shd w:val="clear" w:color="auto" w:fill="FFFFFF"/>
        </w:rPr>
        <w:t xml:space="preserve"> in a timely manner (Shapiro and </w:t>
      </w:r>
      <w:proofErr w:type="spellStart"/>
      <w:r w:rsidR="00791FA8" w:rsidRPr="00791FA8">
        <w:rPr>
          <w:color w:val="000000" w:themeColor="text1"/>
          <w:shd w:val="clear" w:color="auto" w:fill="FFFFFF"/>
        </w:rPr>
        <w:t>Hanouna</w:t>
      </w:r>
      <w:proofErr w:type="spellEnd"/>
      <w:r w:rsidR="00791FA8" w:rsidRPr="00791FA8">
        <w:rPr>
          <w:color w:val="000000" w:themeColor="text1"/>
          <w:shd w:val="clear" w:color="auto" w:fill="FFFFFF"/>
        </w:rPr>
        <w:t xml:space="preserve">, 2019). The existence of this </w:t>
      </w:r>
      <w:r w:rsidR="00791FA8" w:rsidRPr="00791FA8">
        <w:rPr>
          <w:color w:val="000000" w:themeColor="text1"/>
        </w:rPr>
        <w:t>kind</w:t>
      </w:r>
      <w:r w:rsidR="00791FA8" w:rsidRPr="00791FA8">
        <w:rPr>
          <w:color w:val="000000" w:themeColor="text1"/>
          <w:shd w:val="clear" w:color="auto" w:fill="FFFFFF"/>
        </w:rPr>
        <w:t xml:space="preserve"> of theoretical application also </w:t>
      </w:r>
      <w:r w:rsidR="00791FA8" w:rsidRPr="00791FA8">
        <w:rPr>
          <w:color w:val="000000" w:themeColor="text1"/>
        </w:rPr>
        <w:t>begins</w:t>
      </w:r>
      <w:r w:rsidR="00791FA8" w:rsidRPr="00791FA8">
        <w:rPr>
          <w:color w:val="000000" w:themeColor="text1"/>
          <w:shd w:val="clear" w:color="auto" w:fill="FFFFFF"/>
        </w:rPr>
        <w:t xml:space="preserve"> to </w:t>
      </w:r>
      <w:r w:rsidR="00791FA8" w:rsidRPr="00791FA8">
        <w:rPr>
          <w:color w:val="000000" w:themeColor="text1"/>
        </w:rPr>
        <w:t>provide</w:t>
      </w:r>
      <w:r w:rsidR="00791FA8" w:rsidRPr="00791FA8">
        <w:rPr>
          <w:color w:val="000000" w:themeColor="text1"/>
          <w:shd w:val="clear" w:color="auto" w:fill="FFFFFF"/>
        </w:rPr>
        <w:t xml:space="preserve"> a systematic volume of market </w:t>
      </w:r>
      <w:r w:rsidR="00791FA8" w:rsidRPr="00791FA8">
        <w:rPr>
          <w:color w:val="000000" w:themeColor="text1"/>
        </w:rPr>
        <w:t>capitalization</w:t>
      </w:r>
      <w:r w:rsidR="00791FA8" w:rsidRPr="00791FA8">
        <w:rPr>
          <w:color w:val="000000" w:themeColor="text1"/>
          <w:shd w:val="clear" w:color="auto" w:fill="FFFFFF"/>
        </w:rPr>
        <w:t xml:space="preserve"> growth, including </w:t>
      </w:r>
      <w:r w:rsidR="00791FA8" w:rsidRPr="00791FA8">
        <w:rPr>
          <w:color w:val="000000" w:themeColor="text1"/>
        </w:rPr>
        <w:t>helping to shape,</w:t>
      </w:r>
      <w:r w:rsidR="00791FA8" w:rsidRPr="00791FA8">
        <w:rPr>
          <w:color w:val="000000" w:themeColor="text1"/>
          <w:shd w:val="clear" w:color="auto" w:fill="FFFFFF"/>
        </w:rPr>
        <w:t xml:space="preserve"> as well as </w:t>
      </w:r>
      <w:r w:rsidR="00791FA8" w:rsidRPr="00791FA8">
        <w:rPr>
          <w:color w:val="000000" w:themeColor="text1"/>
        </w:rPr>
        <w:t>maintain,</w:t>
      </w:r>
      <w:r w:rsidR="00791FA8" w:rsidRPr="00791FA8">
        <w:rPr>
          <w:color w:val="000000" w:themeColor="text1"/>
          <w:shd w:val="clear" w:color="auto" w:fill="FFFFFF"/>
        </w:rPr>
        <w:t xml:space="preserve"> the </w:t>
      </w:r>
      <w:r w:rsidR="00791FA8" w:rsidRPr="00791FA8">
        <w:rPr>
          <w:color w:val="000000" w:themeColor="text1"/>
        </w:rPr>
        <w:t>possible potential</w:t>
      </w:r>
      <w:r w:rsidR="00791FA8" w:rsidRPr="00791FA8">
        <w:rPr>
          <w:color w:val="000000" w:themeColor="text1"/>
          <w:shd w:val="clear" w:color="auto" w:fill="FFFFFF"/>
        </w:rPr>
        <w:t xml:space="preserve"> of the </w:t>
      </w:r>
      <w:r w:rsidR="00791FA8" w:rsidRPr="00791FA8">
        <w:rPr>
          <w:color w:val="000000" w:themeColor="text1"/>
        </w:rPr>
        <w:t>company</w:t>
      </w:r>
      <w:r w:rsidR="00791FA8" w:rsidRPr="00791FA8">
        <w:rPr>
          <w:color w:val="000000" w:themeColor="text1"/>
          <w:shd w:val="clear" w:color="auto" w:fill="FFFFFF"/>
        </w:rPr>
        <w:t xml:space="preserve"> in terms of marketing </w:t>
      </w:r>
      <w:r w:rsidR="00791FA8" w:rsidRPr="00791FA8">
        <w:rPr>
          <w:color w:val="000000" w:themeColor="text1"/>
        </w:rPr>
        <w:t>development.</w:t>
      </w:r>
    </w:p>
    <w:p w14:paraId="1F68A5C5" w14:textId="4D0E057C" w:rsidR="00320A46" w:rsidRDefault="00320A46" w:rsidP="00791FA8">
      <w:pPr>
        <w:jc w:val="left"/>
      </w:pPr>
      <w:r w:rsidRPr="00320A46">
        <w:lastRenderedPageBreak/>
        <w:t xml:space="preserve">According to the present financial performances with the initiative of market capitalisation structure the share price of BHP is indicating the level of 2889.50 (-2.91%) along with market capitalisation value as 209.457billion and Beta of 0.78 respectively (Finance. Yahoo.Com, 2022). Depending on the present beta it is recognisable that the overall outsourcing market capitalisation risk is comparatively lower which can provide systematic volume of return to the shareholder in a supportive basis. It also provides a compatible determination approach related to business performance initiatives as well with respect of which the probable opportunity including the financial formulated approach of the business can also be balanced (Madura, 2020). The present volume of business PE ratio is indicating the level of 11.30 that indicates a comprehensive returning approach related to the business performance efficiency basically. Associated with the same response the current volume of EPS is indicating the level of 255.70, which it must enable in order to maintain a comprehensive development structure related to the financial feasibility approach of the business on a proper basis.  According to the present performance initiative it is recognisable that in the present situation the marketing department of the business provides a systematic volume of importance over the financial stability processing approach basically with respect of which the formulated development is supportively initiated (Brigham and Houston, 2021). </w:t>
      </w:r>
    </w:p>
    <w:p w14:paraId="5C773153" w14:textId="77777777" w:rsidR="00320A46" w:rsidRDefault="00320A46" w:rsidP="00791FA8">
      <w:pPr>
        <w:jc w:val="left"/>
      </w:pPr>
    </w:p>
    <w:p w14:paraId="228A8200" w14:textId="6AE80079" w:rsidR="00320A46" w:rsidRDefault="00487882" w:rsidP="00791FA8">
      <w:pPr>
        <w:jc w:val="left"/>
      </w:pPr>
      <w:r>
        <w:t xml:space="preserve">General point of view regarding investment appraisal processing under the initiative of Financial Management is used to bring a proper value of project evaluation approach with respect to which the feasibility structure of business performances can be balanced. </w:t>
      </w:r>
      <w:r w:rsidR="005E449E">
        <w:t>Generally,</w:t>
      </w:r>
      <w:r>
        <w:t xml:space="preserve"> four different types of methods are used to evaluate individual projects</w:t>
      </w:r>
      <w:r w:rsidR="00320A46">
        <w:t>:</w:t>
      </w:r>
    </w:p>
    <w:p w14:paraId="46DD577A" w14:textId="0BF09EEF" w:rsidR="00320A46" w:rsidRDefault="00320A46" w:rsidP="00791FA8">
      <w:pPr>
        <w:pStyle w:val="ListParagraph"/>
        <w:numPr>
          <w:ilvl w:val="0"/>
          <w:numId w:val="1"/>
        </w:numPr>
        <w:jc w:val="left"/>
      </w:pPr>
      <w:r w:rsidRPr="00320A46">
        <w:rPr>
          <w:b/>
        </w:rPr>
        <w:t>P</w:t>
      </w:r>
      <w:r w:rsidR="00487882" w:rsidRPr="00320A46">
        <w:rPr>
          <w:b/>
        </w:rPr>
        <w:t>ayback period</w:t>
      </w:r>
      <w:r>
        <w:rPr>
          <w:b/>
        </w:rPr>
        <w:t>:</w:t>
      </w:r>
      <w:r w:rsidR="00487882">
        <w:t xml:space="preserve"> applied for recognising the </w:t>
      </w:r>
      <w:r>
        <w:t>period</w:t>
      </w:r>
      <w:r w:rsidR="00487882">
        <w:t xml:space="preserve"> within which cost reimbursement approach related to the investment project can be identified. </w:t>
      </w:r>
    </w:p>
    <w:p w14:paraId="15FF1C5B" w14:textId="77777777" w:rsidR="00320A46" w:rsidRDefault="00487882" w:rsidP="00791FA8">
      <w:pPr>
        <w:pStyle w:val="ListParagraph"/>
        <w:numPr>
          <w:ilvl w:val="0"/>
          <w:numId w:val="1"/>
        </w:numPr>
        <w:jc w:val="left"/>
      </w:pPr>
      <w:r w:rsidRPr="00320A46">
        <w:rPr>
          <w:b/>
        </w:rPr>
        <w:t>Net present value</w:t>
      </w:r>
      <w:r w:rsidR="00320A46">
        <w:rPr>
          <w:b/>
        </w:rPr>
        <w:t>:</w:t>
      </w:r>
      <w:r>
        <w:t xml:space="preserve"> for recognising the time value of money concept related to cash flow structure which is derived from individual projects on yearly basis. </w:t>
      </w:r>
    </w:p>
    <w:p w14:paraId="02D45AF4" w14:textId="77777777" w:rsidR="005E449E" w:rsidRDefault="00487882" w:rsidP="00791FA8">
      <w:pPr>
        <w:pStyle w:val="ListParagraph"/>
        <w:numPr>
          <w:ilvl w:val="0"/>
          <w:numId w:val="1"/>
        </w:numPr>
        <w:jc w:val="left"/>
      </w:pPr>
      <w:r w:rsidRPr="00320A46">
        <w:rPr>
          <w:b/>
        </w:rPr>
        <w:t>Accounting rate of retur</w:t>
      </w:r>
      <w:r w:rsidR="00320A46">
        <w:rPr>
          <w:b/>
        </w:rPr>
        <w:t>n:</w:t>
      </w:r>
      <w:r>
        <w:t xml:space="preserve"> for recognising the overall volume of returning capability of business projects associated with present performances</w:t>
      </w:r>
      <w:r w:rsidR="005E449E">
        <w:t>.</w:t>
      </w:r>
    </w:p>
    <w:p w14:paraId="0000000A" w14:textId="6167175E" w:rsidR="005A4FE7" w:rsidRDefault="005E449E" w:rsidP="00791FA8">
      <w:pPr>
        <w:pStyle w:val="ListParagraph"/>
        <w:numPr>
          <w:ilvl w:val="0"/>
          <w:numId w:val="1"/>
        </w:numPr>
        <w:jc w:val="left"/>
      </w:pPr>
      <w:r>
        <w:rPr>
          <w:b/>
        </w:rPr>
        <w:t>I</w:t>
      </w:r>
      <w:r w:rsidR="00487882" w:rsidRPr="00320A46">
        <w:rPr>
          <w:b/>
        </w:rPr>
        <w:t>nternal rate of retur</w:t>
      </w:r>
      <w:r>
        <w:rPr>
          <w:b/>
        </w:rPr>
        <w:t>n:</w:t>
      </w:r>
      <w:r w:rsidR="00487882">
        <w:t xml:space="preserve"> that mainly used to recognise the same approach </w:t>
      </w:r>
      <w:r>
        <w:t>as</w:t>
      </w:r>
      <w:r w:rsidR="00487882">
        <w:t xml:space="preserve"> ARR along with considering the time value of money concept as well as risk assessment support basically (White and Van Dyk, 2019). </w:t>
      </w:r>
    </w:p>
    <w:p w14:paraId="46B3D7AB" w14:textId="7D81354B" w:rsidR="005E449E" w:rsidRDefault="005E449E" w:rsidP="00791FA8">
      <w:pPr>
        <w:pStyle w:val="ListParagraph"/>
        <w:ind w:left="780"/>
        <w:jc w:val="left"/>
      </w:pPr>
    </w:p>
    <w:p w14:paraId="60E68BA2" w14:textId="77777777" w:rsidR="008D0594" w:rsidRDefault="008D0594" w:rsidP="00791FA8">
      <w:pPr>
        <w:pStyle w:val="ListParagraph"/>
        <w:ind w:left="780"/>
        <w:jc w:val="left"/>
      </w:pPr>
    </w:p>
    <w:p w14:paraId="0000000B" w14:textId="12B41D00" w:rsidR="005A4FE7" w:rsidRDefault="00487882" w:rsidP="00791FA8">
      <w:pPr>
        <w:jc w:val="left"/>
      </w:pPr>
      <w:r>
        <w:lastRenderedPageBreak/>
        <w:t>According to the present performance initiative management of BHP contributed around US$1.5</w:t>
      </w:r>
      <w:r w:rsidR="005E449E">
        <w:t xml:space="preserve"> </w:t>
      </w:r>
      <w:r>
        <w:t xml:space="preserve">billion in capital expenditure over Scarborough Project </w:t>
      </w:r>
      <w:r w:rsidR="005E449E">
        <w:t>to</w:t>
      </w:r>
      <w:r>
        <w:t xml:space="preserve"> initiate a systematic volume of development related to the business operational activity. For primary approach of initiating this </w:t>
      </w:r>
      <w:r w:rsidR="00AF18CC">
        <w:t>project</w:t>
      </w:r>
      <w:r>
        <w:t xml:space="preserve"> the management used to provide importance over the net present value concept as well and payback period as a proper </w:t>
      </w:r>
      <w:r w:rsidR="006F1CC3">
        <w:t>basis that</w:t>
      </w:r>
      <w:r>
        <w:t xml:space="preserve"> provides a systematic identification related to project returning capability in a proper basis. </w:t>
      </w:r>
    </w:p>
    <w:p w14:paraId="22C94252" w14:textId="1E021BE8" w:rsidR="005E449E" w:rsidRDefault="005E449E" w:rsidP="00791FA8">
      <w:pPr>
        <w:jc w:val="left"/>
      </w:pPr>
    </w:p>
    <w:p w14:paraId="51F55E22" w14:textId="4D2929CC" w:rsidR="005E449E" w:rsidRDefault="005E449E" w:rsidP="00791FA8">
      <w:pPr>
        <w:jc w:val="left"/>
      </w:pPr>
    </w:p>
    <w:p w14:paraId="3F356315" w14:textId="7E26ECA6" w:rsidR="005E449E" w:rsidRDefault="005E449E" w:rsidP="00791FA8">
      <w:pPr>
        <w:jc w:val="left"/>
      </w:pPr>
    </w:p>
    <w:p w14:paraId="36519C35" w14:textId="73E2797D" w:rsidR="005E449E" w:rsidRDefault="005E449E" w:rsidP="00791FA8">
      <w:pPr>
        <w:jc w:val="left"/>
      </w:pPr>
    </w:p>
    <w:p w14:paraId="525BA140" w14:textId="2046035F" w:rsidR="005E449E" w:rsidRDefault="005E449E" w:rsidP="00791FA8">
      <w:pPr>
        <w:jc w:val="left"/>
      </w:pPr>
    </w:p>
    <w:p w14:paraId="38FC154D" w14:textId="39C9F0E2" w:rsidR="005E449E" w:rsidRDefault="005E449E" w:rsidP="00791FA8">
      <w:pPr>
        <w:jc w:val="left"/>
      </w:pPr>
    </w:p>
    <w:p w14:paraId="132AD3A3" w14:textId="6D05DD44" w:rsidR="005E449E" w:rsidRDefault="005E449E" w:rsidP="00791FA8">
      <w:pPr>
        <w:jc w:val="left"/>
      </w:pPr>
    </w:p>
    <w:p w14:paraId="15067DBB" w14:textId="35122482" w:rsidR="005E449E" w:rsidRDefault="005E449E" w:rsidP="00791FA8">
      <w:pPr>
        <w:jc w:val="left"/>
      </w:pPr>
    </w:p>
    <w:p w14:paraId="140F6433" w14:textId="2D83AB41" w:rsidR="005E449E" w:rsidRDefault="005E449E" w:rsidP="00791FA8">
      <w:pPr>
        <w:jc w:val="left"/>
      </w:pPr>
    </w:p>
    <w:p w14:paraId="2F4DB554" w14:textId="533233C0" w:rsidR="005E449E" w:rsidRDefault="005E449E" w:rsidP="00791FA8">
      <w:pPr>
        <w:jc w:val="left"/>
      </w:pPr>
    </w:p>
    <w:p w14:paraId="47F83D98" w14:textId="0787BCC4" w:rsidR="005E449E" w:rsidRDefault="005E449E" w:rsidP="00791FA8">
      <w:pPr>
        <w:jc w:val="left"/>
      </w:pPr>
    </w:p>
    <w:p w14:paraId="7D6168CA" w14:textId="1CFE196D" w:rsidR="008D0594" w:rsidRDefault="008D0594" w:rsidP="00791FA8">
      <w:pPr>
        <w:jc w:val="left"/>
      </w:pPr>
    </w:p>
    <w:p w14:paraId="5B2230CE" w14:textId="49B7303E" w:rsidR="008D0594" w:rsidRDefault="008D0594" w:rsidP="00791FA8">
      <w:pPr>
        <w:jc w:val="left"/>
      </w:pPr>
    </w:p>
    <w:p w14:paraId="13C29976" w14:textId="2B85FCAA" w:rsidR="008D0594" w:rsidRDefault="008D0594" w:rsidP="00791FA8">
      <w:pPr>
        <w:jc w:val="left"/>
      </w:pPr>
    </w:p>
    <w:p w14:paraId="4E3AD375" w14:textId="41CF1734" w:rsidR="008D0594" w:rsidRDefault="008D0594" w:rsidP="00791FA8">
      <w:pPr>
        <w:jc w:val="left"/>
      </w:pPr>
    </w:p>
    <w:p w14:paraId="40BA0EB7" w14:textId="3CD360BE" w:rsidR="008D0594" w:rsidRDefault="008D0594" w:rsidP="00791FA8">
      <w:pPr>
        <w:jc w:val="left"/>
      </w:pPr>
    </w:p>
    <w:p w14:paraId="14331FD5" w14:textId="0858FACF" w:rsidR="008D0594" w:rsidRDefault="008D0594" w:rsidP="00791FA8">
      <w:pPr>
        <w:jc w:val="left"/>
      </w:pPr>
    </w:p>
    <w:p w14:paraId="589A952A" w14:textId="3D594E6A" w:rsidR="008D0594" w:rsidRDefault="008D0594" w:rsidP="00791FA8">
      <w:pPr>
        <w:jc w:val="left"/>
      </w:pPr>
    </w:p>
    <w:p w14:paraId="26221067" w14:textId="03DBF55F" w:rsidR="008D0594" w:rsidRDefault="008D0594" w:rsidP="00791FA8">
      <w:pPr>
        <w:jc w:val="left"/>
      </w:pPr>
    </w:p>
    <w:p w14:paraId="2860E899" w14:textId="28C7FA11" w:rsidR="008D0594" w:rsidRDefault="008D0594" w:rsidP="00791FA8">
      <w:pPr>
        <w:jc w:val="left"/>
      </w:pPr>
    </w:p>
    <w:p w14:paraId="1AD138C4" w14:textId="677B81D4" w:rsidR="008D0594" w:rsidRDefault="008D0594" w:rsidP="00791FA8">
      <w:pPr>
        <w:jc w:val="left"/>
      </w:pPr>
    </w:p>
    <w:p w14:paraId="08309EED" w14:textId="4C4D95B5" w:rsidR="008D0594" w:rsidRDefault="008D0594" w:rsidP="00791FA8">
      <w:pPr>
        <w:jc w:val="left"/>
      </w:pPr>
    </w:p>
    <w:p w14:paraId="57750FA7" w14:textId="40E65DC6" w:rsidR="008D0594" w:rsidRDefault="008D0594" w:rsidP="00791FA8">
      <w:pPr>
        <w:jc w:val="left"/>
      </w:pPr>
    </w:p>
    <w:p w14:paraId="60A8422E" w14:textId="31FFC2F7" w:rsidR="008D0594" w:rsidRDefault="008D0594" w:rsidP="00791FA8">
      <w:pPr>
        <w:jc w:val="left"/>
      </w:pPr>
    </w:p>
    <w:p w14:paraId="3BE758EB" w14:textId="77777777" w:rsidR="008D0594" w:rsidRDefault="008D0594" w:rsidP="00791FA8">
      <w:pPr>
        <w:jc w:val="left"/>
      </w:pPr>
    </w:p>
    <w:p w14:paraId="084250DF" w14:textId="77777777" w:rsidR="005E449E" w:rsidRDefault="005E449E" w:rsidP="00791FA8">
      <w:pPr>
        <w:jc w:val="left"/>
      </w:pPr>
    </w:p>
    <w:p w14:paraId="428D6586" w14:textId="77777777" w:rsidR="00AF18CC" w:rsidRDefault="00AF18CC" w:rsidP="00791FA8">
      <w:pPr>
        <w:jc w:val="left"/>
      </w:pPr>
    </w:p>
    <w:p w14:paraId="0000000C" w14:textId="457C9421" w:rsidR="005A4FE7" w:rsidRDefault="00487882" w:rsidP="00791FA8">
      <w:pPr>
        <w:pStyle w:val="Heading1"/>
        <w:jc w:val="left"/>
        <w:rPr>
          <w:sz w:val="26"/>
          <w:szCs w:val="26"/>
        </w:rPr>
      </w:pPr>
      <w:bookmarkStart w:id="2" w:name="_Toc101437383"/>
      <w:r w:rsidRPr="00AF18CC">
        <w:rPr>
          <w:sz w:val="26"/>
          <w:szCs w:val="26"/>
        </w:rPr>
        <w:lastRenderedPageBreak/>
        <w:t>Conclusions</w:t>
      </w:r>
      <w:bookmarkEnd w:id="2"/>
      <w:r w:rsidRPr="00AF18CC">
        <w:rPr>
          <w:sz w:val="26"/>
          <w:szCs w:val="26"/>
        </w:rPr>
        <w:t xml:space="preserve"> </w:t>
      </w:r>
    </w:p>
    <w:p w14:paraId="574B96A5" w14:textId="77777777" w:rsidR="00AF18CC" w:rsidRPr="00AF18CC" w:rsidRDefault="00AF18CC" w:rsidP="00791FA8">
      <w:pPr>
        <w:jc w:val="left"/>
      </w:pPr>
    </w:p>
    <w:p w14:paraId="4B3DDADD" w14:textId="4DAB7D64" w:rsidR="006F1CC3" w:rsidRPr="00791FA8" w:rsidRDefault="00791FA8" w:rsidP="00791FA8">
      <w:pPr>
        <w:jc w:val="left"/>
      </w:pPr>
      <w:r w:rsidRPr="00791FA8">
        <w:rPr>
          <w:color w:val="000000" w:themeColor="text1"/>
        </w:rPr>
        <w:t>The main</w:t>
      </w:r>
      <w:r w:rsidRPr="00791FA8">
        <w:rPr>
          <w:color w:val="000000" w:themeColor="text1"/>
          <w:shd w:val="clear" w:color="auto" w:fill="FFFFFF"/>
        </w:rPr>
        <w:t xml:space="preserve"> approach associated with </w:t>
      </w:r>
      <w:r w:rsidRPr="00791FA8">
        <w:rPr>
          <w:color w:val="000000" w:themeColor="text1"/>
        </w:rPr>
        <w:t>the</w:t>
      </w:r>
      <w:r w:rsidRPr="00791FA8">
        <w:rPr>
          <w:color w:val="000000" w:themeColor="text1"/>
          <w:shd w:val="clear" w:color="auto" w:fill="FFFFFF"/>
        </w:rPr>
        <w:t xml:space="preserve"> concept </w:t>
      </w:r>
      <w:r w:rsidRPr="00791FA8">
        <w:rPr>
          <w:color w:val="000000" w:themeColor="text1"/>
        </w:rPr>
        <w:t>of active financial management is</w:t>
      </w:r>
      <w:r w:rsidRPr="00791FA8">
        <w:rPr>
          <w:color w:val="000000" w:themeColor="text1"/>
          <w:shd w:val="clear" w:color="auto" w:fill="FFFFFF"/>
        </w:rPr>
        <w:t xml:space="preserve"> used to bring </w:t>
      </w:r>
      <w:r w:rsidRPr="00791FA8">
        <w:rPr>
          <w:color w:val="000000" w:themeColor="text1"/>
        </w:rPr>
        <w:t>about systematic development, including both</w:t>
      </w:r>
      <w:r w:rsidRPr="00791FA8">
        <w:rPr>
          <w:color w:val="000000" w:themeColor="text1"/>
          <w:shd w:val="clear" w:color="auto" w:fill="FFFFFF"/>
        </w:rPr>
        <w:t xml:space="preserve"> a </w:t>
      </w:r>
      <w:r w:rsidRPr="00791FA8">
        <w:rPr>
          <w:color w:val="000000" w:themeColor="text1"/>
        </w:rPr>
        <w:t>constructive approach as well as equalizing opportunities,</w:t>
      </w:r>
      <w:r w:rsidRPr="00791FA8">
        <w:rPr>
          <w:color w:val="000000" w:themeColor="text1"/>
          <w:shd w:val="clear" w:color="auto" w:fill="FFFFFF"/>
        </w:rPr>
        <w:t xml:space="preserve"> including </w:t>
      </w:r>
      <w:r w:rsidRPr="00791FA8">
        <w:rPr>
          <w:color w:val="000000" w:themeColor="text1"/>
        </w:rPr>
        <w:t>a viable financial structure. exam,</w:t>
      </w:r>
      <w:r w:rsidRPr="00791FA8">
        <w:rPr>
          <w:color w:val="000000" w:themeColor="text1"/>
          <w:shd w:val="clear" w:color="auto" w:fill="FFFFFF"/>
        </w:rPr>
        <w:t xml:space="preserve"> can also be balanced. It </w:t>
      </w:r>
      <w:r w:rsidRPr="00791FA8">
        <w:rPr>
          <w:color w:val="000000" w:themeColor="text1"/>
        </w:rPr>
        <w:t>is</w:t>
      </w:r>
      <w:r w:rsidRPr="00791FA8">
        <w:rPr>
          <w:color w:val="000000" w:themeColor="text1"/>
          <w:shd w:val="clear" w:color="auto" w:fill="FFFFFF"/>
        </w:rPr>
        <w:t xml:space="preserve"> also applied to maintain compatibility development </w:t>
      </w:r>
      <w:r w:rsidRPr="00791FA8">
        <w:rPr>
          <w:color w:val="000000" w:themeColor="text1"/>
        </w:rPr>
        <w:t>that includes part</w:t>
      </w:r>
      <w:r w:rsidRPr="00791FA8">
        <w:rPr>
          <w:color w:val="000000" w:themeColor="text1"/>
          <w:shd w:val="clear" w:color="auto" w:fill="FFFFFF"/>
        </w:rPr>
        <w:t xml:space="preserve"> of the </w:t>
      </w:r>
      <w:r w:rsidRPr="00791FA8">
        <w:rPr>
          <w:color w:val="000000" w:themeColor="text1"/>
        </w:rPr>
        <w:t>built-in</w:t>
      </w:r>
      <w:r w:rsidRPr="00791FA8">
        <w:rPr>
          <w:color w:val="000000" w:themeColor="text1"/>
          <w:shd w:val="clear" w:color="auto" w:fill="FFFFFF"/>
        </w:rPr>
        <w:t xml:space="preserve"> approach related to </w:t>
      </w:r>
      <w:r w:rsidRPr="00791FA8">
        <w:rPr>
          <w:color w:val="000000" w:themeColor="text1"/>
        </w:rPr>
        <w:t>an individual company's operational</w:t>
      </w:r>
      <w:r w:rsidRPr="00791FA8">
        <w:rPr>
          <w:color w:val="000000" w:themeColor="text1"/>
          <w:shd w:val="clear" w:color="auto" w:fill="FFFFFF"/>
        </w:rPr>
        <w:t xml:space="preserve"> initiative also with the support of </w:t>
      </w:r>
      <w:r w:rsidRPr="00791FA8">
        <w:rPr>
          <w:color w:val="000000" w:themeColor="text1"/>
        </w:rPr>
        <w:t>compatibility.</w:t>
      </w:r>
      <w:r w:rsidRPr="00791FA8">
        <w:rPr>
          <w:color w:val="000000" w:themeColor="text1"/>
          <w:shd w:val="clear" w:color="auto" w:fill="FFFFFF"/>
        </w:rPr>
        <w:t xml:space="preserve"> including </w:t>
      </w:r>
      <w:r w:rsidRPr="00791FA8">
        <w:rPr>
          <w:color w:val="000000" w:themeColor="text1"/>
        </w:rPr>
        <w:t>possible approaches</w:t>
      </w:r>
      <w:r w:rsidRPr="00791FA8">
        <w:rPr>
          <w:color w:val="000000" w:themeColor="text1"/>
          <w:shd w:val="clear" w:color="auto" w:fill="FFFFFF"/>
        </w:rPr>
        <w:t xml:space="preserve"> to business </w:t>
      </w:r>
      <w:r w:rsidRPr="00791FA8">
        <w:rPr>
          <w:color w:val="000000" w:themeColor="text1"/>
        </w:rPr>
        <w:t>growth,</w:t>
      </w:r>
      <w:r w:rsidRPr="00791FA8">
        <w:rPr>
          <w:color w:val="000000" w:themeColor="text1"/>
          <w:shd w:val="clear" w:color="auto" w:fill="FFFFFF"/>
        </w:rPr>
        <w:t xml:space="preserve"> can also be balanced </w:t>
      </w:r>
      <w:r w:rsidRPr="00791FA8">
        <w:rPr>
          <w:color w:val="000000" w:themeColor="text1"/>
        </w:rPr>
        <w:t>comprehensively.</w:t>
      </w:r>
      <w:r w:rsidR="006F1CC3" w:rsidRPr="00791FA8">
        <w:br w:type="page"/>
      </w:r>
    </w:p>
    <w:p w14:paraId="148F466B" w14:textId="229E98BD" w:rsidR="006F1CC3" w:rsidRDefault="006F1CC3" w:rsidP="00791FA8">
      <w:pPr>
        <w:pStyle w:val="Heading1"/>
        <w:jc w:val="left"/>
        <w:rPr>
          <w:sz w:val="26"/>
          <w:szCs w:val="26"/>
        </w:rPr>
      </w:pPr>
      <w:bookmarkStart w:id="3" w:name="_Toc101437384"/>
      <w:r w:rsidRPr="005E449E">
        <w:rPr>
          <w:sz w:val="26"/>
          <w:szCs w:val="26"/>
        </w:rPr>
        <w:lastRenderedPageBreak/>
        <w:t>References</w:t>
      </w:r>
      <w:bookmarkEnd w:id="3"/>
    </w:p>
    <w:p w14:paraId="39565FB4" w14:textId="77777777" w:rsidR="00AA17AD" w:rsidRPr="00AA17AD" w:rsidRDefault="00AA17AD" w:rsidP="00791FA8">
      <w:pPr>
        <w:jc w:val="left"/>
      </w:pPr>
    </w:p>
    <w:p w14:paraId="578D35F6" w14:textId="77777777" w:rsidR="006F1CC3" w:rsidRDefault="006F1CC3" w:rsidP="00791FA8">
      <w:pPr>
        <w:spacing w:before="120" w:after="120"/>
        <w:jc w:val="left"/>
      </w:pPr>
      <w:r w:rsidRPr="00AB7441">
        <w:t>Al Ahbabi, A.R. and Nobanee, H., 2019. Conceptual building of sustainable financial management &amp; sustainable financial growth. </w:t>
      </w:r>
      <w:r w:rsidRPr="00AB7441">
        <w:rPr>
          <w:i/>
          <w:iCs/>
        </w:rPr>
        <w:t>Available at SSRN 3472313</w:t>
      </w:r>
      <w:r w:rsidRPr="00AB7441">
        <w:t>.</w:t>
      </w:r>
    </w:p>
    <w:p w14:paraId="5F5BF5F5" w14:textId="77777777" w:rsidR="006F1CC3" w:rsidRDefault="006F1CC3" w:rsidP="00791FA8">
      <w:pPr>
        <w:spacing w:before="120" w:after="120"/>
        <w:jc w:val="left"/>
      </w:pPr>
      <w:r>
        <w:t xml:space="preserve">BHP plc, </w:t>
      </w:r>
      <w:r w:rsidRPr="00AB7441">
        <w:t>2022. [online] Available at: &lt;https://www.bhp.com/investors/annual-reporting/annual-report-2021&gt; [Accessed 21 April 2022].</w:t>
      </w:r>
    </w:p>
    <w:p w14:paraId="65F79ECE" w14:textId="77777777" w:rsidR="006F1CC3" w:rsidRDefault="006F1CC3" w:rsidP="00791FA8">
      <w:pPr>
        <w:spacing w:before="120" w:after="120"/>
        <w:jc w:val="left"/>
      </w:pPr>
      <w:r>
        <w:t xml:space="preserve">BHP plc, </w:t>
      </w:r>
      <w:r w:rsidRPr="00AB7441">
        <w:t>2022. [online] Available at: &lt;https://www.bhp.com/investors/shareholder-information/dividends&gt; [Accessed 21 April 2022].</w:t>
      </w:r>
    </w:p>
    <w:p w14:paraId="679426C4" w14:textId="77777777" w:rsidR="006F1CC3" w:rsidRDefault="006F1CC3" w:rsidP="00791FA8">
      <w:pPr>
        <w:spacing w:before="120" w:after="120"/>
        <w:jc w:val="left"/>
      </w:pPr>
      <w:r w:rsidRPr="00AB7441">
        <w:t>Brigham, E.F. and Ehrhardt, M.C., 2019. </w:t>
      </w:r>
      <w:r w:rsidRPr="00AB7441">
        <w:rPr>
          <w:i/>
          <w:iCs/>
        </w:rPr>
        <w:t>Financial management: Theory &amp; practice</w:t>
      </w:r>
      <w:r w:rsidRPr="00AB7441">
        <w:t>. Cengage Learning.</w:t>
      </w:r>
    </w:p>
    <w:p w14:paraId="39A0168E" w14:textId="77777777" w:rsidR="006F1CC3" w:rsidRDefault="006F1CC3" w:rsidP="00791FA8">
      <w:pPr>
        <w:spacing w:before="120" w:after="120"/>
        <w:jc w:val="left"/>
      </w:pPr>
      <w:r w:rsidRPr="00AB7441">
        <w:t>Brigham, E.F. and Houston, J.F., 2021. </w:t>
      </w:r>
      <w:r w:rsidRPr="00AB7441">
        <w:rPr>
          <w:i/>
          <w:iCs/>
        </w:rPr>
        <w:t>Fundamentals of financial management: Concise</w:t>
      </w:r>
      <w:r w:rsidRPr="00AB7441">
        <w:t>. Cengage Learning.</w:t>
      </w:r>
    </w:p>
    <w:p w14:paraId="4D8E07E6" w14:textId="77777777" w:rsidR="006F1CC3" w:rsidRPr="00F32427" w:rsidRDefault="006F1CC3" w:rsidP="00791FA8">
      <w:pPr>
        <w:spacing w:before="120" w:after="120"/>
        <w:jc w:val="left"/>
      </w:pPr>
      <w:r w:rsidRPr="00AB7441">
        <w:t>Finance.yahoo.com. 2022. </w:t>
      </w:r>
      <w:r w:rsidRPr="00AB7441">
        <w:rPr>
          <w:i/>
          <w:iCs/>
        </w:rPr>
        <w:t>Yahoo is part of the Yahoo family of brands</w:t>
      </w:r>
      <w:r w:rsidRPr="00AB7441">
        <w:t>. [online] Available at: &lt;https://finance.yahoo.com/quote/BHP.L/&gt; [Accessed 21 April 2022].</w:t>
      </w:r>
    </w:p>
    <w:p w14:paraId="5CD1D2E0" w14:textId="77777777" w:rsidR="006F1CC3" w:rsidRDefault="006F1CC3" w:rsidP="00791FA8">
      <w:pPr>
        <w:spacing w:before="120" w:after="120"/>
        <w:jc w:val="left"/>
      </w:pPr>
      <w:r w:rsidRPr="00AB7441">
        <w:t xml:space="preserve">Goyal, K., Kumar, S. and Xiao, J.J., 2021. Antecedents and consequences of Personal Financial Management </w:t>
      </w:r>
      <w:proofErr w:type="spellStart"/>
      <w:r w:rsidRPr="00AB7441">
        <w:t>Behavior</w:t>
      </w:r>
      <w:proofErr w:type="spellEnd"/>
      <w:r w:rsidRPr="00AB7441">
        <w:t>: a systematic literature review and future research agenda. </w:t>
      </w:r>
      <w:r w:rsidRPr="00AB7441">
        <w:rPr>
          <w:i/>
          <w:iCs/>
        </w:rPr>
        <w:t>International Journal of Bank Marketing</w:t>
      </w:r>
      <w:r w:rsidRPr="00AB7441">
        <w:t>.</w:t>
      </w:r>
    </w:p>
    <w:p w14:paraId="7893D0C9" w14:textId="77777777" w:rsidR="006F1CC3" w:rsidRDefault="006F1CC3" w:rsidP="00791FA8">
      <w:pPr>
        <w:spacing w:before="120" w:after="120"/>
        <w:jc w:val="left"/>
      </w:pPr>
      <w:r w:rsidRPr="00AB7441">
        <w:t>Madura, J., 2020. </w:t>
      </w:r>
      <w:r w:rsidRPr="00AB7441">
        <w:rPr>
          <w:i/>
          <w:iCs/>
        </w:rPr>
        <w:t>International financial management</w:t>
      </w:r>
      <w:r w:rsidRPr="00AB7441">
        <w:t>. Cengage Learning.</w:t>
      </w:r>
    </w:p>
    <w:p w14:paraId="59BDA10F" w14:textId="77777777" w:rsidR="006F1CC3" w:rsidRDefault="006F1CC3" w:rsidP="00791FA8">
      <w:pPr>
        <w:spacing w:before="120" w:after="120"/>
        <w:jc w:val="left"/>
      </w:pPr>
      <w:r w:rsidRPr="00AB7441">
        <w:t>Martin, J.D., Keown, A.J. and Titman, S., 2020. </w:t>
      </w:r>
      <w:r w:rsidRPr="00AB7441">
        <w:rPr>
          <w:i/>
          <w:iCs/>
        </w:rPr>
        <w:t>Financial management: principles and applications</w:t>
      </w:r>
      <w:r w:rsidRPr="00AB7441">
        <w:t>. Prentice Hall.</w:t>
      </w:r>
    </w:p>
    <w:p w14:paraId="5AD8A7F8" w14:textId="77777777" w:rsidR="006F1CC3" w:rsidRDefault="006F1CC3" w:rsidP="00791FA8">
      <w:pPr>
        <w:spacing w:before="120" w:after="120"/>
        <w:jc w:val="left"/>
      </w:pPr>
      <w:r w:rsidRPr="00AB7441">
        <w:t xml:space="preserve">Mitchell, G.E. and Calabrese, T.D., 2019. Proverbs of </w:t>
      </w:r>
      <w:proofErr w:type="spellStart"/>
      <w:r w:rsidRPr="00AB7441">
        <w:t>nonprofit</w:t>
      </w:r>
      <w:proofErr w:type="spellEnd"/>
      <w:r w:rsidRPr="00AB7441">
        <w:t xml:space="preserve"> financial management. </w:t>
      </w:r>
      <w:r w:rsidRPr="00AB7441">
        <w:rPr>
          <w:i/>
          <w:iCs/>
        </w:rPr>
        <w:t>The American Review of Public Administration</w:t>
      </w:r>
      <w:r w:rsidRPr="00AB7441">
        <w:t>, </w:t>
      </w:r>
      <w:r w:rsidRPr="00AB7441">
        <w:rPr>
          <w:i/>
          <w:iCs/>
        </w:rPr>
        <w:t>49</w:t>
      </w:r>
      <w:r w:rsidRPr="00AB7441">
        <w:t>(6), pp.649-661.</w:t>
      </w:r>
    </w:p>
    <w:p w14:paraId="44B0C809" w14:textId="77777777" w:rsidR="006F1CC3" w:rsidRDefault="006F1CC3" w:rsidP="00791FA8">
      <w:pPr>
        <w:spacing w:before="120" w:after="120"/>
        <w:jc w:val="left"/>
        <w:rPr>
          <w:color w:val="222222"/>
          <w:shd w:val="clear" w:color="auto" w:fill="FFFFFF"/>
        </w:rPr>
      </w:pPr>
      <w:r w:rsidRPr="00F32427">
        <w:rPr>
          <w:color w:val="222222"/>
          <w:shd w:val="clear" w:color="auto" w:fill="FFFFFF"/>
        </w:rPr>
        <w:t>Prihartono, M.R.D. and Asandimitra, N., 2018. Analysis factors influencing financial management behaviour. </w:t>
      </w:r>
      <w:r w:rsidRPr="00F32427">
        <w:rPr>
          <w:i/>
          <w:iCs/>
          <w:color w:val="222222"/>
          <w:shd w:val="clear" w:color="auto" w:fill="FFFFFF"/>
        </w:rPr>
        <w:t>International Journal of Academic Research in Business and Social Sciences</w:t>
      </w:r>
      <w:r w:rsidRPr="00F32427">
        <w:rPr>
          <w:color w:val="222222"/>
          <w:shd w:val="clear" w:color="auto" w:fill="FFFFFF"/>
        </w:rPr>
        <w:t>, </w:t>
      </w:r>
      <w:r w:rsidRPr="00F32427">
        <w:rPr>
          <w:i/>
          <w:iCs/>
          <w:color w:val="222222"/>
          <w:shd w:val="clear" w:color="auto" w:fill="FFFFFF"/>
        </w:rPr>
        <w:t>8</w:t>
      </w:r>
      <w:r w:rsidRPr="00F32427">
        <w:rPr>
          <w:color w:val="222222"/>
          <w:shd w:val="clear" w:color="auto" w:fill="FFFFFF"/>
        </w:rPr>
        <w:t>(8), pp.308-326.</w:t>
      </w:r>
    </w:p>
    <w:p w14:paraId="4CF6CD2C" w14:textId="77777777" w:rsidR="006F1CC3" w:rsidRDefault="006F1CC3" w:rsidP="00791FA8">
      <w:pPr>
        <w:spacing w:before="120" w:after="120"/>
        <w:jc w:val="left"/>
      </w:pPr>
      <w:r w:rsidRPr="00AB7441">
        <w:t>Shapiro, A.C. and Hanouna, P., 2019. </w:t>
      </w:r>
      <w:r w:rsidRPr="00AB7441">
        <w:rPr>
          <w:i/>
          <w:iCs/>
        </w:rPr>
        <w:t>Multinational financial management</w:t>
      </w:r>
      <w:r w:rsidRPr="00AB7441">
        <w:t>. John Wiley &amp; Sons.</w:t>
      </w:r>
    </w:p>
    <w:p w14:paraId="30E16B68" w14:textId="41A25C73" w:rsidR="006F1CC3" w:rsidRDefault="006F1CC3" w:rsidP="00791FA8">
      <w:pPr>
        <w:spacing w:before="120" w:after="120"/>
        <w:jc w:val="left"/>
      </w:pPr>
      <w:r w:rsidRPr="00AB7441">
        <w:t>White, C.J. and Van Dyk, H., 2019. Theory and practice of the quintile ranking of schools in South Africa: A financial management perspective. </w:t>
      </w:r>
      <w:r w:rsidRPr="00AB7441">
        <w:rPr>
          <w:i/>
          <w:iCs/>
        </w:rPr>
        <w:t>South African Journal of Education</w:t>
      </w:r>
      <w:r w:rsidRPr="00AB7441">
        <w:t>, </w:t>
      </w:r>
      <w:r w:rsidRPr="00AB7441">
        <w:rPr>
          <w:i/>
          <w:iCs/>
        </w:rPr>
        <w:t>39</w:t>
      </w:r>
      <w:r w:rsidRPr="00AB7441">
        <w:t>(Supplement 1), pp.s1-19.</w:t>
      </w:r>
    </w:p>
    <w:sectPr w:rsidR="006F1CC3" w:rsidSect="00AA17AD">
      <w:footerReference w:type="default" r:id="rId8"/>
      <w:pgSz w:w="11906" w:h="16838"/>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1E907" w14:textId="77777777" w:rsidR="006C3FD7" w:rsidRDefault="006C3FD7" w:rsidP="006F1CC3">
      <w:pPr>
        <w:spacing w:line="240" w:lineRule="auto"/>
      </w:pPr>
      <w:r>
        <w:separator/>
      </w:r>
    </w:p>
  </w:endnote>
  <w:endnote w:type="continuationSeparator" w:id="0">
    <w:p w14:paraId="1A06CC52" w14:textId="77777777" w:rsidR="006C3FD7" w:rsidRDefault="006C3FD7" w:rsidP="006F1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AEA67" w14:textId="10C9575C" w:rsidR="00AA17AD" w:rsidRPr="00AA17AD" w:rsidRDefault="00AA17AD">
    <w:pPr>
      <w:pStyle w:val="Footer"/>
      <w:tabs>
        <w:tab w:val="clear" w:pos="4680"/>
        <w:tab w:val="clear" w:pos="9360"/>
      </w:tabs>
      <w:jc w:val="center"/>
      <w:rPr>
        <w:rFonts w:ascii="Calisto MT" w:hAnsi="Calisto MT"/>
        <w:b/>
        <w:bCs/>
        <w:caps/>
        <w:noProof/>
        <w:color w:val="4F81BD" w:themeColor="accent1"/>
      </w:rPr>
    </w:pPr>
    <w:r w:rsidRPr="00AA17AD">
      <w:rPr>
        <w:rFonts w:ascii="Calisto MT" w:hAnsi="Calisto MT"/>
        <w:b/>
        <w:bCs/>
        <w:caps/>
        <w:color w:val="4F81BD" w:themeColor="accent1"/>
      </w:rPr>
      <w:t>-</w:t>
    </w:r>
    <w:r w:rsidRPr="00AA17AD">
      <w:rPr>
        <w:rFonts w:ascii="Calisto MT" w:hAnsi="Calisto MT"/>
        <w:b/>
        <w:bCs/>
        <w:caps/>
        <w:color w:val="4F81BD" w:themeColor="accent1"/>
      </w:rPr>
      <w:fldChar w:fldCharType="begin"/>
    </w:r>
    <w:r w:rsidRPr="00AA17AD">
      <w:rPr>
        <w:rFonts w:ascii="Calisto MT" w:hAnsi="Calisto MT"/>
        <w:b/>
        <w:bCs/>
        <w:caps/>
        <w:color w:val="4F81BD" w:themeColor="accent1"/>
      </w:rPr>
      <w:instrText xml:space="preserve"> PAGE   \* MERGEFORMAT </w:instrText>
    </w:r>
    <w:r w:rsidRPr="00AA17AD">
      <w:rPr>
        <w:rFonts w:ascii="Calisto MT" w:hAnsi="Calisto MT"/>
        <w:b/>
        <w:bCs/>
        <w:caps/>
        <w:color w:val="4F81BD" w:themeColor="accent1"/>
      </w:rPr>
      <w:fldChar w:fldCharType="separate"/>
    </w:r>
    <w:r w:rsidRPr="00AA17AD">
      <w:rPr>
        <w:rFonts w:ascii="Calisto MT" w:hAnsi="Calisto MT"/>
        <w:b/>
        <w:bCs/>
        <w:caps/>
        <w:noProof/>
        <w:color w:val="4F81BD" w:themeColor="accent1"/>
      </w:rPr>
      <w:t>2</w:t>
    </w:r>
    <w:r w:rsidRPr="00AA17AD">
      <w:rPr>
        <w:rFonts w:ascii="Calisto MT" w:hAnsi="Calisto MT"/>
        <w:b/>
        <w:bCs/>
        <w:caps/>
        <w:noProof/>
        <w:color w:val="4F81BD" w:themeColor="accent1"/>
      </w:rPr>
      <w:fldChar w:fldCharType="end"/>
    </w:r>
    <w:r w:rsidRPr="00AA17AD">
      <w:rPr>
        <w:rFonts w:ascii="Calisto MT" w:hAnsi="Calisto MT"/>
        <w:b/>
        <w:bCs/>
        <w:caps/>
        <w:noProof/>
        <w:color w:val="4F81BD" w:themeColor="accent1"/>
      </w:rPr>
      <w:t>-</w:t>
    </w:r>
  </w:p>
  <w:p w14:paraId="36CDCF91" w14:textId="77777777" w:rsidR="006F1CC3" w:rsidRDefault="006F1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DFE5A" w14:textId="77777777" w:rsidR="006C3FD7" w:rsidRDefault="006C3FD7" w:rsidP="006F1CC3">
      <w:pPr>
        <w:spacing w:line="240" w:lineRule="auto"/>
      </w:pPr>
      <w:r>
        <w:separator/>
      </w:r>
    </w:p>
  </w:footnote>
  <w:footnote w:type="continuationSeparator" w:id="0">
    <w:p w14:paraId="23012287" w14:textId="77777777" w:rsidR="006C3FD7" w:rsidRDefault="006C3FD7" w:rsidP="006F1C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C3433"/>
    <w:multiLevelType w:val="hybridMultilevel"/>
    <w:tmpl w:val="916C842E"/>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701322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FE7"/>
    <w:rsid w:val="00320A46"/>
    <w:rsid w:val="00487882"/>
    <w:rsid w:val="0055476E"/>
    <w:rsid w:val="005A4FE7"/>
    <w:rsid w:val="005E449E"/>
    <w:rsid w:val="006C3FD7"/>
    <w:rsid w:val="006F1CC3"/>
    <w:rsid w:val="00791FA8"/>
    <w:rsid w:val="007A1485"/>
    <w:rsid w:val="008D0594"/>
    <w:rsid w:val="0093680A"/>
    <w:rsid w:val="00AA17AD"/>
    <w:rsid w:val="00AF18CC"/>
    <w:rsid w:val="00B0043E"/>
    <w:rsid w:val="00BB4B76"/>
    <w:rsid w:val="00BC62D1"/>
    <w:rsid w:val="00D5402C"/>
    <w:rsid w:val="00F32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364B"/>
  <w15:docId w15:val="{25EF169D-707F-42DC-9D5B-AD6070BB7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6F1CC3"/>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F1CC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F1CC3"/>
    <w:pPr>
      <w:spacing w:after="100"/>
    </w:pPr>
  </w:style>
  <w:style w:type="character" w:styleId="Hyperlink">
    <w:name w:val="Hyperlink"/>
    <w:basedOn w:val="DefaultParagraphFont"/>
    <w:uiPriority w:val="99"/>
    <w:unhideWhenUsed/>
    <w:rsid w:val="006F1CC3"/>
    <w:rPr>
      <w:color w:val="0000FF" w:themeColor="hyperlink"/>
      <w:u w:val="single"/>
    </w:rPr>
  </w:style>
  <w:style w:type="paragraph" w:styleId="Header">
    <w:name w:val="header"/>
    <w:basedOn w:val="Normal"/>
    <w:link w:val="HeaderChar"/>
    <w:uiPriority w:val="99"/>
    <w:unhideWhenUsed/>
    <w:rsid w:val="006F1CC3"/>
    <w:pPr>
      <w:tabs>
        <w:tab w:val="center" w:pos="4680"/>
        <w:tab w:val="right" w:pos="9360"/>
      </w:tabs>
      <w:spacing w:line="240" w:lineRule="auto"/>
    </w:pPr>
  </w:style>
  <w:style w:type="character" w:customStyle="1" w:styleId="HeaderChar">
    <w:name w:val="Header Char"/>
    <w:basedOn w:val="DefaultParagraphFont"/>
    <w:link w:val="Header"/>
    <w:uiPriority w:val="99"/>
    <w:rsid w:val="006F1CC3"/>
    <w:rPr>
      <w:lang w:val="en-GB"/>
    </w:rPr>
  </w:style>
  <w:style w:type="paragraph" w:styleId="Footer">
    <w:name w:val="footer"/>
    <w:basedOn w:val="Normal"/>
    <w:link w:val="FooterChar"/>
    <w:uiPriority w:val="99"/>
    <w:unhideWhenUsed/>
    <w:rsid w:val="006F1CC3"/>
    <w:pPr>
      <w:tabs>
        <w:tab w:val="center" w:pos="4680"/>
        <w:tab w:val="right" w:pos="9360"/>
      </w:tabs>
      <w:spacing w:line="240" w:lineRule="auto"/>
    </w:pPr>
  </w:style>
  <w:style w:type="character" w:customStyle="1" w:styleId="FooterChar">
    <w:name w:val="Footer Char"/>
    <w:basedOn w:val="DefaultParagraphFont"/>
    <w:link w:val="Footer"/>
    <w:uiPriority w:val="99"/>
    <w:rsid w:val="006F1CC3"/>
    <w:rPr>
      <w:lang w:val="en-GB"/>
    </w:rPr>
  </w:style>
  <w:style w:type="paragraph" w:customStyle="1" w:styleId="Normal1">
    <w:name w:val="Normal1"/>
    <w:qFormat/>
    <w:rsid w:val="00B0043E"/>
    <w:rPr>
      <w:rFonts w:eastAsia="Arial" w:cs="Arial"/>
      <w:szCs w:val="22"/>
    </w:rPr>
  </w:style>
  <w:style w:type="paragraph" w:styleId="ListParagraph">
    <w:name w:val="List Paragraph"/>
    <w:basedOn w:val="Normal"/>
    <w:uiPriority w:val="34"/>
    <w:qFormat/>
    <w:rsid w:val="00320A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BA281-374D-4C7D-9301-793634092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dc:creator>
  <cp:lastModifiedBy>Cristian Ghiburcea</cp:lastModifiedBy>
  <cp:revision>3</cp:revision>
  <dcterms:created xsi:type="dcterms:W3CDTF">2022-04-28T17:31:00Z</dcterms:created>
  <dcterms:modified xsi:type="dcterms:W3CDTF">2022-04-28T17:55:00Z</dcterms:modified>
</cp:coreProperties>
</file>