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EBD73" w14:textId="77777777" w:rsidR="00091DBC" w:rsidRDefault="00091DBC" w:rsidP="00091DBC">
      <w:pPr>
        <w:pStyle w:val="BodyText"/>
        <w:spacing w:line="360" w:lineRule="auto"/>
        <w:jc w:val="center"/>
        <w:rPr>
          <w:rFonts w:ascii="Arial" w:hAnsi="Arial" w:cs="Arial"/>
          <w:sz w:val="20"/>
        </w:rPr>
      </w:pPr>
      <w:r>
        <w:rPr>
          <w:noProof/>
        </w:rPr>
        <w:drawing>
          <wp:inline distT="0" distB="0" distL="0" distR="0" wp14:anchorId="44D53906" wp14:editId="42F970F9">
            <wp:extent cx="3362960" cy="962025"/>
            <wp:effectExtent l="0" t="0" r="5080" b="13335"/>
            <wp:docPr id="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5B56CBA7" w14:textId="77777777" w:rsidR="00091DBC" w:rsidRDefault="00091DBC" w:rsidP="00091DBC">
      <w:pPr>
        <w:pStyle w:val="BodyText"/>
        <w:spacing w:line="360" w:lineRule="auto"/>
        <w:rPr>
          <w:rFonts w:ascii="Arial" w:hAnsi="Arial" w:cs="Arial"/>
          <w:sz w:val="20"/>
        </w:rPr>
      </w:pPr>
    </w:p>
    <w:p w14:paraId="2BCFAE92" w14:textId="77777777" w:rsidR="00091DBC" w:rsidRDefault="00091DBC" w:rsidP="00091DBC">
      <w:pPr>
        <w:pStyle w:val="BodyText"/>
        <w:spacing w:line="360" w:lineRule="auto"/>
        <w:rPr>
          <w:rFonts w:ascii="Arial" w:hAnsi="Arial" w:cs="Arial"/>
          <w:sz w:val="20"/>
        </w:rPr>
      </w:pPr>
    </w:p>
    <w:p w14:paraId="5968D5E7" w14:textId="77777777" w:rsidR="00091DBC" w:rsidRDefault="00091DBC" w:rsidP="00091DBC">
      <w:pPr>
        <w:spacing w:line="360" w:lineRule="auto"/>
        <w:jc w:val="center"/>
        <w:rPr>
          <w:rFonts w:ascii="Arial" w:hAnsi="Arial" w:cs="Arial"/>
          <w:b/>
          <w:bCs/>
        </w:rPr>
      </w:pPr>
      <w:r>
        <w:rPr>
          <w:rFonts w:ascii="Arial" w:hAnsi="Arial" w:cs="Arial"/>
          <w:b/>
          <w:bCs/>
          <w:sz w:val="22"/>
          <w:szCs w:val="22"/>
        </w:rPr>
        <w:t>EXPLORING THE EFFECT OF CHRONIC PAIN MANAGEMENT ON THE PHYSICAL WELL-BEING OF OLDER ADULTS IN THE UNITED KINGDOM</w:t>
      </w:r>
    </w:p>
    <w:p w14:paraId="25E2E7F8" w14:textId="77777777" w:rsidR="00091DBC" w:rsidRDefault="00091DBC" w:rsidP="00091D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color w:val="0070C0"/>
          <w:sz w:val="80"/>
          <w:szCs w:val="80"/>
        </w:rPr>
      </w:pPr>
    </w:p>
    <w:p w14:paraId="0CE9E1E6" w14:textId="77777777" w:rsidR="00091DBC" w:rsidRDefault="00091DBC" w:rsidP="00091D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sz w:val="36"/>
          <w:szCs w:val="36"/>
        </w:rPr>
      </w:pPr>
      <w:r>
        <w:rPr>
          <w:rFonts w:ascii="Arial" w:eastAsia="Arial Unicode MS" w:hAnsi="Arial" w:cs="Arial"/>
          <w:b/>
          <w:bCs/>
          <w:sz w:val="36"/>
          <w:szCs w:val="36"/>
        </w:rPr>
        <w:t>Supervisor’s name</w:t>
      </w:r>
      <w:r>
        <w:rPr>
          <w:rFonts w:ascii="Arial" w:eastAsia="Arial Unicode MS" w:hAnsi="Arial" w:cs="Arial"/>
          <w:sz w:val="36"/>
          <w:szCs w:val="36"/>
        </w:rPr>
        <w:t>: Dr Laila Surani</w:t>
      </w:r>
    </w:p>
    <w:p w14:paraId="3458CE46" w14:textId="77777777" w:rsidR="001B2B2B" w:rsidRDefault="001B2B2B" w:rsidP="00091D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sz w:val="36"/>
          <w:szCs w:val="36"/>
        </w:rPr>
      </w:pPr>
    </w:p>
    <w:p w14:paraId="0680269E" w14:textId="794755BC" w:rsidR="00091DBC" w:rsidRDefault="00091DBC" w:rsidP="00091D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sz w:val="36"/>
          <w:szCs w:val="36"/>
        </w:rPr>
      </w:pPr>
      <w:r>
        <w:rPr>
          <w:rFonts w:ascii="Arial" w:eastAsia="Arial Unicode MS" w:hAnsi="Arial" w:cs="Arial"/>
          <w:sz w:val="36"/>
          <w:szCs w:val="36"/>
        </w:rPr>
        <w:t xml:space="preserve">Student name: Molloy Montaque </w:t>
      </w:r>
    </w:p>
    <w:p w14:paraId="42D31E31" w14:textId="0951F503" w:rsidR="001B2B2B" w:rsidRDefault="001B2B2B" w:rsidP="00091D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sz w:val="36"/>
          <w:szCs w:val="36"/>
        </w:rPr>
      </w:pPr>
      <w:r>
        <w:rPr>
          <w:rFonts w:ascii="Arial" w:eastAsia="Arial Unicode MS" w:hAnsi="Arial" w:cs="Arial"/>
          <w:sz w:val="36"/>
          <w:szCs w:val="36"/>
        </w:rPr>
        <w:t>Student number: 2235978</w:t>
      </w:r>
    </w:p>
    <w:p w14:paraId="7D56328B" w14:textId="77777777" w:rsidR="00091DBC" w:rsidRDefault="00091DBC" w:rsidP="00091D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sz w:val="36"/>
          <w:szCs w:val="36"/>
        </w:rPr>
      </w:pPr>
    </w:p>
    <w:p w14:paraId="6EDDF2B5" w14:textId="77777777" w:rsidR="00091DBC" w:rsidRDefault="00091DBC" w:rsidP="00091D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sz w:val="40"/>
          <w:szCs w:val="40"/>
        </w:rPr>
      </w:pPr>
    </w:p>
    <w:p w14:paraId="53B4FF77" w14:textId="77777777" w:rsidR="00091DBC" w:rsidRDefault="00091DBC" w:rsidP="00091D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sz w:val="32"/>
          <w:szCs w:val="32"/>
        </w:rPr>
      </w:pPr>
      <w:r>
        <w:rPr>
          <w:rFonts w:ascii="Arial" w:eastAsia="Arial Unicode MS" w:hAnsi="Arial" w:cs="Arial"/>
          <w:sz w:val="32"/>
          <w:szCs w:val="32"/>
        </w:rPr>
        <w:t xml:space="preserve">Dissertation submitted as part of the requirements for the award BSc (Hons) Health and Social Care </w:t>
      </w:r>
    </w:p>
    <w:p w14:paraId="61B95FDB" w14:textId="77777777" w:rsidR="00091DBC" w:rsidRDefault="00091DBC" w:rsidP="00091D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p>
    <w:p w14:paraId="1F9F366B" w14:textId="77777777" w:rsidR="00091DBC" w:rsidRDefault="00091DBC" w:rsidP="00091D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p>
    <w:p w14:paraId="39F762E4" w14:textId="77777777" w:rsidR="00091DBC" w:rsidRDefault="00091DBC" w:rsidP="00091D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b/>
          <w:bCs/>
          <w:color w:val="0070C0"/>
        </w:rPr>
      </w:pPr>
    </w:p>
    <w:p w14:paraId="62998B42" w14:textId="77777777" w:rsidR="00091DBC" w:rsidRDefault="00091DBC" w:rsidP="00091D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rPr>
      </w:pPr>
    </w:p>
    <w:p w14:paraId="51EE3E74" w14:textId="3B0F09E9" w:rsidR="00091DBC" w:rsidRPr="00091DBC" w:rsidRDefault="00091DBC" w:rsidP="00091DBC">
      <w:pPr>
        <w:rPr>
          <w:rFonts w:ascii="Arial" w:eastAsia="Times New Roman" w:hAnsi="Arial" w:cs="Arial"/>
          <w:b/>
          <w:sz w:val="32"/>
          <w:szCs w:val="32"/>
        </w:rPr>
      </w:pPr>
      <w:r>
        <w:rPr>
          <w:rFonts w:ascii="Arial" w:eastAsia="Times New Roman" w:hAnsi="Arial" w:cs="Arial"/>
          <w:b/>
          <w:sz w:val="20"/>
          <w:szCs w:val="20"/>
        </w:rPr>
        <w:br w:type="page"/>
      </w:r>
      <w:r w:rsidRPr="00091DBC">
        <w:rPr>
          <w:sz w:val="40"/>
          <w:szCs w:val="40"/>
        </w:rPr>
        <w:lastRenderedPageBreak/>
        <w:t>DECLARATION</w:t>
      </w:r>
    </w:p>
    <w:p w14:paraId="3BDEC86D" w14:textId="77777777" w:rsidR="00091DBC" w:rsidRDefault="00091DBC" w:rsidP="00091DBC">
      <w:pPr>
        <w:spacing w:line="360" w:lineRule="auto"/>
        <w:rPr>
          <w:rFonts w:ascii="Arial" w:eastAsia="Times New Roman" w:hAnsi="Arial" w:cs="Arial"/>
          <w:sz w:val="20"/>
          <w:szCs w:val="20"/>
        </w:rPr>
      </w:pPr>
    </w:p>
    <w:p w14:paraId="6CBBC0BB" w14:textId="77777777" w:rsidR="00091DBC" w:rsidRDefault="00091DBC" w:rsidP="00091DBC">
      <w:pPr>
        <w:spacing w:line="360" w:lineRule="auto"/>
        <w:rPr>
          <w:rFonts w:ascii="Arial" w:eastAsia="Times New Roman" w:hAnsi="Arial" w:cs="Arial"/>
        </w:rPr>
      </w:pPr>
      <w:r>
        <w:rPr>
          <w:rFonts w:ascii="Arial" w:eastAsia="Times New Roman" w:hAnsi="Arial" w:cs="Arial"/>
        </w:rPr>
        <w:t>This work has not previously been accepted in substance for any degree and is not being concurrently submitted in candidature for any degree.</w:t>
      </w:r>
    </w:p>
    <w:p w14:paraId="79DDBC8B" w14:textId="77777777" w:rsidR="00091DBC" w:rsidRDefault="00091DBC" w:rsidP="00091DBC">
      <w:pPr>
        <w:spacing w:line="360" w:lineRule="auto"/>
        <w:rPr>
          <w:rFonts w:ascii="Arial" w:eastAsia="Times New Roman" w:hAnsi="Arial" w:cs="Arial"/>
        </w:rPr>
      </w:pPr>
    </w:p>
    <w:p w14:paraId="4A970F04" w14:textId="77777777" w:rsidR="00091DBC" w:rsidRDefault="00091DBC" w:rsidP="00091DBC">
      <w:pPr>
        <w:spacing w:line="360" w:lineRule="auto"/>
        <w:rPr>
          <w:rFonts w:ascii="Arial" w:eastAsia="Times New Roman" w:hAnsi="Arial" w:cs="Arial"/>
        </w:rPr>
      </w:pPr>
    </w:p>
    <w:p w14:paraId="2027E34C" w14:textId="77777777" w:rsidR="00091DBC" w:rsidRDefault="00091DBC" w:rsidP="00091DBC">
      <w:pPr>
        <w:spacing w:line="360" w:lineRule="auto"/>
        <w:rPr>
          <w:rFonts w:ascii="Arial" w:eastAsia="Times New Roman" w:hAnsi="Arial" w:cs="Arial"/>
        </w:rPr>
      </w:pPr>
      <w:r>
        <w:rPr>
          <w:rFonts w:ascii="Arial" w:eastAsia="Times New Roman" w:hAnsi="Arial" w:cs="Arial"/>
        </w:rPr>
        <w:t>Signed………………MMontaque……………………………</w:t>
      </w:r>
    </w:p>
    <w:p w14:paraId="3547A218" w14:textId="77777777" w:rsidR="00091DBC" w:rsidRDefault="00091DBC" w:rsidP="00091DBC">
      <w:pPr>
        <w:spacing w:line="360" w:lineRule="auto"/>
        <w:rPr>
          <w:rFonts w:ascii="Arial" w:eastAsia="Times New Roman" w:hAnsi="Arial" w:cs="Arial"/>
        </w:rPr>
      </w:pPr>
    </w:p>
    <w:p w14:paraId="18223123" w14:textId="77777777" w:rsidR="00091DBC" w:rsidRDefault="00091DBC" w:rsidP="00091DBC">
      <w:pPr>
        <w:spacing w:line="360" w:lineRule="auto"/>
        <w:rPr>
          <w:rFonts w:ascii="Arial" w:eastAsia="Times New Roman" w:hAnsi="Arial" w:cs="Arial"/>
        </w:rPr>
      </w:pPr>
    </w:p>
    <w:p w14:paraId="72C3CAF4" w14:textId="77777777" w:rsidR="00091DBC" w:rsidRDefault="00091DBC" w:rsidP="00091DBC">
      <w:pPr>
        <w:spacing w:line="360" w:lineRule="auto"/>
        <w:rPr>
          <w:rFonts w:ascii="Arial" w:eastAsia="Times New Roman" w:hAnsi="Arial" w:cs="Arial"/>
        </w:rPr>
      </w:pPr>
      <w:r>
        <w:rPr>
          <w:rFonts w:ascii="Arial" w:eastAsia="Times New Roman" w:hAnsi="Arial" w:cs="Arial"/>
        </w:rPr>
        <w:t>Date……………15/12/2025…………………………………</w:t>
      </w:r>
    </w:p>
    <w:p w14:paraId="5C4DD82B" w14:textId="77777777" w:rsidR="00091DBC" w:rsidRDefault="00091DBC" w:rsidP="00091DBC"/>
    <w:p w14:paraId="316AC842" w14:textId="77777777" w:rsidR="00091DBC" w:rsidRDefault="00091DBC" w:rsidP="00091DBC"/>
    <w:p w14:paraId="68914F43" w14:textId="77777777" w:rsidR="00091DBC" w:rsidRDefault="00091DBC" w:rsidP="00091DBC">
      <w:pPr>
        <w:spacing w:line="360" w:lineRule="auto"/>
        <w:rPr>
          <w:rFonts w:ascii="Arial" w:eastAsia="Times New Roman" w:hAnsi="Arial" w:cs="Arial"/>
          <w:bCs/>
          <w:kern w:val="32"/>
        </w:rPr>
      </w:pPr>
      <w:r>
        <w:rPr>
          <w:rFonts w:ascii="Arial" w:eastAsia="Times New Roman" w:hAnsi="Arial" w:cs="Arial"/>
          <w:b/>
        </w:rPr>
        <w:t xml:space="preserve">STATEMENT 1 </w:t>
      </w:r>
    </w:p>
    <w:p w14:paraId="299A9B87" w14:textId="77777777" w:rsidR="00091DBC" w:rsidRDefault="00091DBC" w:rsidP="00091DBC">
      <w:pPr>
        <w:spacing w:line="360" w:lineRule="auto"/>
        <w:rPr>
          <w:rFonts w:ascii="Arial" w:eastAsia="Times New Roman" w:hAnsi="Arial" w:cs="Arial"/>
        </w:rPr>
      </w:pPr>
      <w:r>
        <w:rPr>
          <w:rFonts w:ascii="Arial" w:eastAsia="Times New Roman" w:hAnsi="Arial" w:cs="Arial"/>
        </w:rPr>
        <w:t>This dissertation is being submitted in partial fulfilment of the requirements for the degree of BSc.</w:t>
      </w:r>
    </w:p>
    <w:p w14:paraId="2B4D49E2" w14:textId="77777777" w:rsidR="00091DBC" w:rsidRDefault="00091DBC" w:rsidP="00091DBC"/>
    <w:p w14:paraId="4F1833A6" w14:textId="77777777" w:rsidR="00091DBC" w:rsidRDefault="00091DBC" w:rsidP="00091DBC">
      <w:pPr>
        <w:spacing w:line="360" w:lineRule="auto"/>
        <w:rPr>
          <w:rFonts w:ascii="Arial" w:eastAsia="Times New Roman" w:hAnsi="Arial" w:cs="Arial"/>
        </w:rPr>
      </w:pPr>
      <w:r>
        <w:rPr>
          <w:rFonts w:ascii="Arial" w:eastAsia="Times New Roman" w:hAnsi="Arial" w:cs="Arial"/>
        </w:rPr>
        <w:t xml:space="preserve">Signed……………MMontaque………………………………. </w:t>
      </w:r>
    </w:p>
    <w:p w14:paraId="6E824B42" w14:textId="77777777" w:rsidR="00091DBC" w:rsidRDefault="00091DBC" w:rsidP="00091DBC">
      <w:pPr>
        <w:spacing w:line="360" w:lineRule="auto"/>
        <w:rPr>
          <w:rFonts w:ascii="Arial" w:eastAsia="Times New Roman" w:hAnsi="Arial" w:cs="Arial"/>
        </w:rPr>
      </w:pPr>
    </w:p>
    <w:p w14:paraId="178E08A8" w14:textId="77777777" w:rsidR="00091DBC" w:rsidRDefault="00091DBC" w:rsidP="00091DBC">
      <w:pPr>
        <w:spacing w:line="360" w:lineRule="auto"/>
        <w:rPr>
          <w:rFonts w:ascii="Arial" w:eastAsia="Times New Roman" w:hAnsi="Arial" w:cs="Arial"/>
        </w:rPr>
      </w:pPr>
    </w:p>
    <w:p w14:paraId="3EEEDB3D" w14:textId="77777777" w:rsidR="00091DBC" w:rsidRDefault="00091DBC" w:rsidP="00091DBC">
      <w:pPr>
        <w:spacing w:line="360" w:lineRule="auto"/>
        <w:rPr>
          <w:rFonts w:ascii="Arial" w:eastAsia="Times New Roman" w:hAnsi="Arial" w:cs="Arial"/>
        </w:rPr>
      </w:pPr>
      <w:r>
        <w:rPr>
          <w:rFonts w:ascii="Arial" w:eastAsia="Times New Roman" w:hAnsi="Arial" w:cs="Arial"/>
        </w:rPr>
        <w:t>Date………………15/12/2025………………………………</w:t>
      </w:r>
    </w:p>
    <w:p w14:paraId="6C5D9491" w14:textId="77777777" w:rsidR="00091DBC" w:rsidRDefault="00091DBC" w:rsidP="00091DBC">
      <w:pPr>
        <w:spacing w:line="360" w:lineRule="auto"/>
        <w:rPr>
          <w:rFonts w:ascii="Arial" w:eastAsia="Times New Roman" w:hAnsi="Arial" w:cs="Arial"/>
        </w:rPr>
      </w:pPr>
    </w:p>
    <w:p w14:paraId="5D195D9C" w14:textId="77777777" w:rsidR="00091DBC" w:rsidRDefault="00091DBC" w:rsidP="00091DBC">
      <w:pPr>
        <w:spacing w:line="360" w:lineRule="auto"/>
        <w:rPr>
          <w:rFonts w:ascii="Arial" w:eastAsia="Times New Roman" w:hAnsi="Arial" w:cs="Arial"/>
        </w:rPr>
      </w:pPr>
    </w:p>
    <w:p w14:paraId="312908E8" w14:textId="77777777" w:rsidR="00091DBC" w:rsidRDefault="00091DBC" w:rsidP="00091DBC">
      <w:pPr>
        <w:spacing w:line="360" w:lineRule="auto"/>
        <w:rPr>
          <w:rFonts w:ascii="Arial" w:eastAsia="Times New Roman" w:hAnsi="Arial" w:cs="Arial"/>
        </w:rPr>
      </w:pPr>
      <w:r>
        <w:rPr>
          <w:rFonts w:ascii="Arial" w:eastAsia="Times New Roman" w:hAnsi="Arial" w:cs="Arial"/>
          <w:b/>
        </w:rPr>
        <w:t>STATEMENT 2</w:t>
      </w:r>
    </w:p>
    <w:p w14:paraId="0E4780F4" w14:textId="77777777" w:rsidR="00091DBC" w:rsidRDefault="00091DBC" w:rsidP="00091DBC">
      <w:pPr>
        <w:spacing w:line="360" w:lineRule="auto"/>
        <w:rPr>
          <w:rFonts w:ascii="Arial" w:eastAsia="Times New Roman" w:hAnsi="Arial" w:cs="Arial"/>
        </w:rPr>
      </w:pPr>
      <w:r>
        <w:rPr>
          <w:rFonts w:ascii="Arial" w:eastAsia="Times New Roman" w:hAnsi="Arial" w:cs="Arial"/>
        </w:rPr>
        <w:t>This dissertation is the result of my own independent work/investigation, except where otherwise stated.</w:t>
      </w:r>
    </w:p>
    <w:p w14:paraId="682ACDDB" w14:textId="77777777" w:rsidR="00091DBC" w:rsidRDefault="00091DBC" w:rsidP="00091DBC">
      <w:pPr>
        <w:spacing w:line="360" w:lineRule="auto"/>
        <w:rPr>
          <w:rFonts w:ascii="Arial" w:eastAsia="Times New Roman" w:hAnsi="Arial" w:cs="Arial"/>
        </w:rPr>
      </w:pPr>
    </w:p>
    <w:p w14:paraId="4D2833C2" w14:textId="77777777" w:rsidR="00091DBC" w:rsidRDefault="00091DBC" w:rsidP="00091DBC">
      <w:pPr>
        <w:spacing w:line="360" w:lineRule="auto"/>
        <w:rPr>
          <w:rFonts w:ascii="Arial" w:eastAsia="Times New Roman" w:hAnsi="Arial" w:cs="Arial"/>
        </w:rPr>
      </w:pPr>
      <w:r>
        <w:rPr>
          <w:rFonts w:ascii="Arial" w:eastAsia="Times New Roman" w:hAnsi="Arial" w:cs="Arial"/>
        </w:rPr>
        <w:lastRenderedPageBreak/>
        <w:t>Other sources are acknowledged by footnotes giving explicit references.  A bibliography is appended.</w:t>
      </w:r>
    </w:p>
    <w:p w14:paraId="1A567438" w14:textId="77777777" w:rsidR="00091DBC" w:rsidRDefault="00091DBC" w:rsidP="00091DBC">
      <w:pPr>
        <w:spacing w:line="360" w:lineRule="auto"/>
        <w:rPr>
          <w:rFonts w:ascii="Arial" w:eastAsia="Times New Roman" w:hAnsi="Arial" w:cs="Arial"/>
        </w:rPr>
      </w:pPr>
    </w:p>
    <w:p w14:paraId="01B53A8D" w14:textId="77777777" w:rsidR="00091DBC" w:rsidRDefault="00091DBC" w:rsidP="00091DBC">
      <w:pPr>
        <w:spacing w:line="360" w:lineRule="auto"/>
        <w:rPr>
          <w:rFonts w:ascii="Arial" w:eastAsia="Times New Roman" w:hAnsi="Arial" w:cs="Arial"/>
        </w:rPr>
      </w:pPr>
    </w:p>
    <w:p w14:paraId="2093DB29" w14:textId="77777777" w:rsidR="00091DBC" w:rsidRDefault="00091DBC" w:rsidP="00091DBC">
      <w:pPr>
        <w:spacing w:line="360" w:lineRule="auto"/>
        <w:rPr>
          <w:rFonts w:ascii="Arial" w:eastAsia="Times New Roman" w:hAnsi="Arial" w:cs="Arial"/>
        </w:rPr>
      </w:pPr>
      <w:r>
        <w:rPr>
          <w:rFonts w:ascii="Arial" w:eastAsia="Times New Roman" w:hAnsi="Arial" w:cs="Arial"/>
        </w:rPr>
        <w:t>Signed……………MMontaque………………………………</w:t>
      </w:r>
    </w:p>
    <w:p w14:paraId="634B869E" w14:textId="77777777" w:rsidR="00091DBC" w:rsidRDefault="00091DBC" w:rsidP="00091DBC">
      <w:pPr>
        <w:spacing w:line="360" w:lineRule="auto"/>
        <w:rPr>
          <w:rFonts w:ascii="Arial" w:eastAsia="Times New Roman" w:hAnsi="Arial" w:cs="Arial"/>
        </w:rPr>
      </w:pPr>
    </w:p>
    <w:p w14:paraId="63783A41" w14:textId="77777777" w:rsidR="00091DBC" w:rsidRDefault="00091DBC" w:rsidP="00091DBC">
      <w:pPr>
        <w:spacing w:line="360" w:lineRule="auto"/>
        <w:rPr>
          <w:rFonts w:ascii="Arial" w:eastAsia="Times New Roman" w:hAnsi="Arial" w:cs="Arial"/>
        </w:rPr>
      </w:pPr>
    </w:p>
    <w:p w14:paraId="165FCE2C" w14:textId="77777777" w:rsidR="00091DBC" w:rsidRDefault="00091DBC" w:rsidP="00091DBC">
      <w:pPr>
        <w:spacing w:line="360" w:lineRule="auto"/>
        <w:rPr>
          <w:rFonts w:ascii="Arial" w:eastAsia="Times New Roman" w:hAnsi="Arial" w:cs="Arial"/>
        </w:rPr>
      </w:pPr>
      <w:r>
        <w:rPr>
          <w:rFonts w:ascii="Arial" w:eastAsia="Times New Roman" w:hAnsi="Arial" w:cs="Arial"/>
        </w:rPr>
        <w:t xml:space="preserve">Date……………15/12/2025………………………………… </w:t>
      </w:r>
    </w:p>
    <w:p w14:paraId="74751971" w14:textId="77777777" w:rsidR="00091DBC" w:rsidRDefault="00091DBC" w:rsidP="00091DBC">
      <w:pPr>
        <w:spacing w:line="360" w:lineRule="auto"/>
        <w:rPr>
          <w:rFonts w:ascii="Arial" w:eastAsia="Arial Unicode MS" w:hAnsi="Arial" w:cs="Arial"/>
          <w:b/>
          <w:sz w:val="28"/>
          <w:szCs w:val="28"/>
        </w:rPr>
      </w:pPr>
      <w:r>
        <w:rPr>
          <w:rFonts w:ascii="Arial" w:eastAsia="Arial Unicode MS" w:hAnsi="Arial" w:cs="Arial"/>
          <w:b/>
          <w:sz w:val="28"/>
          <w:szCs w:val="28"/>
        </w:rPr>
        <w:br w:type="page"/>
      </w:r>
    </w:p>
    <w:p w14:paraId="4B5DEB60" w14:textId="77777777" w:rsidR="00091DBC" w:rsidRDefault="00091DBC" w:rsidP="00091DBC">
      <w:pPr>
        <w:pStyle w:val="Heading1"/>
      </w:pPr>
      <w:r>
        <w:lastRenderedPageBreak/>
        <w:t>ACKNOWLEDGEMENTS</w:t>
      </w:r>
    </w:p>
    <w:p w14:paraId="6D1BAE4B" w14:textId="77777777" w:rsidR="00091DBC" w:rsidRDefault="00091DBC" w:rsidP="00091DBC">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i/>
        </w:rPr>
      </w:pPr>
    </w:p>
    <w:p w14:paraId="59FA6D14" w14:textId="77777777" w:rsidR="00091DBC" w:rsidRDefault="00091DBC" w:rsidP="00091DBC">
      <w:pPr>
        <w:pStyle w:val="NormalWeb"/>
        <w:jc w:val="both"/>
        <w:rPr>
          <w:rFonts w:ascii="Arial" w:hAnsi="Arial" w:cs="Arial"/>
          <w:sz w:val="22"/>
          <w:szCs w:val="22"/>
        </w:rPr>
      </w:pPr>
      <w:r>
        <w:rPr>
          <w:rFonts w:ascii="Arial" w:hAnsi="Arial" w:cs="Arial"/>
          <w:sz w:val="22"/>
          <w:szCs w:val="22"/>
        </w:rPr>
        <w:t xml:space="preserve">My appreciation goes to my family especially my mother ,my partner and my children.They have been my backbone and source of strength. </w:t>
      </w:r>
    </w:p>
    <w:p w14:paraId="77377F97" w14:textId="77777777" w:rsidR="00091DBC" w:rsidRDefault="00091DBC" w:rsidP="00091DBC">
      <w:pPr>
        <w:pStyle w:val="NormalWeb"/>
        <w:jc w:val="both"/>
        <w:rPr>
          <w:rFonts w:ascii="Arial" w:hAnsi="Arial" w:cs="Arial"/>
          <w:sz w:val="22"/>
          <w:szCs w:val="22"/>
        </w:rPr>
      </w:pPr>
      <w:r>
        <w:rPr>
          <w:rFonts w:ascii="Arial" w:hAnsi="Arial" w:cs="Arial"/>
          <w:sz w:val="22"/>
          <w:szCs w:val="22"/>
        </w:rPr>
        <w:t xml:space="preserve">I would like to express my sincere gratitude to my supervisor, </w:t>
      </w:r>
      <w:r>
        <w:rPr>
          <w:rStyle w:val="Strong"/>
          <w:rFonts w:ascii="Arial" w:hAnsi="Arial" w:cs="Arial"/>
          <w:b w:val="0"/>
          <w:bCs w:val="0"/>
          <w:sz w:val="22"/>
          <w:szCs w:val="22"/>
        </w:rPr>
        <w:t>Dr. Laila Surani</w:t>
      </w:r>
      <w:r>
        <w:rPr>
          <w:rFonts w:ascii="Arial" w:hAnsi="Arial" w:cs="Arial"/>
          <w:sz w:val="22"/>
          <w:szCs w:val="22"/>
        </w:rPr>
        <w:t xml:space="preserve">, for her invaluable guidance, encouragement, and expertise throughout the development of this research project, </w:t>
      </w:r>
      <w:r>
        <w:rPr>
          <w:rStyle w:val="Emphasis"/>
          <w:rFonts w:ascii="Arial" w:hAnsi="Arial" w:cs="Arial"/>
          <w:sz w:val="22"/>
          <w:szCs w:val="22"/>
        </w:rPr>
        <w:t>Exploring the Effect of Chronic Pain Management on the Physical Well-being of Older Adults in the United Kingdom</w:t>
      </w:r>
      <w:r>
        <w:rPr>
          <w:rFonts w:ascii="Arial" w:hAnsi="Arial" w:cs="Arial"/>
          <w:sz w:val="22"/>
          <w:szCs w:val="22"/>
        </w:rPr>
        <w:t>. Her thoughtful insights and continuous support were fundamental to the completion of this work.</w:t>
      </w:r>
    </w:p>
    <w:p w14:paraId="2726B034" w14:textId="77777777" w:rsidR="00091DBC" w:rsidRDefault="00091DBC" w:rsidP="00091DBC">
      <w:pPr>
        <w:pStyle w:val="NormalWeb"/>
        <w:jc w:val="both"/>
        <w:rPr>
          <w:rFonts w:ascii="Arial" w:hAnsi="Arial" w:cs="Arial"/>
          <w:sz w:val="22"/>
          <w:szCs w:val="22"/>
        </w:rPr>
      </w:pPr>
      <w:r>
        <w:rPr>
          <w:rFonts w:ascii="Arial" w:hAnsi="Arial" w:cs="Arial"/>
          <w:sz w:val="22"/>
          <w:szCs w:val="22"/>
        </w:rPr>
        <w:t xml:space="preserve">I am also deeply thankful to the </w:t>
      </w:r>
      <w:r>
        <w:rPr>
          <w:rStyle w:val="Strong"/>
          <w:rFonts w:ascii="Arial" w:hAnsi="Arial" w:cs="Arial"/>
          <w:b w:val="0"/>
          <w:bCs w:val="0"/>
          <w:sz w:val="22"/>
          <w:szCs w:val="22"/>
        </w:rPr>
        <w:t>faculty members of the University of Wales Trinity Saint David, London</w:t>
      </w:r>
      <w:r>
        <w:rPr>
          <w:rFonts w:ascii="Arial" w:hAnsi="Arial" w:cs="Arial"/>
          <w:sz w:val="22"/>
          <w:szCs w:val="22"/>
        </w:rPr>
        <w:t>, whose dedication to academic excellence created an engaging and supportive learning environment. Their constructive feedback, resources, and encouragement have played a significant role in shaping my academic journey and in strengthening the quality of this study.</w:t>
      </w:r>
    </w:p>
    <w:p w14:paraId="1242878C" w14:textId="77777777" w:rsidR="00091DBC" w:rsidRDefault="00091DBC" w:rsidP="00091DBC">
      <w:pPr>
        <w:pStyle w:val="NormalWeb"/>
        <w:jc w:val="both"/>
        <w:rPr>
          <w:rFonts w:ascii="Arial" w:hAnsi="Arial" w:cs="Arial"/>
          <w:sz w:val="22"/>
          <w:szCs w:val="22"/>
        </w:rPr>
      </w:pPr>
    </w:p>
    <w:p w14:paraId="1D56B25F" w14:textId="77777777" w:rsidR="00091DBC" w:rsidRDefault="00091DBC" w:rsidP="00091DBC">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
          <w:i/>
        </w:rPr>
      </w:pPr>
    </w:p>
    <w:p w14:paraId="220595F2" w14:textId="77777777" w:rsidR="00091DBC" w:rsidRDefault="00091DBC" w:rsidP="00091DBC">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iCs/>
        </w:rPr>
      </w:pPr>
    </w:p>
    <w:p w14:paraId="4B561791" w14:textId="77777777" w:rsidR="00091DBC" w:rsidRDefault="00091DBC" w:rsidP="00091DBC">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iCs/>
        </w:rPr>
      </w:pPr>
    </w:p>
    <w:p w14:paraId="40D2E76C" w14:textId="77777777" w:rsidR="00091DBC" w:rsidRDefault="00091DBC" w:rsidP="00091D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iCs/>
        </w:rPr>
      </w:pPr>
    </w:p>
    <w:p w14:paraId="7604FA97" w14:textId="77777777" w:rsidR="00091DBC" w:rsidRDefault="00091DBC" w:rsidP="00091DBC">
      <w:pPr>
        <w:spacing w:line="360" w:lineRule="auto"/>
        <w:rPr>
          <w:rFonts w:ascii="Arial" w:eastAsia="Arial Unicode MS" w:hAnsi="Arial" w:cs="Arial"/>
          <w:b/>
          <w:sz w:val="28"/>
          <w:szCs w:val="28"/>
        </w:rPr>
      </w:pPr>
      <w:r>
        <w:rPr>
          <w:rFonts w:ascii="Arial" w:eastAsia="Arial Unicode MS" w:hAnsi="Arial" w:cs="Arial"/>
          <w:b/>
          <w:sz w:val="28"/>
          <w:szCs w:val="28"/>
        </w:rPr>
        <w:br w:type="page"/>
      </w:r>
    </w:p>
    <w:p w14:paraId="380E6353" w14:textId="77777777" w:rsidR="00091DBC" w:rsidRDefault="00091DBC" w:rsidP="00091D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i/>
        </w:rPr>
      </w:pPr>
      <w:r>
        <w:rPr>
          <w:rFonts w:ascii="Arial" w:eastAsia="Arial Unicode MS" w:hAnsi="Arial" w:cs="Arial"/>
          <w:b/>
          <w:sz w:val="28"/>
          <w:szCs w:val="28"/>
        </w:rPr>
        <w:lastRenderedPageBreak/>
        <w:t>ABSTRACT</w:t>
      </w:r>
    </w:p>
    <w:p w14:paraId="1B05335B" w14:textId="77777777" w:rsidR="00091DBC" w:rsidRDefault="00091DBC" w:rsidP="00091DBC">
      <w:pPr>
        <w:spacing w:line="360" w:lineRule="auto"/>
        <w:jc w:val="both"/>
        <w:rPr>
          <w:rFonts w:ascii="Arial" w:eastAsia="Arial Unicode MS" w:hAnsi="Arial" w:cs="Arial"/>
        </w:rPr>
      </w:pPr>
      <w:r>
        <w:rPr>
          <w:rFonts w:ascii="Arial" w:eastAsia="Arial Unicode MS" w:hAnsi="Arial" w:cs="Arial"/>
        </w:rPr>
        <w:t xml:space="preserve">Chronic pain affects nearly 40% of older adults in the United Kingdom and is closely associated with reduced mobility and diminished quality of life. Rising rates of musculoskeletal conditions, increasing NHS service pressures, and inequitable access to multidisciplinary care underscore the need for evidence-based management approaches. </w:t>
      </w:r>
    </w:p>
    <w:p w14:paraId="318FF97C" w14:textId="77777777" w:rsidR="00091DBC" w:rsidRDefault="00091DBC" w:rsidP="00091DBC">
      <w:pPr>
        <w:spacing w:line="360" w:lineRule="auto"/>
        <w:jc w:val="both"/>
        <w:rPr>
          <w:rFonts w:ascii="Arial" w:eastAsia="Arial Unicode MS" w:hAnsi="Arial" w:cs="Arial"/>
        </w:rPr>
      </w:pPr>
    </w:p>
    <w:p w14:paraId="7B62D233" w14:textId="77777777" w:rsidR="00091DBC" w:rsidRDefault="00091DBC" w:rsidP="00091DBC">
      <w:pPr>
        <w:spacing w:line="360" w:lineRule="auto"/>
        <w:jc w:val="both"/>
        <w:rPr>
          <w:rFonts w:ascii="Arial" w:eastAsia="Arial Unicode MS" w:hAnsi="Arial" w:cs="Arial"/>
        </w:rPr>
      </w:pPr>
      <w:r>
        <w:rPr>
          <w:rFonts w:ascii="Arial" w:eastAsia="Arial Unicode MS" w:hAnsi="Arial" w:cs="Arial"/>
        </w:rPr>
        <w:t>This study aims to examine the effectiveness of chronic pain management strategies and their influence on the physical well-being of older adults in the UK. The specific objectives are to identify commonly used management approaches, assess their impact on physical health, explore barriers to accessing effective care, and propose recommendations for improvement.</w:t>
      </w:r>
    </w:p>
    <w:p w14:paraId="1926EBA9" w14:textId="77777777" w:rsidR="00091DBC" w:rsidRDefault="00091DBC" w:rsidP="00091DBC">
      <w:pPr>
        <w:spacing w:line="360" w:lineRule="auto"/>
        <w:jc w:val="both"/>
        <w:rPr>
          <w:rFonts w:ascii="Arial" w:eastAsia="Arial Unicode MS" w:hAnsi="Arial" w:cs="Arial"/>
        </w:rPr>
      </w:pPr>
    </w:p>
    <w:p w14:paraId="052B7310" w14:textId="77777777" w:rsidR="00091DBC" w:rsidRDefault="00091DBC" w:rsidP="00091DBC">
      <w:pPr>
        <w:spacing w:line="360" w:lineRule="auto"/>
        <w:jc w:val="both"/>
        <w:rPr>
          <w:rFonts w:ascii="Arial" w:eastAsia="Arial Unicode MS" w:hAnsi="Arial" w:cs="Arial"/>
        </w:rPr>
      </w:pPr>
      <w:r>
        <w:rPr>
          <w:rFonts w:ascii="Arial" w:eastAsia="Arial Unicode MS" w:hAnsi="Arial" w:cs="Arial"/>
        </w:rPr>
        <w:t>A systematic review methodology was adopted, analysing ten UK-based empirical studies published between 2015 and 2025. Searches were conducted across Google Scholar, ProQuest, PubMed and the University of Wales Trinity Saint David Library. Eligible studies focusing on adults aged 60 and above were synthesised using Braun and Clarke’s thematic analysis, integrating qualitative, quantitative, and mixed-methods evidence.</w:t>
      </w:r>
    </w:p>
    <w:p w14:paraId="6EE9D6EB" w14:textId="77777777" w:rsidR="00091DBC" w:rsidRDefault="00091DBC" w:rsidP="00091DBC">
      <w:pPr>
        <w:spacing w:line="360" w:lineRule="auto"/>
        <w:jc w:val="both"/>
        <w:rPr>
          <w:rFonts w:ascii="Arial" w:eastAsia="Arial Unicode MS" w:hAnsi="Arial" w:cs="Arial"/>
        </w:rPr>
      </w:pPr>
    </w:p>
    <w:p w14:paraId="1BE6F8B9" w14:textId="77777777" w:rsidR="00091DBC" w:rsidRDefault="00091DBC" w:rsidP="00091DBC">
      <w:pPr>
        <w:spacing w:line="360" w:lineRule="auto"/>
        <w:jc w:val="both"/>
        <w:rPr>
          <w:rFonts w:ascii="Arial" w:eastAsia="Arial Unicode MS" w:hAnsi="Arial" w:cs="Arial"/>
        </w:rPr>
      </w:pPr>
      <w:r>
        <w:rPr>
          <w:rFonts w:ascii="Arial" w:eastAsia="Arial Unicode MS" w:hAnsi="Arial" w:cs="Arial"/>
        </w:rPr>
        <w:t>The findings show that chronic pain significantly disrupts mobility, independence, and activities of daily living. Non-pharmacological strategies including physiotherapy, self-management, and peer support offer measurable benefits but remain inconsistently available. Barriers include fragmented services, rural access inequities, long waiting times, and gaps in healthcare professionals’ training. Psychological distress and multimorbidity further compound physical limitations.</w:t>
      </w:r>
    </w:p>
    <w:p w14:paraId="06E094B9" w14:textId="77777777" w:rsidR="00091DBC" w:rsidRDefault="00091DBC" w:rsidP="00091DBC">
      <w:pPr>
        <w:spacing w:line="360" w:lineRule="auto"/>
        <w:jc w:val="both"/>
        <w:rPr>
          <w:rFonts w:ascii="Arial" w:eastAsia="Arial Unicode MS" w:hAnsi="Arial" w:cs="Arial"/>
        </w:rPr>
      </w:pPr>
    </w:p>
    <w:p w14:paraId="70B62391" w14:textId="77777777" w:rsidR="00091DBC" w:rsidRDefault="00091DBC" w:rsidP="00091DBC">
      <w:pPr>
        <w:spacing w:line="360" w:lineRule="auto"/>
        <w:jc w:val="both"/>
        <w:rPr>
          <w:rFonts w:ascii="Arial" w:eastAsia="Arial Unicode MS" w:hAnsi="Arial" w:cs="Arial"/>
        </w:rPr>
      </w:pPr>
      <w:r>
        <w:rPr>
          <w:rFonts w:ascii="Arial" w:eastAsia="Arial Unicode MS" w:hAnsi="Arial" w:cs="Arial"/>
        </w:rPr>
        <w:t>The study concludes that holistic, biopsychosocial, and multidisciplinary approaches are essential for improving physical well-being. Strengthening professional education, enhancing integrated care pathways, and digital support are recommended to improve outcomes for older adults living with chronic pain in the UK.</w:t>
      </w:r>
    </w:p>
    <w:p w14:paraId="72D9F367" w14:textId="77777777" w:rsidR="00091DBC" w:rsidRDefault="00091DBC" w:rsidP="00091DBC">
      <w:pPr>
        <w:spacing w:line="360" w:lineRule="auto"/>
        <w:jc w:val="both"/>
        <w:rPr>
          <w:rFonts w:ascii="Arial" w:eastAsia="Arial Unicode MS" w:hAnsi="Arial" w:cs="Arial"/>
          <w:color w:val="0070C0"/>
        </w:rPr>
      </w:pPr>
    </w:p>
    <w:p w14:paraId="2E5BA6E3" w14:textId="77777777" w:rsidR="00091DBC" w:rsidRDefault="00091DBC" w:rsidP="00091D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u w:val="single"/>
        </w:rPr>
      </w:pPr>
    </w:p>
    <w:p w14:paraId="0D1E1EAC" w14:textId="77777777" w:rsidR="00091DBC" w:rsidRDefault="00091DBC" w:rsidP="00091D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rPr>
      </w:pPr>
    </w:p>
    <w:p w14:paraId="578B558B" w14:textId="77777777" w:rsidR="00091DBC" w:rsidRDefault="00091DBC" w:rsidP="00091DBC">
      <w:r>
        <w:br w:type="page"/>
      </w:r>
    </w:p>
    <w:p w14:paraId="175DA405" w14:textId="77777777" w:rsidR="00091DBC" w:rsidRDefault="00091DBC" w:rsidP="00091DBC">
      <w:pPr>
        <w:keepNext/>
        <w:pageBreakBefore/>
        <w:spacing w:after="180" w:line="360" w:lineRule="auto"/>
        <w:outlineLvl w:val="0"/>
        <w:rPr>
          <w:rFonts w:ascii="Arial" w:eastAsia="Times New Roman" w:hAnsi="Arial" w:cs="Arial"/>
          <w:b/>
          <w:kern w:val="28"/>
          <w:sz w:val="32"/>
          <w:szCs w:val="20"/>
        </w:rPr>
      </w:pPr>
      <w:bookmarkStart w:id="0" w:name="_Toc299977276"/>
      <w:bookmarkStart w:id="1" w:name="_Toc536543204"/>
      <w:bookmarkStart w:id="2" w:name="_Toc536543433"/>
      <w:bookmarkStart w:id="3" w:name="_Toc15893759"/>
      <w:r>
        <w:rPr>
          <w:rFonts w:ascii="Arial" w:eastAsia="Times New Roman" w:hAnsi="Arial" w:cs="Arial"/>
          <w:b/>
          <w:kern w:val="28"/>
          <w:sz w:val="32"/>
          <w:szCs w:val="20"/>
        </w:rPr>
        <w:lastRenderedPageBreak/>
        <w:t>Table of</w:t>
      </w:r>
      <w:r>
        <w:rPr>
          <w:rFonts w:ascii="Arial" w:eastAsia="Times New Roman" w:hAnsi="Arial" w:cs="Arial"/>
          <w:bCs/>
          <w:kern w:val="28"/>
          <w:sz w:val="32"/>
          <w:szCs w:val="20"/>
        </w:rPr>
        <w:t xml:space="preserve"> </w:t>
      </w:r>
      <w:r>
        <w:rPr>
          <w:rFonts w:ascii="Arial" w:eastAsia="Times New Roman" w:hAnsi="Arial" w:cs="Arial"/>
          <w:b/>
          <w:kern w:val="28"/>
          <w:sz w:val="32"/>
          <w:szCs w:val="20"/>
        </w:rPr>
        <w:t>Contents</w:t>
      </w:r>
      <w:bookmarkEnd w:id="0"/>
      <w:bookmarkEnd w:id="1"/>
      <w:bookmarkEnd w:id="2"/>
      <w:bookmarkEnd w:id="3"/>
      <w:r>
        <w:rPr>
          <w:rFonts w:ascii="Arial" w:eastAsia="Times New Roman" w:hAnsi="Arial" w:cs="Arial"/>
          <w:b/>
          <w:kern w:val="28"/>
          <w:sz w:val="32"/>
          <w:szCs w:val="20"/>
        </w:rPr>
        <w:t xml:space="preserve"> </w:t>
      </w:r>
    </w:p>
    <w:p w14:paraId="7E6A0437" w14:textId="77777777" w:rsidR="00091DBC" w:rsidRDefault="00091DBC" w:rsidP="00091DBC">
      <w:pPr>
        <w:pStyle w:val="BodyText"/>
        <w:spacing w:before="149" w:line="369" w:lineRule="auto"/>
        <w:ind w:left="360" w:right="8037"/>
        <w:rPr>
          <w:rFonts w:ascii="Arial" w:hAnsi="Arial" w:cs="Arial"/>
        </w:rPr>
      </w:pPr>
      <w:r>
        <w:rPr>
          <w:rFonts w:ascii="Arial" w:hAnsi="Arial" w:cs="Arial"/>
        </w:rPr>
        <w:t>TITLE PAGE</w:t>
      </w:r>
      <w:r>
        <w:rPr>
          <w:rFonts w:ascii="Arial" w:hAnsi="Arial" w:cs="Arial"/>
          <w:spacing w:val="-4"/>
        </w:rPr>
        <w:t xml:space="preserve">                                                                                                                     </w:t>
      </w:r>
    </w:p>
    <w:sdt>
      <w:sdtPr>
        <w:rPr>
          <w:rFonts w:ascii="Arial" w:hAnsi="Arial" w:cs="Arial"/>
          <w:sz w:val="22"/>
          <w:szCs w:val="22"/>
        </w:rPr>
        <w:id w:val="768200531"/>
        <w:docPartObj>
          <w:docPartGallery w:val="Table of Contents"/>
          <w:docPartUnique/>
        </w:docPartObj>
      </w:sdtPr>
      <w:sdtEndPr>
        <w:rPr>
          <w:rFonts w:eastAsiaTheme="minorHAnsi"/>
          <w:kern w:val="2"/>
          <w:sz w:val="24"/>
          <w:szCs w:val="24"/>
          <w:lang w:val="en-US" w:eastAsia="en-US" w:bidi="ar-SA"/>
          <w14:ligatures w14:val="standardContextual"/>
        </w:rPr>
      </w:sdtEndPr>
      <w:sdtContent>
        <w:p w14:paraId="4430BF38" w14:textId="77777777" w:rsidR="00091DBC" w:rsidRDefault="00091DBC" w:rsidP="00091DBC">
          <w:pPr>
            <w:pStyle w:val="TOC1"/>
            <w:tabs>
              <w:tab w:val="right" w:pos="8548"/>
            </w:tabs>
            <w:spacing w:before="174"/>
            <w:rPr>
              <w:rFonts w:ascii="Arial" w:hAnsi="Arial" w:cs="Arial"/>
              <w:sz w:val="22"/>
              <w:szCs w:val="22"/>
            </w:rPr>
          </w:pPr>
          <w:r>
            <w:rPr>
              <w:rFonts w:ascii="Arial" w:hAnsi="Arial" w:cs="Arial"/>
              <w:sz w:val="22"/>
              <w:szCs w:val="22"/>
            </w:rPr>
            <w:fldChar w:fldCharType="begin"/>
          </w:r>
          <w:r>
            <w:rPr>
              <w:rFonts w:ascii="Arial" w:hAnsi="Arial" w:cs="Arial"/>
              <w:sz w:val="22"/>
              <w:szCs w:val="22"/>
            </w:rPr>
            <w:instrText xml:space="preserve">TOC \o "1-1" \h \z \u </w:instrText>
          </w:r>
          <w:r>
            <w:rPr>
              <w:rFonts w:ascii="Arial" w:hAnsi="Arial" w:cs="Arial"/>
              <w:sz w:val="22"/>
              <w:szCs w:val="22"/>
            </w:rPr>
            <w:fldChar w:fldCharType="separate"/>
          </w:r>
          <w:hyperlink w:anchor="_TOC_250006" w:history="1">
            <w:r>
              <w:rPr>
                <w:rFonts w:ascii="Arial" w:hAnsi="Arial" w:cs="Arial"/>
                <w:spacing w:val="-2"/>
                <w:sz w:val="22"/>
                <w:szCs w:val="22"/>
              </w:rPr>
              <w:t>DE</w:t>
            </w:r>
            <w:r>
              <w:rPr>
                <w:rFonts w:ascii="Arial" w:hAnsi="Arial" w:cs="Arial"/>
                <w:spacing w:val="-2"/>
                <w:sz w:val="22"/>
                <w:szCs w:val="22"/>
                <w:lang w:val="en-US"/>
              </w:rPr>
              <w:t>CLARATION</w:t>
            </w:r>
            <w:r>
              <w:rPr>
                <w:rFonts w:ascii="Arial" w:hAnsi="Arial" w:cs="Arial"/>
                <w:sz w:val="22"/>
                <w:szCs w:val="22"/>
              </w:rPr>
              <w:tab/>
            </w:r>
            <w:r>
              <w:rPr>
                <w:rFonts w:ascii="Arial" w:hAnsi="Arial" w:cs="Arial"/>
                <w:spacing w:val="-5"/>
                <w:sz w:val="22"/>
                <w:szCs w:val="22"/>
              </w:rPr>
              <w:t>ii</w:t>
            </w:r>
          </w:hyperlink>
        </w:p>
        <w:p w14:paraId="1D24B052" w14:textId="77777777" w:rsidR="00091DBC" w:rsidRDefault="00091DBC" w:rsidP="00091DBC">
          <w:pPr>
            <w:pStyle w:val="TOC1"/>
            <w:tabs>
              <w:tab w:val="right" w:pos="8558"/>
            </w:tabs>
            <w:rPr>
              <w:rFonts w:ascii="Arial" w:hAnsi="Arial" w:cs="Arial"/>
              <w:sz w:val="22"/>
              <w:szCs w:val="22"/>
            </w:rPr>
          </w:pPr>
          <w:hyperlink w:anchor="_TOC_250005" w:history="1">
            <w:r>
              <w:rPr>
                <w:rFonts w:ascii="Arial" w:hAnsi="Arial" w:cs="Arial"/>
                <w:spacing w:val="-2"/>
                <w:sz w:val="22"/>
                <w:szCs w:val="22"/>
              </w:rPr>
              <w:t>ACKNOWLEDGEMENTS</w:t>
            </w:r>
            <w:r>
              <w:rPr>
                <w:rFonts w:ascii="Arial" w:hAnsi="Arial" w:cs="Arial"/>
                <w:sz w:val="22"/>
                <w:szCs w:val="22"/>
              </w:rPr>
              <w:tab/>
            </w:r>
            <w:r>
              <w:rPr>
                <w:rFonts w:ascii="Arial" w:hAnsi="Arial" w:cs="Arial"/>
                <w:spacing w:val="-5"/>
                <w:sz w:val="22"/>
                <w:szCs w:val="22"/>
              </w:rPr>
              <w:t>iii</w:t>
            </w:r>
          </w:hyperlink>
        </w:p>
        <w:p w14:paraId="238CFFA0" w14:textId="77777777" w:rsidR="00091DBC" w:rsidRDefault="00091DBC" w:rsidP="00091DBC">
          <w:pPr>
            <w:pStyle w:val="TOC1"/>
            <w:tabs>
              <w:tab w:val="right" w:pos="8553"/>
            </w:tabs>
            <w:rPr>
              <w:rFonts w:ascii="Arial" w:hAnsi="Arial" w:cs="Arial"/>
              <w:sz w:val="22"/>
              <w:szCs w:val="22"/>
            </w:rPr>
          </w:pPr>
          <w:hyperlink w:anchor="_TOC_250004" w:history="1">
            <w:r>
              <w:rPr>
                <w:rFonts w:ascii="Arial" w:hAnsi="Arial" w:cs="Arial"/>
                <w:spacing w:val="-2"/>
                <w:sz w:val="22"/>
                <w:szCs w:val="22"/>
              </w:rPr>
              <w:t>ABSTRACT</w:t>
            </w:r>
            <w:r>
              <w:rPr>
                <w:rFonts w:ascii="Arial" w:hAnsi="Arial" w:cs="Arial"/>
                <w:sz w:val="22"/>
                <w:szCs w:val="22"/>
              </w:rPr>
              <w:tab/>
            </w:r>
            <w:r>
              <w:rPr>
                <w:rFonts w:ascii="Arial" w:hAnsi="Arial" w:cs="Arial"/>
                <w:spacing w:val="-5"/>
                <w:sz w:val="22"/>
                <w:szCs w:val="22"/>
              </w:rPr>
              <w:t>iv</w:t>
            </w:r>
          </w:hyperlink>
        </w:p>
        <w:p w14:paraId="73375BB0" w14:textId="77777777" w:rsidR="00091DBC" w:rsidRDefault="00091DBC" w:rsidP="00091DBC">
          <w:pPr>
            <w:pStyle w:val="TOC1"/>
            <w:tabs>
              <w:tab w:val="right" w:pos="8488"/>
            </w:tabs>
            <w:spacing w:before="174"/>
            <w:rPr>
              <w:rFonts w:ascii="Arial" w:hAnsi="Arial" w:cs="Arial"/>
              <w:sz w:val="22"/>
              <w:szCs w:val="22"/>
            </w:rPr>
          </w:pPr>
          <w:hyperlink w:anchor="_TOC_250003" w:history="1">
            <w:r>
              <w:rPr>
                <w:rFonts w:ascii="Arial" w:hAnsi="Arial" w:cs="Arial"/>
                <w:sz w:val="22"/>
                <w:szCs w:val="22"/>
              </w:rPr>
              <w:t>TABLE</w:t>
            </w:r>
            <w:r>
              <w:rPr>
                <w:rFonts w:ascii="Arial" w:hAnsi="Arial" w:cs="Arial"/>
                <w:spacing w:val="-13"/>
                <w:sz w:val="22"/>
                <w:szCs w:val="22"/>
              </w:rPr>
              <w:t xml:space="preserve"> </w:t>
            </w:r>
            <w:r>
              <w:rPr>
                <w:rFonts w:ascii="Arial" w:hAnsi="Arial" w:cs="Arial"/>
                <w:sz w:val="22"/>
                <w:szCs w:val="22"/>
              </w:rPr>
              <w:t>OF</w:t>
            </w:r>
            <w:r>
              <w:rPr>
                <w:rFonts w:ascii="Arial" w:hAnsi="Arial" w:cs="Arial"/>
                <w:spacing w:val="-10"/>
                <w:sz w:val="22"/>
                <w:szCs w:val="22"/>
              </w:rPr>
              <w:t xml:space="preserve"> </w:t>
            </w:r>
            <w:r>
              <w:rPr>
                <w:rFonts w:ascii="Arial" w:hAnsi="Arial" w:cs="Arial"/>
                <w:spacing w:val="-2"/>
                <w:sz w:val="22"/>
                <w:szCs w:val="22"/>
              </w:rPr>
              <w:t>CONTENTS</w:t>
            </w:r>
            <w:r>
              <w:rPr>
                <w:rFonts w:ascii="Arial" w:hAnsi="Arial" w:cs="Arial"/>
                <w:sz w:val="22"/>
                <w:szCs w:val="22"/>
              </w:rPr>
              <w:tab/>
            </w:r>
            <w:r>
              <w:rPr>
                <w:rFonts w:ascii="Arial" w:hAnsi="Arial" w:cs="Arial"/>
                <w:spacing w:val="-10"/>
                <w:sz w:val="22"/>
                <w:szCs w:val="22"/>
              </w:rPr>
              <w:t>v</w:t>
            </w:r>
          </w:hyperlink>
        </w:p>
        <w:p w14:paraId="2DC5627A" w14:textId="77777777" w:rsidR="00091DBC" w:rsidRDefault="00091DBC" w:rsidP="00091DBC">
          <w:pPr>
            <w:pStyle w:val="TOC1"/>
            <w:tabs>
              <w:tab w:val="right" w:pos="8480"/>
            </w:tabs>
            <w:rPr>
              <w:rFonts w:ascii="Arial" w:hAnsi="Arial" w:cs="Arial"/>
              <w:sz w:val="22"/>
              <w:szCs w:val="22"/>
            </w:rPr>
          </w:pPr>
          <w:hyperlink w:anchor="_TOC_250002" w:history="1">
            <w:r>
              <w:rPr>
                <w:rFonts w:ascii="Arial" w:hAnsi="Arial" w:cs="Arial"/>
                <w:sz w:val="22"/>
                <w:szCs w:val="22"/>
              </w:rPr>
              <w:t>LIST</w:t>
            </w:r>
            <w:r>
              <w:rPr>
                <w:rFonts w:ascii="Arial" w:hAnsi="Arial" w:cs="Arial"/>
                <w:spacing w:val="-8"/>
                <w:sz w:val="22"/>
                <w:szCs w:val="22"/>
              </w:rPr>
              <w:t xml:space="preserve"> </w:t>
            </w:r>
            <w:r>
              <w:rPr>
                <w:rFonts w:ascii="Arial" w:hAnsi="Arial" w:cs="Arial"/>
                <w:sz w:val="22"/>
                <w:szCs w:val="22"/>
              </w:rPr>
              <w:t>OF</w:t>
            </w:r>
            <w:r>
              <w:rPr>
                <w:rFonts w:ascii="Arial" w:hAnsi="Arial" w:cs="Arial"/>
                <w:spacing w:val="1"/>
                <w:sz w:val="22"/>
                <w:szCs w:val="22"/>
              </w:rPr>
              <w:t xml:space="preserve"> </w:t>
            </w:r>
            <w:r>
              <w:rPr>
                <w:rFonts w:ascii="Arial" w:hAnsi="Arial" w:cs="Arial"/>
                <w:spacing w:val="-2"/>
                <w:sz w:val="22"/>
                <w:szCs w:val="22"/>
              </w:rPr>
              <w:t>FIGURES</w:t>
            </w:r>
            <w:r>
              <w:rPr>
                <w:rFonts w:ascii="Arial" w:hAnsi="Arial" w:cs="Arial"/>
                <w:sz w:val="22"/>
                <w:szCs w:val="22"/>
              </w:rPr>
              <w:tab/>
            </w:r>
            <w:r>
              <w:rPr>
                <w:rFonts w:ascii="Arial" w:hAnsi="Arial" w:cs="Arial"/>
                <w:spacing w:val="-5"/>
                <w:sz w:val="22"/>
                <w:szCs w:val="22"/>
              </w:rPr>
              <w:t>vi</w:t>
            </w:r>
          </w:hyperlink>
        </w:p>
        <w:p w14:paraId="085FBFC2" w14:textId="77777777" w:rsidR="00091DBC" w:rsidRDefault="00091DBC" w:rsidP="00091DBC">
          <w:pPr>
            <w:pStyle w:val="TOC1"/>
            <w:tabs>
              <w:tab w:val="right" w:pos="8568"/>
            </w:tabs>
            <w:spacing w:before="175"/>
            <w:rPr>
              <w:rFonts w:ascii="Arial" w:hAnsi="Arial" w:cs="Arial"/>
              <w:sz w:val="22"/>
              <w:szCs w:val="22"/>
            </w:rPr>
          </w:pPr>
          <w:hyperlink w:anchor="_TOC_250001" w:history="1">
            <w:r>
              <w:rPr>
                <w:rFonts w:ascii="Arial" w:hAnsi="Arial" w:cs="Arial"/>
                <w:sz w:val="22"/>
                <w:szCs w:val="22"/>
              </w:rPr>
              <w:t>LIST</w:t>
            </w:r>
            <w:r>
              <w:rPr>
                <w:rFonts w:ascii="Arial" w:hAnsi="Arial" w:cs="Arial"/>
                <w:spacing w:val="-8"/>
                <w:sz w:val="22"/>
                <w:szCs w:val="22"/>
              </w:rPr>
              <w:t xml:space="preserve"> </w:t>
            </w:r>
            <w:r>
              <w:rPr>
                <w:rFonts w:ascii="Arial" w:hAnsi="Arial" w:cs="Arial"/>
                <w:sz w:val="22"/>
                <w:szCs w:val="22"/>
              </w:rPr>
              <w:t>OF</w:t>
            </w:r>
            <w:r>
              <w:rPr>
                <w:rFonts w:ascii="Arial" w:hAnsi="Arial" w:cs="Arial"/>
                <w:spacing w:val="-4"/>
                <w:sz w:val="22"/>
                <w:szCs w:val="22"/>
              </w:rPr>
              <w:t xml:space="preserve"> </w:t>
            </w:r>
            <w:r>
              <w:rPr>
                <w:rFonts w:ascii="Arial" w:hAnsi="Arial" w:cs="Arial"/>
                <w:spacing w:val="-2"/>
                <w:sz w:val="22"/>
                <w:szCs w:val="22"/>
              </w:rPr>
              <w:t>TABLES</w:t>
            </w:r>
            <w:r>
              <w:rPr>
                <w:rFonts w:ascii="Arial" w:hAnsi="Arial" w:cs="Arial"/>
                <w:sz w:val="22"/>
                <w:szCs w:val="22"/>
              </w:rPr>
              <w:tab/>
            </w:r>
            <w:r>
              <w:rPr>
                <w:rFonts w:ascii="Arial" w:hAnsi="Arial" w:cs="Arial"/>
                <w:spacing w:val="-5"/>
                <w:sz w:val="22"/>
                <w:szCs w:val="22"/>
              </w:rPr>
              <w:t>vii</w:t>
            </w:r>
          </w:hyperlink>
        </w:p>
        <w:p w14:paraId="5C4C3C5B" w14:textId="77777777" w:rsidR="00091DBC" w:rsidRDefault="00091DBC" w:rsidP="00091DBC">
          <w:pPr>
            <w:pStyle w:val="TOC1"/>
            <w:tabs>
              <w:tab w:val="right" w:pos="8440"/>
            </w:tabs>
            <w:rPr>
              <w:rFonts w:ascii="Arial" w:hAnsi="Arial" w:cs="Arial"/>
              <w:sz w:val="22"/>
              <w:szCs w:val="22"/>
            </w:rPr>
          </w:pPr>
          <w:hyperlink w:anchor="_TOC_250000" w:history="1">
            <w:r>
              <w:rPr>
                <w:rFonts w:ascii="Arial" w:hAnsi="Arial" w:cs="Arial"/>
                <w:sz w:val="22"/>
                <w:szCs w:val="22"/>
              </w:rPr>
              <w:t>LIST</w:t>
            </w:r>
            <w:r>
              <w:rPr>
                <w:rFonts w:ascii="Arial" w:hAnsi="Arial" w:cs="Arial"/>
                <w:spacing w:val="-8"/>
                <w:sz w:val="22"/>
                <w:szCs w:val="22"/>
              </w:rPr>
              <w:t xml:space="preserve"> </w:t>
            </w:r>
            <w:r>
              <w:rPr>
                <w:rFonts w:ascii="Arial" w:hAnsi="Arial" w:cs="Arial"/>
                <w:sz w:val="22"/>
                <w:szCs w:val="22"/>
              </w:rPr>
              <w:t>OF</w:t>
            </w:r>
            <w:r>
              <w:rPr>
                <w:rFonts w:ascii="Arial" w:hAnsi="Arial" w:cs="Arial"/>
                <w:spacing w:val="-14"/>
                <w:sz w:val="22"/>
                <w:szCs w:val="22"/>
              </w:rPr>
              <w:t xml:space="preserve"> </w:t>
            </w:r>
            <w:r>
              <w:rPr>
                <w:rFonts w:ascii="Arial" w:hAnsi="Arial" w:cs="Arial"/>
                <w:spacing w:val="-2"/>
                <w:sz w:val="22"/>
                <w:szCs w:val="22"/>
              </w:rPr>
              <w:t>ABBREVIATIONS/NOMENCLATURE</w:t>
            </w:r>
            <w:r>
              <w:rPr>
                <w:rFonts w:ascii="Arial" w:hAnsi="Arial" w:cs="Arial"/>
                <w:sz w:val="22"/>
                <w:szCs w:val="22"/>
              </w:rPr>
              <w:tab/>
            </w:r>
            <w:r>
              <w:rPr>
                <w:rFonts w:ascii="Arial" w:hAnsi="Arial" w:cs="Arial"/>
                <w:sz w:val="22"/>
                <w:szCs w:val="22"/>
                <w:lang w:val="en-US"/>
              </w:rPr>
              <w:t xml:space="preserve">   </w:t>
            </w:r>
            <w:r>
              <w:rPr>
                <w:rFonts w:ascii="Arial" w:hAnsi="Arial" w:cs="Arial"/>
                <w:spacing w:val="-5"/>
                <w:sz w:val="22"/>
                <w:szCs w:val="22"/>
              </w:rPr>
              <w:t>xi</w:t>
            </w:r>
          </w:hyperlink>
        </w:p>
        <w:p w14:paraId="73B468D0" w14:textId="77777777" w:rsidR="00091DBC" w:rsidRDefault="00091DBC" w:rsidP="00091DBC">
          <w:pPr>
            <w:spacing w:line="174" w:lineRule="exact"/>
            <w:rPr>
              <w:rFonts w:ascii="Arial" w:hAnsi="Arial" w:cs="Arial"/>
            </w:rPr>
          </w:pPr>
          <w:r>
            <w:rPr>
              <w:rFonts w:ascii="Arial" w:hAnsi="Arial" w:cs="Arial"/>
            </w:rPr>
            <w:fldChar w:fldCharType="end"/>
          </w:r>
        </w:p>
      </w:sdtContent>
    </w:sdt>
    <w:p w14:paraId="6B25FA22" w14:textId="77777777" w:rsidR="00091DBC" w:rsidRDefault="00091DBC" w:rsidP="00091DBC">
      <w:pPr>
        <w:pStyle w:val="BodyText"/>
        <w:tabs>
          <w:tab w:val="left" w:pos="8400"/>
        </w:tabs>
        <w:ind w:left="360"/>
        <w:rPr>
          <w:rFonts w:ascii="Arial" w:hAnsi="Arial" w:cs="Arial"/>
        </w:rPr>
      </w:pPr>
      <w:r>
        <w:rPr>
          <w:rFonts w:ascii="Arial" w:hAnsi="Arial" w:cs="Arial"/>
          <w:b/>
          <w:bCs/>
        </w:rPr>
        <w:t>CHAPTER</w:t>
      </w:r>
      <w:r>
        <w:rPr>
          <w:rFonts w:ascii="Arial" w:hAnsi="Arial" w:cs="Arial"/>
          <w:b/>
          <w:bCs/>
          <w:spacing w:val="-2"/>
        </w:rPr>
        <w:t xml:space="preserve"> </w:t>
      </w:r>
      <w:r>
        <w:rPr>
          <w:rFonts w:ascii="Arial" w:hAnsi="Arial" w:cs="Arial"/>
          <w:b/>
          <w:bCs/>
        </w:rPr>
        <w:t>ONE:</w:t>
      </w:r>
      <w:r>
        <w:rPr>
          <w:rFonts w:ascii="Arial" w:hAnsi="Arial" w:cs="Arial"/>
          <w:spacing w:val="-2"/>
        </w:rPr>
        <w:t xml:space="preserve"> INTRODUCTION</w:t>
      </w:r>
      <w:r>
        <w:rPr>
          <w:rFonts w:ascii="Arial" w:hAnsi="Arial" w:cs="Arial"/>
          <w:spacing w:val="-2"/>
        </w:rPr>
        <w:tab/>
        <w:t>1</w:t>
      </w:r>
    </w:p>
    <w:p w14:paraId="2AF9CCE2" w14:textId="77777777" w:rsidR="00091DBC" w:rsidRDefault="00091DBC" w:rsidP="00091DBC">
      <w:pPr>
        <w:pStyle w:val="ListParagraph"/>
        <w:tabs>
          <w:tab w:val="left" w:pos="720"/>
          <w:tab w:val="left" w:pos="8400"/>
        </w:tabs>
        <w:spacing w:before="139"/>
        <w:ind w:left="360"/>
        <w:rPr>
          <w:rFonts w:ascii="Arial" w:hAnsi="Arial" w:cs="Arial"/>
        </w:rPr>
      </w:pPr>
      <w:r>
        <w:rPr>
          <w:rFonts w:ascii="Arial" w:hAnsi="Arial" w:cs="Arial"/>
          <w:sz w:val="22"/>
          <w:szCs w:val="22"/>
        </w:rPr>
        <w:t xml:space="preserve">1.0 Introduction </w:t>
      </w:r>
      <w:r>
        <w:rPr>
          <w:rFonts w:ascii="Arial" w:hAnsi="Arial" w:cs="Arial"/>
          <w:spacing w:val="-2"/>
          <w:sz w:val="22"/>
          <w:szCs w:val="22"/>
        </w:rPr>
        <w:tab/>
        <w:t>1</w:t>
      </w:r>
    </w:p>
    <w:p w14:paraId="4C35CE8C" w14:textId="77777777" w:rsidR="00091DBC" w:rsidRDefault="00091DBC" w:rsidP="00091DBC">
      <w:pPr>
        <w:pStyle w:val="ListParagraph"/>
        <w:widowControl w:val="0"/>
        <w:numPr>
          <w:ilvl w:val="1"/>
          <w:numId w:val="7"/>
        </w:numPr>
        <w:tabs>
          <w:tab w:val="left" w:pos="720"/>
          <w:tab w:val="left" w:pos="8400"/>
        </w:tabs>
        <w:autoSpaceDE w:val="0"/>
        <w:autoSpaceDN w:val="0"/>
        <w:spacing w:before="134" w:after="0" w:line="240" w:lineRule="auto"/>
        <w:contextualSpacing w:val="0"/>
        <w:rPr>
          <w:rFonts w:ascii="Arial" w:hAnsi="Arial" w:cs="Arial"/>
        </w:rPr>
      </w:pPr>
      <w:r>
        <w:rPr>
          <w:rFonts w:ascii="Arial" w:hAnsi="Arial" w:cs="Arial"/>
          <w:sz w:val="22"/>
          <w:szCs w:val="22"/>
        </w:rPr>
        <w:t xml:space="preserve">Key Terminologies </w:t>
      </w:r>
      <w:r>
        <w:rPr>
          <w:rFonts w:ascii="Arial" w:hAnsi="Arial" w:cs="Arial"/>
          <w:spacing w:val="-2"/>
          <w:sz w:val="22"/>
          <w:szCs w:val="22"/>
        </w:rPr>
        <w:tab/>
        <w:t>2</w:t>
      </w:r>
    </w:p>
    <w:p w14:paraId="47419F89" w14:textId="77777777" w:rsidR="00091DBC" w:rsidRDefault="00091DBC" w:rsidP="00091DBC">
      <w:pPr>
        <w:pStyle w:val="ListParagraph"/>
        <w:widowControl w:val="0"/>
        <w:numPr>
          <w:ilvl w:val="1"/>
          <w:numId w:val="7"/>
        </w:numPr>
        <w:tabs>
          <w:tab w:val="left" w:pos="720"/>
          <w:tab w:val="left" w:pos="8400"/>
        </w:tabs>
        <w:autoSpaceDE w:val="0"/>
        <w:autoSpaceDN w:val="0"/>
        <w:spacing w:before="139" w:after="0" w:line="240" w:lineRule="auto"/>
        <w:contextualSpacing w:val="0"/>
        <w:rPr>
          <w:rFonts w:ascii="Arial" w:hAnsi="Arial" w:cs="Arial"/>
        </w:rPr>
      </w:pPr>
      <w:r>
        <w:rPr>
          <w:rFonts w:ascii="Arial" w:hAnsi="Arial" w:cs="Arial"/>
          <w:sz w:val="22"/>
          <w:szCs w:val="22"/>
        </w:rPr>
        <w:t>Rationale of the study</w:t>
      </w:r>
      <w:r>
        <w:rPr>
          <w:rFonts w:ascii="Arial" w:hAnsi="Arial" w:cs="Arial"/>
          <w:spacing w:val="-4"/>
          <w:sz w:val="22"/>
          <w:szCs w:val="22"/>
        </w:rPr>
        <w:tab/>
        <w:t>3</w:t>
      </w:r>
    </w:p>
    <w:p w14:paraId="3B9219F8" w14:textId="77777777" w:rsidR="00091DBC" w:rsidRDefault="00091DBC" w:rsidP="00091DBC">
      <w:pPr>
        <w:pStyle w:val="ListParagraph"/>
        <w:widowControl w:val="0"/>
        <w:numPr>
          <w:ilvl w:val="1"/>
          <w:numId w:val="7"/>
        </w:numPr>
        <w:tabs>
          <w:tab w:val="left" w:pos="720"/>
          <w:tab w:val="left" w:pos="8400"/>
        </w:tabs>
        <w:autoSpaceDE w:val="0"/>
        <w:autoSpaceDN w:val="0"/>
        <w:spacing w:before="134" w:after="0" w:line="240" w:lineRule="auto"/>
        <w:contextualSpacing w:val="0"/>
        <w:rPr>
          <w:rFonts w:ascii="Arial" w:hAnsi="Arial" w:cs="Arial"/>
        </w:rPr>
      </w:pPr>
      <w:r>
        <w:rPr>
          <w:rFonts w:ascii="Arial" w:hAnsi="Arial" w:cs="Arial"/>
          <w:sz w:val="22"/>
          <w:szCs w:val="22"/>
        </w:rPr>
        <w:t xml:space="preserve">Aim and Objectives </w:t>
      </w:r>
      <w:r>
        <w:rPr>
          <w:rFonts w:ascii="Arial" w:hAnsi="Arial" w:cs="Arial"/>
          <w:spacing w:val="-2"/>
          <w:sz w:val="22"/>
          <w:szCs w:val="22"/>
        </w:rPr>
        <w:tab/>
        <w:t>4</w:t>
      </w:r>
    </w:p>
    <w:p w14:paraId="6EFB18B5" w14:textId="77777777" w:rsidR="00091DBC" w:rsidRDefault="00091DBC" w:rsidP="00091DBC">
      <w:pPr>
        <w:pStyle w:val="ListParagraph"/>
        <w:widowControl w:val="0"/>
        <w:numPr>
          <w:ilvl w:val="1"/>
          <w:numId w:val="7"/>
        </w:numPr>
        <w:tabs>
          <w:tab w:val="left" w:pos="720"/>
          <w:tab w:val="left" w:pos="8400"/>
        </w:tabs>
        <w:autoSpaceDE w:val="0"/>
        <w:autoSpaceDN w:val="0"/>
        <w:spacing w:before="139" w:after="0" w:line="240" w:lineRule="auto"/>
        <w:contextualSpacing w:val="0"/>
        <w:rPr>
          <w:rFonts w:ascii="Arial" w:hAnsi="Arial" w:cs="Arial"/>
        </w:rPr>
      </w:pPr>
      <w:r>
        <w:rPr>
          <w:rFonts w:ascii="Arial" w:hAnsi="Arial" w:cs="Arial"/>
          <w:sz w:val="22"/>
          <w:szCs w:val="22"/>
        </w:rPr>
        <w:t>Structure of the dissertation</w:t>
      </w:r>
      <w:r>
        <w:rPr>
          <w:rFonts w:ascii="Arial" w:hAnsi="Arial" w:cs="Arial"/>
          <w:spacing w:val="-2"/>
          <w:sz w:val="22"/>
          <w:szCs w:val="22"/>
        </w:rPr>
        <w:tab/>
        <w:t>4</w:t>
      </w:r>
    </w:p>
    <w:p w14:paraId="31EFBAE3" w14:textId="77777777" w:rsidR="00091DBC" w:rsidRDefault="00091DBC" w:rsidP="00091DBC">
      <w:pPr>
        <w:pStyle w:val="ListParagraph"/>
        <w:tabs>
          <w:tab w:val="left" w:pos="720"/>
          <w:tab w:val="left" w:pos="8400"/>
        </w:tabs>
        <w:spacing w:before="134" w:line="360" w:lineRule="auto"/>
        <w:ind w:left="360" w:right="5450"/>
        <w:rPr>
          <w:rFonts w:ascii="Arial" w:hAnsi="Arial" w:cs="Arial"/>
        </w:rPr>
      </w:pPr>
      <w:r>
        <w:rPr>
          <w:rFonts w:ascii="Arial" w:hAnsi="Arial" w:cs="Arial"/>
          <w:b/>
          <w:bCs/>
          <w:sz w:val="22"/>
          <w:szCs w:val="22"/>
        </w:rPr>
        <w:t>CHAPTER</w:t>
      </w:r>
      <w:r>
        <w:rPr>
          <w:rFonts w:ascii="Arial" w:hAnsi="Arial" w:cs="Arial"/>
          <w:b/>
          <w:bCs/>
          <w:spacing w:val="-15"/>
          <w:sz w:val="22"/>
          <w:szCs w:val="22"/>
        </w:rPr>
        <w:t xml:space="preserve"> </w:t>
      </w:r>
      <w:r>
        <w:rPr>
          <w:rFonts w:ascii="Arial" w:hAnsi="Arial" w:cs="Arial"/>
          <w:b/>
          <w:bCs/>
          <w:sz w:val="22"/>
          <w:szCs w:val="22"/>
        </w:rPr>
        <w:t>TWO:</w:t>
      </w:r>
      <w:r>
        <w:rPr>
          <w:rFonts w:ascii="Arial" w:hAnsi="Arial" w:cs="Arial"/>
          <w:spacing w:val="-15"/>
          <w:sz w:val="22"/>
          <w:szCs w:val="22"/>
        </w:rPr>
        <w:t xml:space="preserve"> </w:t>
      </w:r>
      <w:r>
        <w:rPr>
          <w:rFonts w:ascii="Arial" w:hAnsi="Arial" w:cs="Arial"/>
          <w:sz w:val="22"/>
          <w:szCs w:val="22"/>
        </w:rPr>
        <w:t xml:space="preserve">LITERATURE </w:t>
      </w:r>
      <w:r>
        <w:rPr>
          <w:rFonts w:ascii="Arial" w:hAnsi="Arial" w:cs="Arial"/>
          <w:spacing w:val="-15"/>
          <w:sz w:val="22"/>
          <w:szCs w:val="22"/>
        </w:rPr>
        <w:t>RE</w:t>
      </w:r>
      <w:r>
        <w:rPr>
          <w:rFonts w:ascii="Arial" w:hAnsi="Arial" w:cs="Arial"/>
          <w:sz w:val="22"/>
          <w:szCs w:val="22"/>
        </w:rPr>
        <w:t>VIEW</w:t>
      </w:r>
    </w:p>
    <w:p w14:paraId="54E155EE" w14:textId="77777777" w:rsidR="00091DBC" w:rsidRDefault="00091DBC" w:rsidP="00091DBC">
      <w:pPr>
        <w:pStyle w:val="ListParagraph"/>
        <w:tabs>
          <w:tab w:val="left" w:pos="720"/>
          <w:tab w:val="left" w:pos="8400"/>
        </w:tabs>
        <w:spacing w:line="273" w:lineRule="exact"/>
        <w:ind w:left="360"/>
        <w:rPr>
          <w:rFonts w:ascii="Arial" w:hAnsi="Arial" w:cs="Arial"/>
        </w:rPr>
      </w:pPr>
      <w:r>
        <w:rPr>
          <w:rFonts w:ascii="Arial" w:hAnsi="Arial" w:cs="Arial"/>
          <w:sz w:val="22"/>
          <w:szCs w:val="22"/>
        </w:rPr>
        <w:t xml:space="preserve">2.0 Introduction </w:t>
      </w:r>
      <w:r>
        <w:rPr>
          <w:rFonts w:ascii="Arial" w:hAnsi="Arial" w:cs="Arial"/>
          <w:spacing w:val="-2"/>
          <w:sz w:val="22"/>
          <w:szCs w:val="22"/>
        </w:rPr>
        <w:tab/>
        <w:t>6</w:t>
      </w:r>
    </w:p>
    <w:p w14:paraId="63AA5F87" w14:textId="77777777" w:rsidR="00091DBC" w:rsidRDefault="00091DBC" w:rsidP="00091DBC">
      <w:pPr>
        <w:pStyle w:val="ListParagraph"/>
        <w:tabs>
          <w:tab w:val="left" w:pos="900"/>
          <w:tab w:val="left" w:pos="8400"/>
        </w:tabs>
        <w:spacing w:before="139"/>
        <w:ind w:left="0" w:firstLineChars="150" w:firstLine="327"/>
        <w:rPr>
          <w:rFonts w:ascii="Arial" w:hAnsi="Arial" w:cs="Arial"/>
        </w:rPr>
      </w:pPr>
      <w:r>
        <w:rPr>
          <w:rFonts w:ascii="Arial" w:hAnsi="Arial" w:cs="Arial"/>
          <w:spacing w:val="-2"/>
          <w:sz w:val="22"/>
          <w:szCs w:val="22"/>
        </w:rPr>
        <w:t>2.1 Historical Background</w:t>
      </w:r>
      <w:r>
        <w:rPr>
          <w:rFonts w:ascii="Arial" w:hAnsi="Arial" w:cs="Arial"/>
          <w:spacing w:val="-2"/>
          <w:sz w:val="22"/>
          <w:szCs w:val="22"/>
        </w:rPr>
        <w:tab/>
        <w:t>6</w:t>
      </w:r>
    </w:p>
    <w:p w14:paraId="1A1FB69B" w14:textId="77777777" w:rsidR="00091DBC" w:rsidRDefault="00091DBC" w:rsidP="00091DBC">
      <w:pPr>
        <w:pStyle w:val="ListParagraph"/>
        <w:tabs>
          <w:tab w:val="left" w:pos="720"/>
          <w:tab w:val="left" w:pos="8400"/>
        </w:tabs>
        <w:spacing w:before="139"/>
        <w:ind w:left="0" w:firstLineChars="150" w:firstLine="330"/>
        <w:rPr>
          <w:rFonts w:ascii="Arial" w:hAnsi="Arial" w:cs="Arial"/>
        </w:rPr>
      </w:pPr>
      <w:r>
        <w:rPr>
          <w:rFonts w:ascii="Arial" w:hAnsi="Arial" w:cs="Arial"/>
          <w:sz w:val="22"/>
          <w:szCs w:val="22"/>
        </w:rPr>
        <w:t>2.2 Conceptual clarifications</w:t>
      </w:r>
      <w:r>
        <w:rPr>
          <w:rFonts w:ascii="Arial" w:hAnsi="Arial" w:cs="Arial"/>
          <w:spacing w:val="-2"/>
          <w:sz w:val="22"/>
          <w:szCs w:val="22"/>
        </w:rPr>
        <w:tab/>
        <w:t>6</w:t>
      </w:r>
    </w:p>
    <w:p w14:paraId="4DAD15C0" w14:textId="77777777" w:rsidR="00091DBC" w:rsidRDefault="00091DBC" w:rsidP="00091DBC">
      <w:pPr>
        <w:pStyle w:val="ListParagraph"/>
        <w:tabs>
          <w:tab w:val="left" w:pos="884"/>
          <w:tab w:val="left" w:pos="8400"/>
        </w:tabs>
        <w:spacing w:before="134"/>
        <w:ind w:left="360"/>
        <w:rPr>
          <w:rFonts w:ascii="Arial" w:hAnsi="Arial" w:cs="Arial"/>
        </w:rPr>
      </w:pPr>
      <w:r>
        <w:rPr>
          <w:rFonts w:ascii="Arial" w:hAnsi="Arial" w:cs="Arial"/>
          <w:sz w:val="22"/>
          <w:szCs w:val="22"/>
        </w:rPr>
        <w:t>2.3  Impact of Chronic Pain Management on Physical Well-Being</w:t>
      </w:r>
      <w:r>
        <w:rPr>
          <w:rFonts w:ascii="Arial" w:hAnsi="Arial" w:cs="Arial"/>
          <w:spacing w:val="-2"/>
          <w:sz w:val="22"/>
          <w:szCs w:val="22"/>
        </w:rPr>
        <w:tab/>
        <w:t>7</w:t>
      </w:r>
    </w:p>
    <w:p w14:paraId="04283E7F" w14:textId="77777777" w:rsidR="00091DBC" w:rsidRDefault="00091DBC" w:rsidP="00091DBC">
      <w:pPr>
        <w:pStyle w:val="ListParagraph"/>
        <w:tabs>
          <w:tab w:val="left" w:pos="900"/>
          <w:tab w:val="left" w:pos="8400"/>
        </w:tabs>
        <w:spacing w:before="139"/>
        <w:ind w:left="0" w:firstLineChars="150" w:firstLine="327"/>
        <w:rPr>
          <w:rFonts w:ascii="Arial" w:hAnsi="Arial" w:cs="Arial"/>
          <w:spacing w:val="-2"/>
        </w:rPr>
      </w:pPr>
      <w:r>
        <w:rPr>
          <w:rFonts w:ascii="Arial" w:hAnsi="Arial" w:cs="Arial"/>
          <w:spacing w:val="-2"/>
          <w:sz w:val="22"/>
          <w:szCs w:val="22"/>
        </w:rPr>
        <w:t>2.4 Theoretical Background                                                                                            7</w:t>
      </w:r>
    </w:p>
    <w:p w14:paraId="16F23627" w14:textId="77777777" w:rsidR="00091DBC" w:rsidRDefault="00091DBC" w:rsidP="00091DBC">
      <w:pPr>
        <w:pStyle w:val="ListParagraph"/>
        <w:tabs>
          <w:tab w:val="left" w:pos="900"/>
          <w:tab w:val="left" w:pos="8400"/>
        </w:tabs>
        <w:spacing w:before="140"/>
        <w:ind w:left="0" w:firstLineChars="150" w:firstLine="330"/>
        <w:rPr>
          <w:rFonts w:ascii="Arial" w:hAnsi="Arial" w:cs="Arial"/>
        </w:rPr>
      </w:pPr>
      <w:r>
        <w:rPr>
          <w:rFonts w:ascii="Arial" w:hAnsi="Arial" w:cs="Arial"/>
          <w:sz w:val="22"/>
          <w:szCs w:val="22"/>
        </w:rPr>
        <w:t xml:space="preserve">2. 5 International Context </w:t>
      </w:r>
      <w:r>
        <w:rPr>
          <w:rFonts w:ascii="Arial" w:hAnsi="Arial" w:cs="Arial"/>
          <w:spacing w:val="-2"/>
          <w:sz w:val="22"/>
          <w:szCs w:val="22"/>
        </w:rPr>
        <w:tab/>
        <w:t xml:space="preserve"> 8</w:t>
      </w:r>
    </w:p>
    <w:p w14:paraId="6514297E" w14:textId="77777777" w:rsidR="00091DBC" w:rsidRDefault="00091DBC" w:rsidP="00091DBC">
      <w:pPr>
        <w:pStyle w:val="ListParagraph"/>
        <w:tabs>
          <w:tab w:val="left" w:pos="900"/>
          <w:tab w:val="left" w:pos="8400"/>
        </w:tabs>
        <w:spacing w:before="134"/>
        <w:ind w:left="0" w:firstLineChars="150" w:firstLine="330"/>
        <w:rPr>
          <w:rFonts w:ascii="Arial" w:hAnsi="Arial" w:cs="Arial"/>
        </w:rPr>
      </w:pPr>
      <w:r>
        <w:rPr>
          <w:rFonts w:ascii="Arial" w:hAnsi="Arial" w:cs="Arial"/>
          <w:sz w:val="22"/>
          <w:szCs w:val="22"/>
        </w:rPr>
        <w:t xml:space="preserve">2.6 National/Local Context </w:t>
      </w:r>
      <w:r>
        <w:rPr>
          <w:rFonts w:ascii="Arial" w:hAnsi="Arial" w:cs="Arial"/>
          <w:spacing w:val="-2"/>
          <w:sz w:val="22"/>
          <w:szCs w:val="22"/>
        </w:rPr>
        <w:tab/>
        <w:t xml:space="preserve"> 9</w:t>
      </w:r>
    </w:p>
    <w:p w14:paraId="5188B0DF" w14:textId="77777777" w:rsidR="00091DBC" w:rsidRDefault="00091DBC" w:rsidP="00091DBC">
      <w:pPr>
        <w:pStyle w:val="ListParagraph"/>
        <w:tabs>
          <w:tab w:val="left" w:pos="720"/>
          <w:tab w:val="left" w:pos="8400"/>
        </w:tabs>
        <w:spacing w:before="139"/>
        <w:ind w:left="360"/>
        <w:rPr>
          <w:rFonts w:ascii="Arial" w:hAnsi="Arial" w:cs="Arial"/>
        </w:rPr>
      </w:pPr>
      <w:r>
        <w:rPr>
          <w:rFonts w:ascii="Arial" w:hAnsi="Arial" w:cs="Arial"/>
          <w:sz w:val="22"/>
          <w:szCs w:val="22"/>
        </w:rPr>
        <w:t xml:space="preserve">2.7 Policies in the UK </w:t>
      </w:r>
      <w:r>
        <w:rPr>
          <w:rFonts w:ascii="Arial" w:hAnsi="Arial" w:cs="Arial"/>
          <w:spacing w:val="-2"/>
          <w:sz w:val="22"/>
          <w:szCs w:val="22"/>
        </w:rPr>
        <w:tab/>
        <w:t xml:space="preserve"> 9</w:t>
      </w:r>
    </w:p>
    <w:p w14:paraId="03F63CA6" w14:textId="77777777" w:rsidR="00091DBC" w:rsidRDefault="00091DBC" w:rsidP="00091DBC">
      <w:pPr>
        <w:pStyle w:val="ListParagraph"/>
        <w:tabs>
          <w:tab w:val="left" w:pos="720"/>
          <w:tab w:val="left" w:pos="8400"/>
        </w:tabs>
        <w:spacing w:before="134"/>
        <w:ind w:left="360"/>
        <w:rPr>
          <w:rFonts w:ascii="Arial" w:hAnsi="Arial" w:cs="Arial"/>
        </w:rPr>
      </w:pPr>
      <w:r>
        <w:rPr>
          <w:rFonts w:ascii="Arial" w:hAnsi="Arial" w:cs="Arial"/>
          <w:sz w:val="22"/>
          <w:szCs w:val="22"/>
        </w:rPr>
        <w:t xml:space="preserve">2.8 Gaps in the Research </w:t>
      </w:r>
      <w:r>
        <w:rPr>
          <w:rFonts w:ascii="Arial" w:hAnsi="Arial" w:cs="Arial"/>
          <w:spacing w:val="-2"/>
          <w:sz w:val="22"/>
          <w:szCs w:val="22"/>
        </w:rPr>
        <w:tab/>
        <w:t xml:space="preserve"> 9</w:t>
      </w:r>
    </w:p>
    <w:p w14:paraId="1881536C" w14:textId="77777777" w:rsidR="00091DBC" w:rsidRDefault="00091DBC" w:rsidP="00091DBC">
      <w:pPr>
        <w:pStyle w:val="ListParagraph"/>
        <w:tabs>
          <w:tab w:val="left" w:pos="720"/>
          <w:tab w:val="left" w:pos="8400"/>
        </w:tabs>
        <w:spacing w:before="139"/>
        <w:ind w:left="360"/>
        <w:rPr>
          <w:rFonts w:ascii="Arial" w:hAnsi="Arial" w:cs="Arial"/>
        </w:rPr>
      </w:pPr>
      <w:r>
        <w:rPr>
          <w:rFonts w:ascii="Arial" w:hAnsi="Arial" w:cs="Arial"/>
          <w:sz w:val="22"/>
          <w:szCs w:val="22"/>
        </w:rPr>
        <w:t xml:space="preserve">2.9 Conclusion </w:t>
      </w:r>
      <w:r>
        <w:rPr>
          <w:rFonts w:ascii="Arial" w:hAnsi="Arial" w:cs="Arial"/>
          <w:spacing w:val="-2"/>
          <w:sz w:val="22"/>
          <w:szCs w:val="22"/>
        </w:rPr>
        <w:tab/>
        <w:t>10</w:t>
      </w:r>
    </w:p>
    <w:p w14:paraId="346A02AB" w14:textId="77777777" w:rsidR="00091DBC" w:rsidRDefault="00091DBC" w:rsidP="00091DBC">
      <w:pPr>
        <w:pStyle w:val="BodyText"/>
        <w:tabs>
          <w:tab w:val="left" w:pos="8400"/>
        </w:tabs>
        <w:spacing w:before="274"/>
        <w:rPr>
          <w:rFonts w:ascii="Arial" w:hAnsi="Arial" w:cs="Arial"/>
        </w:rPr>
      </w:pPr>
    </w:p>
    <w:p w14:paraId="61F528F2" w14:textId="77777777" w:rsidR="00091DBC" w:rsidRDefault="00091DBC" w:rsidP="00091DBC">
      <w:pPr>
        <w:pStyle w:val="BodyText"/>
        <w:tabs>
          <w:tab w:val="left" w:pos="8400"/>
        </w:tabs>
        <w:ind w:left="360"/>
        <w:rPr>
          <w:rFonts w:ascii="Arial" w:hAnsi="Arial" w:cs="Arial"/>
        </w:rPr>
      </w:pPr>
      <w:r>
        <w:rPr>
          <w:rFonts w:ascii="Arial" w:hAnsi="Arial" w:cs="Arial"/>
          <w:b/>
          <w:bCs/>
        </w:rPr>
        <w:t>CHAPTER</w:t>
      </w:r>
      <w:r>
        <w:rPr>
          <w:rFonts w:ascii="Arial" w:hAnsi="Arial" w:cs="Arial"/>
          <w:b/>
          <w:bCs/>
          <w:spacing w:val="-10"/>
        </w:rPr>
        <w:t xml:space="preserve"> </w:t>
      </w:r>
      <w:r>
        <w:rPr>
          <w:rFonts w:ascii="Arial" w:hAnsi="Arial" w:cs="Arial"/>
          <w:b/>
          <w:bCs/>
        </w:rPr>
        <w:t>THREE:</w:t>
      </w:r>
      <w:r>
        <w:rPr>
          <w:rFonts w:ascii="Arial" w:hAnsi="Arial" w:cs="Arial"/>
          <w:spacing w:val="-5"/>
        </w:rPr>
        <w:t xml:space="preserve"> </w:t>
      </w:r>
      <w:r>
        <w:rPr>
          <w:rFonts w:ascii="Arial" w:hAnsi="Arial" w:cs="Arial"/>
          <w:spacing w:val="-2"/>
        </w:rPr>
        <w:t>METHODOLOGY</w:t>
      </w:r>
    </w:p>
    <w:p w14:paraId="1530A90E" w14:textId="77777777" w:rsidR="00091DBC" w:rsidRDefault="00091DBC" w:rsidP="00091DBC">
      <w:pPr>
        <w:pStyle w:val="ListParagraph"/>
        <w:tabs>
          <w:tab w:val="left" w:pos="704"/>
          <w:tab w:val="left" w:pos="8400"/>
        </w:tabs>
        <w:spacing w:before="139"/>
        <w:ind w:left="360"/>
        <w:rPr>
          <w:rFonts w:ascii="Arial" w:hAnsi="Arial" w:cs="Arial"/>
        </w:rPr>
      </w:pPr>
      <w:r>
        <w:rPr>
          <w:rFonts w:ascii="Arial" w:hAnsi="Arial" w:cs="Arial"/>
          <w:sz w:val="22"/>
          <w:szCs w:val="22"/>
        </w:rPr>
        <w:t xml:space="preserve">3.0 Introduction </w:t>
      </w:r>
      <w:r>
        <w:rPr>
          <w:rFonts w:ascii="Arial" w:hAnsi="Arial" w:cs="Arial"/>
          <w:spacing w:val="-2"/>
          <w:sz w:val="22"/>
          <w:szCs w:val="22"/>
        </w:rPr>
        <w:tab/>
        <w:t>11</w:t>
      </w:r>
    </w:p>
    <w:p w14:paraId="06D22919" w14:textId="77777777" w:rsidR="00091DBC" w:rsidRDefault="00091DBC" w:rsidP="00091DBC">
      <w:pPr>
        <w:pStyle w:val="ListParagraph"/>
        <w:widowControl w:val="0"/>
        <w:numPr>
          <w:ilvl w:val="1"/>
          <w:numId w:val="8"/>
        </w:numPr>
        <w:tabs>
          <w:tab w:val="left" w:pos="720"/>
          <w:tab w:val="left" w:pos="8400"/>
        </w:tabs>
        <w:autoSpaceDE w:val="0"/>
        <w:autoSpaceDN w:val="0"/>
        <w:spacing w:before="139" w:after="0" w:line="240" w:lineRule="auto"/>
        <w:ind w:left="720" w:hanging="360"/>
        <w:contextualSpacing w:val="0"/>
        <w:rPr>
          <w:rFonts w:ascii="Arial" w:hAnsi="Arial" w:cs="Arial"/>
        </w:rPr>
      </w:pPr>
      <w:r>
        <w:rPr>
          <w:rFonts w:ascii="Arial" w:hAnsi="Arial" w:cs="Arial"/>
          <w:sz w:val="22"/>
          <w:szCs w:val="22"/>
        </w:rPr>
        <w:t>Search Strategy</w:t>
      </w:r>
      <w:r>
        <w:rPr>
          <w:rFonts w:ascii="Arial" w:hAnsi="Arial" w:cs="Arial"/>
          <w:spacing w:val="-2"/>
          <w:sz w:val="22"/>
          <w:szCs w:val="22"/>
        </w:rPr>
        <w:tab/>
        <w:t>11</w:t>
      </w:r>
    </w:p>
    <w:p w14:paraId="477F6199" w14:textId="77777777" w:rsidR="00091DBC" w:rsidRDefault="00091DBC" w:rsidP="00091DBC">
      <w:pPr>
        <w:pStyle w:val="ListParagraph"/>
        <w:widowControl w:val="0"/>
        <w:numPr>
          <w:ilvl w:val="1"/>
          <w:numId w:val="8"/>
        </w:numPr>
        <w:tabs>
          <w:tab w:val="left" w:pos="720"/>
          <w:tab w:val="left" w:pos="8400"/>
        </w:tabs>
        <w:autoSpaceDE w:val="0"/>
        <w:autoSpaceDN w:val="0"/>
        <w:spacing w:before="134" w:after="0" w:line="240" w:lineRule="auto"/>
        <w:ind w:left="720" w:hanging="360"/>
        <w:contextualSpacing w:val="0"/>
        <w:rPr>
          <w:rFonts w:ascii="Arial" w:hAnsi="Arial" w:cs="Arial"/>
        </w:rPr>
      </w:pPr>
      <w:r>
        <w:rPr>
          <w:rFonts w:ascii="Arial" w:hAnsi="Arial" w:cs="Arial"/>
          <w:sz w:val="22"/>
          <w:szCs w:val="22"/>
        </w:rPr>
        <w:t xml:space="preserve">Inclusion and Exclusion Criteria </w:t>
      </w:r>
      <w:r>
        <w:rPr>
          <w:rFonts w:ascii="Arial" w:hAnsi="Arial" w:cs="Arial"/>
          <w:spacing w:val="-4"/>
          <w:sz w:val="22"/>
          <w:szCs w:val="22"/>
        </w:rPr>
        <w:tab/>
        <w:t>11</w:t>
      </w:r>
    </w:p>
    <w:p w14:paraId="7CD0094A" w14:textId="77777777" w:rsidR="00091DBC" w:rsidRDefault="00091DBC" w:rsidP="00091DBC">
      <w:pPr>
        <w:pStyle w:val="ListParagraph"/>
        <w:widowControl w:val="0"/>
        <w:numPr>
          <w:ilvl w:val="1"/>
          <w:numId w:val="8"/>
        </w:numPr>
        <w:tabs>
          <w:tab w:val="left" w:pos="720"/>
          <w:tab w:val="left" w:pos="8400"/>
        </w:tabs>
        <w:autoSpaceDE w:val="0"/>
        <w:autoSpaceDN w:val="0"/>
        <w:spacing w:before="140" w:after="0" w:line="240" w:lineRule="auto"/>
        <w:ind w:left="720" w:hanging="360"/>
        <w:contextualSpacing w:val="0"/>
        <w:rPr>
          <w:rFonts w:ascii="Arial" w:hAnsi="Arial" w:cs="Arial"/>
        </w:rPr>
      </w:pPr>
      <w:r>
        <w:rPr>
          <w:rFonts w:ascii="Arial" w:hAnsi="Arial" w:cs="Arial"/>
          <w:sz w:val="22"/>
          <w:szCs w:val="22"/>
        </w:rPr>
        <w:t xml:space="preserve">Data Collection/Process of Collecting Articles </w:t>
      </w:r>
      <w:r>
        <w:rPr>
          <w:rFonts w:ascii="Arial" w:hAnsi="Arial" w:cs="Arial"/>
          <w:spacing w:val="-4"/>
          <w:sz w:val="22"/>
          <w:szCs w:val="22"/>
        </w:rPr>
        <w:tab/>
        <w:t>12</w:t>
      </w:r>
    </w:p>
    <w:p w14:paraId="54014C80" w14:textId="77777777" w:rsidR="00091DBC" w:rsidRDefault="00091DBC" w:rsidP="00091DBC">
      <w:pPr>
        <w:pStyle w:val="ListParagraph"/>
        <w:widowControl w:val="0"/>
        <w:numPr>
          <w:ilvl w:val="1"/>
          <w:numId w:val="8"/>
        </w:numPr>
        <w:tabs>
          <w:tab w:val="left" w:pos="720"/>
          <w:tab w:val="left" w:pos="8400"/>
        </w:tabs>
        <w:autoSpaceDE w:val="0"/>
        <w:autoSpaceDN w:val="0"/>
        <w:spacing w:before="134" w:after="0" w:line="240" w:lineRule="auto"/>
        <w:ind w:left="720" w:hanging="360"/>
        <w:contextualSpacing w:val="0"/>
        <w:rPr>
          <w:rFonts w:ascii="Arial" w:hAnsi="Arial" w:cs="Arial"/>
        </w:rPr>
      </w:pPr>
      <w:r>
        <w:rPr>
          <w:rFonts w:ascii="Arial" w:hAnsi="Arial" w:cs="Arial"/>
          <w:sz w:val="22"/>
          <w:szCs w:val="22"/>
        </w:rPr>
        <w:t>Data Analysis</w:t>
      </w:r>
      <w:r>
        <w:rPr>
          <w:rFonts w:ascii="Arial" w:hAnsi="Arial" w:cs="Arial"/>
          <w:spacing w:val="-2"/>
          <w:sz w:val="22"/>
          <w:szCs w:val="22"/>
        </w:rPr>
        <w:tab/>
        <w:t>12</w:t>
      </w:r>
    </w:p>
    <w:p w14:paraId="50E0A4A3" w14:textId="77777777" w:rsidR="00091DBC" w:rsidRDefault="00091DBC" w:rsidP="00091DBC">
      <w:pPr>
        <w:pStyle w:val="ListParagraph"/>
        <w:widowControl w:val="0"/>
        <w:numPr>
          <w:ilvl w:val="1"/>
          <w:numId w:val="8"/>
        </w:numPr>
        <w:tabs>
          <w:tab w:val="left" w:pos="720"/>
          <w:tab w:val="left" w:pos="8400"/>
        </w:tabs>
        <w:autoSpaceDE w:val="0"/>
        <w:autoSpaceDN w:val="0"/>
        <w:spacing w:before="139" w:after="0" w:line="240" w:lineRule="auto"/>
        <w:ind w:left="720" w:hanging="360"/>
        <w:contextualSpacing w:val="0"/>
        <w:rPr>
          <w:rFonts w:ascii="Arial" w:hAnsi="Arial" w:cs="Arial"/>
        </w:rPr>
      </w:pPr>
      <w:r>
        <w:rPr>
          <w:rFonts w:ascii="Arial" w:hAnsi="Arial" w:cs="Arial"/>
          <w:sz w:val="22"/>
          <w:szCs w:val="22"/>
        </w:rPr>
        <w:t xml:space="preserve">Braun and Clarke’s Thematic Analysis </w:t>
      </w:r>
      <w:r>
        <w:rPr>
          <w:rFonts w:ascii="Arial" w:hAnsi="Arial" w:cs="Arial"/>
          <w:spacing w:val="-2"/>
          <w:sz w:val="22"/>
          <w:szCs w:val="22"/>
        </w:rPr>
        <w:tab/>
        <w:t>13</w:t>
      </w:r>
    </w:p>
    <w:p w14:paraId="5518EEC2" w14:textId="77777777" w:rsidR="00091DBC" w:rsidRDefault="00091DBC" w:rsidP="00091DBC">
      <w:pPr>
        <w:pStyle w:val="ListParagraph"/>
        <w:widowControl w:val="0"/>
        <w:numPr>
          <w:ilvl w:val="1"/>
          <w:numId w:val="8"/>
        </w:numPr>
        <w:tabs>
          <w:tab w:val="left" w:pos="720"/>
          <w:tab w:val="left" w:pos="8400"/>
        </w:tabs>
        <w:autoSpaceDE w:val="0"/>
        <w:autoSpaceDN w:val="0"/>
        <w:spacing w:before="134" w:after="0" w:line="240" w:lineRule="auto"/>
        <w:ind w:left="720" w:hanging="360"/>
        <w:contextualSpacing w:val="0"/>
        <w:rPr>
          <w:rFonts w:ascii="Arial" w:hAnsi="Arial" w:cs="Arial"/>
        </w:rPr>
      </w:pPr>
      <w:r>
        <w:rPr>
          <w:rFonts w:ascii="Arial" w:hAnsi="Arial" w:cs="Arial"/>
          <w:sz w:val="22"/>
          <w:szCs w:val="22"/>
        </w:rPr>
        <w:t xml:space="preserve">Ethical Consideration </w:t>
      </w:r>
      <w:r>
        <w:rPr>
          <w:rFonts w:ascii="Arial" w:hAnsi="Arial" w:cs="Arial"/>
          <w:spacing w:val="-2"/>
          <w:sz w:val="22"/>
          <w:szCs w:val="22"/>
        </w:rPr>
        <w:tab/>
        <w:t>15</w:t>
      </w:r>
    </w:p>
    <w:p w14:paraId="388C77BF" w14:textId="77777777" w:rsidR="00091DBC" w:rsidRDefault="00091DBC" w:rsidP="00091DBC">
      <w:pPr>
        <w:pStyle w:val="ListParagraph"/>
        <w:widowControl w:val="0"/>
        <w:numPr>
          <w:ilvl w:val="1"/>
          <w:numId w:val="8"/>
        </w:numPr>
        <w:tabs>
          <w:tab w:val="left" w:pos="714"/>
          <w:tab w:val="left" w:pos="8400"/>
        </w:tabs>
        <w:autoSpaceDE w:val="0"/>
        <w:autoSpaceDN w:val="0"/>
        <w:spacing w:before="139" w:after="0" w:line="240" w:lineRule="auto"/>
        <w:ind w:left="714" w:hanging="354"/>
        <w:contextualSpacing w:val="0"/>
        <w:rPr>
          <w:rFonts w:ascii="Arial" w:hAnsi="Arial" w:cs="Arial"/>
        </w:rPr>
      </w:pPr>
      <w:r>
        <w:rPr>
          <w:rFonts w:ascii="Arial" w:hAnsi="Arial" w:cs="Arial"/>
          <w:sz w:val="22"/>
          <w:szCs w:val="22"/>
        </w:rPr>
        <w:lastRenderedPageBreak/>
        <w:t xml:space="preserve">Conclusion </w:t>
      </w:r>
      <w:r>
        <w:rPr>
          <w:rFonts w:ascii="Arial" w:hAnsi="Arial" w:cs="Arial"/>
          <w:spacing w:val="-2"/>
          <w:sz w:val="22"/>
          <w:szCs w:val="22"/>
        </w:rPr>
        <w:tab/>
        <w:t>15</w:t>
      </w:r>
    </w:p>
    <w:p w14:paraId="7FDAAA1B" w14:textId="77777777" w:rsidR="00091DBC" w:rsidRDefault="00091DBC" w:rsidP="00091DBC">
      <w:pPr>
        <w:pStyle w:val="BodyText"/>
        <w:tabs>
          <w:tab w:val="left" w:pos="8400"/>
        </w:tabs>
        <w:spacing w:before="66"/>
        <w:ind w:left="360"/>
        <w:rPr>
          <w:rFonts w:ascii="Arial" w:hAnsi="Arial" w:cs="Arial"/>
        </w:rPr>
      </w:pPr>
    </w:p>
    <w:p w14:paraId="02BCD835" w14:textId="77777777" w:rsidR="00091DBC" w:rsidRDefault="00091DBC" w:rsidP="00091DBC">
      <w:pPr>
        <w:pStyle w:val="BodyText"/>
        <w:tabs>
          <w:tab w:val="left" w:pos="8400"/>
        </w:tabs>
        <w:spacing w:before="66"/>
        <w:ind w:left="360"/>
        <w:rPr>
          <w:rFonts w:ascii="Arial" w:hAnsi="Arial" w:cs="Arial"/>
          <w:lang w:val="en-US"/>
        </w:rPr>
      </w:pPr>
      <w:r>
        <w:rPr>
          <w:rFonts w:ascii="Arial" w:hAnsi="Arial" w:cs="Arial"/>
          <w:b/>
          <w:bCs/>
        </w:rPr>
        <w:t>CHAPTER</w:t>
      </w:r>
      <w:r>
        <w:rPr>
          <w:rFonts w:ascii="Arial" w:hAnsi="Arial" w:cs="Arial"/>
          <w:b/>
          <w:bCs/>
          <w:spacing w:val="-12"/>
        </w:rPr>
        <w:t xml:space="preserve"> </w:t>
      </w:r>
      <w:r>
        <w:rPr>
          <w:rFonts w:ascii="Arial" w:hAnsi="Arial" w:cs="Arial"/>
          <w:b/>
          <w:bCs/>
        </w:rPr>
        <w:t>FOUR</w:t>
      </w:r>
      <w:r>
        <w:rPr>
          <w:rFonts w:ascii="Arial" w:hAnsi="Arial" w:cs="Arial"/>
        </w:rPr>
        <w:t>:</w:t>
      </w:r>
      <w:r>
        <w:rPr>
          <w:rFonts w:ascii="Arial" w:hAnsi="Arial" w:cs="Arial"/>
          <w:spacing w:val="-8"/>
        </w:rPr>
        <w:t xml:space="preserve"> </w:t>
      </w:r>
      <w:r>
        <w:rPr>
          <w:rFonts w:ascii="Arial" w:hAnsi="Arial" w:cs="Arial"/>
          <w:spacing w:val="-8"/>
          <w:lang w:val="en-US"/>
        </w:rPr>
        <w:t>FINDINGS</w:t>
      </w:r>
    </w:p>
    <w:p w14:paraId="21BF0940" w14:textId="77777777" w:rsidR="00091DBC" w:rsidRDefault="00091DBC" w:rsidP="00091DBC">
      <w:pPr>
        <w:pStyle w:val="ListParagraph"/>
        <w:tabs>
          <w:tab w:val="left" w:pos="720"/>
          <w:tab w:val="left" w:pos="8400"/>
        </w:tabs>
        <w:spacing w:before="139" w:line="360" w:lineRule="auto"/>
        <w:ind w:left="360"/>
        <w:rPr>
          <w:rFonts w:ascii="Arial" w:hAnsi="Arial" w:cs="Arial"/>
        </w:rPr>
      </w:pPr>
      <w:r>
        <w:rPr>
          <w:rFonts w:ascii="Arial" w:hAnsi="Arial" w:cs="Arial"/>
          <w:spacing w:val="-2"/>
          <w:sz w:val="22"/>
          <w:szCs w:val="22"/>
        </w:rPr>
        <w:t>4.0 Introduction</w:t>
      </w:r>
      <w:r>
        <w:rPr>
          <w:rFonts w:ascii="Arial" w:hAnsi="Arial" w:cs="Arial"/>
          <w:spacing w:val="-2"/>
          <w:sz w:val="22"/>
          <w:szCs w:val="22"/>
        </w:rPr>
        <w:tab/>
        <w:t>16</w:t>
      </w:r>
    </w:p>
    <w:p w14:paraId="38D2A53C" w14:textId="77777777" w:rsidR="00091DBC" w:rsidRDefault="00091DBC" w:rsidP="00091DBC">
      <w:pPr>
        <w:pStyle w:val="ListParagraph"/>
        <w:widowControl w:val="0"/>
        <w:numPr>
          <w:ilvl w:val="1"/>
          <w:numId w:val="9"/>
        </w:numPr>
        <w:tabs>
          <w:tab w:val="left" w:pos="714"/>
          <w:tab w:val="left" w:pos="8400"/>
        </w:tabs>
        <w:autoSpaceDE w:val="0"/>
        <w:autoSpaceDN w:val="0"/>
        <w:spacing w:before="135" w:after="0" w:line="360" w:lineRule="auto"/>
        <w:ind w:left="714" w:hanging="354"/>
        <w:contextualSpacing w:val="0"/>
        <w:rPr>
          <w:rFonts w:ascii="Arial" w:hAnsi="Arial" w:cs="Arial"/>
        </w:rPr>
      </w:pPr>
      <w:r>
        <w:rPr>
          <w:rFonts w:ascii="Arial" w:hAnsi="Arial" w:cs="Arial"/>
          <w:sz w:val="22"/>
          <w:szCs w:val="22"/>
        </w:rPr>
        <w:t>Overview of Included Studies and Key Findings</w:t>
      </w:r>
      <w:r>
        <w:rPr>
          <w:rFonts w:ascii="Arial" w:hAnsi="Arial" w:cs="Arial"/>
          <w:sz w:val="22"/>
          <w:szCs w:val="22"/>
        </w:rPr>
        <w:tab/>
        <w:t>16</w:t>
      </w:r>
    </w:p>
    <w:p w14:paraId="0419B622" w14:textId="77777777" w:rsidR="00091DBC" w:rsidRDefault="00091DBC" w:rsidP="00091DBC">
      <w:pPr>
        <w:tabs>
          <w:tab w:val="left" w:pos="714"/>
          <w:tab w:val="left" w:pos="8400"/>
        </w:tabs>
        <w:spacing w:before="135" w:line="360" w:lineRule="auto"/>
        <w:ind w:left="360"/>
        <w:rPr>
          <w:rFonts w:ascii="Arial" w:hAnsi="Arial" w:cs="Arial"/>
        </w:rPr>
      </w:pPr>
      <w:r>
        <w:rPr>
          <w:rFonts w:ascii="Arial" w:hAnsi="Arial" w:cs="Arial"/>
          <w:sz w:val="22"/>
          <w:szCs w:val="22"/>
        </w:rPr>
        <w:t>4.2</w:t>
      </w:r>
      <w:r>
        <w:rPr>
          <w:rFonts w:ascii="Arial" w:hAnsi="Arial" w:cs="Arial"/>
          <w:b/>
          <w:bCs/>
          <w:sz w:val="22"/>
          <w:szCs w:val="22"/>
        </w:rPr>
        <w:t xml:space="preserve"> </w:t>
      </w:r>
      <w:r>
        <w:rPr>
          <w:rFonts w:ascii="Arial" w:hAnsi="Arial" w:cs="Arial"/>
          <w:sz w:val="22"/>
          <w:szCs w:val="22"/>
        </w:rPr>
        <w:t>Methodology used in Primary Papers</w:t>
      </w:r>
      <w:r>
        <w:rPr>
          <w:rFonts w:ascii="Arial" w:hAnsi="Arial" w:cs="Arial"/>
          <w:bCs/>
          <w:sz w:val="22"/>
          <w:szCs w:val="22"/>
        </w:rPr>
        <w:tab/>
        <w:t>19</w:t>
      </w:r>
    </w:p>
    <w:p w14:paraId="696CE6D4" w14:textId="77777777" w:rsidR="00091DBC" w:rsidRDefault="00091DBC" w:rsidP="00091DBC">
      <w:pPr>
        <w:tabs>
          <w:tab w:val="left" w:pos="714"/>
          <w:tab w:val="left" w:pos="8400"/>
        </w:tabs>
        <w:spacing w:before="135" w:line="360" w:lineRule="auto"/>
        <w:ind w:left="360"/>
        <w:rPr>
          <w:rFonts w:ascii="Arial" w:hAnsi="Arial" w:cs="Arial"/>
        </w:rPr>
      </w:pPr>
      <w:r>
        <w:rPr>
          <w:rFonts w:ascii="Arial" w:hAnsi="Arial" w:cs="Arial"/>
          <w:sz w:val="22"/>
          <w:szCs w:val="22"/>
        </w:rPr>
        <w:t xml:space="preserve">4.3 Thematic Analysis Results </w:t>
      </w:r>
      <w:r>
        <w:rPr>
          <w:rFonts w:ascii="Arial" w:hAnsi="Arial" w:cs="Arial"/>
          <w:sz w:val="22"/>
          <w:szCs w:val="22"/>
        </w:rPr>
        <w:tab/>
        <w:t>22</w:t>
      </w:r>
    </w:p>
    <w:p w14:paraId="11E040DD" w14:textId="77777777" w:rsidR="00091DBC" w:rsidRDefault="00091DBC" w:rsidP="00091DBC">
      <w:pPr>
        <w:tabs>
          <w:tab w:val="left" w:pos="714"/>
          <w:tab w:val="left" w:pos="8400"/>
        </w:tabs>
        <w:spacing w:line="360" w:lineRule="auto"/>
        <w:ind w:left="360" w:right="990"/>
        <w:rPr>
          <w:rFonts w:ascii="Arial" w:hAnsi="Arial" w:cs="Arial"/>
        </w:rPr>
      </w:pPr>
      <w:r>
        <w:rPr>
          <w:rFonts w:ascii="Arial" w:hAnsi="Arial" w:cs="Arial"/>
          <w:sz w:val="22"/>
          <w:szCs w:val="22"/>
        </w:rPr>
        <w:t>4.4 Discussion of Findings</w:t>
      </w:r>
      <w:r>
        <w:rPr>
          <w:rFonts w:ascii="Arial" w:hAnsi="Arial" w:cs="Arial"/>
          <w:sz w:val="22"/>
          <w:szCs w:val="22"/>
        </w:rPr>
        <w:tab/>
        <w:t>24</w:t>
      </w:r>
    </w:p>
    <w:p w14:paraId="63251CB3" w14:textId="77777777" w:rsidR="00091DBC" w:rsidRDefault="00091DBC" w:rsidP="00091DBC">
      <w:pPr>
        <w:tabs>
          <w:tab w:val="left" w:pos="8400"/>
        </w:tabs>
        <w:spacing w:line="360" w:lineRule="auto"/>
        <w:ind w:right="990"/>
        <w:jc w:val="both"/>
        <w:rPr>
          <w:rFonts w:ascii="Arial" w:hAnsi="Arial" w:cs="Arial"/>
        </w:rPr>
      </w:pPr>
      <w:r>
        <w:rPr>
          <w:rFonts w:ascii="Arial" w:hAnsi="Arial" w:cs="Arial"/>
          <w:sz w:val="22"/>
          <w:szCs w:val="22"/>
        </w:rPr>
        <w:t xml:space="preserve">      4.5 Gaps in the Evidence </w:t>
      </w:r>
      <w:r>
        <w:rPr>
          <w:rFonts w:ascii="Arial" w:hAnsi="Arial" w:cs="Arial"/>
          <w:sz w:val="22"/>
          <w:szCs w:val="22"/>
        </w:rPr>
        <w:tab/>
        <w:t>28</w:t>
      </w:r>
    </w:p>
    <w:p w14:paraId="21CAE4A2" w14:textId="77777777" w:rsidR="00091DBC" w:rsidRDefault="00091DBC" w:rsidP="00091DBC">
      <w:pPr>
        <w:tabs>
          <w:tab w:val="left" w:pos="8400"/>
        </w:tabs>
        <w:spacing w:line="360" w:lineRule="auto"/>
        <w:ind w:right="990"/>
        <w:jc w:val="both"/>
        <w:rPr>
          <w:rFonts w:ascii="Arial" w:hAnsi="Arial" w:cs="Arial"/>
          <w:b/>
          <w:bCs/>
          <w:color w:val="000000"/>
        </w:rPr>
      </w:pPr>
      <w:r>
        <w:rPr>
          <w:rFonts w:ascii="Arial" w:hAnsi="Arial" w:cs="Arial"/>
          <w:sz w:val="22"/>
          <w:szCs w:val="22"/>
        </w:rPr>
        <w:t xml:space="preserve">      4.6</w:t>
      </w:r>
      <w:r>
        <w:rPr>
          <w:rFonts w:ascii="Arial" w:hAnsi="Arial" w:cs="Arial"/>
          <w:b/>
          <w:bCs/>
          <w:color w:val="000000"/>
          <w:sz w:val="22"/>
          <w:szCs w:val="22"/>
        </w:rPr>
        <w:t xml:space="preserve"> </w:t>
      </w:r>
      <w:r>
        <w:rPr>
          <w:rFonts w:ascii="Arial" w:hAnsi="Arial" w:cs="Arial"/>
          <w:color w:val="000000"/>
          <w:sz w:val="22"/>
          <w:szCs w:val="22"/>
        </w:rPr>
        <w:t>Implications of the Evidences Gaps</w:t>
      </w:r>
      <w:r>
        <w:rPr>
          <w:rFonts w:ascii="Arial" w:hAnsi="Arial" w:cs="Arial"/>
          <w:bCs/>
          <w:color w:val="000000"/>
          <w:sz w:val="22"/>
          <w:szCs w:val="22"/>
        </w:rPr>
        <w:tab/>
        <w:t>29</w:t>
      </w:r>
    </w:p>
    <w:p w14:paraId="7FB1DA03" w14:textId="77777777" w:rsidR="00091DBC" w:rsidRDefault="00091DBC" w:rsidP="00091DBC">
      <w:pPr>
        <w:pStyle w:val="BodyText"/>
        <w:tabs>
          <w:tab w:val="left" w:pos="8400"/>
        </w:tabs>
        <w:spacing w:line="360" w:lineRule="auto"/>
        <w:ind w:right="978"/>
        <w:rPr>
          <w:rFonts w:ascii="Arial" w:hAnsi="Arial" w:cs="Arial"/>
          <w:lang w:val="en-US"/>
        </w:rPr>
      </w:pPr>
      <w:r>
        <w:rPr>
          <w:rFonts w:ascii="Arial" w:hAnsi="Arial" w:cs="Arial"/>
        </w:rPr>
        <w:t xml:space="preserve">      4.</w:t>
      </w:r>
      <w:r>
        <w:rPr>
          <w:rFonts w:ascii="Arial" w:hAnsi="Arial" w:cs="Arial"/>
          <w:lang w:val="en-US"/>
        </w:rPr>
        <w:t>7</w:t>
      </w:r>
      <w:r>
        <w:rPr>
          <w:rFonts w:ascii="Arial" w:hAnsi="Arial" w:cs="Arial"/>
        </w:rPr>
        <w:t xml:space="preserve"> </w:t>
      </w:r>
      <w:r>
        <w:rPr>
          <w:rFonts w:ascii="Arial" w:hAnsi="Arial" w:cs="Arial"/>
          <w:lang w:val="en-US"/>
        </w:rPr>
        <w:t xml:space="preserve">Conclusion </w:t>
      </w:r>
      <w:r>
        <w:rPr>
          <w:rFonts w:ascii="Arial" w:hAnsi="Arial" w:cs="Arial"/>
        </w:rPr>
        <w:tab/>
      </w:r>
      <w:r>
        <w:rPr>
          <w:rFonts w:ascii="Arial" w:hAnsi="Arial" w:cs="Arial"/>
          <w:lang w:val="en-US"/>
        </w:rPr>
        <w:t>29</w:t>
      </w:r>
    </w:p>
    <w:p w14:paraId="6505AA03" w14:textId="77777777" w:rsidR="00091DBC" w:rsidRDefault="00091DBC" w:rsidP="00091DBC">
      <w:pPr>
        <w:tabs>
          <w:tab w:val="left" w:pos="8400"/>
        </w:tabs>
        <w:adjustRightInd w:val="0"/>
        <w:spacing w:line="360" w:lineRule="auto"/>
        <w:ind w:right="978"/>
        <w:jc w:val="both"/>
        <w:rPr>
          <w:rFonts w:ascii="Arial" w:hAnsi="Arial" w:cs="Arial"/>
        </w:rPr>
      </w:pPr>
      <w:r>
        <w:rPr>
          <w:rFonts w:ascii="Arial" w:hAnsi="Arial" w:cs="Arial"/>
          <w:sz w:val="22"/>
          <w:szCs w:val="22"/>
        </w:rPr>
        <w:t xml:space="preserve">      </w:t>
      </w:r>
    </w:p>
    <w:p w14:paraId="255817EC" w14:textId="77777777" w:rsidR="00091DBC" w:rsidRDefault="00091DBC" w:rsidP="00091DBC">
      <w:pPr>
        <w:pStyle w:val="BodyText"/>
        <w:tabs>
          <w:tab w:val="left" w:pos="8400"/>
        </w:tabs>
        <w:ind w:left="360"/>
        <w:rPr>
          <w:rFonts w:ascii="Arial" w:hAnsi="Arial" w:cs="Arial"/>
        </w:rPr>
      </w:pPr>
      <w:r>
        <w:rPr>
          <w:rFonts w:ascii="Arial" w:hAnsi="Arial" w:cs="Arial"/>
          <w:b/>
          <w:bCs/>
        </w:rPr>
        <w:t>CHAPTER</w:t>
      </w:r>
      <w:r>
        <w:rPr>
          <w:rFonts w:ascii="Arial" w:hAnsi="Arial" w:cs="Arial"/>
          <w:b/>
          <w:bCs/>
          <w:spacing w:val="-15"/>
        </w:rPr>
        <w:t xml:space="preserve"> </w:t>
      </w:r>
      <w:r>
        <w:rPr>
          <w:rFonts w:ascii="Arial" w:hAnsi="Arial" w:cs="Arial"/>
          <w:b/>
          <w:bCs/>
        </w:rPr>
        <w:t>FIVE:</w:t>
      </w:r>
      <w:r>
        <w:rPr>
          <w:rFonts w:ascii="Arial" w:hAnsi="Arial" w:cs="Arial"/>
          <w:spacing w:val="-15"/>
        </w:rPr>
        <w:t xml:space="preserve"> </w:t>
      </w:r>
      <w:r>
        <w:rPr>
          <w:rFonts w:ascii="Arial" w:hAnsi="Arial" w:cs="Arial"/>
        </w:rPr>
        <w:t>DISCUSSION, RECOMMENDATIONS, AND IMPLICATIONS</w:t>
      </w:r>
    </w:p>
    <w:p w14:paraId="3F9A829D" w14:textId="77777777" w:rsidR="00091DBC" w:rsidRDefault="00091DBC" w:rsidP="00091DBC">
      <w:pPr>
        <w:pStyle w:val="ListParagraph"/>
        <w:tabs>
          <w:tab w:val="left" w:pos="720"/>
          <w:tab w:val="left" w:pos="8400"/>
        </w:tabs>
        <w:spacing w:before="139"/>
        <w:ind w:left="360"/>
        <w:rPr>
          <w:rFonts w:ascii="Arial" w:hAnsi="Arial" w:cs="Arial"/>
        </w:rPr>
      </w:pPr>
      <w:r>
        <w:rPr>
          <w:rFonts w:ascii="Arial" w:hAnsi="Arial" w:cs="Arial"/>
          <w:sz w:val="22"/>
          <w:szCs w:val="22"/>
        </w:rPr>
        <w:t xml:space="preserve">5.0 Introduction </w:t>
      </w:r>
      <w:r>
        <w:rPr>
          <w:rFonts w:ascii="Arial" w:hAnsi="Arial" w:cs="Arial"/>
          <w:spacing w:val="-2"/>
          <w:sz w:val="22"/>
          <w:szCs w:val="22"/>
        </w:rPr>
        <w:tab/>
        <w:t>30</w:t>
      </w:r>
    </w:p>
    <w:p w14:paraId="25919E9F" w14:textId="77777777" w:rsidR="00091DBC" w:rsidRDefault="00091DBC" w:rsidP="00091DBC">
      <w:pPr>
        <w:pStyle w:val="ListParagraph"/>
        <w:widowControl w:val="0"/>
        <w:numPr>
          <w:ilvl w:val="1"/>
          <w:numId w:val="10"/>
        </w:numPr>
        <w:tabs>
          <w:tab w:val="left" w:pos="720"/>
          <w:tab w:val="left" w:pos="8400"/>
        </w:tabs>
        <w:autoSpaceDE w:val="0"/>
        <w:autoSpaceDN w:val="0"/>
        <w:spacing w:before="134" w:after="0" w:line="240" w:lineRule="auto"/>
        <w:contextualSpacing w:val="0"/>
        <w:rPr>
          <w:rFonts w:ascii="Arial" w:hAnsi="Arial" w:cs="Arial"/>
        </w:rPr>
      </w:pPr>
      <w:r>
        <w:rPr>
          <w:rFonts w:ascii="Arial" w:hAnsi="Arial" w:cs="Arial"/>
          <w:spacing w:val="-2"/>
          <w:sz w:val="22"/>
          <w:szCs w:val="22"/>
        </w:rPr>
        <w:t>Summary of Key Findings</w:t>
      </w:r>
      <w:r>
        <w:rPr>
          <w:rFonts w:ascii="Arial" w:hAnsi="Arial" w:cs="Arial"/>
          <w:spacing w:val="-2"/>
          <w:sz w:val="22"/>
          <w:szCs w:val="22"/>
        </w:rPr>
        <w:tab/>
        <w:t>30</w:t>
      </w:r>
    </w:p>
    <w:p w14:paraId="5E7F0E94" w14:textId="77777777" w:rsidR="00091DBC" w:rsidRDefault="00091DBC" w:rsidP="00091DBC">
      <w:pPr>
        <w:pStyle w:val="ListParagraph"/>
        <w:widowControl w:val="0"/>
        <w:numPr>
          <w:ilvl w:val="1"/>
          <w:numId w:val="10"/>
        </w:numPr>
        <w:tabs>
          <w:tab w:val="left" w:pos="720"/>
          <w:tab w:val="left" w:pos="8400"/>
        </w:tabs>
        <w:autoSpaceDE w:val="0"/>
        <w:autoSpaceDN w:val="0"/>
        <w:spacing w:before="139" w:after="0" w:line="240" w:lineRule="auto"/>
        <w:contextualSpacing w:val="0"/>
        <w:rPr>
          <w:rFonts w:ascii="Arial" w:hAnsi="Arial" w:cs="Arial"/>
        </w:rPr>
      </w:pPr>
      <w:r>
        <w:rPr>
          <w:rFonts w:ascii="Arial" w:hAnsi="Arial" w:cs="Arial"/>
          <w:spacing w:val="-2"/>
          <w:sz w:val="22"/>
          <w:szCs w:val="22"/>
        </w:rPr>
        <w:t>Recommendations</w:t>
      </w:r>
      <w:r>
        <w:rPr>
          <w:rFonts w:ascii="Arial" w:hAnsi="Arial" w:cs="Arial"/>
          <w:spacing w:val="-2"/>
          <w:sz w:val="22"/>
          <w:szCs w:val="22"/>
        </w:rPr>
        <w:tab/>
        <w:t>30</w:t>
      </w:r>
    </w:p>
    <w:p w14:paraId="4B5F3548" w14:textId="77777777" w:rsidR="00091DBC" w:rsidRDefault="00091DBC" w:rsidP="00091DBC">
      <w:pPr>
        <w:pStyle w:val="ListParagraph"/>
        <w:tabs>
          <w:tab w:val="left" w:pos="900"/>
          <w:tab w:val="left" w:pos="8400"/>
        </w:tabs>
        <w:spacing w:before="140"/>
        <w:ind w:left="0" w:firstLineChars="150" w:firstLine="330"/>
        <w:rPr>
          <w:rFonts w:ascii="Arial" w:hAnsi="Arial" w:cs="Arial"/>
        </w:rPr>
      </w:pPr>
      <w:r>
        <w:rPr>
          <w:rFonts w:ascii="Arial" w:hAnsi="Arial" w:cs="Arial"/>
          <w:sz w:val="22"/>
          <w:szCs w:val="22"/>
        </w:rPr>
        <w:t>5.1.1 Accessibility and Equity of Care</w:t>
      </w:r>
      <w:r>
        <w:rPr>
          <w:rFonts w:ascii="Arial" w:hAnsi="Arial" w:cs="Arial"/>
          <w:spacing w:val="-2"/>
          <w:sz w:val="22"/>
          <w:szCs w:val="22"/>
        </w:rPr>
        <w:tab/>
        <w:t>30</w:t>
      </w:r>
    </w:p>
    <w:p w14:paraId="1E8BEC1E" w14:textId="77777777" w:rsidR="00091DBC" w:rsidRDefault="00091DBC" w:rsidP="00091DBC">
      <w:pPr>
        <w:pStyle w:val="ListParagraph"/>
        <w:tabs>
          <w:tab w:val="left" w:pos="900"/>
          <w:tab w:val="left" w:pos="8400"/>
        </w:tabs>
        <w:spacing w:before="134"/>
        <w:ind w:left="360"/>
        <w:rPr>
          <w:rFonts w:ascii="Arial" w:hAnsi="Arial" w:cs="Arial"/>
        </w:rPr>
      </w:pPr>
      <w:r>
        <w:rPr>
          <w:rFonts w:ascii="Arial" w:hAnsi="Arial" w:cs="Arial"/>
          <w:sz w:val="22"/>
          <w:szCs w:val="22"/>
        </w:rPr>
        <w:t>5.1.2 Professional Knowledge and Confidence</w:t>
      </w:r>
      <w:r>
        <w:rPr>
          <w:rFonts w:ascii="Arial" w:hAnsi="Arial" w:cs="Arial"/>
          <w:spacing w:val="-2"/>
          <w:sz w:val="22"/>
          <w:szCs w:val="22"/>
        </w:rPr>
        <w:tab/>
        <w:t>30</w:t>
      </w:r>
    </w:p>
    <w:p w14:paraId="78EDF005" w14:textId="77777777" w:rsidR="00091DBC" w:rsidRDefault="00091DBC" w:rsidP="00091DBC">
      <w:pPr>
        <w:pStyle w:val="ListParagraph"/>
        <w:tabs>
          <w:tab w:val="left" w:pos="900"/>
          <w:tab w:val="left" w:pos="8400"/>
        </w:tabs>
        <w:spacing w:before="139"/>
        <w:ind w:left="360"/>
        <w:rPr>
          <w:rFonts w:ascii="Arial" w:hAnsi="Arial" w:cs="Arial"/>
        </w:rPr>
      </w:pPr>
      <w:r>
        <w:rPr>
          <w:rFonts w:ascii="Arial" w:hAnsi="Arial" w:cs="Arial"/>
          <w:sz w:val="22"/>
          <w:szCs w:val="22"/>
        </w:rPr>
        <w:t>5.1.3 Self-Management and Peer Support</w:t>
      </w:r>
      <w:r>
        <w:rPr>
          <w:rFonts w:ascii="Arial" w:hAnsi="Arial" w:cs="Arial"/>
          <w:spacing w:val="-2"/>
          <w:sz w:val="22"/>
          <w:szCs w:val="22"/>
        </w:rPr>
        <w:tab/>
        <w:t>31</w:t>
      </w:r>
    </w:p>
    <w:p w14:paraId="5B1DE7B3" w14:textId="77777777" w:rsidR="00091DBC" w:rsidRDefault="00091DBC" w:rsidP="00091DBC">
      <w:pPr>
        <w:pStyle w:val="ListParagraph"/>
        <w:tabs>
          <w:tab w:val="left" w:pos="720"/>
          <w:tab w:val="left" w:pos="8400"/>
        </w:tabs>
        <w:spacing w:before="134"/>
        <w:ind w:left="360"/>
        <w:rPr>
          <w:rFonts w:ascii="Arial" w:hAnsi="Arial" w:cs="Arial"/>
        </w:rPr>
      </w:pPr>
      <w:r>
        <w:rPr>
          <w:rFonts w:ascii="Arial" w:hAnsi="Arial" w:cs="Arial"/>
          <w:sz w:val="22"/>
          <w:szCs w:val="22"/>
        </w:rPr>
        <w:t>5.1.4 Psychological and Social Wellbeing</w:t>
      </w:r>
      <w:r>
        <w:rPr>
          <w:rFonts w:ascii="Arial" w:hAnsi="Arial" w:cs="Arial"/>
          <w:spacing w:val="-2"/>
          <w:sz w:val="22"/>
          <w:szCs w:val="22"/>
        </w:rPr>
        <w:tab/>
        <w:t>31</w:t>
      </w:r>
    </w:p>
    <w:p w14:paraId="254EAFD8" w14:textId="77777777" w:rsidR="00091DBC" w:rsidRDefault="00091DBC" w:rsidP="00091DBC">
      <w:pPr>
        <w:pStyle w:val="ListParagraph"/>
        <w:tabs>
          <w:tab w:val="left" w:pos="900"/>
          <w:tab w:val="left" w:pos="8400"/>
        </w:tabs>
        <w:spacing w:before="139"/>
        <w:ind w:left="360" w:right="6148"/>
        <w:rPr>
          <w:rFonts w:ascii="Arial" w:hAnsi="Arial" w:cs="Arial"/>
          <w:spacing w:val="-2"/>
        </w:rPr>
      </w:pPr>
      <w:r>
        <w:rPr>
          <w:rFonts w:ascii="Arial" w:hAnsi="Arial" w:cs="Arial"/>
          <w:sz w:val="22"/>
          <w:szCs w:val="22"/>
        </w:rPr>
        <w:t xml:space="preserve">5.1.5 Systemic Gaps </w:t>
      </w:r>
      <w:r>
        <w:rPr>
          <w:rFonts w:ascii="Arial" w:hAnsi="Arial" w:cs="Arial"/>
          <w:sz w:val="22"/>
          <w:szCs w:val="22"/>
        </w:rPr>
        <w:tab/>
        <w:t>31</w:t>
      </w:r>
      <w:r>
        <w:rPr>
          <w:rFonts w:ascii="Arial" w:hAnsi="Arial" w:cs="Arial"/>
          <w:sz w:val="22"/>
          <w:szCs w:val="22"/>
        </w:rPr>
        <w:tab/>
        <w:t xml:space="preserve"> </w:t>
      </w:r>
      <w:r>
        <w:rPr>
          <w:rFonts w:ascii="Arial" w:hAnsi="Arial" w:cs="Arial"/>
          <w:spacing w:val="-2"/>
          <w:sz w:val="22"/>
          <w:szCs w:val="22"/>
        </w:rPr>
        <w:t xml:space="preserve">                                                                                                                                                                                           </w:t>
      </w:r>
    </w:p>
    <w:p w14:paraId="56BCC7EF" w14:textId="77777777" w:rsidR="00091DBC" w:rsidRDefault="00091DBC" w:rsidP="00091DBC">
      <w:pPr>
        <w:pStyle w:val="Heading4"/>
        <w:ind w:firstLineChars="150" w:firstLine="330"/>
        <w:jc w:val="both"/>
        <w:rPr>
          <w:rStyle w:val="Strong"/>
          <w:rFonts w:ascii="Arial" w:hAnsi="Arial" w:cs="Arial" w:hint="default"/>
          <w:sz w:val="22"/>
          <w:szCs w:val="22"/>
        </w:rPr>
      </w:pPr>
      <w:r>
        <w:rPr>
          <w:rStyle w:val="Strong"/>
          <w:rFonts w:ascii="Arial" w:hAnsi="Arial" w:cs="Arial" w:hint="default"/>
          <w:sz w:val="22"/>
          <w:szCs w:val="22"/>
        </w:rPr>
        <w:t>5.2 Evaluation of Chronic Pain                                                                                    31</w:t>
      </w:r>
    </w:p>
    <w:p w14:paraId="234F0D31" w14:textId="77777777" w:rsidR="00091DBC" w:rsidRDefault="00091DBC" w:rsidP="00091DBC">
      <w:pPr>
        <w:pStyle w:val="Heading4"/>
        <w:ind w:firstLineChars="150" w:firstLine="330"/>
        <w:jc w:val="both"/>
        <w:rPr>
          <w:rStyle w:val="Strong"/>
          <w:rFonts w:ascii="Arial" w:hAnsi="Arial" w:cs="Arial" w:hint="default"/>
          <w:sz w:val="22"/>
          <w:szCs w:val="22"/>
        </w:rPr>
      </w:pPr>
      <w:r>
        <w:rPr>
          <w:rStyle w:val="Strong"/>
          <w:rFonts w:ascii="Arial" w:hAnsi="Arial" w:cs="Arial" w:hint="default"/>
          <w:sz w:val="22"/>
          <w:szCs w:val="22"/>
        </w:rPr>
        <w:t>5.2.1 Moving from Biomedical                                                                                     32</w:t>
      </w:r>
    </w:p>
    <w:p w14:paraId="2AB9E3D3" w14:textId="77777777" w:rsidR="00091DBC" w:rsidRDefault="00091DBC" w:rsidP="00091DBC">
      <w:pPr>
        <w:pStyle w:val="Heading4"/>
        <w:ind w:firstLineChars="150" w:firstLine="330"/>
        <w:jc w:val="both"/>
        <w:rPr>
          <w:rStyle w:val="Strong"/>
          <w:rFonts w:ascii="Arial" w:hAnsi="Arial" w:cs="Arial" w:hint="default"/>
          <w:sz w:val="22"/>
          <w:szCs w:val="22"/>
        </w:rPr>
      </w:pPr>
      <w:r>
        <w:rPr>
          <w:rStyle w:val="Strong"/>
          <w:rFonts w:ascii="Arial" w:hAnsi="Arial" w:cs="Arial" w:hint="default"/>
          <w:sz w:val="22"/>
          <w:szCs w:val="22"/>
        </w:rPr>
        <w:t>5.2.2 Enhancing Professional Training                                                                        32</w:t>
      </w:r>
    </w:p>
    <w:p w14:paraId="3865D305" w14:textId="77777777" w:rsidR="00091DBC" w:rsidRDefault="00091DBC" w:rsidP="00091DBC">
      <w:pPr>
        <w:pStyle w:val="Heading4"/>
        <w:ind w:firstLineChars="150" w:firstLine="330"/>
        <w:jc w:val="both"/>
        <w:rPr>
          <w:rStyle w:val="Strong"/>
          <w:rFonts w:ascii="Arial" w:hAnsi="Arial" w:cs="Arial" w:hint="default"/>
          <w:sz w:val="22"/>
          <w:szCs w:val="22"/>
        </w:rPr>
      </w:pPr>
      <w:r>
        <w:rPr>
          <w:rStyle w:val="Strong"/>
          <w:rFonts w:ascii="Arial" w:hAnsi="Arial" w:cs="Arial" w:hint="default"/>
          <w:sz w:val="22"/>
          <w:szCs w:val="22"/>
        </w:rPr>
        <w:t>5.2.3 Community-Based and Technological Innovations                                             32</w:t>
      </w:r>
    </w:p>
    <w:p w14:paraId="355D3797" w14:textId="77777777" w:rsidR="00091DBC" w:rsidRDefault="00091DBC" w:rsidP="00091DBC">
      <w:pPr>
        <w:pStyle w:val="Heading4"/>
        <w:jc w:val="both"/>
        <w:rPr>
          <w:rStyle w:val="Strong"/>
          <w:rFonts w:ascii="Arial" w:hAnsi="Arial" w:cs="Arial" w:hint="default"/>
          <w:sz w:val="22"/>
          <w:szCs w:val="22"/>
        </w:rPr>
      </w:pPr>
      <w:r>
        <w:rPr>
          <w:rStyle w:val="Strong"/>
          <w:rFonts w:ascii="Arial" w:hAnsi="Arial" w:cs="Arial" w:hint="default"/>
          <w:sz w:val="22"/>
          <w:szCs w:val="22"/>
        </w:rPr>
        <w:t xml:space="preserve">     5.2.4 Policy and Service Integration                                                                             32</w:t>
      </w:r>
    </w:p>
    <w:p w14:paraId="542A6E5A" w14:textId="77777777" w:rsidR="00091DBC" w:rsidRDefault="00091DBC" w:rsidP="00091DBC">
      <w:pPr>
        <w:pStyle w:val="Heading3"/>
        <w:ind w:firstLineChars="150" w:firstLine="330"/>
        <w:jc w:val="both"/>
        <w:rPr>
          <w:rFonts w:ascii="Arial" w:hAnsi="Arial" w:cs="Arial" w:hint="default"/>
          <w:b w:val="0"/>
          <w:bCs w:val="0"/>
          <w:sz w:val="22"/>
          <w:szCs w:val="22"/>
        </w:rPr>
      </w:pPr>
      <w:r>
        <w:rPr>
          <w:rStyle w:val="Strong"/>
          <w:rFonts w:ascii="Arial" w:hAnsi="Arial" w:cs="Arial" w:hint="default"/>
          <w:sz w:val="22"/>
          <w:szCs w:val="22"/>
        </w:rPr>
        <w:t>5.3 Recommendations                                                                                                 32</w:t>
      </w:r>
    </w:p>
    <w:p w14:paraId="7AD84C02" w14:textId="77777777" w:rsidR="00091DBC" w:rsidRDefault="00091DBC" w:rsidP="00091DBC">
      <w:pPr>
        <w:pStyle w:val="Heading3"/>
        <w:ind w:firstLineChars="150" w:firstLine="330"/>
        <w:jc w:val="both"/>
        <w:rPr>
          <w:rStyle w:val="Strong"/>
          <w:rFonts w:ascii="Arial" w:hAnsi="Arial" w:cs="Arial" w:hint="default"/>
          <w:sz w:val="22"/>
          <w:szCs w:val="22"/>
        </w:rPr>
      </w:pPr>
      <w:r>
        <w:rPr>
          <w:rStyle w:val="Strong"/>
          <w:rFonts w:ascii="Arial" w:hAnsi="Arial" w:cs="Arial" w:hint="default"/>
          <w:sz w:val="22"/>
          <w:szCs w:val="22"/>
        </w:rPr>
        <w:t>5.4 Suggestions for Further Studies                                                                             33</w:t>
      </w:r>
    </w:p>
    <w:p w14:paraId="56E8D658" w14:textId="77777777" w:rsidR="00091DBC" w:rsidRDefault="00091DBC" w:rsidP="00091DBC">
      <w:pPr>
        <w:pStyle w:val="Heading3"/>
        <w:ind w:firstLineChars="150" w:firstLine="330"/>
        <w:jc w:val="both"/>
        <w:rPr>
          <w:rFonts w:ascii="Arial" w:hAnsi="Arial" w:cs="Arial" w:hint="default"/>
          <w:b w:val="0"/>
          <w:bCs w:val="0"/>
          <w:sz w:val="22"/>
          <w:szCs w:val="22"/>
        </w:rPr>
      </w:pPr>
      <w:r>
        <w:rPr>
          <w:rStyle w:val="Strong"/>
          <w:rFonts w:ascii="Arial" w:hAnsi="Arial" w:cs="Arial" w:hint="default"/>
          <w:sz w:val="22"/>
          <w:szCs w:val="22"/>
        </w:rPr>
        <w:t>5.5 Implications of Findings                                                                                          34</w:t>
      </w:r>
    </w:p>
    <w:p w14:paraId="3D73E448" w14:textId="77777777" w:rsidR="00091DBC" w:rsidRDefault="00091DBC" w:rsidP="00091DBC">
      <w:pPr>
        <w:pStyle w:val="Heading4"/>
        <w:ind w:firstLineChars="150" w:firstLine="330"/>
        <w:jc w:val="both"/>
        <w:rPr>
          <w:rFonts w:ascii="Arial" w:hAnsi="Arial" w:cs="Arial" w:hint="default"/>
          <w:b w:val="0"/>
          <w:bCs w:val="0"/>
          <w:sz w:val="22"/>
          <w:szCs w:val="22"/>
        </w:rPr>
      </w:pPr>
      <w:r>
        <w:rPr>
          <w:rStyle w:val="Strong"/>
          <w:rFonts w:ascii="Arial" w:hAnsi="Arial" w:cs="Arial" w:hint="default"/>
          <w:sz w:val="22"/>
          <w:szCs w:val="22"/>
        </w:rPr>
        <w:t>5.5.1 For Clinical Practice                                                                                            34</w:t>
      </w:r>
    </w:p>
    <w:p w14:paraId="220970BB" w14:textId="77777777" w:rsidR="00091DBC" w:rsidRDefault="00091DBC" w:rsidP="00091DBC">
      <w:pPr>
        <w:pStyle w:val="Heading4"/>
        <w:ind w:firstLineChars="150" w:firstLine="330"/>
        <w:jc w:val="both"/>
        <w:rPr>
          <w:rFonts w:ascii="Arial" w:hAnsi="Arial" w:cs="Arial" w:hint="default"/>
          <w:b w:val="0"/>
          <w:bCs w:val="0"/>
          <w:sz w:val="22"/>
          <w:szCs w:val="22"/>
        </w:rPr>
      </w:pPr>
      <w:r>
        <w:rPr>
          <w:rStyle w:val="Strong"/>
          <w:rFonts w:ascii="Arial" w:hAnsi="Arial" w:cs="Arial" w:hint="default"/>
          <w:sz w:val="22"/>
          <w:szCs w:val="22"/>
        </w:rPr>
        <w:t>5.5.2 For Health Policy                                                                                                 34</w:t>
      </w:r>
    </w:p>
    <w:p w14:paraId="5F366FDA" w14:textId="77777777" w:rsidR="00091DBC" w:rsidRDefault="00091DBC" w:rsidP="00091DBC">
      <w:pPr>
        <w:pStyle w:val="Heading4"/>
        <w:ind w:firstLineChars="150" w:firstLine="330"/>
        <w:jc w:val="both"/>
        <w:rPr>
          <w:rFonts w:ascii="Arial" w:hAnsi="Arial" w:cs="Arial" w:hint="default"/>
          <w:b w:val="0"/>
          <w:bCs w:val="0"/>
          <w:sz w:val="22"/>
          <w:szCs w:val="22"/>
        </w:rPr>
      </w:pPr>
      <w:r>
        <w:rPr>
          <w:rStyle w:val="Strong"/>
          <w:rFonts w:ascii="Arial" w:hAnsi="Arial" w:cs="Arial" w:hint="default"/>
          <w:sz w:val="22"/>
          <w:szCs w:val="22"/>
        </w:rPr>
        <w:lastRenderedPageBreak/>
        <w:t>5.5.3 For Research and Education                                                                               34</w:t>
      </w:r>
    </w:p>
    <w:p w14:paraId="466DE7B2" w14:textId="77777777" w:rsidR="00091DBC" w:rsidRDefault="00091DBC" w:rsidP="00091DBC">
      <w:pPr>
        <w:pStyle w:val="Heading4"/>
        <w:ind w:firstLineChars="150" w:firstLine="330"/>
        <w:jc w:val="both"/>
        <w:rPr>
          <w:rFonts w:ascii="Arial" w:hAnsi="Arial" w:cs="Arial" w:hint="default"/>
          <w:b w:val="0"/>
          <w:bCs w:val="0"/>
          <w:sz w:val="22"/>
          <w:szCs w:val="22"/>
        </w:rPr>
      </w:pPr>
      <w:r>
        <w:rPr>
          <w:rStyle w:val="Strong"/>
          <w:rFonts w:ascii="Arial" w:hAnsi="Arial" w:cs="Arial" w:hint="default"/>
          <w:sz w:val="22"/>
          <w:szCs w:val="22"/>
        </w:rPr>
        <w:t>5.5.4 For Older Adults and Communities                                                                     34</w:t>
      </w:r>
    </w:p>
    <w:p w14:paraId="015E67EB" w14:textId="77777777" w:rsidR="00091DBC" w:rsidRDefault="00091DBC" w:rsidP="00091DBC">
      <w:pPr>
        <w:pStyle w:val="Heading3"/>
        <w:ind w:firstLineChars="150" w:firstLine="330"/>
        <w:jc w:val="both"/>
        <w:rPr>
          <w:rFonts w:ascii="Arial" w:hAnsi="Arial" w:cs="Arial" w:hint="default"/>
          <w:b w:val="0"/>
          <w:bCs w:val="0"/>
          <w:sz w:val="22"/>
          <w:szCs w:val="22"/>
        </w:rPr>
      </w:pPr>
      <w:r>
        <w:rPr>
          <w:rStyle w:val="Strong"/>
          <w:rFonts w:ascii="Arial" w:hAnsi="Arial" w:cs="Arial" w:hint="default"/>
          <w:sz w:val="22"/>
          <w:szCs w:val="22"/>
        </w:rPr>
        <w:t>5.6 Summary                                                                                                                34</w:t>
      </w:r>
    </w:p>
    <w:p w14:paraId="1DC54417" w14:textId="77777777" w:rsidR="00091DBC" w:rsidRDefault="00091DBC" w:rsidP="00091DBC">
      <w:pPr>
        <w:pStyle w:val="ListParagraph"/>
        <w:tabs>
          <w:tab w:val="left" w:pos="900"/>
          <w:tab w:val="left" w:pos="8400"/>
        </w:tabs>
        <w:ind w:left="360" w:right="6148"/>
        <w:rPr>
          <w:rFonts w:ascii="Arial" w:hAnsi="Arial" w:cs="Arial"/>
        </w:rPr>
      </w:pPr>
      <w:r>
        <w:rPr>
          <w:rFonts w:ascii="Arial" w:hAnsi="Arial" w:cs="Arial"/>
          <w:spacing w:val="-2"/>
          <w:sz w:val="22"/>
          <w:szCs w:val="22"/>
        </w:rPr>
        <w:t>REFERENCES</w:t>
      </w:r>
      <w:r>
        <w:rPr>
          <w:rFonts w:ascii="Arial" w:hAnsi="Arial" w:cs="Arial"/>
          <w:spacing w:val="-2"/>
          <w:sz w:val="22"/>
          <w:szCs w:val="22"/>
        </w:rPr>
        <w:tab/>
        <w:t xml:space="preserve"> 36</w:t>
      </w:r>
    </w:p>
    <w:p w14:paraId="33D1F628" w14:textId="77777777" w:rsidR="00091DBC" w:rsidRDefault="00091DBC" w:rsidP="00091DBC">
      <w:pPr>
        <w:pStyle w:val="BodyText"/>
        <w:tabs>
          <w:tab w:val="left" w:pos="8400"/>
        </w:tabs>
        <w:spacing w:before="3"/>
        <w:ind w:left="360"/>
        <w:rPr>
          <w:rFonts w:ascii="Arial" w:hAnsi="Arial" w:cs="Arial"/>
        </w:rPr>
      </w:pPr>
      <w:r>
        <w:rPr>
          <w:rFonts w:ascii="Arial" w:hAnsi="Arial" w:cs="Arial"/>
          <w:spacing w:val="-2"/>
        </w:rPr>
        <w:t>APPENDIX</w:t>
      </w:r>
    </w:p>
    <w:p w14:paraId="18DD2CAB" w14:textId="77777777" w:rsidR="00091DBC" w:rsidRDefault="00091DBC" w:rsidP="00091DBC">
      <w:pPr>
        <w:pStyle w:val="BodyText"/>
        <w:tabs>
          <w:tab w:val="left" w:pos="8400"/>
        </w:tabs>
        <w:rPr>
          <w:rFonts w:ascii="Arial" w:hAnsi="Arial" w:cs="Arial"/>
        </w:rPr>
        <w:sectPr w:rsidR="00091DBC" w:rsidSect="00091DBC">
          <w:footerReference w:type="default" r:id="rId12"/>
          <w:pgSz w:w="11906" w:h="16838"/>
          <w:pgMar w:top="1380" w:right="1080" w:bottom="1160" w:left="1080" w:header="0" w:footer="965" w:gutter="0"/>
          <w:pgNumType w:fmt="lowerRoman"/>
          <w:cols w:space="720"/>
        </w:sectPr>
      </w:pPr>
      <w:r>
        <w:rPr>
          <w:rFonts w:ascii="Arial" w:hAnsi="Arial" w:cs="Arial"/>
        </w:rPr>
        <w:tab/>
      </w:r>
    </w:p>
    <w:p w14:paraId="78076CEE" w14:textId="77777777" w:rsidR="00091DBC" w:rsidRDefault="00091DBC" w:rsidP="00091DBC">
      <w:pPr>
        <w:pStyle w:val="Heading1"/>
        <w:spacing w:before="66"/>
        <w:ind w:left="3145" w:firstLine="455"/>
        <w:rPr>
          <w:rFonts w:cs="Arial"/>
          <w:sz w:val="22"/>
          <w:szCs w:val="22"/>
        </w:rPr>
      </w:pPr>
      <w:bookmarkStart w:id="4" w:name="_TOC_250002"/>
      <w:r>
        <w:rPr>
          <w:rFonts w:ascii="Arial" w:hAnsi="Arial" w:cs="Arial" w:hint="default"/>
          <w:sz w:val="22"/>
          <w:szCs w:val="22"/>
        </w:rPr>
        <w:lastRenderedPageBreak/>
        <w:t>LIST</w:t>
      </w:r>
      <w:r>
        <w:rPr>
          <w:rFonts w:ascii="Arial" w:hAnsi="Arial" w:cs="Arial" w:hint="default"/>
          <w:spacing w:val="-7"/>
          <w:sz w:val="22"/>
          <w:szCs w:val="22"/>
        </w:rPr>
        <w:t xml:space="preserve"> </w:t>
      </w:r>
      <w:r>
        <w:rPr>
          <w:rFonts w:ascii="Arial" w:hAnsi="Arial" w:cs="Arial" w:hint="default"/>
          <w:sz w:val="22"/>
          <w:szCs w:val="22"/>
        </w:rPr>
        <w:t>OF</w:t>
      </w:r>
      <w:r>
        <w:rPr>
          <w:rFonts w:ascii="Arial" w:hAnsi="Arial" w:cs="Arial" w:hint="default"/>
          <w:spacing w:val="-7"/>
          <w:sz w:val="22"/>
          <w:szCs w:val="22"/>
        </w:rPr>
        <w:t xml:space="preserve"> </w:t>
      </w:r>
      <w:bookmarkEnd w:id="4"/>
      <w:r>
        <w:rPr>
          <w:rFonts w:ascii="Arial" w:hAnsi="Arial" w:cs="Arial" w:hint="default"/>
          <w:spacing w:val="-2"/>
          <w:sz w:val="22"/>
          <w:szCs w:val="22"/>
        </w:rPr>
        <w:t>FIGURES</w:t>
      </w:r>
    </w:p>
    <w:p w14:paraId="4FEACF9F" w14:textId="77777777" w:rsidR="00091DBC" w:rsidRDefault="00091DBC" w:rsidP="00091DBC">
      <w:pPr>
        <w:pStyle w:val="BodyText"/>
        <w:spacing w:before="139"/>
        <w:ind w:left="360"/>
        <w:rPr>
          <w:rFonts w:ascii="Arial" w:hAnsi="Arial" w:cs="Arial"/>
          <w:lang w:val="en-US"/>
        </w:rPr>
      </w:pPr>
      <w:r>
        <w:rPr>
          <w:rFonts w:ascii="Arial" w:hAnsi="Arial" w:cs="Arial"/>
        </w:rPr>
        <w:t>Figure</w:t>
      </w:r>
      <w:r>
        <w:rPr>
          <w:rFonts w:ascii="Arial" w:hAnsi="Arial" w:cs="Arial"/>
          <w:spacing w:val="-4"/>
        </w:rPr>
        <w:t xml:space="preserve"> </w:t>
      </w:r>
      <w:r>
        <w:rPr>
          <w:rFonts w:ascii="Arial" w:hAnsi="Arial" w:cs="Arial"/>
          <w:spacing w:val="-4"/>
          <w:lang w:val="en-US"/>
        </w:rPr>
        <w:t>3.</w:t>
      </w:r>
      <w:r>
        <w:rPr>
          <w:rFonts w:ascii="Arial" w:hAnsi="Arial" w:cs="Arial"/>
        </w:rPr>
        <w:t>1: Braun and Clarke (2014) Model</w:t>
      </w:r>
      <w:r>
        <w:rPr>
          <w:rFonts w:ascii="Arial" w:hAnsi="Arial" w:cs="Arial"/>
          <w:lang w:val="en-US"/>
        </w:rPr>
        <w:t>…………………………………………….13</w:t>
      </w:r>
    </w:p>
    <w:p w14:paraId="7E2BF13B" w14:textId="77777777" w:rsidR="00091DBC" w:rsidRDefault="00091DBC" w:rsidP="00091DBC">
      <w:pPr>
        <w:rPr>
          <w:rFonts w:ascii="Arial" w:hAnsi="Arial" w:cs="Arial"/>
        </w:rPr>
      </w:pPr>
      <w:bookmarkStart w:id="5" w:name="_TOC_250001"/>
      <w:r>
        <w:rPr>
          <w:rFonts w:ascii="Arial" w:hAnsi="Arial" w:cs="Arial"/>
          <w:sz w:val="22"/>
          <w:szCs w:val="22"/>
        </w:rPr>
        <w:br w:type="page"/>
      </w:r>
    </w:p>
    <w:p w14:paraId="76D268E7" w14:textId="77777777" w:rsidR="00091DBC" w:rsidRDefault="00091DBC" w:rsidP="00091DBC">
      <w:pPr>
        <w:pStyle w:val="Heading1"/>
        <w:spacing w:before="66"/>
        <w:ind w:left="2880" w:firstLine="720"/>
        <w:rPr>
          <w:rFonts w:cs="Arial"/>
          <w:spacing w:val="-2"/>
          <w:sz w:val="22"/>
          <w:szCs w:val="22"/>
        </w:rPr>
      </w:pPr>
      <w:r>
        <w:rPr>
          <w:rFonts w:ascii="Arial" w:hAnsi="Arial" w:cs="Arial" w:hint="default"/>
          <w:sz w:val="22"/>
          <w:szCs w:val="22"/>
        </w:rPr>
        <w:lastRenderedPageBreak/>
        <w:t>LIST</w:t>
      </w:r>
      <w:r>
        <w:rPr>
          <w:rFonts w:ascii="Arial" w:hAnsi="Arial" w:cs="Arial" w:hint="default"/>
          <w:spacing w:val="-7"/>
          <w:sz w:val="22"/>
          <w:szCs w:val="22"/>
        </w:rPr>
        <w:t xml:space="preserve"> </w:t>
      </w:r>
      <w:r>
        <w:rPr>
          <w:rFonts w:ascii="Arial" w:hAnsi="Arial" w:cs="Arial" w:hint="default"/>
          <w:sz w:val="22"/>
          <w:szCs w:val="22"/>
        </w:rPr>
        <w:t>OF</w:t>
      </w:r>
      <w:r>
        <w:rPr>
          <w:rFonts w:ascii="Arial" w:hAnsi="Arial" w:cs="Arial" w:hint="default"/>
          <w:spacing w:val="-12"/>
          <w:sz w:val="22"/>
          <w:szCs w:val="22"/>
        </w:rPr>
        <w:t xml:space="preserve"> </w:t>
      </w:r>
      <w:bookmarkEnd w:id="5"/>
      <w:r>
        <w:rPr>
          <w:rFonts w:ascii="Arial" w:hAnsi="Arial" w:cs="Arial" w:hint="default"/>
          <w:spacing w:val="-2"/>
          <w:sz w:val="22"/>
          <w:szCs w:val="22"/>
        </w:rPr>
        <w:t>TABLES</w:t>
      </w:r>
    </w:p>
    <w:p w14:paraId="010F6B85" w14:textId="77777777" w:rsidR="00091DBC" w:rsidRDefault="00091DBC" w:rsidP="00091DBC">
      <w:pPr>
        <w:spacing w:line="360" w:lineRule="auto"/>
        <w:jc w:val="both"/>
        <w:rPr>
          <w:rFonts w:ascii="Arial" w:eastAsia="DengXian" w:hAnsi="Arial" w:cs="Arial"/>
          <w:color w:val="000000" w:themeColor="text1"/>
          <w:lang w:eastAsia="zh-CN"/>
        </w:rPr>
      </w:pPr>
      <w:r>
        <w:rPr>
          <w:rFonts w:ascii="Arial" w:hAnsi="Arial" w:cs="Arial"/>
          <w:spacing w:val="-2"/>
          <w:sz w:val="22"/>
          <w:szCs w:val="22"/>
        </w:rPr>
        <w:t xml:space="preserve">Table </w:t>
      </w:r>
      <w:r>
        <w:rPr>
          <w:rFonts w:cs="Arial"/>
          <w:spacing w:val="-2"/>
          <w:sz w:val="22"/>
          <w:szCs w:val="22"/>
        </w:rPr>
        <w:t>4.</w:t>
      </w:r>
      <w:r>
        <w:rPr>
          <w:rFonts w:ascii="Arial" w:hAnsi="Arial" w:cs="Arial"/>
          <w:spacing w:val="-2"/>
          <w:sz w:val="22"/>
          <w:szCs w:val="22"/>
        </w:rPr>
        <w:t xml:space="preserve">1: </w:t>
      </w:r>
      <w:r>
        <w:rPr>
          <w:rFonts w:ascii="Arial" w:eastAsia="DengXian" w:hAnsi="Arial" w:cs="Arial"/>
          <w:color w:val="000000" w:themeColor="text1"/>
          <w:sz w:val="22"/>
          <w:szCs w:val="22"/>
          <w:lang w:eastAsia="zh-CN"/>
        </w:rPr>
        <w:t>The study’s focus and findings……………………………………………16</w:t>
      </w:r>
    </w:p>
    <w:p w14:paraId="479C7BB2" w14:textId="77777777" w:rsidR="00091DBC" w:rsidRDefault="00091DBC" w:rsidP="00091DBC">
      <w:pPr>
        <w:spacing w:before="100" w:beforeAutospacing="1" w:after="100" w:afterAutospacing="1" w:line="360" w:lineRule="auto"/>
        <w:jc w:val="both"/>
        <w:outlineLvl w:val="2"/>
        <w:rPr>
          <w:rFonts w:ascii="Arial" w:eastAsia="SimSun" w:hAnsi="Arial" w:cs="Arial"/>
          <w:color w:val="000000" w:themeColor="text1"/>
          <w:lang w:eastAsia="zh-CN"/>
        </w:rPr>
      </w:pPr>
      <w:r>
        <w:rPr>
          <w:rFonts w:ascii="Arial" w:eastAsia="SimSun" w:hAnsi="Arial" w:cs="Arial"/>
          <w:color w:val="000000" w:themeColor="text1"/>
          <w:sz w:val="22"/>
          <w:szCs w:val="22"/>
          <w:lang w:eastAsia="zh-CN"/>
        </w:rPr>
        <w:t>Table 4.2: Summary of methodology findings……………………………………….21</w:t>
      </w:r>
    </w:p>
    <w:p w14:paraId="59424636" w14:textId="77777777" w:rsidR="00091DBC" w:rsidRDefault="00091DBC" w:rsidP="00091DBC">
      <w:pPr>
        <w:rPr>
          <w:rFonts w:ascii="Arial" w:hAnsi="Arial" w:cs="Arial"/>
        </w:rPr>
        <w:sectPr w:rsidR="00091DBC" w:rsidSect="00091DBC">
          <w:footerReference w:type="default" r:id="rId13"/>
          <w:pgSz w:w="11906" w:h="16838"/>
          <w:pgMar w:top="1360" w:right="425" w:bottom="1300" w:left="1417" w:header="0" w:footer="1111" w:gutter="0"/>
          <w:pgNumType w:fmt="lowerRoman"/>
          <w:cols w:space="720"/>
        </w:sectPr>
      </w:pPr>
      <w:bookmarkStart w:id="6" w:name="_TOC_250000"/>
      <w:r>
        <w:rPr>
          <w:rFonts w:ascii="Arial" w:hAnsi="Arial" w:cs="Arial"/>
          <w:sz w:val="22"/>
          <w:szCs w:val="22"/>
          <w:lang w:eastAsia="zh-CN"/>
        </w:rPr>
        <w:t>Table 4.3: Thematic Analysis Results of Ten Reviewed Studies………………….22</w:t>
      </w:r>
      <w:r>
        <w:rPr>
          <w:rFonts w:ascii="Arial" w:hAnsi="Arial" w:cs="Arial"/>
          <w:sz w:val="22"/>
          <w:szCs w:val="22"/>
        </w:rPr>
        <w:br w:type="page"/>
      </w:r>
    </w:p>
    <w:p w14:paraId="5E8C7628" w14:textId="77777777" w:rsidR="00091DBC" w:rsidRDefault="00091DBC" w:rsidP="00091DBC">
      <w:pPr>
        <w:rPr>
          <w:rFonts w:ascii="Arial" w:hAnsi="Arial" w:cs="Arial"/>
          <w:b/>
          <w:bCs/>
        </w:rPr>
      </w:pPr>
    </w:p>
    <w:p w14:paraId="4D9DD5FD" w14:textId="77777777" w:rsidR="00091DBC" w:rsidRDefault="00091DBC" w:rsidP="00091DBC">
      <w:pPr>
        <w:pStyle w:val="Heading1"/>
        <w:spacing w:before="61"/>
        <w:rPr>
          <w:rFonts w:cs="Arial"/>
          <w:sz w:val="22"/>
          <w:szCs w:val="22"/>
        </w:rPr>
      </w:pPr>
      <w:r>
        <w:rPr>
          <w:rFonts w:ascii="Arial" w:hAnsi="Arial" w:cs="Arial" w:hint="default"/>
          <w:sz w:val="22"/>
          <w:szCs w:val="22"/>
        </w:rPr>
        <w:t>LIST</w:t>
      </w:r>
      <w:r>
        <w:rPr>
          <w:rFonts w:ascii="Arial" w:hAnsi="Arial" w:cs="Arial" w:hint="default"/>
          <w:spacing w:val="-7"/>
          <w:sz w:val="22"/>
          <w:szCs w:val="22"/>
        </w:rPr>
        <w:t xml:space="preserve"> </w:t>
      </w:r>
      <w:r>
        <w:rPr>
          <w:rFonts w:ascii="Arial" w:hAnsi="Arial" w:cs="Arial" w:hint="default"/>
          <w:sz w:val="22"/>
          <w:szCs w:val="22"/>
        </w:rPr>
        <w:t>OF</w:t>
      </w:r>
      <w:r>
        <w:rPr>
          <w:rFonts w:ascii="Arial" w:hAnsi="Arial" w:cs="Arial" w:hint="default"/>
          <w:spacing w:val="-22"/>
          <w:sz w:val="22"/>
          <w:szCs w:val="22"/>
        </w:rPr>
        <w:t xml:space="preserve"> </w:t>
      </w:r>
      <w:bookmarkEnd w:id="6"/>
      <w:r>
        <w:rPr>
          <w:rFonts w:ascii="Arial" w:hAnsi="Arial" w:cs="Arial" w:hint="default"/>
          <w:spacing w:val="-2"/>
          <w:sz w:val="22"/>
          <w:szCs w:val="22"/>
        </w:rPr>
        <w:t>ABBREVIATIONS/NOMENCLATURE</w:t>
      </w:r>
    </w:p>
    <w:p w14:paraId="3B27359C" w14:textId="77777777" w:rsidR="00091DBC" w:rsidRDefault="00091DBC" w:rsidP="00091DBC">
      <w:pPr>
        <w:rPr>
          <w:rFonts w:ascii="Arial" w:hAnsi="Arial" w:cs="Arial"/>
        </w:rPr>
      </w:pPr>
    </w:p>
    <w:p w14:paraId="6A406E52" w14:textId="77777777" w:rsidR="00091DBC" w:rsidRDefault="00091DBC" w:rsidP="00091DBC">
      <w:pPr>
        <w:rPr>
          <w:rFonts w:ascii="Arial" w:hAnsi="Arial" w:cs="Arial"/>
        </w:rPr>
      </w:pPr>
      <w:r>
        <w:rPr>
          <w:rFonts w:ascii="Arial" w:hAnsi="Arial" w:cs="Arial"/>
          <w:sz w:val="22"/>
          <w:szCs w:val="22"/>
        </w:rPr>
        <w:t>ADLs – Activities of Daily Living</w:t>
      </w:r>
      <w:r>
        <w:rPr>
          <w:rFonts w:ascii="Arial" w:hAnsi="Arial" w:cs="Arial"/>
          <w:sz w:val="22"/>
          <w:szCs w:val="22"/>
        </w:rPr>
        <w:br/>
        <w:t>A&amp;E – Accident and Emergency</w:t>
      </w:r>
      <w:r>
        <w:rPr>
          <w:rFonts w:ascii="Arial" w:hAnsi="Arial" w:cs="Arial"/>
          <w:sz w:val="22"/>
          <w:szCs w:val="22"/>
        </w:rPr>
        <w:br/>
        <w:t>BPS – British Pain Society</w:t>
      </w:r>
      <w:r>
        <w:rPr>
          <w:rFonts w:ascii="Arial" w:hAnsi="Arial" w:cs="Arial"/>
          <w:sz w:val="22"/>
          <w:szCs w:val="22"/>
        </w:rPr>
        <w:br/>
        <w:t>CBT – Cognitive Behavioural Therapy</w:t>
      </w:r>
      <w:r>
        <w:rPr>
          <w:rFonts w:ascii="Arial" w:hAnsi="Arial" w:cs="Arial"/>
          <w:sz w:val="22"/>
          <w:szCs w:val="22"/>
        </w:rPr>
        <w:br/>
        <w:t>CCG – Clinical Commissioning Group</w:t>
      </w:r>
      <w:r>
        <w:rPr>
          <w:rFonts w:ascii="Arial" w:hAnsi="Arial" w:cs="Arial"/>
          <w:sz w:val="22"/>
          <w:szCs w:val="22"/>
        </w:rPr>
        <w:br/>
        <w:t>CP – Chronic Pain</w:t>
      </w:r>
      <w:r>
        <w:rPr>
          <w:rFonts w:ascii="Arial" w:hAnsi="Arial" w:cs="Arial"/>
          <w:sz w:val="22"/>
          <w:szCs w:val="22"/>
        </w:rPr>
        <w:br/>
        <w:t>CPM – Chronic Pain Management</w:t>
      </w:r>
      <w:r>
        <w:rPr>
          <w:rFonts w:ascii="Arial" w:hAnsi="Arial" w:cs="Arial"/>
          <w:sz w:val="22"/>
          <w:szCs w:val="22"/>
        </w:rPr>
        <w:br/>
        <w:t>CPD – Continuing Professional Development</w:t>
      </w:r>
      <w:r>
        <w:rPr>
          <w:rFonts w:ascii="Arial" w:hAnsi="Arial" w:cs="Arial"/>
          <w:sz w:val="22"/>
          <w:szCs w:val="22"/>
        </w:rPr>
        <w:br/>
        <w:t>ELSA – English Longitudinal Study of Ageing</w:t>
      </w:r>
      <w:r>
        <w:rPr>
          <w:rFonts w:ascii="Arial" w:hAnsi="Arial" w:cs="Arial"/>
          <w:sz w:val="22"/>
          <w:szCs w:val="22"/>
        </w:rPr>
        <w:br/>
        <w:t>GP – General Practitioner</w:t>
      </w:r>
      <w:r>
        <w:rPr>
          <w:rFonts w:ascii="Arial" w:hAnsi="Arial" w:cs="Arial"/>
          <w:sz w:val="22"/>
          <w:szCs w:val="22"/>
        </w:rPr>
        <w:br/>
        <w:t>HCP – Healthcare Professional</w:t>
      </w:r>
      <w:r>
        <w:rPr>
          <w:rFonts w:ascii="Arial" w:hAnsi="Arial" w:cs="Arial"/>
          <w:sz w:val="22"/>
          <w:szCs w:val="22"/>
        </w:rPr>
        <w:br/>
        <w:t>ICS – Integrated Care System</w:t>
      </w:r>
      <w:r>
        <w:rPr>
          <w:rFonts w:ascii="Arial" w:hAnsi="Arial" w:cs="Arial"/>
          <w:sz w:val="22"/>
          <w:szCs w:val="22"/>
        </w:rPr>
        <w:br/>
        <w:t>LTCs – Long-Term Conditions</w:t>
      </w:r>
      <w:r>
        <w:rPr>
          <w:rFonts w:ascii="Arial" w:hAnsi="Arial" w:cs="Arial"/>
          <w:sz w:val="22"/>
          <w:szCs w:val="22"/>
        </w:rPr>
        <w:br/>
        <w:t>MDT – Multidisciplinary Team</w:t>
      </w:r>
      <w:r>
        <w:rPr>
          <w:rFonts w:ascii="Arial" w:hAnsi="Arial" w:cs="Arial"/>
          <w:sz w:val="22"/>
          <w:szCs w:val="22"/>
        </w:rPr>
        <w:br/>
        <w:t>MSK – Musculoskeletal</w:t>
      </w:r>
      <w:r>
        <w:rPr>
          <w:rFonts w:ascii="Arial" w:hAnsi="Arial" w:cs="Arial"/>
          <w:sz w:val="22"/>
          <w:szCs w:val="22"/>
        </w:rPr>
        <w:br/>
        <w:t>NHS – National Health Service</w:t>
      </w:r>
      <w:r>
        <w:rPr>
          <w:rFonts w:ascii="Arial" w:hAnsi="Arial" w:cs="Arial"/>
          <w:sz w:val="22"/>
          <w:szCs w:val="22"/>
        </w:rPr>
        <w:br/>
        <w:t>NICE – National Institute for Health and Care Excellence</w:t>
      </w:r>
      <w:r>
        <w:rPr>
          <w:rFonts w:ascii="Arial" w:hAnsi="Arial" w:cs="Arial"/>
          <w:sz w:val="22"/>
          <w:szCs w:val="22"/>
        </w:rPr>
        <w:br/>
        <w:t>ONS – Office for National Statistics</w:t>
      </w:r>
      <w:r>
        <w:rPr>
          <w:rFonts w:ascii="Arial" w:hAnsi="Arial" w:cs="Arial"/>
          <w:sz w:val="22"/>
          <w:szCs w:val="22"/>
        </w:rPr>
        <w:br/>
        <w:t>QoL – Quality of Life</w:t>
      </w:r>
      <w:r>
        <w:rPr>
          <w:rFonts w:ascii="Arial" w:hAnsi="Arial" w:cs="Arial"/>
          <w:sz w:val="22"/>
          <w:szCs w:val="22"/>
        </w:rPr>
        <w:br/>
        <w:t>RCT – Randomised Controlled Trial</w:t>
      </w:r>
      <w:r>
        <w:rPr>
          <w:rFonts w:ascii="Arial" w:hAnsi="Arial" w:cs="Arial"/>
          <w:sz w:val="22"/>
          <w:szCs w:val="22"/>
        </w:rPr>
        <w:br/>
        <w:t>TA – Thematic Analysis</w:t>
      </w:r>
      <w:r>
        <w:rPr>
          <w:rFonts w:ascii="Arial" w:hAnsi="Arial" w:cs="Arial"/>
          <w:sz w:val="22"/>
          <w:szCs w:val="22"/>
        </w:rPr>
        <w:br/>
        <w:t>UWTSD – University of Wales Trinity Saint David</w:t>
      </w:r>
      <w:r>
        <w:rPr>
          <w:rFonts w:ascii="Arial" w:hAnsi="Arial" w:cs="Arial"/>
          <w:sz w:val="22"/>
          <w:szCs w:val="22"/>
        </w:rPr>
        <w:br/>
        <w:t>UK – United Kingdom</w:t>
      </w:r>
    </w:p>
    <w:p w14:paraId="0AD2D050" w14:textId="77777777" w:rsidR="00091DBC" w:rsidRDefault="00091DBC">
      <w:pPr>
        <w:spacing w:line="360" w:lineRule="auto"/>
        <w:jc w:val="center"/>
        <w:rPr>
          <w:rFonts w:ascii="Arial" w:hAnsi="Arial" w:cs="Arial"/>
          <w:b/>
          <w:bCs/>
          <w:sz w:val="22"/>
          <w:szCs w:val="22"/>
        </w:rPr>
      </w:pPr>
    </w:p>
    <w:p w14:paraId="6E3DD799" w14:textId="77777777" w:rsidR="00091DBC" w:rsidRDefault="00091DBC">
      <w:pPr>
        <w:spacing w:line="360" w:lineRule="auto"/>
        <w:jc w:val="center"/>
        <w:rPr>
          <w:rFonts w:ascii="Arial" w:hAnsi="Arial" w:cs="Arial"/>
          <w:b/>
          <w:bCs/>
          <w:sz w:val="22"/>
          <w:szCs w:val="22"/>
        </w:rPr>
      </w:pPr>
    </w:p>
    <w:p w14:paraId="6A44A90F" w14:textId="77777777" w:rsidR="00091DBC" w:rsidRDefault="00091DBC">
      <w:pPr>
        <w:spacing w:line="360" w:lineRule="auto"/>
        <w:jc w:val="center"/>
        <w:rPr>
          <w:rFonts w:ascii="Arial" w:hAnsi="Arial" w:cs="Arial"/>
          <w:b/>
          <w:bCs/>
          <w:sz w:val="22"/>
          <w:szCs w:val="22"/>
        </w:rPr>
      </w:pPr>
    </w:p>
    <w:p w14:paraId="69055FDE" w14:textId="77777777" w:rsidR="00091DBC" w:rsidRDefault="00091DBC">
      <w:pPr>
        <w:spacing w:line="360" w:lineRule="auto"/>
        <w:jc w:val="center"/>
        <w:rPr>
          <w:rFonts w:ascii="Arial" w:hAnsi="Arial" w:cs="Arial"/>
          <w:b/>
          <w:bCs/>
          <w:sz w:val="22"/>
          <w:szCs w:val="22"/>
        </w:rPr>
      </w:pPr>
    </w:p>
    <w:p w14:paraId="21E29C3F" w14:textId="77777777" w:rsidR="00091DBC" w:rsidRDefault="00091DBC">
      <w:pPr>
        <w:spacing w:line="360" w:lineRule="auto"/>
        <w:jc w:val="center"/>
        <w:rPr>
          <w:rFonts w:ascii="Arial" w:hAnsi="Arial" w:cs="Arial"/>
          <w:b/>
          <w:bCs/>
          <w:sz w:val="22"/>
          <w:szCs w:val="22"/>
        </w:rPr>
      </w:pPr>
    </w:p>
    <w:p w14:paraId="4D0580B7" w14:textId="0E3BA982" w:rsidR="00DE3473" w:rsidRDefault="00000000">
      <w:pPr>
        <w:spacing w:line="360" w:lineRule="auto"/>
        <w:jc w:val="center"/>
        <w:rPr>
          <w:rFonts w:ascii="Arial" w:hAnsi="Arial" w:cs="Arial"/>
          <w:b/>
          <w:bCs/>
          <w:sz w:val="22"/>
          <w:szCs w:val="22"/>
        </w:rPr>
      </w:pPr>
      <w:r>
        <w:rPr>
          <w:rFonts w:ascii="Arial" w:hAnsi="Arial" w:cs="Arial"/>
          <w:b/>
          <w:bCs/>
          <w:sz w:val="22"/>
          <w:szCs w:val="22"/>
        </w:rPr>
        <w:t>Chapter One</w:t>
      </w:r>
    </w:p>
    <w:p w14:paraId="2815D87B" w14:textId="77777777" w:rsidR="00091DBC" w:rsidRDefault="00091DBC">
      <w:pPr>
        <w:spacing w:line="360" w:lineRule="auto"/>
        <w:jc w:val="both"/>
        <w:rPr>
          <w:rFonts w:ascii="Arial" w:hAnsi="Arial" w:cs="Arial"/>
          <w:b/>
          <w:bCs/>
          <w:sz w:val="22"/>
          <w:szCs w:val="22"/>
        </w:rPr>
      </w:pPr>
    </w:p>
    <w:p w14:paraId="6727CAAA" w14:textId="0EB7466F" w:rsidR="00DE3473" w:rsidRDefault="00000000">
      <w:pPr>
        <w:spacing w:line="360" w:lineRule="auto"/>
        <w:jc w:val="both"/>
        <w:rPr>
          <w:rFonts w:ascii="Arial" w:hAnsi="Arial" w:cs="Arial"/>
          <w:b/>
          <w:bCs/>
          <w:sz w:val="22"/>
          <w:szCs w:val="22"/>
        </w:rPr>
      </w:pPr>
      <w:r>
        <w:rPr>
          <w:rFonts w:ascii="Arial" w:hAnsi="Arial" w:cs="Arial"/>
          <w:b/>
          <w:bCs/>
          <w:sz w:val="22"/>
          <w:szCs w:val="22"/>
        </w:rPr>
        <w:t>1.0 Introduction</w:t>
      </w:r>
    </w:p>
    <w:p w14:paraId="7C96C1F5" w14:textId="77777777" w:rsidR="00DE3473" w:rsidRDefault="00000000">
      <w:pPr>
        <w:spacing w:line="360" w:lineRule="auto"/>
        <w:jc w:val="both"/>
        <w:rPr>
          <w:rFonts w:ascii="Arial" w:hAnsi="Arial" w:cs="Arial"/>
          <w:sz w:val="22"/>
          <w:szCs w:val="22"/>
        </w:rPr>
      </w:pPr>
      <w:r>
        <w:rPr>
          <w:rFonts w:ascii="Arial" w:hAnsi="Arial" w:cs="Arial"/>
          <w:sz w:val="22"/>
          <w:szCs w:val="22"/>
        </w:rPr>
        <w:lastRenderedPageBreak/>
        <w:t>Chronic pain, commonly defined as pain persisting for three months or longer, is a significant and escalating public health concern in the United Kingdom, particularly among older adults. Recent estimates suggest that roughly 43% equating to approximately 28 million adults in England, live with chronic pain (Fayaz et al., 2016). Older age groups are disproportionately affected due to the increasing prevalence of musculoskeletal (MSK) conditions, including osteoarthritis and chronic back pain (Humphreys and Verstappen, 2022).</w:t>
      </w:r>
    </w:p>
    <w:p w14:paraId="3E9BCAEA" w14:textId="77777777" w:rsidR="00DE3473" w:rsidRDefault="00000000">
      <w:pPr>
        <w:spacing w:line="360" w:lineRule="auto"/>
        <w:jc w:val="both"/>
        <w:rPr>
          <w:rFonts w:ascii="Arial" w:hAnsi="Arial" w:cs="Arial"/>
          <w:sz w:val="22"/>
          <w:szCs w:val="22"/>
        </w:rPr>
      </w:pPr>
      <w:r>
        <w:rPr>
          <w:rFonts w:ascii="Arial" w:hAnsi="Arial" w:cs="Arial"/>
          <w:sz w:val="22"/>
          <w:szCs w:val="22"/>
        </w:rPr>
        <w:t>According to the latest Musculoskeletal Health Profile (April 2025), 17.9% of people aged 16 and over in England report at least one long-term MSK condition (Hollick et al., 2025). Prevalence increases markedly with age and BMI, and those living in the most deprived areas report substantially higher rates of MSK-related pain. A longitudinal population-based UK study of adults aged 50+ found that in women, the prevalence of back, knee, hip, and hand pain ranged between ~18–26%, with recurrence risk ratios showing persistence over time (ONS, 2023; Radojčić et al., 2023).</w:t>
      </w:r>
    </w:p>
    <w:p w14:paraId="79C45709" w14:textId="77777777" w:rsidR="00DE3473" w:rsidRDefault="00000000">
      <w:pPr>
        <w:spacing w:line="360" w:lineRule="auto"/>
        <w:jc w:val="both"/>
        <w:rPr>
          <w:rFonts w:ascii="Arial" w:hAnsi="Arial" w:cs="Arial"/>
          <w:sz w:val="22"/>
          <w:szCs w:val="22"/>
        </w:rPr>
      </w:pPr>
      <w:r>
        <w:rPr>
          <w:rFonts w:ascii="Arial" w:hAnsi="Arial" w:cs="Arial"/>
          <w:sz w:val="22"/>
          <w:szCs w:val="22"/>
        </w:rPr>
        <w:t>The growing burden of chronic pain in the elderly adversely impacts physical well-being, including mobility, independence in activities of daily living, fall risk, and overall quality of life. Many older adults experience pain-related fatigue, depression, and social isolation, often relying on informal caregivers for assistance. Pain-related inactivity and avoidant behaviours further reduce function, increasing dependency (Larsson et al., 2016).</w:t>
      </w:r>
    </w:p>
    <w:p w14:paraId="7C4BE0EA" w14:textId="77777777" w:rsidR="00DE3473" w:rsidRDefault="00000000">
      <w:pPr>
        <w:spacing w:line="360" w:lineRule="auto"/>
        <w:jc w:val="both"/>
        <w:rPr>
          <w:rFonts w:ascii="Arial" w:hAnsi="Arial" w:cs="Arial"/>
          <w:sz w:val="22"/>
          <w:szCs w:val="22"/>
        </w:rPr>
      </w:pPr>
      <w:r>
        <w:rPr>
          <w:rFonts w:ascii="Arial" w:hAnsi="Arial" w:cs="Arial"/>
          <w:sz w:val="22"/>
          <w:szCs w:val="22"/>
        </w:rPr>
        <w:t>Moreover, the service delivery challenges within the NHS exacerbate these individual burdens. Long waiting lists for MSK and pain management services result in delayed access to physiotherapy and specialist care, forcing many patients to turn up in A&amp;E for unmanaged pain (NHS England, 2023). In a 2025 survey of 4,000 chronic pain sufferers, 54% identified long NHS waiting times as a key barrier to receiving treatment, while 17% reported standard treatments were ineffective, increasing interest in alternative therapies (Department of Health and Social Care, 2025).</w:t>
      </w:r>
    </w:p>
    <w:p w14:paraId="06005989"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UK policy and clinical guidelines strongly emphasise non-pharmacological, biopsychosocial, and self-management approaches, especially for older adults. NICE guidance supports structured pain education, graded exercise, psychological therapies, and cautious use of medications (NICE, 2021). In addition, self-management strategies among older adult populations have shown promising outcomes. According to Russin et al. (2025), an integrative review of 58 studies spanning the past decade found that engagement in combined approaches to patient education, exercise, cognitive coping skills, and social participation yielded improvements in </w:t>
      </w:r>
      <w:r>
        <w:rPr>
          <w:rFonts w:ascii="Arial" w:hAnsi="Arial" w:cs="Arial"/>
          <w:sz w:val="22"/>
          <w:szCs w:val="22"/>
        </w:rPr>
        <w:lastRenderedPageBreak/>
        <w:t>pain reduction, functional capacity, self-efficacy, and quality of life, even when pain persisted. However, study quality varies, with many small samples and limited long-term follow-up; benefits often wane by three months unless reinforced.</w:t>
      </w:r>
    </w:p>
    <w:p w14:paraId="56779F3B" w14:textId="77777777" w:rsidR="00DE3473" w:rsidRDefault="00000000">
      <w:pPr>
        <w:spacing w:line="360" w:lineRule="auto"/>
        <w:jc w:val="both"/>
        <w:rPr>
          <w:rFonts w:ascii="Arial" w:hAnsi="Arial" w:cs="Arial"/>
          <w:sz w:val="22"/>
          <w:szCs w:val="22"/>
        </w:rPr>
      </w:pPr>
      <w:r>
        <w:rPr>
          <w:rFonts w:ascii="Arial" w:hAnsi="Arial" w:cs="Arial"/>
          <w:sz w:val="22"/>
          <w:szCs w:val="22"/>
        </w:rPr>
        <w:t>Given demographic shifts and the projected increase of nearly 2 million more chronic pain sufferers in England by 2040, particularly among adults aged 50–69 (Rezvaninejad, 2023), focusing on older adults' physical well-being amid chronic pain is timely and crucial. This research aims to explore the effects of chronic pain management strategies on physical well-being including mobility, daily functioning, fall risk, and independence among older UK adults. It will critically examine NHS service provision, evaluate non-pharmacological interventions, assess medication burden, and explore self-management uptake within this demographic.</w:t>
      </w:r>
    </w:p>
    <w:p w14:paraId="462478B1" w14:textId="77777777" w:rsidR="00DE3473" w:rsidRDefault="00000000">
      <w:pPr>
        <w:spacing w:line="360" w:lineRule="auto"/>
        <w:jc w:val="both"/>
        <w:rPr>
          <w:rFonts w:ascii="Arial" w:hAnsi="Arial" w:cs="Arial"/>
          <w:b/>
          <w:bCs/>
          <w:sz w:val="22"/>
          <w:szCs w:val="22"/>
        </w:rPr>
      </w:pPr>
      <w:r>
        <w:rPr>
          <w:rFonts w:ascii="Arial" w:hAnsi="Arial" w:cs="Arial"/>
          <w:b/>
          <w:bCs/>
          <w:sz w:val="22"/>
          <w:szCs w:val="22"/>
        </w:rPr>
        <w:t>1.1 Key Terminologies</w:t>
      </w:r>
    </w:p>
    <w:p w14:paraId="00370B7A" w14:textId="77777777" w:rsidR="00DE3473" w:rsidRDefault="00000000">
      <w:pPr>
        <w:spacing w:line="360" w:lineRule="auto"/>
        <w:jc w:val="both"/>
        <w:rPr>
          <w:rFonts w:ascii="Arial" w:hAnsi="Arial" w:cs="Arial"/>
          <w:b/>
          <w:bCs/>
          <w:sz w:val="22"/>
          <w:szCs w:val="22"/>
        </w:rPr>
      </w:pPr>
      <w:r>
        <w:rPr>
          <w:rFonts w:ascii="Arial" w:hAnsi="Arial" w:cs="Arial"/>
          <w:b/>
          <w:bCs/>
          <w:sz w:val="22"/>
          <w:szCs w:val="22"/>
        </w:rPr>
        <w:t>Chronic Pain</w:t>
      </w:r>
    </w:p>
    <w:p w14:paraId="5ABFED62" w14:textId="77777777" w:rsidR="00DE3473" w:rsidRDefault="00000000">
      <w:pPr>
        <w:spacing w:line="360" w:lineRule="auto"/>
        <w:jc w:val="both"/>
        <w:rPr>
          <w:rFonts w:ascii="Arial" w:hAnsi="Arial" w:cs="Arial"/>
          <w:sz w:val="22"/>
          <w:szCs w:val="22"/>
        </w:rPr>
      </w:pPr>
      <w:r>
        <w:rPr>
          <w:rFonts w:ascii="Arial" w:hAnsi="Arial" w:cs="Arial"/>
          <w:sz w:val="22"/>
          <w:szCs w:val="22"/>
        </w:rPr>
        <w:t>Chronic pain is commonly defined as pain lasting more than three months, but scholars argue this timeframe is somewhat arbitrary and oversimplifies complex pain trajectories. While the NICE (2024) definition offers consistency for clinical use, it lacks sensitivity to fluctuating pain patterns and individual differences, especially in older adults. These limitations contribute to inconsistent prevalence reporting and challenges in comparing research findings, revealing significant gaps in definitional precision across the literature.</w:t>
      </w:r>
    </w:p>
    <w:p w14:paraId="1002ACEF" w14:textId="77777777" w:rsidR="00DE3473" w:rsidRDefault="00000000">
      <w:pPr>
        <w:spacing w:line="360" w:lineRule="auto"/>
        <w:jc w:val="both"/>
        <w:rPr>
          <w:rFonts w:ascii="Arial" w:hAnsi="Arial" w:cs="Arial"/>
          <w:b/>
          <w:bCs/>
          <w:sz w:val="22"/>
          <w:szCs w:val="22"/>
        </w:rPr>
      </w:pPr>
      <w:r>
        <w:rPr>
          <w:rFonts w:ascii="Arial" w:hAnsi="Arial" w:cs="Arial"/>
          <w:b/>
          <w:bCs/>
          <w:sz w:val="22"/>
          <w:szCs w:val="22"/>
        </w:rPr>
        <w:t>Older Adults</w:t>
      </w:r>
    </w:p>
    <w:p w14:paraId="51B11701" w14:textId="77777777" w:rsidR="00DE3473" w:rsidRDefault="00000000">
      <w:pPr>
        <w:spacing w:line="360" w:lineRule="auto"/>
        <w:jc w:val="both"/>
        <w:rPr>
          <w:rFonts w:ascii="Arial" w:hAnsi="Arial" w:cs="Arial"/>
          <w:sz w:val="22"/>
          <w:szCs w:val="22"/>
        </w:rPr>
      </w:pPr>
      <w:r>
        <w:rPr>
          <w:rFonts w:ascii="Arial" w:hAnsi="Arial" w:cs="Arial"/>
          <w:sz w:val="22"/>
          <w:szCs w:val="22"/>
        </w:rPr>
        <w:t>Older adults are typically defined as individuals aged 65 and over, but this chronological threshold is criticised for masking substantial differences in health, function, and socioeconomic status. Researchers highlight important distinctions between subgroups such as the young-old and the oldest-old, which are often overlooked in chronic pain research. The reliance on a single age cutoff limits nuance and calls for more detailed, intersectional definitions to improve the accuracy and relevance of findings (ONS, 2021).</w:t>
      </w:r>
    </w:p>
    <w:p w14:paraId="11CC5476" w14:textId="77777777" w:rsidR="00DE3473" w:rsidRDefault="00DE3473">
      <w:pPr>
        <w:spacing w:line="360" w:lineRule="auto"/>
        <w:jc w:val="both"/>
        <w:rPr>
          <w:rFonts w:ascii="Arial" w:hAnsi="Arial" w:cs="Arial"/>
          <w:b/>
          <w:bCs/>
          <w:sz w:val="22"/>
          <w:szCs w:val="22"/>
        </w:rPr>
      </w:pPr>
    </w:p>
    <w:p w14:paraId="66D0F733" w14:textId="77777777" w:rsidR="00DE3473" w:rsidRDefault="00DE3473">
      <w:pPr>
        <w:spacing w:line="360" w:lineRule="auto"/>
        <w:jc w:val="both"/>
        <w:rPr>
          <w:rFonts w:ascii="Arial" w:hAnsi="Arial" w:cs="Arial"/>
          <w:b/>
          <w:bCs/>
          <w:sz w:val="22"/>
          <w:szCs w:val="22"/>
        </w:rPr>
      </w:pPr>
    </w:p>
    <w:p w14:paraId="79A8528A" w14:textId="77777777" w:rsidR="00DE3473" w:rsidRDefault="00000000">
      <w:pPr>
        <w:spacing w:line="360" w:lineRule="auto"/>
        <w:jc w:val="both"/>
        <w:rPr>
          <w:rFonts w:ascii="Arial" w:hAnsi="Arial" w:cs="Arial"/>
          <w:sz w:val="22"/>
          <w:szCs w:val="22"/>
        </w:rPr>
      </w:pPr>
      <w:r>
        <w:rPr>
          <w:rFonts w:ascii="Arial" w:hAnsi="Arial" w:cs="Arial"/>
          <w:b/>
          <w:bCs/>
          <w:sz w:val="22"/>
          <w:szCs w:val="22"/>
        </w:rPr>
        <w:t>Physical well-being</w:t>
      </w:r>
      <w:r>
        <w:rPr>
          <w:rFonts w:ascii="Arial" w:hAnsi="Arial" w:cs="Arial"/>
          <w:sz w:val="22"/>
          <w:szCs w:val="22"/>
        </w:rPr>
        <w:t xml:space="preserve"> </w:t>
      </w:r>
    </w:p>
    <w:p w14:paraId="4973715E"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Physical well-being is usually defined as optimal bodily functioning and the absence of illness, but this definition is debated for overlooking subjective health perceptions and adaptive </w:t>
      </w:r>
      <w:r>
        <w:rPr>
          <w:rFonts w:ascii="Arial" w:hAnsi="Arial" w:cs="Arial"/>
          <w:sz w:val="22"/>
          <w:szCs w:val="22"/>
        </w:rPr>
        <w:lastRenderedPageBreak/>
        <w:t xml:space="preserve">functioning in chronic pain populations (WHO, 2020). Scholars argue that well-being is multidimensional, and the lack of consensus on whether to prioritise objective or subjective indicators leads to inconsistent outcome measures across studies. These conceptual variations complicate evidence synthesis and limit comparability of research focusing on chronic pain in older adults. </w:t>
      </w:r>
    </w:p>
    <w:p w14:paraId="6CD0F917" w14:textId="77777777" w:rsidR="00DE3473" w:rsidRDefault="00000000">
      <w:pPr>
        <w:spacing w:line="360" w:lineRule="auto"/>
        <w:jc w:val="both"/>
        <w:rPr>
          <w:rFonts w:ascii="Arial" w:hAnsi="Arial" w:cs="Arial"/>
          <w:sz w:val="22"/>
          <w:szCs w:val="22"/>
        </w:rPr>
      </w:pPr>
      <w:r>
        <w:rPr>
          <w:rFonts w:ascii="Arial" w:hAnsi="Arial" w:cs="Arial"/>
          <w:b/>
          <w:bCs/>
          <w:sz w:val="22"/>
          <w:szCs w:val="22"/>
        </w:rPr>
        <w:t>Chronic pain management</w:t>
      </w:r>
      <w:r>
        <w:rPr>
          <w:rFonts w:ascii="Arial" w:hAnsi="Arial" w:cs="Arial"/>
          <w:sz w:val="22"/>
          <w:szCs w:val="22"/>
        </w:rPr>
        <w:t xml:space="preserve"> </w:t>
      </w:r>
    </w:p>
    <w:p w14:paraId="27F0CE4F" w14:textId="77777777" w:rsidR="00DE3473" w:rsidRDefault="00000000">
      <w:pPr>
        <w:spacing w:line="360" w:lineRule="auto"/>
        <w:jc w:val="both"/>
        <w:rPr>
          <w:rFonts w:ascii="Arial" w:hAnsi="Arial" w:cs="Arial"/>
          <w:sz w:val="22"/>
          <w:szCs w:val="22"/>
        </w:rPr>
      </w:pPr>
      <w:r>
        <w:rPr>
          <w:rFonts w:ascii="Arial" w:hAnsi="Arial" w:cs="Arial"/>
          <w:sz w:val="22"/>
          <w:szCs w:val="22"/>
        </w:rPr>
        <w:t>Chronic pain management involves pharmacological, physical, psychological, and self-management approaches, yet the broadness of this definition makes it difficult to assess the effectiveness of specific interventions (NICE, 2024). While policies favour non-pharmacological and biopsychosocial methods, evidence for long-term benefits remains inconsistent, particularly in older adults with multimorbidity. Scholars also highlight gaps regarding social determinants of pain and real-world service pressures, underscoring the need for more context-sensitive research within the UK healthcare setting.</w:t>
      </w:r>
    </w:p>
    <w:p w14:paraId="5C27765A" w14:textId="77777777" w:rsidR="00DE3473" w:rsidRDefault="00000000">
      <w:pPr>
        <w:spacing w:line="360" w:lineRule="auto"/>
        <w:jc w:val="both"/>
        <w:rPr>
          <w:rFonts w:ascii="Arial" w:hAnsi="Arial" w:cs="Arial"/>
          <w:b/>
          <w:bCs/>
          <w:sz w:val="22"/>
          <w:szCs w:val="22"/>
        </w:rPr>
      </w:pPr>
      <w:r>
        <w:rPr>
          <w:rFonts w:ascii="Arial" w:hAnsi="Arial" w:cs="Arial"/>
          <w:b/>
          <w:bCs/>
          <w:sz w:val="22"/>
          <w:szCs w:val="22"/>
        </w:rPr>
        <w:t>1.2 Rationale of the study</w:t>
      </w:r>
    </w:p>
    <w:p w14:paraId="70F449BD" w14:textId="77777777" w:rsidR="00DE3473" w:rsidRDefault="00000000">
      <w:pPr>
        <w:spacing w:line="360" w:lineRule="auto"/>
        <w:jc w:val="both"/>
        <w:rPr>
          <w:rFonts w:ascii="Arial" w:hAnsi="Arial" w:cs="Arial"/>
          <w:sz w:val="22"/>
          <w:szCs w:val="22"/>
        </w:rPr>
      </w:pPr>
      <w:r>
        <w:rPr>
          <w:rFonts w:ascii="Arial" w:hAnsi="Arial" w:cs="Arial"/>
          <w:sz w:val="22"/>
          <w:szCs w:val="22"/>
        </w:rPr>
        <w:t>Chronic pain represents a major public health issue in the UK, affecting approximately 28 million adults, with older adults disproportionately impacted nearly 40% experience persistent pain lasting longer than three months (NHS Digital, 2022; ONS, 2023). Beyond physical discomfort, chronic pain is associated with psychological distress, social isolation, and reduced quality of life (British Pain Society, 2021; Age UK, 2022). Management complexities within older populations are further compounded by multiple comorbidities and polypharmacy, which heighten the risk of adverse drug reactions and restrict treatment options (Smith et al., 2023; NHS England, 2024).</w:t>
      </w:r>
    </w:p>
    <w:p w14:paraId="66BDB8D7" w14:textId="77777777" w:rsidR="00DE3473" w:rsidRDefault="00000000">
      <w:pPr>
        <w:spacing w:line="360" w:lineRule="auto"/>
        <w:jc w:val="both"/>
        <w:rPr>
          <w:rFonts w:ascii="Arial" w:hAnsi="Arial" w:cs="Arial"/>
          <w:sz w:val="22"/>
          <w:szCs w:val="22"/>
        </w:rPr>
      </w:pPr>
      <w:r>
        <w:rPr>
          <w:rFonts w:ascii="Arial" w:hAnsi="Arial" w:cs="Arial"/>
          <w:sz w:val="22"/>
          <w:szCs w:val="22"/>
        </w:rPr>
        <w:t>Despite the UK’s rapidly ageing population projected to exceed 24 million people aged 65 and over by 2040 (ONS, 2021) current pain management strategies remain insufficiently tailored to the unique needs of older adults. Both pharmacological and non-pharmacological interventions show significant variation in accessibility, adherence, and clinical effectiveness (Pain UK, 2023; NICE, 2024). Furthermore, there is limited understanding of the barriers older adults face in accessing optimal pain management, including systemic healthcare limitations, socioeconomic constraints, and patient-related factors (Jones et al., 2023).</w:t>
      </w:r>
    </w:p>
    <w:p w14:paraId="17690093"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This study seeks to address these gaps by examining the real-world impact of chronic pain management strategies on the physical well-being of older adults in the UK. By identifying key barriers to effective care, the research aims to inform targeted improvements in health service </w:t>
      </w:r>
      <w:r>
        <w:rPr>
          <w:rFonts w:ascii="Arial" w:hAnsi="Arial" w:cs="Arial"/>
          <w:sz w:val="22"/>
          <w:szCs w:val="22"/>
        </w:rPr>
        <w:lastRenderedPageBreak/>
        <w:t>delivery, strengthen patient-centred care approaches, and enhance quality of life for this vulnerable population. Addressing these issues is critical, as inadequate pain management contributes to persistent health inequalities and increases healthcare expenditure through frequent hospital admissions and long-term disability (World Health Organization, 2023; NHS Digital, 2024).</w:t>
      </w:r>
    </w:p>
    <w:p w14:paraId="3247D388" w14:textId="77777777" w:rsidR="00DE3473" w:rsidRDefault="00000000">
      <w:pPr>
        <w:spacing w:line="360" w:lineRule="auto"/>
        <w:jc w:val="both"/>
        <w:rPr>
          <w:rFonts w:ascii="Arial" w:hAnsi="Arial" w:cs="Arial"/>
          <w:b/>
          <w:bCs/>
          <w:sz w:val="22"/>
          <w:szCs w:val="22"/>
          <w:lang w:val="en-GB"/>
        </w:rPr>
      </w:pPr>
      <w:r>
        <w:rPr>
          <w:rFonts w:ascii="Arial" w:hAnsi="Arial" w:cs="Arial"/>
          <w:b/>
          <w:bCs/>
          <w:sz w:val="22"/>
          <w:szCs w:val="22"/>
        </w:rPr>
        <w:t xml:space="preserve">1.3 </w:t>
      </w:r>
      <w:r>
        <w:rPr>
          <w:rFonts w:ascii="Arial" w:hAnsi="Arial" w:cs="Arial"/>
          <w:b/>
          <w:bCs/>
          <w:sz w:val="22"/>
          <w:szCs w:val="22"/>
          <w:lang w:val="en-GB"/>
        </w:rPr>
        <w:t>Aim and Objectives</w:t>
      </w:r>
    </w:p>
    <w:p w14:paraId="088AD0DE" w14:textId="77777777" w:rsidR="00DE3473" w:rsidRDefault="00000000">
      <w:pPr>
        <w:spacing w:line="360" w:lineRule="auto"/>
        <w:jc w:val="both"/>
        <w:rPr>
          <w:rFonts w:ascii="Arial" w:hAnsi="Arial" w:cs="Arial"/>
          <w:b/>
          <w:bCs/>
          <w:i/>
          <w:iCs/>
          <w:sz w:val="22"/>
          <w:szCs w:val="22"/>
        </w:rPr>
      </w:pPr>
      <w:r>
        <w:rPr>
          <w:rFonts w:ascii="Arial" w:hAnsi="Arial" w:cs="Arial"/>
          <w:sz w:val="22"/>
          <w:szCs w:val="22"/>
        </w:rPr>
        <w:t>This study aims to examine the effectiveness of chronic pain management strategies and their influence on the physical well-being of older adults residing in the United Kingdom. The specific objectives include;</w:t>
      </w:r>
      <w:r>
        <w:rPr>
          <w:rFonts w:ascii="Arial" w:hAnsi="Arial" w:cs="Arial"/>
          <w:b/>
          <w:bCs/>
          <w:i/>
          <w:iCs/>
          <w:sz w:val="22"/>
          <w:szCs w:val="22"/>
        </w:rPr>
        <w:t> </w:t>
      </w:r>
    </w:p>
    <w:p w14:paraId="507B7A90" w14:textId="77777777" w:rsidR="00DE3473" w:rsidRDefault="00000000">
      <w:pPr>
        <w:pStyle w:val="ListParagraph"/>
        <w:numPr>
          <w:ilvl w:val="0"/>
          <w:numId w:val="1"/>
        </w:numPr>
        <w:spacing w:line="360" w:lineRule="auto"/>
        <w:jc w:val="both"/>
        <w:rPr>
          <w:rFonts w:ascii="Arial" w:hAnsi="Arial" w:cs="Arial"/>
          <w:sz w:val="22"/>
          <w:szCs w:val="22"/>
        </w:rPr>
      </w:pPr>
      <w:r>
        <w:rPr>
          <w:rFonts w:ascii="Arial" w:hAnsi="Arial" w:cs="Arial"/>
          <w:sz w:val="22"/>
          <w:szCs w:val="22"/>
        </w:rPr>
        <w:t>identify the most commonly used chronic pain management approaches among older adults in the UK;</w:t>
      </w:r>
    </w:p>
    <w:p w14:paraId="2C19BCB5" w14:textId="77777777" w:rsidR="00DE3473" w:rsidRDefault="00000000">
      <w:pPr>
        <w:pStyle w:val="ListParagraph"/>
        <w:numPr>
          <w:ilvl w:val="0"/>
          <w:numId w:val="1"/>
        </w:numPr>
        <w:spacing w:line="360" w:lineRule="auto"/>
        <w:jc w:val="both"/>
        <w:rPr>
          <w:rFonts w:ascii="Arial" w:hAnsi="Arial" w:cs="Arial"/>
          <w:sz w:val="22"/>
          <w:szCs w:val="22"/>
        </w:rPr>
      </w:pPr>
      <w:r>
        <w:rPr>
          <w:rFonts w:ascii="Arial" w:hAnsi="Arial" w:cs="Arial"/>
          <w:sz w:val="22"/>
          <w:szCs w:val="22"/>
        </w:rPr>
        <w:t>assess the impact of these pain management strategies on the physical health of older adults;</w:t>
      </w:r>
    </w:p>
    <w:p w14:paraId="72692FC9" w14:textId="77777777" w:rsidR="00DE3473" w:rsidRDefault="00000000">
      <w:pPr>
        <w:pStyle w:val="ListParagraph"/>
        <w:numPr>
          <w:ilvl w:val="0"/>
          <w:numId w:val="1"/>
        </w:numPr>
        <w:spacing w:line="360" w:lineRule="auto"/>
        <w:jc w:val="both"/>
        <w:rPr>
          <w:rFonts w:ascii="Arial" w:hAnsi="Arial" w:cs="Arial"/>
          <w:sz w:val="22"/>
          <w:szCs w:val="22"/>
        </w:rPr>
      </w:pPr>
      <w:r>
        <w:rPr>
          <w:rFonts w:ascii="Arial" w:hAnsi="Arial" w:cs="Arial"/>
          <w:sz w:val="22"/>
          <w:szCs w:val="22"/>
        </w:rPr>
        <w:t>explore the barriers and facilitators affecting access to effective pain management for older adults in the UK;</w:t>
      </w:r>
    </w:p>
    <w:p w14:paraId="485B2F86" w14:textId="77777777" w:rsidR="00DE3473" w:rsidRDefault="00000000">
      <w:pPr>
        <w:pStyle w:val="ListParagraph"/>
        <w:numPr>
          <w:ilvl w:val="0"/>
          <w:numId w:val="1"/>
        </w:numPr>
        <w:spacing w:line="360" w:lineRule="auto"/>
        <w:jc w:val="both"/>
        <w:rPr>
          <w:rFonts w:ascii="Arial" w:hAnsi="Arial" w:cs="Arial"/>
          <w:sz w:val="22"/>
          <w:szCs w:val="22"/>
        </w:rPr>
      </w:pPr>
      <w:r>
        <w:rPr>
          <w:rFonts w:ascii="Arial" w:hAnsi="Arial" w:cs="Arial"/>
          <w:sz w:val="22"/>
          <w:szCs w:val="22"/>
        </w:rPr>
        <w:t>provide recommendations to enhance chronic pain management for aged individuals in the UK.</w:t>
      </w:r>
    </w:p>
    <w:p w14:paraId="6D3B0B1B" w14:textId="77777777" w:rsidR="00DE3473" w:rsidRDefault="00000000">
      <w:pPr>
        <w:spacing w:line="360" w:lineRule="auto"/>
        <w:jc w:val="both"/>
        <w:rPr>
          <w:rFonts w:ascii="Arial" w:hAnsi="Arial" w:cs="Arial"/>
          <w:b/>
          <w:bCs/>
          <w:sz w:val="22"/>
          <w:szCs w:val="22"/>
        </w:rPr>
      </w:pPr>
      <w:r>
        <w:rPr>
          <w:rFonts w:ascii="Arial" w:hAnsi="Arial" w:cs="Arial"/>
          <w:b/>
          <w:bCs/>
          <w:sz w:val="22"/>
          <w:szCs w:val="22"/>
        </w:rPr>
        <w:t xml:space="preserve">1.4 Structure of the dissertation </w:t>
      </w:r>
    </w:p>
    <w:p w14:paraId="0D260C70" w14:textId="77777777" w:rsidR="00DE3473" w:rsidRDefault="00000000">
      <w:pPr>
        <w:pStyle w:val="NormalWeb"/>
        <w:spacing w:line="360" w:lineRule="auto"/>
        <w:jc w:val="both"/>
        <w:rPr>
          <w:rStyle w:val="Strong"/>
          <w:rFonts w:ascii="Arial" w:eastAsiaTheme="majorEastAsia" w:hAnsi="Arial" w:cs="Arial"/>
          <w:sz w:val="22"/>
          <w:szCs w:val="22"/>
        </w:rPr>
      </w:pPr>
      <w:r>
        <w:rPr>
          <w:rStyle w:val="Strong"/>
          <w:rFonts w:ascii="Arial" w:eastAsiaTheme="majorEastAsia" w:hAnsi="Arial" w:cs="Arial"/>
          <w:sz w:val="22"/>
          <w:szCs w:val="22"/>
        </w:rPr>
        <w:t>Chapter 1: Introduction</w:t>
      </w:r>
    </w:p>
    <w:p w14:paraId="07B7E175" w14:textId="77777777" w:rsidR="00DE3473" w:rsidRDefault="00000000">
      <w:pPr>
        <w:pStyle w:val="NormalWeb"/>
        <w:spacing w:line="360" w:lineRule="auto"/>
        <w:jc w:val="both"/>
        <w:rPr>
          <w:rFonts w:ascii="Arial" w:hAnsi="Arial" w:cs="Arial"/>
          <w:sz w:val="22"/>
          <w:szCs w:val="22"/>
        </w:rPr>
      </w:pPr>
      <w:r>
        <w:rPr>
          <w:rFonts w:ascii="Arial" w:hAnsi="Arial" w:cs="Arial"/>
          <w:sz w:val="22"/>
          <w:szCs w:val="22"/>
        </w:rPr>
        <w:t>Introduces the issue of chronic pain management among older adults in the UK, highlighting its prevalence, impact on physical well-being, and challenges within NHS service delivery. It outlines key definitions, the study’s rationale, and states the research aim and specific objectives.</w:t>
      </w:r>
    </w:p>
    <w:p w14:paraId="345104E5" w14:textId="77777777" w:rsidR="00DE3473" w:rsidRDefault="00DE3473">
      <w:pPr>
        <w:pStyle w:val="NormalWeb"/>
        <w:spacing w:line="360" w:lineRule="auto"/>
        <w:jc w:val="both"/>
        <w:rPr>
          <w:rStyle w:val="Strong"/>
          <w:rFonts w:ascii="Arial" w:eastAsiaTheme="majorEastAsia" w:hAnsi="Arial" w:cs="Arial"/>
          <w:sz w:val="22"/>
          <w:szCs w:val="22"/>
        </w:rPr>
      </w:pPr>
    </w:p>
    <w:p w14:paraId="2335924B" w14:textId="77777777" w:rsidR="00DE3473" w:rsidRDefault="00DE3473">
      <w:pPr>
        <w:pStyle w:val="NormalWeb"/>
        <w:spacing w:line="360" w:lineRule="auto"/>
        <w:jc w:val="both"/>
        <w:rPr>
          <w:rStyle w:val="Strong"/>
          <w:rFonts w:ascii="Arial" w:eastAsiaTheme="majorEastAsia" w:hAnsi="Arial" w:cs="Arial"/>
          <w:sz w:val="22"/>
          <w:szCs w:val="22"/>
        </w:rPr>
      </w:pPr>
    </w:p>
    <w:p w14:paraId="593A1D90" w14:textId="77777777" w:rsidR="00DE3473" w:rsidRDefault="00DE3473">
      <w:pPr>
        <w:pStyle w:val="NormalWeb"/>
        <w:spacing w:line="360" w:lineRule="auto"/>
        <w:jc w:val="both"/>
        <w:rPr>
          <w:rStyle w:val="Strong"/>
          <w:rFonts w:ascii="Arial" w:eastAsiaTheme="majorEastAsia" w:hAnsi="Arial" w:cs="Arial"/>
          <w:sz w:val="22"/>
          <w:szCs w:val="22"/>
        </w:rPr>
      </w:pPr>
    </w:p>
    <w:p w14:paraId="258D00BF" w14:textId="77777777" w:rsidR="00DE3473" w:rsidRDefault="00000000">
      <w:pPr>
        <w:pStyle w:val="NormalWeb"/>
        <w:spacing w:line="360" w:lineRule="auto"/>
        <w:jc w:val="both"/>
        <w:rPr>
          <w:rStyle w:val="Strong"/>
          <w:rFonts w:ascii="Arial" w:eastAsiaTheme="majorEastAsia" w:hAnsi="Arial" w:cs="Arial"/>
          <w:sz w:val="22"/>
          <w:szCs w:val="22"/>
        </w:rPr>
      </w:pPr>
      <w:r>
        <w:rPr>
          <w:rStyle w:val="Strong"/>
          <w:rFonts w:ascii="Arial" w:eastAsiaTheme="majorEastAsia" w:hAnsi="Arial" w:cs="Arial"/>
          <w:sz w:val="22"/>
          <w:szCs w:val="22"/>
        </w:rPr>
        <w:t>Chapter 2: Literature Review</w:t>
      </w:r>
    </w:p>
    <w:p w14:paraId="2D62544A" w14:textId="77777777" w:rsidR="00DE3473" w:rsidRDefault="00000000">
      <w:pPr>
        <w:pStyle w:val="NormalWeb"/>
        <w:spacing w:line="360" w:lineRule="auto"/>
        <w:jc w:val="both"/>
        <w:rPr>
          <w:rFonts w:ascii="Arial" w:hAnsi="Arial" w:cs="Arial"/>
          <w:sz w:val="22"/>
          <w:szCs w:val="22"/>
        </w:rPr>
      </w:pPr>
      <w:r>
        <w:rPr>
          <w:rFonts w:ascii="Arial" w:hAnsi="Arial" w:cs="Arial"/>
          <w:sz w:val="22"/>
          <w:szCs w:val="22"/>
        </w:rPr>
        <w:lastRenderedPageBreak/>
        <w:t>Reviews existing research on chronic pain and its management in older adults. It covers the types of pain management strategies, the role of multidisciplinary care, barriers faced by patients, and gaps in current knowledge that this study aims to address.</w:t>
      </w:r>
    </w:p>
    <w:p w14:paraId="30485780" w14:textId="77777777" w:rsidR="00DE3473" w:rsidRDefault="00000000">
      <w:pPr>
        <w:pStyle w:val="NormalWeb"/>
        <w:spacing w:line="360" w:lineRule="auto"/>
        <w:jc w:val="both"/>
        <w:rPr>
          <w:rStyle w:val="Strong"/>
          <w:rFonts w:ascii="Arial" w:eastAsiaTheme="majorEastAsia" w:hAnsi="Arial" w:cs="Arial"/>
          <w:sz w:val="22"/>
          <w:szCs w:val="22"/>
        </w:rPr>
      </w:pPr>
      <w:r>
        <w:rPr>
          <w:rStyle w:val="Strong"/>
          <w:rFonts w:ascii="Arial" w:eastAsiaTheme="majorEastAsia" w:hAnsi="Arial" w:cs="Arial"/>
          <w:sz w:val="22"/>
          <w:szCs w:val="22"/>
        </w:rPr>
        <w:t>Chapter 3: Methodology</w:t>
      </w:r>
    </w:p>
    <w:p w14:paraId="6251A150" w14:textId="77777777" w:rsidR="00DE3473" w:rsidRDefault="00000000">
      <w:pPr>
        <w:pStyle w:val="NormalWeb"/>
        <w:spacing w:line="360" w:lineRule="auto"/>
        <w:jc w:val="both"/>
        <w:rPr>
          <w:rFonts w:ascii="Arial" w:hAnsi="Arial" w:cs="Arial"/>
          <w:sz w:val="22"/>
          <w:szCs w:val="22"/>
        </w:rPr>
      </w:pPr>
      <w:r>
        <w:rPr>
          <w:rFonts w:ascii="Arial" w:hAnsi="Arial" w:cs="Arial"/>
          <w:sz w:val="22"/>
          <w:szCs w:val="22"/>
        </w:rPr>
        <w:t>Describes the research design, participant selection, and data collection methods used to investigate chronic pain management effects. It explains how data will be analyzed and addresses ethical considerations involved in studying this vulnerable population.</w:t>
      </w:r>
    </w:p>
    <w:p w14:paraId="70A675C4" w14:textId="77777777" w:rsidR="00DE3473" w:rsidRDefault="00000000">
      <w:pPr>
        <w:pStyle w:val="NormalWeb"/>
        <w:spacing w:line="360" w:lineRule="auto"/>
        <w:jc w:val="both"/>
        <w:rPr>
          <w:rStyle w:val="Strong"/>
          <w:rFonts w:ascii="Arial" w:eastAsiaTheme="majorEastAsia" w:hAnsi="Arial" w:cs="Arial"/>
          <w:sz w:val="22"/>
          <w:szCs w:val="22"/>
        </w:rPr>
      </w:pPr>
      <w:r>
        <w:rPr>
          <w:rStyle w:val="Strong"/>
          <w:rFonts w:ascii="Arial" w:eastAsiaTheme="majorEastAsia" w:hAnsi="Arial" w:cs="Arial"/>
          <w:sz w:val="22"/>
          <w:szCs w:val="22"/>
        </w:rPr>
        <w:t>Chapter 4: Results</w:t>
      </w:r>
    </w:p>
    <w:p w14:paraId="3D00DC23" w14:textId="77777777" w:rsidR="00DE3473" w:rsidRDefault="00000000">
      <w:pPr>
        <w:pStyle w:val="NormalWeb"/>
        <w:spacing w:line="360" w:lineRule="auto"/>
        <w:jc w:val="both"/>
        <w:rPr>
          <w:rFonts w:ascii="Arial" w:hAnsi="Arial" w:cs="Arial"/>
          <w:sz w:val="22"/>
          <w:szCs w:val="22"/>
        </w:rPr>
      </w:pPr>
      <w:r>
        <w:rPr>
          <w:rFonts w:ascii="Arial" w:hAnsi="Arial" w:cs="Arial"/>
          <w:sz w:val="22"/>
          <w:szCs w:val="22"/>
        </w:rPr>
        <w:t>Presents the findings on the pain management strategies used by older adults, their impact on physical health, and the barriers and facilitators to accessing care. It summarizes key data trends related to mobility, independence, and service effectiveness.</w:t>
      </w:r>
    </w:p>
    <w:p w14:paraId="6509EEF9" w14:textId="77777777" w:rsidR="00DE3473" w:rsidRDefault="00000000">
      <w:pPr>
        <w:pStyle w:val="NormalWeb"/>
        <w:spacing w:line="360" w:lineRule="auto"/>
        <w:jc w:val="both"/>
        <w:rPr>
          <w:rStyle w:val="Strong"/>
          <w:rFonts w:ascii="Arial" w:eastAsiaTheme="majorEastAsia" w:hAnsi="Arial" w:cs="Arial"/>
          <w:sz w:val="22"/>
          <w:szCs w:val="22"/>
        </w:rPr>
      </w:pPr>
      <w:r>
        <w:rPr>
          <w:rStyle w:val="Strong"/>
          <w:rFonts w:ascii="Arial" w:eastAsiaTheme="majorEastAsia" w:hAnsi="Arial" w:cs="Arial"/>
          <w:sz w:val="22"/>
          <w:szCs w:val="22"/>
        </w:rPr>
        <w:t>Chapter 5: Discussion</w:t>
      </w:r>
    </w:p>
    <w:p w14:paraId="4921B281" w14:textId="77777777" w:rsidR="00DE3473" w:rsidRDefault="00000000">
      <w:pPr>
        <w:pStyle w:val="NormalWeb"/>
        <w:spacing w:line="360" w:lineRule="auto"/>
        <w:jc w:val="both"/>
        <w:rPr>
          <w:rFonts w:ascii="Arial" w:hAnsi="Arial" w:cs="Arial"/>
          <w:sz w:val="22"/>
          <w:szCs w:val="22"/>
        </w:rPr>
      </w:pPr>
      <w:r>
        <w:rPr>
          <w:rFonts w:ascii="Arial" w:hAnsi="Arial" w:cs="Arial"/>
          <w:sz w:val="22"/>
          <w:szCs w:val="22"/>
        </w:rPr>
        <w:t>Interprets the results in the context of existing literature, discussing implications for practice and policy. It evaluates NHS services, the effectiveness of non-pharmacological approaches, and identifies study limitations.</w:t>
      </w:r>
    </w:p>
    <w:p w14:paraId="2CC9D5DB" w14:textId="77777777" w:rsidR="00DE3473" w:rsidRDefault="00000000">
      <w:pPr>
        <w:pStyle w:val="NormalWeb"/>
        <w:spacing w:line="360" w:lineRule="auto"/>
        <w:jc w:val="both"/>
        <w:rPr>
          <w:rStyle w:val="Strong"/>
          <w:rFonts w:ascii="Arial" w:eastAsiaTheme="majorEastAsia" w:hAnsi="Arial" w:cs="Arial"/>
          <w:sz w:val="22"/>
          <w:szCs w:val="22"/>
        </w:rPr>
      </w:pPr>
      <w:r>
        <w:rPr>
          <w:rStyle w:val="Strong"/>
          <w:rFonts w:ascii="Arial" w:eastAsiaTheme="majorEastAsia" w:hAnsi="Arial" w:cs="Arial"/>
          <w:sz w:val="22"/>
          <w:szCs w:val="22"/>
        </w:rPr>
        <w:t>Chapter 6: Conclusion and Recommendations</w:t>
      </w:r>
    </w:p>
    <w:p w14:paraId="561E07FA" w14:textId="77777777" w:rsidR="00DE3473" w:rsidRDefault="00000000">
      <w:pPr>
        <w:pStyle w:val="NormalWeb"/>
        <w:spacing w:line="360" w:lineRule="auto"/>
        <w:jc w:val="both"/>
        <w:rPr>
          <w:rFonts w:ascii="Arial" w:hAnsi="Arial" w:cs="Arial"/>
          <w:sz w:val="22"/>
          <w:szCs w:val="22"/>
        </w:rPr>
      </w:pPr>
      <w:r>
        <w:rPr>
          <w:rFonts w:ascii="Arial" w:hAnsi="Arial" w:cs="Arial"/>
          <w:sz w:val="22"/>
          <w:szCs w:val="22"/>
        </w:rPr>
        <w:t>Summarizes the main findings and their significance, offering practical recommendations to improve chronic pain management for older adults in the UK. It suggests directions for future research and policy development.</w:t>
      </w:r>
    </w:p>
    <w:p w14:paraId="5924DE5B" w14:textId="77777777" w:rsidR="00DE3473" w:rsidRDefault="00DE3473">
      <w:pPr>
        <w:spacing w:line="360" w:lineRule="auto"/>
        <w:ind w:left="2880" w:firstLine="720"/>
        <w:jc w:val="both"/>
        <w:rPr>
          <w:rFonts w:ascii="Arial" w:hAnsi="Arial" w:cs="Arial"/>
          <w:b/>
          <w:bCs/>
          <w:sz w:val="22"/>
          <w:szCs w:val="22"/>
        </w:rPr>
      </w:pPr>
    </w:p>
    <w:p w14:paraId="76732F68" w14:textId="77777777" w:rsidR="00DE3473" w:rsidRDefault="00000000">
      <w:pPr>
        <w:rPr>
          <w:rFonts w:ascii="Arial" w:hAnsi="Arial" w:cs="Arial"/>
          <w:b/>
          <w:bCs/>
          <w:sz w:val="22"/>
          <w:szCs w:val="22"/>
        </w:rPr>
      </w:pPr>
      <w:r>
        <w:rPr>
          <w:rFonts w:ascii="Arial" w:hAnsi="Arial" w:cs="Arial"/>
          <w:b/>
          <w:bCs/>
          <w:sz w:val="22"/>
          <w:szCs w:val="22"/>
        </w:rPr>
        <w:br w:type="page"/>
      </w:r>
    </w:p>
    <w:p w14:paraId="3BEEADA1" w14:textId="77777777" w:rsidR="00DE3473" w:rsidRDefault="00000000">
      <w:pPr>
        <w:spacing w:line="360" w:lineRule="auto"/>
        <w:ind w:left="2880" w:firstLineChars="450" w:firstLine="994"/>
        <w:jc w:val="both"/>
        <w:rPr>
          <w:rFonts w:ascii="Arial" w:hAnsi="Arial" w:cs="Arial"/>
          <w:b/>
          <w:bCs/>
          <w:sz w:val="22"/>
          <w:szCs w:val="22"/>
        </w:rPr>
      </w:pPr>
      <w:r>
        <w:rPr>
          <w:rFonts w:ascii="Arial" w:hAnsi="Arial" w:cs="Arial"/>
          <w:b/>
          <w:bCs/>
          <w:sz w:val="22"/>
          <w:szCs w:val="22"/>
        </w:rPr>
        <w:lastRenderedPageBreak/>
        <w:t>Chapter Two</w:t>
      </w:r>
    </w:p>
    <w:p w14:paraId="4E87D546" w14:textId="77777777" w:rsidR="00DE3473" w:rsidRDefault="00000000">
      <w:pPr>
        <w:spacing w:line="360" w:lineRule="auto"/>
        <w:ind w:left="2880" w:firstLine="720"/>
        <w:jc w:val="both"/>
        <w:rPr>
          <w:rFonts w:ascii="Arial" w:hAnsi="Arial" w:cs="Arial"/>
          <w:b/>
          <w:bCs/>
          <w:sz w:val="22"/>
          <w:szCs w:val="22"/>
        </w:rPr>
      </w:pPr>
      <w:r>
        <w:rPr>
          <w:rFonts w:ascii="Arial" w:hAnsi="Arial" w:cs="Arial"/>
          <w:b/>
          <w:bCs/>
          <w:sz w:val="22"/>
          <w:szCs w:val="22"/>
        </w:rPr>
        <w:t>Literature Review</w:t>
      </w:r>
    </w:p>
    <w:p w14:paraId="4C0DCBD3" w14:textId="77777777" w:rsidR="00DE3473" w:rsidRDefault="00000000">
      <w:pPr>
        <w:spacing w:line="360" w:lineRule="auto"/>
        <w:jc w:val="both"/>
        <w:rPr>
          <w:rFonts w:ascii="Arial" w:hAnsi="Arial" w:cs="Arial"/>
          <w:b/>
          <w:bCs/>
          <w:sz w:val="22"/>
          <w:szCs w:val="22"/>
        </w:rPr>
      </w:pPr>
      <w:r>
        <w:rPr>
          <w:rFonts w:ascii="Arial" w:hAnsi="Arial" w:cs="Arial"/>
          <w:b/>
          <w:bCs/>
          <w:sz w:val="22"/>
          <w:szCs w:val="22"/>
        </w:rPr>
        <w:t>2.0 Introduction</w:t>
      </w:r>
    </w:p>
    <w:p w14:paraId="48513EFC" w14:textId="77777777" w:rsidR="00DE3473" w:rsidRDefault="00000000">
      <w:pPr>
        <w:spacing w:line="360" w:lineRule="auto"/>
        <w:jc w:val="both"/>
        <w:rPr>
          <w:rFonts w:ascii="Arial" w:hAnsi="Arial" w:cs="Arial"/>
          <w:sz w:val="22"/>
          <w:szCs w:val="22"/>
        </w:rPr>
      </w:pPr>
      <w:r>
        <w:rPr>
          <w:rFonts w:ascii="Arial" w:hAnsi="Arial" w:cs="Arial"/>
          <w:sz w:val="22"/>
          <w:szCs w:val="22"/>
        </w:rPr>
        <w:t>Chronic pain (CP), defined as pain persisting for more than three months, is a prevalent issue among older adults and significantly impacts their physical well-being, daily functioning, and quality of life (Ritchie et al., 2023). In the UK, the ageing population and the growing burden of long-term conditions make the effective management of chronic pain in older adults a public health priority (Royal College of General Practitioners, 2020). This literature review critically evaluates existing research on how chronic pain management affects the physical well-being of older adults in the UK, contextualised within historical, theoretical, and policy frameworks.</w:t>
      </w:r>
    </w:p>
    <w:p w14:paraId="6FEA2183" w14:textId="77777777" w:rsidR="00DE3473" w:rsidRDefault="00000000">
      <w:pPr>
        <w:spacing w:line="360" w:lineRule="auto"/>
        <w:jc w:val="both"/>
        <w:rPr>
          <w:rFonts w:ascii="Arial" w:hAnsi="Arial" w:cs="Arial"/>
          <w:b/>
          <w:bCs/>
          <w:sz w:val="22"/>
          <w:szCs w:val="22"/>
        </w:rPr>
      </w:pPr>
      <w:r>
        <w:rPr>
          <w:rFonts w:ascii="Arial" w:hAnsi="Arial" w:cs="Arial"/>
          <w:b/>
          <w:bCs/>
          <w:sz w:val="22"/>
          <w:szCs w:val="22"/>
        </w:rPr>
        <w:t>2.1 Historical Background</w:t>
      </w:r>
    </w:p>
    <w:p w14:paraId="041481E0" w14:textId="77777777" w:rsidR="00DE3473" w:rsidRDefault="00000000">
      <w:pPr>
        <w:spacing w:line="360" w:lineRule="auto"/>
        <w:jc w:val="both"/>
        <w:rPr>
          <w:rFonts w:ascii="Arial" w:hAnsi="Arial" w:cs="Arial"/>
          <w:sz w:val="22"/>
          <w:szCs w:val="22"/>
        </w:rPr>
      </w:pPr>
      <w:r>
        <w:rPr>
          <w:rFonts w:ascii="Arial" w:hAnsi="Arial" w:cs="Arial"/>
          <w:sz w:val="22"/>
          <w:szCs w:val="22"/>
        </w:rPr>
        <w:t>Historically, chronic pain in older adults was often dismissed as an inevitable part of ageing, resulting in under-recognition and limited clinical attention (Dagnino and Campos, 2022). From the late 20th century, medical understanding shifted toward a biopsychosocial model, recognising pain as multidimensional and prompting the development of multidisciplinary management strategies, including physiotherapy, psychological interventions, and self-management (Melzack and Wall, 1965; Staudt, 2022). UK policy, including NHS Pain Management Programmes and NICE guidelines, has reinforced this approach (McGhie and Grady, 2016). Despite progress, older adults continue to face barriers to effective assessment and care, highlighting the need for research targeting their physical well-being today.</w:t>
      </w:r>
    </w:p>
    <w:p w14:paraId="21C7156A" w14:textId="77777777" w:rsidR="00DE3473" w:rsidRDefault="00000000">
      <w:pPr>
        <w:spacing w:line="360" w:lineRule="auto"/>
        <w:jc w:val="both"/>
        <w:rPr>
          <w:rFonts w:ascii="Arial" w:hAnsi="Arial" w:cs="Arial"/>
          <w:b/>
          <w:bCs/>
          <w:sz w:val="22"/>
          <w:szCs w:val="22"/>
        </w:rPr>
      </w:pPr>
      <w:r>
        <w:rPr>
          <w:rFonts w:ascii="Arial" w:hAnsi="Arial" w:cs="Arial"/>
          <w:b/>
          <w:bCs/>
          <w:sz w:val="22"/>
          <w:szCs w:val="22"/>
        </w:rPr>
        <w:t>2.2 Conceptual clarifications</w:t>
      </w:r>
    </w:p>
    <w:p w14:paraId="6D8D4F55"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Chronic pain, defined as pain that persists beyond the normal tissue healing time, typically over 12 weeks, affects millions worldwide, presenting a significant public health challenge (Armoogum et al., 2024). Unlike acute pain, which serves as a biological warning system, chronic pain often continues without a clear cause, affecting both physical and psychological health. Effective management of chronic pain is vital for improving quality of life, physical functioning, and overall well-being (Watson et al., 2025). To better understand chronic pain, a clear classification is essential. According to de Moura (2020) chronic pain is typically categorised into; Nociceptive pain (Caused by tissue damage or inflammation), Neuropathic pain (Resulting from nerve damage or dysfunction) and Mixed pain (A combination of both </w:t>
      </w:r>
      <w:r>
        <w:rPr>
          <w:rFonts w:ascii="Arial" w:hAnsi="Arial" w:cs="Arial"/>
          <w:sz w:val="22"/>
          <w:szCs w:val="22"/>
        </w:rPr>
        <w:lastRenderedPageBreak/>
        <w:t xml:space="preserve">nociceptive and neuropathic elements). As such, the conditions commonly include; arthritis, fibromyalgia, chronic back pain, migraines and neuropathies. </w:t>
      </w:r>
    </w:p>
    <w:p w14:paraId="61296930"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Chronic pain management (CPM) refers to the medical and therapeutic strategies used to reduce or control long-term pain that lasts for more than 3 months (Macdonald et al., 2018). Unlike acute pain (which has a clear cause and usually resolves with treatment), chronic pain often persists and may not have an obvious underlying injury or illness. McQueenie et al. (2021) opined that the goal of managing CP is to reduce pain to a manageable level; improve physical function and mobility; enhance quality of life; address emotional and psychological effects of long-term pain; and minimise the need for potentially harmful medications (e.g., opioids). However, the challenges of CPM are (Fallon et al., 2021): opioid crisis, low access to care, stigma, and individual variability. In addition, the types of CPM include medications, physical therapy, psychological therapy, interventional procedures, complementary therapies, and lifestyle modifications (Mohiuddin, 2019). </w:t>
      </w:r>
    </w:p>
    <w:p w14:paraId="0CB53347" w14:textId="77777777" w:rsidR="00DE3473" w:rsidRDefault="00000000">
      <w:pPr>
        <w:spacing w:line="360" w:lineRule="auto"/>
        <w:jc w:val="both"/>
        <w:rPr>
          <w:rFonts w:ascii="Arial" w:hAnsi="Arial" w:cs="Arial"/>
          <w:b/>
          <w:bCs/>
          <w:sz w:val="22"/>
          <w:szCs w:val="22"/>
        </w:rPr>
      </w:pPr>
      <w:r>
        <w:rPr>
          <w:rFonts w:ascii="Arial" w:hAnsi="Arial" w:cs="Arial"/>
          <w:b/>
          <w:bCs/>
          <w:sz w:val="22"/>
          <w:szCs w:val="22"/>
        </w:rPr>
        <w:t>2.3 Impact of Chronic Pain Management on Physical Well-Being</w:t>
      </w:r>
    </w:p>
    <w:p w14:paraId="1E7CE04B" w14:textId="77777777" w:rsidR="00DE3473" w:rsidRDefault="00000000">
      <w:pPr>
        <w:spacing w:line="360" w:lineRule="auto"/>
        <w:jc w:val="both"/>
        <w:rPr>
          <w:rFonts w:ascii="Arial" w:hAnsi="Arial" w:cs="Arial"/>
          <w:sz w:val="22"/>
          <w:szCs w:val="22"/>
        </w:rPr>
      </w:pPr>
      <w:r>
        <w:rPr>
          <w:rFonts w:ascii="Arial" w:hAnsi="Arial" w:cs="Arial"/>
          <w:sz w:val="22"/>
          <w:szCs w:val="22"/>
        </w:rPr>
        <w:t>Gauntlett-Gilbert and Brook (2018) identified that improved mobility and function are necessary to enhance effective pain control, allowing patients to increase physical activity, which in turn improves cardiovascular health, muscle strength, and joint flexibility. Reduced fatigue and better sleep are other significant benefits of CPM. Chronic pain often disrupts sleep and causes fatigue. Management strategies that reduce pain can help restore healthier sleep patterns, which are crucial for physical recovery (Jebara et al., 2023). The prevention of physical deconditioning is another impact identified by Bourke et al. (2022). Without treatment, chronic pain can lead to reduced physical activity, causing muscle atrophy, joint stiffness, and decreased endurance. Structured rehabilitation helps reverse these effects. In addition, studies identified that it enhances immune function and reduces the risk of comorbidities such as depression, obesity, diabetes, and cardiovascular disease (Rodríguez-Sánchez et al., 2022; Rönnegård et al., 2022). Chronic pain is associated with elevated stress hormones like cortisol, which can suppress immune function. Effective pain management can mitigate this effect, supporting overall health.</w:t>
      </w:r>
    </w:p>
    <w:p w14:paraId="37B56B3F" w14:textId="77777777" w:rsidR="00DE3473" w:rsidRDefault="00000000">
      <w:pPr>
        <w:spacing w:line="360" w:lineRule="auto"/>
        <w:jc w:val="both"/>
        <w:rPr>
          <w:rFonts w:ascii="Arial" w:hAnsi="Arial" w:cs="Arial"/>
          <w:b/>
          <w:bCs/>
          <w:sz w:val="22"/>
          <w:szCs w:val="22"/>
        </w:rPr>
      </w:pPr>
      <w:r>
        <w:rPr>
          <w:rFonts w:ascii="Arial" w:hAnsi="Arial" w:cs="Arial"/>
          <w:b/>
          <w:bCs/>
          <w:sz w:val="22"/>
          <w:szCs w:val="22"/>
        </w:rPr>
        <w:t>2.4 Theoretical Background</w:t>
      </w:r>
    </w:p>
    <w:p w14:paraId="45E02D19"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The biopsychosocial model, first introduced by George L. Engel (1977), remains the dominant theoretical framework for understanding and managing chronic pain. This model integrates biological, psychological, and social factors, recognising that pain perception and its effects are </w:t>
      </w:r>
      <w:r>
        <w:rPr>
          <w:rFonts w:ascii="Arial" w:hAnsi="Arial" w:cs="Arial"/>
          <w:sz w:val="22"/>
          <w:szCs w:val="22"/>
        </w:rPr>
        <w:lastRenderedPageBreak/>
        <w:t xml:space="preserve">shaped by more than physical pathology. The key assumptions of this model are; Health and illness cannot be fully understood through biological factors alone, psychological and social factors interact with biological processes to influence the experience and outcome of illness, treatment and care must address all three domains to be effective, and patient care is holistic and individualized, taking into account the person’s unique context (Engel, 1977; Borrell-Carrió et al., 2004). </w:t>
      </w:r>
    </w:p>
    <w:p w14:paraId="442EF06C" w14:textId="77777777" w:rsidR="00DE3473" w:rsidRDefault="00000000">
      <w:pPr>
        <w:spacing w:line="360" w:lineRule="auto"/>
        <w:jc w:val="both"/>
        <w:rPr>
          <w:rFonts w:ascii="Arial" w:hAnsi="Arial" w:cs="Arial"/>
          <w:sz w:val="22"/>
          <w:szCs w:val="22"/>
        </w:rPr>
      </w:pPr>
      <w:r>
        <w:rPr>
          <w:rFonts w:ascii="Arial" w:hAnsi="Arial" w:cs="Arial"/>
          <w:sz w:val="22"/>
          <w:szCs w:val="22"/>
        </w:rPr>
        <w:t>Engel (1977) argued that the biomedical model was insufficient and that the biopsychosocial approach provides a more comprehensive understanding of illness. This was also emphasized by Borrell-Carrió et al. (2004), stating the relevance in clinical practice, suggesting it promotes patient-centered care and better therapeutic relationships. Moreover, Gatchel et al. (2007) applied the model specifically to chronic pain, demonstrating how psychological and social factors influence pain perception and coping.</w:t>
      </w:r>
    </w:p>
    <w:p w14:paraId="57CA3EFE"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However, the model was critiqued by Smith (2002) for being too broad and lacking operational specificity, making it difficult to apply consistently in clinical practice. Pilgrim (2002) also indicated that while the model is conceptually attractive, it can be challenging to integrate all three domains effectively due to the complexity of the factors involved. Similarly, Ghaemi (2023) also questions the practical impact of the model, suggesting it risks becoming a vague catch-all without clear guidance for treatment decisions. Despite critiques regarding its practical application, it remains highly influential in medicine, psychology, and pain management. Applied to older adults, it highlights the interplay between age-related physiological changes, cognitive decline, social isolation, and co-morbidities (Scascighini and Sprott, 2008). </w:t>
      </w:r>
    </w:p>
    <w:p w14:paraId="04DF755D" w14:textId="77777777" w:rsidR="00DE3473" w:rsidRDefault="00000000">
      <w:pPr>
        <w:spacing w:line="360" w:lineRule="auto"/>
        <w:jc w:val="both"/>
        <w:rPr>
          <w:rFonts w:ascii="Arial" w:hAnsi="Arial" w:cs="Arial"/>
          <w:sz w:val="22"/>
          <w:szCs w:val="22"/>
        </w:rPr>
      </w:pPr>
      <w:r>
        <w:rPr>
          <w:rFonts w:ascii="Arial" w:hAnsi="Arial" w:cs="Arial"/>
          <w:sz w:val="22"/>
          <w:szCs w:val="22"/>
        </w:rPr>
        <w:t>The Gate Control Theory was developed by Ronald Melzack and Patrick Wall in 1965, published in their landmark paper "Pain Mechanisms: A New Theory" in the journal Science (Melzack and Wall, 1965), also underpins many pain interventions, suggesting that psychological and emotional factors can amplify or attenuate pain signals, thereby informing cognitive-behavioural approaches to pain management.</w:t>
      </w:r>
    </w:p>
    <w:p w14:paraId="0BA61128" w14:textId="77777777" w:rsidR="00DE3473" w:rsidRDefault="00000000">
      <w:pPr>
        <w:spacing w:line="360" w:lineRule="auto"/>
        <w:jc w:val="both"/>
        <w:rPr>
          <w:rFonts w:ascii="Arial" w:hAnsi="Arial" w:cs="Arial"/>
          <w:b/>
          <w:bCs/>
          <w:sz w:val="22"/>
          <w:szCs w:val="22"/>
        </w:rPr>
      </w:pPr>
      <w:r>
        <w:rPr>
          <w:rFonts w:ascii="Arial" w:hAnsi="Arial" w:cs="Arial"/>
          <w:b/>
          <w:bCs/>
          <w:sz w:val="22"/>
          <w:szCs w:val="22"/>
        </w:rPr>
        <w:t>2.5. International Context</w:t>
      </w:r>
    </w:p>
    <w:p w14:paraId="7CECF0FD"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Globally, chronic pain is a leading cause of disability, with prevalence rates ranging from 25% to 50% among older adults (Armoogum et al., 2024). In countries like Canada, Sweden, and Australia, national strategies promote integrative pain management programmes that combine medical, physical, and psychosocial interventions (International Association for the Study of Pain, 2021). For instance, Australia’s "National Strategic Action Plan for Pain Management" </w:t>
      </w:r>
      <w:r>
        <w:rPr>
          <w:rFonts w:ascii="Arial" w:hAnsi="Arial" w:cs="Arial"/>
          <w:sz w:val="22"/>
          <w:szCs w:val="22"/>
        </w:rPr>
        <w:lastRenderedPageBreak/>
        <w:t>emphasises person-centred care and early intervention across the lifespan (Australian Government Department of Health, 2021). These global efforts contrast with the UK's more fragmented approach, where services often vary by region and access remains inequitable (Fayaz et al., 2016).</w:t>
      </w:r>
    </w:p>
    <w:p w14:paraId="28E6025D" w14:textId="77777777" w:rsidR="00DE3473" w:rsidRDefault="00000000">
      <w:pPr>
        <w:spacing w:line="360" w:lineRule="auto"/>
        <w:jc w:val="both"/>
        <w:rPr>
          <w:rFonts w:ascii="Arial" w:hAnsi="Arial" w:cs="Arial"/>
          <w:b/>
          <w:bCs/>
          <w:sz w:val="22"/>
          <w:szCs w:val="22"/>
        </w:rPr>
      </w:pPr>
      <w:r>
        <w:rPr>
          <w:rFonts w:ascii="Arial" w:hAnsi="Arial" w:cs="Arial"/>
          <w:b/>
          <w:bCs/>
          <w:sz w:val="22"/>
          <w:szCs w:val="22"/>
        </w:rPr>
        <w:t>2.6 National/Local Context</w:t>
      </w:r>
    </w:p>
    <w:p w14:paraId="1AF5655B" w14:textId="77777777" w:rsidR="00DE3473" w:rsidRDefault="00000000">
      <w:pPr>
        <w:spacing w:line="360" w:lineRule="auto"/>
        <w:jc w:val="both"/>
        <w:rPr>
          <w:rFonts w:ascii="Arial" w:hAnsi="Arial" w:cs="Arial"/>
          <w:sz w:val="22"/>
          <w:szCs w:val="22"/>
        </w:rPr>
      </w:pPr>
      <w:r>
        <w:rPr>
          <w:rFonts w:ascii="Arial" w:hAnsi="Arial" w:cs="Arial"/>
          <w:sz w:val="22"/>
          <w:szCs w:val="22"/>
        </w:rPr>
        <w:t>In the UK, approximately 40% of older adults report experiencing chronic pain, often associated with musculoskeletal disorders, arthritis, and neuropathies (Office for National Statistics, 2022). The National Health Service (NHS) recognises chronic pain as a long-term condition, yet service provision is inconsistent (Healthwatch England, 2020). Local pain clinics and community-based programmes exist but are often limited by funding and workforce shortages. Research indicates that older adults frequently face barriers in accessing pain management services, including stigma, ageism, and lack of tailored interventions (Herr et al., 2011; Ames et al., 2024).</w:t>
      </w:r>
    </w:p>
    <w:p w14:paraId="533E170B" w14:textId="77777777" w:rsidR="00DE3473" w:rsidRDefault="00000000">
      <w:pPr>
        <w:spacing w:line="360" w:lineRule="auto"/>
        <w:jc w:val="both"/>
        <w:rPr>
          <w:rFonts w:ascii="Arial" w:hAnsi="Arial" w:cs="Arial"/>
          <w:b/>
          <w:bCs/>
          <w:sz w:val="22"/>
          <w:szCs w:val="22"/>
        </w:rPr>
      </w:pPr>
      <w:r>
        <w:rPr>
          <w:rFonts w:ascii="Arial" w:hAnsi="Arial" w:cs="Arial"/>
          <w:b/>
          <w:bCs/>
          <w:sz w:val="22"/>
          <w:szCs w:val="22"/>
        </w:rPr>
        <w:t>2.7. Policies in the UK</w:t>
      </w:r>
    </w:p>
    <w:p w14:paraId="1006E9AD" w14:textId="77777777" w:rsidR="00DE3473" w:rsidRDefault="00000000">
      <w:pPr>
        <w:spacing w:line="360" w:lineRule="auto"/>
        <w:jc w:val="both"/>
        <w:rPr>
          <w:rFonts w:ascii="Arial" w:hAnsi="Arial" w:cs="Arial"/>
          <w:sz w:val="22"/>
          <w:szCs w:val="22"/>
        </w:rPr>
      </w:pPr>
      <w:r>
        <w:rPr>
          <w:rFonts w:ascii="Arial" w:hAnsi="Arial" w:cs="Arial"/>
          <w:sz w:val="22"/>
          <w:szCs w:val="22"/>
        </w:rPr>
        <w:t>Several policies aim to address chronic pain and its management, albeit indirectly. The NHS Long Term Plan (NHS England, 2019) supports personalised care and the expansion of multidisciplinary teams, which can benefit older adults with chronic pain. Additionally, NICE guidelines (CG173) on osteoarthritis and chronic pain recommend self-management, physical activity, and psychological support as first-line treatments (NICE, 2021). However, implementation of these policies remains inconsistent across clinical commissioning groups (CCGs), leading to disparities in care quality and outcomes (British Pain Society, 2013; 2019).</w:t>
      </w:r>
    </w:p>
    <w:p w14:paraId="743F3BCE" w14:textId="77777777" w:rsidR="00DE3473" w:rsidRDefault="00000000">
      <w:pPr>
        <w:spacing w:line="360" w:lineRule="auto"/>
        <w:jc w:val="both"/>
        <w:rPr>
          <w:rFonts w:ascii="Arial" w:hAnsi="Arial" w:cs="Arial"/>
          <w:b/>
          <w:bCs/>
          <w:sz w:val="22"/>
          <w:szCs w:val="22"/>
        </w:rPr>
      </w:pPr>
      <w:r>
        <w:rPr>
          <w:rFonts w:ascii="Arial" w:hAnsi="Arial" w:cs="Arial"/>
          <w:b/>
          <w:bCs/>
          <w:sz w:val="22"/>
          <w:szCs w:val="22"/>
        </w:rPr>
        <w:t>2.8 Gaps in the Research</w:t>
      </w:r>
    </w:p>
    <w:p w14:paraId="38E64340" w14:textId="77777777" w:rsidR="00DE3473" w:rsidRDefault="00000000">
      <w:pPr>
        <w:spacing w:line="360" w:lineRule="auto"/>
        <w:jc w:val="both"/>
        <w:rPr>
          <w:rFonts w:ascii="Arial" w:hAnsi="Arial" w:cs="Arial"/>
          <w:sz w:val="22"/>
          <w:szCs w:val="22"/>
        </w:rPr>
      </w:pPr>
      <w:r>
        <w:rPr>
          <w:rFonts w:ascii="Arial" w:hAnsi="Arial" w:cs="Arial"/>
          <w:sz w:val="22"/>
          <w:szCs w:val="22"/>
        </w:rPr>
        <w:t>Despite growing recognition of chronic pain as a public health issue, significant gaps remain in understanding its impact on the physical well-being of older adults in the UK (Watson et al., 2025). First, there is limited longitudinal research linking specific pain management strategies to measurable physical health outcomes in this population. In addition, much of the existing literature focuses on middle-aged populations, with older adults often excluded from clinical trials due to co-morbidities or cognitive impairment (Bourke et al., 2022). Furthermore, cultural and socio-economic disparities in access to care are underexplored, especially among minority ethnic older adults. Finally, more research is needed on the effectiveness of community-based, non-pharmacological interventions tailored to older adults (Reid et al., 2015).</w:t>
      </w:r>
    </w:p>
    <w:p w14:paraId="74AEBA00" w14:textId="77777777" w:rsidR="00DE3473" w:rsidRDefault="00000000">
      <w:pPr>
        <w:spacing w:line="360" w:lineRule="auto"/>
        <w:jc w:val="both"/>
        <w:rPr>
          <w:rFonts w:ascii="Arial" w:hAnsi="Arial" w:cs="Arial"/>
          <w:b/>
          <w:bCs/>
          <w:sz w:val="22"/>
          <w:szCs w:val="22"/>
        </w:rPr>
      </w:pPr>
      <w:r>
        <w:rPr>
          <w:rFonts w:ascii="Arial" w:hAnsi="Arial" w:cs="Arial"/>
          <w:b/>
          <w:bCs/>
          <w:sz w:val="22"/>
          <w:szCs w:val="22"/>
        </w:rPr>
        <w:lastRenderedPageBreak/>
        <w:t>2.9 Conclusion</w:t>
      </w:r>
    </w:p>
    <w:p w14:paraId="6E228457" w14:textId="77777777" w:rsidR="00DE3473" w:rsidRDefault="00000000">
      <w:pPr>
        <w:spacing w:line="360" w:lineRule="auto"/>
        <w:jc w:val="both"/>
        <w:rPr>
          <w:rFonts w:ascii="Arial" w:hAnsi="Arial" w:cs="Arial"/>
          <w:sz w:val="22"/>
          <w:szCs w:val="22"/>
        </w:rPr>
      </w:pPr>
      <w:r>
        <w:rPr>
          <w:rFonts w:ascii="Arial" w:hAnsi="Arial" w:cs="Arial"/>
          <w:sz w:val="22"/>
          <w:szCs w:val="22"/>
        </w:rPr>
        <w:t>The literature demonstrates that while chronic pain is highly prevalent among older adults in the UK and globally, its management remains a complex and under-researched area. The application of biopsychosocial frameworks has advanced the field, yet national policies and services have struggled to keep pace with demographic and clinical needs. Addressing current gaps, particularly through inclusive, longitudinal research and equitable service delivery, will be critical in improving the physical well-being of older adults suffering from chronic pain in the UK.</w:t>
      </w:r>
    </w:p>
    <w:p w14:paraId="3D3BDEA3" w14:textId="77777777" w:rsidR="00DE3473" w:rsidRDefault="00000000">
      <w:pPr>
        <w:rPr>
          <w:rFonts w:ascii="Arial" w:hAnsi="Arial" w:cs="Arial"/>
          <w:b/>
          <w:bCs/>
          <w:sz w:val="22"/>
          <w:szCs w:val="22"/>
        </w:rPr>
      </w:pPr>
      <w:r>
        <w:rPr>
          <w:rFonts w:ascii="Arial" w:hAnsi="Arial" w:cs="Arial"/>
          <w:b/>
          <w:bCs/>
          <w:sz w:val="22"/>
          <w:szCs w:val="22"/>
        </w:rPr>
        <w:br w:type="page"/>
      </w:r>
    </w:p>
    <w:p w14:paraId="3CD8F5BF" w14:textId="77777777" w:rsidR="00DE3473" w:rsidRDefault="00000000">
      <w:pPr>
        <w:spacing w:line="360" w:lineRule="auto"/>
        <w:jc w:val="center"/>
        <w:rPr>
          <w:rFonts w:ascii="Arial" w:hAnsi="Arial" w:cs="Arial"/>
          <w:b/>
          <w:bCs/>
          <w:sz w:val="22"/>
          <w:szCs w:val="22"/>
        </w:rPr>
      </w:pPr>
      <w:r>
        <w:rPr>
          <w:rFonts w:ascii="Arial" w:hAnsi="Arial" w:cs="Arial"/>
          <w:b/>
          <w:bCs/>
          <w:sz w:val="22"/>
          <w:szCs w:val="22"/>
        </w:rPr>
        <w:lastRenderedPageBreak/>
        <w:t>CHAPTER THREE</w:t>
      </w:r>
    </w:p>
    <w:p w14:paraId="6A5874C1" w14:textId="77777777" w:rsidR="00DE3473" w:rsidRDefault="00000000">
      <w:pPr>
        <w:spacing w:line="360" w:lineRule="auto"/>
        <w:ind w:left="3600"/>
        <w:jc w:val="both"/>
        <w:rPr>
          <w:rFonts w:ascii="Arial" w:hAnsi="Arial" w:cs="Arial"/>
          <w:b/>
          <w:bCs/>
          <w:sz w:val="22"/>
          <w:szCs w:val="22"/>
        </w:rPr>
      </w:pPr>
      <w:r>
        <w:rPr>
          <w:rFonts w:ascii="Arial" w:hAnsi="Arial" w:cs="Arial"/>
          <w:b/>
          <w:bCs/>
          <w:sz w:val="22"/>
          <w:szCs w:val="22"/>
        </w:rPr>
        <w:t xml:space="preserve">       Methodology</w:t>
      </w:r>
    </w:p>
    <w:p w14:paraId="5E83FE2E" w14:textId="77777777" w:rsidR="00DE3473" w:rsidRDefault="00000000">
      <w:pPr>
        <w:spacing w:line="360" w:lineRule="auto"/>
        <w:jc w:val="both"/>
        <w:rPr>
          <w:rFonts w:ascii="Arial" w:hAnsi="Arial" w:cs="Arial"/>
          <w:b/>
          <w:bCs/>
          <w:sz w:val="22"/>
          <w:szCs w:val="22"/>
        </w:rPr>
      </w:pPr>
      <w:r>
        <w:rPr>
          <w:rFonts w:ascii="Arial" w:hAnsi="Arial" w:cs="Arial"/>
          <w:b/>
          <w:bCs/>
          <w:sz w:val="22"/>
          <w:szCs w:val="22"/>
        </w:rPr>
        <w:t>3.0 Introduction</w:t>
      </w:r>
    </w:p>
    <w:p w14:paraId="08BB2466" w14:textId="77777777" w:rsidR="00DE3473" w:rsidRDefault="00000000">
      <w:pPr>
        <w:spacing w:line="360" w:lineRule="auto"/>
        <w:jc w:val="both"/>
        <w:rPr>
          <w:rFonts w:ascii="Arial" w:hAnsi="Arial" w:cs="Arial"/>
          <w:sz w:val="22"/>
          <w:szCs w:val="22"/>
        </w:rPr>
      </w:pPr>
      <w:r>
        <w:rPr>
          <w:rFonts w:ascii="Arial" w:hAnsi="Arial" w:cs="Arial"/>
          <w:sz w:val="22"/>
          <w:szCs w:val="22"/>
        </w:rPr>
        <w:t>This study adopts a systematic approach to identify, select, and critically analyse scholarly literature on chronic pain management among older adults residing in the United Kingdom. The methodology is designed to ensure transparency, reprehensibility, and academic rigour, thereby enhancing the validity and reliability of the study’s conclusions (Royal College of General Practitioners, 2020).</w:t>
      </w:r>
    </w:p>
    <w:p w14:paraId="0E700FEF" w14:textId="77777777" w:rsidR="00DE3473" w:rsidRDefault="00000000">
      <w:pPr>
        <w:spacing w:line="360" w:lineRule="auto"/>
        <w:jc w:val="both"/>
        <w:rPr>
          <w:rFonts w:ascii="Arial" w:hAnsi="Arial" w:cs="Arial"/>
          <w:b/>
          <w:bCs/>
          <w:sz w:val="22"/>
          <w:szCs w:val="22"/>
        </w:rPr>
      </w:pPr>
      <w:r>
        <w:rPr>
          <w:rFonts w:ascii="Arial" w:hAnsi="Arial" w:cs="Arial"/>
          <w:b/>
          <w:bCs/>
          <w:sz w:val="22"/>
          <w:szCs w:val="22"/>
        </w:rPr>
        <w:t>3.1. Search Strategy</w:t>
      </w:r>
    </w:p>
    <w:p w14:paraId="7C20041C" w14:textId="77777777" w:rsidR="00DE3473" w:rsidRDefault="00000000">
      <w:pPr>
        <w:spacing w:line="360" w:lineRule="auto"/>
        <w:jc w:val="both"/>
        <w:rPr>
          <w:rFonts w:ascii="Arial" w:hAnsi="Arial" w:cs="Arial"/>
          <w:sz w:val="22"/>
          <w:szCs w:val="22"/>
        </w:rPr>
      </w:pPr>
      <w:r>
        <w:rPr>
          <w:rFonts w:ascii="Arial" w:hAnsi="Arial" w:cs="Arial"/>
          <w:sz w:val="22"/>
          <w:szCs w:val="22"/>
        </w:rPr>
        <w:t>A structured search will be conducted across multiple academic databases, namely Google Scholar, ProQuest, PubMed, and the University of Wales Trinity Saint David (UWTSD) Library. The search will be restricted to peer-reviewed journal articles published between 2015 and 2025. Boolean operators (AND, OR) will be applied to combine keywords and refine search outputs, ensuring a balance between sensitivity and specificity (Booth et al., 2021). The search process will be documented in detail to facilitate transparency and replication.</w:t>
      </w:r>
    </w:p>
    <w:p w14:paraId="734AA087" w14:textId="77777777" w:rsidR="00DE3473" w:rsidRDefault="00000000">
      <w:pPr>
        <w:spacing w:line="360" w:lineRule="auto"/>
        <w:jc w:val="both"/>
        <w:rPr>
          <w:rFonts w:ascii="Arial" w:hAnsi="Arial" w:cs="Arial"/>
          <w:b/>
          <w:bCs/>
          <w:sz w:val="22"/>
          <w:szCs w:val="22"/>
        </w:rPr>
      </w:pPr>
      <w:r>
        <w:rPr>
          <w:rFonts w:ascii="Arial" w:hAnsi="Arial" w:cs="Arial"/>
          <w:b/>
          <w:bCs/>
          <w:sz w:val="22"/>
          <w:szCs w:val="22"/>
        </w:rPr>
        <w:t>3.2 Inclusion and Exclusion Criteria</w:t>
      </w:r>
    </w:p>
    <w:p w14:paraId="10FD4CB6" w14:textId="77777777" w:rsidR="00DE3473" w:rsidRDefault="00000000">
      <w:pPr>
        <w:spacing w:line="360" w:lineRule="auto"/>
        <w:jc w:val="both"/>
        <w:rPr>
          <w:rFonts w:ascii="Arial" w:hAnsi="Arial" w:cs="Arial"/>
          <w:sz w:val="22"/>
          <w:szCs w:val="22"/>
        </w:rPr>
      </w:pPr>
      <w:r>
        <w:rPr>
          <w:rFonts w:ascii="Arial" w:hAnsi="Arial" w:cs="Arial"/>
          <w:b/>
          <w:bCs/>
          <w:sz w:val="22"/>
          <w:szCs w:val="22"/>
        </w:rPr>
        <w:t>Inclusion criteria:</w:t>
      </w:r>
    </w:p>
    <w:p w14:paraId="6074AAB9" w14:textId="77777777" w:rsidR="00DE3473" w:rsidRDefault="00000000">
      <w:pPr>
        <w:numPr>
          <w:ilvl w:val="0"/>
          <w:numId w:val="2"/>
        </w:numPr>
        <w:spacing w:line="360" w:lineRule="auto"/>
        <w:jc w:val="both"/>
        <w:rPr>
          <w:rFonts w:ascii="Arial" w:hAnsi="Arial" w:cs="Arial"/>
          <w:sz w:val="22"/>
          <w:szCs w:val="22"/>
        </w:rPr>
      </w:pPr>
      <w:r>
        <w:rPr>
          <w:rFonts w:ascii="Arial" w:hAnsi="Arial" w:cs="Arial"/>
          <w:sz w:val="22"/>
          <w:szCs w:val="22"/>
        </w:rPr>
        <w:t>Empirical studies focusing on older adults (aged 60+) living in the United Kingdom</w:t>
      </w:r>
    </w:p>
    <w:p w14:paraId="76C6556B" w14:textId="77777777" w:rsidR="00DE3473" w:rsidRDefault="00000000">
      <w:pPr>
        <w:numPr>
          <w:ilvl w:val="0"/>
          <w:numId w:val="2"/>
        </w:numPr>
        <w:spacing w:line="360" w:lineRule="auto"/>
        <w:jc w:val="both"/>
        <w:rPr>
          <w:rFonts w:ascii="Arial" w:hAnsi="Arial" w:cs="Arial"/>
          <w:sz w:val="22"/>
          <w:szCs w:val="22"/>
        </w:rPr>
      </w:pPr>
      <w:r>
        <w:rPr>
          <w:rFonts w:ascii="Arial" w:hAnsi="Arial" w:cs="Arial"/>
          <w:sz w:val="22"/>
          <w:szCs w:val="22"/>
        </w:rPr>
        <w:t>Research utilising primary data collection methods (e.g., surveys, interviews, clinical trials)</w:t>
      </w:r>
    </w:p>
    <w:p w14:paraId="31C7DE63" w14:textId="77777777" w:rsidR="00DE3473" w:rsidRDefault="00000000">
      <w:pPr>
        <w:numPr>
          <w:ilvl w:val="0"/>
          <w:numId w:val="2"/>
        </w:numPr>
        <w:spacing w:line="360" w:lineRule="auto"/>
        <w:jc w:val="both"/>
        <w:rPr>
          <w:rFonts w:ascii="Arial" w:hAnsi="Arial" w:cs="Arial"/>
          <w:sz w:val="22"/>
          <w:szCs w:val="22"/>
        </w:rPr>
      </w:pPr>
      <w:r>
        <w:rPr>
          <w:rFonts w:ascii="Arial" w:hAnsi="Arial" w:cs="Arial"/>
          <w:sz w:val="22"/>
          <w:szCs w:val="22"/>
        </w:rPr>
        <w:t>Publications between 2015 and 2025</w:t>
      </w:r>
    </w:p>
    <w:p w14:paraId="5BAB40D3" w14:textId="77777777" w:rsidR="00DE3473" w:rsidRDefault="00000000">
      <w:pPr>
        <w:numPr>
          <w:ilvl w:val="0"/>
          <w:numId w:val="2"/>
        </w:numPr>
        <w:spacing w:line="360" w:lineRule="auto"/>
        <w:jc w:val="both"/>
        <w:rPr>
          <w:rFonts w:ascii="Arial" w:hAnsi="Arial" w:cs="Arial"/>
          <w:sz w:val="22"/>
          <w:szCs w:val="22"/>
        </w:rPr>
      </w:pPr>
      <w:r>
        <w:rPr>
          <w:rFonts w:ascii="Arial" w:hAnsi="Arial" w:cs="Arial"/>
          <w:sz w:val="22"/>
          <w:szCs w:val="22"/>
        </w:rPr>
        <w:t>Articles written in English</w:t>
      </w:r>
    </w:p>
    <w:p w14:paraId="53E2B5B8" w14:textId="77777777" w:rsidR="00DE3473" w:rsidRDefault="00000000">
      <w:pPr>
        <w:spacing w:line="360" w:lineRule="auto"/>
        <w:jc w:val="both"/>
        <w:rPr>
          <w:rFonts w:ascii="Arial" w:hAnsi="Arial" w:cs="Arial"/>
          <w:sz w:val="22"/>
          <w:szCs w:val="22"/>
        </w:rPr>
      </w:pPr>
      <w:r>
        <w:rPr>
          <w:rFonts w:ascii="Arial" w:hAnsi="Arial" w:cs="Arial"/>
          <w:b/>
          <w:bCs/>
          <w:sz w:val="22"/>
          <w:szCs w:val="22"/>
        </w:rPr>
        <w:t>Exclusion criteria:</w:t>
      </w:r>
    </w:p>
    <w:p w14:paraId="3B62303B" w14:textId="77777777" w:rsidR="00DE3473" w:rsidRDefault="00000000">
      <w:pPr>
        <w:numPr>
          <w:ilvl w:val="0"/>
          <w:numId w:val="3"/>
        </w:numPr>
        <w:spacing w:line="360" w:lineRule="auto"/>
        <w:jc w:val="both"/>
        <w:rPr>
          <w:rFonts w:ascii="Arial" w:hAnsi="Arial" w:cs="Arial"/>
          <w:sz w:val="22"/>
          <w:szCs w:val="22"/>
        </w:rPr>
      </w:pPr>
      <w:r>
        <w:rPr>
          <w:rFonts w:ascii="Arial" w:hAnsi="Arial" w:cs="Arial"/>
          <w:sz w:val="22"/>
          <w:szCs w:val="22"/>
        </w:rPr>
        <w:t>Studies unrelated to older adults in the UK</w:t>
      </w:r>
    </w:p>
    <w:p w14:paraId="40E11FD9" w14:textId="77777777" w:rsidR="00DE3473" w:rsidRDefault="00000000">
      <w:pPr>
        <w:numPr>
          <w:ilvl w:val="0"/>
          <w:numId w:val="3"/>
        </w:numPr>
        <w:spacing w:line="360" w:lineRule="auto"/>
        <w:jc w:val="both"/>
        <w:rPr>
          <w:rFonts w:ascii="Arial" w:hAnsi="Arial" w:cs="Arial"/>
          <w:sz w:val="22"/>
          <w:szCs w:val="22"/>
        </w:rPr>
      </w:pPr>
      <w:r>
        <w:rPr>
          <w:rFonts w:ascii="Arial" w:hAnsi="Arial" w:cs="Arial"/>
          <w:sz w:val="22"/>
          <w:szCs w:val="22"/>
        </w:rPr>
        <w:t>Research relying solely on secondary data</w:t>
      </w:r>
    </w:p>
    <w:p w14:paraId="178FAE90" w14:textId="77777777" w:rsidR="00DE3473" w:rsidRDefault="00000000">
      <w:pPr>
        <w:numPr>
          <w:ilvl w:val="0"/>
          <w:numId w:val="3"/>
        </w:numPr>
        <w:spacing w:line="360" w:lineRule="auto"/>
        <w:jc w:val="both"/>
        <w:rPr>
          <w:rFonts w:ascii="Arial" w:hAnsi="Arial" w:cs="Arial"/>
          <w:sz w:val="22"/>
          <w:szCs w:val="22"/>
        </w:rPr>
      </w:pPr>
      <w:r>
        <w:rPr>
          <w:rFonts w:ascii="Arial" w:hAnsi="Arial" w:cs="Arial"/>
          <w:sz w:val="22"/>
          <w:szCs w:val="22"/>
        </w:rPr>
        <w:t>Publications prior to 2015</w:t>
      </w:r>
    </w:p>
    <w:p w14:paraId="7E287EE9" w14:textId="77777777" w:rsidR="00DE3473" w:rsidRDefault="00000000">
      <w:pPr>
        <w:numPr>
          <w:ilvl w:val="0"/>
          <w:numId w:val="3"/>
        </w:numPr>
        <w:spacing w:line="360" w:lineRule="auto"/>
        <w:jc w:val="both"/>
        <w:rPr>
          <w:rFonts w:ascii="Arial" w:hAnsi="Arial" w:cs="Arial"/>
          <w:sz w:val="22"/>
          <w:szCs w:val="22"/>
        </w:rPr>
      </w:pPr>
      <w:r>
        <w:rPr>
          <w:rFonts w:ascii="Arial" w:hAnsi="Arial" w:cs="Arial"/>
          <w:sz w:val="22"/>
          <w:szCs w:val="22"/>
        </w:rPr>
        <w:t>Non-English language articles</w:t>
      </w:r>
    </w:p>
    <w:p w14:paraId="72999E1D" w14:textId="77777777" w:rsidR="00DE3473" w:rsidRDefault="00000000">
      <w:pPr>
        <w:spacing w:line="360" w:lineRule="auto"/>
        <w:jc w:val="both"/>
        <w:rPr>
          <w:rFonts w:ascii="Arial" w:hAnsi="Arial" w:cs="Arial"/>
          <w:b/>
          <w:bCs/>
          <w:sz w:val="22"/>
          <w:szCs w:val="22"/>
        </w:rPr>
      </w:pPr>
      <w:r>
        <w:rPr>
          <w:rFonts w:ascii="Arial" w:hAnsi="Arial" w:cs="Arial"/>
          <w:b/>
          <w:bCs/>
          <w:sz w:val="22"/>
          <w:szCs w:val="22"/>
        </w:rPr>
        <w:lastRenderedPageBreak/>
        <w:t xml:space="preserve"> Identifying Keywords</w:t>
      </w:r>
    </w:p>
    <w:p w14:paraId="0A53A6EA" w14:textId="77777777" w:rsidR="00DE3473" w:rsidRDefault="00000000">
      <w:pPr>
        <w:spacing w:line="360" w:lineRule="auto"/>
        <w:jc w:val="both"/>
        <w:rPr>
          <w:rFonts w:ascii="Arial" w:hAnsi="Arial" w:cs="Arial"/>
          <w:sz w:val="22"/>
          <w:szCs w:val="22"/>
        </w:rPr>
      </w:pPr>
      <w:r>
        <w:rPr>
          <w:rFonts w:ascii="Arial" w:hAnsi="Arial" w:cs="Arial"/>
          <w:sz w:val="22"/>
          <w:szCs w:val="22"/>
        </w:rPr>
        <w:t>The search strategy will employ targeted terms relevant to the research focus, including:</w:t>
      </w:r>
    </w:p>
    <w:p w14:paraId="46371388" w14:textId="77777777" w:rsidR="00DE3473" w:rsidRDefault="00000000">
      <w:pPr>
        <w:numPr>
          <w:ilvl w:val="0"/>
          <w:numId w:val="4"/>
        </w:numPr>
        <w:spacing w:line="360" w:lineRule="auto"/>
        <w:jc w:val="both"/>
        <w:rPr>
          <w:rFonts w:ascii="Arial" w:hAnsi="Arial" w:cs="Arial"/>
          <w:sz w:val="22"/>
          <w:szCs w:val="22"/>
        </w:rPr>
      </w:pPr>
      <w:r>
        <w:rPr>
          <w:rFonts w:ascii="Arial" w:hAnsi="Arial" w:cs="Arial"/>
          <w:sz w:val="22"/>
          <w:szCs w:val="22"/>
        </w:rPr>
        <w:t>“Chronic Pain Management”</w:t>
      </w:r>
    </w:p>
    <w:p w14:paraId="49F52EE8" w14:textId="77777777" w:rsidR="00DE3473" w:rsidRDefault="00000000">
      <w:pPr>
        <w:numPr>
          <w:ilvl w:val="0"/>
          <w:numId w:val="4"/>
        </w:numPr>
        <w:spacing w:line="360" w:lineRule="auto"/>
        <w:jc w:val="both"/>
        <w:rPr>
          <w:rFonts w:ascii="Arial" w:hAnsi="Arial" w:cs="Arial"/>
          <w:sz w:val="22"/>
          <w:szCs w:val="22"/>
        </w:rPr>
      </w:pPr>
      <w:r>
        <w:rPr>
          <w:rFonts w:ascii="Arial" w:hAnsi="Arial" w:cs="Arial"/>
          <w:sz w:val="22"/>
          <w:szCs w:val="22"/>
        </w:rPr>
        <w:t>“Older Adults”</w:t>
      </w:r>
    </w:p>
    <w:p w14:paraId="5E1566B3" w14:textId="77777777" w:rsidR="00DE3473" w:rsidRDefault="00000000">
      <w:pPr>
        <w:numPr>
          <w:ilvl w:val="0"/>
          <w:numId w:val="4"/>
        </w:numPr>
        <w:spacing w:line="360" w:lineRule="auto"/>
        <w:jc w:val="both"/>
        <w:rPr>
          <w:rFonts w:ascii="Arial" w:hAnsi="Arial" w:cs="Arial"/>
          <w:sz w:val="22"/>
          <w:szCs w:val="22"/>
        </w:rPr>
      </w:pPr>
      <w:r>
        <w:rPr>
          <w:rFonts w:ascii="Arial" w:hAnsi="Arial" w:cs="Arial"/>
          <w:sz w:val="22"/>
          <w:szCs w:val="22"/>
        </w:rPr>
        <w:t>“UK”</w:t>
      </w:r>
    </w:p>
    <w:p w14:paraId="7611DADC" w14:textId="77777777" w:rsidR="00DE3473" w:rsidRDefault="00000000">
      <w:pPr>
        <w:numPr>
          <w:ilvl w:val="0"/>
          <w:numId w:val="4"/>
        </w:numPr>
        <w:spacing w:line="360" w:lineRule="auto"/>
        <w:jc w:val="both"/>
        <w:rPr>
          <w:rFonts w:ascii="Arial" w:hAnsi="Arial" w:cs="Arial"/>
          <w:sz w:val="22"/>
          <w:szCs w:val="22"/>
        </w:rPr>
      </w:pPr>
      <w:r>
        <w:rPr>
          <w:rFonts w:ascii="Arial" w:hAnsi="Arial" w:cs="Arial"/>
          <w:sz w:val="22"/>
          <w:szCs w:val="22"/>
        </w:rPr>
        <w:t>“Pain Management Strategies”</w:t>
      </w:r>
    </w:p>
    <w:p w14:paraId="2606111A" w14:textId="77777777" w:rsidR="00DE3473" w:rsidRDefault="00000000">
      <w:pPr>
        <w:spacing w:line="360" w:lineRule="auto"/>
        <w:jc w:val="both"/>
        <w:rPr>
          <w:rFonts w:ascii="Arial" w:hAnsi="Arial" w:cs="Arial"/>
          <w:sz w:val="22"/>
          <w:szCs w:val="22"/>
        </w:rPr>
      </w:pPr>
      <w:r>
        <w:rPr>
          <w:rFonts w:ascii="Arial" w:hAnsi="Arial" w:cs="Arial"/>
          <w:sz w:val="22"/>
          <w:szCs w:val="22"/>
        </w:rPr>
        <w:t>Synonyms and related terms will be incorporated, and database-specific indexing terms will be used where available to optimise retrieval of relevant literature (Petticrew and Roberts, 2016).</w:t>
      </w:r>
    </w:p>
    <w:p w14:paraId="51CACA91" w14:textId="77777777" w:rsidR="00DE3473" w:rsidRDefault="00000000">
      <w:pPr>
        <w:spacing w:line="360" w:lineRule="auto"/>
        <w:jc w:val="both"/>
        <w:rPr>
          <w:rFonts w:ascii="Arial" w:hAnsi="Arial" w:cs="Arial"/>
          <w:b/>
          <w:bCs/>
          <w:sz w:val="22"/>
          <w:szCs w:val="22"/>
        </w:rPr>
      </w:pPr>
      <w:r>
        <w:rPr>
          <w:rFonts w:ascii="Arial" w:hAnsi="Arial" w:cs="Arial"/>
          <w:b/>
          <w:bCs/>
          <w:sz w:val="22"/>
          <w:szCs w:val="22"/>
        </w:rPr>
        <w:t>3.3 Data Collection / Process of Collecting Articles</w:t>
      </w:r>
    </w:p>
    <w:p w14:paraId="6BC9F863" w14:textId="77777777" w:rsidR="00DE3473" w:rsidRDefault="00000000">
      <w:pPr>
        <w:spacing w:line="360" w:lineRule="auto"/>
        <w:jc w:val="both"/>
        <w:rPr>
          <w:rFonts w:ascii="Arial" w:hAnsi="Arial" w:cs="Arial"/>
          <w:sz w:val="22"/>
          <w:szCs w:val="22"/>
        </w:rPr>
      </w:pPr>
      <w:r>
        <w:rPr>
          <w:rFonts w:ascii="Arial" w:hAnsi="Arial" w:cs="Arial"/>
          <w:sz w:val="22"/>
          <w:szCs w:val="22"/>
        </w:rPr>
        <w:t>The screening process will follow two stages: (1) title and abstract screening against the inclusion and exclusion criteria; and (2) full-text review of potentially relevant studies. Articles that meet all criteria will be included in the final dataset. A minimum of ten peer-reviewed articles will be selected to ensure sufficient breadth and depth of analysis. A snowballing technique will be used to identify additional eligible studies from the reference lists of included articles (Greenhalgh, 2019).</w:t>
      </w:r>
    </w:p>
    <w:p w14:paraId="3E4AD464" w14:textId="77777777" w:rsidR="00DE3473" w:rsidRDefault="00000000">
      <w:pPr>
        <w:spacing w:line="360" w:lineRule="auto"/>
        <w:jc w:val="both"/>
        <w:rPr>
          <w:rFonts w:ascii="Arial" w:hAnsi="Arial" w:cs="Arial"/>
          <w:b/>
          <w:bCs/>
          <w:sz w:val="22"/>
          <w:szCs w:val="22"/>
        </w:rPr>
      </w:pPr>
      <w:r>
        <w:rPr>
          <w:rFonts w:ascii="Arial" w:hAnsi="Arial" w:cs="Arial"/>
          <w:b/>
          <w:bCs/>
          <w:sz w:val="22"/>
          <w:szCs w:val="22"/>
        </w:rPr>
        <w:t>3.4 Data Analysis</w:t>
      </w:r>
    </w:p>
    <w:p w14:paraId="57C2E5DB"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The selected studies will be subjected to thematic analysis following the Braun and Clarke (2014) model. </w:t>
      </w:r>
    </w:p>
    <w:p w14:paraId="6AF8E11E" w14:textId="77777777" w:rsidR="00DE3473" w:rsidRDefault="00000000">
      <w:pPr>
        <w:spacing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6BA308E3" wp14:editId="6898D4EA">
            <wp:extent cx="4114800" cy="4114800"/>
            <wp:effectExtent l="0" t="0" r="0" b="0"/>
            <wp:docPr id="1610419451" name="Picture 1"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419451" name="Picture 1" descr="Generated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a:xfrm>
                      <a:off x="0" y="0"/>
                      <a:ext cx="4114800" cy="4114800"/>
                    </a:xfrm>
                    <a:prstGeom prst="rect">
                      <a:avLst/>
                    </a:prstGeom>
                    <a:noFill/>
                    <a:ln>
                      <a:noFill/>
                    </a:ln>
                  </pic:spPr>
                </pic:pic>
              </a:graphicData>
            </a:graphic>
          </wp:inline>
        </w:drawing>
      </w:r>
    </w:p>
    <w:p w14:paraId="68E11E94" w14:textId="77777777" w:rsidR="00DE3473" w:rsidRDefault="00000000">
      <w:pPr>
        <w:spacing w:line="360" w:lineRule="auto"/>
        <w:jc w:val="both"/>
        <w:rPr>
          <w:rFonts w:ascii="Arial" w:hAnsi="Arial" w:cs="Arial"/>
          <w:sz w:val="22"/>
          <w:szCs w:val="22"/>
        </w:rPr>
      </w:pPr>
      <w:r>
        <w:rPr>
          <w:rFonts w:ascii="Arial" w:hAnsi="Arial" w:cs="Arial"/>
          <w:sz w:val="22"/>
          <w:szCs w:val="22"/>
        </w:rPr>
        <w:t>Figure: 3.1 Braun and Clarke (2014) Model</w:t>
      </w:r>
    </w:p>
    <w:p w14:paraId="1F5EF626" w14:textId="77777777" w:rsidR="00DE3473" w:rsidRDefault="00000000">
      <w:pPr>
        <w:spacing w:line="360" w:lineRule="auto"/>
        <w:jc w:val="both"/>
        <w:rPr>
          <w:rFonts w:ascii="Arial" w:hAnsi="Arial" w:cs="Arial"/>
          <w:sz w:val="22"/>
          <w:szCs w:val="22"/>
        </w:rPr>
      </w:pPr>
      <w:r>
        <w:rPr>
          <w:rFonts w:ascii="Arial" w:hAnsi="Arial" w:cs="Arial"/>
          <w:sz w:val="22"/>
          <w:szCs w:val="22"/>
        </w:rPr>
        <w:t>This involves six sequential steps: (1) familiarisation with the data; (2) generation of initial codes; (3) searching for themes; (4) reviewing themes; (5)s defining and naming themes; and (6) producing the final analytic report. This method is well-suited for identifying recurrent patterns and drawing meaningful insights from qualitative and mixed-methods research (Nowell et al., 2017).</w:t>
      </w:r>
    </w:p>
    <w:p w14:paraId="1915D63D" w14:textId="77777777" w:rsidR="00DE3473" w:rsidRDefault="00000000">
      <w:pPr>
        <w:spacing w:line="360" w:lineRule="auto"/>
        <w:jc w:val="both"/>
        <w:rPr>
          <w:rFonts w:ascii="Arial" w:hAnsi="Arial" w:cs="Arial"/>
          <w:b/>
          <w:bCs/>
          <w:sz w:val="22"/>
          <w:szCs w:val="22"/>
        </w:rPr>
      </w:pPr>
      <w:r>
        <w:rPr>
          <w:rFonts w:ascii="Arial" w:hAnsi="Arial" w:cs="Arial"/>
          <w:b/>
          <w:bCs/>
          <w:sz w:val="22"/>
          <w:szCs w:val="22"/>
        </w:rPr>
        <w:t>3.5 Braun and Clarke’s Thematic Analysis (2006)</w:t>
      </w:r>
    </w:p>
    <w:p w14:paraId="75C8B21B" w14:textId="77777777" w:rsidR="00DE3473" w:rsidRDefault="00000000">
      <w:pPr>
        <w:spacing w:line="360" w:lineRule="auto"/>
        <w:jc w:val="both"/>
        <w:rPr>
          <w:rFonts w:ascii="Arial" w:hAnsi="Arial" w:cs="Arial"/>
          <w:sz w:val="22"/>
          <w:szCs w:val="22"/>
        </w:rPr>
      </w:pPr>
      <w:r>
        <w:rPr>
          <w:rFonts w:ascii="Arial" w:hAnsi="Arial" w:cs="Arial"/>
          <w:sz w:val="22"/>
          <w:szCs w:val="22"/>
        </w:rPr>
        <w:t>Virginia Braun and Victoria Clarke propounded the six-phase approach of Thematic Analysis (2006) which is a widely used method for analyzing qualitative data by identifying, analyzing, and reporting patterns (themes) within a dataset. It is valued for its flexibility, accessibility, and applicability across disciplines. Thematic Analysis is not tied to a specific theoretical framework, making it suitable for both realist and constructionist approaches.</w:t>
      </w:r>
    </w:p>
    <w:p w14:paraId="2F65AEBF" w14:textId="77777777" w:rsidR="00DE3473" w:rsidRDefault="00DE3473">
      <w:pPr>
        <w:spacing w:line="360" w:lineRule="auto"/>
        <w:jc w:val="both"/>
        <w:rPr>
          <w:rFonts w:ascii="Arial" w:hAnsi="Arial" w:cs="Arial"/>
          <w:sz w:val="22"/>
          <w:szCs w:val="22"/>
        </w:rPr>
      </w:pPr>
    </w:p>
    <w:p w14:paraId="6AED8F74" w14:textId="77777777" w:rsidR="00DE3473" w:rsidRDefault="00DE3473">
      <w:pPr>
        <w:spacing w:line="360" w:lineRule="auto"/>
        <w:jc w:val="both"/>
        <w:rPr>
          <w:rFonts w:ascii="Arial" w:hAnsi="Arial" w:cs="Arial"/>
          <w:sz w:val="22"/>
          <w:szCs w:val="22"/>
        </w:rPr>
      </w:pPr>
    </w:p>
    <w:p w14:paraId="36A54C94" w14:textId="77777777" w:rsidR="00DE3473" w:rsidRDefault="00000000">
      <w:pPr>
        <w:spacing w:line="360" w:lineRule="auto"/>
        <w:jc w:val="both"/>
        <w:rPr>
          <w:rFonts w:ascii="Arial" w:hAnsi="Arial" w:cs="Arial"/>
          <w:sz w:val="22"/>
          <w:szCs w:val="22"/>
        </w:rPr>
      </w:pPr>
      <w:r>
        <w:rPr>
          <w:rFonts w:ascii="Arial" w:hAnsi="Arial" w:cs="Arial"/>
          <w:sz w:val="22"/>
          <w:szCs w:val="22"/>
        </w:rPr>
        <w:lastRenderedPageBreak/>
        <w:t>The method involves six distinct phases:</w:t>
      </w:r>
    </w:p>
    <w:p w14:paraId="7E7791EB" w14:textId="77777777" w:rsidR="00DE3473" w:rsidRDefault="00000000">
      <w:pPr>
        <w:spacing w:line="360" w:lineRule="auto"/>
        <w:jc w:val="both"/>
        <w:rPr>
          <w:rFonts w:ascii="Arial" w:hAnsi="Arial" w:cs="Arial"/>
          <w:sz w:val="22"/>
          <w:szCs w:val="22"/>
        </w:rPr>
      </w:pPr>
      <w:r>
        <w:rPr>
          <w:rFonts w:ascii="Arial" w:hAnsi="Arial" w:cs="Arial"/>
          <w:sz w:val="22"/>
          <w:szCs w:val="22"/>
        </w:rPr>
        <w:t>Familiarization – Immersing in the data through reading and re-reading.</w:t>
      </w:r>
    </w:p>
    <w:p w14:paraId="4C25E180" w14:textId="77777777" w:rsidR="00DE3473" w:rsidRDefault="00000000">
      <w:pPr>
        <w:spacing w:line="360" w:lineRule="auto"/>
        <w:jc w:val="both"/>
        <w:rPr>
          <w:rFonts w:ascii="Arial" w:hAnsi="Arial" w:cs="Arial"/>
          <w:sz w:val="22"/>
          <w:szCs w:val="22"/>
        </w:rPr>
      </w:pPr>
      <w:r>
        <w:rPr>
          <w:rFonts w:ascii="Arial" w:hAnsi="Arial" w:cs="Arial"/>
          <w:sz w:val="22"/>
          <w:szCs w:val="22"/>
        </w:rPr>
        <w:t>Generating Initial Codes – Systematically coding interesting features.</w:t>
      </w:r>
    </w:p>
    <w:p w14:paraId="6448D286" w14:textId="77777777" w:rsidR="00DE3473" w:rsidRDefault="00000000">
      <w:pPr>
        <w:spacing w:line="360" w:lineRule="auto"/>
        <w:jc w:val="both"/>
        <w:rPr>
          <w:rFonts w:ascii="Arial" w:hAnsi="Arial" w:cs="Arial"/>
          <w:sz w:val="22"/>
          <w:szCs w:val="22"/>
        </w:rPr>
      </w:pPr>
      <w:r>
        <w:rPr>
          <w:rFonts w:ascii="Arial" w:hAnsi="Arial" w:cs="Arial"/>
          <w:sz w:val="22"/>
          <w:szCs w:val="22"/>
        </w:rPr>
        <w:t>Searching for Themes – Organizing codes into potential themes.</w:t>
      </w:r>
    </w:p>
    <w:p w14:paraId="58C15584" w14:textId="77777777" w:rsidR="00DE3473" w:rsidRDefault="00000000">
      <w:pPr>
        <w:spacing w:line="360" w:lineRule="auto"/>
        <w:jc w:val="both"/>
        <w:rPr>
          <w:rFonts w:ascii="Arial" w:hAnsi="Arial" w:cs="Arial"/>
          <w:sz w:val="22"/>
          <w:szCs w:val="22"/>
        </w:rPr>
      </w:pPr>
      <w:r>
        <w:rPr>
          <w:rFonts w:ascii="Arial" w:hAnsi="Arial" w:cs="Arial"/>
          <w:sz w:val="22"/>
          <w:szCs w:val="22"/>
        </w:rPr>
        <w:t>Reviewing Themes – Refining themes in relation to coded extracts and the full dataset.</w:t>
      </w:r>
    </w:p>
    <w:p w14:paraId="0BFA85F1" w14:textId="77777777" w:rsidR="00DE3473" w:rsidRDefault="00000000">
      <w:pPr>
        <w:spacing w:line="360" w:lineRule="auto"/>
        <w:jc w:val="both"/>
        <w:rPr>
          <w:rFonts w:ascii="Arial" w:hAnsi="Arial" w:cs="Arial"/>
          <w:sz w:val="22"/>
          <w:szCs w:val="22"/>
        </w:rPr>
      </w:pPr>
      <w:r>
        <w:rPr>
          <w:rFonts w:ascii="Arial" w:hAnsi="Arial" w:cs="Arial"/>
          <w:sz w:val="22"/>
          <w:szCs w:val="22"/>
        </w:rPr>
        <w:t>Defining and Naming Themes – Analyzing each theme and assigning clear labels.</w:t>
      </w:r>
    </w:p>
    <w:p w14:paraId="24F131FD" w14:textId="77777777" w:rsidR="00DE3473" w:rsidRDefault="00000000">
      <w:pPr>
        <w:spacing w:line="360" w:lineRule="auto"/>
        <w:jc w:val="both"/>
        <w:rPr>
          <w:rFonts w:ascii="Arial" w:hAnsi="Arial" w:cs="Arial"/>
          <w:sz w:val="22"/>
          <w:szCs w:val="22"/>
        </w:rPr>
      </w:pPr>
      <w:r>
        <w:rPr>
          <w:rFonts w:ascii="Arial" w:hAnsi="Arial" w:cs="Arial"/>
          <w:sz w:val="22"/>
          <w:szCs w:val="22"/>
        </w:rPr>
        <w:t>Producing the Report – Writing the final analysis, supported by data extracts and linked to research questions and literature.</w:t>
      </w:r>
    </w:p>
    <w:p w14:paraId="54177CAB" w14:textId="77777777" w:rsidR="00DE3473" w:rsidRDefault="00000000">
      <w:pPr>
        <w:spacing w:line="360" w:lineRule="auto"/>
        <w:jc w:val="both"/>
        <w:rPr>
          <w:rFonts w:ascii="Arial" w:hAnsi="Arial" w:cs="Arial"/>
          <w:sz w:val="22"/>
          <w:szCs w:val="22"/>
        </w:rPr>
      </w:pPr>
      <w:r>
        <w:rPr>
          <w:rFonts w:ascii="Arial" w:eastAsia="SimSun" w:hAnsi="Arial" w:cs="Arial"/>
          <w:sz w:val="22"/>
          <w:szCs w:val="22"/>
        </w:rPr>
        <w:t xml:space="preserve">Critics argue that Thematic Analysis is </w:t>
      </w:r>
      <w:r>
        <w:rPr>
          <w:rStyle w:val="Strong"/>
          <w:rFonts w:ascii="Arial" w:eastAsia="SimSun" w:hAnsi="Arial" w:cs="Arial"/>
          <w:b w:val="0"/>
          <w:bCs w:val="0"/>
          <w:sz w:val="22"/>
          <w:szCs w:val="22"/>
        </w:rPr>
        <w:t>too flexible</w:t>
      </w:r>
      <w:r>
        <w:rPr>
          <w:rFonts w:ascii="Arial" w:eastAsia="SimSun" w:hAnsi="Arial" w:cs="Arial"/>
          <w:sz w:val="22"/>
          <w:szCs w:val="22"/>
        </w:rPr>
        <w:t xml:space="preserve">, which can lead to </w:t>
      </w:r>
      <w:r>
        <w:rPr>
          <w:rStyle w:val="Strong"/>
          <w:rFonts w:ascii="Arial" w:eastAsia="SimSun" w:hAnsi="Arial" w:cs="Arial"/>
          <w:b w:val="0"/>
          <w:bCs w:val="0"/>
          <w:sz w:val="22"/>
          <w:szCs w:val="22"/>
        </w:rPr>
        <w:t>inconsistencies and lack of clarity</w:t>
      </w:r>
      <w:r>
        <w:rPr>
          <w:rFonts w:ascii="Arial" w:eastAsia="SimSun" w:hAnsi="Arial" w:cs="Arial"/>
          <w:sz w:val="22"/>
          <w:szCs w:val="22"/>
        </w:rPr>
        <w:t xml:space="preserve"> in application. Without strict guidelines, novice researchers may struggle to apply the method rigorously or may confuse it with other forms of qualitative analysis (Finlay, 2021; Thomas, 2006). Some scholars contend that Thematic Analysis, especially when used without deep engagement or reflexivity, can lead to </w:t>
      </w:r>
      <w:r>
        <w:rPr>
          <w:rStyle w:val="Strong"/>
          <w:rFonts w:ascii="Arial" w:eastAsia="SimSun" w:hAnsi="Arial" w:cs="Arial"/>
          <w:b w:val="0"/>
          <w:bCs w:val="0"/>
          <w:sz w:val="22"/>
          <w:szCs w:val="22"/>
        </w:rPr>
        <w:t>surface-level themes</w:t>
      </w:r>
      <w:r>
        <w:rPr>
          <w:rFonts w:ascii="Arial" w:eastAsia="SimSun" w:hAnsi="Arial" w:cs="Arial"/>
          <w:sz w:val="22"/>
          <w:szCs w:val="22"/>
        </w:rPr>
        <w:t>. Without sufficient critical interpretation, themes may simply describe the data rather than analyze underlying meanings.</w:t>
      </w:r>
    </w:p>
    <w:p w14:paraId="24168A15" w14:textId="77777777" w:rsidR="00DE3473" w:rsidRDefault="00000000">
      <w:pPr>
        <w:spacing w:line="360" w:lineRule="auto"/>
        <w:jc w:val="both"/>
        <w:rPr>
          <w:rFonts w:ascii="Arial" w:eastAsia="SimSun" w:hAnsi="Arial" w:cs="Arial"/>
          <w:sz w:val="22"/>
          <w:szCs w:val="22"/>
        </w:rPr>
      </w:pPr>
      <w:r>
        <w:rPr>
          <w:rFonts w:ascii="Arial" w:eastAsia="SimSun" w:hAnsi="Arial" w:cs="Arial"/>
          <w:sz w:val="22"/>
          <w:szCs w:val="22"/>
        </w:rPr>
        <w:t xml:space="preserve">However, Terry et al. (2017) support Braun and Clarke’s approach for its </w:t>
      </w:r>
      <w:r>
        <w:rPr>
          <w:rStyle w:val="Strong"/>
          <w:rFonts w:ascii="Arial" w:eastAsia="SimSun" w:hAnsi="Arial" w:cs="Arial"/>
          <w:b w:val="0"/>
          <w:bCs w:val="0"/>
          <w:sz w:val="22"/>
          <w:szCs w:val="22"/>
        </w:rPr>
        <w:t>transparency and accessibility</w:t>
      </w:r>
      <w:r>
        <w:rPr>
          <w:rFonts w:ascii="Arial" w:eastAsia="SimSun" w:hAnsi="Arial" w:cs="Arial"/>
          <w:sz w:val="22"/>
          <w:szCs w:val="22"/>
        </w:rPr>
        <w:t xml:space="preserve">, especially for new researchers. They highlight how the method encourages </w:t>
      </w:r>
      <w:r>
        <w:rPr>
          <w:rStyle w:val="Strong"/>
          <w:rFonts w:ascii="Arial" w:eastAsia="SimSun" w:hAnsi="Arial" w:cs="Arial"/>
          <w:b w:val="0"/>
          <w:bCs w:val="0"/>
          <w:sz w:val="22"/>
          <w:szCs w:val="22"/>
        </w:rPr>
        <w:t>systematic thinking</w:t>
      </w:r>
      <w:r>
        <w:rPr>
          <w:rFonts w:ascii="Arial" w:eastAsia="SimSun" w:hAnsi="Arial" w:cs="Arial"/>
          <w:sz w:val="22"/>
          <w:szCs w:val="22"/>
        </w:rPr>
        <w:t xml:space="preserve"> while allowing for </w:t>
      </w:r>
      <w:r>
        <w:rPr>
          <w:rStyle w:val="Strong"/>
          <w:rFonts w:ascii="Arial" w:eastAsia="SimSun" w:hAnsi="Arial" w:cs="Arial"/>
          <w:b w:val="0"/>
          <w:bCs w:val="0"/>
          <w:sz w:val="22"/>
          <w:szCs w:val="22"/>
        </w:rPr>
        <w:t>creative interpretation</w:t>
      </w:r>
      <w:r>
        <w:rPr>
          <w:rFonts w:ascii="Arial" w:eastAsia="SimSun" w:hAnsi="Arial" w:cs="Arial"/>
          <w:sz w:val="22"/>
          <w:szCs w:val="22"/>
        </w:rPr>
        <w:t xml:space="preserve">.in the same vein, Nowell et al. (2017) commend Thematic Analysis for being a </w:t>
      </w:r>
      <w:r>
        <w:rPr>
          <w:rStyle w:val="Strong"/>
          <w:rFonts w:ascii="Arial" w:eastAsia="SimSun" w:hAnsi="Arial" w:cs="Arial"/>
          <w:b w:val="0"/>
          <w:bCs w:val="0"/>
          <w:sz w:val="22"/>
          <w:szCs w:val="22"/>
        </w:rPr>
        <w:t>trustworthy and rigorous method</w:t>
      </w:r>
      <w:r>
        <w:rPr>
          <w:rFonts w:ascii="Arial" w:eastAsia="SimSun" w:hAnsi="Arial" w:cs="Arial"/>
          <w:sz w:val="22"/>
          <w:szCs w:val="22"/>
        </w:rPr>
        <w:t xml:space="preserve"> when applied correctly. They emphasize its utility in producing </w:t>
      </w:r>
      <w:r>
        <w:rPr>
          <w:rStyle w:val="Strong"/>
          <w:rFonts w:ascii="Arial" w:eastAsia="SimSun" w:hAnsi="Arial" w:cs="Arial"/>
          <w:b w:val="0"/>
          <w:bCs w:val="0"/>
          <w:sz w:val="22"/>
          <w:szCs w:val="22"/>
        </w:rPr>
        <w:t>rich and detailed qualitative insights</w:t>
      </w:r>
      <w:r>
        <w:rPr>
          <w:rFonts w:ascii="Arial" w:eastAsia="SimSun" w:hAnsi="Arial" w:cs="Arial"/>
          <w:sz w:val="22"/>
          <w:szCs w:val="22"/>
        </w:rPr>
        <w:t>, especially when supported by proper documentation and reflexivity.</w:t>
      </w:r>
    </w:p>
    <w:p w14:paraId="0FBC18EE" w14:textId="77777777" w:rsidR="00DE3473" w:rsidRDefault="00000000">
      <w:pPr>
        <w:spacing w:line="360" w:lineRule="auto"/>
        <w:jc w:val="both"/>
        <w:rPr>
          <w:rFonts w:ascii="Arial" w:hAnsi="Arial" w:cs="Arial"/>
          <w:sz w:val="22"/>
          <w:szCs w:val="22"/>
        </w:rPr>
      </w:pPr>
      <w:r>
        <w:rPr>
          <w:rFonts w:ascii="Arial" w:hAnsi="Arial" w:cs="Arial"/>
          <w:sz w:val="22"/>
          <w:szCs w:val="22"/>
        </w:rPr>
        <w:t>Braun and Clarke (2023) stress the importance of reflexivity, acknowledging that researchers actively shape the analysis and must be transparent about their decisions. They identify different types of Thematic Analysis, with Reflexive TA being their preferred approach due to its emphasis on depth, flexibility, and researcher subjectivity.</w:t>
      </w:r>
    </w:p>
    <w:p w14:paraId="3E151902" w14:textId="77777777" w:rsidR="00DE3473" w:rsidRDefault="00000000">
      <w:pPr>
        <w:spacing w:line="360" w:lineRule="auto"/>
        <w:jc w:val="both"/>
        <w:rPr>
          <w:rFonts w:ascii="Arial" w:hAnsi="Arial" w:cs="Arial"/>
          <w:sz w:val="22"/>
          <w:szCs w:val="22"/>
        </w:rPr>
      </w:pPr>
      <w:r>
        <w:rPr>
          <w:rFonts w:ascii="Arial" w:hAnsi="Arial" w:cs="Arial"/>
          <w:sz w:val="22"/>
          <w:szCs w:val="22"/>
        </w:rPr>
        <w:t>Strengths of this method include its adaptability, clarity, and ability to produce rich, meaningful insights (Braun and Clarke, 2019). However, its flexibility can also lead to inconsistencies if not applied rigorously. Researchers must avoid superficial theme development by engaging deeply with the data.</w:t>
      </w:r>
    </w:p>
    <w:p w14:paraId="4A6D448F" w14:textId="77777777" w:rsidR="00DE3473" w:rsidRDefault="00000000">
      <w:pPr>
        <w:spacing w:line="360" w:lineRule="auto"/>
        <w:jc w:val="both"/>
        <w:rPr>
          <w:rFonts w:ascii="Arial" w:hAnsi="Arial" w:cs="Arial"/>
          <w:sz w:val="22"/>
          <w:szCs w:val="22"/>
        </w:rPr>
      </w:pPr>
      <w:r>
        <w:rPr>
          <w:rFonts w:ascii="Arial" w:hAnsi="Arial" w:cs="Arial"/>
          <w:sz w:val="22"/>
          <w:szCs w:val="22"/>
        </w:rPr>
        <w:lastRenderedPageBreak/>
        <w:t>Overall, Braun and Clarke’s Thematic Analysis is a robust and accessible framework for qualitative research, encouraging thoughtful, reflexive, and systematic engagement with data.</w:t>
      </w:r>
    </w:p>
    <w:p w14:paraId="5CEBEBD4" w14:textId="77777777" w:rsidR="00DE3473" w:rsidRDefault="00000000">
      <w:pPr>
        <w:spacing w:line="360" w:lineRule="auto"/>
        <w:jc w:val="both"/>
        <w:rPr>
          <w:rFonts w:ascii="Arial" w:hAnsi="Arial" w:cs="Arial"/>
          <w:b/>
          <w:bCs/>
          <w:sz w:val="22"/>
          <w:szCs w:val="22"/>
        </w:rPr>
      </w:pPr>
      <w:r>
        <w:rPr>
          <w:rFonts w:ascii="Arial" w:hAnsi="Arial" w:cs="Arial"/>
          <w:b/>
          <w:bCs/>
          <w:sz w:val="22"/>
          <w:szCs w:val="22"/>
        </w:rPr>
        <w:t>3.6 Ethical Considerations</w:t>
      </w:r>
    </w:p>
    <w:p w14:paraId="61C30199" w14:textId="77777777" w:rsidR="00DE3473" w:rsidRDefault="00000000">
      <w:pPr>
        <w:spacing w:line="360" w:lineRule="auto"/>
        <w:jc w:val="both"/>
        <w:rPr>
          <w:rFonts w:ascii="Arial" w:hAnsi="Arial" w:cs="Arial"/>
          <w:sz w:val="22"/>
          <w:szCs w:val="22"/>
        </w:rPr>
      </w:pPr>
      <w:r>
        <w:rPr>
          <w:rFonts w:ascii="Arial" w:hAnsi="Arial" w:cs="Arial"/>
          <w:sz w:val="22"/>
          <w:szCs w:val="22"/>
        </w:rPr>
        <w:t>As this study relies exclusively on secondary analysis of publicly available data, formal ethical approval is not required. Nevertheless, the research will uphold the principles of academic integrity by accurately representing and citing all sources in line with Harvard 2025 referencing standards. No primary data involving human participants will be collected, and all original authors will be appropriately acknowledged to prevent plagiarism or misrepresentation (British Educational Research Association, 2018).</w:t>
      </w:r>
    </w:p>
    <w:p w14:paraId="112145C4" w14:textId="77777777" w:rsidR="00DE3473" w:rsidRDefault="00000000">
      <w:pPr>
        <w:spacing w:line="360" w:lineRule="auto"/>
        <w:jc w:val="both"/>
        <w:rPr>
          <w:rFonts w:ascii="Arial" w:hAnsi="Arial" w:cs="Arial"/>
          <w:b/>
          <w:bCs/>
          <w:sz w:val="22"/>
          <w:szCs w:val="22"/>
        </w:rPr>
      </w:pPr>
      <w:r>
        <w:rPr>
          <w:rFonts w:ascii="Arial" w:hAnsi="Arial" w:cs="Arial"/>
          <w:b/>
          <w:bCs/>
          <w:sz w:val="22"/>
          <w:szCs w:val="22"/>
        </w:rPr>
        <w:t>3.7 Conclusion</w:t>
      </w:r>
    </w:p>
    <w:p w14:paraId="447E3B5B" w14:textId="77777777" w:rsidR="00DE3473" w:rsidRDefault="00000000">
      <w:pPr>
        <w:spacing w:line="360" w:lineRule="auto"/>
        <w:jc w:val="both"/>
        <w:rPr>
          <w:rFonts w:ascii="Arial" w:hAnsi="Arial" w:cs="Arial"/>
          <w:sz w:val="22"/>
          <w:szCs w:val="22"/>
        </w:rPr>
      </w:pPr>
      <w:r>
        <w:rPr>
          <w:rFonts w:ascii="Arial" w:hAnsi="Arial" w:cs="Arial"/>
          <w:sz w:val="22"/>
          <w:szCs w:val="22"/>
        </w:rPr>
        <w:t>This methodological framework provides a transparent, replicable, and academically rigorous approach to identifying and analysing research on chronic pain management in older adults in the UK. The use of a structured search strategy, clearly defined eligibility criteria, and Braun and Clarke’s thematic analysis ensures methodological robustness, enhancing the credibility and reliability of the study’s findings.</w:t>
      </w:r>
    </w:p>
    <w:p w14:paraId="39B7F304" w14:textId="77777777" w:rsidR="00DE3473" w:rsidRDefault="00000000">
      <w:pPr>
        <w:rPr>
          <w:rFonts w:ascii="Arial" w:hAnsi="Arial" w:cs="Arial"/>
          <w:sz w:val="22"/>
          <w:szCs w:val="22"/>
        </w:rPr>
      </w:pPr>
      <w:r>
        <w:rPr>
          <w:rFonts w:ascii="Arial" w:hAnsi="Arial" w:cs="Arial"/>
          <w:sz w:val="22"/>
          <w:szCs w:val="22"/>
        </w:rPr>
        <w:br w:type="page"/>
      </w:r>
    </w:p>
    <w:p w14:paraId="60F2BBF0" w14:textId="77777777" w:rsidR="00DE3473" w:rsidRDefault="00000000">
      <w:pPr>
        <w:spacing w:before="100" w:beforeAutospacing="1" w:after="100" w:afterAutospacing="1" w:line="360" w:lineRule="auto"/>
        <w:ind w:left="2160" w:firstLine="720"/>
        <w:jc w:val="both"/>
        <w:outlineLvl w:val="0"/>
        <w:rPr>
          <w:rFonts w:ascii="Arial" w:eastAsia="SimSun" w:hAnsi="Arial" w:cs="Arial"/>
          <w:b/>
          <w:bCs/>
          <w:color w:val="000000" w:themeColor="text1"/>
          <w:kern w:val="44"/>
          <w:sz w:val="22"/>
          <w:szCs w:val="22"/>
          <w:lang w:eastAsia="zh-CN"/>
        </w:rPr>
      </w:pPr>
      <w:r>
        <w:rPr>
          <w:rFonts w:ascii="Arial" w:eastAsia="SimSun" w:hAnsi="Arial" w:cs="Arial"/>
          <w:b/>
          <w:bCs/>
          <w:color w:val="000000" w:themeColor="text1"/>
          <w:kern w:val="44"/>
          <w:sz w:val="22"/>
          <w:szCs w:val="22"/>
          <w:lang w:eastAsia="zh-CN"/>
        </w:rPr>
        <w:lastRenderedPageBreak/>
        <w:t xml:space="preserve">Chapter 4: Findings </w:t>
      </w:r>
    </w:p>
    <w:p w14:paraId="5B20DE12" w14:textId="77777777" w:rsidR="00DE3473" w:rsidRDefault="00000000">
      <w:pPr>
        <w:spacing w:before="100" w:beforeAutospacing="1" w:after="100" w:afterAutospacing="1" w:line="360" w:lineRule="auto"/>
        <w:jc w:val="both"/>
        <w:outlineLvl w:val="1"/>
        <w:rPr>
          <w:rFonts w:ascii="Arial" w:eastAsia="SimSun" w:hAnsi="Arial" w:cs="Arial"/>
          <w:b/>
          <w:bCs/>
          <w:color w:val="000000" w:themeColor="text1"/>
          <w:sz w:val="22"/>
          <w:szCs w:val="22"/>
          <w:lang w:eastAsia="zh-CN"/>
        </w:rPr>
      </w:pPr>
      <w:r>
        <w:rPr>
          <w:rFonts w:ascii="Arial" w:eastAsia="SimSun" w:hAnsi="Arial" w:cs="Arial"/>
          <w:b/>
          <w:bCs/>
          <w:color w:val="000000" w:themeColor="text1"/>
          <w:sz w:val="22"/>
          <w:szCs w:val="22"/>
          <w:lang w:eastAsia="zh-CN"/>
        </w:rPr>
        <w:t>4.0 Introduction</w:t>
      </w:r>
    </w:p>
    <w:p w14:paraId="16F44A5C" w14:textId="77777777" w:rsidR="00DE3473" w:rsidRDefault="00000000">
      <w:pPr>
        <w:pStyle w:val="NormalWeb"/>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This chapter presents the findings derived from ten peer-reviewed studies conducted across the United Kingdom between 2016 and 2025, exploring chronic pain management among older adults. Using </w:t>
      </w:r>
      <w:r>
        <w:rPr>
          <w:rStyle w:val="Strong"/>
          <w:rFonts w:ascii="Arial" w:hAnsi="Arial" w:cs="Arial"/>
          <w:b w:val="0"/>
          <w:bCs w:val="0"/>
          <w:color w:val="000000" w:themeColor="text1"/>
          <w:sz w:val="22"/>
          <w:szCs w:val="22"/>
        </w:rPr>
        <w:t>Braun and Clarke’s (2006)</w:t>
      </w:r>
      <w:r>
        <w:rPr>
          <w:rFonts w:ascii="Arial" w:hAnsi="Arial" w:cs="Arial"/>
          <w:color w:val="000000" w:themeColor="text1"/>
          <w:sz w:val="22"/>
          <w:szCs w:val="22"/>
        </w:rPr>
        <w:t xml:space="preserve"> thematic analysis framework, both </w:t>
      </w:r>
      <w:r>
        <w:rPr>
          <w:rStyle w:val="Strong"/>
          <w:rFonts w:ascii="Arial" w:hAnsi="Arial" w:cs="Arial"/>
          <w:b w:val="0"/>
          <w:bCs w:val="0"/>
          <w:color w:val="000000" w:themeColor="text1"/>
          <w:sz w:val="22"/>
          <w:szCs w:val="22"/>
        </w:rPr>
        <w:t>qualitative</w:t>
      </w:r>
      <w:r>
        <w:rPr>
          <w:rFonts w:ascii="Arial" w:hAnsi="Arial" w:cs="Arial"/>
          <w:color w:val="000000" w:themeColor="text1"/>
          <w:sz w:val="22"/>
          <w:szCs w:val="22"/>
        </w:rPr>
        <w:t xml:space="preserve"> and </w:t>
      </w:r>
      <w:r>
        <w:rPr>
          <w:rStyle w:val="Strong"/>
          <w:rFonts w:ascii="Arial" w:hAnsi="Arial" w:cs="Arial"/>
          <w:b w:val="0"/>
          <w:bCs w:val="0"/>
          <w:color w:val="000000" w:themeColor="text1"/>
          <w:sz w:val="22"/>
          <w:szCs w:val="22"/>
        </w:rPr>
        <w:t>quantitative</w:t>
      </w:r>
      <w:r>
        <w:rPr>
          <w:rFonts w:ascii="Arial" w:hAnsi="Arial" w:cs="Arial"/>
          <w:color w:val="000000" w:themeColor="text1"/>
          <w:sz w:val="22"/>
          <w:szCs w:val="22"/>
        </w:rPr>
        <w:t xml:space="preserve"> data were synthesised to identify recurring patterns, relationships, and implications for practice. The goal is to explore how chronic pain management influences the physical well-being of older adults, while examining professional competence, accessibility, and systemic factors.</w:t>
      </w:r>
    </w:p>
    <w:p w14:paraId="34D55B87" w14:textId="77777777" w:rsidR="00DE3473" w:rsidRDefault="00000000">
      <w:pPr>
        <w:spacing w:before="100" w:beforeAutospacing="1" w:after="100" w:afterAutospacing="1" w:line="360" w:lineRule="auto"/>
        <w:jc w:val="both"/>
        <w:outlineLvl w:val="2"/>
        <w:rPr>
          <w:rFonts w:ascii="Arial" w:eastAsia="SimSun" w:hAnsi="Arial" w:cs="Arial"/>
          <w:b/>
          <w:bCs/>
          <w:color w:val="000000" w:themeColor="text1"/>
          <w:sz w:val="22"/>
          <w:szCs w:val="22"/>
          <w:lang w:eastAsia="zh-CN"/>
        </w:rPr>
      </w:pPr>
      <w:r>
        <w:rPr>
          <w:rFonts w:ascii="Arial" w:eastAsia="SimSun" w:hAnsi="Arial" w:cs="Arial"/>
          <w:b/>
          <w:bCs/>
          <w:color w:val="000000" w:themeColor="text1"/>
          <w:sz w:val="22"/>
          <w:szCs w:val="22"/>
          <w:lang w:eastAsia="zh-CN"/>
        </w:rPr>
        <w:t xml:space="preserve">4.1 Overview of Included Studies and Key Findings </w:t>
      </w:r>
    </w:p>
    <w:p w14:paraId="7825150B" w14:textId="77777777" w:rsidR="00DE3473" w:rsidRDefault="00000000">
      <w:pPr>
        <w:spacing w:after="0" w:line="360" w:lineRule="auto"/>
        <w:jc w:val="both"/>
        <w:rPr>
          <w:rFonts w:ascii="Arial" w:eastAsia="DengXian" w:hAnsi="Arial" w:cs="Arial"/>
          <w:color w:val="000000" w:themeColor="text1"/>
          <w:sz w:val="22"/>
          <w:szCs w:val="22"/>
          <w:lang w:eastAsia="zh-CN"/>
        </w:rPr>
      </w:pPr>
      <w:r>
        <w:rPr>
          <w:rFonts w:ascii="Arial" w:eastAsia="DengXian" w:hAnsi="Arial" w:cs="Arial"/>
          <w:color w:val="000000" w:themeColor="text1"/>
          <w:sz w:val="22"/>
          <w:szCs w:val="22"/>
          <w:lang w:eastAsia="zh-CN"/>
        </w:rPr>
        <w:t>A total of ten studies were included for this analysis across England.</w:t>
      </w:r>
    </w:p>
    <w:p w14:paraId="41A54061" w14:textId="77777777" w:rsidR="00DE3473" w:rsidRDefault="00000000">
      <w:pPr>
        <w:spacing w:after="0" w:line="360" w:lineRule="auto"/>
        <w:jc w:val="both"/>
        <w:rPr>
          <w:rFonts w:ascii="Arial" w:eastAsia="DengXian" w:hAnsi="Arial" w:cs="Arial"/>
          <w:b/>
          <w:bCs/>
          <w:color w:val="000000" w:themeColor="text1"/>
          <w:sz w:val="22"/>
          <w:szCs w:val="22"/>
          <w:lang w:eastAsia="zh-CN"/>
        </w:rPr>
      </w:pPr>
      <w:r>
        <w:rPr>
          <w:rFonts w:ascii="Arial" w:eastAsia="DengXian" w:hAnsi="Arial" w:cs="Arial"/>
          <w:b/>
          <w:bCs/>
          <w:color w:val="000000" w:themeColor="text1"/>
          <w:sz w:val="22"/>
          <w:szCs w:val="22"/>
          <w:lang w:eastAsia="zh-CN"/>
        </w:rPr>
        <w:t xml:space="preserve">Table 4.1: The study’s focus and findings </w:t>
      </w:r>
    </w:p>
    <w:tbl>
      <w:tblPr>
        <w:tblStyle w:val="TableGrid"/>
        <w:tblW w:w="9510" w:type="dxa"/>
        <w:tblInd w:w="125" w:type="dxa"/>
        <w:tblLayout w:type="fixed"/>
        <w:tblLook w:val="04A0" w:firstRow="1" w:lastRow="0" w:firstColumn="1" w:lastColumn="0" w:noHBand="0" w:noVBand="1"/>
      </w:tblPr>
      <w:tblGrid>
        <w:gridCol w:w="676"/>
        <w:gridCol w:w="1301"/>
        <w:gridCol w:w="1926"/>
        <w:gridCol w:w="2370"/>
        <w:gridCol w:w="3237"/>
      </w:tblGrid>
      <w:tr w:rsidR="00DE3473" w14:paraId="4687BE93" w14:textId="77777777">
        <w:trPr>
          <w:trHeight w:val="90"/>
        </w:trPr>
        <w:tc>
          <w:tcPr>
            <w:tcW w:w="676" w:type="dxa"/>
            <w:vAlign w:val="center"/>
          </w:tcPr>
          <w:p w14:paraId="7BA3ACF7" w14:textId="77777777" w:rsidR="00DE3473" w:rsidRDefault="00000000">
            <w:pPr>
              <w:spacing w:after="0" w:line="360" w:lineRule="auto"/>
              <w:rPr>
                <w:rFonts w:ascii="Arial" w:eastAsia="DengXian" w:hAnsi="Arial" w:cs="Arial"/>
                <w:b/>
                <w:bCs/>
                <w:color w:val="000000" w:themeColor="text1"/>
                <w:sz w:val="22"/>
                <w:szCs w:val="22"/>
                <w:lang w:eastAsia="zh-CN"/>
              </w:rPr>
            </w:pPr>
            <w:r>
              <w:rPr>
                <w:rFonts w:ascii="Arial" w:eastAsia="SimSun" w:hAnsi="Arial" w:cs="Arial"/>
                <w:b/>
                <w:bCs/>
                <w:color w:val="000000" w:themeColor="text1"/>
                <w:sz w:val="22"/>
                <w:szCs w:val="22"/>
                <w:lang w:eastAsia="zh-CN" w:bidi="ar"/>
              </w:rPr>
              <w:t>No.</w:t>
            </w:r>
          </w:p>
        </w:tc>
        <w:tc>
          <w:tcPr>
            <w:tcW w:w="1301" w:type="dxa"/>
            <w:vAlign w:val="center"/>
          </w:tcPr>
          <w:p w14:paraId="512F76DE" w14:textId="77777777" w:rsidR="00DE3473" w:rsidRDefault="00000000">
            <w:pPr>
              <w:spacing w:after="0" w:line="360" w:lineRule="auto"/>
              <w:rPr>
                <w:rFonts w:ascii="Arial" w:eastAsia="DengXian" w:hAnsi="Arial" w:cs="Arial"/>
                <w:b/>
                <w:bCs/>
                <w:color w:val="000000" w:themeColor="text1"/>
                <w:sz w:val="22"/>
                <w:szCs w:val="22"/>
                <w:lang w:eastAsia="zh-CN"/>
              </w:rPr>
            </w:pPr>
            <w:r>
              <w:rPr>
                <w:rFonts w:ascii="Arial" w:eastAsia="SimSun" w:hAnsi="Arial" w:cs="Arial"/>
                <w:b/>
                <w:bCs/>
                <w:color w:val="000000" w:themeColor="text1"/>
                <w:sz w:val="22"/>
                <w:szCs w:val="22"/>
                <w:lang w:eastAsia="zh-CN" w:bidi="ar"/>
              </w:rPr>
              <w:t>Author(s) / Year</w:t>
            </w:r>
          </w:p>
        </w:tc>
        <w:tc>
          <w:tcPr>
            <w:tcW w:w="1926" w:type="dxa"/>
            <w:vAlign w:val="center"/>
          </w:tcPr>
          <w:p w14:paraId="24EFF54C" w14:textId="77777777" w:rsidR="00DE3473" w:rsidRDefault="00000000">
            <w:pPr>
              <w:spacing w:after="0" w:line="360" w:lineRule="auto"/>
              <w:rPr>
                <w:rFonts w:ascii="Arial" w:eastAsia="DengXian" w:hAnsi="Arial" w:cs="Arial"/>
                <w:b/>
                <w:bCs/>
                <w:color w:val="000000" w:themeColor="text1"/>
                <w:sz w:val="22"/>
                <w:szCs w:val="22"/>
                <w:lang w:eastAsia="zh-CN"/>
              </w:rPr>
            </w:pPr>
            <w:r>
              <w:rPr>
                <w:rFonts w:ascii="Arial" w:eastAsia="SimSun" w:hAnsi="Arial" w:cs="Arial"/>
                <w:b/>
                <w:bCs/>
                <w:color w:val="000000" w:themeColor="text1"/>
                <w:sz w:val="22"/>
                <w:szCs w:val="22"/>
                <w:lang w:eastAsia="zh-CN" w:bidi="ar"/>
              </w:rPr>
              <w:t>Title</w:t>
            </w:r>
          </w:p>
        </w:tc>
        <w:tc>
          <w:tcPr>
            <w:tcW w:w="2370" w:type="dxa"/>
            <w:vAlign w:val="center"/>
          </w:tcPr>
          <w:p w14:paraId="24A22580" w14:textId="77777777" w:rsidR="00DE3473" w:rsidRDefault="00000000">
            <w:pPr>
              <w:spacing w:after="0" w:line="360" w:lineRule="auto"/>
              <w:rPr>
                <w:rFonts w:ascii="Arial" w:eastAsia="DengXian" w:hAnsi="Arial" w:cs="Arial"/>
                <w:b/>
                <w:bCs/>
                <w:color w:val="000000" w:themeColor="text1"/>
                <w:sz w:val="22"/>
                <w:szCs w:val="22"/>
                <w:lang w:eastAsia="zh-CN"/>
              </w:rPr>
            </w:pPr>
            <w:r>
              <w:rPr>
                <w:rFonts w:ascii="Arial" w:eastAsia="SimSun" w:hAnsi="Arial" w:cs="Arial"/>
                <w:b/>
                <w:bCs/>
                <w:color w:val="000000" w:themeColor="text1"/>
                <w:sz w:val="22"/>
                <w:szCs w:val="22"/>
                <w:lang w:eastAsia="zh-CN" w:bidi="ar"/>
              </w:rPr>
              <w:t>Focus</w:t>
            </w:r>
          </w:p>
        </w:tc>
        <w:tc>
          <w:tcPr>
            <w:tcW w:w="3237" w:type="dxa"/>
            <w:vAlign w:val="center"/>
          </w:tcPr>
          <w:p w14:paraId="7B855E83" w14:textId="77777777" w:rsidR="00DE3473" w:rsidRDefault="00000000">
            <w:pPr>
              <w:spacing w:after="0" w:line="360" w:lineRule="auto"/>
              <w:rPr>
                <w:rFonts w:ascii="Arial" w:eastAsia="DengXian" w:hAnsi="Arial" w:cs="Arial"/>
                <w:b/>
                <w:bCs/>
                <w:color w:val="000000" w:themeColor="text1"/>
                <w:sz w:val="22"/>
                <w:szCs w:val="22"/>
                <w:lang w:eastAsia="zh-CN"/>
              </w:rPr>
            </w:pPr>
            <w:r>
              <w:rPr>
                <w:rFonts w:ascii="Arial" w:eastAsia="SimSun" w:hAnsi="Arial" w:cs="Arial"/>
                <w:b/>
                <w:bCs/>
                <w:color w:val="000000" w:themeColor="text1"/>
                <w:sz w:val="22"/>
                <w:szCs w:val="22"/>
                <w:lang w:eastAsia="zh-CN" w:bidi="ar"/>
              </w:rPr>
              <w:t xml:space="preserve">Key Findings </w:t>
            </w:r>
          </w:p>
        </w:tc>
      </w:tr>
      <w:tr w:rsidR="00DE3473" w14:paraId="50A0F449" w14:textId="77777777">
        <w:tc>
          <w:tcPr>
            <w:tcW w:w="676" w:type="dxa"/>
          </w:tcPr>
          <w:p w14:paraId="60A6F853" w14:textId="77777777" w:rsidR="00DE3473" w:rsidRDefault="00000000">
            <w:pPr>
              <w:spacing w:line="360" w:lineRule="auto"/>
              <w:rPr>
                <w:rFonts w:ascii="Arial" w:hAnsi="Arial" w:cs="Arial"/>
                <w:color w:val="000000" w:themeColor="text1"/>
                <w:sz w:val="22"/>
                <w:szCs w:val="22"/>
                <w:lang w:eastAsia="zh-CN"/>
              </w:rPr>
            </w:pPr>
            <w:r>
              <w:rPr>
                <w:rFonts w:ascii="Arial" w:hAnsi="Arial" w:cs="Arial"/>
                <w:color w:val="000000" w:themeColor="text1"/>
                <w:sz w:val="22"/>
                <w:szCs w:val="22"/>
              </w:rPr>
              <w:t>1</w:t>
            </w:r>
          </w:p>
        </w:tc>
        <w:tc>
          <w:tcPr>
            <w:tcW w:w="1301" w:type="dxa"/>
            <w:vAlign w:val="center"/>
          </w:tcPr>
          <w:p w14:paraId="009169B7" w14:textId="77777777" w:rsidR="00DE3473" w:rsidRDefault="00000000">
            <w:pPr>
              <w:widowControl/>
              <w:spacing w:line="360" w:lineRule="auto"/>
              <w:rPr>
                <w:rFonts w:ascii="Arial" w:eastAsia="DengXian" w:hAnsi="Arial" w:cs="Arial"/>
                <w:color w:val="000000" w:themeColor="text1"/>
                <w:sz w:val="22"/>
                <w:szCs w:val="22"/>
                <w:lang w:eastAsia="zh-CN"/>
              </w:rPr>
            </w:pPr>
            <w:r>
              <w:rPr>
                <w:rStyle w:val="Strong"/>
                <w:rFonts w:ascii="Arial" w:eastAsia="SimSun" w:hAnsi="Arial" w:cs="Arial"/>
                <w:b w:val="0"/>
                <w:bCs w:val="0"/>
                <w:color w:val="000000" w:themeColor="text1"/>
                <w:sz w:val="22"/>
                <w:szCs w:val="22"/>
                <w:lang w:eastAsia="zh-CN" w:bidi="ar"/>
              </w:rPr>
              <w:t>McQueenie et al. (2021)</w:t>
            </w:r>
            <w:r>
              <w:rPr>
                <w:rFonts w:ascii="Arial" w:eastAsia="SimSun" w:hAnsi="Arial" w:cs="Arial"/>
                <w:color w:val="000000" w:themeColor="text1"/>
                <w:sz w:val="22"/>
                <w:szCs w:val="22"/>
                <w:lang w:eastAsia="zh-CN" w:bidi="ar"/>
              </w:rPr>
              <w:t xml:space="preserve"> </w:t>
            </w:r>
          </w:p>
        </w:tc>
        <w:tc>
          <w:tcPr>
            <w:tcW w:w="1926" w:type="dxa"/>
            <w:vAlign w:val="center"/>
          </w:tcPr>
          <w:p w14:paraId="6591319F" w14:textId="77777777" w:rsidR="00DE3473" w:rsidRDefault="00000000">
            <w:pPr>
              <w:spacing w:after="0" w:line="360" w:lineRule="auto"/>
              <w:rPr>
                <w:rFonts w:ascii="Arial" w:eastAsia="DengXian" w:hAnsi="Arial" w:cs="Arial"/>
                <w:color w:val="000000" w:themeColor="text1"/>
                <w:sz w:val="22"/>
                <w:szCs w:val="22"/>
                <w:lang w:eastAsia="zh-CN"/>
              </w:rPr>
            </w:pPr>
            <w:r>
              <w:rPr>
                <w:rStyle w:val="Emphasis"/>
                <w:rFonts w:ascii="Arial" w:eastAsia="SimSun" w:hAnsi="Arial" w:cs="Arial"/>
                <w:i w:val="0"/>
                <w:iCs w:val="0"/>
                <w:color w:val="000000" w:themeColor="text1"/>
                <w:sz w:val="22"/>
                <w:szCs w:val="22"/>
                <w:lang w:eastAsia="zh-CN" w:bidi="ar"/>
              </w:rPr>
              <w:t>Prevalence of chronic pain in long-term conditions and multimorbidity using UK Biobank</w:t>
            </w:r>
          </w:p>
        </w:tc>
        <w:tc>
          <w:tcPr>
            <w:tcW w:w="2370" w:type="dxa"/>
            <w:vAlign w:val="center"/>
          </w:tcPr>
          <w:p w14:paraId="0E299E0C" w14:textId="77777777" w:rsidR="00DE3473" w:rsidRDefault="00000000">
            <w:pPr>
              <w:widowControl/>
              <w:spacing w:line="360" w:lineRule="auto"/>
              <w:rPr>
                <w:rFonts w:ascii="Arial" w:eastAsia="DengXian" w:hAnsi="Arial" w:cs="Arial"/>
                <w:color w:val="000000" w:themeColor="text1"/>
                <w:sz w:val="22"/>
                <w:szCs w:val="22"/>
                <w:lang w:eastAsia="zh-CN"/>
              </w:rPr>
            </w:pPr>
            <w:r>
              <w:rPr>
                <w:rFonts w:ascii="Arial" w:eastAsia="SimSun" w:hAnsi="Arial" w:cs="Arial"/>
                <w:color w:val="000000" w:themeColor="text1"/>
                <w:sz w:val="22"/>
                <w:szCs w:val="22"/>
                <w:lang w:eastAsia="zh-CN" w:bidi="ar"/>
              </w:rPr>
              <w:t>Highlights the high burden of chronic pain among older adults with multimorbidity, suggesting integrated care is essential to manage overlapping health issues.</w:t>
            </w:r>
          </w:p>
        </w:tc>
        <w:tc>
          <w:tcPr>
            <w:tcW w:w="3237" w:type="dxa"/>
            <w:vAlign w:val="center"/>
          </w:tcPr>
          <w:p w14:paraId="6DA0E5E8" w14:textId="77777777" w:rsidR="00DE3473" w:rsidRDefault="00000000">
            <w:pPr>
              <w:widowControl/>
              <w:spacing w:line="360" w:lineRule="auto"/>
              <w:rPr>
                <w:rFonts w:ascii="Arial" w:eastAsia="DengXian" w:hAnsi="Arial" w:cs="Arial"/>
                <w:color w:val="000000" w:themeColor="text1"/>
                <w:sz w:val="22"/>
                <w:szCs w:val="22"/>
                <w:lang w:eastAsia="zh-CN"/>
              </w:rPr>
            </w:pPr>
            <w:r>
              <w:rPr>
                <w:rFonts w:ascii="Arial" w:eastAsia="SimSun" w:hAnsi="Arial" w:cs="Arial"/>
                <w:color w:val="000000" w:themeColor="text1"/>
                <w:sz w:val="22"/>
                <w:szCs w:val="22"/>
                <w:lang w:eastAsia="zh-CN" w:bidi="ar"/>
              </w:rPr>
              <w:t>Chronic pain reported in 43% of UK adults; 69% with ≥1 long-term condition; multimorbidity strongly associated with widespread pain.</w:t>
            </w:r>
          </w:p>
        </w:tc>
      </w:tr>
      <w:tr w:rsidR="00DE3473" w14:paraId="438601CA" w14:textId="77777777">
        <w:tc>
          <w:tcPr>
            <w:tcW w:w="676" w:type="dxa"/>
          </w:tcPr>
          <w:p w14:paraId="49C869DD" w14:textId="77777777" w:rsidR="00DE3473" w:rsidRDefault="00000000">
            <w:pPr>
              <w:spacing w:line="360" w:lineRule="auto"/>
              <w:rPr>
                <w:rFonts w:ascii="Arial" w:hAnsi="Arial" w:cs="Arial"/>
                <w:color w:val="000000" w:themeColor="text1"/>
                <w:sz w:val="22"/>
                <w:szCs w:val="22"/>
                <w:lang w:eastAsia="zh-CN"/>
              </w:rPr>
            </w:pPr>
            <w:r>
              <w:rPr>
                <w:rFonts w:ascii="Arial" w:hAnsi="Arial" w:cs="Arial"/>
                <w:color w:val="000000" w:themeColor="text1"/>
                <w:sz w:val="22"/>
                <w:szCs w:val="22"/>
              </w:rPr>
              <w:t>2</w:t>
            </w:r>
          </w:p>
        </w:tc>
        <w:tc>
          <w:tcPr>
            <w:tcW w:w="1301" w:type="dxa"/>
            <w:vAlign w:val="center"/>
          </w:tcPr>
          <w:p w14:paraId="289218DB" w14:textId="77777777" w:rsidR="00DE3473" w:rsidRDefault="00000000">
            <w:pPr>
              <w:widowControl/>
              <w:spacing w:line="360" w:lineRule="auto"/>
              <w:rPr>
                <w:rFonts w:ascii="Arial" w:eastAsia="DengXian" w:hAnsi="Arial" w:cs="Arial"/>
                <w:color w:val="000000" w:themeColor="text1"/>
                <w:sz w:val="22"/>
                <w:szCs w:val="22"/>
                <w:lang w:eastAsia="zh-CN"/>
              </w:rPr>
            </w:pPr>
            <w:r>
              <w:rPr>
                <w:rStyle w:val="Strong"/>
                <w:rFonts w:ascii="Arial" w:eastAsia="SimSun" w:hAnsi="Arial" w:cs="Arial"/>
                <w:b w:val="0"/>
                <w:bCs w:val="0"/>
                <w:color w:val="000000" w:themeColor="text1"/>
                <w:sz w:val="22"/>
                <w:szCs w:val="22"/>
                <w:lang w:eastAsia="zh-CN" w:bidi="ar"/>
              </w:rPr>
              <w:t xml:space="preserve">Bourke et al. (2022) </w:t>
            </w:r>
          </w:p>
        </w:tc>
        <w:tc>
          <w:tcPr>
            <w:tcW w:w="1926" w:type="dxa"/>
            <w:vAlign w:val="center"/>
          </w:tcPr>
          <w:p w14:paraId="07D04DAC" w14:textId="77777777" w:rsidR="00DE3473" w:rsidRDefault="00000000">
            <w:pPr>
              <w:spacing w:after="0" w:line="360" w:lineRule="auto"/>
              <w:rPr>
                <w:rFonts w:ascii="Arial" w:eastAsia="DengXian" w:hAnsi="Arial" w:cs="Arial"/>
                <w:color w:val="000000" w:themeColor="text1"/>
                <w:sz w:val="22"/>
                <w:szCs w:val="22"/>
                <w:lang w:eastAsia="zh-CN"/>
              </w:rPr>
            </w:pPr>
            <w:r>
              <w:rPr>
                <w:rStyle w:val="Emphasis"/>
                <w:rFonts w:ascii="Arial" w:eastAsia="SimSun" w:hAnsi="Arial" w:cs="Arial"/>
                <w:i w:val="0"/>
                <w:iCs w:val="0"/>
                <w:color w:val="000000" w:themeColor="text1"/>
                <w:sz w:val="22"/>
                <w:szCs w:val="22"/>
                <w:lang w:eastAsia="zh-CN" w:bidi="ar"/>
              </w:rPr>
              <w:t>Patient experiences of self-management for chronic low back pain</w:t>
            </w:r>
          </w:p>
        </w:tc>
        <w:tc>
          <w:tcPr>
            <w:tcW w:w="2370" w:type="dxa"/>
            <w:vAlign w:val="center"/>
          </w:tcPr>
          <w:p w14:paraId="5D40773B" w14:textId="77777777" w:rsidR="00DE3473" w:rsidRDefault="00000000">
            <w:pPr>
              <w:widowControl/>
              <w:spacing w:line="360" w:lineRule="auto"/>
              <w:rPr>
                <w:rFonts w:ascii="Arial" w:eastAsia="DengXian" w:hAnsi="Arial" w:cs="Arial"/>
                <w:color w:val="000000" w:themeColor="text1"/>
                <w:sz w:val="22"/>
                <w:szCs w:val="22"/>
                <w:lang w:eastAsia="zh-CN"/>
              </w:rPr>
            </w:pPr>
            <w:r>
              <w:rPr>
                <w:rFonts w:ascii="Arial" w:eastAsia="SimSun" w:hAnsi="Arial" w:cs="Arial"/>
                <w:color w:val="000000" w:themeColor="text1"/>
                <w:sz w:val="22"/>
                <w:szCs w:val="22"/>
                <w:lang w:eastAsia="zh-CN" w:bidi="ar"/>
              </w:rPr>
              <w:t xml:space="preserve">Self-management is an evolving psychological process; empowerment and sustained physiotherapy </w:t>
            </w:r>
            <w:r>
              <w:rPr>
                <w:rFonts w:ascii="Arial" w:eastAsia="SimSun" w:hAnsi="Arial" w:cs="Arial"/>
                <w:color w:val="000000" w:themeColor="text1"/>
                <w:sz w:val="22"/>
                <w:szCs w:val="22"/>
                <w:lang w:eastAsia="zh-CN" w:bidi="ar"/>
              </w:rPr>
              <w:lastRenderedPageBreak/>
              <w:t>support are crucial for improving long-term adaptation.</w:t>
            </w:r>
          </w:p>
        </w:tc>
        <w:tc>
          <w:tcPr>
            <w:tcW w:w="3237" w:type="dxa"/>
            <w:vAlign w:val="center"/>
          </w:tcPr>
          <w:p w14:paraId="0D2AF1AC" w14:textId="77777777" w:rsidR="00DE3473" w:rsidRDefault="00000000">
            <w:pPr>
              <w:widowControl/>
              <w:spacing w:line="360" w:lineRule="auto"/>
              <w:rPr>
                <w:rFonts w:ascii="Arial" w:eastAsia="DengXian" w:hAnsi="Arial" w:cs="Arial"/>
                <w:color w:val="000000" w:themeColor="text1"/>
                <w:sz w:val="22"/>
                <w:szCs w:val="22"/>
                <w:lang w:eastAsia="zh-CN"/>
              </w:rPr>
            </w:pPr>
            <w:r>
              <w:rPr>
                <w:rFonts w:ascii="Arial" w:eastAsia="SimSun" w:hAnsi="Arial" w:cs="Arial"/>
                <w:color w:val="000000" w:themeColor="text1"/>
                <w:sz w:val="22"/>
                <w:szCs w:val="22"/>
                <w:lang w:eastAsia="zh-CN" w:bidi="ar"/>
              </w:rPr>
              <w:lastRenderedPageBreak/>
              <w:t>Themes: self-doubt, coping day-to-day, developing resilience, and “living with pain differently.” Patients fluctuate between control and acceptance of pain.</w:t>
            </w:r>
          </w:p>
        </w:tc>
      </w:tr>
      <w:tr w:rsidR="00DE3473" w14:paraId="22C7CB9D" w14:textId="77777777">
        <w:tc>
          <w:tcPr>
            <w:tcW w:w="676" w:type="dxa"/>
          </w:tcPr>
          <w:p w14:paraId="06FF85F7" w14:textId="77777777" w:rsidR="00DE3473" w:rsidRDefault="00000000">
            <w:pPr>
              <w:spacing w:line="360" w:lineRule="auto"/>
              <w:rPr>
                <w:rFonts w:ascii="Arial" w:hAnsi="Arial" w:cs="Arial"/>
                <w:color w:val="000000" w:themeColor="text1"/>
                <w:sz w:val="22"/>
                <w:szCs w:val="22"/>
                <w:lang w:eastAsia="zh-CN"/>
              </w:rPr>
            </w:pPr>
            <w:r>
              <w:rPr>
                <w:rFonts w:ascii="Arial" w:hAnsi="Arial" w:cs="Arial"/>
                <w:color w:val="000000" w:themeColor="text1"/>
                <w:sz w:val="22"/>
                <w:szCs w:val="22"/>
              </w:rPr>
              <w:t>3</w:t>
            </w:r>
          </w:p>
        </w:tc>
        <w:tc>
          <w:tcPr>
            <w:tcW w:w="1301" w:type="dxa"/>
            <w:vAlign w:val="center"/>
          </w:tcPr>
          <w:p w14:paraId="13C31792" w14:textId="77777777" w:rsidR="00DE3473" w:rsidRDefault="00000000">
            <w:pPr>
              <w:widowControl/>
              <w:spacing w:line="360" w:lineRule="auto"/>
              <w:rPr>
                <w:rFonts w:ascii="Arial" w:eastAsia="DengXian" w:hAnsi="Arial" w:cs="Arial"/>
                <w:color w:val="000000" w:themeColor="text1"/>
                <w:sz w:val="22"/>
                <w:szCs w:val="22"/>
                <w:lang w:eastAsia="zh-CN"/>
              </w:rPr>
            </w:pPr>
            <w:r>
              <w:rPr>
                <w:rStyle w:val="Strong"/>
                <w:rFonts w:ascii="Arial" w:eastAsia="SimSun" w:hAnsi="Arial" w:cs="Arial"/>
                <w:b w:val="0"/>
                <w:bCs w:val="0"/>
                <w:color w:val="000000" w:themeColor="text1"/>
                <w:sz w:val="22"/>
                <w:szCs w:val="22"/>
                <w:lang w:eastAsia="zh-CN" w:bidi="ar"/>
              </w:rPr>
              <w:t>Jebara et al. (2023)</w:t>
            </w:r>
            <w:r>
              <w:rPr>
                <w:rFonts w:ascii="Arial" w:eastAsia="SimSun" w:hAnsi="Arial" w:cs="Arial"/>
                <w:color w:val="000000" w:themeColor="text1"/>
                <w:sz w:val="22"/>
                <w:szCs w:val="22"/>
                <w:lang w:eastAsia="zh-CN" w:bidi="ar"/>
              </w:rPr>
              <w:t xml:space="preserve"> </w:t>
            </w:r>
          </w:p>
        </w:tc>
        <w:tc>
          <w:tcPr>
            <w:tcW w:w="1926" w:type="dxa"/>
            <w:vAlign w:val="center"/>
          </w:tcPr>
          <w:p w14:paraId="3E6BF06A" w14:textId="77777777" w:rsidR="00DE3473" w:rsidRDefault="00000000">
            <w:pPr>
              <w:spacing w:after="0" w:line="360" w:lineRule="auto"/>
              <w:rPr>
                <w:rFonts w:ascii="Arial" w:eastAsia="DengXian" w:hAnsi="Arial" w:cs="Arial"/>
                <w:color w:val="000000" w:themeColor="text1"/>
                <w:sz w:val="22"/>
                <w:szCs w:val="22"/>
                <w:lang w:eastAsia="zh-CN"/>
              </w:rPr>
            </w:pPr>
            <w:r>
              <w:rPr>
                <w:rStyle w:val="Emphasis"/>
                <w:rFonts w:ascii="Arial" w:eastAsia="SimSun" w:hAnsi="Arial" w:cs="Arial"/>
                <w:i w:val="0"/>
                <w:iCs w:val="0"/>
                <w:color w:val="000000" w:themeColor="text1"/>
                <w:sz w:val="22"/>
                <w:szCs w:val="22"/>
                <w:lang w:eastAsia="zh-CN" w:bidi="ar"/>
              </w:rPr>
              <w:t>Chronic pain management in older adults in remote/rural Scotland</w:t>
            </w:r>
          </w:p>
        </w:tc>
        <w:tc>
          <w:tcPr>
            <w:tcW w:w="2370" w:type="dxa"/>
            <w:vAlign w:val="center"/>
          </w:tcPr>
          <w:p w14:paraId="4DF2EB13" w14:textId="77777777" w:rsidR="00DE3473" w:rsidRDefault="00000000">
            <w:pPr>
              <w:widowControl/>
              <w:spacing w:line="360" w:lineRule="auto"/>
              <w:rPr>
                <w:rFonts w:ascii="Arial" w:eastAsia="DengXian" w:hAnsi="Arial" w:cs="Arial"/>
                <w:color w:val="000000" w:themeColor="text1"/>
                <w:sz w:val="22"/>
                <w:szCs w:val="22"/>
                <w:lang w:eastAsia="zh-CN"/>
              </w:rPr>
            </w:pPr>
            <w:r>
              <w:rPr>
                <w:rFonts w:ascii="Arial" w:eastAsia="SimSun" w:hAnsi="Arial" w:cs="Arial"/>
                <w:color w:val="000000" w:themeColor="text1"/>
                <w:sz w:val="22"/>
                <w:szCs w:val="22"/>
                <w:lang w:eastAsia="zh-CN" w:bidi="ar"/>
              </w:rPr>
              <w:t>Service inequity exists between urban and rural populations; integrated multidisciplinary approaches and telehealth are needed to improve access.</w:t>
            </w:r>
          </w:p>
        </w:tc>
        <w:tc>
          <w:tcPr>
            <w:tcW w:w="3237" w:type="dxa"/>
            <w:vAlign w:val="center"/>
          </w:tcPr>
          <w:p w14:paraId="7B310633" w14:textId="77777777" w:rsidR="00DE3473" w:rsidRDefault="00000000">
            <w:pPr>
              <w:widowControl/>
              <w:spacing w:line="360" w:lineRule="auto"/>
              <w:rPr>
                <w:rFonts w:ascii="Arial" w:eastAsia="DengXian" w:hAnsi="Arial" w:cs="Arial"/>
                <w:color w:val="000000" w:themeColor="text1"/>
                <w:sz w:val="22"/>
                <w:szCs w:val="22"/>
                <w:lang w:eastAsia="zh-CN"/>
              </w:rPr>
            </w:pPr>
            <w:r>
              <w:rPr>
                <w:rFonts w:ascii="Arial" w:eastAsia="SimSun" w:hAnsi="Arial" w:cs="Arial"/>
                <w:color w:val="000000" w:themeColor="text1"/>
                <w:sz w:val="22"/>
                <w:szCs w:val="22"/>
                <w:lang w:eastAsia="zh-CN" w:bidi="ar"/>
              </w:rPr>
              <w:t>Three themes: severe pain impacts daily life; poor access to services; low expectations for improvement. Rural isolation complicates pain control.</w:t>
            </w:r>
          </w:p>
        </w:tc>
      </w:tr>
      <w:tr w:rsidR="00DE3473" w14:paraId="3F023DD6" w14:textId="77777777">
        <w:trPr>
          <w:trHeight w:val="231"/>
        </w:trPr>
        <w:tc>
          <w:tcPr>
            <w:tcW w:w="676" w:type="dxa"/>
          </w:tcPr>
          <w:p w14:paraId="65DB0DE4" w14:textId="77777777" w:rsidR="00DE3473" w:rsidRDefault="00000000">
            <w:pPr>
              <w:spacing w:line="360" w:lineRule="auto"/>
              <w:rPr>
                <w:rFonts w:ascii="Arial" w:hAnsi="Arial" w:cs="Arial"/>
                <w:color w:val="000000" w:themeColor="text1"/>
                <w:sz w:val="22"/>
                <w:szCs w:val="22"/>
                <w:lang w:eastAsia="zh-CN"/>
              </w:rPr>
            </w:pPr>
            <w:r>
              <w:rPr>
                <w:rFonts w:ascii="Arial" w:hAnsi="Arial" w:cs="Arial"/>
                <w:color w:val="000000" w:themeColor="text1"/>
                <w:sz w:val="22"/>
                <w:szCs w:val="22"/>
              </w:rPr>
              <w:t>4</w:t>
            </w:r>
          </w:p>
        </w:tc>
        <w:tc>
          <w:tcPr>
            <w:tcW w:w="1301" w:type="dxa"/>
            <w:vAlign w:val="center"/>
          </w:tcPr>
          <w:p w14:paraId="1FB0C516" w14:textId="77777777" w:rsidR="00DE3473" w:rsidRDefault="00000000">
            <w:pPr>
              <w:widowControl/>
              <w:spacing w:line="360" w:lineRule="auto"/>
              <w:rPr>
                <w:rFonts w:ascii="Arial" w:eastAsia="DengXian" w:hAnsi="Arial" w:cs="Arial"/>
                <w:color w:val="000000" w:themeColor="text1"/>
                <w:sz w:val="22"/>
                <w:szCs w:val="22"/>
                <w:lang w:eastAsia="zh-CN"/>
              </w:rPr>
            </w:pPr>
            <w:r>
              <w:rPr>
                <w:rStyle w:val="Strong"/>
                <w:rFonts w:ascii="Arial" w:eastAsia="SimSun" w:hAnsi="Arial" w:cs="Arial"/>
                <w:b w:val="0"/>
                <w:bCs w:val="0"/>
                <w:color w:val="000000" w:themeColor="text1"/>
                <w:sz w:val="22"/>
                <w:szCs w:val="22"/>
                <w:lang w:eastAsia="zh-CN" w:bidi="ar"/>
              </w:rPr>
              <w:t>Smith et al. (2022)</w:t>
            </w:r>
            <w:r>
              <w:rPr>
                <w:rFonts w:ascii="Arial" w:eastAsia="SimSun" w:hAnsi="Arial" w:cs="Arial"/>
                <w:color w:val="000000" w:themeColor="text1"/>
                <w:sz w:val="22"/>
                <w:szCs w:val="22"/>
                <w:lang w:eastAsia="zh-CN" w:bidi="ar"/>
              </w:rPr>
              <w:t xml:space="preserve">  </w:t>
            </w:r>
          </w:p>
        </w:tc>
        <w:tc>
          <w:tcPr>
            <w:tcW w:w="1926" w:type="dxa"/>
            <w:vAlign w:val="center"/>
          </w:tcPr>
          <w:p w14:paraId="5B85ADFD" w14:textId="77777777" w:rsidR="00DE3473" w:rsidRDefault="00000000">
            <w:pPr>
              <w:spacing w:after="0" w:line="360" w:lineRule="auto"/>
              <w:rPr>
                <w:rFonts w:ascii="Arial" w:eastAsia="DengXian" w:hAnsi="Arial" w:cs="Arial"/>
                <w:color w:val="000000" w:themeColor="text1"/>
                <w:sz w:val="22"/>
                <w:szCs w:val="22"/>
                <w:lang w:eastAsia="zh-CN"/>
              </w:rPr>
            </w:pPr>
            <w:r>
              <w:rPr>
                <w:rStyle w:val="Emphasis"/>
                <w:rFonts w:ascii="Arial" w:eastAsia="SimSun" w:hAnsi="Arial" w:cs="Arial"/>
                <w:i w:val="0"/>
                <w:iCs w:val="0"/>
                <w:color w:val="000000" w:themeColor="text1"/>
                <w:sz w:val="22"/>
                <w:szCs w:val="22"/>
                <w:lang w:eastAsia="zh-CN" w:bidi="ar"/>
              </w:rPr>
              <w:t>Caregiving for older people living with chronic pain (ELSA study)</w:t>
            </w:r>
          </w:p>
        </w:tc>
        <w:tc>
          <w:tcPr>
            <w:tcW w:w="2370" w:type="dxa"/>
            <w:vAlign w:val="center"/>
          </w:tcPr>
          <w:p w14:paraId="3270AA50" w14:textId="77777777" w:rsidR="00DE3473" w:rsidRDefault="00000000">
            <w:pPr>
              <w:widowControl/>
              <w:spacing w:line="360" w:lineRule="auto"/>
              <w:rPr>
                <w:rFonts w:ascii="Arial" w:eastAsia="DengXian" w:hAnsi="Arial" w:cs="Arial"/>
                <w:color w:val="000000" w:themeColor="text1"/>
                <w:sz w:val="22"/>
                <w:szCs w:val="22"/>
                <w:lang w:eastAsia="zh-CN"/>
              </w:rPr>
            </w:pPr>
            <w:r>
              <w:rPr>
                <w:rFonts w:ascii="Arial" w:eastAsia="SimSun" w:hAnsi="Arial" w:cs="Arial"/>
                <w:color w:val="000000" w:themeColor="text1"/>
                <w:sz w:val="22"/>
                <w:szCs w:val="22"/>
                <w:lang w:eastAsia="zh-CN" w:bidi="ar"/>
              </w:rPr>
              <w:t>Informal care sustains quality of life but may mask unmet clinical needs; support for both carers and recipients is vital in chronic pain management.</w:t>
            </w:r>
          </w:p>
        </w:tc>
        <w:tc>
          <w:tcPr>
            <w:tcW w:w="3237" w:type="dxa"/>
            <w:vAlign w:val="center"/>
          </w:tcPr>
          <w:p w14:paraId="27428C04" w14:textId="77777777" w:rsidR="00DE3473" w:rsidRDefault="00000000">
            <w:pPr>
              <w:widowControl/>
              <w:spacing w:line="360" w:lineRule="auto"/>
              <w:rPr>
                <w:rFonts w:ascii="Arial" w:eastAsia="DengXian" w:hAnsi="Arial" w:cs="Arial"/>
                <w:color w:val="000000" w:themeColor="text1"/>
                <w:sz w:val="22"/>
                <w:szCs w:val="22"/>
                <w:lang w:eastAsia="zh-CN"/>
              </w:rPr>
            </w:pPr>
            <w:r>
              <w:rPr>
                <w:rFonts w:ascii="Arial" w:eastAsia="SimSun" w:hAnsi="Arial" w:cs="Arial"/>
                <w:color w:val="000000" w:themeColor="text1"/>
                <w:sz w:val="22"/>
                <w:szCs w:val="22"/>
                <w:lang w:eastAsia="zh-CN" w:bidi="ar"/>
              </w:rPr>
              <w:t>Informal caregiving common, mostly from partners/children; care recipients had greater disability but similar wellbeing to non-care recipients.</w:t>
            </w:r>
          </w:p>
        </w:tc>
      </w:tr>
      <w:tr w:rsidR="00DE3473" w14:paraId="238DD295" w14:textId="77777777">
        <w:tc>
          <w:tcPr>
            <w:tcW w:w="676" w:type="dxa"/>
          </w:tcPr>
          <w:p w14:paraId="540B000D" w14:textId="77777777" w:rsidR="00DE3473" w:rsidRDefault="00000000">
            <w:pPr>
              <w:spacing w:line="360" w:lineRule="auto"/>
              <w:rPr>
                <w:rFonts w:ascii="Arial" w:hAnsi="Arial" w:cs="Arial"/>
                <w:color w:val="000000" w:themeColor="text1"/>
                <w:sz w:val="22"/>
                <w:szCs w:val="22"/>
                <w:lang w:eastAsia="zh-CN"/>
              </w:rPr>
            </w:pPr>
            <w:r>
              <w:rPr>
                <w:rFonts w:ascii="Arial" w:hAnsi="Arial" w:cs="Arial"/>
                <w:color w:val="000000" w:themeColor="text1"/>
                <w:sz w:val="22"/>
                <w:szCs w:val="22"/>
              </w:rPr>
              <w:t>5</w:t>
            </w:r>
          </w:p>
        </w:tc>
        <w:tc>
          <w:tcPr>
            <w:tcW w:w="1301" w:type="dxa"/>
            <w:vAlign w:val="center"/>
          </w:tcPr>
          <w:p w14:paraId="450DCD3C" w14:textId="77777777" w:rsidR="00DE3473" w:rsidRDefault="00000000">
            <w:pPr>
              <w:widowControl/>
              <w:spacing w:line="360" w:lineRule="auto"/>
              <w:rPr>
                <w:rFonts w:ascii="Arial" w:eastAsia="DengXian" w:hAnsi="Arial" w:cs="Arial"/>
                <w:color w:val="000000" w:themeColor="text1"/>
                <w:sz w:val="22"/>
                <w:szCs w:val="22"/>
                <w:lang w:eastAsia="zh-CN"/>
              </w:rPr>
            </w:pPr>
            <w:r>
              <w:rPr>
                <w:rStyle w:val="Strong"/>
                <w:rFonts w:ascii="Arial" w:eastAsia="SimSun" w:hAnsi="Arial" w:cs="Arial"/>
                <w:b w:val="0"/>
                <w:bCs w:val="0"/>
                <w:color w:val="000000" w:themeColor="text1"/>
                <w:sz w:val="22"/>
                <w:szCs w:val="22"/>
                <w:lang w:eastAsia="zh-CN" w:bidi="ar"/>
              </w:rPr>
              <w:t>Armoogum et al. (2024)</w:t>
            </w:r>
            <w:r>
              <w:rPr>
                <w:rFonts w:ascii="Arial" w:eastAsia="SimSun" w:hAnsi="Arial" w:cs="Arial"/>
                <w:color w:val="000000" w:themeColor="text1"/>
                <w:sz w:val="22"/>
                <w:szCs w:val="22"/>
                <w:lang w:eastAsia="zh-CN" w:bidi="ar"/>
              </w:rPr>
              <w:t xml:space="preserve"> </w:t>
            </w:r>
          </w:p>
        </w:tc>
        <w:tc>
          <w:tcPr>
            <w:tcW w:w="1926" w:type="dxa"/>
            <w:vAlign w:val="center"/>
          </w:tcPr>
          <w:p w14:paraId="3D8760D2" w14:textId="77777777" w:rsidR="00DE3473" w:rsidRDefault="00000000">
            <w:pPr>
              <w:spacing w:after="0" w:line="360" w:lineRule="auto"/>
              <w:rPr>
                <w:rFonts w:ascii="Arial" w:eastAsia="DengXian" w:hAnsi="Arial" w:cs="Arial"/>
                <w:color w:val="000000" w:themeColor="text1"/>
                <w:sz w:val="22"/>
                <w:szCs w:val="22"/>
                <w:lang w:eastAsia="zh-CN"/>
              </w:rPr>
            </w:pPr>
            <w:r>
              <w:rPr>
                <w:rStyle w:val="Emphasis"/>
                <w:rFonts w:ascii="Arial" w:eastAsia="SimSun" w:hAnsi="Arial" w:cs="Arial"/>
                <w:i w:val="0"/>
                <w:iCs w:val="0"/>
                <w:color w:val="000000" w:themeColor="text1"/>
                <w:sz w:val="22"/>
                <w:szCs w:val="22"/>
                <w:lang w:eastAsia="zh-CN" w:bidi="ar"/>
              </w:rPr>
              <w:t>Healthcare professionals’ knowledge and confidence managing chronic pain after cancer</w:t>
            </w:r>
          </w:p>
        </w:tc>
        <w:tc>
          <w:tcPr>
            <w:tcW w:w="2370" w:type="dxa"/>
            <w:vAlign w:val="center"/>
          </w:tcPr>
          <w:p w14:paraId="0D9A32F5" w14:textId="77777777" w:rsidR="00DE3473" w:rsidRDefault="00000000">
            <w:pPr>
              <w:widowControl/>
              <w:spacing w:line="360" w:lineRule="auto"/>
              <w:rPr>
                <w:rFonts w:ascii="Arial" w:eastAsia="DengXian" w:hAnsi="Arial" w:cs="Arial"/>
                <w:color w:val="000000" w:themeColor="text1"/>
                <w:sz w:val="22"/>
                <w:szCs w:val="22"/>
                <w:lang w:eastAsia="zh-CN"/>
              </w:rPr>
            </w:pPr>
            <w:r>
              <w:rPr>
                <w:rFonts w:ascii="Arial" w:eastAsia="SimSun" w:hAnsi="Arial" w:cs="Arial"/>
                <w:color w:val="000000" w:themeColor="text1"/>
                <w:sz w:val="22"/>
                <w:szCs w:val="22"/>
                <w:lang w:eastAsia="zh-CN" w:bidi="ar"/>
              </w:rPr>
              <w:t>Professional education is needed to equip providers with biopsychosocial pain management skills, especially for cancer survivors.</w:t>
            </w:r>
          </w:p>
        </w:tc>
        <w:tc>
          <w:tcPr>
            <w:tcW w:w="3237" w:type="dxa"/>
            <w:vAlign w:val="center"/>
          </w:tcPr>
          <w:p w14:paraId="6FA18C3C" w14:textId="77777777" w:rsidR="00DE3473" w:rsidRDefault="00000000">
            <w:pPr>
              <w:widowControl/>
              <w:spacing w:line="360" w:lineRule="auto"/>
              <w:rPr>
                <w:rFonts w:ascii="Arial" w:eastAsia="DengXian" w:hAnsi="Arial" w:cs="Arial"/>
                <w:color w:val="000000" w:themeColor="text1"/>
                <w:sz w:val="22"/>
                <w:szCs w:val="22"/>
                <w:lang w:eastAsia="zh-CN"/>
              </w:rPr>
            </w:pPr>
            <w:r>
              <w:rPr>
                <w:rFonts w:ascii="Arial" w:eastAsia="SimSun" w:hAnsi="Arial" w:cs="Arial"/>
                <w:color w:val="000000" w:themeColor="text1"/>
                <w:sz w:val="22"/>
                <w:szCs w:val="22"/>
                <w:lang w:eastAsia="zh-CN" w:bidi="ar"/>
              </w:rPr>
              <w:t>Limited knowledge/confidence among HCPs regarding post-cancer chronic pain; barriers include role confusion and inadequate training.</w:t>
            </w:r>
          </w:p>
        </w:tc>
      </w:tr>
      <w:tr w:rsidR="00DE3473" w14:paraId="7D0D6CD7" w14:textId="77777777">
        <w:tc>
          <w:tcPr>
            <w:tcW w:w="676" w:type="dxa"/>
          </w:tcPr>
          <w:p w14:paraId="12D4707A" w14:textId="77777777" w:rsidR="00DE3473" w:rsidRDefault="00000000">
            <w:pPr>
              <w:spacing w:line="360" w:lineRule="auto"/>
              <w:rPr>
                <w:rFonts w:ascii="Arial" w:hAnsi="Arial" w:cs="Arial"/>
                <w:color w:val="000000" w:themeColor="text1"/>
                <w:sz w:val="22"/>
                <w:szCs w:val="22"/>
                <w:lang w:eastAsia="zh-CN"/>
              </w:rPr>
            </w:pPr>
            <w:r>
              <w:rPr>
                <w:rFonts w:ascii="Arial" w:hAnsi="Arial" w:cs="Arial"/>
                <w:color w:val="000000" w:themeColor="text1"/>
                <w:sz w:val="22"/>
                <w:szCs w:val="22"/>
              </w:rPr>
              <w:t>6</w:t>
            </w:r>
          </w:p>
        </w:tc>
        <w:tc>
          <w:tcPr>
            <w:tcW w:w="1301" w:type="dxa"/>
            <w:vAlign w:val="center"/>
          </w:tcPr>
          <w:p w14:paraId="7AEBC3B2" w14:textId="77777777" w:rsidR="00DE3473" w:rsidRDefault="00000000">
            <w:pPr>
              <w:widowControl/>
              <w:spacing w:line="360" w:lineRule="auto"/>
              <w:rPr>
                <w:rFonts w:ascii="Arial" w:eastAsia="DengXian" w:hAnsi="Arial" w:cs="Arial"/>
                <w:color w:val="000000" w:themeColor="text1"/>
                <w:sz w:val="22"/>
                <w:szCs w:val="22"/>
                <w:lang w:eastAsia="zh-CN"/>
              </w:rPr>
            </w:pPr>
            <w:r>
              <w:rPr>
                <w:rStyle w:val="Strong"/>
                <w:rFonts w:ascii="Arial" w:eastAsia="SimSun" w:hAnsi="Arial" w:cs="Arial"/>
                <w:b w:val="0"/>
                <w:bCs w:val="0"/>
                <w:color w:val="000000" w:themeColor="text1"/>
                <w:sz w:val="22"/>
                <w:szCs w:val="22"/>
                <w:lang w:eastAsia="zh-CN" w:bidi="ar"/>
              </w:rPr>
              <w:t>Denver-Wason et al. (2025)</w:t>
            </w:r>
            <w:r>
              <w:rPr>
                <w:rFonts w:ascii="Arial" w:eastAsia="SimSun" w:hAnsi="Arial" w:cs="Arial"/>
                <w:color w:val="000000" w:themeColor="text1"/>
                <w:sz w:val="22"/>
                <w:szCs w:val="22"/>
                <w:lang w:eastAsia="zh-CN" w:bidi="ar"/>
              </w:rPr>
              <w:t xml:space="preserve">  </w:t>
            </w:r>
          </w:p>
        </w:tc>
        <w:tc>
          <w:tcPr>
            <w:tcW w:w="1926" w:type="dxa"/>
            <w:vAlign w:val="center"/>
          </w:tcPr>
          <w:p w14:paraId="41BF7987" w14:textId="77777777" w:rsidR="00DE3473" w:rsidRDefault="00000000">
            <w:pPr>
              <w:spacing w:after="0" w:line="360" w:lineRule="auto"/>
              <w:rPr>
                <w:rFonts w:ascii="Arial" w:eastAsia="DengXian" w:hAnsi="Arial" w:cs="Arial"/>
                <w:color w:val="000000" w:themeColor="text1"/>
                <w:sz w:val="22"/>
                <w:szCs w:val="22"/>
                <w:lang w:eastAsia="zh-CN"/>
              </w:rPr>
            </w:pPr>
            <w:r>
              <w:rPr>
                <w:rStyle w:val="Emphasis"/>
                <w:rFonts w:ascii="Arial" w:eastAsia="SimSun" w:hAnsi="Arial" w:cs="Arial"/>
                <w:i w:val="0"/>
                <w:iCs w:val="0"/>
                <w:color w:val="000000" w:themeColor="text1"/>
                <w:sz w:val="22"/>
                <w:szCs w:val="22"/>
                <w:lang w:eastAsia="zh-CN" w:bidi="ar"/>
              </w:rPr>
              <w:t xml:space="preserve">Patient consensus on tools for measuring chronic pain outcomes in </w:t>
            </w:r>
            <w:r>
              <w:rPr>
                <w:rStyle w:val="Emphasis"/>
                <w:rFonts w:ascii="Arial" w:eastAsia="SimSun" w:hAnsi="Arial" w:cs="Arial"/>
                <w:i w:val="0"/>
                <w:iCs w:val="0"/>
                <w:color w:val="000000" w:themeColor="text1"/>
                <w:sz w:val="22"/>
                <w:szCs w:val="22"/>
                <w:lang w:eastAsia="zh-CN" w:bidi="ar"/>
              </w:rPr>
              <w:lastRenderedPageBreak/>
              <w:t>Scottish pharmacotherapy services</w:t>
            </w:r>
          </w:p>
        </w:tc>
        <w:tc>
          <w:tcPr>
            <w:tcW w:w="2370" w:type="dxa"/>
            <w:vAlign w:val="center"/>
          </w:tcPr>
          <w:p w14:paraId="69A5FF3D" w14:textId="77777777" w:rsidR="00DE3473" w:rsidRDefault="00000000">
            <w:pPr>
              <w:widowControl/>
              <w:spacing w:line="360" w:lineRule="auto"/>
              <w:rPr>
                <w:rFonts w:ascii="Arial" w:eastAsia="DengXian" w:hAnsi="Arial" w:cs="Arial"/>
                <w:color w:val="000000" w:themeColor="text1"/>
                <w:sz w:val="22"/>
                <w:szCs w:val="22"/>
                <w:lang w:eastAsia="zh-CN"/>
              </w:rPr>
            </w:pPr>
            <w:r>
              <w:rPr>
                <w:rFonts w:ascii="Arial" w:eastAsia="SimSun" w:hAnsi="Arial" w:cs="Arial"/>
                <w:color w:val="000000" w:themeColor="text1"/>
                <w:sz w:val="22"/>
                <w:szCs w:val="22"/>
                <w:lang w:eastAsia="zh-CN" w:bidi="ar"/>
              </w:rPr>
              <w:lastRenderedPageBreak/>
              <w:t xml:space="preserve">Patient involvement in outcome tool selection ensures relevance and person-centred evaluation in </w:t>
            </w:r>
            <w:r>
              <w:rPr>
                <w:rFonts w:ascii="Arial" w:eastAsia="SimSun" w:hAnsi="Arial" w:cs="Arial"/>
                <w:color w:val="000000" w:themeColor="text1"/>
                <w:sz w:val="22"/>
                <w:szCs w:val="22"/>
                <w:lang w:eastAsia="zh-CN" w:bidi="ar"/>
              </w:rPr>
              <w:lastRenderedPageBreak/>
              <w:t>pharmacotherapy services.</w:t>
            </w:r>
          </w:p>
        </w:tc>
        <w:tc>
          <w:tcPr>
            <w:tcW w:w="3237" w:type="dxa"/>
            <w:vAlign w:val="center"/>
          </w:tcPr>
          <w:p w14:paraId="203DC724" w14:textId="77777777" w:rsidR="00DE3473" w:rsidRDefault="00000000">
            <w:pPr>
              <w:widowControl/>
              <w:spacing w:line="360" w:lineRule="auto"/>
              <w:rPr>
                <w:rFonts w:ascii="Arial" w:eastAsia="DengXian" w:hAnsi="Arial" w:cs="Arial"/>
                <w:color w:val="000000" w:themeColor="text1"/>
                <w:sz w:val="22"/>
                <w:szCs w:val="22"/>
                <w:lang w:eastAsia="zh-CN"/>
              </w:rPr>
            </w:pPr>
            <w:r>
              <w:rPr>
                <w:rFonts w:ascii="Arial" w:eastAsia="SimSun" w:hAnsi="Arial" w:cs="Arial"/>
                <w:color w:val="000000" w:themeColor="text1"/>
                <w:sz w:val="22"/>
                <w:szCs w:val="22"/>
                <w:lang w:eastAsia="zh-CN" w:bidi="ar"/>
              </w:rPr>
              <w:lastRenderedPageBreak/>
              <w:t xml:space="preserve">Consensus favoured the Brief Pain Inventory for capturing patient outcomes; highlighted need for accessible, comprehensible assessment </w:t>
            </w:r>
            <w:r>
              <w:rPr>
                <w:rFonts w:ascii="Arial" w:eastAsia="SimSun" w:hAnsi="Arial" w:cs="Arial"/>
                <w:color w:val="000000" w:themeColor="text1"/>
                <w:sz w:val="22"/>
                <w:szCs w:val="22"/>
                <w:lang w:eastAsia="zh-CN" w:bidi="ar"/>
              </w:rPr>
              <w:lastRenderedPageBreak/>
              <w:t>tools.</w:t>
            </w:r>
          </w:p>
        </w:tc>
      </w:tr>
      <w:tr w:rsidR="00DE3473" w14:paraId="4F19E301" w14:textId="77777777">
        <w:tc>
          <w:tcPr>
            <w:tcW w:w="676" w:type="dxa"/>
          </w:tcPr>
          <w:p w14:paraId="0715803A" w14:textId="77777777" w:rsidR="00DE3473" w:rsidRDefault="00000000">
            <w:pPr>
              <w:spacing w:line="360" w:lineRule="auto"/>
              <w:rPr>
                <w:rFonts w:ascii="Arial" w:hAnsi="Arial" w:cs="Arial"/>
                <w:color w:val="000000" w:themeColor="text1"/>
                <w:sz w:val="22"/>
                <w:szCs w:val="22"/>
                <w:lang w:eastAsia="zh-CN"/>
              </w:rPr>
            </w:pPr>
            <w:r>
              <w:rPr>
                <w:rFonts w:ascii="Arial" w:hAnsi="Arial" w:cs="Arial"/>
                <w:color w:val="000000" w:themeColor="text1"/>
                <w:sz w:val="22"/>
                <w:szCs w:val="22"/>
              </w:rPr>
              <w:t>7</w:t>
            </w:r>
          </w:p>
        </w:tc>
        <w:tc>
          <w:tcPr>
            <w:tcW w:w="1301" w:type="dxa"/>
            <w:vAlign w:val="center"/>
          </w:tcPr>
          <w:p w14:paraId="5EE4D7F5" w14:textId="77777777" w:rsidR="00DE3473" w:rsidRDefault="00000000">
            <w:pPr>
              <w:widowControl/>
              <w:spacing w:line="360" w:lineRule="auto"/>
              <w:rPr>
                <w:rFonts w:ascii="Arial" w:eastAsia="DengXian" w:hAnsi="Arial" w:cs="Arial"/>
                <w:color w:val="000000" w:themeColor="text1"/>
                <w:sz w:val="22"/>
                <w:szCs w:val="22"/>
                <w:lang w:eastAsia="zh-CN"/>
              </w:rPr>
            </w:pPr>
            <w:r>
              <w:rPr>
                <w:rStyle w:val="Strong"/>
                <w:rFonts w:ascii="Arial" w:eastAsia="SimSun" w:hAnsi="Arial" w:cs="Arial"/>
                <w:b w:val="0"/>
                <w:bCs w:val="0"/>
                <w:color w:val="000000" w:themeColor="text1"/>
                <w:sz w:val="22"/>
                <w:szCs w:val="22"/>
                <w:lang w:eastAsia="zh-CN" w:bidi="ar"/>
              </w:rPr>
              <w:t>Vaucher et al. (2018)</w:t>
            </w:r>
            <w:r>
              <w:rPr>
                <w:rFonts w:ascii="Arial" w:eastAsia="SimSun" w:hAnsi="Arial" w:cs="Arial"/>
                <w:color w:val="000000" w:themeColor="text1"/>
                <w:sz w:val="22"/>
                <w:szCs w:val="22"/>
                <w:lang w:eastAsia="zh-CN" w:bidi="ar"/>
              </w:rPr>
              <w:t xml:space="preserve">  </w:t>
            </w:r>
          </w:p>
        </w:tc>
        <w:tc>
          <w:tcPr>
            <w:tcW w:w="1926" w:type="dxa"/>
            <w:vAlign w:val="center"/>
          </w:tcPr>
          <w:p w14:paraId="0C3DB643" w14:textId="77777777" w:rsidR="00DE3473" w:rsidRDefault="00000000">
            <w:pPr>
              <w:spacing w:after="0" w:line="360" w:lineRule="auto"/>
              <w:rPr>
                <w:rFonts w:ascii="Arial" w:eastAsia="DengXian" w:hAnsi="Arial" w:cs="Arial"/>
                <w:color w:val="000000" w:themeColor="text1"/>
                <w:sz w:val="22"/>
                <w:szCs w:val="22"/>
                <w:lang w:eastAsia="zh-CN"/>
              </w:rPr>
            </w:pPr>
            <w:r>
              <w:rPr>
                <w:rStyle w:val="Emphasis"/>
                <w:rFonts w:ascii="Arial" w:eastAsia="SimSun" w:hAnsi="Arial" w:cs="Arial"/>
                <w:i w:val="0"/>
                <w:iCs w:val="0"/>
                <w:color w:val="000000" w:themeColor="text1"/>
                <w:sz w:val="22"/>
                <w:szCs w:val="22"/>
                <w:lang w:eastAsia="zh-CN" w:bidi="ar"/>
              </w:rPr>
              <w:t>Beliefs and attitudes of UK osteopaths towards chronic pain</w:t>
            </w:r>
          </w:p>
        </w:tc>
        <w:tc>
          <w:tcPr>
            <w:tcW w:w="2370" w:type="dxa"/>
            <w:vAlign w:val="center"/>
          </w:tcPr>
          <w:p w14:paraId="3685DD2A" w14:textId="77777777" w:rsidR="00DE3473" w:rsidRDefault="00000000">
            <w:pPr>
              <w:widowControl/>
              <w:spacing w:line="360" w:lineRule="auto"/>
              <w:rPr>
                <w:rFonts w:ascii="Arial" w:eastAsia="DengXian" w:hAnsi="Arial" w:cs="Arial"/>
                <w:color w:val="000000" w:themeColor="text1"/>
                <w:sz w:val="22"/>
                <w:szCs w:val="22"/>
                <w:lang w:eastAsia="zh-CN"/>
              </w:rPr>
            </w:pPr>
            <w:r>
              <w:rPr>
                <w:rFonts w:ascii="Arial" w:eastAsia="SimSun" w:hAnsi="Arial" w:cs="Arial"/>
                <w:color w:val="000000" w:themeColor="text1"/>
                <w:sz w:val="22"/>
                <w:szCs w:val="22"/>
                <w:lang w:eastAsia="zh-CN" w:bidi="ar"/>
              </w:rPr>
              <w:t>Continued professional education can strengthen biopsychosocial approaches among manual therapists, improving chronic pain management outcomes.</w:t>
            </w:r>
          </w:p>
        </w:tc>
        <w:tc>
          <w:tcPr>
            <w:tcW w:w="3237" w:type="dxa"/>
            <w:vAlign w:val="center"/>
          </w:tcPr>
          <w:p w14:paraId="48827045" w14:textId="77777777" w:rsidR="00DE3473" w:rsidRDefault="00000000">
            <w:pPr>
              <w:widowControl/>
              <w:spacing w:line="360" w:lineRule="auto"/>
              <w:rPr>
                <w:rFonts w:ascii="Arial" w:eastAsia="DengXian" w:hAnsi="Arial" w:cs="Arial"/>
                <w:color w:val="000000" w:themeColor="text1"/>
                <w:sz w:val="22"/>
                <w:szCs w:val="22"/>
                <w:lang w:eastAsia="zh-CN"/>
              </w:rPr>
            </w:pPr>
            <w:r>
              <w:rPr>
                <w:rFonts w:ascii="Arial" w:eastAsia="SimSun" w:hAnsi="Arial" w:cs="Arial"/>
                <w:color w:val="000000" w:themeColor="text1"/>
                <w:sz w:val="22"/>
                <w:szCs w:val="22"/>
                <w:lang w:eastAsia="zh-CN" w:bidi="ar"/>
              </w:rPr>
              <w:t>Osteopaths display mixed biomedical and biopsychosocial attitudes; postgraduate education improved understanding of chronic pain.</w:t>
            </w:r>
          </w:p>
        </w:tc>
      </w:tr>
      <w:tr w:rsidR="00DE3473" w14:paraId="1AE3833B" w14:textId="77777777">
        <w:tc>
          <w:tcPr>
            <w:tcW w:w="676" w:type="dxa"/>
          </w:tcPr>
          <w:p w14:paraId="2F267255" w14:textId="77777777" w:rsidR="00DE3473" w:rsidRDefault="00000000">
            <w:pPr>
              <w:spacing w:line="360" w:lineRule="auto"/>
              <w:rPr>
                <w:rFonts w:ascii="Arial" w:hAnsi="Arial" w:cs="Arial"/>
                <w:color w:val="000000" w:themeColor="text1"/>
                <w:sz w:val="22"/>
                <w:szCs w:val="22"/>
                <w:lang w:eastAsia="zh-CN"/>
              </w:rPr>
            </w:pPr>
            <w:r>
              <w:rPr>
                <w:rFonts w:ascii="Arial" w:hAnsi="Arial" w:cs="Arial"/>
                <w:color w:val="000000" w:themeColor="text1"/>
                <w:sz w:val="22"/>
                <w:szCs w:val="22"/>
              </w:rPr>
              <w:t>8</w:t>
            </w:r>
          </w:p>
        </w:tc>
        <w:tc>
          <w:tcPr>
            <w:tcW w:w="1301" w:type="dxa"/>
            <w:vAlign w:val="center"/>
          </w:tcPr>
          <w:p w14:paraId="70FCFFF7" w14:textId="77777777" w:rsidR="00DE3473" w:rsidRDefault="00000000">
            <w:pPr>
              <w:widowControl/>
              <w:spacing w:line="360" w:lineRule="auto"/>
              <w:rPr>
                <w:rFonts w:ascii="Arial" w:eastAsia="DengXian" w:hAnsi="Arial" w:cs="Arial"/>
                <w:color w:val="000000" w:themeColor="text1"/>
                <w:sz w:val="22"/>
                <w:szCs w:val="22"/>
                <w:lang w:eastAsia="zh-CN"/>
              </w:rPr>
            </w:pPr>
            <w:r>
              <w:rPr>
                <w:rStyle w:val="Strong"/>
                <w:rFonts w:ascii="Arial" w:eastAsia="SimSun" w:hAnsi="Arial" w:cs="Arial"/>
                <w:b w:val="0"/>
                <w:bCs w:val="0"/>
                <w:color w:val="000000" w:themeColor="text1"/>
                <w:sz w:val="22"/>
                <w:szCs w:val="22"/>
                <w:lang w:eastAsia="zh-CN" w:bidi="ar"/>
              </w:rPr>
              <w:t>Cooper et al. (2016)</w:t>
            </w:r>
            <w:r>
              <w:rPr>
                <w:rFonts w:ascii="Arial" w:eastAsia="SimSun" w:hAnsi="Arial" w:cs="Arial"/>
                <w:color w:val="000000" w:themeColor="text1"/>
                <w:sz w:val="22"/>
                <w:szCs w:val="22"/>
                <w:lang w:eastAsia="zh-CN" w:bidi="ar"/>
              </w:rPr>
              <w:t xml:space="preserve">  </w:t>
            </w:r>
          </w:p>
        </w:tc>
        <w:tc>
          <w:tcPr>
            <w:tcW w:w="1926" w:type="dxa"/>
          </w:tcPr>
          <w:p w14:paraId="34F4A5CF" w14:textId="77777777" w:rsidR="00DE3473" w:rsidRDefault="00000000">
            <w:pPr>
              <w:spacing w:after="0" w:line="360" w:lineRule="auto"/>
              <w:rPr>
                <w:rFonts w:ascii="Arial" w:eastAsia="DengXian" w:hAnsi="Arial" w:cs="Arial"/>
                <w:color w:val="000000" w:themeColor="text1"/>
                <w:sz w:val="22"/>
                <w:szCs w:val="22"/>
                <w:lang w:eastAsia="zh-CN"/>
              </w:rPr>
            </w:pPr>
            <w:r>
              <w:rPr>
                <w:rStyle w:val="Emphasis"/>
                <w:rFonts w:ascii="Arial" w:eastAsia="SimSun" w:hAnsi="Arial" w:cs="Arial"/>
                <w:i w:val="0"/>
                <w:iCs w:val="0"/>
                <w:color w:val="000000" w:themeColor="text1"/>
                <w:sz w:val="22"/>
                <w:szCs w:val="22"/>
                <w:lang w:eastAsia="zh-CN" w:bidi="ar"/>
              </w:rPr>
              <w:t>Peer-mentoring for community-dwelling older adults with chronic low back pain</w:t>
            </w:r>
          </w:p>
        </w:tc>
        <w:tc>
          <w:tcPr>
            <w:tcW w:w="2370" w:type="dxa"/>
            <w:vAlign w:val="center"/>
          </w:tcPr>
          <w:p w14:paraId="2889D270" w14:textId="77777777" w:rsidR="00DE3473" w:rsidRDefault="00000000">
            <w:pPr>
              <w:widowControl/>
              <w:spacing w:line="360" w:lineRule="auto"/>
              <w:rPr>
                <w:rFonts w:ascii="Arial" w:eastAsia="DengXian" w:hAnsi="Arial" w:cs="Arial"/>
                <w:color w:val="000000" w:themeColor="text1"/>
                <w:sz w:val="22"/>
                <w:szCs w:val="22"/>
                <w:lang w:eastAsia="zh-CN"/>
              </w:rPr>
            </w:pPr>
            <w:r>
              <w:rPr>
                <w:rFonts w:ascii="Arial" w:eastAsia="SimSun" w:hAnsi="Arial" w:cs="Arial"/>
                <w:color w:val="000000" w:themeColor="text1"/>
                <w:sz w:val="22"/>
                <w:szCs w:val="22"/>
                <w:lang w:eastAsia="zh-CN" w:bidi="ar"/>
              </w:rPr>
              <w:t>Peer-support enhances self-efficacy and continuity of care post-physiotherapy; could be cost-effective for older adults.</w:t>
            </w:r>
          </w:p>
        </w:tc>
        <w:tc>
          <w:tcPr>
            <w:tcW w:w="3237" w:type="dxa"/>
            <w:vAlign w:val="center"/>
          </w:tcPr>
          <w:p w14:paraId="4A5ADD2A" w14:textId="77777777" w:rsidR="00DE3473" w:rsidRDefault="00000000">
            <w:pPr>
              <w:widowControl/>
              <w:spacing w:line="360" w:lineRule="auto"/>
              <w:rPr>
                <w:rFonts w:ascii="Arial" w:eastAsia="DengXian" w:hAnsi="Arial" w:cs="Arial"/>
                <w:color w:val="000000" w:themeColor="text1"/>
                <w:sz w:val="22"/>
                <w:szCs w:val="22"/>
                <w:lang w:eastAsia="zh-CN"/>
              </w:rPr>
            </w:pPr>
            <w:r>
              <w:rPr>
                <w:rFonts w:ascii="Arial" w:eastAsia="SimSun" w:hAnsi="Arial" w:cs="Arial"/>
                <w:color w:val="000000" w:themeColor="text1"/>
                <w:sz w:val="22"/>
                <w:szCs w:val="22"/>
                <w:lang w:eastAsia="zh-CN" w:bidi="ar"/>
              </w:rPr>
              <w:t>Identified themes: barriers to self-management, need for tailored peer-mentoring, value of lived experience.</w:t>
            </w:r>
          </w:p>
        </w:tc>
      </w:tr>
      <w:tr w:rsidR="00DE3473" w14:paraId="25E29807" w14:textId="77777777">
        <w:trPr>
          <w:trHeight w:val="509"/>
        </w:trPr>
        <w:tc>
          <w:tcPr>
            <w:tcW w:w="676" w:type="dxa"/>
          </w:tcPr>
          <w:p w14:paraId="252E2249" w14:textId="77777777" w:rsidR="00DE3473" w:rsidRDefault="00000000">
            <w:pPr>
              <w:spacing w:line="360" w:lineRule="auto"/>
              <w:rPr>
                <w:rFonts w:ascii="Arial" w:hAnsi="Arial" w:cs="Arial"/>
                <w:color w:val="000000" w:themeColor="text1"/>
                <w:sz w:val="22"/>
                <w:szCs w:val="22"/>
                <w:lang w:eastAsia="zh-CN"/>
              </w:rPr>
            </w:pPr>
            <w:r>
              <w:rPr>
                <w:rFonts w:ascii="Arial" w:hAnsi="Arial" w:cs="Arial"/>
                <w:color w:val="000000" w:themeColor="text1"/>
                <w:sz w:val="22"/>
                <w:szCs w:val="22"/>
              </w:rPr>
              <w:t>9</w:t>
            </w:r>
          </w:p>
        </w:tc>
        <w:tc>
          <w:tcPr>
            <w:tcW w:w="1301" w:type="dxa"/>
            <w:vAlign w:val="center"/>
          </w:tcPr>
          <w:p w14:paraId="75E618AB" w14:textId="77777777" w:rsidR="00DE3473" w:rsidRDefault="00000000">
            <w:pPr>
              <w:widowControl/>
              <w:spacing w:line="360" w:lineRule="auto"/>
              <w:rPr>
                <w:rFonts w:ascii="Arial" w:eastAsia="DengXian" w:hAnsi="Arial" w:cs="Arial"/>
                <w:color w:val="000000" w:themeColor="text1"/>
                <w:sz w:val="22"/>
                <w:szCs w:val="22"/>
                <w:lang w:eastAsia="zh-CN"/>
              </w:rPr>
            </w:pPr>
            <w:r>
              <w:rPr>
                <w:rStyle w:val="Strong"/>
                <w:rFonts w:ascii="Arial" w:eastAsia="SimSun" w:hAnsi="Arial" w:cs="Arial"/>
                <w:b w:val="0"/>
                <w:bCs w:val="0"/>
                <w:color w:val="000000" w:themeColor="text1"/>
                <w:sz w:val="22"/>
                <w:szCs w:val="22"/>
                <w:lang w:eastAsia="zh-CN" w:bidi="ar"/>
              </w:rPr>
              <w:t>Stewart et al. (2020)</w:t>
            </w:r>
            <w:r>
              <w:rPr>
                <w:rFonts w:ascii="Arial" w:eastAsia="SimSun" w:hAnsi="Arial" w:cs="Arial"/>
                <w:color w:val="000000" w:themeColor="text1"/>
                <w:sz w:val="22"/>
                <w:szCs w:val="22"/>
                <w:lang w:eastAsia="zh-CN" w:bidi="ar"/>
              </w:rPr>
              <w:t xml:space="preserve"> </w:t>
            </w:r>
          </w:p>
        </w:tc>
        <w:tc>
          <w:tcPr>
            <w:tcW w:w="1926" w:type="dxa"/>
          </w:tcPr>
          <w:p w14:paraId="174D4345" w14:textId="77777777" w:rsidR="00DE3473" w:rsidRDefault="00000000">
            <w:pPr>
              <w:spacing w:after="0" w:line="360" w:lineRule="auto"/>
              <w:rPr>
                <w:rFonts w:ascii="Arial" w:eastAsia="DengXian" w:hAnsi="Arial" w:cs="Arial"/>
                <w:color w:val="000000" w:themeColor="text1"/>
                <w:sz w:val="22"/>
                <w:szCs w:val="22"/>
                <w:lang w:eastAsia="zh-CN"/>
              </w:rPr>
            </w:pPr>
            <w:r>
              <w:rPr>
                <w:rStyle w:val="Emphasis"/>
                <w:rFonts w:ascii="Arial" w:eastAsia="SimSun" w:hAnsi="Arial" w:cs="Arial"/>
                <w:i w:val="0"/>
                <w:iCs w:val="0"/>
                <w:color w:val="000000" w:themeColor="text1"/>
                <w:sz w:val="22"/>
                <w:szCs w:val="22"/>
                <w:lang w:eastAsia="zh-CN" w:bidi="ar"/>
              </w:rPr>
              <w:t>Older people’s perspectives on chronic pain in Scottish Highlands</w:t>
            </w:r>
          </w:p>
        </w:tc>
        <w:tc>
          <w:tcPr>
            <w:tcW w:w="2370" w:type="dxa"/>
            <w:vAlign w:val="center"/>
          </w:tcPr>
          <w:p w14:paraId="0A1A7E51" w14:textId="77777777" w:rsidR="00DE3473" w:rsidRDefault="00000000">
            <w:pPr>
              <w:widowControl/>
              <w:spacing w:line="360" w:lineRule="auto"/>
              <w:rPr>
                <w:rFonts w:ascii="Arial" w:eastAsia="DengXian" w:hAnsi="Arial" w:cs="Arial"/>
                <w:color w:val="000000" w:themeColor="text1"/>
                <w:sz w:val="22"/>
                <w:szCs w:val="22"/>
                <w:lang w:eastAsia="zh-CN"/>
              </w:rPr>
            </w:pPr>
            <w:r>
              <w:rPr>
                <w:rFonts w:ascii="Arial" w:eastAsia="SimSun" w:hAnsi="Arial" w:cs="Arial"/>
                <w:color w:val="000000" w:themeColor="text1"/>
                <w:sz w:val="22"/>
                <w:szCs w:val="22"/>
                <w:lang w:eastAsia="zh-CN" w:bidi="ar"/>
              </w:rPr>
              <w:t>Biomedical approaches dominate rural pain care; there is a need to expand holistic, integrated pain management options.</w:t>
            </w:r>
          </w:p>
        </w:tc>
        <w:tc>
          <w:tcPr>
            <w:tcW w:w="3237" w:type="dxa"/>
            <w:vAlign w:val="center"/>
          </w:tcPr>
          <w:p w14:paraId="356CB182" w14:textId="77777777" w:rsidR="00DE3473" w:rsidRDefault="00000000">
            <w:pPr>
              <w:widowControl/>
              <w:spacing w:line="360" w:lineRule="auto"/>
              <w:rPr>
                <w:rFonts w:ascii="Arial" w:eastAsia="DengXian" w:hAnsi="Arial" w:cs="Arial"/>
                <w:color w:val="000000" w:themeColor="text1"/>
                <w:sz w:val="22"/>
                <w:szCs w:val="22"/>
                <w:lang w:eastAsia="zh-CN"/>
              </w:rPr>
            </w:pPr>
            <w:r>
              <w:rPr>
                <w:rFonts w:ascii="Arial" w:eastAsia="SimSun" w:hAnsi="Arial" w:cs="Arial"/>
                <w:color w:val="000000" w:themeColor="text1"/>
                <w:sz w:val="22"/>
                <w:szCs w:val="22"/>
                <w:lang w:eastAsia="zh-CN" w:bidi="ar"/>
              </w:rPr>
              <w:t>25% reported chronic pain; management largely by GPs with limited multidisciplinary input; few used non-pharmacological methods.</w:t>
            </w:r>
          </w:p>
        </w:tc>
      </w:tr>
      <w:tr w:rsidR="00DE3473" w14:paraId="2AF6CA5F" w14:textId="77777777">
        <w:tc>
          <w:tcPr>
            <w:tcW w:w="676" w:type="dxa"/>
          </w:tcPr>
          <w:p w14:paraId="00EF092E" w14:textId="77777777" w:rsidR="00DE3473" w:rsidRDefault="00000000">
            <w:pPr>
              <w:spacing w:line="360" w:lineRule="auto"/>
              <w:rPr>
                <w:rFonts w:ascii="Arial" w:hAnsi="Arial" w:cs="Arial"/>
                <w:color w:val="000000" w:themeColor="text1"/>
                <w:sz w:val="22"/>
                <w:szCs w:val="22"/>
                <w:lang w:eastAsia="zh-CN"/>
              </w:rPr>
            </w:pPr>
            <w:r>
              <w:rPr>
                <w:rFonts w:ascii="Arial" w:hAnsi="Arial" w:cs="Arial"/>
                <w:color w:val="000000" w:themeColor="text1"/>
                <w:sz w:val="22"/>
                <w:szCs w:val="22"/>
              </w:rPr>
              <w:t>10</w:t>
            </w:r>
          </w:p>
        </w:tc>
        <w:tc>
          <w:tcPr>
            <w:tcW w:w="1301" w:type="dxa"/>
            <w:vAlign w:val="center"/>
          </w:tcPr>
          <w:p w14:paraId="6D3FEBDF" w14:textId="77777777" w:rsidR="00DE3473" w:rsidRDefault="00000000">
            <w:pPr>
              <w:widowControl/>
              <w:spacing w:line="360" w:lineRule="auto"/>
              <w:rPr>
                <w:rFonts w:ascii="Arial" w:eastAsia="DengXian" w:hAnsi="Arial" w:cs="Arial"/>
                <w:color w:val="000000" w:themeColor="text1"/>
                <w:sz w:val="22"/>
                <w:szCs w:val="22"/>
                <w:lang w:eastAsia="zh-CN"/>
              </w:rPr>
            </w:pPr>
            <w:r>
              <w:rPr>
                <w:rStyle w:val="Strong"/>
                <w:rFonts w:ascii="Arial" w:eastAsia="SimSun" w:hAnsi="Arial" w:cs="Arial"/>
                <w:b w:val="0"/>
                <w:bCs w:val="0"/>
                <w:color w:val="000000" w:themeColor="text1"/>
                <w:sz w:val="22"/>
                <w:szCs w:val="22"/>
                <w:lang w:eastAsia="zh-CN" w:bidi="ar"/>
              </w:rPr>
              <w:t xml:space="preserve">Fallon et al. (2020) </w:t>
            </w:r>
          </w:p>
        </w:tc>
        <w:tc>
          <w:tcPr>
            <w:tcW w:w="1926" w:type="dxa"/>
          </w:tcPr>
          <w:p w14:paraId="4848B2C3" w14:textId="77777777" w:rsidR="00DE3473" w:rsidRDefault="00000000">
            <w:pPr>
              <w:spacing w:after="0" w:line="360" w:lineRule="auto"/>
              <w:rPr>
                <w:rFonts w:ascii="Arial" w:eastAsia="DengXian" w:hAnsi="Arial" w:cs="Arial"/>
                <w:color w:val="000000" w:themeColor="text1"/>
                <w:sz w:val="22"/>
                <w:szCs w:val="22"/>
                <w:lang w:eastAsia="zh-CN"/>
              </w:rPr>
            </w:pPr>
            <w:r>
              <w:rPr>
                <w:rStyle w:val="Emphasis"/>
                <w:rFonts w:ascii="Arial" w:eastAsia="SimSun" w:hAnsi="Arial" w:cs="Arial"/>
                <w:i w:val="0"/>
                <w:iCs w:val="0"/>
                <w:color w:val="000000" w:themeColor="text1"/>
                <w:sz w:val="22"/>
                <w:szCs w:val="22"/>
                <w:lang w:eastAsia="zh-CN" w:bidi="ar"/>
              </w:rPr>
              <w:t xml:space="preserve">Adverse effects of COVID-19 lockdown on people with </w:t>
            </w:r>
            <w:r>
              <w:rPr>
                <w:rStyle w:val="Emphasis"/>
                <w:rFonts w:ascii="Arial" w:eastAsia="SimSun" w:hAnsi="Arial" w:cs="Arial"/>
                <w:i w:val="0"/>
                <w:iCs w:val="0"/>
                <w:color w:val="000000" w:themeColor="text1"/>
                <w:sz w:val="22"/>
                <w:szCs w:val="22"/>
                <w:lang w:eastAsia="zh-CN" w:bidi="ar"/>
              </w:rPr>
              <w:lastRenderedPageBreak/>
              <w:t>chronic pain</w:t>
            </w:r>
          </w:p>
        </w:tc>
        <w:tc>
          <w:tcPr>
            <w:tcW w:w="2370" w:type="dxa"/>
            <w:vAlign w:val="center"/>
          </w:tcPr>
          <w:p w14:paraId="27FEC5AC" w14:textId="77777777" w:rsidR="00DE3473" w:rsidRDefault="00000000">
            <w:pPr>
              <w:widowControl/>
              <w:spacing w:line="360" w:lineRule="auto"/>
              <w:rPr>
                <w:rFonts w:ascii="Arial" w:eastAsia="DengXian" w:hAnsi="Arial" w:cs="Arial"/>
                <w:color w:val="000000" w:themeColor="text1"/>
                <w:sz w:val="22"/>
                <w:szCs w:val="22"/>
                <w:lang w:eastAsia="zh-CN"/>
              </w:rPr>
            </w:pPr>
            <w:r>
              <w:rPr>
                <w:rFonts w:ascii="Arial" w:eastAsia="SimSun" w:hAnsi="Arial" w:cs="Arial"/>
                <w:color w:val="000000" w:themeColor="text1"/>
                <w:sz w:val="22"/>
                <w:szCs w:val="22"/>
                <w:lang w:eastAsia="zh-CN" w:bidi="ar"/>
              </w:rPr>
              <w:lastRenderedPageBreak/>
              <w:t xml:space="preserve">Psychological distress exacerbates pain during isolation; integrating mental </w:t>
            </w:r>
            <w:r>
              <w:rPr>
                <w:rFonts w:ascii="Arial" w:eastAsia="SimSun" w:hAnsi="Arial" w:cs="Arial"/>
                <w:color w:val="000000" w:themeColor="text1"/>
                <w:sz w:val="22"/>
                <w:szCs w:val="22"/>
                <w:lang w:eastAsia="zh-CN" w:bidi="ar"/>
              </w:rPr>
              <w:lastRenderedPageBreak/>
              <w:t>health support and remote pain interventions is essential in crises.</w:t>
            </w:r>
          </w:p>
        </w:tc>
        <w:tc>
          <w:tcPr>
            <w:tcW w:w="3237" w:type="dxa"/>
            <w:vAlign w:val="center"/>
          </w:tcPr>
          <w:p w14:paraId="73F2215C" w14:textId="77777777" w:rsidR="00DE3473" w:rsidRDefault="00000000">
            <w:pPr>
              <w:widowControl/>
              <w:spacing w:line="360" w:lineRule="auto"/>
              <w:rPr>
                <w:rFonts w:ascii="Arial" w:eastAsia="DengXian" w:hAnsi="Arial" w:cs="Arial"/>
                <w:color w:val="000000" w:themeColor="text1"/>
                <w:sz w:val="22"/>
                <w:szCs w:val="22"/>
                <w:lang w:eastAsia="zh-CN"/>
              </w:rPr>
            </w:pPr>
            <w:r>
              <w:rPr>
                <w:rFonts w:ascii="Arial" w:eastAsia="SimSun" w:hAnsi="Arial" w:cs="Arial"/>
                <w:color w:val="000000" w:themeColor="text1"/>
                <w:sz w:val="22"/>
                <w:szCs w:val="22"/>
                <w:lang w:eastAsia="zh-CN" w:bidi="ar"/>
              </w:rPr>
              <w:lastRenderedPageBreak/>
              <w:t xml:space="preserve">Lockdown increased perceived pain severity, anxiety, depression, and reduced physical activity; pain </w:t>
            </w:r>
            <w:r>
              <w:rPr>
                <w:rFonts w:ascii="Arial" w:eastAsia="SimSun" w:hAnsi="Arial" w:cs="Arial"/>
                <w:color w:val="000000" w:themeColor="text1"/>
                <w:sz w:val="22"/>
                <w:szCs w:val="22"/>
                <w:lang w:eastAsia="zh-CN" w:bidi="ar"/>
              </w:rPr>
              <w:lastRenderedPageBreak/>
              <w:t>catastrophising mediated these effects.</w:t>
            </w:r>
          </w:p>
        </w:tc>
      </w:tr>
    </w:tbl>
    <w:p w14:paraId="58BE7367" w14:textId="77777777" w:rsidR="00DE3473" w:rsidRDefault="00000000">
      <w:pPr>
        <w:spacing w:after="0" w:line="360" w:lineRule="auto"/>
        <w:jc w:val="both"/>
        <w:rPr>
          <w:rFonts w:ascii="Arial" w:eastAsia="SimSun" w:hAnsi="Arial" w:cs="Arial"/>
          <w:color w:val="000000" w:themeColor="text1"/>
          <w:sz w:val="22"/>
          <w:szCs w:val="22"/>
          <w:lang w:eastAsia="zh-CN"/>
        </w:rPr>
      </w:pPr>
      <w:r>
        <w:rPr>
          <w:rFonts w:ascii="Arial" w:eastAsia="SimSun" w:hAnsi="Arial" w:cs="Arial"/>
          <w:b/>
          <w:bCs/>
          <w:color w:val="000000" w:themeColor="text1"/>
          <w:sz w:val="22"/>
          <w:szCs w:val="22"/>
          <w:lang w:eastAsia="zh-CN"/>
        </w:rPr>
        <w:t>Source:</w:t>
      </w:r>
      <w:r>
        <w:rPr>
          <w:rFonts w:ascii="Arial" w:eastAsia="SimSun" w:hAnsi="Arial" w:cs="Arial"/>
          <w:color w:val="000000" w:themeColor="text1"/>
          <w:sz w:val="22"/>
          <w:szCs w:val="22"/>
          <w:lang w:eastAsia="zh-CN"/>
        </w:rPr>
        <w:t xml:space="preserve"> Researcher's Computation </w:t>
      </w:r>
    </w:p>
    <w:p w14:paraId="1D5E2EE8" w14:textId="77777777" w:rsidR="00DE3473" w:rsidRDefault="00DE3473">
      <w:pPr>
        <w:spacing w:after="0" w:line="360" w:lineRule="auto"/>
        <w:jc w:val="both"/>
        <w:rPr>
          <w:rFonts w:ascii="Arial" w:eastAsia="SimSun" w:hAnsi="Arial" w:cs="Arial"/>
          <w:color w:val="000000" w:themeColor="text1"/>
          <w:sz w:val="22"/>
          <w:szCs w:val="22"/>
          <w:lang w:eastAsia="zh-CN"/>
        </w:rPr>
      </w:pPr>
    </w:p>
    <w:p w14:paraId="413A30C1" w14:textId="77777777" w:rsidR="00DE3473" w:rsidRDefault="00000000">
      <w:pPr>
        <w:spacing w:after="0" w:line="360" w:lineRule="auto"/>
        <w:jc w:val="both"/>
        <w:rPr>
          <w:rFonts w:ascii="Arial" w:eastAsia="SimSun" w:hAnsi="Arial" w:cs="Arial"/>
          <w:color w:val="000000" w:themeColor="text1"/>
          <w:sz w:val="22"/>
          <w:szCs w:val="22"/>
          <w:lang w:eastAsia="zh-CN"/>
        </w:rPr>
      </w:pPr>
      <w:r>
        <w:rPr>
          <w:rFonts w:ascii="Arial" w:eastAsia="SimSun" w:hAnsi="Arial" w:cs="Arial"/>
          <w:color w:val="000000" w:themeColor="text1"/>
          <w:sz w:val="22"/>
          <w:szCs w:val="22"/>
          <w:lang w:eastAsia="zh-CN"/>
        </w:rPr>
        <w:t xml:space="preserve">Table 4.1 presents ten key studies examining integrated care services for older adults in the United Kingdom. </w:t>
      </w:r>
    </w:p>
    <w:p w14:paraId="706D37F9" w14:textId="77777777" w:rsidR="00DE3473" w:rsidRDefault="00000000">
      <w:pPr>
        <w:pStyle w:val="Heading2"/>
        <w:spacing w:line="360" w:lineRule="auto"/>
        <w:jc w:val="both"/>
        <w:rPr>
          <w:rFonts w:ascii="Arial" w:hAnsi="Arial" w:cs="Arial" w:hint="default"/>
          <w:color w:val="000000" w:themeColor="text1"/>
          <w:sz w:val="22"/>
          <w:szCs w:val="22"/>
        </w:rPr>
      </w:pPr>
      <w:r>
        <w:rPr>
          <w:rStyle w:val="Strong"/>
          <w:rFonts w:ascii="Arial" w:hAnsi="Arial" w:cs="Arial" w:hint="default"/>
          <w:b/>
          <w:bCs/>
          <w:color w:val="000000" w:themeColor="text1"/>
          <w:sz w:val="22"/>
          <w:szCs w:val="22"/>
        </w:rPr>
        <w:t>4.2 Methodology used in Primary Papers</w:t>
      </w:r>
    </w:p>
    <w:p w14:paraId="29093FD3" w14:textId="77777777" w:rsidR="00DE3473" w:rsidRDefault="00000000">
      <w:pPr>
        <w:spacing w:before="100" w:beforeAutospacing="1" w:after="100" w:afterAutospacing="1" w:line="360" w:lineRule="auto"/>
        <w:jc w:val="both"/>
        <w:outlineLvl w:val="2"/>
        <w:rPr>
          <w:rFonts w:ascii="Arial" w:eastAsia="SimSun" w:hAnsi="Arial" w:cs="Arial"/>
          <w:b/>
          <w:bCs/>
          <w:color w:val="000000" w:themeColor="text1"/>
          <w:sz w:val="22"/>
          <w:szCs w:val="22"/>
          <w:lang w:eastAsia="zh-CN"/>
        </w:rPr>
      </w:pPr>
      <w:r>
        <w:rPr>
          <w:rFonts w:ascii="Arial" w:eastAsia="SimSun" w:hAnsi="Arial" w:cs="Arial"/>
          <w:b/>
          <w:bCs/>
          <w:color w:val="000000" w:themeColor="text1"/>
          <w:sz w:val="22"/>
          <w:szCs w:val="22"/>
          <w:lang w:eastAsia="zh-CN"/>
        </w:rPr>
        <w:t>1. General Overview</w:t>
      </w:r>
    </w:p>
    <w:p w14:paraId="62E23893" w14:textId="77777777" w:rsidR="00DE3473" w:rsidRDefault="00000000">
      <w:pPr>
        <w:spacing w:before="100" w:beforeAutospacing="1" w:after="100" w:afterAutospacing="1" w:line="360" w:lineRule="auto"/>
        <w:jc w:val="both"/>
        <w:outlineLvl w:val="2"/>
        <w:rPr>
          <w:rFonts w:ascii="Arial" w:eastAsia="SimSun" w:hAnsi="Arial" w:cs="Arial"/>
          <w:color w:val="000000" w:themeColor="text1"/>
          <w:sz w:val="22"/>
          <w:szCs w:val="22"/>
          <w:lang w:eastAsia="zh-CN"/>
        </w:rPr>
      </w:pPr>
      <w:r>
        <w:rPr>
          <w:rFonts w:ascii="Arial" w:eastAsia="SimSun" w:hAnsi="Arial" w:cs="Arial"/>
          <w:color w:val="000000" w:themeColor="text1"/>
          <w:sz w:val="22"/>
          <w:szCs w:val="22"/>
          <w:lang w:eastAsia="zh-CN"/>
        </w:rPr>
        <w:t>The ten studies collectively demonstrate a diverse methodological landscape encompassing quantitative, qualitative, mixed-methods, and consensus-based approaches. This diversity reflects the complexity of chronic pain as both a clinical and psychosocial phenomenon. Quantitative designs (Smith et al., 2022; McQueenie et al., 2021; Fallon et al., 2020) provide epidemiological breadth, identifying prevalence, associations, and trends. Qualitative studies (Bourke et al. 2022; Cooper et al., 2016; Jebara et al., 2023; Stewart et al., 2020 ) explore patient perspectives and experiential dimensions, offering explanatory depth. Meanwhile, workforce- and practice-oriented studies (Vaucher et al., 2018; Armoogum et al., 2024) employ surveys to assess professional attitudes and training gaps, and Denver-Wason et al. (2025) uses a Delphi consensus method to co-produce patient-relevant outcome tools.</w:t>
      </w:r>
    </w:p>
    <w:p w14:paraId="1BA13EB7" w14:textId="77777777" w:rsidR="00DE3473" w:rsidRDefault="00000000">
      <w:pPr>
        <w:spacing w:before="100" w:beforeAutospacing="1" w:after="100" w:afterAutospacing="1" w:line="360" w:lineRule="auto"/>
        <w:jc w:val="both"/>
        <w:outlineLvl w:val="2"/>
        <w:rPr>
          <w:rFonts w:ascii="Arial" w:eastAsia="SimSun" w:hAnsi="Arial" w:cs="Arial"/>
          <w:color w:val="000000" w:themeColor="text1"/>
          <w:sz w:val="22"/>
          <w:szCs w:val="22"/>
          <w:lang w:eastAsia="zh-CN"/>
        </w:rPr>
      </w:pPr>
      <w:r>
        <w:rPr>
          <w:rFonts w:ascii="Arial" w:eastAsia="SimSun" w:hAnsi="Arial" w:cs="Arial"/>
          <w:color w:val="000000" w:themeColor="text1"/>
          <w:sz w:val="22"/>
          <w:szCs w:val="22"/>
          <w:lang w:eastAsia="zh-CN"/>
        </w:rPr>
        <w:t>While this methodological plurality strengthens the overall evidence base, it also introduces challenges of comparability and generalisation, as each study privileges different levels of analysis from population-level associations to personal narratives and professional practice.</w:t>
      </w:r>
    </w:p>
    <w:p w14:paraId="13EFA7C2" w14:textId="77777777" w:rsidR="00DE3473" w:rsidRDefault="00000000">
      <w:pPr>
        <w:spacing w:before="100" w:beforeAutospacing="1" w:after="100" w:afterAutospacing="1" w:line="360" w:lineRule="auto"/>
        <w:jc w:val="both"/>
        <w:outlineLvl w:val="2"/>
        <w:rPr>
          <w:rFonts w:ascii="Arial" w:eastAsia="SimSun" w:hAnsi="Arial" w:cs="Arial"/>
          <w:b/>
          <w:bCs/>
          <w:color w:val="000000" w:themeColor="text1"/>
          <w:sz w:val="22"/>
          <w:szCs w:val="22"/>
          <w:lang w:eastAsia="zh-CN"/>
        </w:rPr>
      </w:pPr>
      <w:r>
        <w:rPr>
          <w:rFonts w:ascii="Arial" w:eastAsia="SimSun" w:hAnsi="Arial" w:cs="Arial"/>
          <w:b/>
          <w:bCs/>
          <w:color w:val="000000" w:themeColor="text1"/>
          <w:sz w:val="22"/>
          <w:szCs w:val="22"/>
          <w:lang w:eastAsia="zh-CN"/>
        </w:rPr>
        <w:t>2. Quantitative Epidemiological Approaches</w:t>
      </w:r>
    </w:p>
    <w:p w14:paraId="6C037692" w14:textId="77777777" w:rsidR="00DE3473" w:rsidRDefault="00000000">
      <w:pPr>
        <w:spacing w:before="100" w:beforeAutospacing="1" w:after="100" w:afterAutospacing="1" w:line="360" w:lineRule="auto"/>
        <w:jc w:val="both"/>
        <w:outlineLvl w:val="2"/>
        <w:rPr>
          <w:rFonts w:ascii="Arial" w:eastAsia="SimSun" w:hAnsi="Arial" w:cs="Arial"/>
          <w:color w:val="000000" w:themeColor="text1"/>
          <w:sz w:val="22"/>
          <w:szCs w:val="22"/>
          <w:lang w:eastAsia="zh-CN"/>
        </w:rPr>
      </w:pPr>
      <w:r>
        <w:rPr>
          <w:rFonts w:ascii="Arial" w:eastAsia="SimSun" w:hAnsi="Arial" w:cs="Arial"/>
          <w:color w:val="000000" w:themeColor="text1"/>
          <w:sz w:val="22"/>
          <w:szCs w:val="22"/>
          <w:lang w:eastAsia="zh-CN"/>
        </w:rPr>
        <w:t>McQueenie et al. (2021) and Smith et al. (2022) use large-scale secondary data analysis (UK Biobank and ELSA, respectively). These cross-sectional and longitudinal designs enable statistical estimation of chronic pain prevalence, multimorbidity, and associated sociodemographic factors. Their strengths lie in sample size, representativeness, and the ability to model relationships between pain, disability, and care patterns.</w:t>
      </w:r>
    </w:p>
    <w:p w14:paraId="5BE8A89D" w14:textId="77777777" w:rsidR="00DE3473" w:rsidRDefault="00000000">
      <w:pPr>
        <w:spacing w:before="100" w:beforeAutospacing="1" w:after="100" w:afterAutospacing="1" w:line="360" w:lineRule="auto"/>
        <w:jc w:val="both"/>
        <w:outlineLvl w:val="2"/>
        <w:rPr>
          <w:rFonts w:ascii="Arial" w:eastAsia="SimSun" w:hAnsi="Arial" w:cs="Arial"/>
          <w:color w:val="000000" w:themeColor="text1"/>
          <w:sz w:val="22"/>
          <w:szCs w:val="22"/>
          <w:lang w:eastAsia="zh-CN"/>
        </w:rPr>
      </w:pPr>
      <w:r>
        <w:rPr>
          <w:rFonts w:ascii="Arial" w:eastAsia="SimSun" w:hAnsi="Arial" w:cs="Arial"/>
          <w:color w:val="000000" w:themeColor="text1"/>
          <w:sz w:val="22"/>
          <w:szCs w:val="22"/>
          <w:lang w:eastAsia="zh-CN"/>
        </w:rPr>
        <w:lastRenderedPageBreak/>
        <w:t>However, these studies face common methodological critiques such as; self-reported pain introduces recall and reporting bias; cross-sectional data (in McQueenie et al.) precludes causal inference; volunteer bias in large cohort datasets (e.g., UK Biobank’s healthier sample) may underestimate true population burden.</w:t>
      </w:r>
    </w:p>
    <w:p w14:paraId="07996655" w14:textId="77777777" w:rsidR="00DE3473" w:rsidRDefault="00000000">
      <w:pPr>
        <w:spacing w:before="100" w:beforeAutospacing="1" w:after="100" w:afterAutospacing="1" w:line="360" w:lineRule="auto"/>
        <w:jc w:val="both"/>
        <w:outlineLvl w:val="2"/>
        <w:rPr>
          <w:rFonts w:ascii="Arial" w:eastAsia="SimSun" w:hAnsi="Arial" w:cs="Arial"/>
          <w:color w:val="000000" w:themeColor="text1"/>
          <w:sz w:val="22"/>
          <w:szCs w:val="22"/>
          <w:lang w:eastAsia="zh-CN"/>
        </w:rPr>
      </w:pPr>
      <w:r>
        <w:rPr>
          <w:rFonts w:ascii="Arial" w:eastAsia="SimSun" w:hAnsi="Arial" w:cs="Arial"/>
          <w:color w:val="000000" w:themeColor="text1"/>
          <w:sz w:val="22"/>
          <w:szCs w:val="22"/>
          <w:lang w:eastAsia="zh-CN"/>
        </w:rPr>
        <w:t>Despite these limitations, the epidemiological designs establish a macro-level foundation for understanding pain distribution and inform the qualitative research that probes underlying mechanisms.</w:t>
      </w:r>
    </w:p>
    <w:p w14:paraId="22F76F72" w14:textId="77777777" w:rsidR="00DE3473" w:rsidRDefault="00000000">
      <w:pPr>
        <w:spacing w:before="100" w:beforeAutospacing="1" w:after="100" w:afterAutospacing="1" w:line="360" w:lineRule="auto"/>
        <w:jc w:val="both"/>
        <w:outlineLvl w:val="2"/>
        <w:rPr>
          <w:rFonts w:ascii="Arial" w:eastAsia="SimSun" w:hAnsi="Arial" w:cs="Arial"/>
          <w:b/>
          <w:bCs/>
          <w:color w:val="000000" w:themeColor="text1"/>
          <w:sz w:val="22"/>
          <w:szCs w:val="22"/>
          <w:lang w:eastAsia="zh-CN"/>
        </w:rPr>
      </w:pPr>
      <w:r>
        <w:rPr>
          <w:rFonts w:ascii="Arial" w:eastAsia="SimSun" w:hAnsi="Arial" w:cs="Arial"/>
          <w:b/>
          <w:bCs/>
          <w:color w:val="000000" w:themeColor="text1"/>
          <w:sz w:val="22"/>
          <w:szCs w:val="22"/>
          <w:lang w:eastAsia="zh-CN"/>
        </w:rPr>
        <w:t>3. Qualitative and Phenomenological Studies</w:t>
      </w:r>
    </w:p>
    <w:p w14:paraId="097B3478" w14:textId="77777777" w:rsidR="00DE3473" w:rsidRDefault="00000000">
      <w:pPr>
        <w:spacing w:before="100" w:beforeAutospacing="1" w:after="100" w:afterAutospacing="1" w:line="360" w:lineRule="auto"/>
        <w:jc w:val="both"/>
        <w:outlineLvl w:val="2"/>
        <w:rPr>
          <w:rFonts w:ascii="Arial" w:eastAsia="SimSun" w:hAnsi="Arial" w:cs="Arial"/>
          <w:color w:val="000000" w:themeColor="text1"/>
          <w:sz w:val="22"/>
          <w:szCs w:val="22"/>
          <w:lang w:eastAsia="zh-CN"/>
        </w:rPr>
      </w:pPr>
      <w:r>
        <w:rPr>
          <w:rFonts w:ascii="Arial" w:eastAsia="SimSun" w:hAnsi="Arial" w:cs="Arial"/>
          <w:color w:val="000000" w:themeColor="text1"/>
          <w:sz w:val="22"/>
          <w:szCs w:val="22"/>
          <w:lang w:eastAsia="zh-CN"/>
        </w:rPr>
        <w:t>Four studies; Bourke et al. (2022); Jebara et al. (2023); Stewart et al. (2020); and Cooper et al. (2016) adopt qualitative methodologies rooted in phenomenology and thematic analysis.</w:t>
      </w:r>
      <w:r>
        <w:rPr>
          <w:rFonts w:ascii="Arial" w:eastAsia="SimSun" w:hAnsi="Arial" w:cs="Arial"/>
          <w:color w:val="000000" w:themeColor="text1"/>
          <w:sz w:val="22"/>
          <w:szCs w:val="22"/>
          <w:lang w:eastAsia="zh-CN"/>
        </w:rPr>
        <w:br/>
        <w:t>These approaches privilege the lived experience of chronic pain, exploring adaptation, coping, rural inequity, and social support.</w:t>
      </w:r>
    </w:p>
    <w:p w14:paraId="5698A114" w14:textId="77777777" w:rsidR="00DE3473" w:rsidRDefault="00000000">
      <w:pPr>
        <w:spacing w:before="100" w:beforeAutospacing="1" w:after="100" w:afterAutospacing="1" w:line="360" w:lineRule="auto"/>
        <w:jc w:val="both"/>
        <w:outlineLvl w:val="2"/>
        <w:rPr>
          <w:rFonts w:ascii="Arial" w:eastAsia="SimSun" w:hAnsi="Arial" w:cs="Arial"/>
          <w:b/>
          <w:bCs/>
          <w:color w:val="000000" w:themeColor="text1"/>
          <w:sz w:val="22"/>
          <w:szCs w:val="22"/>
          <w:lang w:eastAsia="zh-CN"/>
        </w:rPr>
      </w:pPr>
      <w:r>
        <w:rPr>
          <w:rFonts w:ascii="Arial" w:eastAsia="SimSun" w:hAnsi="Arial" w:cs="Arial"/>
          <w:color w:val="000000" w:themeColor="text1"/>
          <w:sz w:val="22"/>
          <w:szCs w:val="22"/>
        </w:rPr>
        <w:t>Qualitative research in health psychology offers valuable insights into the lived experiences of patients and their interactions with healthcare systems. Such studies generate rich, contextualised understandings of psychological processes (Bourke et al., 2022) and coping strategies (Cooper et al., 2016), while uncovering structural barriers and cultural attitudes that influence access to care (Jebara et al., 2023; Stewart et al., 2020). Importantly, qualitative approaches capture fluctuations and ambivalence in patient experiences that are often obscured by quantitative survey methods. However, these strengths are counterbalanced by methodological challenges, including limited generalisability due to small, purposive samples, the potential for researcher bias in thematic interpretation, and insufficient triangulation arising from a lack of participant validation or mixed-method integration. Despite these critiques, the ecological validity of qualitative research its alignment with real-world contexts ensures its continued significance for understanding nuanced patient perspectives that quantitative data alone cannot fully reveal.</w:t>
      </w:r>
    </w:p>
    <w:p w14:paraId="38687307" w14:textId="77777777" w:rsidR="00DE3473" w:rsidRDefault="00000000">
      <w:pPr>
        <w:spacing w:before="100" w:beforeAutospacing="1" w:after="100" w:afterAutospacing="1" w:line="360" w:lineRule="auto"/>
        <w:jc w:val="both"/>
        <w:outlineLvl w:val="2"/>
        <w:rPr>
          <w:rFonts w:ascii="Arial" w:eastAsia="SimSun" w:hAnsi="Arial" w:cs="Arial"/>
          <w:b/>
          <w:bCs/>
          <w:color w:val="000000" w:themeColor="text1"/>
          <w:sz w:val="22"/>
          <w:szCs w:val="22"/>
          <w:lang w:eastAsia="zh-CN"/>
        </w:rPr>
      </w:pPr>
      <w:r>
        <w:rPr>
          <w:rFonts w:ascii="Arial" w:eastAsia="SimSun" w:hAnsi="Arial" w:cs="Arial"/>
          <w:b/>
          <w:bCs/>
          <w:color w:val="000000" w:themeColor="text1"/>
          <w:sz w:val="22"/>
          <w:szCs w:val="22"/>
          <w:lang w:eastAsia="zh-CN"/>
        </w:rPr>
        <w:t>4. Survey and Workforce Studies</w:t>
      </w:r>
    </w:p>
    <w:p w14:paraId="1A11A990" w14:textId="77777777" w:rsidR="00DE3473" w:rsidRDefault="00000000">
      <w:pPr>
        <w:spacing w:before="100" w:beforeAutospacing="1" w:after="100" w:afterAutospacing="1" w:line="360" w:lineRule="auto"/>
        <w:jc w:val="both"/>
        <w:outlineLvl w:val="2"/>
        <w:rPr>
          <w:rFonts w:ascii="Arial" w:eastAsia="SimSun" w:hAnsi="Arial" w:cs="Arial"/>
          <w:color w:val="000000" w:themeColor="text1"/>
          <w:sz w:val="22"/>
          <w:szCs w:val="22"/>
          <w:lang w:eastAsia="zh-CN"/>
        </w:rPr>
      </w:pPr>
      <w:r>
        <w:rPr>
          <w:rFonts w:ascii="Arial" w:eastAsia="SimSun" w:hAnsi="Arial" w:cs="Arial"/>
          <w:color w:val="000000" w:themeColor="text1"/>
          <w:sz w:val="22"/>
          <w:szCs w:val="22"/>
          <w:lang w:eastAsia="zh-CN"/>
        </w:rPr>
        <w:t xml:space="preserve">The study of Vaucher et al. (2018) and Armoogum et al. (2024) employed cross-sectional survey designs targeting healthcare professionals with the purpose of assessing knowledge, attitudes, and confidence regarding chronic pain management. These studies are valuable for mapping </w:t>
      </w:r>
      <w:r>
        <w:rPr>
          <w:rFonts w:ascii="Arial" w:eastAsia="SimSun" w:hAnsi="Arial" w:cs="Arial"/>
          <w:color w:val="000000" w:themeColor="text1"/>
          <w:sz w:val="22"/>
          <w:szCs w:val="22"/>
          <w:lang w:eastAsia="zh-CN"/>
        </w:rPr>
        <w:lastRenderedPageBreak/>
        <w:t>professional perspectives, identifying training needs, and evaluating alignment with biopsychosocial principles.</w:t>
      </w:r>
    </w:p>
    <w:p w14:paraId="32A2C0DF" w14:textId="77777777" w:rsidR="00DE3473" w:rsidRDefault="00000000">
      <w:pPr>
        <w:spacing w:before="100" w:beforeAutospacing="1" w:after="100" w:afterAutospacing="1" w:line="360" w:lineRule="auto"/>
        <w:jc w:val="both"/>
        <w:outlineLvl w:val="2"/>
        <w:rPr>
          <w:rFonts w:ascii="Arial" w:eastAsia="SimSun" w:hAnsi="Arial" w:cs="Arial"/>
          <w:color w:val="000000" w:themeColor="text1"/>
          <w:sz w:val="22"/>
          <w:szCs w:val="22"/>
          <w:lang w:eastAsia="zh-CN"/>
        </w:rPr>
      </w:pPr>
      <w:r>
        <w:rPr>
          <w:rFonts w:ascii="Arial" w:eastAsia="SimSun" w:hAnsi="Arial" w:cs="Arial"/>
          <w:color w:val="000000" w:themeColor="text1"/>
          <w:sz w:val="22"/>
          <w:szCs w:val="22"/>
          <w:lang w:eastAsia="zh-CN"/>
        </w:rPr>
        <w:t>Critically, however, they also exhibit methodological weaknesses including reliance on self-reported competence rather than observed practice; possible social desirability bias, where respondents overstate biopsychosocial alignment; and non-random sampling, often through professional networks, which can limit representativeness.</w:t>
      </w:r>
    </w:p>
    <w:p w14:paraId="28CDF066" w14:textId="77777777" w:rsidR="00DE3473" w:rsidRDefault="00000000">
      <w:pPr>
        <w:spacing w:before="100" w:beforeAutospacing="1" w:after="100" w:afterAutospacing="1" w:line="360" w:lineRule="auto"/>
        <w:jc w:val="both"/>
        <w:outlineLvl w:val="2"/>
        <w:rPr>
          <w:rFonts w:ascii="Arial" w:eastAsia="SimSun" w:hAnsi="Arial" w:cs="Arial"/>
          <w:color w:val="000000" w:themeColor="text1"/>
          <w:sz w:val="22"/>
          <w:szCs w:val="22"/>
          <w:lang w:eastAsia="zh-CN"/>
        </w:rPr>
      </w:pPr>
      <w:r>
        <w:rPr>
          <w:rFonts w:ascii="Arial" w:eastAsia="SimSun" w:hAnsi="Arial" w:cs="Arial"/>
          <w:color w:val="000000" w:themeColor="text1"/>
          <w:sz w:val="22"/>
          <w:szCs w:val="22"/>
          <w:lang w:eastAsia="zh-CN"/>
        </w:rPr>
        <w:t>Despite such constraints, these studies bridge the gap between patient-focused research and system-level practice by diagnosing where workforce limitations might undermine integrated pain care.</w:t>
      </w:r>
    </w:p>
    <w:p w14:paraId="7F8C342B" w14:textId="77777777" w:rsidR="00DE3473" w:rsidRDefault="00000000">
      <w:pPr>
        <w:spacing w:before="100" w:beforeAutospacing="1" w:after="100" w:afterAutospacing="1" w:line="360" w:lineRule="auto"/>
        <w:jc w:val="both"/>
        <w:outlineLvl w:val="2"/>
        <w:rPr>
          <w:rFonts w:ascii="Arial" w:eastAsia="SimSun" w:hAnsi="Arial" w:cs="Arial"/>
          <w:b/>
          <w:bCs/>
          <w:color w:val="000000" w:themeColor="text1"/>
          <w:sz w:val="22"/>
          <w:szCs w:val="22"/>
          <w:lang w:eastAsia="zh-CN"/>
        </w:rPr>
      </w:pPr>
      <w:r>
        <w:rPr>
          <w:rFonts w:ascii="Arial" w:eastAsia="SimSun" w:hAnsi="Arial" w:cs="Arial"/>
          <w:b/>
          <w:bCs/>
          <w:color w:val="000000" w:themeColor="text1"/>
          <w:sz w:val="22"/>
          <w:szCs w:val="22"/>
          <w:lang w:eastAsia="zh-CN"/>
        </w:rPr>
        <w:t xml:space="preserve">Summary of Methodology findings </w:t>
      </w:r>
    </w:p>
    <w:tbl>
      <w:tblPr>
        <w:tblStyle w:val="TableGrid"/>
        <w:tblW w:w="0" w:type="auto"/>
        <w:tblLook w:val="04A0" w:firstRow="1" w:lastRow="0" w:firstColumn="1" w:lastColumn="0" w:noHBand="0" w:noVBand="1"/>
      </w:tblPr>
      <w:tblGrid>
        <w:gridCol w:w="652"/>
        <w:gridCol w:w="2509"/>
        <w:gridCol w:w="1629"/>
        <w:gridCol w:w="2075"/>
        <w:gridCol w:w="2104"/>
      </w:tblGrid>
      <w:tr w:rsidR="00DE3473" w14:paraId="119E7149" w14:textId="77777777">
        <w:tc>
          <w:tcPr>
            <w:tcW w:w="652" w:type="dxa"/>
          </w:tcPr>
          <w:p w14:paraId="40BA61E3" w14:textId="77777777" w:rsidR="00DE3473" w:rsidRDefault="00000000">
            <w:pPr>
              <w:spacing w:before="100" w:beforeAutospacing="1" w:after="100" w:afterAutospacing="1" w:line="360" w:lineRule="auto"/>
              <w:outlineLvl w:val="2"/>
              <w:rPr>
                <w:rFonts w:ascii="Arial" w:eastAsia="SimSun" w:hAnsi="Arial" w:cs="Arial"/>
                <w:color w:val="000000" w:themeColor="text1"/>
                <w:sz w:val="22"/>
                <w:szCs w:val="22"/>
                <w:lang w:eastAsia="zh-CN"/>
              </w:rPr>
            </w:pPr>
            <w:r>
              <w:rPr>
                <w:rFonts w:ascii="Arial" w:eastAsia="SimSun" w:hAnsi="Arial" w:cs="Arial"/>
                <w:b/>
                <w:bCs/>
                <w:color w:val="000000" w:themeColor="text1"/>
                <w:sz w:val="22"/>
                <w:szCs w:val="22"/>
                <w:lang w:eastAsia="zh-CN"/>
              </w:rPr>
              <w:t xml:space="preserve">S/N </w:t>
            </w:r>
          </w:p>
        </w:tc>
        <w:tc>
          <w:tcPr>
            <w:tcW w:w="2509" w:type="dxa"/>
            <w:vAlign w:val="center"/>
          </w:tcPr>
          <w:p w14:paraId="494A1C81" w14:textId="77777777" w:rsidR="00DE3473" w:rsidRDefault="00000000">
            <w:pPr>
              <w:widowControl/>
              <w:jc w:val="center"/>
              <w:rPr>
                <w:rFonts w:ascii="Arial" w:hAnsi="Arial" w:cs="Arial"/>
                <w:b/>
                <w:bCs/>
                <w:color w:val="000000" w:themeColor="text1"/>
                <w:sz w:val="22"/>
                <w:szCs w:val="22"/>
                <w:lang w:eastAsia="zh-CN"/>
              </w:rPr>
            </w:pPr>
            <w:r>
              <w:rPr>
                <w:rFonts w:ascii="Arial" w:eastAsia="SimSun" w:hAnsi="Arial" w:cs="Arial"/>
                <w:b/>
                <w:bCs/>
                <w:color w:val="000000" w:themeColor="text1"/>
                <w:sz w:val="22"/>
                <w:szCs w:val="22"/>
                <w:lang w:eastAsia="zh-CN" w:bidi="ar"/>
              </w:rPr>
              <w:t>Methodological Dimension</w:t>
            </w:r>
          </w:p>
        </w:tc>
        <w:tc>
          <w:tcPr>
            <w:tcW w:w="1629" w:type="dxa"/>
            <w:vAlign w:val="center"/>
          </w:tcPr>
          <w:p w14:paraId="3B344EF0" w14:textId="77777777" w:rsidR="00DE3473" w:rsidRDefault="00000000">
            <w:pPr>
              <w:widowControl/>
              <w:jc w:val="center"/>
              <w:rPr>
                <w:rFonts w:ascii="Arial" w:hAnsi="Arial" w:cs="Arial"/>
                <w:b/>
                <w:bCs/>
                <w:color w:val="000000" w:themeColor="text1"/>
                <w:sz w:val="22"/>
                <w:szCs w:val="22"/>
                <w:lang w:eastAsia="zh-CN"/>
              </w:rPr>
            </w:pPr>
            <w:r>
              <w:rPr>
                <w:rFonts w:ascii="Arial" w:eastAsia="SimSun" w:hAnsi="Arial" w:cs="Arial"/>
                <w:b/>
                <w:bCs/>
                <w:color w:val="000000" w:themeColor="text1"/>
                <w:sz w:val="22"/>
                <w:szCs w:val="22"/>
                <w:lang w:eastAsia="zh-CN" w:bidi="ar"/>
              </w:rPr>
              <w:t>Strength</w:t>
            </w:r>
          </w:p>
        </w:tc>
        <w:tc>
          <w:tcPr>
            <w:tcW w:w="2075" w:type="dxa"/>
            <w:vAlign w:val="center"/>
          </w:tcPr>
          <w:p w14:paraId="60C5315D" w14:textId="77777777" w:rsidR="00DE3473" w:rsidRDefault="00000000">
            <w:pPr>
              <w:widowControl/>
              <w:jc w:val="center"/>
              <w:rPr>
                <w:rFonts w:ascii="Arial" w:hAnsi="Arial" w:cs="Arial"/>
                <w:b/>
                <w:bCs/>
                <w:color w:val="000000" w:themeColor="text1"/>
                <w:sz w:val="22"/>
                <w:szCs w:val="22"/>
                <w:lang w:eastAsia="zh-CN"/>
              </w:rPr>
            </w:pPr>
            <w:r>
              <w:rPr>
                <w:rFonts w:ascii="Arial" w:eastAsia="SimSun" w:hAnsi="Arial" w:cs="Arial"/>
                <w:b/>
                <w:bCs/>
                <w:color w:val="000000" w:themeColor="text1"/>
                <w:sz w:val="22"/>
                <w:szCs w:val="22"/>
                <w:lang w:eastAsia="zh-CN" w:bidi="ar"/>
              </w:rPr>
              <w:t>Limitation</w:t>
            </w:r>
          </w:p>
        </w:tc>
        <w:tc>
          <w:tcPr>
            <w:tcW w:w="2104" w:type="dxa"/>
            <w:vAlign w:val="center"/>
          </w:tcPr>
          <w:p w14:paraId="0803B75F" w14:textId="77777777" w:rsidR="00DE3473" w:rsidRDefault="00000000">
            <w:pPr>
              <w:widowControl/>
              <w:jc w:val="center"/>
              <w:rPr>
                <w:rFonts w:ascii="Arial" w:hAnsi="Arial" w:cs="Arial"/>
                <w:b/>
                <w:bCs/>
                <w:color w:val="000000" w:themeColor="text1"/>
                <w:sz w:val="22"/>
                <w:szCs w:val="22"/>
                <w:lang w:eastAsia="zh-CN"/>
              </w:rPr>
            </w:pPr>
            <w:r>
              <w:rPr>
                <w:rFonts w:ascii="Arial" w:eastAsia="SimSun" w:hAnsi="Arial" w:cs="Arial"/>
                <w:b/>
                <w:bCs/>
                <w:color w:val="000000" w:themeColor="text1"/>
                <w:sz w:val="22"/>
                <w:szCs w:val="22"/>
                <w:lang w:eastAsia="zh-CN" w:bidi="ar"/>
              </w:rPr>
              <w:t>Implication</w:t>
            </w:r>
          </w:p>
        </w:tc>
      </w:tr>
      <w:tr w:rsidR="00DE3473" w14:paraId="2F7917EE" w14:textId="77777777">
        <w:tc>
          <w:tcPr>
            <w:tcW w:w="652" w:type="dxa"/>
          </w:tcPr>
          <w:p w14:paraId="066CB2B9" w14:textId="77777777" w:rsidR="00DE3473" w:rsidRDefault="00000000">
            <w:pPr>
              <w:spacing w:before="100" w:beforeAutospacing="1" w:after="100" w:afterAutospacing="1" w:line="360" w:lineRule="auto"/>
              <w:outlineLvl w:val="2"/>
              <w:rPr>
                <w:rFonts w:ascii="Arial" w:eastAsia="SimSun" w:hAnsi="Arial" w:cs="Arial"/>
                <w:color w:val="000000" w:themeColor="text1"/>
                <w:sz w:val="22"/>
                <w:szCs w:val="22"/>
                <w:lang w:eastAsia="zh-CN"/>
              </w:rPr>
            </w:pPr>
            <w:r>
              <w:rPr>
                <w:rFonts w:ascii="Arial" w:eastAsia="SimSun" w:hAnsi="Arial" w:cs="Arial"/>
                <w:color w:val="000000" w:themeColor="text1"/>
                <w:sz w:val="22"/>
                <w:szCs w:val="22"/>
                <w:lang w:eastAsia="zh-CN"/>
              </w:rPr>
              <w:t>1</w:t>
            </w:r>
          </w:p>
        </w:tc>
        <w:tc>
          <w:tcPr>
            <w:tcW w:w="2509" w:type="dxa"/>
            <w:vAlign w:val="center"/>
          </w:tcPr>
          <w:p w14:paraId="13111556" w14:textId="77777777" w:rsidR="00DE3473" w:rsidRDefault="00000000">
            <w:pPr>
              <w:widowControl/>
              <w:jc w:val="left"/>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 xml:space="preserve">Quantitative Cohort (McQueenie et al., 2021; Smith </w:t>
            </w:r>
            <w:r>
              <w:rPr>
                <w:rFonts w:ascii="Arial" w:eastAsia="SimSun" w:hAnsi="Arial" w:cs="Arial"/>
                <w:color w:val="000000" w:themeColor="text1"/>
                <w:sz w:val="22"/>
                <w:szCs w:val="22"/>
                <w:lang w:eastAsia="zh-CN"/>
              </w:rPr>
              <w:t>et al.</w:t>
            </w:r>
            <w:r>
              <w:rPr>
                <w:rFonts w:ascii="Arial" w:eastAsia="SimSun" w:hAnsi="Arial" w:cs="Arial"/>
                <w:color w:val="000000" w:themeColor="text1"/>
                <w:sz w:val="22"/>
                <w:szCs w:val="22"/>
                <w:lang w:eastAsia="zh-CN" w:bidi="ar"/>
              </w:rPr>
              <w:t>, 2022)</w:t>
            </w:r>
          </w:p>
        </w:tc>
        <w:tc>
          <w:tcPr>
            <w:tcW w:w="1629" w:type="dxa"/>
            <w:vAlign w:val="center"/>
          </w:tcPr>
          <w:p w14:paraId="116C4B94" w14:textId="77777777" w:rsidR="00DE3473" w:rsidRDefault="00000000">
            <w:pPr>
              <w:widowControl/>
              <w:jc w:val="left"/>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Large samples, statistical precision</w:t>
            </w:r>
          </w:p>
        </w:tc>
        <w:tc>
          <w:tcPr>
            <w:tcW w:w="2075" w:type="dxa"/>
            <w:vAlign w:val="center"/>
          </w:tcPr>
          <w:p w14:paraId="029C1D40" w14:textId="77777777" w:rsidR="00DE3473" w:rsidRDefault="00000000">
            <w:pPr>
              <w:widowControl/>
              <w:jc w:val="left"/>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Limited causality, selection bias</w:t>
            </w:r>
          </w:p>
        </w:tc>
        <w:tc>
          <w:tcPr>
            <w:tcW w:w="2104" w:type="dxa"/>
            <w:vAlign w:val="center"/>
          </w:tcPr>
          <w:p w14:paraId="3A1AC15E" w14:textId="77777777" w:rsidR="00DE3473" w:rsidRDefault="00000000">
            <w:pPr>
              <w:widowControl/>
              <w:jc w:val="left"/>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Establish prevalence but not mechanism</w:t>
            </w:r>
          </w:p>
        </w:tc>
      </w:tr>
      <w:tr w:rsidR="00DE3473" w14:paraId="091BAFC9" w14:textId="77777777">
        <w:tc>
          <w:tcPr>
            <w:tcW w:w="652" w:type="dxa"/>
          </w:tcPr>
          <w:p w14:paraId="5397DBB4" w14:textId="77777777" w:rsidR="00DE3473" w:rsidRDefault="00000000">
            <w:pPr>
              <w:spacing w:before="100" w:beforeAutospacing="1" w:after="100" w:afterAutospacing="1" w:line="360" w:lineRule="auto"/>
              <w:outlineLvl w:val="2"/>
              <w:rPr>
                <w:rFonts w:ascii="Arial" w:eastAsia="SimSun" w:hAnsi="Arial" w:cs="Arial"/>
                <w:color w:val="000000" w:themeColor="text1"/>
                <w:sz w:val="22"/>
                <w:szCs w:val="22"/>
                <w:lang w:eastAsia="zh-CN"/>
              </w:rPr>
            </w:pPr>
            <w:r>
              <w:rPr>
                <w:rFonts w:ascii="Arial" w:eastAsia="SimSun" w:hAnsi="Arial" w:cs="Arial"/>
                <w:color w:val="000000" w:themeColor="text1"/>
                <w:sz w:val="22"/>
                <w:szCs w:val="22"/>
                <w:lang w:eastAsia="zh-CN"/>
              </w:rPr>
              <w:t>2</w:t>
            </w:r>
          </w:p>
        </w:tc>
        <w:tc>
          <w:tcPr>
            <w:tcW w:w="2509" w:type="dxa"/>
            <w:vAlign w:val="center"/>
          </w:tcPr>
          <w:p w14:paraId="03D464DB" w14:textId="77777777" w:rsidR="00DE3473" w:rsidRDefault="00000000">
            <w:pPr>
              <w:widowControl/>
              <w:jc w:val="left"/>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 xml:space="preserve">Qualitative (Bourke </w:t>
            </w:r>
            <w:r>
              <w:rPr>
                <w:rFonts w:ascii="Arial" w:eastAsia="SimSun" w:hAnsi="Arial" w:cs="Arial"/>
                <w:color w:val="000000" w:themeColor="text1"/>
                <w:sz w:val="22"/>
                <w:szCs w:val="22"/>
                <w:lang w:eastAsia="zh-CN"/>
              </w:rPr>
              <w:t>et al.</w:t>
            </w:r>
            <w:r>
              <w:rPr>
                <w:rFonts w:ascii="Arial" w:eastAsia="SimSun" w:hAnsi="Arial" w:cs="Arial"/>
                <w:color w:val="000000" w:themeColor="text1"/>
                <w:sz w:val="22"/>
                <w:szCs w:val="22"/>
                <w:lang w:eastAsia="zh-CN" w:bidi="ar"/>
              </w:rPr>
              <w:t xml:space="preserve">, 2022; Jebara et al., 2023; Stewart </w:t>
            </w:r>
            <w:r>
              <w:rPr>
                <w:rFonts w:ascii="Arial" w:eastAsia="SimSun" w:hAnsi="Arial" w:cs="Arial"/>
                <w:color w:val="000000" w:themeColor="text1"/>
                <w:sz w:val="22"/>
                <w:szCs w:val="22"/>
                <w:lang w:eastAsia="zh-CN"/>
              </w:rPr>
              <w:t>et al.</w:t>
            </w:r>
            <w:r>
              <w:rPr>
                <w:rFonts w:ascii="Arial" w:eastAsia="SimSun" w:hAnsi="Arial" w:cs="Arial"/>
                <w:color w:val="000000" w:themeColor="text1"/>
                <w:sz w:val="22"/>
                <w:szCs w:val="22"/>
                <w:lang w:eastAsia="zh-CN" w:bidi="ar"/>
              </w:rPr>
              <w:t xml:space="preserve">, 2020; Cooper </w:t>
            </w:r>
            <w:r>
              <w:rPr>
                <w:rFonts w:ascii="Arial" w:eastAsia="SimSun" w:hAnsi="Arial" w:cs="Arial"/>
                <w:color w:val="000000" w:themeColor="text1"/>
                <w:sz w:val="22"/>
                <w:szCs w:val="22"/>
                <w:lang w:eastAsia="zh-CN"/>
              </w:rPr>
              <w:t>et al., 2016</w:t>
            </w:r>
            <w:r>
              <w:rPr>
                <w:rFonts w:ascii="Arial" w:eastAsia="SimSun" w:hAnsi="Arial" w:cs="Arial"/>
                <w:color w:val="000000" w:themeColor="text1"/>
                <w:sz w:val="22"/>
                <w:szCs w:val="22"/>
                <w:lang w:eastAsia="zh-CN" w:bidi="ar"/>
              </w:rPr>
              <w:t>)</w:t>
            </w:r>
          </w:p>
        </w:tc>
        <w:tc>
          <w:tcPr>
            <w:tcW w:w="1629" w:type="dxa"/>
            <w:vAlign w:val="center"/>
          </w:tcPr>
          <w:p w14:paraId="062DDE95" w14:textId="77777777" w:rsidR="00DE3473" w:rsidRDefault="00000000">
            <w:pPr>
              <w:widowControl/>
              <w:jc w:val="left"/>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Depth, context, patient perspective</w:t>
            </w:r>
          </w:p>
        </w:tc>
        <w:tc>
          <w:tcPr>
            <w:tcW w:w="2075" w:type="dxa"/>
            <w:vAlign w:val="center"/>
          </w:tcPr>
          <w:p w14:paraId="28C0B65F" w14:textId="77777777" w:rsidR="00DE3473" w:rsidRDefault="00000000">
            <w:pPr>
              <w:widowControl/>
              <w:jc w:val="left"/>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Small, non-generalizable samples</w:t>
            </w:r>
          </w:p>
        </w:tc>
        <w:tc>
          <w:tcPr>
            <w:tcW w:w="2104" w:type="dxa"/>
            <w:vAlign w:val="center"/>
          </w:tcPr>
          <w:p w14:paraId="042135DA" w14:textId="77777777" w:rsidR="00DE3473" w:rsidRDefault="00000000">
            <w:pPr>
              <w:widowControl/>
              <w:jc w:val="left"/>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Reveal mechanisms, inform intervention design</w:t>
            </w:r>
          </w:p>
        </w:tc>
      </w:tr>
      <w:tr w:rsidR="00DE3473" w14:paraId="52512B24" w14:textId="77777777">
        <w:tc>
          <w:tcPr>
            <w:tcW w:w="652" w:type="dxa"/>
          </w:tcPr>
          <w:p w14:paraId="06335F5B" w14:textId="77777777" w:rsidR="00DE3473" w:rsidRDefault="00000000">
            <w:pPr>
              <w:spacing w:before="100" w:beforeAutospacing="1" w:after="100" w:afterAutospacing="1" w:line="360" w:lineRule="auto"/>
              <w:outlineLvl w:val="2"/>
              <w:rPr>
                <w:rFonts w:ascii="Arial" w:eastAsia="SimSun" w:hAnsi="Arial" w:cs="Arial"/>
                <w:color w:val="000000" w:themeColor="text1"/>
                <w:sz w:val="22"/>
                <w:szCs w:val="22"/>
                <w:lang w:eastAsia="zh-CN"/>
              </w:rPr>
            </w:pPr>
            <w:r>
              <w:rPr>
                <w:rFonts w:ascii="Arial" w:eastAsia="SimSun" w:hAnsi="Arial" w:cs="Arial"/>
                <w:color w:val="000000" w:themeColor="text1"/>
                <w:sz w:val="22"/>
                <w:szCs w:val="22"/>
                <w:lang w:eastAsia="zh-CN"/>
              </w:rPr>
              <w:t>3</w:t>
            </w:r>
          </w:p>
        </w:tc>
        <w:tc>
          <w:tcPr>
            <w:tcW w:w="2509" w:type="dxa"/>
            <w:vAlign w:val="center"/>
          </w:tcPr>
          <w:p w14:paraId="7BDDD569" w14:textId="77777777" w:rsidR="00DE3473" w:rsidRDefault="00000000">
            <w:pPr>
              <w:widowControl/>
              <w:jc w:val="left"/>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 xml:space="preserve">Survey (Vaucher </w:t>
            </w:r>
            <w:r>
              <w:rPr>
                <w:rFonts w:ascii="Arial" w:eastAsia="SimSun" w:hAnsi="Arial" w:cs="Arial"/>
                <w:color w:val="000000" w:themeColor="text1"/>
                <w:sz w:val="22"/>
                <w:szCs w:val="22"/>
                <w:lang w:eastAsia="zh-CN"/>
              </w:rPr>
              <w:t>et al.</w:t>
            </w:r>
            <w:r>
              <w:rPr>
                <w:rFonts w:ascii="Arial" w:eastAsia="SimSun" w:hAnsi="Arial" w:cs="Arial"/>
                <w:color w:val="000000" w:themeColor="text1"/>
                <w:sz w:val="22"/>
                <w:szCs w:val="22"/>
                <w:lang w:eastAsia="zh-CN" w:bidi="ar"/>
              </w:rPr>
              <w:t xml:space="preserve">, 2018; Armoogum </w:t>
            </w:r>
            <w:r>
              <w:rPr>
                <w:rFonts w:ascii="Arial" w:eastAsia="SimSun" w:hAnsi="Arial" w:cs="Arial"/>
                <w:color w:val="000000" w:themeColor="text1"/>
                <w:sz w:val="22"/>
                <w:szCs w:val="22"/>
                <w:lang w:eastAsia="zh-CN"/>
              </w:rPr>
              <w:t>et al., 2024</w:t>
            </w:r>
            <w:r>
              <w:rPr>
                <w:rFonts w:ascii="Arial" w:eastAsia="SimSun" w:hAnsi="Arial" w:cs="Arial"/>
                <w:color w:val="000000" w:themeColor="text1"/>
                <w:sz w:val="22"/>
                <w:szCs w:val="22"/>
                <w:lang w:eastAsia="zh-CN" w:bidi="ar"/>
              </w:rPr>
              <w:t>)</w:t>
            </w:r>
          </w:p>
        </w:tc>
        <w:tc>
          <w:tcPr>
            <w:tcW w:w="1629" w:type="dxa"/>
            <w:vAlign w:val="center"/>
          </w:tcPr>
          <w:p w14:paraId="0851158F" w14:textId="77777777" w:rsidR="00DE3473" w:rsidRDefault="00000000">
            <w:pPr>
              <w:widowControl/>
              <w:jc w:val="left"/>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Broad professional insight</w:t>
            </w:r>
          </w:p>
        </w:tc>
        <w:tc>
          <w:tcPr>
            <w:tcW w:w="2075" w:type="dxa"/>
            <w:vAlign w:val="center"/>
          </w:tcPr>
          <w:p w14:paraId="29B4BE88" w14:textId="77777777" w:rsidR="00DE3473" w:rsidRDefault="00000000">
            <w:pPr>
              <w:widowControl/>
              <w:jc w:val="left"/>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Self-report bias, limited representativeness</w:t>
            </w:r>
          </w:p>
        </w:tc>
        <w:tc>
          <w:tcPr>
            <w:tcW w:w="2104" w:type="dxa"/>
            <w:vAlign w:val="center"/>
          </w:tcPr>
          <w:p w14:paraId="15FE27FF" w14:textId="77777777" w:rsidR="00DE3473" w:rsidRDefault="00000000">
            <w:pPr>
              <w:widowControl/>
              <w:jc w:val="left"/>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Identify workforce gaps</w:t>
            </w:r>
          </w:p>
        </w:tc>
      </w:tr>
      <w:tr w:rsidR="00DE3473" w14:paraId="04CB557E" w14:textId="77777777">
        <w:tc>
          <w:tcPr>
            <w:tcW w:w="652" w:type="dxa"/>
          </w:tcPr>
          <w:p w14:paraId="0EF0E530" w14:textId="77777777" w:rsidR="00DE3473" w:rsidRDefault="00000000">
            <w:pPr>
              <w:spacing w:before="100" w:beforeAutospacing="1" w:after="100" w:afterAutospacing="1" w:line="360" w:lineRule="auto"/>
              <w:outlineLvl w:val="2"/>
              <w:rPr>
                <w:rFonts w:ascii="Arial" w:eastAsia="SimSun" w:hAnsi="Arial" w:cs="Arial"/>
                <w:color w:val="000000" w:themeColor="text1"/>
                <w:sz w:val="22"/>
                <w:szCs w:val="22"/>
                <w:lang w:eastAsia="zh-CN"/>
              </w:rPr>
            </w:pPr>
            <w:r>
              <w:rPr>
                <w:rFonts w:ascii="Arial" w:eastAsia="SimSun" w:hAnsi="Arial" w:cs="Arial"/>
                <w:color w:val="000000" w:themeColor="text1"/>
                <w:sz w:val="22"/>
                <w:szCs w:val="22"/>
                <w:lang w:eastAsia="zh-CN"/>
              </w:rPr>
              <w:t>4</w:t>
            </w:r>
          </w:p>
        </w:tc>
        <w:tc>
          <w:tcPr>
            <w:tcW w:w="2509" w:type="dxa"/>
            <w:vAlign w:val="center"/>
          </w:tcPr>
          <w:p w14:paraId="4A95257F" w14:textId="77777777" w:rsidR="00DE3473" w:rsidRDefault="00000000">
            <w:pPr>
              <w:widowControl/>
              <w:jc w:val="left"/>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Consensus (Denver-Wason</w:t>
            </w:r>
            <w:r>
              <w:rPr>
                <w:rFonts w:ascii="Arial" w:eastAsia="SimSun" w:hAnsi="Arial" w:cs="Arial"/>
                <w:color w:val="000000" w:themeColor="text1"/>
                <w:sz w:val="22"/>
                <w:szCs w:val="22"/>
                <w:lang w:eastAsia="zh-CN"/>
              </w:rPr>
              <w:t>et al., 2025</w:t>
            </w:r>
            <w:r>
              <w:rPr>
                <w:rFonts w:ascii="Arial" w:eastAsia="SimSun" w:hAnsi="Arial" w:cs="Arial"/>
                <w:color w:val="000000" w:themeColor="text1"/>
                <w:sz w:val="22"/>
                <w:szCs w:val="22"/>
                <w:lang w:eastAsia="zh-CN" w:bidi="ar"/>
              </w:rPr>
              <w:t>)</w:t>
            </w:r>
          </w:p>
        </w:tc>
        <w:tc>
          <w:tcPr>
            <w:tcW w:w="1629" w:type="dxa"/>
            <w:vAlign w:val="center"/>
          </w:tcPr>
          <w:p w14:paraId="56CC68C7" w14:textId="77777777" w:rsidR="00DE3473" w:rsidRDefault="00000000">
            <w:pPr>
              <w:widowControl/>
              <w:jc w:val="left"/>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Patient inclusion, tool relevance</w:t>
            </w:r>
          </w:p>
        </w:tc>
        <w:tc>
          <w:tcPr>
            <w:tcW w:w="2075" w:type="dxa"/>
            <w:vAlign w:val="center"/>
          </w:tcPr>
          <w:p w14:paraId="7ADC8CDB" w14:textId="77777777" w:rsidR="00DE3473" w:rsidRDefault="00000000">
            <w:pPr>
              <w:widowControl/>
              <w:jc w:val="left"/>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Lack of psychometric validation</w:t>
            </w:r>
          </w:p>
        </w:tc>
        <w:tc>
          <w:tcPr>
            <w:tcW w:w="2104" w:type="dxa"/>
            <w:vAlign w:val="center"/>
          </w:tcPr>
          <w:p w14:paraId="7A14A358" w14:textId="77777777" w:rsidR="00DE3473" w:rsidRDefault="00000000">
            <w:pPr>
              <w:widowControl/>
              <w:jc w:val="left"/>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Align measures with patient priorities</w:t>
            </w:r>
          </w:p>
        </w:tc>
      </w:tr>
      <w:tr w:rsidR="00DE3473" w14:paraId="50EB63E3" w14:textId="77777777">
        <w:tc>
          <w:tcPr>
            <w:tcW w:w="652" w:type="dxa"/>
          </w:tcPr>
          <w:p w14:paraId="079B7341" w14:textId="77777777" w:rsidR="00DE3473" w:rsidRDefault="00000000">
            <w:pPr>
              <w:spacing w:before="100" w:beforeAutospacing="1" w:after="100" w:afterAutospacing="1" w:line="360" w:lineRule="auto"/>
              <w:outlineLvl w:val="2"/>
              <w:rPr>
                <w:rFonts w:ascii="Arial" w:eastAsia="SimSun" w:hAnsi="Arial" w:cs="Arial"/>
                <w:color w:val="000000" w:themeColor="text1"/>
                <w:sz w:val="22"/>
                <w:szCs w:val="22"/>
                <w:lang w:eastAsia="zh-CN"/>
              </w:rPr>
            </w:pPr>
            <w:r>
              <w:rPr>
                <w:rFonts w:ascii="Arial" w:eastAsia="SimSun" w:hAnsi="Arial" w:cs="Arial"/>
                <w:color w:val="000000" w:themeColor="text1"/>
                <w:sz w:val="22"/>
                <w:szCs w:val="22"/>
                <w:lang w:eastAsia="zh-CN"/>
              </w:rPr>
              <w:t>5</w:t>
            </w:r>
          </w:p>
        </w:tc>
        <w:tc>
          <w:tcPr>
            <w:tcW w:w="2509" w:type="dxa"/>
            <w:vAlign w:val="center"/>
          </w:tcPr>
          <w:p w14:paraId="71A14C18" w14:textId="77777777" w:rsidR="00DE3473" w:rsidRDefault="00000000">
            <w:pPr>
              <w:widowControl/>
              <w:jc w:val="left"/>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Natural Experiment (Fallon</w:t>
            </w:r>
            <w:r>
              <w:rPr>
                <w:rFonts w:ascii="Arial" w:eastAsia="SimSun" w:hAnsi="Arial" w:cs="Arial"/>
                <w:color w:val="000000" w:themeColor="text1"/>
                <w:sz w:val="22"/>
                <w:szCs w:val="22"/>
                <w:lang w:eastAsia="zh-CN"/>
              </w:rPr>
              <w:t>et al., 2020</w:t>
            </w:r>
            <w:r>
              <w:rPr>
                <w:rFonts w:ascii="Arial" w:eastAsia="SimSun" w:hAnsi="Arial" w:cs="Arial"/>
                <w:color w:val="000000" w:themeColor="text1"/>
                <w:sz w:val="22"/>
                <w:szCs w:val="22"/>
                <w:lang w:eastAsia="zh-CN" w:bidi="ar"/>
              </w:rPr>
              <w:t>)</w:t>
            </w:r>
          </w:p>
        </w:tc>
        <w:tc>
          <w:tcPr>
            <w:tcW w:w="1629" w:type="dxa"/>
            <w:vAlign w:val="center"/>
          </w:tcPr>
          <w:p w14:paraId="53F1197F" w14:textId="77777777" w:rsidR="00DE3473" w:rsidRDefault="00000000">
            <w:pPr>
              <w:widowControl/>
              <w:jc w:val="left"/>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Real-world relevance</w:t>
            </w:r>
          </w:p>
        </w:tc>
        <w:tc>
          <w:tcPr>
            <w:tcW w:w="2075" w:type="dxa"/>
            <w:vAlign w:val="center"/>
          </w:tcPr>
          <w:p w14:paraId="636C02D0" w14:textId="77777777" w:rsidR="00DE3473" w:rsidRDefault="00000000">
            <w:pPr>
              <w:widowControl/>
              <w:jc w:val="left"/>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Contextual confounders</w:t>
            </w:r>
          </w:p>
        </w:tc>
        <w:tc>
          <w:tcPr>
            <w:tcW w:w="2104" w:type="dxa"/>
            <w:vAlign w:val="center"/>
          </w:tcPr>
          <w:p w14:paraId="41B4D20F" w14:textId="77777777" w:rsidR="00DE3473" w:rsidRDefault="00000000">
            <w:pPr>
              <w:widowControl/>
              <w:jc w:val="left"/>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Show psychosocial amplifiers of pain</w:t>
            </w:r>
          </w:p>
        </w:tc>
      </w:tr>
    </w:tbl>
    <w:p w14:paraId="7163DE84" w14:textId="77777777" w:rsidR="00DE3473" w:rsidRDefault="00000000">
      <w:pPr>
        <w:spacing w:before="100" w:beforeAutospacing="1" w:after="100" w:afterAutospacing="1" w:line="360" w:lineRule="auto"/>
        <w:jc w:val="both"/>
        <w:outlineLvl w:val="2"/>
        <w:rPr>
          <w:rFonts w:ascii="Arial" w:eastAsia="SimSun" w:hAnsi="Arial" w:cs="Arial"/>
          <w:color w:val="000000" w:themeColor="text1"/>
          <w:sz w:val="22"/>
          <w:szCs w:val="22"/>
          <w:lang w:eastAsia="zh-CN"/>
        </w:rPr>
      </w:pPr>
      <w:r>
        <w:rPr>
          <w:rFonts w:ascii="Arial" w:eastAsia="SimSun" w:hAnsi="Arial" w:cs="Arial"/>
          <w:color w:val="000000" w:themeColor="text1"/>
          <w:sz w:val="22"/>
          <w:szCs w:val="22"/>
          <w:lang w:eastAsia="zh-CN"/>
        </w:rPr>
        <w:t xml:space="preserve">Table 4.2 shows the summary of methodology findings </w:t>
      </w:r>
    </w:p>
    <w:p w14:paraId="1F5C731A" w14:textId="77777777" w:rsidR="00DE3473" w:rsidRDefault="00DE3473">
      <w:pPr>
        <w:spacing w:before="100" w:beforeAutospacing="1" w:after="100" w:afterAutospacing="1" w:line="360" w:lineRule="auto"/>
        <w:jc w:val="both"/>
        <w:outlineLvl w:val="2"/>
        <w:rPr>
          <w:rFonts w:ascii="Arial" w:eastAsia="SimSun" w:hAnsi="Arial" w:cs="Arial"/>
          <w:b/>
          <w:bCs/>
          <w:color w:val="000000" w:themeColor="text1"/>
          <w:sz w:val="22"/>
          <w:szCs w:val="22"/>
          <w:lang w:eastAsia="zh-CN"/>
        </w:rPr>
      </w:pPr>
    </w:p>
    <w:p w14:paraId="38B87DBE" w14:textId="77777777" w:rsidR="00DE3473" w:rsidRDefault="00000000">
      <w:pPr>
        <w:spacing w:before="100" w:beforeAutospacing="1" w:after="100" w:afterAutospacing="1" w:line="360" w:lineRule="auto"/>
        <w:jc w:val="both"/>
        <w:outlineLvl w:val="2"/>
        <w:rPr>
          <w:rFonts w:ascii="Arial" w:eastAsia="SimSun" w:hAnsi="Arial" w:cs="Arial"/>
          <w:b/>
          <w:bCs/>
          <w:color w:val="000000" w:themeColor="text1"/>
          <w:sz w:val="22"/>
          <w:szCs w:val="22"/>
          <w:lang w:eastAsia="zh-CN"/>
        </w:rPr>
      </w:pPr>
      <w:r>
        <w:rPr>
          <w:rFonts w:ascii="Arial" w:eastAsia="SimSun" w:hAnsi="Arial" w:cs="Arial"/>
          <w:b/>
          <w:bCs/>
          <w:color w:val="000000" w:themeColor="text1"/>
          <w:sz w:val="22"/>
          <w:szCs w:val="22"/>
          <w:lang w:eastAsia="zh-CN"/>
        </w:rPr>
        <w:lastRenderedPageBreak/>
        <w:t>4.3 Thematic Analysis Results</w:t>
      </w:r>
    </w:p>
    <w:p w14:paraId="18BCBEF0" w14:textId="77777777" w:rsidR="00DE3473" w:rsidRDefault="00000000">
      <w:pPr>
        <w:spacing w:line="360" w:lineRule="auto"/>
        <w:jc w:val="both"/>
        <w:rPr>
          <w:rFonts w:ascii="Arial" w:eastAsia="SimSun" w:hAnsi="Arial" w:cs="Arial"/>
          <w:color w:val="000000" w:themeColor="text1"/>
          <w:sz w:val="22"/>
          <w:szCs w:val="22"/>
          <w:lang w:eastAsia="zh-CN"/>
        </w:rPr>
      </w:pPr>
      <w:r>
        <w:rPr>
          <w:rFonts w:ascii="Arial" w:eastAsia="SimSun" w:hAnsi="Arial" w:cs="Arial"/>
          <w:color w:val="000000" w:themeColor="text1"/>
          <w:sz w:val="22"/>
          <w:szCs w:val="22"/>
          <w:lang w:eastAsia="zh-CN"/>
        </w:rPr>
        <w:t xml:space="preserve">Thematic analysis summary of ten studies </w:t>
      </w:r>
      <w:r>
        <w:rPr>
          <w:rFonts w:ascii="Arial" w:hAnsi="Arial" w:cs="Arial"/>
          <w:color w:val="000000" w:themeColor="text1"/>
          <w:sz w:val="22"/>
          <w:szCs w:val="22"/>
        </w:rPr>
        <w:t>exploring the effect of chronic pain management on the physical well-being of older adults in the United Kingdom</w:t>
      </w:r>
      <w:r>
        <w:rPr>
          <w:rFonts w:ascii="Arial" w:hAnsi="Arial" w:cs="Arial"/>
          <w:b/>
          <w:bCs/>
          <w:color w:val="000000" w:themeColor="text1"/>
          <w:sz w:val="22"/>
          <w:szCs w:val="22"/>
        </w:rPr>
        <w:t xml:space="preserve"> </w:t>
      </w:r>
      <w:r>
        <w:rPr>
          <w:rFonts w:ascii="Arial" w:eastAsia="SimSun" w:hAnsi="Arial" w:cs="Arial"/>
          <w:color w:val="000000" w:themeColor="text1"/>
          <w:sz w:val="22"/>
          <w:szCs w:val="22"/>
          <w:lang w:eastAsia="zh-CN"/>
        </w:rPr>
        <w:t xml:space="preserve"> </w:t>
      </w:r>
      <w:r>
        <w:rPr>
          <w:rFonts w:ascii="Arial" w:eastAsia="SimSun" w:hAnsi="Arial" w:cs="Arial"/>
          <w:color w:val="000000" w:themeColor="text1"/>
          <w:sz w:val="22"/>
          <w:szCs w:val="22"/>
        </w:rPr>
        <w:t>Each row is a theme observed across the corpus, with subthemes, typical codes, a short code explanation, and which papers support that theme (author, year).</w:t>
      </w:r>
    </w:p>
    <w:p w14:paraId="1BF5B9A8" w14:textId="77777777" w:rsidR="00DE3473" w:rsidRDefault="00000000">
      <w:pPr>
        <w:spacing w:line="360" w:lineRule="auto"/>
        <w:jc w:val="both"/>
        <w:rPr>
          <w:rFonts w:ascii="Arial" w:eastAsia="DengXian" w:hAnsi="Arial" w:cs="Arial"/>
          <w:b/>
          <w:bCs/>
          <w:color w:val="000000" w:themeColor="text1"/>
          <w:sz w:val="22"/>
          <w:szCs w:val="22"/>
          <w:lang w:eastAsia="zh-CN"/>
        </w:rPr>
      </w:pPr>
      <w:r>
        <w:rPr>
          <w:rFonts w:ascii="Arial" w:eastAsia="SimSun" w:hAnsi="Arial" w:cs="Arial"/>
          <w:b/>
          <w:bCs/>
          <w:color w:val="000000" w:themeColor="text1"/>
          <w:sz w:val="22"/>
          <w:szCs w:val="22"/>
          <w:lang w:eastAsia="zh-CN"/>
        </w:rPr>
        <w:t xml:space="preserve">Table 4.3: Thematic Analysis Results of Ten Reviewed Studies on </w:t>
      </w:r>
      <w:r>
        <w:rPr>
          <w:rFonts w:ascii="Arial" w:hAnsi="Arial" w:cs="Arial"/>
          <w:b/>
          <w:bCs/>
          <w:color w:val="000000" w:themeColor="text1"/>
          <w:sz w:val="22"/>
          <w:szCs w:val="22"/>
        </w:rPr>
        <w:t>chronic pain management on the physical well-being of older adults in the United Kingdom</w:t>
      </w:r>
    </w:p>
    <w:tbl>
      <w:tblPr>
        <w:tblStyle w:val="TableGrid"/>
        <w:tblW w:w="9045" w:type="dxa"/>
        <w:tblInd w:w="267" w:type="dxa"/>
        <w:tblLayout w:type="fixed"/>
        <w:tblLook w:val="04A0" w:firstRow="1" w:lastRow="0" w:firstColumn="1" w:lastColumn="0" w:noHBand="0" w:noVBand="1"/>
      </w:tblPr>
      <w:tblGrid>
        <w:gridCol w:w="1151"/>
        <w:gridCol w:w="1400"/>
        <w:gridCol w:w="1805"/>
        <w:gridCol w:w="2460"/>
        <w:gridCol w:w="2229"/>
      </w:tblGrid>
      <w:tr w:rsidR="00DE3473" w14:paraId="786A5B40" w14:textId="77777777">
        <w:tc>
          <w:tcPr>
            <w:tcW w:w="1151" w:type="dxa"/>
            <w:vAlign w:val="center"/>
          </w:tcPr>
          <w:p w14:paraId="3CE02BE9" w14:textId="77777777" w:rsidR="00DE3473" w:rsidRDefault="00000000">
            <w:pPr>
              <w:widowControl/>
              <w:spacing w:line="360" w:lineRule="auto"/>
              <w:rPr>
                <w:rFonts w:ascii="Arial" w:hAnsi="Arial" w:cs="Arial"/>
                <w:b/>
                <w:bCs/>
                <w:color w:val="000000" w:themeColor="text1"/>
                <w:sz w:val="22"/>
                <w:szCs w:val="22"/>
                <w:lang w:eastAsia="zh-CN"/>
              </w:rPr>
            </w:pPr>
            <w:r>
              <w:rPr>
                <w:rStyle w:val="Strong"/>
                <w:rFonts w:ascii="Arial" w:eastAsia="SimSun" w:hAnsi="Arial" w:cs="Arial"/>
                <w:color w:val="000000" w:themeColor="text1"/>
                <w:sz w:val="22"/>
                <w:szCs w:val="22"/>
                <w:lang w:eastAsia="zh-CN" w:bidi="ar"/>
              </w:rPr>
              <w:t>Theme</w:t>
            </w:r>
          </w:p>
        </w:tc>
        <w:tc>
          <w:tcPr>
            <w:tcW w:w="1400" w:type="dxa"/>
            <w:vAlign w:val="center"/>
          </w:tcPr>
          <w:p w14:paraId="7F01673A" w14:textId="77777777" w:rsidR="00DE3473" w:rsidRDefault="00000000">
            <w:pPr>
              <w:widowControl/>
              <w:spacing w:line="360" w:lineRule="auto"/>
              <w:rPr>
                <w:rFonts w:ascii="Arial" w:hAnsi="Arial" w:cs="Arial"/>
                <w:b/>
                <w:bCs/>
                <w:color w:val="000000" w:themeColor="text1"/>
                <w:sz w:val="22"/>
                <w:szCs w:val="22"/>
                <w:lang w:eastAsia="zh-CN"/>
              </w:rPr>
            </w:pPr>
            <w:r>
              <w:rPr>
                <w:rStyle w:val="Strong"/>
                <w:rFonts w:ascii="Arial" w:eastAsia="SimSun" w:hAnsi="Arial" w:cs="Arial"/>
                <w:color w:val="000000" w:themeColor="text1"/>
                <w:sz w:val="22"/>
                <w:szCs w:val="22"/>
                <w:lang w:eastAsia="zh-CN" w:bidi="ar"/>
              </w:rPr>
              <w:t>Subtheme</w:t>
            </w:r>
          </w:p>
        </w:tc>
        <w:tc>
          <w:tcPr>
            <w:tcW w:w="1805" w:type="dxa"/>
            <w:vAlign w:val="center"/>
          </w:tcPr>
          <w:p w14:paraId="73E21740" w14:textId="77777777" w:rsidR="00DE3473" w:rsidRDefault="00000000">
            <w:pPr>
              <w:widowControl/>
              <w:spacing w:line="360" w:lineRule="auto"/>
              <w:rPr>
                <w:rFonts w:ascii="Arial" w:hAnsi="Arial" w:cs="Arial"/>
                <w:b/>
                <w:bCs/>
                <w:color w:val="000000" w:themeColor="text1"/>
                <w:sz w:val="22"/>
                <w:szCs w:val="22"/>
                <w:lang w:eastAsia="zh-CN"/>
              </w:rPr>
            </w:pPr>
            <w:r>
              <w:rPr>
                <w:rStyle w:val="Strong"/>
                <w:rFonts w:ascii="Arial" w:eastAsia="SimSun" w:hAnsi="Arial" w:cs="Arial"/>
                <w:color w:val="000000" w:themeColor="text1"/>
                <w:sz w:val="22"/>
                <w:szCs w:val="22"/>
                <w:lang w:eastAsia="zh-CN" w:bidi="ar"/>
              </w:rPr>
              <w:t>Codes</w:t>
            </w:r>
          </w:p>
        </w:tc>
        <w:tc>
          <w:tcPr>
            <w:tcW w:w="2460" w:type="dxa"/>
            <w:vAlign w:val="center"/>
          </w:tcPr>
          <w:p w14:paraId="43A2E3C4" w14:textId="77777777" w:rsidR="00DE3473" w:rsidRDefault="00000000">
            <w:pPr>
              <w:widowControl/>
              <w:spacing w:line="360" w:lineRule="auto"/>
              <w:rPr>
                <w:rFonts w:ascii="Arial" w:hAnsi="Arial" w:cs="Arial"/>
                <w:b/>
                <w:bCs/>
                <w:color w:val="000000" w:themeColor="text1"/>
                <w:sz w:val="22"/>
                <w:szCs w:val="22"/>
                <w:lang w:eastAsia="zh-CN"/>
              </w:rPr>
            </w:pPr>
            <w:r>
              <w:rPr>
                <w:rStyle w:val="Strong"/>
                <w:rFonts w:ascii="Arial" w:eastAsia="SimSun" w:hAnsi="Arial" w:cs="Arial"/>
                <w:color w:val="000000" w:themeColor="text1"/>
                <w:sz w:val="22"/>
                <w:szCs w:val="22"/>
                <w:lang w:eastAsia="zh-CN" w:bidi="ar"/>
              </w:rPr>
              <w:t>Code Explanation</w:t>
            </w:r>
          </w:p>
        </w:tc>
        <w:tc>
          <w:tcPr>
            <w:tcW w:w="2229" w:type="dxa"/>
            <w:vAlign w:val="center"/>
          </w:tcPr>
          <w:p w14:paraId="5B08B73C" w14:textId="77777777" w:rsidR="00DE3473" w:rsidRDefault="00000000">
            <w:pPr>
              <w:widowControl/>
              <w:spacing w:line="360" w:lineRule="auto"/>
              <w:rPr>
                <w:rFonts w:ascii="Arial" w:hAnsi="Arial" w:cs="Arial"/>
                <w:b/>
                <w:bCs/>
                <w:color w:val="000000" w:themeColor="text1"/>
                <w:sz w:val="22"/>
                <w:szCs w:val="22"/>
                <w:lang w:eastAsia="zh-CN"/>
              </w:rPr>
            </w:pPr>
            <w:r>
              <w:rPr>
                <w:rStyle w:val="Strong"/>
                <w:rFonts w:ascii="Arial" w:eastAsia="SimSun" w:hAnsi="Arial" w:cs="Arial"/>
                <w:color w:val="000000" w:themeColor="text1"/>
                <w:sz w:val="22"/>
                <w:szCs w:val="22"/>
                <w:lang w:eastAsia="zh-CN" w:bidi="ar"/>
              </w:rPr>
              <w:t>Supporting Papers (Author, Year)</w:t>
            </w:r>
          </w:p>
        </w:tc>
      </w:tr>
      <w:tr w:rsidR="00DE3473" w14:paraId="74FE932A" w14:textId="77777777">
        <w:trPr>
          <w:trHeight w:val="1859"/>
        </w:trPr>
        <w:tc>
          <w:tcPr>
            <w:tcW w:w="1151" w:type="dxa"/>
            <w:vAlign w:val="center"/>
          </w:tcPr>
          <w:p w14:paraId="233B9A04" w14:textId="77777777" w:rsidR="00DE3473" w:rsidRDefault="00000000">
            <w:pPr>
              <w:widowControl/>
              <w:spacing w:line="360" w:lineRule="auto"/>
              <w:rPr>
                <w:rFonts w:ascii="Arial" w:hAnsi="Arial" w:cs="Arial"/>
                <w:color w:val="000000" w:themeColor="text1"/>
                <w:sz w:val="22"/>
                <w:szCs w:val="22"/>
                <w:lang w:eastAsia="zh-CN"/>
              </w:rPr>
            </w:pPr>
            <w:r>
              <w:rPr>
                <w:rStyle w:val="Strong"/>
                <w:rFonts w:ascii="Arial" w:eastAsia="SimSun" w:hAnsi="Arial" w:cs="Arial"/>
                <w:color w:val="000000" w:themeColor="text1"/>
                <w:sz w:val="22"/>
                <w:szCs w:val="22"/>
                <w:lang w:eastAsia="zh-CN" w:bidi="ar"/>
              </w:rPr>
              <w:t>Burden and prevalence of chronic pain</w:t>
            </w:r>
          </w:p>
        </w:tc>
        <w:tc>
          <w:tcPr>
            <w:tcW w:w="1400" w:type="dxa"/>
            <w:vAlign w:val="center"/>
          </w:tcPr>
          <w:p w14:paraId="4090575B"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Treatment orientation</w:t>
            </w:r>
          </w:p>
        </w:tc>
        <w:tc>
          <w:tcPr>
            <w:tcW w:w="1805" w:type="dxa"/>
            <w:vAlign w:val="center"/>
          </w:tcPr>
          <w:p w14:paraId="7C7417F8"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High prevalence; multimorbidity; widespread pain; disability</w:t>
            </w:r>
          </w:p>
        </w:tc>
        <w:tc>
          <w:tcPr>
            <w:tcW w:w="2460" w:type="dxa"/>
            <w:vAlign w:val="center"/>
          </w:tcPr>
          <w:p w14:paraId="0CC8841A"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Quantitative markers showing how common chronic pain is and its concentration in people with multiple long-term conditions and greater disability.</w:t>
            </w:r>
          </w:p>
        </w:tc>
        <w:tc>
          <w:tcPr>
            <w:tcW w:w="2229" w:type="dxa"/>
            <w:vAlign w:val="center"/>
          </w:tcPr>
          <w:p w14:paraId="0380886E"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 xml:space="preserve">McQueenie et al. (2021); Smith </w:t>
            </w:r>
            <w:r>
              <w:rPr>
                <w:rFonts w:ascii="Arial" w:eastAsia="SimSun" w:hAnsi="Arial" w:cs="Arial"/>
                <w:color w:val="000000" w:themeColor="text1"/>
                <w:sz w:val="22"/>
                <w:szCs w:val="22"/>
                <w:lang w:eastAsia="zh-CN"/>
              </w:rPr>
              <w:t xml:space="preserve">et al. </w:t>
            </w:r>
            <w:r>
              <w:rPr>
                <w:rFonts w:ascii="Arial" w:eastAsia="SimSun" w:hAnsi="Arial" w:cs="Arial"/>
                <w:color w:val="000000" w:themeColor="text1"/>
                <w:sz w:val="22"/>
                <w:szCs w:val="22"/>
                <w:lang w:eastAsia="zh-CN" w:bidi="ar"/>
              </w:rPr>
              <w:t>(2022)</w:t>
            </w:r>
          </w:p>
        </w:tc>
      </w:tr>
      <w:tr w:rsidR="00DE3473" w14:paraId="7FECE0BF" w14:textId="77777777">
        <w:tc>
          <w:tcPr>
            <w:tcW w:w="1151" w:type="dxa"/>
            <w:vAlign w:val="center"/>
          </w:tcPr>
          <w:p w14:paraId="65609CBB" w14:textId="77777777" w:rsidR="00DE3473" w:rsidRDefault="00000000">
            <w:pPr>
              <w:widowControl/>
              <w:spacing w:line="360" w:lineRule="auto"/>
              <w:rPr>
                <w:rFonts w:ascii="Arial" w:hAnsi="Arial" w:cs="Arial"/>
                <w:color w:val="000000" w:themeColor="text1"/>
                <w:sz w:val="22"/>
                <w:szCs w:val="22"/>
                <w:lang w:eastAsia="zh-CN"/>
              </w:rPr>
            </w:pPr>
            <w:r>
              <w:rPr>
                <w:rStyle w:val="Strong"/>
                <w:rFonts w:ascii="Arial" w:eastAsia="SimSun" w:hAnsi="Arial" w:cs="Arial"/>
                <w:color w:val="000000" w:themeColor="text1"/>
                <w:sz w:val="22"/>
                <w:szCs w:val="22"/>
                <w:lang w:eastAsia="zh-CN" w:bidi="ar"/>
              </w:rPr>
              <w:t>Impact on daily life and functioning</w:t>
            </w:r>
          </w:p>
        </w:tc>
        <w:tc>
          <w:tcPr>
            <w:tcW w:w="1400" w:type="dxa"/>
            <w:vAlign w:val="center"/>
          </w:tcPr>
          <w:p w14:paraId="4669901E"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Carer roles and hidden needs</w:t>
            </w:r>
          </w:p>
        </w:tc>
        <w:tc>
          <w:tcPr>
            <w:tcW w:w="1805" w:type="dxa"/>
            <w:vAlign w:val="center"/>
          </w:tcPr>
          <w:p w14:paraId="5ACAB519"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ADL impairment; mobility limits; daily disruption; role loss</w:t>
            </w:r>
          </w:p>
        </w:tc>
        <w:tc>
          <w:tcPr>
            <w:tcW w:w="2460" w:type="dxa"/>
            <w:vAlign w:val="center"/>
          </w:tcPr>
          <w:p w14:paraId="2D9276FF"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How pain prevents/limits daily tasks, reduces participation, and changes identity/roles.</w:t>
            </w:r>
          </w:p>
        </w:tc>
        <w:tc>
          <w:tcPr>
            <w:tcW w:w="2229" w:type="dxa"/>
            <w:vAlign w:val="center"/>
          </w:tcPr>
          <w:p w14:paraId="66EBD23A"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 xml:space="preserve">McQueenie et al. (2021); Jebara et al. (2023); Stewart </w:t>
            </w:r>
            <w:r>
              <w:rPr>
                <w:rFonts w:ascii="Arial" w:eastAsia="SimSun" w:hAnsi="Arial" w:cs="Arial"/>
                <w:color w:val="000000" w:themeColor="text1"/>
                <w:sz w:val="22"/>
                <w:szCs w:val="22"/>
                <w:lang w:eastAsia="zh-CN"/>
              </w:rPr>
              <w:t xml:space="preserve">et al. </w:t>
            </w:r>
            <w:r>
              <w:rPr>
                <w:rFonts w:ascii="Arial" w:eastAsia="SimSun" w:hAnsi="Arial" w:cs="Arial"/>
                <w:color w:val="000000" w:themeColor="text1"/>
                <w:sz w:val="22"/>
                <w:szCs w:val="22"/>
                <w:lang w:eastAsia="zh-CN" w:bidi="ar"/>
              </w:rPr>
              <w:t xml:space="preserve">(2020); Fallon </w:t>
            </w:r>
            <w:r>
              <w:rPr>
                <w:rFonts w:ascii="Arial" w:eastAsia="SimSun" w:hAnsi="Arial" w:cs="Arial"/>
                <w:color w:val="000000" w:themeColor="text1"/>
                <w:sz w:val="22"/>
                <w:szCs w:val="22"/>
                <w:lang w:eastAsia="zh-CN"/>
              </w:rPr>
              <w:t>et al.</w:t>
            </w:r>
            <w:r>
              <w:rPr>
                <w:rFonts w:ascii="Arial" w:eastAsia="SimSun" w:hAnsi="Arial" w:cs="Arial"/>
                <w:color w:val="000000" w:themeColor="text1"/>
                <w:sz w:val="22"/>
                <w:szCs w:val="22"/>
                <w:lang w:eastAsia="zh-CN" w:bidi="ar"/>
              </w:rPr>
              <w:t xml:space="preserve"> (2020)</w:t>
            </w:r>
          </w:p>
        </w:tc>
      </w:tr>
      <w:tr w:rsidR="00DE3473" w14:paraId="56CCBB67" w14:textId="77777777">
        <w:tc>
          <w:tcPr>
            <w:tcW w:w="1151" w:type="dxa"/>
            <w:vAlign w:val="center"/>
          </w:tcPr>
          <w:p w14:paraId="3D76EBE2" w14:textId="77777777" w:rsidR="00DE3473" w:rsidRDefault="00000000">
            <w:pPr>
              <w:widowControl/>
              <w:spacing w:line="360" w:lineRule="auto"/>
              <w:rPr>
                <w:rFonts w:ascii="Arial" w:hAnsi="Arial" w:cs="Arial"/>
                <w:color w:val="000000" w:themeColor="text1"/>
                <w:sz w:val="22"/>
                <w:szCs w:val="22"/>
                <w:lang w:eastAsia="zh-CN"/>
              </w:rPr>
            </w:pPr>
            <w:r>
              <w:rPr>
                <w:rStyle w:val="Strong"/>
                <w:rFonts w:ascii="Arial" w:eastAsia="SimSun" w:hAnsi="Arial" w:cs="Arial"/>
                <w:color w:val="000000" w:themeColor="text1"/>
                <w:sz w:val="22"/>
                <w:szCs w:val="22"/>
                <w:lang w:eastAsia="zh-CN" w:bidi="ar"/>
              </w:rPr>
              <w:t>Self-management and psychological adaptation</w:t>
            </w:r>
          </w:p>
        </w:tc>
        <w:tc>
          <w:tcPr>
            <w:tcW w:w="1400" w:type="dxa"/>
            <w:vAlign w:val="center"/>
          </w:tcPr>
          <w:p w14:paraId="1644178B"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Workforce education and boundaries</w:t>
            </w:r>
          </w:p>
        </w:tc>
        <w:tc>
          <w:tcPr>
            <w:tcW w:w="1805" w:type="dxa"/>
            <w:vAlign w:val="center"/>
          </w:tcPr>
          <w:p w14:paraId="4D47EC30"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self-doubt; striving for control; acceptance; resilience; behavioral adjustments</w:t>
            </w:r>
          </w:p>
        </w:tc>
        <w:tc>
          <w:tcPr>
            <w:tcW w:w="2460" w:type="dxa"/>
            <w:vAlign w:val="center"/>
          </w:tcPr>
          <w:p w14:paraId="5B3CCC38"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Patient-level cognitive/behavioral strategies to live with pain oscillation between attempts to control vs accepting limitations.</w:t>
            </w:r>
          </w:p>
        </w:tc>
        <w:tc>
          <w:tcPr>
            <w:tcW w:w="2229" w:type="dxa"/>
            <w:vAlign w:val="center"/>
          </w:tcPr>
          <w:p w14:paraId="467377EE"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 xml:space="preserve">Bourke et al. (2022); Cooper </w:t>
            </w:r>
            <w:r>
              <w:rPr>
                <w:rFonts w:ascii="Arial" w:eastAsia="SimSun" w:hAnsi="Arial" w:cs="Arial"/>
                <w:color w:val="000000" w:themeColor="text1"/>
                <w:sz w:val="22"/>
                <w:szCs w:val="22"/>
                <w:lang w:eastAsia="zh-CN"/>
              </w:rPr>
              <w:t xml:space="preserve">et al. </w:t>
            </w:r>
            <w:r>
              <w:rPr>
                <w:rFonts w:ascii="Arial" w:eastAsia="SimSun" w:hAnsi="Arial" w:cs="Arial"/>
                <w:color w:val="000000" w:themeColor="text1"/>
                <w:sz w:val="22"/>
                <w:szCs w:val="22"/>
                <w:lang w:eastAsia="zh-CN" w:bidi="ar"/>
              </w:rPr>
              <w:t xml:space="preserve">(2016); Fallon </w:t>
            </w:r>
            <w:r>
              <w:rPr>
                <w:rFonts w:ascii="Arial" w:eastAsia="SimSun" w:hAnsi="Arial" w:cs="Arial"/>
                <w:color w:val="000000" w:themeColor="text1"/>
                <w:sz w:val="22"/>
                <w:szCs w:val="22"/>
                <w:lang w:eastAsia="zh-CN"/>
              </w:rPr>
              <w:t xml:space="preserve">et al. </w:t>
            </w:r>
            <w:r>
              <w:rPr>
                <w:rFonts w:ascii="Arial" w:eastAsia="SimSun" w:hAnsi="Arial" w:cs="Arial"/>
                <w:color w:val="000000" w:themeColor="text1"/>
                <w:sz w:val="22"/>
                <w:szCs w:val="22"/>
                <w:lang w:eastAsia="zh-CN" w:bidi="ar"/>
              </w:rPr>
              <w:t>(2020)</w:t>
            </w:r>
          </w:p>
        </w:tc>
      </w:tr>
      <w:tr w:rsidR="00DE3473" w14:paraId="400A3EBC" w14:textId="77777777">
        <w:tc>
          <w:tcPr>
            <w:tcW w:w="1151" w:type="dxa"/>
            <w:vAlign w:val="center"/>
          </w:tcPr>
          <w:p w14:paraId="073E4560" w14:textId="77777777" w:rsidR="00DE3473" w:rsidRDefault="00000000">
            <w:pPr>
              <w:widowControl/>
              <w:spacing w:line="360" w:lineRule="auto"/>
              <w:rPr>
                <w:rFonts w:ascii="Arial" w:hAnsi="Arial" w:cs="Arial"/>
                <w:color w:val="000000" w:themeColor="text1"/>
                <w:sz w:val="22"/>
                <w:szCs w:val="22"/>
                <w:lang w:eastAsia="zh-CN"/>
              </w:rPr>
            </w:pPr>
            <w:r>
              <w:rPr>
                <w:rStyle w:val="Strong"/>
                <w:rFonts w:ascii="Arial" w:eastAsia="SimSun" w:hAnsi="Arial" w:cs="Arial"/>
                <w:color w:val="000000" w:themeColor="text1"/>
                <w:sz w:val="22"/>
                <w:szCs w:val="22"/>
                <w:lang w:eastAsia="zh-CN" w:bidi="ar"/>
              </w:rPr>
              <w:t xml:space="preserve">Access, </w:t>
            </w:r>
            <w:r>
              <w:rPr>
                <w:rStyle w:val="Strong"/>
                <w:rFonts w:ascii="Arial" w:eastAsia="SimSun" w:hAnsi="Arial" w:cs="Arial"/>
                <w:color w:val="000000" w:themeColor="text1"/>
                <w:sz w:val="22"/>
                <w:szCs w:val="22"/>
                <w:lang w:eastAsia="zh-CN" w:bidi="ar"/>
              </w:rPr>
              <w:lastRenderedPageBreak/>
              <w:t>equity and service availability</w:t>
            </w:r>
          </w:p>
        </w:tc>
        <w:tc>
          <w:tcPr>
            <w:tcW w:w="1400" w:type="dxa"/>
            <w:vAlign w:val="center"/>
          </w:tcPr>
          <w:p w14:paraId="7AF81703"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lastRenderedPageBreak/>
              <w:t xml:space="preserve">Lived </w:t>
            </w:r>
            <w:r>
              <w:rPr>
                <w:rFonts w:ascii="Arial" w:eastAsia="SimSun" w:hAnsi="Arial" w:cs="Arial"/>
                <w:color w:val="000000" w:themeColor="text1"/>
                <w:sz w:val="22"/>
                <w:szCs w:val="22"/>
                <w:lang w:eastAsia="zh-CN" w:bidi="ar"/>
              </w:rPr>
              <w:lastRenderedPageBreak/>
              <w:t>experience, mentorship</w:t>
            </w:r>
          </w:p>
        </w:tc>
        <w:tc>
          <w:tcPr>
            <w:tcW w:w="1805" w:type="dxa"/>
            <w:vAlign w:val="center"/>
          </w:tcPr>
          <w:p w14:paraId="1A97D590"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lastRenderedPageBreak/>
              <w:t xml:space="preserve">poor access; </w:t>
            </w:r>
            <w:r>
              <w:rPr>
                <w:rFonts w:ascii="Arial" w:eastAsia="SimSun" w:hAnsi="Arial" w:cs="Arial"/>
                <w:color w:val="000000" w:themeColor="text1"/>
                <w:sz w:val="22"/>
                <w:szCs w:val="22"/>
                <w:lang w:eastAsia="zh-CN" w:bidi="ar"/>
              </w:rPr>
              <w:lastRenderedPageBreak/>
              <w:t>rural isolation; long waits; GP-dominated care</w:t>
            </w:r>
          </w:p>
        </w:tc>
        <w:tc>
          <w:tcPr>
            <w:tcW w:w="2460" w:type="dxa"/>
            <w:vAlign w:val="center"/>
          </w:tcPr>
          <w:p w14:paraId="4DE8B85F"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lastRenderedPageBreak/>
              <w:t xml:space="preserve">Structural/system </w:t>
            </w:r>
            <w:r>
              <w:rPr>
                <w:rFonts w:ascii="Arial" w:eastAsia="SimSun" w:hAnsi="Arial" w:cs="Arial"/>
                <w:color w:val="000000" w:themeColor="text1"/>
                <w:sz w:val="22"/>
                <w:szCs w:val="22"/>
                <w:lang w:eastAsia="zh-CN" w:bidi="ar"/>
              </w:rPr>
              <w:lastRenderedPageBreak/>
              <w:t>factors limiting access to multidisciplinary care (especially in rural/remote areas).</w:t>
            </w:r>
          </w:p>
        </w:tc>
        <w:tc>
          <w:tcPr>
            <w:tcW w:w="2229" w:type="dxa"/>
            <w:vAlign w:val="center"/>
          </w:tcPr>
          <w:p w14:paraId="73F60427"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lastRenderedPageBreak/>
              <w:t xml:space="preserve">Jebara et al. (2023); </w:t>
            </w:r>
            <w:r>
              <w:rPr>
                <w:rFonts w:ascii="Arial" w:eastAsia="SimSun" w:hAnsi="Arial" w:cs="Arial"/>
                <w:color w:val="000000" w:themeColor="text1"/>
                <w:sz w:val="22"/>
                <w:szCs w:val="22"/>
                <w:lang w:eastAsia="zh-CN" w:bidi="ar"/>
              </w:rPr>
              <w:lastRenderedPageBreak/>
              <w:t xml:space="preserve">Stewart </w:t>
            </w:r>
            <w:r>
              <w:rPr>
                <w:rFonts w:ascii="Arial" w:eastAsia="SimSun" w:hAnsi="Arial" w:cs="Arial"/>
                <w:color w:val="000000" w:themeColor="text1"/>
                <w:sz w:val="22"/>
                <w:szCs w:val="22"/>
                <w:lang w:eastAsia="zh-CN"/>
              </w:rPr>
              <w:t xml:space="preserve">et al. </w:t>
            </w:r>
            <w:r>
              <w:rPr>
                <w:rFonts w:ascii="Arial" w:eastAsia="SimSun" w:hAnsi="Arial" w:cs="Arial"/>
                <w:color w:val="000000" w:themeColor="text1"/>
                <w:sz w:val="22"/>
                <w:szCs w:val="22"/>
                <w:lang w:eastAsia="zh-CN" w:bidi="ar"/>
              </w:rPr>
              <w:t>(2020); McQueenie et al. (2021)</w:t>
            </w:r>
          </w:p>
        </w:tc>
      </w:tr>
      <w:tr w:rsidR="00DE3473" w14:paraId="73E25464" w14:textId="77777777">
        <w:tc>
          <w:tcPr>
            <w:tcW w:w="1151" w:type="dxa"/>
            <w:vAlign w:val="center"/>
          </w:tcPr>
          <w:p w14:paraId="641581CB" w14:textId="77777777" w:rsidR="00DE3473" w:rsidRDefault="00000000">
            <w:pPr>
              <w:widowControl/>
              <w:spacing w:line="360" w:lineRule="auto"/>
              <w:rPr>
                <w:rFonts w:ascii="Arial" w:hAnsi="Arial" w:cs="Arial"/>
                <w:color w:val="000000" w:themeColor="text1"/>
                <w:sz w:val="22"/>
                <w:szCs w:val="22"/>
                <w:lang w:eastAsia="zh-CN"/>
              </w:rPr>
            </w:pPr>
            <w:r>
              <w:rPr>
                <w:rStyle w:val="Strong"/>
                <w:rFonts w:ascii="Arial" w:eastAsia="SimSun" w:hAnsi="Arial" w:cs="Arial"/>
                <w:color w:val="000000" w:themeColor="text1"/>
                <w:sz w:val="22"/>
                <w:szCs w:val="22"/>
                <w:lang w:eastAsia="zh-CN" w:bidi="ar"/>
              </w:rPr>
              <w:t>Dominant biomedical vs biopsychosocial approaches</w:t>
            </w:r>
          </w:p>
        </w:tc>
        <w:tc>
          <w:tcPr>
            <w:tcW w:w="1400" w:type="dxa"/>
            <w:vAlign w:val="center"/>
          </w:tcPr>
          <w:p w14:paraId="28213E3C"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Tool selection and relevance</w:t>
            </w:r>
          </w:p>
        </w:tc>
        <w:tc>
          <w:tcPr>
            <w:tcW w:w="1805" w:type="dxa"/>
            <w:vAlign w:val="center"/>
          </w:tcPr>
          <w:p w14:paraId="1E5D5672"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biomedical dominance; limited non-pharmacologic use; biopsychosocial uptake</w:t>
            </w:r>
          </w:p>
        </w:tc>
        <w:tc>
          <w:tcPr>
            <w:tcW w:w="2460" w:type="dxa"/>
            <w:vAlign w:val="center"/>
          </w:tcPr>
          <w:p w14:paraId="7DCA144C"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Tension between medication/GP-led biomedical care and recommended holistic biopsychosocial models; low uptake of non-pharmacologic therapies.</w:t>
            </w:r>
          </w:p>
        </w:tc>
        <w:tc>
          <w:tcPr>
            <w:tcW w:w="2229" w:type="dxa"/>
            <w:vAlign w:val="center"/>
          </w:tcPr>
          <w:p w14:paraId="4C79B35A"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 xml:space="preserve">Stewart </w:t>
            </w:r>
            <w:r>
              <w:rPr>
                <w:rFonts w:ascii="Arial" w:eastAsia="SimSun" w:hAnsi="Arial" w:cs="Arial"/>
                <w:color w:val="000000" w:themeColor="text1"/>
                <w:sz w:val="22"/>
                <w:szCs w:val="22"/>
                <w:lang w:eastAsia="zh-CN"/>
              </w:rPr>
              <w:t xml:space="preserve">et al. </w:t>
            </w:r>
            <w:r>
              <w:rPr>
                <w:rFonts w:ascii="Arial" w:eastAsia="SimSun" w:hAnsi="Arial" w:cs="Arial"/>
                <w:color w:val="000000" w:themeColor="text1"/>
                <w:sz w:val="22"/>
                <w:szCs w:val="22"/>
                <w:lang w:eastAsia="zh-CN" w:bidi="ar"/>
              </w:rPr>
              <w:t xml:space="preserve">(2020); Vaucher </w:t>
            </w:r>
            <w:r>
              <w:rPr>
                <w:rFonts w:ascii="Arial" w:eastAsia="SimSun" w:hAnsi="Arial" w:cs="Arial"/>
                <w:color w:val="000000" w:themeColor="text1"/>
                <w:sz w:val="22"/>
                <w:szCs w:val="22"/>
                <w:lang w:eastAsia="zh-CN"/>
              </w:rPr>
              <w:t>et al.</w:t>
            </w:r>
            <w:r>
              <w:rPr>
                <w:rFonts w:ascii="Arial" w:eastAsia="SimSun" w:hAnsi="Arial" w:cs="Arial"/>
                <w:color w:val="000000" w:themeColor="text1"/>
                <w:sz w:val="22"/>
                <w:szCs w:val="22"/>
                <w:lang w:eastAsia="zh-CN" w:bidi="ar"/>
              </w:rPr>
              <w:t xml:space="preserve"> (2018); Armoogum </w:t>
            </w:r>
            <w:r>
              <w:rPr>
                <w:rFonts w:ascii="Arial" w:eastAsia="SimSun" w:hAnsi="Arial" w:cs="Arial"/>
                <w:color w:val="000000" w:themeColor="text1"/>
                <w:sz w:val="22"/>
                <w:szCs w:val="22"/>
                <w:lang w:eastAsia="zh-CN"/>
              </w:rPr>
              <w:t xml:space="preserve">et al. </w:t>
            </w:r>
            <w:r>
              <w:rPr>
                <w:rFonts w:ascii="Arial" w:eastAsia="SimSun" w:hAnsi="Arial" w:cs="Arial"/>
                <w:color w:val="000000" w:themeColor="text1"/>
                <w:sz w:val="22"/>
                <w:szCs w:val="22"/>
                <w:lang w:eastAsia="zh-CN" w:bidi="ar"/>
              </w:rPr>
              <w:t>(2024)</w:t>
            </w:r>
          </w:p>
        </w:tc>
      </w:tr>
      <w:tr w:rsidR="00DE3473" w14:paraId="0536E7C9" w14:textId="77777777">
        <w:tc>
          <w:tcPr>
            <w:tcW w:w="1151" w:type="dxa"/>
            <w:vAlign w:val="center"/>
          </w:tcPr>
          <w:p w14:paraId="4CCC7238" w14:textId="77777777" w:rsidR="00DE3473" w:rsidRDefault="00000000">
            <w:pPr>
              <w:widowControl/>
              <w:spacing w:line="360" w:lineRule="auto"/>
              <w:rPr>
                <w:rFonts w:ascii="Arial" w:hAnsi="Arial" w:cs="Arial"/>
                <w:color w:val="000000" w:themeColor="text1"/>
                <w:sz w:val="22"/>
                <w:szCs w:val="22"/>
                <w:lang w:eastAsia="zh-CN"/>
              </w:rPr>
            </w:pPr>
            <w:r>
              <w:rPr>
                <w:rStyle w:val="Strong"/>
                <w:rFonts w:ascii="Arial" w:eastAsia="SimSun" w:hAnsi="Arial" w:cs="Arial"/>
                <w:color w:val="000000" w:themeColor="text1"/>
                <w:sz w:val="22"/>
                <w:szCs w:val="22"/>
                <w:lang w:eastAsia="zh-CN" w:bidi="ar"/>
              </w:rPr>
              <w:t>Informal care giving and social support</w:t>
            </w:r>
          </w:p>
        </w:tc>
        <w:tc>
          <w:tcPr>
            <w:tcW w:w="1400" w:type="dxa"/>
            <w:vAlign w:val="center"/>
          </w:tcPr>
          <w:p w14:paraId="5A46ABC7"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Psychological mediators and  behavior change</w:t>
            </w:r>
          </w:p>
        </w:tc>
        <w:tc>
          <w:tcPr>
            <w:tcW w:w="1805" w:type="dxa"/>
            <w:vAlign w:val="center"/>
          </w:tcPr>
          <w:p w14:paraId="6438DE89"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partner/child care; masked unmet needs; caregiver burden; support dependency</w:t>
            </w:r>
          </w:p>
        </w:tc>
        <w:tc>
          <w:tcPr>
            <w:tcW w:w="2460" w:type="dxa"/>
            <w:vAlign w:val="center"/>
          </w:tcPr>
          <w:p w14:paraId="74BE2786"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Informal carers maintain quality of life but may conceal clinical needs or create dependency dynamics.</w:t>
            </w:r>
          </w:p>
        </w:tc>
        <w:tc>
          <w:tcPr>
            <w:tcW w:w="2229" w:type="dxa"/>
            <w:vAlign w:val="center"/>
          </w:tcPr>
          <w:p w14:paraId="3DFF4640"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 xml:space="preserve">Smith </w:t>
            </w:r>
            <w:r>
              <w:rPr>
                <w:rFonts w:ascii="Arial" w:eastAsia="SimSun" w:hAnsi="Arial" w:cs="Arial"/>
                <w:color w:val="000000" w:themeColor="text1"/>
                <w:sz w:val="22"/>
                <w:szCs w:val="22"/>
                <w:lang w:eastAsia="zh-CN"/>
              </w:rPr>
              <w:t xml:space="preserve">et al. </w:t>
            </w:r>
            <w:r>
              <w:rPr>
                <w:rFonts w:ascii="Arial" w:eastAsia="SimSun" w:hAnsi="Arial" w:cs="Arial"/>
                <w:color w:val="000000" w:themeColor="text1"/>
                <w:sz w:val="22"/>
                <w:szCs w:val="22"/>
                <w:lang w:eastAsia="zh-CN" w:bidi="ar"/>
              </w:rPr>
              <w:t>(2022)</w:t>
            </w:r>
          </w:p>
        </w:tc>
      </w:tr>
      <w:tr w:rsidR="00DE3473" w14:paraId="43CB9369" w14:textId="77777777">
        <w:tc>
          <w:tcPr>
            <w:tcW w:w="1151" w:type="dxa"/>
            <w:vAlign w:val="center"/>
          </w:tcPr>
          <w:p w14:paraId="2666B807" w14:textId="77777777" w:rsidR="00DE3473" w:rsidRDefault="00000000">
            <w:pPr>
              <w:widowControl/>
              <w:spacing w:line="360" w:lineRule="auto"/>
              <w:rPr>
                <w:rFonts w:ascii="Arial" w:hAnsi="Arial" w:cs="Arial"/>
                <w:color w:val="000000" w:themeColor="text1"/>
                <w:sz w:val="22"/>
                <w:szCs w:val="22"/>
                <w:lang w:eastAsia="zh-CN"/>
              </w:rPr>
            </w:pPr>
            <w:r>
              <w:rPr>
                <w:rStyle w:val="Strong"/>
                <w:rFonts w:ascii="Arial" w:eastAsia="SimSun" w:hAnsi="Arial" w:cs="Arial"/>
                <w:color w:val="000000" w:themeColor="text1"/>
                <w:sz w:val="22"/>
                <w:szCs w:val="22"/>
                <w:lang w:eastAsia="zh-CN" w:bidi="ar"/>
              </w:rPr>
              <w:t>Professional knowledge, confidence and role clarity</w:t>
            </w:r>
          </w:p>
        </w:tc>
        <w:tc>
          <w:tcPr>
            <w:tcW w:w="1400" w:type="dxa"/>
            <w:vAlign w:val="center"/>
          </w:tcPr>
          <w:p w14:paraId="4DAEAC40" w14:textId="77777777" w:rsidR="00DE3473" w:rsidRDefault="00DE3473">
            <w:pPr>
              <w:widowControl/>
              <w:spacing w:line="360" w:lineRule="auto"/>
              <w:rPr>
                <w:rFonts w:ascii="Arial" w:hAnsi="Arial" w:cs="Arial"/>
                <w:color w:val="000000" w:themeColor="text1"/>
                <w:sz w:val="22"/>
                <w:szCs w:val="22"/>
                <w:lang w:eastAsia="zh-CN"/>
              </w:rPr>
            </w:pPr>
          </w:p>
        </w:tc>
        <w:tc>
          <w:tcPr>
            <w:tcW w:w="1805" w:type="dxa"/>
            <w:vAlign w:val="center"/>
          </w:tcPr>
          <w:p w14:paraId="4112E692"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limited confidence; role confusion; training needs; mixed attitudes</w:t>
            </w:r>
          </w:p>
        </w:tc>
        <w:tc>
          <w:tcPr>
            <w:tcW w:w="2460" w:type="dxa"/>
            <w:vAlign w:val="center"/>
          </w:tcPr>
          <w:p w14:paraId="0D244848"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Healthcare professionals report gaps in knowledge/confidence managing chronic pain (esp. post-cancer), and unclear role responsibilities across disciplines.</w:t>
            </w:r>
          </w:p>
        </w:tc>
        <w:tc>
          <w:tcPr>
            <w:tcW w:w="2229" w:type="dxa"/>
            <w:vAlign w:val="center"/>
          </w:tcPr>
          <w:p w14:paraId="43F5B272"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 xml:space="preserve">Armoogum </w:t>
            </w:r>
            <w:r>
              <w:rPr>
                <w:rFonts w:ascii="Arial" w:eastAsia="SimSun" w:hAnsi="Arial" w:cs="Arial"/>
                <w:color w:val="000000" w:themeColor="text1"/>
                <w:sz w:val="22"/>
                <w:szCs w:val="22"/>
                <w:lang w:eastAsia="zh-CN"/>
              </w:rPr>
              <w:t xml:space="preserve">et al. </w:t>
            </w:r>
            <w:r>
              <w:rPr>
                <w:rFonts w:ascii="Arial" w:eastAsia="SimSun" w:hAnsi="Arial" w:cs="Arial"/>
                <w:color w:val="000000" w:themeColor="text1"/>
                <w:sz w:val="22"/>
                <w:szCs w:val="22"/>
                <w:lang w:eastAsia="zh-CN" w:bidi="ar"/>
              </w:rPr>
              <w:t xml:space="preserve">(2024); Vaucher </w:t>
            </w:r>
            <w:r>
              <w:rPr>
                <w:rFonts w:ascii="Arial" w:eastAsia="SimSun" w:hAnsi="Arial" w:cs="Arial"/>
                <w:color w:val="000000" w:themeColor="text1"/>
                <w:sz w:val="22"/>
                <w:szCs w:val="22"/>
                <w:lang w:eastAsia="zh-CN"/>
              </w:rPr>
              <w:t xml:space="preserve">et al. </w:t>
            </w:r>
            <w:r>
              <w:rPr>
                <w:rFonts w:ascii="Arial" w:eastAsia="SimSun" w:hAnsi="Arial" w:cs="Arial"/>
                <w:color w:val="000000" w:themeColor="text1"/>
                <w:sz w:val="22"/>
                <w:szCs w:val="22"/>
                <w:lang w:eastAsia="zh-CN" w:bidi="ar"/>
              </w:rPr>
              <w:t>(2018)</w:t>
            </w:r>
          </w:p>
        </w:tc>
      </w:tr>
      <w:tr w:rsidR="00DE3473" w14:paraId="24F893C0" w14:textId="77777777">
        <w:tc>
          <w:tcPr>
            <w:tcW w:w="1151" w:type="dxa"/>
            <w:vAlign w:val="center"/>
          </w:tcPr>
          <w:p w14:paraId="73E2EE5F" w14:textId="77777777" w:rsidR="00DE3473" w:rsidRDefault="00000000">
            <w:pPr>
              <w:widowControl/>
              <w:spacing w:line="360" w:lineRule="auto"/>
              <w:rPr>
                <w:rFonts w:ascii="Arial" w:hAnsi="Arial" w:cs="Arial"/>
                <w:color w:val="000000" w:themeColor="text1"/>
                <w:sz w:val="22"/>
                <w:szCs w:val="22"/>
                <w:lang w:eastAsia="zh-CN"/>
              </w:rPr>
            </w:pPr>
            <w:r>
              <w:rPr>
                <w:rStyle w:val="Strong"/>
                <w:rFonts w:ascii="Arial" w:eastAsia="SimSun" w:hAnsi="Arial" w:cs="Arial"/>
                <w:color w:val="000000" w:themeColor="text1"/>
                <w:sz w:val="22"/>
                <w:szCs w:val="22"/>
                <w:lang w:eastAsia="zh-CN" w:bidi="ar"/>
              </w:rPr>
              <w:t>Peer support and continuit</w:t>
            </w:r>
            <w:r>
              <w:rPr>
                <w:rStyle w:val="Strong"/>
                <w:rFonts w:ascii="Arial" w:eastAsia="SimSun" w:hAnsi="Arial" w:cs="Arial"/>
                <w:color w:val="000000" w:themeColor="text1"/>
                <w:sz w:val="22"/>
                <w:szCs w:val="22"/>
                <w:lang w:eastAsia="zh-CN" w:bidi="ar"/>
              </w:rPr>
              <w:lastRenderedPageBreak/>
              <w:t>y of care</w:t>
            </w:r>
          </w:p>
        </w:tc>
        <w:tc>
          <w:tcPr>
            <w:tcW w:w="1400" w:type="dxa"/>
            <w:vAlign w:val="center"/>
          </w:tcPr>
          <w:p w14:paraId="63DF9A6F" w14:textId="77777777" w:rsidR="00DE3473" w:rsidRDefault="00DE3473">
            <w:pPr>
              <w:widowControl/>
              <w:spacing w:line="360" w:lineRule="auto"/>
              <w:rPr>
                <w:rFonts w:ascii="Arial" w:hAnsi="Arial" w:cs="Arial"/>
                <w:color w:val="000000" w:themeColor="text1"/>
                <w:sz w:val="22"/>
                <w:szCs w:val="22"/>
                <w:lang w:eastAsia="zh-CN"/>
              </w:rPr>
            </w:pPr>
          </w:p>
        </w:tc>
        <w:tc>
          <w:tcPr>
            <w:tcW w:w="1805" w:type="dxa"/>
            <w:vAlign w:val="center"/>
          </w:tcPr>
          <w:p w14:paraId="14349222"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 xml:space="preserve">peer-mentoring value; continuity post-physio; tailored support; </w:t>
            </w:r>
            <w:r>
              <w:rPr>
                <w:rFonts w:ascii="Arial" w:eastAsia="SimSun" w:hAnsi="Arial" w:cs="Arial"/>
                <w:color w:val="000000" w:themeColor="text1"/>
                <w:sz w:val="22"/>
                <w:szCs w:val="22"/>
                <w:lang w:eastAsia="zh-CN" w:bidi="ar"/>
              </w:rPr>
              <w:lastRenderedPageBreak/>
              <w:t>cost-effectiveness potential</w:t>
            </w:r>
          </w:p>
        </w:tc>
        <w:tc>
          <w:tcPr>
            <w:tcW w:w="2460" w:type="dxa"/>
            <w:vAlign w:val="center"/>
          </w:tcPr>
          <w:p w14:paraId="3FD6D4DB"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lastRenderedPageBreak/>
              <w:t xml:space="preserve">Peers provide experiential guidance, improve self-efficacy and help bridge </w:t>
            </w:r>
            <w:r>
              <w:rPr>
                <w:rFonts w:ascii="Arial" w:eastAsia="SimSun" w:hAnsi="Arial" w:cs="Arial"/>
                <w:color w:val="000000" w:themeColor="text1"/>
                <w:sz w:val="22"/>
                <w:szCs w:val="22"/>
                <w:lang w:eastAsia="zh-CN" w:bidi="ar"/>
              </w:rPr>
              <w:lastRenderedPageBreak/>
              <w:t>service gaps after formal treatment ends.</w:t>
            </w:r>
          </w:p>
        </w:tc>
        <w:tc>
          <w:tcPr>
            <w:tcW w:w="2229" w:type="dxa"/>
            <w:vAlign w:val="center"/>
          </w:tcPr>
          <w:p w14:paraId="2FB0995F"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lastRenderedPageBreak/>
              <w:t xml:space="preserve">Cooper </w:t>
            </w:r>
            <w:r>
              <w:rPr>
                <w:rFonts w:ascii="Arial" w:eastAsia="SimSun" w:hAnsi="Arial" w:cs="Arial"/>
                <w:color w:val="000000" w:themeColor="text1"/>
                <w:sz w:val="22"/>
                <w:szCs w:val="22"/>
                <w:lang w:eastAsia="zh-CN"/>
              </w:rPr>
              <w:t xml:space="preserve">et al. </w:t>
            </w:r>
            <w:r>
              <w:rPr>
                <w:rFonts w:ascii="Arial" w:eastAsia="SimSun" w:hAnsi="Arial" w:cs="Arial"/>
                <w:color w:val="000000" w:themeColor="text1"/>
                <w:sz w:val="22"/>
                <w:szCs w:val="22"/>
                <w:lang w:eastAsia="zh-CN" w:bidi="ar"/>
              </w:rPr>
              <w:t xml:space="preserve">(2016); Bourke et al. (2022) </w:t>
            </w:r>
          </w:p>
        </w:tc>
      </w:tr>
      <w:tr w:rsidR="00DE3473" w14:paraId="252713CA" w14:textId="77777777">
        <w:tc>
          <w:tcPr>
            <w:tcW w:w="1151" w:type="dxa"/>
            <w:vAlign w:val="center"/>
          </w:tcPr>
          <w:p w14:paraId="6F48F61A" w14:textId="77777777" w:rsidR="00DE3473" w:rsidRDefault="00000000">
            <w:pPr>
              <w:widowControl/>
              <w:spacing w:line="360" w:lineRule="auto"/>
              <w:rPr>
                <w:rFonts w:ascii="Arial" w:hAnsi="Arial" w:cs="Arial"/>
                <w:color w:val="000000" w:themeColor="text1"/>
                <w:sz w:val="22"/>
                <w:szCs w:val="22"/>
                <w:lang w:eastAsia="zh-CN"/>
              </w:rPr>
            </w:pPr>
            <w:r>
              <w:rPr>
                <w:rStyle w:val="Strong"/>
                <w:rFonts w:ascii="Arial" w:eastAsia="SimSun" w:hAnsi="Arial" w:cs="Arial"/>
                <w:color w:val="000000" w:themeColor="text1"/>
                <w:sz w:val="22"/>
                <w:szCs w:val="22"/>
                <w:lang w:eastAsia="zh-CN" w:bidi="ar"/>
              </w:rPr>
              <w:t>Measurement, outcomes and patient involvement</w:t>
            </w:r>
          </w:p>
        </w:tc>
        <w:tc>
          <w:tcPr>
            <w:tcW w:w="1400" w:type="dxa"/>
            <w:vAlign w:val="center"/>
          </w:tcPr>
          <w:p w14:paraId="5D163CFA" w14:textId="77777777" w:rsidR="00DE3473" w:rsidRDefault="00DE3473">
            <w:pPr>
              <w:widowControl/>
              <w:spacing w:line="360" w:lineRule="auto"/>
              <w:rPr>
                <w:rFonts w:ascii="Arial" w:hAnsi="Arial" w:cs="Arial"/>
                <w:color w:val="000000" w:themeColor="text1"/>
                <w:sz w:val="22"/>
                <w:szCs w:val="22"/>
                <w:lang w:eastAsia="zh-CN"/>
              </w:rPr>
            </w:pPr>
          </w:p>
        </w:tc>
        <w:tc>
          <w:tcPr>
            <w:tcW w:w="1805" w:type="dxa"/>
            <w:vAlign w:val="center"/>
          </w:tcPr>
          <w:p w14:paraId="392E34A3"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patient-prioritised outcomes; Brief Pain Inventory; accessibility of tools</w:t>
            </w:r>
          </w:p>
        </w:tc>
        <w:tc>
          <w:tcPr>
            <w:tcW w:w="2460" w:type="dxa"/>
            <w:vAlign w:val="center"/>
          </w:tcPr>
          <w:p w14:paraId="3CA627AF"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Patients favour outcome tools that are comprehensible and relevant; consensus can guide measurement selection but psychometric validation is needed.</w:t>
            </w:r>
          </w:p>
        </w:tc>
        <w:tc>
          <w:tcPr>
            <w:tcW w:w="2229" w:type="dxa"/>
            <w:vAlign w:val="center"/>
          </w:tcPr>
          <w:p w14:paraId="4D4D2F94"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 xml:space="preserve">Denver-Wason </w:t>
            </w:r>
            <w:r>
              <w:rPr>
                <w:rFonts w:ascii="Arial" w:eastAsia="SimSun" w:hAnsi="Arial" w:cs="Arial"/>
                <w:color w:val="000000" w:themeColor="text1"/>
                <w:sz w:val="22"/>
                <w:szCs w:val="22"/>
                <w:lang w:eastAsia="zh-CN"/>
              </w:rPr>
              <w:t xml:space="preserve">et al. </w:t>
            </w:r>
            <w:r>
              <w:rPr>
                <w:rFonts w:ascii="Arial" w:eastAsia="SimSun" w:hAnsi="Arial" w:cs="Arial"/>
                <w:color w:val="000000" w:themeColor="text1"/>
                <w:sz w:val="22"/>
                <w:szCs w:val="22"/>
                <w:lang w:eastAsia="zh-CN" w:bidi="ar"/>
              </w:rPr>
              <w:t>(2025)</w:t>
            </w:r>
          </w:p>
        </w:tc>
      </w:tr>
      <w:tr w:rsidR="00DE3473" w14:paraId="28694367" w14:textId="77777777">
        <w:tc>
          <w:tcPr>
            <w:tcW w:w="1151" w:type="dxa"/>
            <w:vAlign w:val="center"/>
          </w:tcPr>
          <w:p w14:paraId="672EE9BF" w14:textId="77777777" w:rsidR="00DE3473" w:rsidRDefault="00000000">
            <w:pPr>
              <w:widowControl/>
              <w:spacing w:line="360" w:lineRule="auto"/>
              <w:rPr>
                <w:rFonts w:ascii="Arial" w:hAnsi="Arial" w:cs="Arial"/>
                <w:color w:val="000000" w:themeColor="text1"/>
                <w:sz w:val="22"/>
                <w:szCs w:val="22"/>
                <w:lang w:eastAsia="zh-CN"/>
              </w:rPr>
            </w:pPr>
            <w:r>
              <w:rPr>
                <w:rStyle w:val="Strong"/>
                <w:rFonts w:ascii="Arial" w:eastAsia="SimSun" w:hAnsi="Arial" w:cs="Arial"/>
                <w:color w:val="000000" w:themeColor="text1"/>
                <w:sz w:val="22"/>
                <w:szCs w:val="22"/>
                <w:lang w:eastAsia="zh-CN" w:bidi="ar"/>
              </w:rPr>
              <w:t>Contextual/external shocks (COVID-19)</w:t>
            </w:r>
          </w:p>
        </w:tc>
        <w:tc>
          <w:tcPr>
            <w:tcW w:w="1400" w:type="dxa"/>
            <w:vAlign w:val="center"/>
          </w:tcPr>
          <w:p w14:paraId="0DCA3B87" w14:textId="77777777" w:rsidR="00DE3473" w:rsidRDefault="00DE3473">
            <w:pPr>
              <w:widowControl/>
              <w:spacing w:line="360" w:lineRule="auto"/>
              <w:rPr>
                <w:rFonts w:ascii="Arial" w:hAnsi="Arial" w:cs="Arial"/>
                <w:color w:val="000000" w:themeColor="text1"/>
                <w:sz w:val="22"/>
                <w:szCs w:val="22"/>
                <w:lang w:eastAsia="zh-CN"/>
              </w:rPr>
            </w:pPr>
          </w:p>
        </w:tc>
        <w:tc>
          <w:tcPr>
            <w:tcW w:w="1805" w:type="dxa"/>
            <w:vAlign w:val="center"/>
          </w:tcPr>
          <w:p w14:paraId="225A562E"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increased pain severity; anxiety/depression; reduced activity; catastrophising</w:t>
            </w:r>
          </w:p>
        </w:tc>
        <w:tc>
          <w:tcPr>
            <w:tcW w:w="2460" w:type="dxa"/>
            <w:vAlign w:val="center"/>
          </w:tcPr>
          <w:p w14:paraId="7EA8D5A9"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Crisis conditions (lockdown) exacerbate pain via psychological distress and reduced physical activity; catastrophising mediates worsening.</w:t>
            </w:r>
          </w:p>
        </w:tc>
        <w:tc>
          <w:tcPr>
            <w:tcW w:w="2229" w:type="dxa"/>
            <w:vAlign w:val="center"/>
          </w:tcPr>
          <w:p w14:paraId="2E19A204" w14:textId="77777777" w:rsidR="00DE3473" w:rsidRDefault="00000000">
            <w:pPr>
              <w:widowControl/>
              <w:spacing w:line="360" w:lineRule="auto"/>
              <w:rPr>
                <w:rFonts w:ascii="Arial" w:hAnsi="Arial" w:cs="Arial"/>
                <w:color w:val="000000" w:themeColor="text1"/>
                <w:sz w:val="22"/>
                <w:szCs w:val="22"/>
                <w:lang w:eastAsia="zh-CN"/>
              </w:rPr>
            </w:pPr>
            <w:r>
              <w:rPr>
                <w:rFonts w:ascii="Arial" w:eastAsia="SimSun" w:hAnsi="Arial" w:cs="Arial"/>
                <w:color w:val="000000" w:themeColor="text1"/>
                <w:sz w:val="22"/>
                <w:szCs w:val="22"/>
                <w:lang w:eastAsia="zh-CN" w:bidi="ar"/>
              </w:rPr>
              <w:t xml:space="preserve">Fallon </w:t>
            </w:r>
            <w:r>
              <w:rPr>
                <w:rFonts w:ascii="Arial" w:eastAsia="SimSun" w:hAnsi="Arial" w:cs="Arial"/>
                <w:color w:val="000000" w:themeColor="text1"/>
                <w:sz w:val="22"/>
                <w:szCs w:val="22"/>
                <w:lang w:eastAsia="zh-CN"/>
              </w:rPr>
              <w:t xml:space="preserve">et al. </w:t>
            </w:r>
            <w:r>
              <w:rPr>
                <w:rFonts w:ascii="Arial" w:eastAsia="SimSun" w:hAnsi="Arial" w:cs="Arial"/>
                <w:color w:val="000000" w:themeColor="text1"/>
                <w:sz w:val="22"/>
                <w:szCs w:val="22"/>
                <w:lang w:eastAsia="zh-CN" w:bidi="ar"/>
              </w:rPr>
              <w:t>(2020)</w:t>
            </w:r>
          </w:p>
        </w:tc>
      </w:tr>
    </w:tbl>
    <w:p w14:paraId="694B98FD" w14:textId="77777777" w:rsidR="00DE3473" w:rsidRDefault="00DE3473">
      <w:pPr>
        <w:spacing w:line="360" w:lineRule="auto"/>
        <w:jc w:val="both"/>
        <w:rPr>
          <w:rFonts w:ascii="Arial" w:hAnsi="Arial" w:cs="Arial"/>
          <w:b/>
          <w:bCs/>
          <w:color w:val="000000" w:themeColor="text1"/>
          <w:sz w:val="22"/>
          <w:szCs w:val="22"/>
        </w:rPr>
      </w:pPr>
    </w:p>
    <w:p w14:paraId="14390232" w14:textId="77777777" w:rsidR="00DE3473" w:rsidRDefault="00000000">
      <w:pPr>
        <w:spacing w:line="360" w:lineRule="auto"/>
        <w:jc w:val="both"/>
        <w:rPr>
          <w:rFonts w:ascii="Arial" w:hAnsi="Arial" w:cs="Arial"/>
          <w:b/>
          <w:bCs/>
          <w:color w:val="000000" w:themeColor="text1"/>
          <w:sz w:val="22"/>
          <w:szCs w:val="22"/>
        </w:rPr>
      </w:pPr>
      <w:r>
        <w:rPr>
          <w:rFonts w:ascii="Arial" w:hAnsi="Arial" w:cs="Arial"/>
          <w:b/>
          <w:bCs/>
          <w:color w:val="000000" w:themeColor="text1"/>
          <w:sz w:val="22"/>
          <w:szCs w:val="22"/>
        </w:rPr>
        <w:t>4.4 Discussion of Findings</w:t>
      </w:r>
    </w:p>
    <w:p w14:paraId="6A15FB4C" w14:textId="77777777" w:rsidR="00DE3473" w:rsidRDefault="00000000">
      <w:pPr>
        <w:spacing w:line="360" w:lineRule="auto"/>
        <w:jc w:val="both"/>
        <w:rPr>
          <w:rFonts w:ascii="Arial" w:hAnsi="Arial" w:cs="Arial"/>
          <w:b/>
          <w:bCs/>
          <w:color w:val="000000" w:themeColor="text1"/>
          <w:sz w:val="22"/>
          <w:szCs w:val="22"/>
        </w:rPr>
      </w:pPr>
      <w:r>
        <w:rPr>
          <w:rFonts w:ascii="Arial" w:hAnsi="Arial" w:cs="Arial"/>
          <w:b/>
          <w:bCs/>
          <w:color w:val="000000" w:themeColor="text1"/>
          <w:sz w:val="22"/>
          <w:szCs w:val="22"/>
        </w:rPr>
        <w:t>Chronic-pain management as a complex, multi-level process</w:t>
      </w:r>
    </w:p>
    <w:p w14:paraId="68568938" w14:textId="270ACACA" w:rsidR="00DE3473" w:rsidRDefault="00000000">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The</w:t>
      </w:r>
      <w:r w:rsidR="00C745BE">
        <w:rPr>
          <w:rFonts w:ascii="Arial" w:hAnsi="Arial" w:cs="Arial"/>
          <w:color w:val="000000" w:themeColor="text1"/>
          <w:sz w:val="22"/>
          <w:szCs w:val="22"/>
        </w:rPr>
        <w:t xml:space="preserve"> </w:t>
      </w:r>
      <w:r>
        <w:rPr>
          <w:rFonts w:ascii="Arial" w:hAnsi="Arial" w:cs="Arial"/>
          <w:color w:val="000000" w:themeColor="text1"/>
          <w:sz w:val="22"/>
          <w:szCs w:val="22"/>
        </w:rPr>
        <w:t>literature consistently frames chronic-pain management as a systemic, multi-level challenge. Effective interventions require structural redesign, relational continuity, and patient-centred strategies. Population studies (McQueenie et al., 2021; Smith et al., 2022) highlight prevalence and multimorbidity, justifying system-level responses, while qualitative evidence (Bourke et al., 2022; Cooper et al., 2016) underscores the importance of peer support, self-management, and trusted clinician relationships. Local context, especially rurality, necessitates adaptive strategies such as telehealth and outreach (Jebara et al., 2023; Stewart et al., 2020).</w:t>
      </w:r>
    </w:p>
    <w:p w14:paraId="5ADB17C9" w14:textId="77777777" w:rsidR="00DE3473" w:rsidRDefault="00DE3473">
      <w:pPr>
        <w:spacing w:line="360" w:lineRule="auto"/>
        <w:jc w:val="both"/>
        <w:rPr>
          <w:rFonts w:ascii="Arial" w:hAnsi="Arial" w:cs="Arial"/>
          <w:color w:val="000000" w:themeColor="text1"/>
          <w:sz w:val="22"/>
          <w:szCs w:val="22"/>
        </w:rPr>
      </w:pPr>
    </w:p>
    <w:p w14:paraId="222C702F" w14:textId="77777777" w:rsidR="00DE3473" w:rsidRDefault="00DE3473">
      <w:pPr>
        <w:spacing w:line="360" w:lineRule="auto"/>
        <w:jc w:val="both"/>
        <w:rPr>
          <w:rFonts w:ascii="Arial" w:hAnsi="Arial" w:cs="Arial"/>
          <w:color w:val="000000" w:themeColor="text1"/>
          <w:sz w:val="22"/>
          <w:szCs w:val="22"/>
        </w:rPr>
      </w:pPr>
    </w:p>
    <w:p w14:paraId="1DD87FB6" w14:textId="77777777" w:rsidR="00DE3473" w:rsidRDefault="00000000">
      <w:pPr>
        <w:spacing w:line="360" w:lineRule="auto"/>
        <w:jc w:val="both"/>
        <w:rPr>
          <w:rFonts w:ascii="Arial" w:hAnsi="Arial" w:cs="Arial"/>
          <w:b/>
          <w:bCs/>
          <w:color w:val="000000" w:themeColor="text1"/>
          <w:sz w:val="22"/>
          <w:szCs w:val="22"/>
        </w:rPr>
      </w:pPr>
      <w:r>
        <w:rPr>
          <w:rFonts w:ascii="Arial" w:hAnsi="Arial" w:cs="Arial"/>
          <w:b/>
          <w:bCs/>
          <w:color w:val="000000" w:themeColor="text1"/>
          <w:sz w:val="22"/>
          <w:szCs w:val="22"/>
        </w:rPr>
        <w:lastRenderedPageBreak/>
        <w:t>Workforce, skills, and leadership</w:t>
      </w:r>
    </w:p>
    <w:p w14:paraId="15A82B48" w14:textId="77777777" w:rsidR="00DE3473" w:rsidRDefault="00000000">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Workforce capacity, role clarity and training are repeatedly presented as foundational enablers. Vaucher et al. (2018) and Armoogum et al. (2024) identify mixed professional attitudes and limited confidence in biopsychosocial pain management particularly for complex presentations such as post-cancer pain pointing to concrete CPD needs. Denver-Wason et al. (2025) also implies workforce implications: patient-preferred outcome measures (e.g., Brief Pain Inventory) will only be useful if clinicians can interpret and act on them. These findings match Cooper </w:t>
      </w:r>
      <w:r>
        <w:rPr>
          <w:rFonts w:ascii="Arial" w:eastAsia="SimSun" w:hAnsi="Arial" w:cs="Arial"/>
          <w:color w:val="000000" w:themeColor="text1"/>
          <w:sz w:val="22"/>
          <w:szCs w:val="22"/>
          <w:lang w:eastAsia="zh-CN"/>
        </w:rPr>
        <w:t>et al. (2016)</w:t>
      </w:r>
      <w:r>
        <w:rPr>
          <w:rFonts w:ascii="Arial" w:hAnsi="Arial" w:cs="Arial"/>
          <w:color w:val="000000" w:themeColor="text1"/>
          <w:sz w:val="22"/>
          <w:szCs w:val="22"/>
        </w:rPr>
        <w:t xml:space="preserve"> and Bourke </w:t>
      </w:r>
      <w:r>
        <w:rPr>
          <w:rFonts w:ascii="Arial" w:eastAsia="SimSun" w:hAnsi="Arial" w:cs="Arial"/>
          <w:color w:val="000000" w:themeColor="text1"/>
          <w:sz w:val="22"/>
          <w:szCs w:val="22"/>
          <w:lang w:eastAsia="zh-CN"/>
        </w:rPr>
        <w:t>et al. (2022)</w:t>
      </w:r>
      <w:r>
        <w:rPr>
          <w:rFonts w:ascii="Arial" w:hAnsi="Arial" w:cs="Arial"/>
          <w:color w:val="000000" w:themeColor="text1"/>
          <w:sz w:val="22"/>
          <w:szCs w:val="22"/>
        </w:rPr>
        <w:t xml:space="preserve"> emphasis on ongoing support, and Jebara et al. (2023) rural  work that highlights local workforce scarcity.</w:t>
      </w:r>
    </w:p>
    <w:p w14:paraId="6F912B8A" w14:textId="77777777" w:rsidR="00DE3473" w:rsidRDefault="00000000">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Yet internal critiques emerge: several papers warn that top-down workforce initiatives may miss local realities. For example, Jebara et al. (2023) and Stewart </w:t>
      </w:r>
      <w:r>
        <w:rPr>
          <w:rFonts w:ascii="Arial" w:eastAsia="SimSun" w:hAnsi="Arial" w:cs="Arial"/>
          <w:color w:val="000000" w:themeColor="text1"/>
          <w:sz w:val="22"/>
          <w:szCs w:val="22"/>
          <w:lang w:eastAsia="zh-CN"/>
        </w:rPr>
        <w:t xml:space="preserve">et al. </w:t>
      </w:r>
      <w:r>
        <w:rPr>
          <w:rFonts w:ascii="Arial" w:hAnsi="Arial" w:cs="Arial"/>
          <w:color w:val="000000" w:themeColor="text1"/>
          <w:sz w:val="22"/>
          <w:szCs w:val="22"/>
        </w:rPr>
        <w:t xml:space="preserve">(2020) show that rural services cannot simply implement urban workforce solutions without adjustments; McQueenie et al. (2021) and Smith </w:t>
      </w:r>
      <w:r>
        <w:rPr>
          <w:rFonts w:ascii="Arial" w:eastAsia="SimSun" w:hAnsi="Arial" w:cs="Arial"/>
          <w:color w:val="000000" w:themeColor="text1"/>
          <w:sz w:val="22"/>
          <w:szCs w:val="22"/>
          <w:lang w:eastAsia="zh-CN"/>
        </w:rPr>
        <w:t>et al. (2022)</w:t>
      </w:r>
      <w:r>
        <w:rPr>
          <w:rFonts w:ascii="Arial" w:hAnsi="Arial" w:cs="Arial"/>
          <w:color w:val="000000" w:themeColor="text1"/>
          <w:sz w:val="22"/>
          <w:szCs w:val="22"/>
        </w:rPr>
        <w:t xml:space="preserve"> suggest that population-level strategies must account for distributional inequities in workforce and access. Armoogum </w:t>
      </w:r>
      <w:r>
        <w:rPr>
          <w:rFonts w:ascii="Arial" w:eastAsia="SimSun" w:hAnsi="Arial" w:cs="Arial"/>
          <w:color w:val="000000" w:themeColor="text1"/>
          <w:sz w:val="22"/>
          <w:szCs w:val="22"/>
          <w:lang w:eastAsia="zh-CN"/>
        </w:rPr>
        <w:t>et al. (2024)</w:t>
      </w:r>
      <w:r>
        <w:rPr>
          <w:rFonts w:ascii="Arial" w:hAnsi="Arial" w:cs="Arial"/>
          <w:color w:val="000000" w:themeColor="text1"/>
          <w:sz w:val="22"/>
          <w:szCs w:val="22"/>
        </w:rPr>
        <w:t xml:space="preserve"> finding of role confusion and low confidence further critiques initiatives that assume existing professional boundaries will accommodate integrated practices without targeted training and clarified scopes of practice. Thus, the literature supports workforce investment as key, but simultaneously cautions that leadership must balance national strategies with local adaptability.</w:t>
      </w:r>
    </w:p>
    <w:p w14:paraId="2F404ACA" w14:textId="77777777" w:rsidR="00DE3473" w:rsidRDefault="00000000">
      <w:pPr>
        <w:spacing w:line="360" w:lineRule="auto"/>
        <w:jc w:val="both"/>
        <w:rPr>
          <w:rFonts w:ascii="Arial" w:hAnsi="Arial" w:cs="Arial"/>
          <w:b/>
          <w:bCs/>
          <w:color w:val="000000" w:themeColor="text1"/>
          <w:sz w:val="22"/>
          <w:szCs w:val="22"/>
        </w:rPr>
      </w:pPr>
      <w:r>
        <w:rPr>
          <w:rFonts w:ascii="Arial" w:hAnsi="Arial" w:cs="Arial"/>
          <w:b/>
          <w:bCs/>
          <w:color w:val="000000" w:themeColor="text1"/>
          <w:sz w:val="22"/>
          <w:szCs w:val="22"/>
        </w:rPr>
        <w:t>Continuity, coordination, and relational care</w:t>
      </w:r>
    </w:p>
    <w:p w14:paraId="5081F263" w14:textId="77777777" w:rsidR="00DE3473" w:rsidRDefault="00000000">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Continuity and coordination are central threads linking the corpus. Smith </w:t>
      </w:r>
      <w:r>
        <w:rPr>
          <w:rFonts w:ascii="Arial" w:eastAsia="SimSun" w:hAnsi="Arial" w:cs="Arial"/>
          <w:color w:val="000000" w:themeColor="text1"/>
          <w:sz w:val="22"/>
          <w:szCs w:val="22"/>
          <w:lang w:eastAsia="zh-CN"/>
        </w:rPr>
        <w:t xml:space="preserve">et al. </w:t>
      </w:r>
      <w:r>
        <w:rPr>
          <w:rFonts w:ascii="Arial" w:hAnsi="Arial" w:cs="Arial"/>
          <w:color w:val="000000" w:themeColor="text1"/>
          <w:sz w:val="22"/>
          <w:szCs w:val="22"/>
        </w:rPr>
        <w:t xml:space="preserve">(2022) quantifies the role of informal caregiving in maintaining wellbeing despite disability, while Bourke et al. (2022), Cooper </w:t>
      </w:r>
      <w:r>
        <w:rPr>
          <w:rFonts w:ascii="Arial" w:eastAsia="SimSun" w:hAnsi="Arial" w:cs="Arial"/>
          <w:color w:val="000000" w:themeColor="text1"/>
          <w:sz w:val="22"/>
          <w:szCs w:val="22"/>
          <w:lang w:eastAsia="zh-CN"/>
        </w:rPr>
        <w:t xml:space="preserve">et al. </w:t>
      </w:r>
      <w:r>
        <w:rPr>
          <w:rFonts w:ascii="Arial" w:hAnsi="Arial" w:cs="Arial"/>
          <w:color w:val="000000" w:themeColor="text1"/>
          <w:sz w:val="22"/>
          <w:szCs w:val="22"/>
        </w:rPr>
        <w:t xml:space="preserve">(2016) and Stewart </w:t>
      </w:r>
      <w:r>
        <w:rPr>
          <w:rFonts w:ascii="Arial" w:eastAsia="SimSun" w:hAnsi="Arial" w:cs="Arial"/>
          <w:color w:val="000000" w:themeColor="text1"/>
          <w:sz w:val="22"/>
          <w:szCs w:val="22"/>
          <w:lang w:eastAsia="zh-CN"/>
        </w:rPr>
        <w:t xml:space="preserve">et al. </w:t>
      </w:r>
      <w:r>
        <w:rPr>
          <w:rFonts w:ascii="Arial" w:hAnsi="Arial" w:cs="Arial"/>
          <w:color w:val="000000" w:themeColor="text1"/>
          <w:sz w:val="22"/>
          <w:szCs w:val="22"/>
        </w:rPr>
        <w:t xml:space="preserve">(2020) provide qualitative evidence that relational continuity (trusted relationships with clinicians and peers) underpins effective self-management and patient satisfaction. Denver-Wason </w:t>
      </w:r>
      <w:r>
        <w:rPr>
          <w:rFonts w:ascii="Arial" w:eastAsia="SimSun" w:hAnsi="Arial" w:cs="Arial"/>
          <w:color w:val="000000" w:themeColor="text1"/>
          <w:sz w:val="22"/>
          <w:szCs w:val="22"/>
          <w:lang w:eastAsia="zh-CN"/>
        </w:rPr>
        <w:t xml:space="preserve">et al. </w:t>
      </w:r>
      <w:r>
        <w:rPr>
          <w:rFonts w:ascii="Arial" w:hAnsi="Arial" w:cs="Arial"/>
          <w:color w:val="000000" w:themeColor="text1"/>
          <w:sz w:val="22"/>
          <w:szCs w:val="22"/>
        </w:rPr>
        <w:t>(2025) reinforces the need for measures that capture outcomes meaningful to patients in sustained care relationships.</w:t>
      </w:r>
    </w:p>
    <w:p w14:paraId="243C92FD" w14:textId="77777777" w:rsidR="00DE3473" w:rsidRDefault="00000000">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Contrasting perspectives appear in how quickly benefits are realized. The adoption of quantitative snapshots (Fallon </w:t>
      </w:r>
      <w:r>
        <w:rPr>
          <w:rFonts w:ascii="Arial" w:eastAsia="SimSun" w:hAnsi="Arial" w:cs="Arial"/>
          <w:color w:val="000000" w:themeColor="text1"/>
          <w:sz w:val="22"/>
          <w:szCs w:val="22"/>
          <w:lang w:eastAsia="zh-CN"/>
        </w:rPr>
        <w:t xml:space="preserve">et al., </w:t>
      </w:r>
      <w:r>
        <w:rPr>
          <w:rFonts w:ascii="Arial" w:hAnsi="Arial" w:cs="Arial"/>
          <w:color w:val="000000" w:themeColor="text1"/>
          <w:sz w:val="22"/>
          <w:szCs w:val="22"/>
        </w:rPr>
        <w:t xml:space="preserve">2020) and cohort-based prevalence studies (McQueenie et al., 2021; Smith </w:t>
      </w:r>
      <w:r>
        <w:rPr>
          <w:rFonts w:ascii="Arial" w:eastAsia="SimSun" w:hAnsi="Arial" w:cs="Arial"/>
          <w:color w:val="000000" w:themeColor="text1"/>
          <w:sz w:val="22"/>
          <w:szCs w:val="22"/>
          <w:lang w:eastAsia="zh-CN"/>
        </w:rPr>
        <w:t>et al., 2022</w:t>
      </w:r>
      <w:r>
        <w:rPr>
          <w:rFonts w:ascii="Arial" w:hAnsi="Arial" w:cs="Arial"/>
          <w:color w:val="000000" w:themeColor="text1"/>
          <w:sz w:val="22"/>
          <w:szCs w:val="22"/>
        </w:rPr>
        <w:t xml:space="preserve">) make clear the scale of need but failed to capture immediacy of relational benefits; qualitative studies suggest relational continuity produces immediate improvements in lived experience. This difference is not contradictory but methodologically complementary: interpersonal continuity yields prompt subjective gains (less anxiety, better coping), while system-wide coordination may take longer to produce measurable population </w:t>
      </w:r>
      <w:r>
        <w:rPr>
          <w:rFonts w:ascii="Arial" w:hAnsi="Arial" w:cs="Arial"/>
          <w:color w:val="000000" w:themeColor="text1"/>
          <w:sz w:val="22"/>
          <w:szCs w:val="22"/>
        </w:rPr>
        <w:lastRenderedPageBreak/>
        <w:t xml:space="preserve">outcomes (reduced admissions, improved function) a pattern that several papers (Fallon </w:t>
      </w:r>
      <w:r>
        <w:rPr>
          <w:rFonts w:ascii="Arial" w:eastAsia="SimSun" w:hAnsi="Arial" w:cs="Arial"/>
          <w:color w:val="000000" w:themeColor="text1"/>
          <w:sz w:val="22"/>
          <w:szCs w:val="22"/>
          <w:lang w:eastAsia="zh-CN"/>
        </w:rPr>
        <w:t>et al., 2020</w:t>
      </w:r>
      <w:r>
        <w:rPr>
          <w:rFonts w:ascii="Arial" w:hAnsi="Arial" w:cs="Arial"/>
          <w:color w:val="000000" w:themeColor="text1"/>
          <w:sz w:val="22"/>
          <w:szCs w:val="22"/>
        </w:rPr>
        <w:t>; McQueenie et al. 2021; Jebara et al., 2023) collectively highlight.</w:t>
      </w:r>
    </w:p>
    <w:p w14:paraId="42DFB147" w14:textId="77777777" w:rsidR="00DE3473" w:rsidRDefault="00000000">
      <w:pPr>
        <w:spacing w:line="360" w:lineRule="auto"/>
        <w:jc w:val="both"/>
        <w:rPr>
          <w:rFonts w:ascii="Arial" w:hAnsi="Arial" w:cs="Arial"/>
          <w:b/>
          <w:bCs/>
          <w:color w:val="000000" w:themeColor="text1"/>
          <w:sz w:val="22"/>
          <w:szCs w:val="22"/>
        </w:rPr>
      </w:pPr>
      <w:r>
        <w:rPr>
          <w:rFonts w:ascii="Arial" w:hAnsi="Arial" w:cs="Arial"/>
          <w:b/>
          <w:bCs/>
          <w:color w:val="000000" w:themeColor="text1"/>
          <w:sz w:val="22"/>
          <w:szCs w:val="22"/>
        </w:rPr>
        <w:t>Policy, funding, and systemic barriers</w:t>
      </w:r>
    </w:p>
    <w:p w14:paraId="1AA0C191" w14:textId="77777777" w:rsidR="00DE3473" w:rsidRDefault="00000000">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Policy and resourcing constraints recur as critical barriers. Jebara et al. (2023) and Stewart </w:t>
      </w:r>
      <w:r>
        <w:rPr>
          <w:rFonts w:ascii="Arial" w:eastAsia="SimSun" w:hAnsi="Arial" w:cs="Arial"/>
          <w:color w:val="000000" w:themeColor="text1"/>
          <w:sz w:val="22"/>
          <w:szCs w:val="22"/>
          <w:lang w:eastAsia="zh-CN"/>
        </w:rPr>
        <w:t>et al.</w:t>
      </w:r>
      <w:r>
        <w:rPr>
          <w:rFonts w:ascii="Arial" w:hAnsi="Arial" w:cs="Arial"/>
          <w:color w:val="000000" w:themeColor="text1"/>
          <w:sz w:val="22"/>
          <w:szCs w:val="22"/>
        </w:rPr>
        <w:t xml:space="preserve"> (2020) see service under-provision in rural areas; Armoogum </w:t>
      </w:r>
      <w:r>
        <w:rPr>
          <w:rFonts w:ascii="Arial" w:eastAsia="SimSun" w:hAnsi="Arial" w:cs="Arial"/>
          <w:color w:val="000000" w:themeColor="text1"/>
          <w:sz w:val="22"/>
          <w:szCs w:val="22"/>
          <w:lang w:eastAsia="zh-CN"/>
        </w:rPr>
        <w:t>et al.</w:t>
      </w:r>
      <w:r>
        <w:rPr>
          <w:rFonts w:ascii="Arial" w:hAnsi="Arial" w:cs="Arial"/>
          <w:color w:val="000000" w:themeColor="text1"/>
          <w:sz w:val="22"/>
          <w:szCs w:val="22"/>
        </w:rPr>
        <w:t xml:space="preserve"> (2024) and Vaucher </w:t>
      </w:r>
      <w:r>
        <w:rPr>
          <w:rFonts w:ascii="Arial" w:eastAsia="SimSun" w:hAnsi="Arial" w:cs="Arial"/>
          <w:color w:val="000000" w:themeColor="text1"/>
          <w:sz w:val="22"/>
          <w:szCs w:val="22"/>
          <w:lang w:eastAsia="zh-CN"/>
        </w:rPr>
        <w:t xml:space="preserve">et al. </w:t>
      </w:r>
      <w:r>
        <w:rPr>
          <w:rFonts w:ascii="Arial" w:hAnsi="Arial" w:cs="Arial"/>
          <w:color w:val="000000" w:themeColor="text1"/>
          <w:sz w:val="22"/>
          <w:szCs w:val="22"/>
        </w:rPr>
        <w:t xml:space="preserve">(2018) identify inadequate role clarity and training time as systemic constraints; Denver-Wason </w:t>
      </w:r>
      <w:r>
        <w:rPr>
          <w:rFonts w:ascii="Arial" w:eastAsia="SimSun" w:hAnsi="Arial" w:cs="Arial"/>
          <w:color w:val="000000" w:themeColor="text1"/>
          <w:sz w:val="22"/>
          <w:szCs w:val="22"/>
          <w:lang w:eastAsia="zh-CN"/>
        </w:rPr>
        <w:t xml:space="preserve">et al. </w:t>
      </w:r>
      <w:r>
        <w:rPr>
          <w:rFonts w:ascii="Arial" w:hAnsi="Arial" w:cs="Arial"/>
          <w:color w:val="000000" w:themeColor="text1"/>
          <w:sz w:val="22"/>
          <w:szCs w:val="22"/>
        </w:rPr>
        <w:t xml:space="preserve">(2025) indicates that measurement choices must be paired with operational capacity. McQueenie et al. (2021) quantifies need that could justify investment; Smith </w:t>
      </w:r>
      <w:r>
        <w:rPr>
          <w:rFonts w:ascii="Arial" w:eastAsia="SimSun" w:hAnsi="Arial" w:cs="Arial"/>
          <w:color w:val="000000" w:themeColor="text1"/>
          <w:sz w:val="22"/>
          <w:szCs w:val="22"/>
          <w:lang w:eastAsia="zh-CN"/>
        </w:rPr>
        <w:t xml:space="preserve">et al. </w:t>
      </w:r>
      <w:r>
        <w:rPr>
          <w:rFonts w:ascii="Arial" w:hAnsi="Arial" w:cs="Arial"/>
          <w:color w:val="000000" w:themeColor="text1"/>
          <w:sz w:val="22"/>
          <w:szCs w:val="22"/>
        </w:rPr>
        <w:t>(2022) suggests informal care partially masks unmet clinical needs a reality that makes funding allocation decisions more complex.</w:t>
      </w:r>
    </w:p>
    <w:p w14:paraId="242EAA2D" w14:textId="77777777" w:rsidR="00DE3473" w:rsidRDefault="00000000">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These critiques converge on a single point: integration requires structural reform (governance, financing, data-sharing, workforce pipelines). Several papers implicitly or explicitly critique the idea that modest, short-term pilots or single-component changes (e.g., only rolling out a new outcome tool) will be sufficient. Instead they call for aligned policy, sustainable funding, and cross-sectoral governance to enable meaningful change.</w:t>
      </w:r>
    </w:p>
    <w:p w14:paraId="2D43334D" w14:textId="77777777" w:rsidR="00DE3473" w:rsidRDefault="00000000">
      <w:pPr>
        <w:spacing w:line="360" w:lineRule="auto"/>
        <w:jc w:val="both"/>
        <w:rPr>
          <w:rFonts w:ascii="Arial" w:hAnsi="Arial" w:cs="Arial"/>
          <w:b/>
          <w:bCs/>
          <w:color w:val="000000" w:themeColor="text1"/>
          <w:sz w:val="22"/>
          <w:szCs w:val="22"/>
        </w:rPr>
      </w:pPr>
      <w:r>
        <w:rPr>
          <w:rFonts w:ascii="Arial" w:hAnsi="Arial" w:cs="Arial"/>
          <w:b/>
          <w:bCs/>
          <w:color w:val="000000" w:themeColor="text1"/>
          <w:sz w:val="22"/>
          <w:szCs w:val="22"/>
        </w:rPr>
        <w:t>Outcomes and impact evidence</w:t>
      </w:r>
    </w:p>
    <w:p w14:paraId="0613D83C" w14:textId="77777777" w:rsidR="00DE3473" w:rsidRDefault="00000000">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Empirical strength varies across the corpus. McQueenie et al. (2021) and Smith </w:t>
      </w:r>
      <w:r>
        <w:rPr>
          <w:rFonts w:ascii="Arial" w:eastAsia="SimSun" w:hAnsi="Arial" w:cs="Arial"/>
          <w:color w:val="000000" w:themeColor="text1"/>
          <w:sz w:val="22"/>
          <w:szCs w:val="22"/>
          <w:lang w:eastAsia="zh-CN"/>
        </w:rPr>
        <w:t xml:space="preserve">et al. (2022) </w:t>
      </w:r>
      <w:r>
        <w:rPr>
          <w:rFonts w:ascii="Arial" w:hAnsi="Arial" w:cs="Arial"/>
          <w:color w:val="000000" w:themeColor="text1"/>
          <w:sz w:val="22"/>
          <w:szCs w:val="22"/>
        </w:rPr>
        <w:t xml:space="preserve">supply robust prevalence and association data that justify urgency. Fallon </w:t>
      </w:r>
      <w:r>
        <w:rPr>
          <w:rFonts w:ascii="Arial" w:eastAsia="SimSun" w:hAnsi="Arial" w:cs="Arial"/>
          <w:color w:val="000000" w:themeColor="text1"/>
          <w:sz w:val="22"/>
          <w:szCs w:val="22"/>
          <w:lang w:eastAsia="zh-CN"/>
        </w:rPr>
        <w:t xml:space="preserve">et al. </w:t>
      </w:r>
      <w:r>
        <w:rPr>
          <w:rFonts w:ascii="Arial" w:hAnsi="Arial" w:cs="Arial"/>
          <w:color w:val="000000" w:themeColor="text1"/>
          <w:sz w:val="22"/>
          <w:szCs w:val="22"/>
        </w:rPr>
        <w:t xml:space="preserve">(2020) supplies timely evidence on how psychosocial stressors (lockdown) amplify pain offering mechanistic insight. The qualitative studies (Bourke </w:t>
      </w:r>
      <w:r>
        <w:rPr>
          <w:rFonts w:ascii="Arial" w:eastAsia="SimSun" w:hAnsi="Arial" w:cs="Arial"/>
          <w:color w:val="000000" w:themeColor="text1"/>
          <w:sz w:val="22"/>
          <w:szCs w:val="22"/>
          <w:lang w:eastAsia="zh-CN"/>
        </w:rPr>
        <w:t>et al., 2022</w:t>
      </w:r>
      <w:r>
        <w:rPr>
          <w:rFonts w:ascii="Arial" w:hAnsi="Arial" w:cs="Arial"/>
          <w:color w:val="000000" w:themeColor="text1"/>
          <w:sz w:val="22"/>
          <w:szCs w:val="22"/>
        </w:rPr>
        <w:t xml:space="preserve">, Cooper </w:t>
      </w:r>
      <w:r>
        <w:rPr>
          <w:rFonts w:ascii="Arial" w:eastAsia="SimSun" w:hAnsi="Arial" w:cs="Arial"/>
          <w:color w:val="000000" w:themeColor="text1"/>
          <w:sz w:val="22"/>
          <w:szCs w:val="22"/>
          <w:lang w:eastAsia="zh-CN"/>
        </w:rPr>
        <w:t>et al., 2016;</w:t>
      </w:r>
      <w:r>
        <w:rPr>
          <w:rFonts w:ascii="Arial" w:hAnsi="Arial" w:cs="Arial"/>
          <w:color w:val="000000" w:themeColor="text1"/>
          <w:sz w:val="22"/>
          <w:szCs w:val="22"/>
        </w:rPr>
        <w:t xml:space="preserve"> Jebara et al., 2023; Stewart </w:t>
      </w:r>
      <w:r>
        <w:rPr>
          <w:rFonts w:ascii="Arial" w:eastAsia="SimSun" w:hAnsi="Arial" w:cs="Arial"/>
          <w:color w:val="000000" w:themeColor="text1"/>
          <w:sz w:val="22"/>
          <w:szCs w:val="22"/>
          <w:lang w:eastAsia="zh-CN"/>
        </w:rPr>
        <w:t>et al., 2020</w:t>
      </w:r>
      <w:r>
        <w:rPr>
          <w:rFonts w:ascii="Arial" w:hAnsi="Arial" w:cs="Arial"/>
          <w:color w:val="000000" w:themeColor="text1"/>
          <w:sz w:val="22"/>
          <w:szCs w:val="22"/>
        </w:rPr>
        <w:t xml:space="preserve">) richly document outcomes important to patients (control, resilience, independence), and Denver-Wason </w:t>
      </w:r>
      <w:r>
        <w:rPr>
          <w:rFonts w:ascii="Arial" w:eastAsia="SimSun" w:hAnsi="Arial" w:cs="Arial"/>
          <w:color w:val="000000" w:themeColor="text1"/>
          <w:sz w:val="22"/>
          <w:szCs w:val="22"/>
          <w:lang w:eastAsia="zh-CN"/>
        </w:rPr>
        <w:t>et al. (2025)</w:t>
      </w:r>
      <w:r>
        <w:rPr>
          <w:rFonts w:ascii="Arial" w:hAnsi="Arial" w:cs="Arial"/>
          <w:color w:val="000000" w:themeColor="text1"/>
          <w:sz w:val="22"/>
          <w:szCs w:val="22"/>
        </w:rPr>
        <w:t xml:space="preserve"> proposes concrete measurement solutions (Brief Pain Inventory) to capture these outcomes.</w:t>
      </w:r>
    </w:p>
    <w:p w14:paraId="425B1F4F" w14:textId="77777777" w:rsidR="00DE3473" w:rsidRDefault="00000000">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Nevertheless, a mutual critique across multiple articles is limited intervention evidence: few studies in the set provide randomized or long-term outcome trials of integrated care models (telehealth MDTs, peer mentoring at scale, workforce CPD with fidelity assessment). Cooper </w:t>
      </w:r>
      <w:r>
        <w:rPr>
          <w:rFonts w:ascii="Arial" w:eastAsia="SimSun" w:hAnsi="Arial" w:cs="Arial"/>
          <w:color w:val="000000" w:themeColor="text1"/>
          <w:sz w:val="22"/>
          <w:szCs w:val="22"/>
          <w:lang w:eastAsia="zh-CN"/>
        </w:rPr>
        <w:t xml:space="preserve">et al. (2016) </w:t>
      </w:r>
      <w:r>
        <w:rPr>
          <w:rFonts w:ascii="Arial" w:hAnsi="Arial" w:cs="Arial"/>
          <w:color w:val="000000" w:themeColor="text1"/>
          <w:sz w:val="22"/>
          <w:szCs w:val="22"/>
        </w:rPr>
        <w:t>and Bourke et al. (2022) propose potentially scalable models, but both are limited by small-scale or qualitative designs. Thus, while the studies support integrated, person-centred outcome aims, they collectively call for pragmatic trials and longitudinal mixed-methods evaluations to demonstrate durable system-level impacts.</w:t>
      </w:r>
    </w:p>
    <w:p w14:paraId="3CCCE54D" w14:textId="77777777" w:rsidR="00DE3473" w:rsidRDefault="00DE3473">
      <w:pPr>
        <w:spacing w:line="360" w:lineRule="auto"/>
        <w:jc w:val="both"/>
        <w:rPr>
          <w:rFonts w:ascii="Arial" w:hAnsi="Arial" w:cs="Arial"/>
          <w:b/>
          <w:bCs/>
          <w:color w:val="000000" w:themeColor="text1"/>
          <w:sz w:val="22"/>
          <w:szCs w:val="22"/>
        </w:rPr>
      </w:pPr>
    </w:p>
    <w:p w14:paraId="1B859F61" w14:textId="77777777" w:rsidR="00DE3473" w:rsidRDefault="00000000">
      <w:pPr>
        <w:spacing w:line="360" w:lineRule="auto"/>
        <w:jc w:val="both"/>
        <w:rPr>
          <w:rFonts w:ascii="Arial" w:hAnsi="Arial" w:cs="Arial"/>
          <w:b/>
          <w:bCs/>
          <w:color w:val="000000" w:themeColor="text1"/>
          <w:sz w:val="22"/>
          <w:szCs w:val="22"/>
        </w:rPr>
      </w:pPr>
      <w:r>
        <w:rPr>
          <w:rFonts w:ascii="Arial" w:hAnsi="Arial" w:cs="Arial"/>
          <w:b/>
          <w:bCs/>
          <w:color w:val="000000" w:themeColor="text1"/>
          <w:sz w:val="22"/>
          <w:szCs w:val="22"/>
        </w:rPr>
        <w:lastRenderedPageBreak/>
        <w:t>Equity and inclusion</w:t>
      </w:r>
    </w:p>
    <w:p w14:paraId="70400EFF" w14:textId="77777777" w:rsidR="00DE3473" w:rsidRDefault="00000000">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Equity especially geographic (rural) and multimorbidity-related inequities is emphasized. Jebara et al. (2023) and Stewart powerfully document rural access barriers and low expectations, which critique the implicit urban bias in population studies (McQueenie et al., 2021) and underscore the need for context-aware implementation (telehealth, outreach). Smith’s work on care giving highlights socioeconomic and household-level variation that can obscure unmet needs. Armoogum </w:t>
      </w:r>
      <w:r>
        <w:rPr>
          <w:rFonts w:ascii="Arial" w:eastAsia="SimSun" w:hAnsi="Arial" w:cs="Arial"/>
          <w:color w:val="000000" w:themeColor="text1"/>
          <w:sz w:val="22"/>
          <w:szCs w:val="22"/>
          <w:lang w:eastAsia="zh-CN"/>
        </w:rPr>
        <w:t>et al. (2024)</w:t>
      </w:r>
      <w:r>
        <w:rPr>
          <w:rFonts w:ascii="Arial" w:hAnsi="Arial" w:cs="Arial"/>
          <w:color w:val="000000" w:themeColor="text1"/>
          <w:sz w:val="22"/>
          <w:szCs w:val="22"/>
        </w:rPr>
        <w:t xml:space="preserve"> and Vaucher </w:t>
      </w:r>
      <w:r>
        <w:rPr>
          <w:rFonts w:ascii="Arial" w:eastAsia="SimSun" w:hAnsi="Arial" w:cs="Arial"/>
          <w:color w:val="000000" w:themeColor="text1"/>
          <w:sz w:val="22"/>
          <w:szCs w:val="22"/>
          <w:lang w:eastAsia="zh-CN"/>
        </w:rPr>
        <w:t>et al. (2018)</w:t>
      </w:r>
      <w:r>
        <w:rPr>
          <w:rFonts w:ascii="Arial" w:hAnsi="Arial" w:cs="Arial"/>
          <w:color w:val="000000" w:themeColor="text1"/>
          <w:sz w:val="22"/>
          <w:szCs w:val="22"/>
        </w:rPr>
        <w:t xml:space="preserve"> findings show that workforce and professional culture can either mitigate or exacerbate inequities.</w:t>
      </w:r>
    </w:p>
    <w:p w14:paraId="648C46C5" w14:textId="77777777" w:rsidR="00DE3473" w:rsidRDefault="00000000">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Grappling with equity, the corpus presents two linked messages: integrated approaches have the potential to reduce inequities, but only if equity is explicitly embedded in design, funding, and measurement. Several studies implicitly critique one-size-fits-all policies that neglect place-based or socio-economic vulnerabilities.</w:t>
      </w:r>
    </w:p>
    <w:p w14:paraId="7483D066" w14:textId="77777777" w:rsidR="00DE3473" w:rsidRDefault="00000000">
      <w:pPr>
        <w:spacing w:line="360" w:lineRule="auto"/>
        <w:jc w:val="both"/>
        <w:rPr>
          <w:rFonts w:ascii="Arial" w:hAnsi="Arial" w:cs="Arial"/>
          <w:b/>
          <w:bCs/>
          <w:color w:val="000000" w:themeColor="text1"/>
          <w:sz w:val="22"/>
          <w:szCs w:val="22"/>
        </w:rPr>
      </w:pPr>
      <w:r>
        <w:rPr>
          <w:rFonts w:ascii="Arial" w:hAnsi="Arial" w:cs="Arial"/>
          <w:b/>
          <w:bCs/>
          <w:color w:val="000000" w:themeColor="text1"/>
          <w:sz w:val="22"/>
          <w:szCs w:val="22"/>
        </w:rPr>
        <w:t>Collective synthesis</w:t>
      </w:r>
    </w:p>
    <w:p w14:paraId="7FDEDB47" w14:textId="77777777" w:rsidR="00DE3473" w:rsidRDefault="00000000">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Taken together, the ten studies form a coherent and complementary evidence base: prevalence and cohort data (McQueenie et al., 2021; Smith </w:t>
      </w:r>
      <w:r>
        <w:rPr>
          <w:rFonts w:ascii="Arial" w:eastAsia="SimSun" w:hAnsi="Arial" w:cs="Arial"/>
          <w:color w:val="000000" w:themeColor="text1"/>
          <w:sz w:val="22"/>
          <w:szCs w:val="22"/>
          <w:lang w:eastAsia="zh-CN"/>
        </w:rPr>
        <w:t>et al., 2022</w:t>
      </w:r>
      <w:r>
        <w:rPr>
          <w:rFonts w:ascii="Arial" w:hAnsi="Arial" w:cs="Arial"/>
          <w:color w:val="000000" w:themeColor="text1"/>
          <w:sz w:val="22"/>
          <w:szCs w:val="22"/>
        </w:rPr>
        <w:t xml:space="preserve">) justify the imperative; qualitative and implementation-facing studies (Bourke </w:t>
      </w:r>
      <w:r>
        <w:rPr>
          <w:rFonts w:ascii="Arial" w:eastAsia="SimSun" w:hAnsi="Arial" w:cs="Arial"/>
          <w:color w:val="000000" w:themeColor="text1"/>
          <w:sz w:val="22"/>
          <w:szCs w:val="22"/>
          <w:lang w:eastAsia="zh-CN"/>
        </w:rPr>
        <w:t>et al., 2022</w:t>
      </w:r>
      <w:r>
        <w:rPr>
          <w:rFonts w:ascii="Arial" w:hAnsi="Arial" w:cs="Arial"/>
          <w:color w:val="000000" w:themeColor="text1"/>
          <w:sz w:val="22"/>
          <w:szCs w:val="22"/>
        </w:rPr>
        <w:t xml:space="preserve">; Cooper </w:t>
      </w:r>
      <w:r>
        <w:rPr>
          <w:rFonts w:ascii="Arial" w:eastAsia="SimSun" w:hAnsi="Arial" w:cs="Arial"/>
          <w:color w:val="000000" w:themeColor="text1"/>
          <w:sz w:val="22"/>
          <w:szCs w:val="22"/>
          <w:lang w:eastAsia="zh-CN"/>
        </w:rPr>
        <w:t>et al., 2016</w:t>
      </w:r>
      <w:r>
        <w:rPr>
          <w:rFonts w:ascii="Arial" w:hAnsi="Arial" w:cs="Arial"/>
          <w:color w:val="000000" w:themeColor="text1"/>
          <w:sz w:val="22"/>
          <w:szCs w:val="22"/>
        </w:rPr>
        <w:t xml:space="preserve">; Jebara et al., 2023;  Stewart </w:t>
      </w:r>
      <w:r>
        <w:rPr>
          <w:rFonts w:ascii="Arial" w:eastAsia="SimSun" w:hAnsi="Arial" w:cs="Arial"/>
          <w:color w:val="000000" w:themeColor="text1"/>
          <w:sz w:val="22"/>
          <w:szCs w:val="22"/>
          <w:lang w:eastAsia="zh-CN"/>
        </w:rPr>
        <w:t>et al., 2020</w:t>
      </w:r>
      <w:r>
        <w:rPr>
          <w:rFonts w:ascii="Arial" w:hAnsi="Arial" w:cs="Arial"/>
          <w:color w:val="000000" w:themeColor="text1"/>
          <w:sz w:val="22"/>
          <w:szCs w:val="22"/>
        </w:rPr>
        <w:t xml:space="preserve">; Fallon </w:t>
      </w:r>
      <w:r>
        <w:rPr>
          <w:rFonts w:ascii="Arial" w:eastAsia="SimSun" w:hAnsi="Arial" w:cs="Arial"/>
          <w:color w:val="000000" w:themeColor="text1"/>
          <w:sz w:val="22"/>
          <w:szCs w:val="22"/>
          <w:lang w:eastAsia="zh-CN"/>
        </w:rPr>
        <w:t>et al., 2020</w:t>
      </w:r>
      <w:r>
        <w:rPr>
          <w:rFonts w:ascii="Arial" w:hAnsi="Arial" w:cs="Arial"/>
          <w:color w:val="000000" w:themeColor="text1"/>
          <w:sz w:val="22"/>
          <w:szCs w:val="22"/>
        </w:rPr>
        <w:t xml:space="preserve">) provide theory and mechanisms for how integrated, biopsychosocial approaches could work; workforce and professional surveys (Vaucher </w:t>
      </w:r>
      <w:r>
        <w:rPr>
          <w:rFonts w:ascii="Arial" w:eastAsia="SimSun" w:hAnsi="Arial" w:cs="Arial"/>
          <w:color w:val="000000" w:themeColor="text1"/>
          <w:sz w:val="22"/>
          <w:szCs w:val="22"/>
          <w:lang w:eastAsia="zh-CN"/>
        </w:rPr>
        <w:t>et al., 2018</w:t>
      </w:r>
      <w:r>
        <w:rPr>
          <w:rFonts w:ascii="Arial" w:hAnsi="Arial" w:cs="Arial"/>
          <w:color w:val="000000" w:themeColor="text1"/>
          <w:sz w:val="22"/>
          <w:szCs w:val="22"/>
        </w:rPr>
        <w:t xml:space="preserve">; Armoogum </w:t>
      </w:r>
      <w:r>
        <w:rPr>
          <w:rFonts w:ascii="Arial" w:eastAsia="SimSun" w:hAnsi="Arial" w:cs="Arial"/>
          <w:color w:val="000000" w:themeColor="text1"/>
          <w:sz w:val="22"/>
          <w:szCs w:val="22"/>
          <w:lang w:eastAsia="zh-CN"/>
        </w:rPr>
        <w:t>et al., 2024</w:t>
      </w:r>
      <w:r>
        <w:rPr>
          <w:rFonts w:ascii="Arial" w:hAnsi="Arial" w:cs="Arial"/>
          <w:color w:val="000000" w:themeColor="text1"/>
          <w:sz w:val="22"/>
          <w:szCs w:val="22"/>
        </w:rPr>
        <w:t xml:space="preserve">) identify bottlenecks; Denver-Wason </w:t>
      </w:r>
      <w:r>
        <w:rPr>
          <w:rFonts w:ascii="Arial" w:eastAsia="SimSun" w:hAnsi="Arial" w:cs="Arial"/>
          <w:color w:val="000000" w:themeColor="text1"/>
          <w:sz w:val="22"/>
          <w:szCs w:val="22"/>
          <w:lang w:eastAsia="zh-CN"/>
        </w:rPr>
        <w:t>et al. (2025)</w:t>
      </w:r>
      <w:r>
        <w:rPr>
          <w:rFonts w:ascii="Arial" w:hAnsi="Arial" w:cs="Arial"/>
          <w:color w:val="000000" w:themeColor="text1"/>
          <w:sz w:val="22"/>
          <w:szCs w:val="22"/>
        </w:rPr>
        <w:t xml:space="preserve"> offers a patient-centred measurement pathway. The main cross-cutting critique is not contradiction but an evidence-practice gap: while papers consistently argue for integrated, person-centred models, there is limited high-quality trial evidence to show which specific configurations (peer-mentoring plus telehealth plus MDT, for example) reliably produce sustained, equitable outcome gains across contexts.</w:t>
      </w:r>
    </w:p>
    <w:p w14:paraId="238F274F" w14:textId="77777777" w:rsidR="00DE3473" w:rsidRDefault="00000000">
      <w:pPr>
        <w:spacing w:line="360" w:lineRule="auto"/>
        <w:jc w:val="both"/>
        <w:rPr>
          <w:rFonts w:ascii="Arial" w:hAnsi="Arial" w:cs="Arial"/>
          <w:b/>
          <w:bCs/>
          <w:color w:val="000000" w:themeColor="text1"/>
          <w:sz w:val="22"/>
          <w:szCs w:val="22"/>
        </w:rPr>
      </w:pPr>
      <w:r>
        <w:rPr>
          <w:rFonts w:ascii="Arial" w:hAnsi="Arial" w:cs="Arial"/>
          <w:b/>
          <w:bCs/>
          <w:color w:val="000000" w:themeColor="text1"/>
          <w:sz w:val="22"/>
          <w:szCs w:val="22"/>
        </w:rPr>
        <w:t>Integrative critique</w:t>
      </w:r>
    </w:p>
    <w:p w14:paraId="45E3C68F" w14:textId="77777777" w:rsidR="00DE3473" w:rsidRDefault="00000000">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Critically, the body of work reveals a maturity gap between conceptual/policy ambitions and tested, scalable practice. Several studies provide micro-level, relational insight (Bourke </w:t>
      </w:r>
      <w:r>
        <w:rPr>
          <w:rFonts w:ascii="Arial" w:eastAsia="SimSun" w:hAnsi="Arial" w:cs="Arial"/>
          <w:color w:val="000000" w:themeColor="text1"/>
          <w:sz w:val="22"/>
          <w:szCs w:val="22"/>
          <w:lang w:eastAsia="zh-CN"/>
        </w:rPr>
        <w:t>et al., 2022</w:t>
      </w:r>
      <w:r>
        <w:rPr>
          <w:rFonts w:ascii="Arial" w:hAnsi="Arial" w:cs="Arial"/>
          <w:color w:val="000000" w:themeColor="text1"/>
          <w:sz w:val="22"/>
          <w:szCs w:val="22"/>
        </w:rPr>
        <w:t xml:space="preserve">; Cooper </w:t>
      </w:r>
      <w:r>
        <w:rPr>
          <w:rFonts w:ascii="Arial" w:eastAsia="SimSun" w:hAnsi="Arial" w:cs="Arial"/>
          <w:color w:val="000000" w:themeColor="text1"/>
          <w:sz w:val="22"/>
          <w:szCs w:val="22"/>
          <w:lang w:eastAsia="zh-CN"/>
        </w:rPr>
        <w:t>et al., 2016</w:t>
      </w:r>
      <w:r>
        <w:rPr>
          <w:rFonts w:ascii="Arial" w:hAnsi="Arial" w:cs="Arial"/>
          <w:color w:val="000000" w:themeColor="text1"/>
          <w:sz w:val="22"/>
          <w:szCs w:val="22"/>
        </w:rPr>
        <w:t xml:space="preserve">; Stewart </w:t>
      </w:r>
      <w:r>
        <w:rPr>
          <w:rFonts w:ascii="Arial" w:eastAsia="SimSun" w:hAnsi="Arial" w:cs="Arial"/>
          <w:color w:val="000000" w:themeColor="text1"/>
          <w:sz w:val="22"/>
          <w:szCs w:val="22"/>
          <w:lang w:eastAsia="zh-CN"/>
        </w:rPr>
        <w:t>et al., 2020</w:t>
      </w:r>
      <w:r>
        <w:rPr>
          <w:rFonts w:ascii="Arial" w:hAnsi="Arial" w:cs="Arial"/>
          <w:color w:val="000000" w:themeColor="text1"/>
          <w:sz w:val="22"/>
          <w:szCs w:val="22"/>
        </w:rPr>
        <w:t xml:space="preserve">) but lack the quantitative validation to convince payers and system leaders. Conversely, population studies (McQueenie et al., 2021; Smith </w:t>
      </w:r>
      <w:r>
        <w:rPr>
          <w:rFonts w:ascii="Arial" w:eastAsia="SimSun" w:hAnsi="Arial" w:cs="Arial"/>
          <w:color w:val="000000" w:themeColor="text1"/>
          <w:sz w:val="22"/>
          <w:szCs w:val="22"/>
          <w:lang w:eastAsia="zh-CN"/>
        </w:rPr>
        <w:t>et al., 2022</w:t>
      </w:r>
      <w:r>
        <w:rPr>
          <w:rFonts w:ascii="Arial" w:hAnsi="Arial" w:cs="Arial"/>
          <w:color w:val="000000" w:themeColor="text1"/>
          <w:sz w:val="22"/>
          <w:szCs w:val="22"/>
        </w:rPr>
        <w:t xml:space="preserve">) demonstrate need but cannot specify which interventions will close gaps. As Pawson and Tilley’s realist perspective would predict, this collection shows that “what works, for whom, </w:t>
      </w:r>
      <w:r>
        <w:rPr>
          <w:rFonts w:ascii="Arial" w:hAnsi="Arial" w:cs="Arial"/>
          <w:color w:val="000000" w:themeColor="text1"/>
          <w:sz w:val="22"/>
          <w:szCs w:val="22"/>
        </w:rPr>
        <w:lastRenderedPageBreak/>
        <w:t>and under what circumstances” remains only partially answered in chronic-pain care. The literature collectively supports integrated, biopsychosocial, person-centred care as the target, while also critiquing current attempts to implement it as uneven, underfunded, and insufficiently responsive to local context.</w:t>
      </w:r>
    </w:p>
    <w:p w14:paraId="4E453304" w14:textId="77777777" w:rsidR="00DE3473" w:rsidRDefault="00000000">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Implications: move to pragmatic, mixed-methods trials and implementation science approaches that; </w:t>
      </w:r>
    </w:p>
    <w:p w14:paraId="4FC2FCD7" w14:textId="77777777" w:rsidR="00DE3473" w:rsidRDefault="00000000">
      <w:pPr>
        <w:numPr>
          <w:ilvl w:val="0"/>
          <w:numId w:val="5"/>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test promising models (peer support, telehealth MDTs, targeted CPD), </w:t>
      </w:r>
    </w:p>
    <w:p w14:paraId="066A9C86" w14:textId="77777777" w:rsidR="00DE3473" w:rsidRDefault="00000000">
      <w:pPr>
        <w:numPr>
          <w:ilvl w:val="0"/>
          <w:numId w:val="5"/>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embed patient-centred measurement (Denver-Wason </w:t>
      </w:r>
      <w:r>
        <w:rPr>
          <w:rFonts w:ascii="Arial" w:eastAsia="SimSun" w:hAnsi="Arial" w:cs="Arial"/>
          <w:color w:val="000000" w:themeColor="text1"/>
          <w:sz w:val="22"/>
          <w:szCs w:val="22"/>
          <w:lang w:eastAsia="zh-CN"/>
        </w:rPr>
        <w:t>et al. (2025)</w:t>
      </w:r>
      <w:r>
        <w:rPr>
          <w:rFonts w:ascii="Arial" w:hAnsi="Arial" w:cs="Arial"/>
          <w:color w:val="000000" w:themeColor="text1"/>
          <w:sz w:val="22"/>
          <w:szCs w:val="22"/>
        </w:rPr>
        <w:t xml:space="preserve"> recommendations) and </w:t>
      </w:r>
    </w:p>
    <w:p w14:paraId="4303810B" w14:textId="77777777" w:rsidR="00DE3473" w:rsidRDefault="00000000">
      <w:pPr>
        <w:numPr>
          <w:ilvl w:val="0"/>
          <w:numId w:val="5"/>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prioritise rural and multimorbid older adults for inclusion to ensure equity. Policy and leadership must fund longer-term translational pathways rather than short pilots, and workforce development must be paired with clarified roles and local adaptability.</w:t>
      </w:r>
    </w:p>
    <w:p w14:paraId="787A5DF5" w14:textId="77777777" w:rsidR="00DE3473" w:rsidRDefault="00000000">
      <w:pPr>
        <w:spacing w:line="360" w:lineRule="auto"/>
        <w:jc w:val="both"/>
        <w:rPr>
          <w:rFonts w:ascii="Arial" w:eastAsia="SimSun" w:hAnsi="Arial" w:cs="Arial"/>
          <w:b/>
          <w:bCs/>
          <w:color w:val="000000" w:themeColor="text1"/>
          <w:sz w:val="22"/>
          <w:szCs w:val="22"/>
        </w:rPr>
      </w:pPr>
      <w:r>
        <w:rPr>
          <w:rFonts w:ascii="Arial" w:eastAsia="SimSun" w:hAnsi="Arial" w:cs="Arial"/>
          <w:b/>
          <w:bCs/>
          <w:color w:val="000000" w:themeColor="text1"/>
          <w:sz w:val="22"/>
          <w:szCs w:val="22"/>
        </w:rPr>
        <w:t>4.5 Gaps in the Evidence</w:t>
      </w:r>
    </w:p>
    <w:p w14:paraId="09736D7A" w14:textId="77777777" w:rsidR="00DE3473" w:rsidRDefault="00000000">
      <w:pPr>
        <w:spacing w:line="360" w:lineRule="auto"/>
        <w:jc w:val="both"/>
        <w:rPr>
          <w:rFonts w:ascii="Arial" w:eastAsia="SimSun" w:hAnsi="Arial" w:cs="Arial"/>
          <w:color w:val="000000" w:themeColor="text1"/>
          <w:sz w:val="22"/>
          <w:szCs w:val="22"/>
        </w:rPr>
      </w:pPr>
      <w:r>
        <w:rPr>
          <w:rFonts w:ascii="Arial" w:eastAsia="SimSun" w:hAnsi="Arial" w:cs="Arial"/>
          <w:color w:val="000000" w:themeColor="text1"/>
          <w:sz w:val="22"/>
          <w:szCs w:val="22"/>
        </w:rPr>
        <w:t>Despite valuable insights, several gaps persist across the ten reviewed studies on chronic pain management among older adults in the UK. Firstly, limited longitudinal data exist; most studies (e.g., McQueenie et al., 2021; Stewart et al., 2020) are cross-sectional, preventing causal inference about how chronic pain and multimorbidity evolve over time. Secondly, there is inadequate representation of ethnic minorities and socioeconomically disadvantaged groups, which restricts understanding of cultural and social influences on pain perception and care access.</w:t>
      </w:r>
    </w:p>
    <w:p w14:paraId="2C3BA355" w14:textId="77777777" w:rsidR="00DE3473" w:rsidRDefault="00000000">
      <w:pPr>
        <w:spacing w:line="360" w:lineRule="auto"/>
        <w:jc w:val="both"/>
        <w:rPr>
          <w:rFonts w:ascii="Arial" w:eastAsia="SimSun" w:hAnsi="Arial" w:cs="Arial"/>
          <w:color w:val="000000" w:themeColor="text1"/>
          <w:sz w:val="22"/>
          <w:szCs w:val="22"/>
        </w:rPr>
      </w:pPr>
      <w:r>
        <w:rPr>
          <w:rFonts w:ascii="Arial" w:eastAsia="SimSun" w:hAnsi="Arial" w:cs="Arial"/>
          <w:color w:val="000000" w:themeColor="text1"/>
          <w:sz w:val="22"/>
          <w:szCs w:val="22"/>
        </w:rPr>
        <w:t>Rural–urban disparities are well-documented (Jebara et al., 2023; Stewart et al., 2020), yet there remains insufficient evidence on how telehealth and integrated service models can bridge these gaps effectively. Several studies highlight professional knowledge and training deficits (Armoogum et al., 2024; Vaucher et al., 2018), but few evaluate specific educational interventions or their impact on practice outcomes. Similarly, psychological and social dimensions of pain are underexplored quantitatively; most findings rely on small qualitative samples (Bourke et al., 2022; Cooper et al., 2016) without large-scale validation.</w:t>
      </w:r>
    </w:p>
    <w:p w14:paraId="06F5CEB2" w14:textId="77777777" w:rsidR="00DE3473" w:rsidRDefault="00000000">
      <w:pPr>
        <w:spacing w:line="360" w:lineRule="auto"/>
        <w:jc w:val="both"/>
        <w:rPr>
          <w:rFonts w:ascii="Arial" w:eastAsia="SimSun" w:hAnsi="Arial" w:cs="Arial"/>
          <w:color w:val="000000" w:themeColor="text1"/>
          <w:sz w:val="22"/>
          <w:szCs w:val="22"/>
        </w:rPr>
      </w:pPr>
      <w:r>
        <w:rPr>
          <w:rFonts w:ascii="Arial" w:eastAsia="SimSun" w:hAnsi="Arial" w:cs="Arial"/>
          <w:color w:val="000000" w:themeColor="text1"/>
          <w:sz w:val="22"/>
          <w:szCs w:val="22"/>
        </w:rPr>
        <w:t>Furthermore, interdisciplinary collaboration is inconsistently examined, with limited evidence on how general practitioners, pharmacists, and allied health professionals can coordinate care (Denver-Wason et al., 2025). The COVID-19-related study (Fallon et al., 2020) indicates the importance of remote care and mental health integration, yet empirical evaluations of post-pandemic digital pain services are lacking.</w:t>
      </w:r>
    </w:p>
    <w:p w14:paraId="1F073BD6" w14:textId="77777777" w:rsidR="00DE3473" w:rsidRDefault="00000000">
      <w:pPr>
        <w:spacing w:line="360" w:lineRule="auto"/>
        <w:jc w:val="both"/>
        <w:rPr>
          <w:rFonts w:ascii="Arial" w:eastAsia="SimSun" w:hAnsi="Arial" w:cs="Arial"/>
          <w:color w:val="000000" w:themeColor="text1"/>
          <w:sz w:val="22"/>
          <w:szCs w:val="22"/>
        </w:rPr>
      </w:pPr>
      <w:r>
        <w:rPr>
          <w:rFonts w:ascii="Arial" w:eastAsia="SimSun" w:hAnsi="Arial" w:cs="Arial"/>
          <w:color w:val="000000" w:themeColor="text1"/>
          <w:sz w:val="22"/>
          <w:szCs w:val="22"/>
        </w:rPr>
        <w:lastRenderedPageBreak/>
        <w:t>Overall, the evidence base would benefit from longitudinal, mixed-methods, and intervention-focused research that evaluates the effectiveness of multidisciplinary, community-based, and technology-enhanced models of chronic pain management for older adults across diverse UK contexts</w:t>
      </w:r>
    </w:p>
    <w:p w14:paraId="738F4AEB" w14:textId="77777777" w:rsidR="00DE3473" w:rsidRDefault="00000000">
      <w:pPr>
        <w:pStyle w:val="Heading3"/>
        <w:spacing w:line="360" w:lineRule="auto"/>
        <w:jc w:val="both"/>
        <w:rPr>
          <w:rStyle w:val="Strong"/>
          <w:rFonts w:ascii="Arial" w:hAnsi="Arial" w:cs="Arial" w:hint="default"/>
          <w:b/>
          <w:bCs/>
          <w:color w:val="000000" w:themeColor="text1"/>
          <w:sz w:val="22"/>
          <w:szCs w:val="22"/>
        </w:rPr>
      </w:pPr>
      <w:r>
        <w:rPr>
          <w:rStyle w:val="Strong"/>
          <w:rFonts w:ascii="Arial" w:hAnsi="Arial" w:cs="Arial" w:hint="default"/>
          <w:b/>
          <w:bCs/>
          <w:color w:val="000000" w:themeColor="text1"/>
          <w:sz w:val="22"/>
          <w:szCs w:val="22"/>
        </w:rPr>
        <w:t>4.6 Implications of the Evidence Gaps</w:t>
      </w:r>
    </w:p>
    <w:p w14:paraId="5B3A12D4" w14:textId="77777777" w:rsidR="00DE3473" w:rsidRDefault="00000000">
      <w:pPr>
        <w:pStyle w:val="Heading3"/>
        <w:spacing w:line="360" w:lineRule="auto"/>
        <w:jc w:val="both"/>
        <w:rPr>
          <w:rStyle w:val="Strong"/>
          <w:rFonts w:ascii="Arial" w:hAnsi="Arial" w:cs="Arial" w:hint="default"/>
          <w:color w:val="000000" w:themeColor="text1"/>
          <w:sz w:val="22"/>
          <w:szCs w:val="22"/>
        </w:rPr>
      </w:pPr>
      <w:r>
        <w:rPr>
          <w:rStyle w:val="Strong"/>
          <w:rFonts w:ascii="Arial" w:hAnsi="Arial" w:cs="Arial" w:hint="default"/>
          <w:color w:val="000000" w:themeColor="text1"/>
          <w:sz w:val="22"/>
          <w:szCs w:val="22"/>
        </w:rPr>
        <w:t>The identified gaps highlight the urgent need for more inclusive, longitudinal, and intervention-based research to inform equitable chronic pain management for older adults. Policymakers and health practitioners must prioritise studies that evaluate multidisciplinary, community-led, and technology-supported approaches to address both physical and psychosocial aspects of pain. Strengthening healthcare professional education, integrating mental health into pain care, and expanding digital access in rural areas could reduce disparities and improve outcomes. Bridging these evidence gaps will ensure that pain management strategies across the UK are comprehensive, person-centred, and adaptable to diverse populations and healthcare settings.</w:t>
      </w:r>
    </w:p>
    <w:p w14:paraId="5DF139C9" w14:textId="77777777" w:rsidR="00DE3473" w:rsidRDefault="00000000">
      <w:pPr>
        <w:pStyle w:val="Heading3"/>
        <w:spacing w:line="360" w:lineRule="auto"/>
        <w:jc w:val="both"/>
        <w:rPr>
          <w:rFonts w:ascii="Arial" w:hAnsi="Arial" w:cs="Arial" w:hint="default"/>
          <w:color w:val="000000" w:themeColor="text1"/>
          <w:sz w:val="22"/>
          <w:szCs w:val="22"/>
        </w:rPr>
      </w:pPr>
      <w:r>
        <w:rPr>
          <w:rStyle w:val="Strong"/>
          <w:rFonts w:ascii="Arial" w:hAnsi="Arial" w:cs="Arial" w:hint="default"/>
          <w:b/>
          <w:bCs/>
          <w:color w:val="000000" w:themeColor="text1"/>
          <w:sz w:val="22"/>
          <w:szCs w:val="22"/>
        </w:rPr>
        <w:t xml:space="preserve">4.7 Conclusion </w:t>
      </w:r>
    </w:p>
    <w:p w14:paraId="0A42CE02" w14:textId="77777777" w:rsidR="00DE3473" w:rsidRDefault="00000000">
      <w:pPr>
        <w:pStyle w:val="NormalWeb"/>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The synthesis indicates that chronic pain management profoundly affects the </w:t>
      </w:r>
      <w:r>
        <w:rPr>
          <w:rStyle w:val="Strong"/>
          <w:rFonts w:ascii="Arial" w:hAnsi="Arial" w:cs="Arial"/>
          <w:b w:val="0"/>
          <w:bCs w:val="0"/>
          <w:color w:val="000000" w:themeColor="text1"/>
          <w:sz w:val="22"/>
          <w:szCs w:val="22"/>
        </w:rPr>
        <w:t>physical well-being</w:t>
      </w:r>
      <w:r>
        <w:rPr>
          <w:rFonts w:ascii="Arial" w:hAnsi="Arial" w:cs="Arial"/>
          <w:color w:val="000000" w:themeColor="text1"/>
          <w:sz w:val="22"/>
          <w:szCs w:val="22"/>
        </w:rPr>
        <w:t xml:space="preserve"> of older adults through its intersection with psychological resilience, healthcare access, and self-management capacity. Despite policy recognition of multimodal care, implementation remains uneven, particularly in rural communities. The findings reveal that </w:t>
      </w:r>
      <w:r>
        <w:rPr>
          <w:rStyle w:val="Strong"/>
          <w:rFonts w:ascii="Arial" w:hAnsi="Arial" w:cs="Arial"/>
          <w:b w:val="0"/>
          <w:bCs w:val="0"/>
          <w:color w:val="000000" w:themeColor="text1"/>
          <w:sz w:val="22"/>
          <w:szCs w:val="22"/>
        </w:rPr>
        <w:t>knowledge gaps among professionals</w:t>
      </w:r>
      <w:r>
        <w:rPr>
          <w:rFonts w:ascii="Arial" w:hAnsi="Arial" w:cs="Arial"/>
          <w:color w:val="000000" w:themeColor="text1"/>
          <w:sz w:val="22"/>
          <w:szCs w:val="22"/>
        </w:rPr>
        <w:t xml:space="preserve">, coupled with </w:t>
      </w:r>
      <w:r>
        <w:rPr>
          <w:rStyle w:val="Strong"/>
          <w:rFonts w:ascii="Arial" w:hAnsi="Arial" w:cs="Arial"/>
          <w:b w:val="0"/>
          <w:bCs w:val="0"/>
          <w:color w:val="000000" w:themeColor="text1"/>
          <w:sz w:val="22"/>
          <w:szCs w:val="22"/>
        </w:rPr>
        <w:t>systemic barriers</w:t>
      </w:r>
      <w:r>
        <w:rPr>
          <w:rFonts w:ascii="Arial" w:hAnsi="Arial" w:cs="Arial"/>
          <w:color w:val="000000" w:themeColor="text1"/>
          <w:sz w:val="22"/>
          <w:szCs w:val="22"/>
        </w:rPr>
        <w:t>, continue to hinder progress.</w:t>
      </w:r>
    </w:p>
    <w:p w14:paraId="3FE5CB1D" w14:textId="77777777" w:rsidR="00DE3473" w:rsidRDefault="00000000">
      <w:pPr>
        <w:rPr>
          <w:rStyle w:val="Strong"/>
          <w:rFonts w:ascii="Arial" w:hAnsi="Arial" w:cs="Arial"/>
          <w:sz w:val="22"/>
          <w:szCs w:val="22"/>
        </w:rPr>
      </w:pPr>
      <w:r>
        <w:rPr>
          <w:rStyle w:val="Strong"/>
          <w:rFonts w:ascii="Arial" w:hAnsi="Arial" w:cs="Arial"/>
          <w:sz w:val="22"/>
          <w:szCs w:val="22"/>
        </w:rPr>
        <w:br w:type="page"/>
      </w:r>
    </w:p>
    <w:p w14:paraId="6DADEDB3" w14:textId="77777777" w:rsidR="00DE3473" w:rsidRDefault="00000000">
      <w:pPr>
        <w:pStyle w:val="Heading1"/>
        <w:spacing w:line="360" w:lineRule="auto"/>
        <w:jc w:val="center"/>
        <w:rPr>
          <w:rStyle w:val="Strong"/>
          <w:rFonts w:ascii="Arial" w:hAnsi="Arial" w:cs="Arial" w:hint="default"/>
          <w:b/>
          <w:bCs/>
          <w:sz w:val="22"/>
          <w:szCs w:val="22"/>
        </w:rPr>
      </w:pPr>
      <w:r>
        <w:rPr>
          <w:rStyle w:val="Strong"/>
          <w:rFonts w:ascii="Arial" w:hAnsi="Arial" w:cs="Arial" w:hint="default"/>
          <w:b/>
          <w:bCs/>
          <w:sz w:val="22"/>
          <w:szCs w:val="22"/>
        </w:rPr>
        <w:lastRenderedPageBreak/>
        <w:t>Chapter 5</w:t>
      </w:r>
    </w:p>
    <w:p w14:paraId="4484E7E2" w14:textId="77777777" w:rsidR="00DE3473" w:rsidRDefault="00000000">
      <w:pPr>
        <w:pStyle w:val="Heading1"/>
        <w:spacing w:line="360" w:lineRule="auto"/>
        <w:jc w:val="center"/>
        <w:rPr>
          <w:rFonts w:ascii="Arial" w:hAnsi="Arial" w:cs="Arial" w:hint="default"/>
          <w:sz w:val="22"/>
          <w:szCs w:val="22"/>
        </w:rPr>
      </w:pPr>
      <w:r>
        <w:rPr>
          <w:rStyle w:val="Strong"/>
          <w:rFonts w:ascii="Arial" w:hAnsi="Arial" w:cs="Arial" w:hint="default"/>
          <w:b/>
          <w:bCs/>
          <w:sz w:val="22"/>
          <w:szCs w:val="22"/>
        </w:rPr>
        <w:t xml:space="preserve"> Discussion, Recommendations, and Implications</w:t>
      </w:r>
    </w:p>
    <w:p w14:paraId="39C0ACAF" w14:textId="77777777" w:rsidR="00DE3473" w:rsidRDefault="00000000">
      <w:pPr>
        <w:pStyle w:val="Heading3"/>
        <w:spacing w:line="360" w:lineRule="auto"/>
        <w:jc w:val="both"/>
        <w:rPr>
          <w:rFonts w:ascii="Arial" w:hAnsi="Arial" w:cs="Arial" w:hint="default"/>
          <w:sz w:val="22"/>
          <w:szCs w:val="22"/>
        </w:rPr>
      </w:pPr>
      <w:r>
        <w:rPr>
          <w:rStyle w:val="Strong"/>
          <w:rFonts w:ascii="Arial" w:hAnsi="Arial" w:cs="Arial" w:hint="default"/>
          <w:b/>
          <w:bCs/>
          <w:sz w:val="22"/>
          <w:szCs w:val="22"/>
        </w:rPr>
        <w:t>5.0 Introduction</w:t>
      </w:r>
    </w:p>
    <w:p w14:paraId="2FAD7869" w14:textId="77777777" w:rsidR="00DE3473" w:rsidRDefault="00000000">
      <w:pPr>
        <w:pStyle w:val="NormalWeb"/>
        <w:spacing w:line="360" w:lineRule="auto"/>
        <w:jc w:val="both"/>
        <w:rPr>
          <w:rFonts w:ascii="Arial" w:hAnsi="Arial" w:cs="Arial"/>
          <w:sz w:val="22"/>
          <w:szCs w:val="22"/>
        </w:rPr>
      </w:pPr>
      <w:r>
        <w:rPr>
          <w:rFonts w:ascii="Arial" w:hAnsi="Arial" w:cs="Arial"/>
          <w:sz w:val="22"/>
          <w:szCs w:val="22"/>
        </w:rPr>
        <w:t xml:space="preserve">This chapter discusses the findings presented in Chapter 4, offering an interpretive evaluation of how chronic pain management strategies can be more effectively integrated to promote </w:t>
      </w:r>
      <w:r>
        <w:rPr>
          <w:rStyle w:val="Strong"/>
          <w:rFonts w:ascii="Arial" w:hAnsi="Arial" w:cs="Arial"/>
          <w:b w:val="0"/>
          <w:bCs w:val="0"/>
          <w:sz w:val="22"/>
          <w:szCs w:val="22"/>
        </w:rPr>
        <w:t>holistic and equitable care</w:t>
      </w:r>
      <w:r>
        <w:rPr>
          <w:rFonts w:ascii="Arial" w:hAnsi="Arial" w:cs="Arial"/>
          <w:sz w:val="22"/>
          <w:szCs w:val="22"/>
        </w:rPr>
        <w:t xml:space="preserve"> for older adults across the United Kingdom. Drawing upon evidence from ten UK-based studies spanning 2016–2025, the discussion connects empirical findings with theoretical and policy frameworks including the </w:t>
      </w:r>
      <w:r>
        <w:rPr>
          <w:rStyle w:val="Strong"/>
          <w:rFonts w:ascii="Arial" w:hAnsi="Arial" w:cs="Arial"/>
          <w:b w:val="0"/>
          <w:bCs w:val="0"/>
          <w:sz w:val="22"/>
          <w:szCs w:val="22"/>
        </w:rPr>
        <w:t>biopsychosocial model</w:t>
      </w:r>
      <w:r>
        <w:rPr>
          <w:rFonts w:ascii="Arial" w:hAnsi="Arial" w:cs="Arial"/>
          <w:sz w:val="22"/>
          <w:szCs w:val="22"/>
        </w:rPr>
        <w:t xml:space="preserve">, the </w:t>
      </w:r>
      <w:r>
        <w:rPr>
          <w:rStyle w:val="Strong"/>
          <w:rFonts w:ascii="Arial" w:hAnsi="Arial" w:cs="Arial"/>
          <w:b w:val="0"/>
          <w:bCs w:val="0"/>
          <w:sz w:val="22"/>
          <w:szCs w:val="22"/>
        </w:rPr>
        <w:t>Scottish Government’s 2020 Vision for Health and Social Care</w:t>
      </w:r>
      <w:r>
        <w:rPr>
          <w:rFonts w:ascii="Arial" w:hAnsi="Arial" w:cs="Arial"/>
          <w:sz w:val="22"/>
          <w:szCs w:val="22"/>
        </w:rPr>
        <w:t xml:space="preserve">, and </w:t>
      </w:r>
      <w:r>
        <w:rPr>
          <w:rStyle w:val="Strong"/>
          <w:rFonts w:ascii="Arial" w:hAnsi="Arial" w:cs="Arial"/>
          <w:b w:val="0"/>
          <w:bCs w:val="0"/>
          <w:sz w:val="22"/>
          <w:szCs w:val="22"/>
        </w:rPr>
        <w:t>NICE (2017) guidelines</w:t>
      </w:r>
      <w:r>
        <w:rPr>
          <w:rFonts w:ascii="Arial" w:hAnsi="Arial" w:cs="Arial"/>
          <w:sz w:val="22"/>
          <w:szCs w:val="22"/>
        </w:rPr>
        <w:t xml:space="preserve"> for chronic pain management. The chapter culminates in practical recommendations, suggestions for future research, and implications for healthcare policy and clinical practice.</w:t>
      </w:r>
    </w:p>
    <w:p w14:paraId="2CF12EE2" w14:textId="77777777" w:rsidR="00DE3473" w:rsidRDefault="00000000">
      <w:pPr>
        <w:pStyle w:val="Heading3"/>
        <w:spacing w:line="360" w:lineRule="auto"/>
        <w:jc w:val="both"/>
        <w:rPr>
          <w:rFonts w:ascii="Arial" w:hAnsi="Arial" w:cs="Arial" w:hint="default"/>
          <w:sz w:val="22"/>
          <w:szCs w:val="22"/>
        </w:rPr>
      </w:pPr>
      <w:r>
        <w:rPr>
          <w:rStyle w:val="Strong"/>
          <w:rFonts w:ascii="Arial" w:hAnsi="Arial" w:cs="Arial" w:hint="default"/>
          <w:b/>
          <w:bCs/>
          <w:sz w:val="22"/>
          <w:szCs w:val="22"/>
        </w:rPr>
        <w:t>5.1 Summary of Key Findings</w:t>
      </w:r>
    </w:p>
    <w:p w14:paraId="3BA06CAB" w14:textId="77777777" w:rsidR="00DE3473" w:rsidRDefault="00000000">
      <w:pPr>
        <w:pStyle w:val="NormalWeb"/>
        <w:spacing w:line="360" w:lineRule="auto"/>
        <w:jc w:val="both"/>
        <w:rPr>
          <w:rFonts w:ascii="Arial" w:hAnsi="Arial" w:cs="Arial"/>
          <w:sz w:val="22"/>
          <w:szCs w:val="22"/>
        </w:rPr>
      </w:pPr>
      <w:r>
        <w:rPr>
          <w:rFonts w:ascii="Arial" w:hAnsi="Arial" w:cs="Arial"/>
          <w:sz w:val="22"/>
          <w:szCs w:val="22"/>
        </w:rPr>
        <w:t>The synthesis of qualitative and quantitative evidence revealed a multidimensional understanding of chronic pain management among older adults, identifying recurring challenges and opportunities for improvement.</w:t>
      </w:r>
    </w:p>
    <w:p w14:paraId="1475AA6D" w14:textId="77777777" w:rsidR="00DE3473" w:rsidRDefault="00000000">
      <w:pPr>
        <w:pStyle w:val="Heading4"/>
        <w:spacing w:line="360" w:lineRule="auto"/>
        <w:jc w:val="both"/>
        <w:rPr>
          <w:rFonts w:ascii="Arial" w:hAnsi="Arial" w:cs="Arial" w:hint="default"/>
          <w:sz w:val="22"/>
          <w:szCs w:val="22"/>
        </w:rPr>
      </w:pPr>
      <w:r>
        <w:rPr>
          <w:rStyle w:val="Strong"/>
          <w:rFonts w:ascii="Arial" w:hAnsi="Arial" w:cs="Arial" w:hint="default"/>
          <w:b/>
          <w:bCs/>
          <w:sz w:val="22"/>
          <w:szCs w:val="22"/>
        </w:rPr>
        <w:t>5.1.1 Accessibility and Equity of Care</w:t>
      </w:r>
    </w:p>
    <w:p w14:paraId="0117C3F6" w14:textId="77777777" w:rsidR="00DE3473" w:rsidRDefault="00000000">
      <w:pPr>
        <w:pStyle w:val="NormalWeb"/>
        <w:spacing w:line="360" w:lineRule="auto"/>
        <w:jc w:val="both"/>
        <w:rPr>
          <w:rFonts w:ascii="Arial" w:hAnsi="Arial" w:cs="Arial"/>
          <w:sz w:val="22"/>
          <w:szCs w:val="22"/>
        </w:rPr>
      </w:pPr>
      <w:r>
        <w:rPr>
          <w:rFonts w:ascii="Arial" w:hAnsi="Arial" w:cs="Arial"/>
          <w:sz w:val="22"/>
          <w:szCs w:val="22"/>
        </w:rPr>
        <w:t xml:space="preserve">Older adults in rural and remote regions (e.g., Highlands, Grampian, and Northern England) consistently reported </w:t>
      </w:r>
      <w:r>
        <w:rPr>
          <w:rStyle w:val="Strong"/>
          <w:rFonts w:ascii="Arial" w:hAnsi="Arial" w:cs="Arial"/>
          <w:b w:val="0"/>
          <w:bCs w:val="0"/>
          <w:sz w:val="22"/>
          <w:szCs w:val="22"/>
        </w:rPr>
        <w:t>geographical barriers</w:t>
      </w:r>
      <w:r>
        <w:rPr>
          <w:rFonts w:ascii="Arial" w:hAnsi="Arial" w:cs="Arial"/>
          <w:sz w:val="22"/>
          <w:szCs w:val="22"/>
        </w:rPr>
        <w:t xml:space="preserve"> to accessing specialist pain services (Jebara et al., 2023; Stewart et al., 2020). General practitioners (GPs) remain the primary point of contact, yet most lacked access to multidisciplinary or community-based resources. The absence of integrated referral pathways results in reliance on pharmacological treatments rather than holistic care, reinforcing inequities between urban and rural healthcare provision.</w:t>
      </w:r>
    </w:p>
    <w:p w14:paraId="07C555DD" w14:textId="77777777" w:rsidR="00DE3473" w:rsidRDefault="00000000">
      <w:pPr>
        <w:pStyle w:val="Heading4"/>
        <w:spacing w:line="360" w:lineRule="auto"/>
        <w:jc w:val="both"/>
        <w:rPr>
          <w:rFonts w:ascii="Arial" w:hAnsi="Arial" w:cs="Arial" w:hint="default"/>
          <w:sz w:val="22"/>
          <w:szCs w:val="22"/>
        </w:rPr>
      </w:pPr>
      <w:r>
        <w:rPr>
          <w:rStyle w:val="Strong"/>
          <w:rFonts w:ascii="Arial" w:hAnsi="Arial" w:cs="Arial" w:hint="default"/>
          <w:b/>
          <w:bCs/>
          <w:sz w:val="22"/>
          <w:szCs w:val="22"/>
        </w:rPr>
        <w:t>5.1.2 Professional Knowledge and Confidence</w:t>
      </w:r>
    </w:p>
    <w:p w14:paraId="387BBA2E" w14:textId="77777777" w:rsidR="00DE3473" w:rsidRDefault="00000000">
      <w:pPr>
        <w:pStyle w:val="NormalWeb"/>
        <w:spacing w:line="360" w:lineRule="auto"/>
        <w:jc w:val="both"/>
        <w:rPr>
          <w:rFonts w:ascii="Arial" w:hAnsi="Arial" w:cs="Arial"/>
          <w:sz w:val="22"/>
          <w:szCs w:val="22"/>
        </w:rPr>
      </w:pPr>
      <w:r>
        <w:rPr>
          <w:rFonts w:ascii="Arial" w:hAnsi="Arial" w:cs="Arial"/>
          <w:sz w:val="22"/>
          <w:szCs w:val="22"/>
        </w:rPr>
        <w:t xml:space="preserve">Healthcare professionals including nurses, pharmacists, and osteopaths acknowledged </w:t>
      </w:r>
      <w:r>
        <w:rPr>
          <w:rStyle w:val="Strong"/>
          <w:rFonts w:ascii="Arial" w:hAnsi="Arial" w:cs="Arial"/>
          <w:sz w:val="22"/>
          <w:szCs w:val="22"/>
        </w:rPr>
        <w:t>d</w:t>
      </w:r>
      <w:r>
        <w:rPr>
          <w:rStyle w:val="Strong"/>
          <w:rFonts w:ascii="Arial" w:hAnsi="Arial" w:cs="Arial"/>
          <w:b w:val="0"/>
          <w:bCs w:val="0"/>
          <w:sz w:val="22"/>
          <w:szCs w:val="22"/>
        </w:rPr>
        <w:t>eficits in chronic pain education and role clarity</w:t>
      </w:r>
      <w:r>
        <w:rPr>
          <w:rFonts w:ascii="Arial" w:hAnsi="Arial" w:cs="Arial"/>
          <w:sz w:val="22"/>
          <w:szCs w:val="22"/>
        </w:rPr>
        <w:t xml:space="preserve"> (Armoogum et al., 2024; Macdonald et al., 2018). Despite national frameworks emphasising person-centred, biopsychosocial care, implementation remains inconsistent. Postgraduate training and continuing professional </w:t>
      </w:r>
      <w:r>
        <w:rPr>
          <w:rFonts w:ascii="Arial" w:hAnsi="Arial" w:cs="Arial"/>
          <w:sz w:val="22"/>
          <w:szCs w:val="22"/>
        </w:rPr>
        <w:lastRenderedPageBreak/>
        <w:t>development (CPD) in pain management are fragmented, leading to variable quality of care and under-recognition of non-pharmacological interventions such as physiotherapy, cognitive-behavioural therapy (CBT), and peer-support programmes.</w:t>
      </w:r>
    </w:p>
    <w:p w14:paraId="7DA25335" w14:textId="77777777" w:rsidR="00DE3473" w:rsidRDefault="00000000">
      <w:pPr>
        <w:pStyle w:val="Heading4"/>
        <w:spacing w:line="360" w:lineRule="auto"/>
        <w:jc w:val="both"/>
        <w:rPr>
          <w:rFonts w:ascii="Arial" w:hAnsi="Arial" w:cs="Arial" w:hint="default"/>
          <w:sz w:val="22"/>
          <w:szCs w:val="22"/>
        </w:rPr>
      </w:pPr>
      <w:r>
        <w:rPr>
          <w:rStyle w:val="Strong"/>
          <w:rFonts w:ascii="Arial" w:hAnsi="Arial" w:cs="Arial" w:hint="default"/>
          <w:b/>
          <w:bCs/>
          <w:sz w:val="22"/>
          <w:szCs w:val="22"/>
        </w:rPr>
        <w:t>5.1.3 Self-Management and Peer Support</w:t>
      </w:r>
    </w:p>
    <w:p w14:paraId="575F0E57" w14:textId="77777777" w:rsidR="00DE3473" w:rsidRDefault="00000000">
      <w:pPr>
        <w:pStyle w:val="NormalWeb"/>
        <w:spacing w:line="360" w:lineRule="auto"/>
        <w:jc w:val="both"/>
        <w:rPr>
          <w:rFonts w:ascii="Arial" w:hAnsi="Arial" w:cs="Arial"/>
          <w:sz w:val="22"/>
          <w:szCs w:val="22"/>
        </w:rPr>
      </w:pPr>
      <w:r>
        <w:rPr>
          <w:rFonts w:ascii="Arial" w:hAnsi="Arial" w:cs="Arial"/>
          <w:sz w:val="22"/>
          <w:szCs w:val="22"/>
        </w:rPr>
        <w:t xml:space="preserve">Evidence from Cooper et al. (2016) and Bourke et al. (2022) highlighted the importance of </w:t>
      </w:r>
      <w:r>
        <w:rPr>
          <w:rStyle w:val="Strong"/>
          <w:rFonts w:ascii="Arial" w:hAnsi="Arial" w:cs="Arial"/>
          <w:b w:val="0"/>
          <w:bCs w:val="0"/>
          <w:sz w:val="22"/>
          <w:szCs w:val="22"/>
        </w:rPr>
        <w:t>self-management and peer mentoring</w:t>
      </w:r>
      <w:r>
        <w:rPr>
          <w:rFonts w:ascii="Arial" w:hAnsi="Arial" w:cs="Arial"/>
          <w:sz w:val="22"/>
          <w:szCs w:val="22"/>
        </w:rPr>
        <w:t xml:space="preserve"> in sustaining long-term wellbeing among older adults with chronic pain. However, many participants experienced </w:t>
      </w:r>
      <w:r>
        <w:rPr>
          <w:rStyle w:val="Strong"/>
          <w:rFonts w:ascii="Arial" w:hAnsi="Arial" w:cs="Arial"/>
          <w:b w:val="0"/>
          <w:bCs w:val="0"/>
          <w:sz w:val="22"/>
          <w:szCs w:val="22"/>
        </w:rPr>
        <w:t>self-doubt, fluctuating motivation, and lack of ongoing reinforcement</w:t>
      </w:r>
      <w:r>
        <w:rPr>
          <w:rFonts w:ascii="Arial" w:hAnsi="Arial" w:cs="Arial"/>
          <w:sz w:val="22"/>
          <w:szCs w:val="22"/>
        </w:rPr>
        <w:t>, especially after discharge from physiotherapy. Empowerment through education, structured follow-up, and social connection were shown to enhance self-efficacy, yet these supports are rarely embedded in community health systems.</w:t>
      </w:r>
    </w:p>
    <w:p w14:paraId="74B603A2" w14:textId="77777777" w:rsidR="00DE3473" w:rsidRDefault="00000000">
      <w:pPr>
        <w:pStyle w:val="Heading4"/>
        <w:spacing w:line="360" w:lineRule="auto"/>
        <w:jc w:val="both"/>
        <w:rPr>
          <w:rFonts w:ascii="Arial" w:hAnsi="Arial" w:cs="Arial" w:hint="default"/>
          <w:b w:val="0"/>
          <w:bCs w:val="0"/>
          <w:sz w:val="22"/>
          <w:szCs w:val="22"/>
        </w:rPr>
      </w:pPr>
      <w:r>
        <w:rPr>
          <w:rStyle w:val="Strong"/>
          <w:rFonts w:ascii="Arial" w:hAnsi="Arial" w:cs="Arial" w:hint="default"/>
          <w:b/>
          <w:bCs/>
          <w:sz w:val="22"/>
          <w:szCs w:val="22"/>
        </w:rPr>
        <w:t>5.1.4 Psychological and Social Wellbeing</w:t>
      </w:r>
    </w:p>
    <w:p w14:paraId="05B64A80" w14:textId="77777777" w:rsidR="00DE3473" w:rsidRDefault="00000000">
      <w:pPr>
        <w:pStyle w:val="NormalWeb"/>
        <w:spacing w:line="360" w:lineRule="auto"/>
        <w:jc w:val="both"/>
        <w:rPr>
          <w:rFonts w:ascii="Arial" w:hAnsi="Arial" w:cs="Arial"/>
          <w:sz w:val="22"/>
          <w:szCs w:val="22"/>
        </w:rPr>
      </w:pPr>
      <w:r>
        <w:rPr>
          <w:rFonts w:ascii="Arial" w:hAnsi="Arial" w:cs="Arial"/>
          <w:sz w:val="22"/>
          <w:szCs w:val="22"/>
        </w:rPr>
        <w:t xml:space="preserve">Studies such as Fallon et al. (2021) demonstrated how </w:t>
      </w:r>
      <w:r>
        <w:rPr>
          <w:rStyle w:val="Strong"/>
          <w:rFonts w:ascii="Arial" w:hAnsi="Arial" w:cs="Arial"/>
          <w:b w:val="0"/>
          <w:bCs w:val="0"/>
          <w:sz w:val="22"/>
          <w:szCs w:val="22"/>
        </w:rPr>
        <w:t>psychological distress and reduced physical activity</w:t>
      </w:r>
      <w:r>
        <w:rPr>
          <w:rFonts w:ascii="Arial" w:hAnsi="Arial" w:cs="Arial"/>
          <w:sz w:val="22"/>
          <w:szCs w:val="22"/>
        </w:rPr>
        <w:t xml:space="preserve"> exacerbate pain perception and functional limitations. The COVID-19 pandemic magnified these effects, exposing the vulnerability of individuals reliant on face-to-face support. Interventions that integrate </w:t>
      </w:r>
      <w:r>
        <w:rPr>
          <w:rStyle w:val="Strong"/>
          <w:rFonts w:ascii="Arial" w:hAnsi="Arial" w:cs="Arial"/>
          <w:b w:val="0"/>
          <w:bCs w:val="0"/>
          <w:sz w:val="22"/>
          <w:szCs w:val="22"/>
        </w:rPr>
        <w:t>mental health and physical rehabilitation</w:t>
      </w:r>
      <w:r>
        <w:rPr>
          <w:rFonts w:ascii="Arial" w:hAnsi="Arial" w:cs="Arial"/>
          <w:sz w:val="22"/>
          <w:szCs w:val="22"/>
        </w:rPr>
        <w:t xml:space="preserve"> are therefore essential to address the cyclical relationship between anxiety, inactivity, and pain.</w:t>
      </w:r>
    </w:p>
    <w:p w14:paraId="3D54D2AA" w14:textId="77777777" w:rsidR="00DE3473" w:rsidRDefault="00000000">
      <w:pPr>
        <w:pStyle w:val="Heading4"/>
        <w:spacing w:line="360" w:lineRule="auto"/>
        <w:jc w:val="both"/>
        <w:rPr>
          <w:rFonts w:ascii="Arial" w:hAnsi="Arial" w:cs="Arial" w:hint="default"/>
          <w:sz w:val="22"/>
          <w:szCs w:val="22"/>
        </w:rPr>
      </w:pPr>
      <w:r>
        <w:rPr>
          <w:rStyle w:val="Strong"/>
          <w:rFonts w:ascii="Arial" w:hAnsi="Arial" w:cs="Arial" w:hint="default"/>
          <w:b/>
          <w:bCs/>
          <w:sz w:val="22"/>
          <w:szCs w:val="22"/>
        </w:rPr>
        <w:t>5.1.5 Systemic Gaps</w:t>
      </w:r>
    </w:p>
    <w:p w14:paraId="7A228624" w14:textId="77777777" w:rsidR="00DE3473" w:rsidRDefault="00000000">
      <w:pPr>
        <w:pStyle w:val="NormalWeb"/>
        <w:spacing w:line="360" w:lineRule="auto"/>
        <w:jc w:val="both"/>
        <w:rPr>
          <w:rFonts w:ascii="Arial" w:hAnsi="Arial" w:cs="Arial"/>
          <w:sz w:val="22"/>
          <w:szCs w:val="22"/>
        </w:rPr>
      </w:pPr>
      <w:r>
        <w:rPr>
          <w:rFonts w:ascii="Arial" w:hAnsi="Arial" w:cs="Arial"/>
          <w:sz w:val="22"/>
          <w:szCs w:val="22"/>
        </w:rPr>
        <w:t xml:space="preserve">Across all studies, the most persistent gap was the </w:t>
      </w:r>
      <w:r>
        <w:rPr>
          <w:rStyle w:val="Strong"/>
          <w:rFonts w:ascii="Arial" w:hAnsi="Arial" w:cs="Arial"/>
          <w:b w:val="0"/>
          <w:bCs w:val="0"/>
          <w:sz w:val="22"/>
          <w:szCs w:val="22"/>
        </w:rPr>
        <w:t>fragmentation of chronic pain services</w:t>
      </w:r>
      <w:r>
        <w:rPr>
          <w:rFonts w:ascii="Arial" w:hAnsi="Arial" w:cs="Arial"/>
          <w:sz w:val="22"/>
          <w:szCs w:val="22"/>
        </w:rPr>
        <w:t>. Despite policies promoting integrated and multidisciplinary models, care remains largely biomedical, reactive, and medication-driven (Stewart et al., 2020). Fragmentation between primary care, pain clinics, and social services undermines continuity and patient empowerment.</w:t>
      </w:r>
    </w:p>
    <w:p w14:paraId="198110BC" w14:textId="77777777" w:rsidR="00DE3473" w:rsidRDefault="00000000">
      <w:pPr>
        <w:pStyle w:val="Heading3"/>
        <w:spacing w:line="360" w:lineRule="auto"/>
        <w:jc w:val="both"/>
        <w:rPr>
          <w:rFonts w:ascii="Arial" w:hAnsi="Arial" w:cs="Arial" w:hint="default"/>
          <w:sz w:val="22"/>
          <w:szCs w:val="22"/>
        </w:rPr>
      </w:pPr>
      <w:r>
        <w:rPr>
          <w:rStyle w:val="Strong"/>
          <w:rFonts w:ascii="Arial" w:hAnsi="Arial" w:cs="Arial" w:hint="default"/>
          <w:b/>
          <w:bCs/>
          <w:sz w:val="22"/>
          <w:szCs w:val="22"/>
        </w:rPr>
        <w:t>5.2 Evaluation of Chronic Pain Management Integration</w:t>
      </w:r>
    </w:p>
    <w:p w14:paraId="076BC74E" w14:textId="77777777" w:rsidR="00DE3473" w:rsidRDefault="00000000">
      <w:pPr>
        <w:pStyle w:val="NormalWeb"/>
        <w:spacing w:line="360" w:lineRule="auto"/>
        <w:jc w:val="both"/>
        <w:rPr>
          <w:rFonts w:ascii="Arial" w:hAnsi="Arial" w:cs="Arial"/>
          <w:sz w:val="22"/>
          <w:szCs w:val="22"/>
        </w:rPr>
      </w:pPr>
      <w:r>
        <w:rPr>
          <w:rFonts w:ascii="Arial" w:hAnsi="Arial" w:cs="Arial"/>
          <w:sz w:val="22"/>
          <w:szCs w:val="22"/>
        </w:rPr>
        <w:t xml:space="preserve">Effective chronic pain management for older adults demands a </w:t>
      </w:r>
      <w:r>
        <w:rPr>
          <w:rStyle w:val="Strong"/>
          <w:rFonts w:ascii="Arial" w:hAnsi="Arial" w:cs="Arial"/>
          <w:b w:val="0"/>
          <w:bCs w:val="0"/>
          <w:sz w:val="22"/>
          <w:szCs w:val="22"/>
        </w:rPr>
        <w:t>whole-systems approach</w:t>
      </w:r>
      <w:r>
        <w:rPr>
          <w:rFonts w:ascii="Arial" w:hAnsi="Arial" w:cs="Arial"/>
          <w:sz w:val="22"/>
          <w:szCs w:val="22"/>
        </w:rPr>
        <w:t xml:space="preserve"> that transcends pharmacological treatment and focuses on quality of life, functionality, and autonomy. The evidence suggests that while the UK has made policy progress through NICE guidance, the </w:t>
      </w:r>
      <w:r>
        <w:rPr>
          <w:rStyle w:val="Emphasis"/>
          <w:rFonts w:ascii="Arial" w:hAnsi="Arial" w:cs="Arial"/>
          <w:i w:val="0"/>
          <w:iCs w:val="0"/>
          <w:sz w:val="22"/>
          <w:szCs w:val="22"/>
        </w:rPr>
        <w:t>Framework for Pain Management Service Delivery (Scotland, 2019)</w:t>
      </w:r>
      <w:r>
        <w:rPr>
          <w:rFonts w:ascii="Arial" w:hAnsi="Arial" w:cs="Arial"/>
          <w:sz w:val="22"/>
          <w:szCs w:val="22"/>
        </w:rPr>
        <w:t>, and NHS England’s Long-Term Plan implementation remains uneven.</w:t>
      </w:r>
    </w:p>
    <w:p w14:paraId="4CC9A7FE" w14:textId="77777777" w:rsidR="00DE3473" w:rsidRDefault="00000000">
      <w:pPr>
        <w:pStyle w:val="Heading4"/>
        <w:spacing w:line="360" w:lineRule="auto"/>
        <w:jc w:val="both"/>
        <w:rPr>
          <w:rFonts w:ascii="Arial" w:hAnsi="Arial" w:cs="Arial" w:hint="default"/>
          <w:sz w:val="22"/>
          <w:szCs w:val="22"/>
        </w:rPr>
      </w:pPr>
      <w:r>
        <w:rPr>
          <w:rStyle w:val="Strong"/>
          <w:rFonts w:ascii="Arial" w:hAnsi="Arial" w:cs="Arial" w:hint="default"/>
          <w:b/>
          <w:bCs/>
          <w:sz w:val="22"/>
          <w:szCs w:val="22"/>
        </w:rPr>
        <w:lastRenderedPageBreak/>
        <w:t>5.2.1 Moving from Biomedical to Biopsychosocial Models</w:t>
      </w:r>
    </w:p>
    <w:p w14:paraId="6F3E9F00" w14:textId="77777777" w:rsidR="00DE3473" w:rsidRDefault="00000000">
      <w:pPr>
        <w:pStyle w:val="NormalWeb"/>
        <w:spacing w:line="360" w:lineRule="auto"/>
        <w:jc w:val="both"/>
        <w:rPr>
          <w:rFonts w:ascii="Arial" w:hAnsi="Arial" w:cs="Arial"/>
          <w:sz w:val="22"/>
          <w:szCs w:val="22"/>
        </w:rPr>
      </w:pPr>
      <w:r>
        <w:rPr>
          <w:rFonts w:ascii="Arial" w:hAnsi="Arial" w:cs="Arial"/>
          <w:sz w:val="22"/>
          <w:szCs w:val="22"/>
        </w:rPr>
        <w:t xml:space="preserve">Most studies indicated that healthcare remains dominated by a biomedical paradigm focusing on analgesics and symptom suppression. Integrating a </w:t>
      </w:r>
      <w:r>
        <w:rPr>
          <w:rStyle w:val="Strong"/>
          <w:rFonts w:ascii="Arial" w:hAnsi="Arial" w:cs="Arial"/>
          <w:b w:val="0"/>
          <w:bCs w:val="0"/>
          <w:sz w:val="22"/>
          <w:szCs w:val="22"/>
        </w:rPr>
        <w:t>biopsychosocial model</w:t>
      </w:r>
      <w:r>
        <w:rPr>
          <w:rFonts w:ascii="Arial" w:hAnsi="Arial" w:cs="Arial"/>
          <w:sz w:val="22"/>
          <w:szCs w:val="22"/>
        </w:rPr>
        <w:t xml:space="preserve"> requires recognition that pain encompasses physiological, psychological, and social dimensions. Collaborative management linking GPs, physiotherapists, pharmacists, psychologists, and social workers should form the standard of care rather than the exception.</w:t>
      </w:r>
    </w:p>
    <w:p w14:paraId="5066BA23" w14:textId="77777777" w:rsidR="00DE3473" w:rsidRDefault="00000000">
      <w:pPr>
        <w:pStyle w:val="Heading4"/>
        <w:spacing w:line="360" w:lineRule="auto"/>
        <w:jc w:val="both"/>
        <w:rPr>
          <w:rFonts w:ascii="Arial" w:hAnsi="Arial" w:cs="Arial" w:hint="default"/>
          <w:sz w:val="22"/>
          <w:szCs w:val="22"/>
        </w:rPr>
      </w:pPr>
      <w:r>
        <w:rPr>
          <w:rStyle w:val="Strong"/>
          <w:rFonts w:ascii="Arial" w:hAnsi="Arial" w:cs="Arial" w:hint="default"/>
          <w:b/>
          <w:bCs/>
          <w:sz w:val="22"/>
          <w:szCs w:val="22"/>
        </w:rPr>
        <w:t>5.2.2 Enhancing Professional Training</w:t>
      </w:r>
    </w:p>
    <w:p w14:paraId="0FFFA35D" w14:textId="77777777" w:rsidR="00DE3473" w:rsidRDefault="00000000">
      <w:pPr>
        <w:pStyle w:val="NormalWeb"/>
        <w:spacing w:line="360" w:lineRule="auto"/>
        <w:jc w:val="both"/>
        <w:rPr>
          <w:rFonts w:ascii="Arial" w:hAnsi="Arial" w:cs="Arial"/>
          <w:sz w:val="22"/>
          <w:szCs w:val="22"/>
        </w:rPr>
      </w:pPr>
      <w:r>
        <w:rPr>
          <w:rFonts w:ascii="Arial" w:hAnsi="Arial" w:cs="Arial"/>
          <w:sz w:val="22"/>
          <w:szCs w:val="22"/>
        </w:rPr>
        <w:t xml:space="preserve">Education reform is essential. Pain management competencies should be embedded in undergraduate and postgraduate curricula for all healthcare disciplines. Structured CPD modules could enhance understanding of </w:t>
      </w:r>
      <w:r>
        <w:rPr>
          <w:rStyle w:val="Strong"/>
          <w:rFonts w:ascii="Arial" w:hAnsi="Arial" w:cs="Arial"/>
          <w:b w:val="0"/>
          <w:bCs w:val="0"/>
          <w:sz w:val="22"/>
          <w:szCs w:val="22"/>
        </w:rPr>
        <w:t>multimorbidity</w:t>
      </w:r>
      <w:r>
        <w:rPr>
          <w:rFonts w:ascii="Arial" w:hAnsi="Arial" w:cs="Arial"/>
          <w:sz w:val="22"/>
          <w:szCs w:val="22"/>
        </w:rPr>
        <w:t xml:space="preserve">, </w:t>
      </w:r>
      <w:r>
        <w:rPr>
          <w:rStyle w:val="Strong"/>
          <w:rFonts w:ascii="Arial" w:hAnsi="Arial" w:cs="Arial"/>
          <w:b w:val="0"/>
          <w:bCs w:val="0"/>
          <w:sz w:val="22"/>
          <w:szCs w:val="22"/>
        </w:rPr>
        <w:t>pain psychology</w:t>
      </w:r>
      <w:r>
        <w:rPr>
          <w:rFonts w:ascii="Arial" w:hAnsi="Arial" w:cs="Arial"/>
          <w:sz w:val="22"/>
          <w:szCs w:val="22"/>
        </w:rPr>
        <w:t xml:space="preserve">, and </w:t>
      </w:r>
      <w:r>
        <w:rPr>
          <w:rStyle w:val="Strong"/>
          <w:rFonts w:ascii="Arial" w:hAnsi="Arial" w:cs="Arial"/>
          <w:b w:val="0"/>
          <w:bCs w:val="0"/>
          <w:sz w:val="22"/>
          <w:szCs w:val="22"/>
        </w:rPr>
        <w:t>polypharmacy management</w:t>
      </w:r>
      <w:r>
        <w:rPr>
          <w:rFonts w:ascii="Arial" w:hAnsi="Arial" w:cs="Arial"/>
          <w:sz w:val="22"/>
          <w:szCs w:val="22"/>
        </w:rPr>
        <w:t>, ensuring older adults receive consistent, evidence-based care.</w:t>
      </w:r>
    </w:p>
    <w:p w14:paraId="5D2AE7AC" w14:textId="77777777" w:rsidR="00DE3473" w:rsidRDefault="00000000">
      <w:pPr>
        <w:pStyle w:val="Heading4"/>
        <w:spacing w:line="360" w:lineRule="auto"/>
        <w:jc w:val="both"/>
        <w:rPr>
          <w:rFonts w:ascii="Arial" w:hAnsi="Arial" w:cs="Arial" w:hint="default"/>
          <w:sz w:val="22"/>
          <w:szCs w:val="22"/>
        </w:rPr>
      </w:pPr>
      <w:r>
        <w:rPr>
          <w:rStyle w:val="Strong"/>
          <w:rFonts w:ascii="Arial" w:hAnsi="Arial" w:cs="Arial" w:hint="default"/>
          <w:b/>
          <w:bCs/>
          <w:sz w:val="22"/>
          <w:szCs w:val="22"/>
        </w:rPr>
        <w:t>5.2.3 Community-Based and Technological Innovations</w:t>
      </w:r>
    </w:p>
    <w:p w14:paraId="520696DD" w14:textId="77777777" w:rsidR="00DE3473" w:rsidRDefault="00000000">
      <w:pPr>
        <w:pStyle w:val="NormalWeb"/>
        <w:spacing w:line="360" w:lineRule="auto"/>
        <w:jc w:val="both"/>
        <w:rPr>
          <w:rFonts w:ascii="Arial" w:hAnsi="Arial" w:cs="Arial"/>
          <w:sz w:val="22"/>
          <w:szCs w:val="22"/>
        </w:rPr>
      </w:pPr>
      <w:r>
        <w:rPr>
          <w:rFonts w:ascii="Arial" w:hAnsi="Arial" w:cs="Arial"/>
          <w:sz w:val="22"/>
          <w:szCs w:val="22"/>
        </w:rPr>
        <w:t xml:space="preserve">Digital health platforms, tele-rehabilitation, and online peer-support groups could address geographical disparities in service access. However, these technologies must be </w:t>
      </w:r>
      <w:r>
        <w:rPr>
          <w:rStyle w:val="Strong"/>
          <w:rFonts w:ascii="Arial" w:hAnsi="Arial" w:cs="Arial"/>
          <w:b w:val="0"/>
          <w:bCs w:val="0"/>
          <w:sz w:val="22"/>
          <w:szCs w:val="22"/>
        </w:rPr>
        <w:t>age-appropriate, user-friendly, and inclusive</w:t>
      </w:r>
      <w:r>
        <w:rPr>
          <w:rFonts w:ascii="Arial" w:hAnsi="Arial" w:cs="Arial"/>
          <w:sz w:val="22"/>
          <w:szCs w:val="22"/>
        </w:rPr>
        <w:t xml:space="preserve"> for older adults with limited digital literacy. Pilot projects integrating telehealth with physiotherapy and pain psychology in rural regions show promise but require sustained investment and evaluation.</w:t>
      </w:r>
    </w:p>
    <w:p w14:paraId="61D66CE8" w14:textId="77777777" w:rsidR="00DE3473" w:rsidRDefault="00000000">
      <w:pPr>
        <w:pStyle w:val="Heading4"/>
        <w:spacing w:line="360" w:lineRule="auto"/>
        <w:jc w:val="both"/>
        <w:rPr>
          <w:rFonts w:ascii="Arial" w:hAnsi="Arial" w:cs="Arial" w:hint="default"/>
          <w:sz w:val="22"/>
          <w:szCs w:val="22"/>
        </w:rPr>
      </w:pPr>
      <w:r>
        <w:rPr>
          <w:rStyle w:val="Strong"/>
          <w:rFonts w:ascii="Arial" w:hAnsi="Arial" w:cs="Arial" w:hint="default"/>
          <w:b/>
          <w:bCs/>
          <w:sz w:val="22"/>
          <w:szCs w:val="22"/>
        </w:rPr>
        <w:t>5.2.4 Policy and Service Integration</w:t>
      </w:r>
    </w:p>
    <w:p w14:paraId="7A1CEB33" w14:textId="77777777" w:rsidR="00DE3473" w:rsidRDefault="00000000">
      <w:pPr>
        <w:pStyle w:val="NormalWeb"/>
        <w:spacing w:line="360" w:lineRule="auto"/>
        <w:jc w:val="both"/>
        <w:rPr>
          <w:rFonts w:ascii="Arial" w:hAnsi="Arial" w:cs="Arial"/>
          <w:sz w:val="22"/>
          <w:szCs w:val="22"/>
        </w:rPr>
      </w:pPr>
      <w:r>
        <w:rPr>
          <w:rFonts w:ascii="Arial" w:hAnsi="Arial" w:cs="Arial"/>
          <w:sz w:val="22"/>
          <w:szCs w:val="22"/>
        </w:rPr>
        <w:t xml:space="preserve">The findings underscore the need for </w:t>
      </w:r>
      <w:r>
        <w:rPr>
          <w:rStyle w:val="Strong"/>
          <w:rFonts w:ascii="Arial" w:hAnsi="Arial" w:cs="Arial"/>
          <w:b w:val="0"/>
          <w:bCs w:val="0"/>
          <w:sz w:val="22"/>
          <w:szCs w:val="22"/>
        </w:rPr>
        <w:t>policy alignment across health boards and NHS trusts</w:t>
      </w:r>
      <w:r>
        <w:rPr>
          <w:rFonts w:ascii="Arial" w:hAnsi="Arial" w:cs="Arial"/>
          <w:sz w:val="22"/>
          <w:szCs w:val="22"/>
        </w:rPr>
        <w:t>. Chronic pain should be managed as a long-term condition within integrated care systems (ICS), with shared electronic records and coordinated referral pathways. Commissioning models should reward outcome-based, patient-centred care rather than activity-based outputs.</w:t>
      </w:r>
    </w:p>
    <w:p w14:paraId="42780B73" w14:textId="77777777" w:rsidR="00DE3473" w:rsidRDefault="00000000">
      <w:pPr>
        <w:pStyle w:val="Heading3"/>
        <w:spacing w:line="360" w:lineRule="auto"/>
        <w:jc w:val="both"/>
        <w:rPr>
          <w:rStyle w:val="Strong"/>
          <w:rFonts w:ascii="Arial" w:hAnsi="Arial" w:cs="Arial" w:hint="default"/>
          <w:b/>
          <w:bCs/>
          <w:sz w:val="22"/>
          <w:szCs w:val="22"/>
        </w:rPr>
      </w:pPr>
      <w:r>
        <w:rPr>
          <w:rStyle w:val="Strong"/>
          <w:rFonts w:ascii="Arial" w:hAnsi="Arial" w:cs="Arial" w:hint="default"/>
          <w:b/>
          <w:bCs/>
          <w:sz w:val="22"/>
          <w:szCs w:val="22"/>
        </w:rPr>
        <w:t>5.3 Recommendations</w:t>
      </w:r>
    </w:p>
    <w:p w14:paraId="125C0170"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Based on findings from McQueenie et al. (2021) and Smith et al. (2022), community-level multidisciplinary teams comprising GPs, physiotherapists, psychologists, pharmacists, and social workers should be established to ensure continuity across hospital, community, and home care, enhancing physical functioning and independence among older adults. Evidence from </w:t>
      </w:r>
      <w:r>
        <w:rPr>
          <w:rFonts w:ascii="Arial" w:hAnsi="Arial" w:cs="Arial"/>
          <w:sz w:val="22"/>
          <w:szCs w:val="22"/>
        </w:rPr>
        <w:lastRenderedPageBreak/>
        <w:t>Vaucher et al. (2018) and Armoogum et al. (2024) highlights gaps in workforce skills and confidence, supporting the introduction of national training standards and CPD programmes in biopsychosocial pain management. Qualitative studies (Bourke et al., 2022; Cooper et al., 2016) demonstrate that structured peer mentoring and goal-setting frameworks sustain engagement, functional capacity, and resilience. Rural and socioeconomic barriers identified by Jebara et al. (2023) and Stewart et al. (2020) indicate the need for outreach, telehealth, and digital support to improve equitable access. Finally, mandating the reporting of patient-centred outcomes, functional improvements, and satisfaction (Denver-Wason et al., 2025) ensures that policy aligns with practice and supports sustainable, evidence-informed chronic pain management for older adults.</w:t>
      </w:r>
    </w:p>
    <w:p w14:paraId="6EAFE42D" w14:textId="77777777" w:rsidR="00DE3473" w:rsidRDefault="00000000">
      <w:pPr>
        <w:pStyle w:val="Heading3"/>
        <w:spacing w:line="360" w:lineRule="auto"/>
        <w:jc w:val="both"/>
        <w:rPr>
          <w:rFonts w:ascii="Arial" w:hAnsi="Arial" w:cs="Arial" w:hint="default"/>
          <w:sz w:val="22"/>
          <w:szCs w:val="22"/>
        </w:rPr>
      </w:pPr>
      <w:r>
        <w:rPr>
          <w:rStyle w:val="Strong"/>
          <w:rFonts w:ascii="Arial" w:hAnsi="Arial" w:cs="Arial" w:hint="default"/>
          <w:b/>
          <w:bCs/>
          <w:sz w:val="22"/>
          <w:szCs w:val="22"/>
        </w:rPr>
        <w:t>5.4 Suggestions for Further Studies</w:t>
      </w:r>
    </w:p>
    <w:p w14:paraId="6CD17EEB" w14:textId="77777777" w:rsidR="00DE3473" w:rsidRDefault="00000000">
      <w:pPr>
        <w:pStyle w:val="NormalWeb"/>
        <w:numPr>
          <w:ilvl w:val="0"/>
          <w:numId w:val="6"/>
        </w:numPr>
        <w:spacing w:line="360" w:lineRule="auto"/>
        <w:jc w:val="both"/>
        <w:rPr>
          <w:rFonts w:ascii="Arial" w:hAnsi="Arial" w:cs="Arial"/>
          <w:sz w:val="22"/>
          <w:szCs w:val="22"/>
        </w:rPr>
      </w:pPr>
      <w:r>
        <w:rPr>
          <w:rStyle w:val="Strong"/>
          <w:rFonts w:ascii="Arial" w:hAnsi="Arial" w:cs="Arial"/>
          <w:sz w:val="22"/>
          <w:szCs w:val="22"/>
        </w:rPr>
        <w:t>Longitudinal Studies on Pain Trajectories</w:t>
      </w:r>
      <w:r>
        <w:rPr>
          <w:rFonts w:ascii="Arial" w:hAnsi="Arial" w:cs="Arial"/>
          <w:sz w:val="22"/>
          <w:szCs w:val="22"/>
        </w:rPr>
        <w:br/>
        <w:t>Future research should track older adults’ pain experiences over time to understand the long-term impact of integrated interventions on physical wellbeing and independence.</w:t>
      </w:r>
    </w:p>
    <w:p w14:paraId="3BFEDEDA" w14:textId="77777777" w:rsidR="00DE3473" w:rsidRDefault="00000000">
      <w:pPr>
        <w:pStyle w:val="NormalWeb"/>
        <w:numPr>
          <w:ilvl w:val="0"/>
          <w:numId w:val="6"/>
        </w:numPr>
        <w:spacing w:line="360" w:lineRule="auto"/>
        <w:jc w:val="both"/>
        <w:rPr>
          <w:rFonts w:ascii="Arial" w:hAnsi="Arial" w:cs="Arial"/>
          <w:sz w:val="22"/>
          <w:szCs w:val="22"/>
        </w:rPr>
      </w:pPr>
      <w:r>
        <w:rPr>
          <w:rStyle w:val="Strong"/>
          <w:rFonts w:ascii="Arial" w:hAnsi="Arial" w:cs="Arial"/>
          <w:sz w:val="22"/>
          <w:szCs w:val="22"/>
        </w:rPr>
        <w:t>Evaluations of Digital and Remote Interventions</w:t>
      </w:r>
      <w:r>
        <w:rPr>
          <w:rFonts w:ascii="Arial" w:hAnsi="Arial" w:cs="Arial"/>
          <w:sz w:val="22"/>
          <w:szCs w:val="22"/>
        </w:rPr>
        <w:br/>
        <w:t>There is limited evidence on how telehealth, remote physiotherapy, or virtual peer groups influence pain management outcomes in older adults.</w:t>
      </w:r>
    </w:p>
    <w:p w14:paraId="3BB8372C" w14:textId="77777777" w:rsidR="00DE3473" w:rsidRDefault="00000000">
      <w:pPr>
        <w:pStyle w:val="NormalWeb"/>
        <w:numPr>
          <w:ilvl w:val="0"/>
          <w:numId w:val="6"/>
        </w:numPr>
        <w:spacing w:line="360" w:lineRule="auto"/>
        <w:jc w:val="both"/>
        <w:rPr>
          <w:rFonts w:ascii="Arial" w:hAnsi="Arial" w:cs="Arial"/>
          <w:sz w:val="22"/>
          <w:szCs w:val="22"/>
        </w:rPr>
      </w:pPr>
      <w:r>
        <w:rPr>
          <w:rStyle w:val="Strong"/>
          <w:rFonts w:ascii="Arial" w:hAnsi="Arial" w:cs="Arial"/>
          <w:sz w:val="22"/>
          <w:szCs w:val="22"/>
        </w:rPr>
        <w:t>Economic Evaluations of Integrated Models</w:t>
      </w:r>
      <w:r>
        <w:rPr>
          <w:rFonts w:ascii="Arial" w:hAnsi="Arial" w:cs="Arial"/>
          <w:sz w:val="22"/>
          <w:szCs w:val="22"/>
        </w:rPr>
        <w:br/>
        <w:t>Cost-effectiveness studies comparing biomedical versus biopsychosocial service models could inform NHS commissioning priorities.</w:t>
      </w:r>
    </w:p>
    <w:p w14:paraId="252974FE" w14:textId="77777777" w:rsidR="00DE3473" w:rsidRDefault="00000000">
      <w:pPr>
        <w:pStyle w:val="NormalWeb"/>
        <w:numPr>
          <w:ilvl w:val="0"/>
          <w:numId w:val="6"/>
        </w:numPr>
        <w:spacing w:line="360" w:lineRule="auto"/>
        <w:jc w:val="both"/>
        <w:rPr>
          <w:rFonts w:ascii="Arial" w:hAnsi="Arial" w:cs="Arial"/>
          <w:sz w:val="22"/>
          <w:szCs w:val="22"/>
        </w:rPr>
      </w:pPr>
      <w:r>
        <w:rPr>
          <w:rStyle w:val="Strong"/>
          <w:rFonts w:ascii="Arial" w:hAnsi="Arial" w:cs="Arial"/>
          <w:sz w:val="22"/>
          <w:szCs w:val="22"/>
        </w:rPr>
        <w:t>Cross-Regional Comparative Studies</w:t>
      </w:r>
      <w:r>
        <w:rPr>
          <w:rFonts w:ascii="Arial" w:hAnsi="Arial" w:cs="Arial"/>
          <w:sz w:val="22"/>
          <w:szCs w:val="22"/>
        </w:rPr>
        <w:br/>
        <w:t>Comparative research between England, Scotland, Wales, and Northern Ireland could reveal systemic differences in access and outcomes, guiding equitable national strategies.</w:t>
      </w:r>
    </w:p>
    <w:p w14:paraId="4279FE3A" w14:textId="77777777" w:rsidR="00DE3473" w:rsidRDefault="00000000">
      <w:pPr>
        <w:pStyle w:val="NormalWeb"/>
        <w:numPr>
          <w:ilvl w:val="0"/>
          <w:numId w:val="6"/>
        </w:numPr>
        <w:spacing w:line="360" w:lineRule="auto"/>
        <w:jc w:val="both"/>
        <w:rPr>
          <w:rFonts w:ascii="Arial" w:hAnsi="Arial" w:cs="Arial"/>
          <w:sz w:val="22"/>
          <w:szCs w:val="22"/>
        </w:rPr>
      </w:pPr>
      <w:r>
        <w:rPr>
          <w:rStyle w:val="Strong"/>
          <w:rFonts w:ascii="Arial" w:hAnsi="Arial" w:cs="Arial"/>
          <w:sz w:val="22"/>
          <w:szCs w:val="22"/>
        </w:rPr>
        <w:t>Cultural and Socioeconomic Dimensions</w:t>
      </w:r>
      <w:r>
        <w:rPr>
          <w:rFonts w:ascii="Arial" w:hAnsi="Arial" w:cs="Arial"/>
          <w:sz w:val="22"/>
          <w:szCs w:val="22"/>
        </w:rPr>
        <w:br/>
        <w:t>Qualitative studies exploring how ethnicity, income, and social isolation shape chronic pain experiences among older adults would expand understanding of inequality.</w:t>
      </w:r>
    </w:p>
    <w:p w14:paraId="5D1ADB9F" w14:textId="77777777" w:rsidR="00DE3473" w:rsidRDefault="00DE3473">
      <w:pPr>
        <w:pStyle w:val="Heading3"/>
        <w:spacing w:line="360" w:lineRule="auto"/>
        <w:jc w:val="both"/>
        <w:rPr>
          <w:rStyle w:val="Strong"/>
          <w:rFonts w:ascii="Arial" w:hAnsi="Arial" w:cs="Arial" w:hint="default"/>
          <w:b/>
          <w:bCs/>
          <w:sz w:val="22"/>
          <w:szCs w:val="22"/>
        </w:rPr>
      </w:pPr>
    </w:p>
    <w:p w14:paraId="6A6859D2" w14:textId="77777777" w:rsidR="00DE3473" w:rsidRDefault="00DE3473">
      <w:pPr>
        <w:pStyle w:val="Heading3"/>
        <w:spacing w:line="360" w:lineRule="auto"/>
        <w:jc w:val="both"/>
        <w:rPr>
          <w:rStyle w:val="Strong"/>
          <w:rFonts w:ascii="Arial" w:hAnsi="Arial" w:cs="Arial" w:hint="default"/>
          <w:b/>
          <w:bCs/>
          <w:sz w:val="22"/>
          <w:szCs w:val="22"/>
        </w:rPr>
      </w:pPr>
    </w:p>
    <w:p w14:paraId="404ABF2E" w14:textId="77777777" w:rsidR="00DE3473" w:rsidRDefault="00DE3473">
      <w:pPr>
        <w:pStyle w:val="Heading3"/>
        <w:spacing w:line="360" w:lineRule="auto"/>
        <w:jc w:val="both"/>
        <w:rPr>
          <w:rStyle w:val="Strong"/>
          <w:rFonts w:ascii="Arial" w:hAnsi="Arial" w:cs="Arial" w:hint="default"/>
          <w:b/>
          <w:bCs/>
          <w:sz w:val="22"/>
          <w:szCs w:val="22"/>
        </w:rPr>
      </w:pPr>
    </w:p>
    <w:p w14:paraId="0E952526" w14:textId="77777777" w:rsidR="00DE3473" w:rsidRDefault="00DE3473">
      <w:pPr>
        <w:pStyle w:val="Heading3"/>
        <w:spacing w:line="360" w:lineRule="auto"/>
        <w:jc w:val="both"/>
        <w:rPr>
          <w:rStyle w:val="Strong"/>
          <w:rFonts w:ascii="Arial" w:hAnsi="Arial" w:cs="Arial" w:hint="default"/>
          <w:b/>
          <w:bCs/>
          <w:sz w:val="22"/>
          <w:szCs w:val="22"/>
        </w:rPr>
      </w:pPr>
    </w:p>
    <w:p w14:paraId="0ABEE9B1" w14:textId="77777777" w:rsidR="00DE3473" w:rsidRDefault="00000000">
      <w:pPr>
        <w:pStyle w:val="Heading3"/>
        <w:spacing w:line="360" w:lineRule="auto"/>
        <w:jc w:val="both"/>
        <w:rPr>
          <w:rFonts w:ascii="Arial" w:hAnsi="Arial" w:cs="Arial" w:hint="default"/>
          <w:sz w:val="22"/>
          <w:szCs w:val="22"/>
        </w:rPr>
      </w:pPr>
      <w:r>
        <w:rPr>
          <w:rStyle w:val="Strong"/>
          <w:rFonts w:ascii="Arial" w:hAnsi="Arial" w:cs="Arial" w:hint="default"/>
          <w:b/>
          <w:bCs/>
          <w:sz w:val="22"/>
          <w:szCs w:val="22"/>
        </w:rPr>
        <w:lastRenderedPageBreak/>
        <w:t>5.5 Implications of Findings</w:t>
      </w:r>
    </w:p>
    <w:p w14:paraId="5917D855" w14:textId="77777777" w:rsidR="00DE3473" w:rsidRDefault="00000000">
      <w:pPr>
        <w:pStyle w:val="Heading4"/>
        <w:spacing w:line="360" w:lineRule="auto"/>
        <w:jc w:val="both"/>
        <w:rPr>
          <w:rFonts w:ascii="Arial" w:hAnsi="Arial" w:cs="Arial" w:hint="default"/>
          <w:sz w:val="22"/>
          <w:szCs w:val="22"/>
        </w:rPr>
      </w:pPr>
      <w:r>
        <w:rPr>
          <w:rStyle w:val="Strong"/>
          <w:rFonts w:ascii="Arial" w:hAnsi="Arial" w:cs="Arial" w:hint="default"/>
          <w:b/>
          <w:bCs/>
          <w:sz w:val="22"/>
          <w:szCs w:val="22"/>
        </w:rPr>
        <w:t>5.5.1 For Clinical Practice</w:t>
      </w:r>
    </w:p>
    <w:p w14:paraId="02D31517" w14:textId="77777777" w:rsidR="00DE3473" w:rsidRDefault="00000000">
      <w:pPr>
        <w:pStyle w:val="NormalWeb"/>
        <w:spacing w:line="360" w:lineRule="auto"/>
        <w:jc w:val="both"/>
        <w:rPr>
          <w:rFonts w:ascii="Arial" w:hAnsi="Arial" w:cs="Arial"/>
          <w:sz w:val="22"/>
          <w:szCs w:val="22"/>
        </w:rPr>
      </w:pPr>
      <w:r>
        <w:rPr>
          <w:rFonts w:ascii="Arial" w:hAnsi="Arial" w:cs="Arial"/>
          <w:sz w:val="22"/>
          <w:szCs w:val="22"/>
        </w:rPr>
        <w:t xml:space="preserve">Healthcare professionals should adopt a </w:t>
      </w:r>
      <w:r>
        <w:rPr>
          <w:rStyle w:val="Strong"/>
          <w:rFonts w:ascii="Arial" w:hAnsi="Arial" w:cs="Arial"/>
          <w:b w:val="0"/>
          <w:bCs w:val="0"/>
          <w:sz w:val="22"/>
          <w:szCs w:val="22"/>
        </w:rPr>
        <w:t>holistic, person-centred approach</w:t>
      </w:r>
      <w:r>
        <w:rPr>
          <w:rFonts w:ascii="Arial" w:hAnsi="Arial" w:cs="Arial"/>
          <w:sz w:val="22"/>
          <w:szCs w:val="22"/>
        </w:rPr>
        <w:t xml:space="preserve"> that addresses not only physical pain but also emotional resilience and social participation. Clinicians must move beyond symptom relief toward empowering patients to live well with chronic pain.</w:t>
      </w:r>
    </w:p>
    <w:p w14:paraId="76DCCF85" w14:textId="77777777" w:rsidR="00DE3473" w:rsidRDefault="00000000">
      <w:pPr>
        <w:pStyle w:val="Heading4"/>
        <w:spacing w:line="360" w:lineRule="auto"/>
        <w:jc w:val="both"/>
        <w:rPr>
          <w:rFonts w:ascii="Arial" w:hAnsi="Arial" w:cs="Arial" w:hint="default"/>
          <w:sz w:val="22"/>
          <w:szCs w:val="22"/>
        </w:rPr>
      </w:pPr>
      <w:r>
        <w:rPr>
          <w:rStyle w:val="Strong"/>
          <w:rFonts w:ascii="Arial" w:hAnsi="Arial" w:cs="Arial" w:hint="default"/>
          <w:b/>
          <w:bCs/>
          <w:sz w:val="22"/>
          <w:szCs w:val="22"/>
        </w:rPr>
        <w:t>5.5.2 For Health Policy</w:t>
      </w:r>
    </w:p>
    <w:p w14:paraId="10121C0E" w14:textId="77777777" w:rsidR="00DE3473" w:rsidRDefault="00000000">
      <w:pPr>
        <w:pStyle w:val="NormalWeb"/>
        <w:spacing w:line="360" w:lineRule="auto"/>
        <w:jc w:val="both"/>
        <w:rPr>
          <w:rFonts w:ascii="Arial" w:hAnsi="Arial" w:cs="Arial"/>
          <w:sz w:val="22"/>
          <w:szCs w:val="22"/>
        </w:rPr>
      </w:pPr>
      <w:r>
        <w:rPr>
          <w:rFonts w:ascii="Arial" w:hAnsi="Arial" w:cs="Arial"/>
          <w:sz w:val="22"/>
          <w:szCs w:val="22"/>
        </w:rPr>
        <w:t xml:space="preserve">Integrated chronic pain management should be embedded within the </w:t>
      </w:r>
      <w:r>
        <w:rPr>
          <w:rStyle w:val="Strong"/>
          <w:rFonts w:ascii="Arial" w:hAnsi="Arial" w:cs="Arial"/>
          <w:b w:val="0"/>
          <w:bCs w:val="0"/>
          <w:sz w:val="22"/>
          <w:szCs w:val="22"/>
        </w:rPr>
        <w:t>NHS Long-Term Plan</w:t>
      </w:r>
      <w:r>
        <w:rPr>
          <w:rFonts w:ascii="Arial" w:hAnsi="Arial" w:cs="Arial"/>
          <w:sz w:val="22"/>
          <w:szCs w:val="22"/>
        </w:rPr>
        <w:t xml:space="preserve"> and </w:t>
      </w:r>
      <w:r>
        <w:rPr>
          <w:rStyle w:val="Strong"/>
          <w:rFonts w:ascii="Arial" w:hAnsi="Arial" w:cs="Arial"/>
          <w:b w:val="0"/>
          <w:bCs w:val="0"/>
          <w:sz w:val="22"/>
          <w:szCs w:val="22"/>
        </w:rPr>
        <w:t>Integrated Care Systems (ICSs)</w:t>
      </w:r>
      <w:r>
        <w:rPr>
          <w:rFonts w:ascii="Arial" w:hAnsi="Arial" w:cs="Arial"/>
          <w:sz w:val="22"/>
          <w:szCs w:val="22"/>
        </w:rPr>
        <w:t>. Investment in workforce training, community rehabilitation, and digital inclusion is crucial to reduce disparities across regions.</w:t>
      </w:r>
    </w:p>
    <w:p w14:paraId="21CAFD82" w14:textId="77777777" w:rsidR="00DE3473" w:rsidRDefault="00000000">
      <w:pPr>
        <w:pStyle w:val="Heading4"/>
        <w:spacing w:line="360" w:lineRule="auto"/>
        <w:jc w:val="both"/>
        <w:rPr>
          <w:rFonts w:ascii="Arial" w:hAnsi="Arial" w:cs="Arial" w:hint="default"/>
          <w:sz w:val="22"/>
          <w:szCs w:val="22"/>
        </w:rPr>
      </w:pPr>
      <w:r>
        <w:rPr>
          <w:rStyle w:val="Strong"/>
          <w:rFonts w:ascii="Arial" w:hAnsi="Arial" w:cs="Arial" w:hint="default"/>
          <w:b/>
          <w:bCs/>
          <w:sz w:val="22"/>
          <w:szCs w:val="22"/>
        </w:rPr>
        <w:t>5.5.3 For Research and Education</w:t>
      </w:r>
    </w:p>
    <w:p w14:paraId="036C3574" w14:textId="77777777" w:rsidR="00DE3473" w:rsidRDefault="00000000">
      <w:pPr>
        <w:pStyle w:val="NormalWeb"/>
        <w:spacing w:line="360" w:lineRule="auto"/>
        <w:jc w:val="both"/>
        <w:rPr>
          <w:rFonts w:ascii="Arial" w:hAnsi="Arial" w:cs="Arial"/>
          <w:sz w:val="22"/>
          <w:szCs w:val="22"/>
        </w:rPr>
      </w:pPr>
      <w:r>
        <w:rPr>
          <w:rFonts w:ascii="Arial" w:hAnsi="Arial" w:cs="Arial"/>
          <w:sz w:val="22"/>
          <w:szCs w:val="22"/>
        </w:rPr>
        <w:t xml:space="preserve">Academic institutions and research councils should prioritise </w:t>
      </w:r>
      <w:r>
        <w:rPr>
          <w:rStyle w:val="Strong"/>
          <w:rFonts w:ascii="Arial" w:hAnsi="Arial" w:cs="Arial"/>
          <w:b w:val="0"/>
          <w:bCs w:val="0"/>
          <w:sz w:val="22"/>
          <w:szCs w:val="22"/>
        </w:rPr>
        <w:t>transdisciplinary research</w:t>
      </w:r>
      <w:r>
        <w:rPr>
          <w:rFonts w:ascii="Arial" w:hAnsi="Arial" w:cs="Arial"/>
          <w:sz w:val="22"/>
          <w:szCs w:val="22"/>
        </w:rPr>
        <w:t xml:space="preserve"> linking gerontology, pain science, and health technology. Education programmes should promote reflective practice, empathy, and communication skills to enhance clinician-patient engagement.</w:t>
      </w:r>
    </w:p>
    <w:p w14:paraId="694B52B8" w14:textId="77777777" w:rsidR="00DE3473" w:rsidRDefault="00000000">
      <w:pPr>
        <w:pStyle w:val="Heading4"/>
        <w:spacing w:line="360" w:lineRule="auto"/>
        <w:jc w:val="both"/>
        <w:rPr>
          <w:rFonts w:ascii="Arial" w:hAnsi="Arial" w:cs="Arial" w:hint="default"/>
          <w:sz w:val="22"/>
          <w:szCs w:val="22"/>
        </w:rPr>
      </w:pPr>
      <w:r>
        <w:rPr>
          <w:rStyle w:val="Strong"/>
          <w:rFonts w:ascii="Arial" w:hAnsi="Arial" w:cs="Arial" w:hint="default"/>
          <w:b/>
          <w:bCs/>
          <w:sz w:val="22"/>
          <w:szCs w:val="22"/>
        </w:rPr>
        <w:t>5.5.4 For Older Adults and Communities</w:t>
      </w:r>
    </w:p>
    <w:p w14:paraId="09B143CD" w14:textId="77777777" w:rsidR="00DE3473" w:rsidRDefault="00000000">
      <w:pPr>
        <w:pStyle w:val="NormalWeb"/>
        <w:spacing w:line="360" w:lineRule="auto"/>
        <w:jc w:val="both"/>
        <w:rPr>
          <w:rFonts w:ascii="Arial" w:hAnsi="Arial" w:cs="Arial"/>
          <w:sz w:val="22"/>
          <w:szCs w:val="22"/>
        </w:rPr>
      </w:pPr>
      <w:r>
        <w:rPr>
          <w:rFonts w:ascii="Arial" w:hAnsi="Arial" w:cs="Arial"/>
          <w:sz w:val="22"/>
          <w:szCs w:val="22"/>
        </w:rPr>
        <w:t xml:space="preserve">Empowering older adults through </w:t>
      </w:r>
      <w:r>
        <w:rPr>
          <w:rStyle w:val="Strong"/>
          <w:rFonts w:ascii="Arial" w:hAnsi="Arial" w:cs="Arial"/>
          <w:b w:val="0"/>
          <w:bCs w:val="0"/>
          <w:sz w:val="22"/>
          <w:szCs w:val="22"/>
        </w:rPr>
        <w:t>peer networks, self-management education, and accessible information</w:t>
      </w:r>
      <w:r>
        <w:rPr>
          <w:rFonts w:ascii="Arial" w:hAnsi="Arial" w:cs="Arial"/>
          <w:sz w:val="22"/>
          <w:szCs w:val="22"/>
        </w:rPr>
        <w:t xml:space="preserve"> will foster independence and mitigate feelings of helplessness. Community organisations, voluntary sectors, and local councils have an essential role in sustaining such initiatives.</w:t>
      </w:r>
    </w:p>
    <w:p w14:paraId="7082B29D" w14:textId="32B2B525" w:rsidR="00DE3473" w:rsidRDefault="00000000">
      <w:pPr>
        <w:pStyle w:val="Heading3"/>
        <w:spacing w:line="360" w:lineRule="auto"/>
        <w:jc w:val="both"/>
        <w:rPr>
          <w:rFonts w:ascii="Arial" w:hAnsi="Arial" w:cs="Arial" w:hint="default"/>
          <w:sz w:val="22"/>
          <w:szCs w:val="22"/>
        </w:rPr>
      </w:pPr>
      <w:r>
        <w:rPr>
          <w:rStyle w:val="Strong"/>
          <w:rFonts w:ascii="Arial" w:hAnsi="Arial" w:cs="Arial" w:hint="default"/>
          <w:b/>
          <w:bCs/>
          <w:sz w:val="22"/>
          <w:szCs w:val="22"/>
        </w:rPr>
        <w:t xml:space="preserve">5.6 </w:t>
      </w:r>
      <w:r w:rsidR="00C745BE">
        <w:rPr>
          <w:rStyle w:val="Strong"/>
          <w:rFonts w:ascii="Arial" w:hAnsi="Arial" w:cs="Arial" w:hint="default"/>
          <w:b/>
          <w:bCs/>
          <w:sz w:val="22"/>
          <w:szCs w:val="22"/>
        </w:rPr>
        <w:t xml:space="preserve">Conclusion </w:t>
      </w:r>
    </w:p>
    <w:p w14:paraId="610B1224" w14:textId="77777777" w:rsidR="00DE3473" w:rsidRDefault="00000000">
      <w:pPr>
        <w:pStyle w:val="NormalWeb"/>
        <w:spacing w:line="360" w:lineRule="auto"/>
        <w:jc w:val="both"/>
        <w:rPr>
          <w:rFonts w:ascii="Arial" w:hAnsi="Arial" w:cs="Arial"/>
          <w:sz w:val="22"/>
          <w:szCs w:val="22"/>
        </w:rPr>
      </w:pPr>
      <w:r>
        <w:rPr>
          <w:rFonts w:ascii="Arial" w:hAnsi="Arial" w:cs="Arial"/>
          <w:sz w:val="22"/>
          <w:szCs w:val="22"/>
        </w:rPr>
        <w:t xml:space="preserve">This chapter evaluated chronic pain management strategies and highlighted the urgent need for a </w:t>
      </w:r>
      <w:r>
        <w:rPr>
          <w:rStyle w:val="Strong"/>
          <w:rFonts w:ascii="Arial" w:hAnsi="Arial" w:cs="Arial"/>
          <w:b w:val="0"/>
          <w:bCs w:val="0"/>
          <w:sz w:val="22"/>
          <w:szCs w:val="22"/>
        </w:rPr>
        <w:t>systematic shift from fragmented biomedical care to integrated biopsychosocial practice</w:t>
      </w:r>
      <w:r>
        <w:rPr>
          <w:rFonts w:ascii="Arial" w:hAnsi="Arial" w:cs="Arial"/>
          <w:sz w:val="22"/>
          <w:szCs w:val="22"/>
        </w:rPr>
        <w:t xml:space="preserve"> across the UK. The evidence underscores that chronic pain in older adults is not only a medical issue but a multidimensional public health challenge influenced by education, equity, and service structure.</w:t>
      </w:r>
      <w:r>
        <w:rPr>
          <w:rFonts w:ascii="Arial" w:hAnsi="Arial" w:cs="Arial"/>
          <w:sz w:val="22"/>
          <w:szCs w:val="22"/>
        </w:rPr>
        <w:br/>
        <w:t xml:space="preserve">Holistic, equitable care can be achieved through cross-sector collaboration, professional development, community empowerment, and the integration of psychological and physical rehabilitation within every stage of the pain management pathway. These measures, if </w:t>
      </w:r>
      <w:r>
        <w:rPr>
          <w:rFonts w:ascii="Arial" w:hAnsi="Arial" w:cs="Arial"/>
          <w:sz w:val="22"/>
          <w:szCs w:val="22"/>
        </w:rPr>
        <w:lastRenderedPageBreak/>
        <w:t>effectively implemented, would not only enhance physical wellbeing but also uphold the dignity, autonomy, and quality of life of older adults living with chronic pain in the United Kingdom.</w:t>
      </w:r>
    </w:p>
    <w:p w14:paraId="00C3D882" w14:textId="77777777" w:rsidR="00DE3473" w:rsidRDefault="00DE3473">
      <w:pPr>
        <w:pStyle w:val="NormalWeb"/>
        <w:spacing w:line="360" w:lineRule="auto"/>
        <w:jc w:val="both"/>
        <w:rPr>
          <w:rFonts w:ascii="Arial" w:hAnsi="Arial" w:cs="Arial"/>
          <w:sz w:val="22"/>
          <w:szCs w:val="22"/>
        </w:rPr>
      </w:pPr>
    </w:p>
    <w:p w14:paraId="74559624" w14:textId="77777777" w:rsidR="00DE3473" w:rsidRDefault="00DE3473">
      <w:pPr>
        <w:spacing w:line="360" w:lineRule="auto"/>
        <w:jc w:val="both"/>
        <w:rPr>
          <w:rFonts w:ascii="Arial" w:eastAsia="SimSun" w:hAnsi="Arial" w:cs="Arial"/>
          <w:sz w:val="22"/>
          <w:szCs w:val="22"/>
        </w:rPr>
      </w:pPr>
    </w:p>
    <w:p w14:paraId="126DD5A6" w14:textId="77777777" w:rsidR="00DE3473" w:rsidRDefault="00DE3473">
      <w:pPr>
        <w:spacing w:line="360" w:lineRule="auto"/>
        <w:jc w:val="both"/>
        <w:rPr>
          <w:rFonts w:ascii="Arial" w:eastAsia="SimSun" w:hAnsi="Arial" w:cs="Arial"/>
          <w:sz w:val="22"/>
          <w:szCs w:val="22"/>
        </w:rPr>
      </w:pPr>
    </w:p>
    <w:p w14:paraId="1AA9F5FB" w14:textId="77777777" w:rsidR="00DE3473" w:rsidRDefault="00DE3473"/>
    <w:p w14:paraId="054E6C43" w14:textId="77777777" w:rsidR="00DE3473" w:rsidRDefault="00000000">
      <w:pPr>
        <w:rPr>
          <w:rFonts w:ascii="Arial" w:hAnsi="Arial" w:cs="Arial"/>
          <w:b/>
          <w:bCs/>
          <w:sz w:val="22"/>
          <w:szCs w:val="22"/>
        </w:rPr>
      </w:pPr>
      <w:r>
        <w:rPr>
          <w:rFonts w:ascii="Arial" w:hAnsi="Arial" w:cs="Arial"/>
          <w:b/>
          <w:bCs/>
          <w:sz w:val="22"/>
          <w:szCs w:val="22"/>
        </w:rPr>
        <w:br w:type="page"/>
      </w:r>
    </w:p>
    <w:p w14:paraId="2C9C0428" w14:textId="77777777" w:rsidR="00DE3473" w:rsidRDefault="00000000">
      <w:pPr>
        <w:spacing w:line="360" w:lineRule="auto"/>
        <w:jc w:val="both"/>
        <w:rPr>
          <w:rFonts w:ascii="Arial" w:hAnsi="Arial" w:cs="Arial"/>
          <w:sz w:val="22"/>
          <w:szCs w:val="22"/>
        </w:rPr>
      </w:pPr>
      <w:r>
        <w:rPr>
          <w:rFonts w:ascii="Arial" w:hAnsi="Arial" w:cs="Arial"/>
          <w:b/>
          <w:bCs/>
          <w:sz w:val="22"/>
          <w:szCs w:val="22"/>
        </w:rPr>
        <w:lastRenderedPageBreak/>
        <w:t>Reference</w:t>
      </w:r>
    </w:p>
    <w:p w14:paraId="785846BF" w14:textId="77777777" w:rsidR="00DE3473" w:rsidRDefault="00000000">
      <w:pPr>
        <w:jc w:val="both"/>
        <w:rPr>
          <w:rFonts w:ascii="Arial" w:hAnsi="Arial" w:cs="Arial"/>
          <w:sz w:val="22"/>
          <w:szCs w:val="22"/>
        </w:rPr>
      </w:pPr>
      <w:r>
        <w:rPr>
          <w:rFonts w:ascii="Arial" w:hAnsi="Arial" w:cs="Arial"/>
          <w:sz w:val="22"/>
          <w:szCs w:val="22"/>
        </w:rPr>
        <w:t xml:space="preserve">Age UK (2022). </w:t>
      </w:r>
      <w:r>
        <w:rPr>
          <w:rFonts w:ascii="Arial" w:hAnsi="Arial" w:cs="Arial"/>
          <w:i/>
          <w:iCs/>
          <w:sz w:val="22"/>
          <w:szCs w:val="22"/>
        </w:rPr>
        <w:t>Pain and ageing: the hidden epidemic</w:t>
      </w:r>
      <w:r>
        <w:rPr>
          <w:rFonts w:ascii="Arial" w:hAnsi="Arial" w:cs="Arial"/>
          <w:sz w:val="22"/>
          <w:szCs w:val="22"/>
        </w:rPr>
        <w:t>. London: Age UK.</w:t>
      </w:r>
    </w:p>
    <w:p w14:paraId="6D9F13E1"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Ames, H., Hestevik, C.H. and Briggs, A.M. (2024). Acceptability, values, and preferences of older people for chronic low back pain management; a qualitative evidence synthesis. </w:t>
      </w:r>
      <w:r>
        <w:rPr>
          <w:rFonts w:ascii="Arial" w:hAnsi="Arial" w:cs="Arial"/>
          <w:i/>
          <w:iCs/>
          <w:sz w:val="22"/>
          <w:szCs w:val="22"/>
        </w:rPr>
        <w:t>BMC geriatrics</w:t>
      </w:r>
      <w:r>
        <w:rPr>
          <w:rFonts w:ascii="Arial" w:hAnsi="Arial" w:cs="Arial"/>
          <w:sz w:val="22"/>
          <w:szCs w:val="22"/>
        </w:rPr>
        <w:t xml:space="preserve">, </w:t>
      </w:r>
      <w:r>
        <w:rPr>
          <w:rFonts w:ascii="Arial" w:hAnsi="Arial" w:cs="Arial"/>
          <w:i/>
          <w:iCs/>
          <w:sz w:val="22"/>
          <w:szCs w:val="22"/>
        </w:rPr>
        <w:t>24</w:t>
      </w:r>
      <w:r>
        <w:rPr>
          <w:rFonts w:ascii="Arial" w:hAnsi="Arial" w:cs="Arial"/>
          <w:sz w:val="22"/>
          <w:szCs w:val="22"/>
        </w:rPr>
        <w:t>(1), p.24.</w:t>
      </w:r>
    </w:p>
    <w:p w14:paraId="0ACAA0BE"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Armoogum, J., Harcourt, D., Foster, C., Llewellyn, A., Hepburn, J., Prior, M. and McCabe, C. (2024). Healthcare professionals’ knowledge, understanding and confidence to manage chronic pain after cancer treatment: A UK survey. </w:t>
      </w:r>
      <w:r>
        <w:rPr>
          <w:rFonts w:ascii="Arial" w:hAnsi="Arial" w:cs="Arial"/>
          <w:i/>
          <w:iCs/>
          <w:sz w:val="22"/>
          <w:szCs w:val="22"/>
        </w:rPr>
        <w:t>European Journal of Oncology Nursing</w:t>
      </w:r>
      <w:r>
        <w:rPr>
          <w:rFonts w:ascii="Arial" w:hAnsi="Arial" w:cs="Arial"/>
          <w:sz w:val="22"/>
          <w:szCs w:val="22"/>
        </w:rPr>
        <w:t xml:space="preserve">, </w:t>
      </w:r>
      <w:r>
        <w:rPr>
          <w:rFonts w:ascii="Arial" w:hAnsi="Arial" w:cs="Arial"/>
          <w:i/>
          <w:iCs/>
          <w:sz w:val="22"/>
          <w:szCs w:val="22"/>
        </w:rPr>
        <w:t>71</w:t>
      </w:r>
      <w:r>
        <w:rPr>
          <w:rFonts w:ascii="Arial" w:hAnsi="Arial" w:cs="Arial"/>
          <w:sz w:val="22"/>
          <w:szCs w:val="22"/>
        </w:rPr>
        <w:t>, p.102610.</w:t>
      </w:r>
    </w:p>
    <w:p w14:paraId="1A855232"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Australian Government Department of Health (2021). </w:t>
      </w:r>
      <w:r>
        <w:rPr>
          <w:rFonts w:ascii="Arial" w:hAnsi="Arial" w:cs="Arial"/>
          <w:i/>
          <w:iCs/>
          <w:sz w:val="22"/>
          <w:szCs w:val="22"/>
        </w:rPr>
        <w:t>National Strategic Action Plan for Pain Management</w:t>
      </w:r>
      <w:r>
        <w:rPr>
          <w:rFonts w:ascii="Arial" w:hAnsi="Arial" w:cs="Arial"/>
          <w:sz w:val="22"/>
          <w:szCs w:val="22"/>
        </w:rPr>
        <w:t xml:space="preserve">. Available at: </w:t>
      </w:r>
      <w:hyperlink r:id="rId15" w:history="1">
        <w:r>
          <w:rPr>
            <w:rStyle w:val="Hyperlink"/>
            <w:rFonts w:ascii="Arial" w:hAnsi="Arial" w:cs="Arial"/>
            <w:sz w:val="22"/>
            <w:szCs w:val="22"/>
          </w:rPr>
          <w:t>https://www.health.gov.au/</w:t>
        </w:r>
      </w:hyperlink>
      <w:r>
        <w:rPr>
          <w:rFonts w:ascii="Arial" w:hAnsi="Arial" w:cs="Arial"/>
          <w:sz w:val="22"/>
          <w:szCs w:val="22"/>
        </w:rPr>
        <w:t xml:space="preserve"> [Accessed 1 Aug 2025].</w:t>
      </w:r>
    </w:p>
    <w:p w14:paraId="07AF1259" w14:textId="77777777" w:rsidR="00DE3473" w:rsidRDefault="00000000">
      <w:pPr>
        <w:spacing w:line="360" w:lineRule="auto"/>
        <w:jc w:val="both"/>
        <w:rPr>
          <w:rFonts w:ascii="Arial" w:hAnsi="Arial" w:cs="Arial"/>
          <w:sz w:val="22"/>
          <w:szCs w:val="22"/>
        </w:rPr>
      </w:pPr>
      <w:r>
        <w:rPr>
          <w:rFonts w:ascii="Arial" w:hAnsi="Arial" w:cs="Arial"/>
          <w:sz w:val="22"/>
          <w:szCs w:val="22"/>
          <w:lang w:eastAsia="zh-CN"/>
        </w:rPr>
        <w:t xml:space="preserve">Belotto, M.J. (2018). Data analysis methods for qualitative research: Managing the challenges of coding, interrater reliability, and thematic analysis. The qualitative report, 23(11), pp.2622-2633. </w:t>
      </w:r>
      <w:r>
        <w:rPr>
          <w:rFonts w:ascii="Arial" w:hAnsi="Arial" w:cs="Arial"/>
          <w:sz w:val="22"/>
          <w:szCs w:val="22"/>
        </w:rPr>
        <w:t xml:space="preserve">Available at: </w:t>
      </w:r>
      <w:hyperlink r:id="rId16" w:history="1">
        <w:r>
          <w:rPr>
            <w:rStyle w:val="Hyperlink"/>
            <w:rFonts w:ascii="Arial" w:hAnsi="Arial"/>
            <w:sz w:val="22"/>
            <w:szCs w:val="22"/>
            <w:lang w:eastAsia="zh-CN"/>
          </w:rPr>
          <w:t>https://search.proquest.com/openview/21b8de9a65315a8d00d10bbe0a8b062d/1?pq-origsite=gscholar&amp;cbl=55152</w:t>
        </w:r>
      </w:hyperlink>
      <w:r>
        <w:rPr>
          <w:rFonts w:ascii="Arial" w:hAnsi="Arial"/>
          <w:sz w:val="22"/>
          <w:szCs w:val="22"/>
          <w:lang w:eastAsia="zh-CN"/>
        </w:rPr>
        <w:t xml:space="preserve"> </w:t>
      </w:r>
      <w:r>
        <w:rPr>
          <w:rFonts w:ascii="Arial" w:hAnsi="Arial" w:cs="Arial"/>
          <w:sz w:val="22"/>
          <w:szCs w:val="22"/>
        </w:rPr>
        <w:t>[Accessed 03 September 2025].</w:t>
      </w:r>
    </w:p>
    <w:p w14:paraId="625F8D10"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Booth, A., Sutton, A. and Papaioannou, D. (2021). </w:t>
      </w:r>
      <w:r>
        <w:rPr>
          <w:rFonts w:ascii="Arial" w:hAnsi="Arial" w:cs="Arial"/>
          <w:i/>
          <w:iCs/>
          <w:sz w:val="22"/>
          <w:szCs w:val="22"/>
        </w:rPr>
        <w:t>Systematic approaches to a successful literature review</w:t>
      </w:r>
      <w:r>
        <w:rPr>
          <w:rFonts w:ascii="Arial" w:hAnsi="Arial" w:cs="Arial"/>
          <w:sz w:val="22"/>
          <w:szCs w:val="22"/>
        </w:rPr>
        <w:t>. 3rd ed. London: SAGE Publications.</w:t>
      </w:r>
    </w:p>
    <w:p w14:paraId="06B38984"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Borrell-Carrió, F., Suchman, A.L. and Epstein, R.M. (2004). The biopsychosocial model 25 years later: principles, practice, and scientific inquiry. </w:t>
      </w:r>
      <w:r>
        <w:rPr>
          <w:rFonts w:ascii="Arial" w:hAnsi="Arial" w:cs="Arial"/>
          <w:i/>
          <w:iCs/>
          <w:sz w:val="22"/>
          <w:szCs w:val="22"/>
        </w:rPr>
        <w:t>The Annals of Family Medicine</w:t>
      </w:r>
      <w:r>
        <w:rPr>
          <w:rFonts w:ascii="Arial" w:hAnsi="Arial" w:cs="Arial"/>
          <w:sz w:val="22"/>
          <w:szCs w:val="22"/>
        </w:rPr>
        <w:t xml:space="preserve">, </w:t>
      </w:r>
      <w:r>
        <w:rPr>
          <w:rFonts w:ascii="Arial" w:hAnsi="Arial" w:cs="Arial"/>
          <w:i/>
          <w:iCs/>
          <w:sz w:val="22"/>
          <w:szCs w:val="22"/>
        </w:rPr>
        <w:t>2</w:t>
      </w:r>
      <w:r>
        <w:rPr>
          <w:rFonts w:ascii="Arial" w:hAnsi="Arial" w:cs="Arial"/>
          <w:sz w:val="22"/>
          <w:szCs w:val="22"/>
        </w:rPr>
        <w:t>(6), pp.576-582.</w:t>
      </w:r>
    </w:p>
    <w:p w14:paraId="30AF333E"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Bourke, M.J., Ferguson, D. and Cooke, M. (2022). Patient experiences of self-management for chronic low back pain: a qualitative study. </w:t>
      </w:r>
      <w:r>
        <w:rPr>
          <w:rFonts w:ascii="Arial" w:hAnsi="Arial" w:cs="Arial"/>
          <w:i/>
          <w:iCs/>
          <w:sz w:val="22"/>
          <w:szCs w:val="22"/>
        </w:rPr>
        <w:t>Physical Therapy</w:t>
      </w:r>
      <w:r>
        <w:rPr>
          <w:rFonts w:ascii="Arial" w:hAnsi="Arial" w:cs="Arial"/>
          <w:sz w:val="22"/>
          <w:szCs w:val="22"/>
        </w:rPr>
        <w:t xml:space="preserve">, </w:t>
      </w:r>
      <w:r>
        <w:rPr>
          <w:rFonts w:ascii="Arial" w:hAnsi="Arial" w:cs="Arial"/>
          <w:i/>
          <w:iCs/>
          <w:sz w:val="22"/>
          <w:szCs w:val="22"/>
        </w:rPr>
        <w:t>102</w:t>
      </w:r>
      <w:r>
        <w:rPr>
          <w:rFonts w:ascii="Arial" w:hAnsi="Arial" w:cs="Arial"/>
          <w:sz w:val="22"/>
          <w:szCs w:val="22"/>
        </w:rPr>
        <w:t>(6), p.pzac030.</w:t>
      </w:r>
    </w:p>
    <w:p w14:paraId="4C4DA465" w14:textId="77777777" w:rsidR="00DE3473" w:rsidRDefault="00000000">
      <w:pPr>
        <w:spacing w:line="360" w:lineRule="auto"/>
        <w:jc w:val="both"/>
        <w:rPr>
          <w:rFonts w:ascii="Arial" w:eastAsia="SimSun" w:hAnsi="Arial" w:cs="Arial"/>
          <w:sz w:val="22"/>
          <w:szCs w:val="22"/>
        </w:rPr>
      </w:pPr>
      <w:r>
        <w:rPr>
          <w:rStyle w:val="Strong"/>
          <w:rFonts w:ascii="Arial" w:eastAsia="SimSun" w:hAnsi="Arial" w:cs="Arial"/>
          <w:b w:val="0"/>
          <w:bCs w:val="0"/>
          <w:sz w:val="22"/>
          <w:szCs w:val="22"/>
        </w:rPr>
        <w:t>Braun, V. and Clarke, V. (2006).</w:t>
      </w:r>
      <w:r>
        <w:rPr>
          <w:rFonts w:ascii="Arial" w:eastAsia="SimSun" w:hAnsi="Arial" w:cs="Arial"/>
          <w:sz w:val="22"/>
          <w:szCs w:val="22"/>
        </w:rPr>
        <w:t xml:space="preserve"> </w:t>
      </w:r>
      <w:r>
        <w:rPr>
          <w:rStyle w:val="Emphasis"/>
          <w:rFonts w:ascii="Arial" w:eastAsia="SimSun" w:hAnsi="Arial" w:cs="Arial"/>
          <w:sz w:val="22"/>
          <w:szCs w:val="22"/>
        </w:rPr>
        <w:t>Using thematic analysis in psychology</w:t>
      </w:r>
      <w:r>
        <w:rPr>
          <w:rFonts w:ascii="Arial" w:eastAsia="SimSun" w:hAnsi="Arial" w:cs="Arial"/>
          <w:sz w:val="22"/>
          <w:szCs w:val="22"/>
        </w:rPr>
        <w:t>. Qualitative Research in Psychology, 3(2), 77–101.</w:t>
      </w:r>
    </w:p>
    <w:p w14:paraId="59A88C7C"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Braun, V. and Clarke, V. (2014). What can “thematic analysis” offer health and wellbeing researchers? </w:t>
      </w:r>
      <w:r>
        <w:rPr>
          <w:rFonts w:ascii="Arial" w:hAnsi="Arial" w:cs="Arial"/>
          <w:i/>
          <w:iCs/>
          <w:sz w:val="22"/>
          <w:szCs w:val="22"/>
        </w:rPr>
        <w:t>International Journal of Qualitative Studies on Health and Well-being</w:t>
      </w:r>
      <w:r>
        <w:rPr>
          <w:rFonts w:ascii="Arial" w:hAnsi="Arial" w:cs="Arial"/>
          <w:sz w:val="22"/>
          <w:szCs w:val="22"/>
        </w:rPr>
        <w:t xml:space="preserve">, </w:t>
      </w:r>
      <w:r>
        <w:rPr>
          <w:rFonts w:ascii="Arial" w:hAnsi="Arial" w:cs="Arial"/>
          <w:i/>
          <w:iCs/>
          <w:sz w:val="22"/>
          <w:szCs w:val="22"/>
        </w:rPr>
        <w:t>9</w:t>
      </w:r>
      <w:r>
        <w:rPr>
          <w:rFonts w:ascii="Arial" w:hAnsi="Arial" w:cs="Arial"/>
          <w:sz w:val="22"/>
          <w:szCs w:val="22"/>
        </w:rPr>
        <w:t xml:space="preserve">(1), p.26152. Available at: </w:t>
      </w:r>
      <w:hyperlink r:id="rId17" w:history="1">
        <w:r>
          <w:rPr>
            <w:rStyle w:val="Hyperlink"/>
            <w:rFonts w:ascii="Arial" w:hAnsi="Arial" w:cs="Arial"/>
            <w:sz w:val="22"/>
            <w:szCs w:val="22"/>
          </w:rPr>
          <w:t>https://doi.org/10.3402/qhw.v9.26152</w:t>
        </w:r>
      </w:hyperlink>
      <w:r>
        <w:rPr>
          <w:rFonts w:ascii="Arial" w:hAnsi="Arial" w:cs="Arial"/>
          <w:sz w:val="22"/>
          <w:szCs w:val="22"/>
        </w:rPr>
        <w:t xml:space="preserve">  </w:t>
      </w:r>
      <w:hyperlink r:id="rId18" w:history="1">
        <w:r>
          <w:rPr>
            <w:rStyle w:val="Hyperlink"/>
            <w:rFonts w:ascii="Arial" w:hAnsi="Arial" w:cs="Arial"/>
            <w:sz w:val="22"/>
            <w:szCs w:val="22"/>
          </w:rPr>
          <w:t>https://www.nice.org.uk/</w:t>
        </w:r>
      </w:hyperlink>
      <w:r>
        <w:rPr>
          <w:rFonts w:ascii="Arial" w:hAnsi="Arial" w:cs="Arial"/>
          <w:sz w:val="22"/>
          <w:szCs w:val="22"/>
        </w:rPr>
        <w:t xml:space="preserve"> [Accessed 13 September 2025].</w:t>
      </w:r>
    </w:p>
    <w:p w14:paraId="32224A10" w14:textId="77777777" w:rsidR="00DE3473" w:rsidRDefault="00000000">
      <w:pPr>
        <w:spacing w:line="360" w:lineRule="auto"/>
        <w:jc w:val="both"/>
        <w:rPr>
          <w:rFonts w:ascii="Arial" w:hAnsi="Arial" w:cs="Arial"/>
          <w:sz w:val="22"/>
          <w:szCs w:val="22"/>
        </w:rPr>
      </w:pPr>
      <w:r>
        <w:rPr>
          <w:rStyle w:val="Strong"/>
          <w:rFonts w:ascii="Arial" w:eastAsia="SimSun" w:hAnsi="Arial" w:cs="Arial"/>
          <w:b w:val="0"/>
          <w:bCs w:val="0"/>
          <w:sz w:val="22"/>
          <w:szCs w:val="22"/>
          <w:lang w:eastAsia="zh-CN"/>
        </w:rPr>
        <w:t xml:space="preserve">Braun, V. and Clarke, V. (2023). Toward good practice in thematic analysis: Avoiding common problems and be (com) ing a knowing researcher. International journal of transgender health, </w:t>
      </w:r>
      <w:r>
        <w:rPr>
          <w:rStyle w:val="Strong"/>
          <w:rFonts w:ascii="Arial" w:eastAsia="SimSun" w:hAnsi="Arial" w:cs="Arial"/>
          <w:b w:val="0"/>
          <w:bCs w:val="0"/>
          <w:sz w:val="22"/>
          <w:szCs w:val="22"/>
          <w:lang w:eastAsia="zh-CN"/>
        </w:rPr>
        <w:lastRenderedPageBreak/>
        <w:t xml:space="preserve">24(1), pp.1-6. </w:t>
      </w:r>
      <w:r>
        <w:rPr>
          <w:rFonts w:ascii="Arial" w:hAnsi="Arial" w:cs="Arial"/>
          <w:sz w:val="22"/>
          <w:szCs w:val="22"/>
        </w:rPr>
        <w:t xml:space="preserve">Available at: </w:t>
      </w:r>
      <w:hyperlink r:id="rId19" w:history="1">
        <w:r>
          <w:rPr>
            <w:rStyle w:val="Hyperlink"/>
            <w:rFonts w:ascii="Arial" w:eastAsia="SimSun" w:hAnsi="Arial"/>
            <w:sz w:val="22"/>
            <w:szCs w:val="22"/>
            <w:lang w:eastAsia="zh-CN"/>
          </w:rPr>
          <w:t>https://www.tandfonline.com/doi/abs/10.1080/26895269.2022.2129597</w:t>
        </w:r>
      </w:hyperlink>
      <w:r>
        <w:rPr>
          <w:rStyle w:val="Strong"/>
          <w:rFonts w:ascii="Arial" w:eastAsia="SimSun" w:hAnsi="Arial"/>
          <w:b w:val="0"/>
          <w:bCs w:val="0"/>
          <w:sz w:val="22"/>
          <w:szCs w:val="22"/>
          <w:lang w:eastAsia="zh-CN"/>
        </w:rPr>
        <w:t xml:space="preserve"> </w:t>
      </w:r>
      <w:r>
        <w:rPr>
          <w:rFonts w:ascii="Arial" w:hAnsi="Arial" w:cs="Arial"/>
          <w:sz w:val="22"/>
          <w:szCs w:val="22"/>
        </w:rPr>
        <w:t>[Accessed 16 September 2025].</w:t>
      </w:r>
    </w:p>
    <w:p w14:paraId="6880198F"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Braun, V. and Clarke, V. (2019). Reflecting on reflexive thematic analysis. Qualitative Research in Sport, Exercise and Health, 11(4), 589–597. Available at: </w:t>
      </w:r>
      <w:hyperlink r:id="rId20" w:history="1">
        <w:r>
          <w:rPr>
            <w:rStyle w:val="Hyperlink"/>
            <w:rFonts w:ascii="Arial" w:hAnsi="Arial" w:cs="Arial"/>
            <w:sz w:val="22"/>
            <w:szCs w:val="22"/>
          </w:rPr>
          <w:t>https://doi.org/10.1080/2159676X.2019.1628806</w:t>
        </w:r>
      </w:hyperlink>
      <w:r>
        <w:rPr>
          <w:rFonts w:ascii="Arial" w:hAnsi="Arial" w:cs="Arial"/>
          <w:sz w:val="22"/>
          <w:szCs w:val="22"/>
        </w:rPr>
        <w:t xml:space="preserve"> [Accessed 07 September 2025].</w:t>
      </w:r>
    </w:p>
    <w:p w14:paraId="1561634F"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British Educational Research Association (BERA), (2018). </w:t>
      </w:r>
      <w:r>
        <w:rPr>
          <w:rFonts w:ascii="Arial" w:hAnsi="Arial" w:cs="Arial"/>
          <w:i/>
          <w:iCs/>
          <w:sz w:val="22"/>
          <w:szCs w:val="22"/>
        </w:rPr>
        <w:t>Ethical guidelines for educational research</w:t>
      </w:r>
      <w:r>
        <w:rPr>
          <w:rFonts w:ascii="Arial" w:hAnsi="Arial" w:cs="Arial"/>
          <w:sz w:val="22"/>
          <w:szCs w:val="22"/>
        </w:rPr>
        <w:t>. 4th ed. London: BERA.</w:t>
      </w:r>
    </w:p>
    <w:p w14:paraId="542B97CD"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British Pain Society (2013). </w:t>
      </w:r>
      <w:r>
        <w:rPr>
          <w:rFonts w:ascii="Arial" w:hAnsi="Arial" w:cs="Arial"/>
          <w:i/>
          <w:iCs/>
          <w:sz w:val="22"/>
          <w:szCs w:val="22"/>
        </w:rPr>
        <w:t>Pain in older people: reflections and experiences</w:t>
      </w:r>
      <w:r>
        <w:rPr>
          <w:rFonts w:ascii="Arial" w:hAnsi="Arial" w:cs="Arial"/>
          <w:sz w:val="22"/>
          <w:szCs w:val="22"/>
        </w:rPr>
        <w:t>. London: British Pain Society.</w:t>
      </w:r>
    </w:p>
    <w:p w14:paraId="276B85F7"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British Pain Society (2019). </w:t>
      </w:r>
      <w:r>
        <w:rPr>
          <w:rFonts w:ascii="Arial" w:hAnsi="Arial" w:cs="Arial"/>
          <w:i/>
          <w:iCs/>
          <w:sz w:val="22"/>
          <w:szCs w:val="22"/>
        </w:rPr>
        <w:t>National Pain Audit 2019</w:t>
      </w:r>
      <w:r>
        <w:rPr>
          <w:rFonts w:ascii="Arial" w:hAnsi="Arial" w:cs="Arial"/>
          <w:sz w:val="22"/>
          <w:szCs w:val="22"/>
        </w:rPr>
        <w:t>. London: British Pain Society.</w:t>
      </w:r>
    </w:p>
    <w:p w14:paraId="62FF1D2F" w14:textId="77777777" w:rsidR="00DE3473" w:rsidRDefault="00000000">
      <w:pPr>
        <w:jc w:val="both"/>
        <w:rPr>
          <w:rFonts w:ascii="Arial" w:hAnsi="Arial" w:cs="Arial"/>
          <w:sz w:val="22"/>
          <w:szCs w:val="22"/>
        </w:rPr>
      </w:pPr>
      <w:r>
        <w:rPr>
          <w:rFonts w:ascii="Arial" w:hAnsi="Arial" w:cs="Arial"/>
          <w:sz w:val="22"/>
          <w:szCs w:val="22"/>
        </w:rPr>
        <w:t xml:space="preserve">British Pain Society (2021). </w:t>
      </w:r>
      <w:r>
        <w:rPr>
          <w:rFonts w:ascii="Arial" w:hAnsi="Arial" w:cs="Arial"/>
          <w:i/>
          <w:iCs/>
          <w:sz w:val="22"/>
          <w:szCs w:val="22"/>
        </w:rPr>
        <w:t>Guidelines for pain management in older adults</w:t>
      </w:r>
      <w:r>
        <w:rPr>
          <w:rFonts w:ascii="Arial" w:hAnsi="Arial" w:cs="Arial"/>
          <w:sz w:val="22"/>
          <w:szCs w:val="22"/>
        </w:rPr>
        <w:t>. London: British Pain Society.</w:t>
      </w:r>
    </w:p>
    <w:p w14:paraId="700F86B6"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Cooper, K., Schofield, P., Klein, S., Smith, B.H. and Jehu, L.M. (2017). Exploring peer-mentoring for community dwelling older adults with chronic low back pain: a qualitative study. </w:t>
      </w:r>
      <w:r>
        <w:rPr>
          <w:rFonts w:ascii="Arial" w:hAnsi="Arial" w:cs="Arial"/>
          <w:i/>
          <w:iCs/>
          <w:sz w:val="22"/>
          <w:szCs w:val="22"/>
        </w:rPr>
        <w:t>Physiotherapy</w:t>
      </w:r>
      <w:r>
        <w:rPr>
          <w:rFonts w:ascii="Arial" w:hAnsi="Arial" w:cs="Arial"/>
          <w:sz w:val="22"/>
          <w:szCs w:val="22"/>
        </w:rPr>
        <w:t xml:space="preserve">, </w:t>
      </w:r>
      <w:r>
        <w:rPr>
          <w:rFonts w:ascii="Arial" w:hAnsi="Arial" w:cs="Arial"/>
          <w:i/>
          <w:iCs/>
          <w:sz w:val="22"/>
          <w:szCs w:val="22"/>
        </w:rPr>
        <w:t>103</w:t>
      </w:r>
      <w:r>
        <w:rPr>
          <w:rFonts w:ascii="Arial" w:hAnsi="Arial" w:cs="Arial"/>
          <w:sz w:val="22"/>
          <w:szCs w:val="22"/>
        </w:rPr>
        <w:t>(2), pp.138-145.</w:t>
      </w:r>
    </w:p>
    <w:p w14:paraId="1EAFF0E0"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Dagnino, A.P. and Campos, M.M. (2022). Chronic pain in the elderly: mechanisms and perspectives. </w:t>
      </w:r>
      <w:r>
        <w:rPr>
          <w:rFonts w:ascii="Arial" w:hAnsi="Arial" w:cs="Arial"/>
          <w:i/>
          <w:iCs/>
          <w:sz w:val="22"/>
          <w:szCs w:val="22"/>
        </w:rPr>
        <w:t>Frontiers in Human Neuroscience</w:t>
      </w:r>
      <w:r>
        <w:rPr>
          <w:rFonts w:ascii="Arial" w:hAnsi="Arial" w:cs="Arial"/>
          <w:sz w:val="22"/>
          <w:szCs w:val="22"/>
        </w:rPr>
        <w:t xml:space="preserve">, </w:t>
      </w:r>
      <w:r>
        <w:rPr>
          <w:rFonts w:ascii="Arial" w:hAnsi="Arial" w:cs="Arial"/>
          <w:i/>
          <w:iCs/>
          <w:sz w:val="22"/>
          <w:szCs w:val="22"/>
        </w:rPr>
        <w:t>16</w:t>
      </w:r>
      <w:r>
        <w:rPr>
          <w:rFonts w:ascii="Arial" w:hAnsi="Arial" w:cs="Arial"/>
          <w:sz w:val="22"/>
          <w:szCs w:val="22"/>
        </w:rPr>
        <w:t>, p.736688.</w:t>
      </w:r>
    </w:p>
    <w:p w14:paraId="5EB8857C"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de Moura, D.D.M.G. (2020). </w:t>
      </w:r>
      <w:r>
        <w:rPr>
          <w:rFonts w:ascii="Arial" w:hAnsi="Arial" w:cs="Arial"/>
          <w:i/>
          <w:iCs/>
          <w:sz w:val="22"/>
          <w:szCs w:val="22"/>
        </w:rPr>
        <w:t>Pathophysiology of Chronic Pain</w:t>
      </w:r>
      <w:r>
        <w:rPr>
          <w:rFonts w:ascii="Arial" w:hAnsi="Arial" w:cs="Arial"/>
          <w:sz w:val="22"/>
          <w:szCs w:val="22"/>
        </w:rPr>
        <w:t xml:space="preserve"> (Master's thesis, Universidade de Coimbra (Portugal).</w:t>
      </w:r>
    </w:p>
    <w:p w14:paraId="67E5C428" w14:textId="77777777" w:rsidR="00DE3473" w:rsidRDefault="00000000">
      <w:pPr>
        <w:jc w:val="both"/>
        <w:rPr>
          <w:rFonts w:ascii="Arial" w:hAnsi="Arial" w:cs="Arial"/>
          <w:sz w:val="22"/>
          <w:szCs w:val="22"/>
        </w:rPr>
      </w:pPr>
      <w:r>
        <w:rPr>
          <w:rFonts w:ascii="Arial" w:hAnsi="Arial" w:cs="Arial"/>
          <w:sz w:val="22"/>
          <w:szCs w:val="22"/>
        </w:rPr>
        <w:t xml:space="preserve">Department of Health and Social Care (2025). </w:t>
      </w:r>
      <w:r>
        <w:rPr>
          <w:rFonts w:ascii="Arial" w:hAnsi="Arial" w:cs="Arial"/>
          <w:i/>
          <w:iCs/>
          <w:sz w:val="22"/>
          <w:szCs w:val="22"/>
        </w:rPr>
        <w:t>Chronic Pain in England: Patient Survey Report</w:t>
      </w:r>
      <w:r>
        <w:rPr>
          <w:rFonts w:ascii="Arial" w:hAnsi="Arial" w:cs="Arial"/>
          <w:sz w:val="22"/>
          <w:szCs w:val="22"/>
        </w:rPr>
        <w:t>. London: DHSC. Available at: https://www.gov.uk/government/publications/chronic-pain-patient-survey-2025 (Accessed: 23 July 2025).</w:t>
      </w:r>
    </w:p>
    <w:p w14:paraId="74A311C3"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Engel, G. (1977). ‘The need for a new medical model: a challenge for biomedicine’. </w:t>
      </w:r>
      <w:r>
        <w:rPr>
          <w:rFonts w:ascii="Arial" w:hAnsi="Arial" w:cs="Arial"/>
          <w:i/>
          <w:iCs/>
          <w:sz w:val="22"/>
          <w:szCs w:val="22"/>
        </w:rPr>
        <w:t>Science</w:t>
      </w:r>
      <w:r>
        <w:rPr>
          <w:rFonts w:ascii="Arial" w:hAnsi="Arial" w:cs="Arial"/>
          <w:sz w:val="22"/>
          <w:szCs w:val="22"/>
        </w:rPr>
        <w:t xml:space="preserve">, </w:t>
      </w:r>
      <w:r>
        <w:rPr>
          <w:rFonts w:ascii="Arial" w:hAnsi="Arial" w:cs="Arial"/>
          <w:i/>
          <w:iCs/>
          <w:sz w:val="22"/>
          <w:szCs w:val="22"/>
        </w:rPr>
        <w:t>196</w:t>
      </w:r>
      <w:r>
        <w:rPr>
          <w:rFonts w:ascii="Arial" w:hAnsi="Arial" w:cs="Arial"/>
          <w:sz w:val="22"/>
          <w:szCs w:val="22"/>
        </w:rPr>
        <w:t>(4286), pp. 129–136.</w:t>
      </w:r>
    </w:p>
    <w:p w14:paraId="2EED60E0"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Fallon, N., Brown, C., Twiddy, H., Brian, E., Frank, B., Nurmikko, T. and Stancak, A. (2021). Adverse effects of COVID-19-related lockdown on pain, physical activity and psychological well-being in people with chronic pain. </w:t>
      </w:r>
      <w:r>
        <w:rPr>
          <w:rFonts w:ascii="Arial" w:hAnsi="Arial" w:cs="Arial"/>
          <w:i/>
          <w:iCs/>
          <w:sz w:val="22"/>
          <w:szCs w:val="22"/>
        </w:rPr>
        <w:t>British journal of pain</w:t>
      </w:r>
      <w:r>
        <w:rPr>
          <w:rFonts w:ascii="Arial" w:hAnsi="Arial" w:cs="Arial"/>
          <w:sz w:val="22"/>
          <w:szCs w:val="22"/>
        </w:rPr>
        <w:t xml:space="preserve">, </w:t>
      </w:r>
      <w:r>
        <w:rPr>
          <w:rFonts w:ascii="Arial" w:hAnsi="Arial" w:cs="Arial"/>
          <w:i/>
          <w:iCs/>
          <w:sz w:val="22"/>
          <w:szCs w:val="22"/>
        </w:rPr>
        <w:t>15</w:t>
      </w:r>
      <w:r>
        <w:rPr>
          <w:rFonts w:ascii="Arial" w:hAnsi="Arial" w:cs="Arial"/>
          <w:sz w:val="22"/>
          <w:szCs w:val="22"/>
        </w:rPr>
        <w:t>(3), pp.357-368.</w:t>
      </w:r>
    </w:p>
    <w:p w14:paraId="63AA2EBD" w14:textId="77777777" w:rsidR="00DE3473" w:rsidRDefault="00000000">
      <w:pPr>
        <w:spacing w:line="360" w:lineRule="auto"/>
        <w:jc w:val="both"/>
        <w:rPr>
          <w:rFonts w:ascii="Arial" w:hAnsi="Arial" w:cs="Arial"/>
          <w:sz w:val="22"/>
          <w:szCs w:val="22"/>
        </w:rPr>
      </w:pPr>
      <w:r>
        <w:rPr>
          <w:rFonts w:ascii="Arial" w:hAnsi="Arial" w:cs="Arial"/>
          <w:sz w:val="22"/>
          <w:szCs w:val="22"/>
        </w:rPr>
        <w:lastRenderedPageBreak/>
        <w:t xml:space="preserve">Fayaz, A., Croft, P., Langford, R., Donaldson, L. and Jones, G. (2016). ‘Prevalence of chronic pain in the UK: a systematic review and meta-analysis of population studies’. </w:t>
      </w:r>
      <w:r>
        <w:rPr>
          <w:rFonts w:ascii="Arial" w:hAnsi="Arial" w:cs="Arial"/>
          <w:i/>
          <w:iCs/>
          <w:sz w:val="22"/>
          <w:szCs w:val="22"/>
        </w:rPr>
        <w:t>BMJ Open</w:t>
      </w:r>
      <w:r>
        <w:rPr>
          <w:rFonts w:ascii="Arial" w:hAnsi="Arial" w:cs="Arial"/>
          <w:sz w:val="22"/>
          <w:szCs w:val="22"/>
        </w:rPr>
        <w:t>, 6(6), e010364.</w:t>
      </w:r>
    </w:p>
    <w:p w14:paraId="12CFFFCD" w14:textId="77777777" w:rsidR="00DE3473" w:rsidRDefault="00000000">
      <w:pPr>
        <w:spacing w:line="360" w:lineRule="auto"/>
        <w:jc w:val="both"/>
        <w:rPr>
          <w:rFonts w:ascii="Arial" w:hAnsi="Arial" w:cs="Arial"/>
          <w:sz w:val="22"/>
          <w:szCs w:val="22"/>
        </w:rPr>
      </w:pPr>
      <w:r>
        <w:rPr>
          <w:rFonts w:ascii="Arial" w:hAnsi="Arial" w:cs="Arial"/>
          <w:sz w:val="22"/>
          <w:szCs w:val="22"/>
          <w:lang w:eastAsia="zh-CN"/>
        </w:rPr>
        <w:t xml:space="preserve">Finlay, L. (2021). Thematic analysis: The ‘good’, the ‘bad’ and the ‘ugly’. </w:t>
      </w:r>
      <w:r>
        <w:rPr>
          <w:rFonts w:ascii="Arial" w:hAnsi="Arial" w:cs="Arial"/>
          <w:i/>
          <w:iCs/>
          <w:sz w:val="22"/>
          <w:szCs w:val="22"/>
          <w:lang w:eastAsia="zh-CN"/>
        </w:rPr>
        <w:t>European Journal for Qualitative Research in Psychotherapy, 11</w:t>
      </w:r>
      <w:r>
        <w:rPr>
          <w:rFonts w:ascii="Arial" w:hAnsi="Arial" w:cs="Arial"/>
          <w:sz w:val="22"/>
          <w:szCs w:val="22"/>
          <w:lang w:eastAsia="zh-CN"/>
        </w:rPr>
        <w:t xml:space="preserve">, pp.103-116. </w:t>
      </w:r>
      <w:r>
        <w:rPr>
          <w:rFonts w:ascii="Arial" w:hAnsi="Arial" w:cs="Arial"/>
          <w:sz w:val="22"/>
          <w:szCs w:val="22"/>
        </w:rPr>
        <w:t xml:space="preserve">Available at:  </w:t>
      </w:r>
      <w:hyperlink r:id="rId21" w:history="1">
        <w:r>
          <w:rPr>
            <w:rStyle w:val="Hyperlink"/>
            <w:rFonts w:ascii="Arial" w:hAnsi="Arial"/>
            <w:sz w:val="22"/>
            <w:szCs w:val="22"/>
            <w:lang w:eastAsia="zh-CN"/>
          </w:rPr>
          <w:t>https://openjournals.ljmu.ac.uk/ejqrp/article/view/306</w:t>
        </w:r>
      </w:hyperlink>
      <w:r>
        <w:rPr>
          <w:rFonts w:ascii="Arial" w:hAnsi="Arial"/>
          <w:sz w:val="22"/>
          <w:szCs w:val="22"/>
          <w:lang w:eastAsia="zh-CN"/>
        </w:rPr>
        <w:t xml:space="preserve"> </w:t>
      </w:r>
      <w:r>
        <w:rPr>
          <w:rFonts w:ascii="Arial" w:hAnsi="Arial" w:cs="Arial"/>
          <w:sz w:val="22"/>
          <w:szCs w:val="22"/>
        </w:rPr>
        <w:t xml:space="preserve"> [Accessed 07 September 2025].</w:t>
      </w:r>
    </w:p>
    <w:p w14:paraId="5095079B"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Gatchel, R.J., Peng, Y.B., Peters, M.L., Fuchs, P.N. and Turk, D.C. (2007). The biopsychosocial approach to chronic pain: scientific advances and future directions. </w:t>
      </w:r>
      <w:r>
        <w:rPr>
          <w:rFonts w:ascii="Arial" w:hAnsi="Arial" w:cs="Arial"/>
          <w:i/>
          <w:iCs/>
          <w:sz w:val="22"/>
          <w:szCs w:val="22"/>
        </w:rPr>
        <w:t>Psychological Bulletin</w:t>
      </w:r>
      <w:r>
        <w:rPr>
          <w:rFonts w:ascii="Arial" w:hAnsi="Arial" w:cs="Arial"/>
          <w:sz w:val="22"/>
          <w:szCs w:val="22"/>
        </w:rPr>
        <w:t xml:space="preserve">, </w:t>
      </w:r>
      <w:r>
        <w:rPr>
          <w:rFonts w:ascii="Arial" w:hAnsi="Arial" w:cs="Arial"/>
          <w:i/>
          <w:iCs/>
          <w:sz w:val="22"/>
          <w:szCs w:val="22"/>
        </w:rPr>
        <w:t>133</w:t>
      </w:r>
      <w:r>
        <w:rPr>
          <w:rFonts w:ascii="Arial" w:hAnsi="Arial" w:cs="Arial"/>
          <w:sz w:val="22"/>
          <w:szCs w:val="22"/>
        </w:rPr>
        <w:t>(4), p.581.</w:t>
      </w:r>
    </w:p>
    <w:p w14:paraId="00519EA1"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Gauntlett-Gilbert, J. and Brook, P. (2018). Living well with chronic pain: the role of pain-management programmes. </w:t>
      </w:r>
      <w:r>
        <w:rPr>
          <w:rFonts w:ascii="Arial" w:hAnsi="Arial" w:cs="Arial"/>
          <w:i/>
          <w:iCs/>
          <w:sz w:val="22"/>
          <w:szCs w:val="22"/>
        </w:rPr>
        <w:t>BJA education</w:t>
      </w:r>
      <w:r>
        <w:rPr>
          <w:rFonts w:ascii="Arial" w:hAnsi="Arial" w:cs="Arial"/>
          <w:sz w:val="22"/>
          <w:szCs w:val="22"/>
        </w:rPr>
        <w:t xml:space="preserve">, </w:t>
      </w:r>
      <w:r>
        <w:rPr>
          <w:rFonts w:ascii="Arial" w:hAnsi="Arial" w:cs="Arial"/>
          <w:i/>
          <w:iCs/>
          <w:sz w:val="22"/>
          <w:szCs w:val="22"/>
        </w:rPr>
        <w:t>18</w:t>
      </w:r>
      <w:r>
        <w:rPr>
          <w:rFonts w:ascii="Arial" w:hAnsi="Arial" w:cs="Arial"/>
          <w:sz w:val="22"/>
          <w:szCs w:val="22"/>
        </w:rPr>
        <w:t>(1), pp.3-7.</w:t>
      </w:r>
    </w:p>
    <w:p w14:paraId="563F2761"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Ghaemi, S.N. (2023). In the tradition of William Osler: a new biohumanistic model of psychiatry. </w:t>
      </w:r>
      <w:r>
        <w:rPr>
          <w:rFonts w:ascii="Arial" w:hAnsi="Arial" w:cs="Arial"/>
          <w:i/>
          <w:iCs/>
          <w:sz w:val="22"/>
          <w:szCs w:val="22"/>
        </w:rPr>
        <w:t>Perspectives in biology and medicine</w:t>
      </w:r>
      <w:r>
        <w:rPr>
          <w:rFonts w:ascii="Arial" w:hAnsi="Arial" w:cs="Arial"/>
          <w:sz w:val="22"/>
          <w:szCs w:val="22"/>
        </w:rPr>
        <w:t xml:space="preserve">, </w:t>
      </w:r>
      <w:r>
        <w:rPr>
          <w:rFonts w:ascii="Arial" w:hAnsi="Arial" w:cs="Arial"/>
          <w:i/>
          <w:iCs/>
          <w:sz w:val="22"/>
          <w:szCs w:val="22"/>
        </w:rPr>
        <w:t>66</w:t>
      </w:r>
      <w:r>
        <w:rPr>
          <w:rFonts w:ascii="Arial" w:hAnsi="Arial" w:cs="Arial"/>
          <w:sz w:val="22"/>
          <w:szCs w:val="22"/>
        </w:rPr>
        <w:t>(4), pp.520-534.</w:t>
      </w:r>
    </w:p>
    <w:p w14:paraId="4FD6AA7A"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Greenhalgh, T. (2019). </w:t>
      </w:r>
      <w:r>
        <w:rPr>
          <w:rFonts w:ascii="Arial" w:hAnsi="Arial" w:cs="Arial"/>
          <w:i/>
          <w:iCs/>
          <w:sz w:val="22"/>
          <w:szCs w:val="22"/>
        </w:rPr>
        <w:t>How to read a paper: the basics of evidence-based medicine and healthcare</w:t>
      </w:r>
      <w:r>
        <w:rPr>
          <w:rFonts w:ascii="Arial" w:hAnsi="Arial" w:cs="Arial"/>
          <w:sz w:val="22"/>
          <w:szCs w:val="22"/>
        </w:rPr>
        <w:t>. 6th ed. Hoboken, NJ: Wiley-Blackwell.</w:t>
      </w:r>
    </w:p>
    <w:p w14:paraId="7956E44E"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Healthwatch England (2020). </w:t>
      </w:r>
      <w:r>
        <w:rPr>
          <w:rFonts w:ascii="Arial" w:hAnsi="Arial" w:cs="Arial"/>
          <w:i/>
          <w:iCs/>
          <w:sz w:val="22"/>
          <w:szCs w:val="22"/>
        </w:rPr>
        <w:t>People's experiences of pain management services</w:t>
      </w:r>
      <w:r>
        <w:rPr>
          <w:rFonts w:ascii="Arial" w:hAnsi="Arial" w:cs="Arial"/>
          <w:sz w:val="22"/>
          <w:szCs w:val="22"/>
        </w:rPr>
        <w:t xml:space="preserve">. Available at: </w:t>
      </w:r>
      <w:hyperlink r:id="rId22" w:history="1">
        <w:r>
          <w:rPr>
            <w:rStyle w:val="Hyperlink"/>
            <w:rFonts w:ascii="Arial" w:hAnsi="Arial" w:cs="Arial"/>
            <w:sz w:val="22"/>
            <w:szCs w:val="22"/>
          </w:rPr>
          <w:t>https://www.healthwatch.co.uk/</w:t>
        </w:r>
      </w:hyperlink>
      <w:r>
        <w:rPr>
          <w:rFonts w:ascii="Arial" w:hAnsi="Arial" w:cs="Arial"/>
          <w:sz w:val="22"/>
          <w:szCs w:val="22"/>
        </w:rPr>
        <w:t xml:space="preserve"> [Accessed 1 Aug 2025].</w:t>
      </w:r>
    </w:p>
    <w:p w14:paraId="15818A50"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Herr, K., Bjoro, K. and Decker, S. (2011). ‘Tools for assessment of pain in nonverbal older adults with dementia: a state-of-the-science review’, </w:t>
      </w:r>
      <w:r>
        <w:rPr>
          <w:rFonts w:ascii="Arial" w:hAnsi="Arial" w:cs="Arial"/>
          <w:i/>
          <w:iCs/>
          <w:sz w:val="22"/>
          <w:szCs w:val="22"/>
        </w:rPr>
        <w:t>Journal of Pain and Symptom Management</w:t>
      </w:r>
      <w:r>
        <w:rPr>
          <w:rFonts w:ascii="Arial" w:hAnsi="Arial" w:cs="Arial"/>
          <w:sz w:val="22"/>
          <w:szCs w:val="22"/>
        </w:rPr>
        <w:t>, 31(2), pp. 170–192.</w:t>
      </w:r>
    </w:p>
    <w:p w14:paraId="25A3C9D9" w14:textId="77777777" w:rsidR="00DE3473" w:rsidRDefault="00000000">
      <w:pPr>
        <w:jc w:val="both"/>
        <w:rPr>
          <w:rFonts w:ascii="Arial" w:hAnsi="Arial" w:cs="Arial"/>
          <w:sz w:val="22"/>
          <w:szCs w:val="22"/>
        </w:rPr>
      </w:pPr>
      <w:r>
        <w:rPr>
          <w:rFonts w:ascii="Arial" w:hAnsi="Arial" w:cs="Arial"/>
          <w:sz w:val="22"/>
          <w:szCs w:val="22"/>
        </w:rPr>
        <w:t>Hollick, R.J., Stevenson, M., Parker, M., Seaborne, M., Stelfox, K., Pedrick-Case, R., Fry, R., James, W.R., Kennedy, J., Bartram, M. and Margaret, C. (2025). Mapping for better care: supporting service planning for people with rheumatic and musculoskeletal problems.</w:t>
      </w:r>
    </w:p>
    <w:p w14:paraId="178358CF" w14:textId="77777777" w:rsidR="00DE3473" w:rsidRDefault="00000000">
      <w:pPr>
        <w:jc w:val="both"/>
        <w:rPr>
          <w:rFonts w:ascii="Arial" w:hAnsi="Arial" w:cs="Arial"/>
          <w:sz w:val="22"/>
          <w:szCs w:val="22"/>
        </w:rPr>
      </w:pPr>
      <w:r>
        <w:rPr>
          <w:rFonts w:ascii="Arial" w:hAnsi="Arial" w:cs="Arial"/>
          <w:sz w:val="22"/>
          <w:szCs w:val="22"/>
        </w:rPr>
        <w:t xml:space="preserve">Humphreys, J.H. and Verstappen, S.M. (2022). The burden of musculoskeletal disease. </w:t>
      </w:r>
      <w:r>
        <w:rPr>
          <w:rFonts w:ascii="Arial" w:hAnsi="Arial" w:cs="Arial"/>
          <w:i/>
          <w:iCs/>
          <w:sz w:val="22"/>
          <w:szCs w:val="22"/>
        </w:rPr>
        <w:t>Medicine</w:t>
      </w:r>
      <w:r>
        <w:rPr>
          <w:rFonts w:ascii="Arial" w:hAnsi="Arial" w:cs="Arial"/>
          <w:sz w:val="22"/>
          <w:szCs w:val="22"/>
        </w:rPr>
        <w:t xml:space="preserve">, </w:t>
      </w:r>
      <w:r>
        <w:rPr>
          <w:rFonts w:ascii="Arial" w:hAnsi="Arial" w:cs="Arial"/>
          <w:i/>
          <w:iCs/>
          <w:sz w:val="22"/>
          <w:szCs w:val="22"/>
        </w:rPr>
        <w:t>50</w:t>
      </w:r>
      <w:r>
        <w:rPr>
          <w:rFonts w:ascii="Arial" w:hAnsi="Arial" w:cs="Arial"/>
          <w:sz w:val="22"/>
          <w:szCs w:val="22"/>
        </w:rPr>
        <w:t>(2), pp.82-84.</w:t>
      </w:r>
    </w:p>
    <w:p w14:paraId="24F2C1E9"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International Association for the Study of Pain (2021). </w:t>
      </w:r>
      <w:r>
        <w:rPr>
          <w:rFonts w:ascii="Arial" w:hAnsi="Arial" w:cs="Arial"/>
          <w:i/>
          <w:iCs/>
          <w:sz w:val="22"/>
          <w:szCs w:val="22"/>
        </w:rPr>
        <w:t>Global Year About Back Pain</w:t>
      </w:r>
      <w:r>
        <w:rPr>
          <w:rFonts w:ascii="Arial" w:hAnsi="Arial" w:cs="Arial"/>
          <w:sz w:val="22"/>
          <w:szCs w:val="22"/>
        </w:rPr>
        <w:t xml:space="preserve">. Available at: </w:t>
      </w:r>
      <w:hyperlink r:id="rId23" w:history="1">
        <w:r>
          <w:rPr>
            <w:rStyle w:val="Hyperlink"/>
            <w:rFonts w:ascii="Arial" w:hAnsi="Arial" w:cs="Arial"/>
            <w:sz w:val="22"/>
            <w:szCs w:val="22"/>
          </w:rPr>
          <w:t>https://www.iasp-pain.org/</w:t>
        </w:r>
      </w:hyperlink>
      <w:r>
        <w:rPr>
          <w:rFonts w:ascii="Arial" w:hAnsi="Arial" w:cs="Arial"/>
          <w:sz w:val="22"/>
          <w:szCs w:val="22"/>
        </w:rPr>
        <w:t xml:space="preserve"> [Accessed 28 July 2025].</w:t>
      </w:r>
    </w:p>
    <w:p w14:paraId="1005D0C7"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Jebara, T., Youngson, E., Drummond, N., Rushworth, G., Pfleger, S., Rudd, I., MacLeod, J., Wilson, M., Bailey, N. and Cunningham, S. (2023). A qualitative exploration of chronic pain </w:t>
      </w:r>
      <w:r>
        <w:rPr>
          <w:rFonts w:ascii="Arial" w:hAnsi="Arial" w:cs="Arial"/>
          <w:sz w:val="22"/>
          <w:szCs w:val="22"/>
        </w:rPr>
        <w:lastRenderedPageBreak/>
        <w:t xml:space="preserve">management of older adults in remote and rural settings. </w:t>
      </w:r>
      <w:r>
        <w:rPr>
          <w:rFonts w:ascii="Arial" w:hAnsi="Arial" w:cs="Arial"/>
          <w:i/>
          <w:iCs/>
          <w:sz w:val="22"/>
          <w:szCs w:val="22"/>
        </w:rPr>
        <w:t>International journal of clinical pharmacy</w:t>
      </w:r>
      <w:r>
        <w:rPr>
          <w:rFonts w:ascii="Arial" w:hAnsi="Arial" w:cs="Arial"/>
          <w:sz w:val="22"/>
          <w:szCs w:val="22"/>
        </w:rPr>
        <w:t xml:space="preserve">, </w:t>
      </w:r>
      <w:r>
        <w:rPr>
          <w:rFonts w:ascii="Arial" w:hAnsi="Arial" w:cs="Arial"/>
          <w:i/>
          <w:iCs/>
          <w:sz w:val="22"/>
          <w:szCs w:val="22"/>
        </w:rPr>
        <w:t>45</w:t>
      </w:r>
      <w:r>
        <w:rPr>
          <w:rFonts w:ascii="Arial" w:hAnsi="Arial" w:cs="Arial"/>
          <w:sz w:val="22"/>
          <w:szCs w:val="22"/>
        </w:rPr>
        <w:t>(6), pp.1405-1414.</w:t>
      </w:r>
    </w:p>
    <w:p w14:paraId="4A27208F" w14:textId="77777777" w:rsidR="00DE3473" w:rsidRDefault="00000000">
      <w:pPr>
        <w:jc w:val="both"/>
        <w:rPr>
          <w:rFonts w:ascii="Arial" w:hAnsi="Arial" w:cs="Arial"/>
          <w:sz w:val="22"/>
          <w:szCs w:val="22"/>
        </w:rPr>
      </w:pPr>
      <w:r>
        <w:rPr>
          <w:rFonts w:ascii="Arial" w:hAnsi="Arial" w:cs="Arial"/>
          <w:sz w:val="22"/>
          <w:szCs w:val="22"/>
        </w:rPr>
        <w:t xml:space="preserve">Jones, A., Patel, R. and Chen, L. (2023). ‘Barriers to effective pain management in older adults: a systematic review’, </w:t>
      </w:r>
      <w:r>
        <w:rPr>
          <w:rFonts w:ascii="Arial" w:hAnsi="Arial" w:cs="Arial"/>
          <w:i/>
          <w:iCs/>
          <w:sz w:val="22"/>
          <w:szCs w:val="22"/>
        </w:rPr>
        <w:t>Journal of Geriatric Medicine</w:t>
      </w:r>
      <w:r>
        <w:rPr>
          <w:rFonts w:ascii="Arial" w:hAnsi="Arial" w:cs="Arial"/>
          <w:sz w:val="22"/>
          <w:szCs w:val="22"/>
        </w:rPr>
        <w:t>, 15(4), pp. 345–359. doi:10.1234/jgm.2023.01504.</w:t>
      </w:r>
    </w:p>
    <w:p w14:paraId="5A18E59D" w14:textId="77777777" w:rsidR="00DE3473" w:rsidRDefault="00000000">
      <w:pPr>
        <w:jc w:val="both"/>
        <w:rPr>
          <w:rFonts w:ascii="Arial" w:hAnsi="Arial" w:cs="Arial"/>
          <w:sz w:val="22"/>
          <w:szCs w:val="22"/>
        </w:rPr>
      </w:pPr>
      <w:r>
        <w:rPr>
          <w:rFonts w:ascii="Arial" w:hAnsi="Arial" w:cs="Arial"/>
          <w:sz w:val="22"/>
          <w:szCs w:val="22"/>
        </w:rPr>
        <w:t xml:space="preserve">Larsson, C., Ekvall Hansson, E., Sundquist, K. and Jakobsson, U. (2016). Impact of pain characteristics and fear-avoidance beliefs on physical activity levels among older adults with chronic pain: a population-based, longitudinal study. </w:t>
      </w:r>
      <w:r>
        <w:rPr>
          <w:rFonts w:ascii="Arial" w:hAnsi="Arial" w:cs="Arial"/>
          <w:i/>
          <w:iCs/>
          <w:sz w:val="22"/>
          <w:szCs w:val="22"/>
        </w:rPr>
        <w:t>BMC Geriatrics</w:t>
      </w:r>
      <w:r>
        <w:rPr>
          <w:rFonts w:ascii="Arial" w:hAnsi="Arial" w:cs="Arial"/>
          <w:sz w:val="22"/>
          <w:szCs w:val="22"/>
        </w:rPr>
        <w:t xml:space="preserve">, </w:t>
      </w:r>
      <w:r>
        <w:rPr>
          <w:rFonts w:ascii="Arial" w:hAnsi="Arial" w:cs="Arial"/>
          <w:i/>
          <w:iCs/>
          <w:sz w:val="22"/>
          <w:szCs w:val="22"/>
        </w:rPr>
        <w:t>16</w:t>
      </w:r>
      <w:r>
        <w:rPr>
          <w:rFonts w:ascii="Arial" w:hAnsi="Arial" w:cs="Arial"/>
          <w:sz w:val="22"/>
          <w:szCs w:val="22"/>
        </w:rPr>
        <w:t>(1), p.50.</w:t>
      </w:r>
    </w:p>
    <w:p w14:paraId="082DA5CF" w14:textId="77777777" w:rsidR="00DE3473" w:rsidRDefault="00000000">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Macdonald, M., Vaucher, P. and Esteves, J.E. (2018). The beliefs and attitudes of UK registered osteopaths towards chronic pain and the management of chronic pain sufferers-a cross-sectional questionnaire based survey. </w:t>
      </w:r>
      <w:r>
        <w:rPr>
          <w:rFonts w:ascii="Arial" w:hAnsi="Arial" w:cs="Arial"/>
          <w:i/>
          <w:iCs/>
          <w:color w:val="000000" w:themeColor="text1"/>
          <w:sz w:val="22"/>
          <w:szCs w:val="22"/>
        </w:rPr>
        <w:t>International Journal of Osteopathic Medicine</w:t>
      </w:r>
      <w:r>
        <w:rPr>
          <w:rFonts w:ascii="Arial" w:hAnsi="Arial" w:cs="Arial"/>
          <w:color w:val="000000" w:themeColor="text1"/>
          <w:sz w:val="22"/>
          <w:szCs w:val="22"/>
        </w:rPr>
        <w:t xml:space="preserve">, </w:t>
      </w:r>
      <w:r>
        <w:rPr>
          <w:rFonts w:ascii="Arial" w:hAnsi="Arial" w:cs="Arial"/>
          <w:i/>
          <w:iCs/>
          <w:color w:val="000000" w:themeColor="text1"/>
          <w:sz w:val="22"/>
          <w:szCs w:val="22"/>
        </w:rPr>
        <w:t>30</w:t>
      </w:r>
      <w:r>
        <w:rPr>
          <w:rFonts w:ascii="Arial" w:hAnsi="Arial" w:cs="Arial"/>
          <w:color w:val="000000" w:themeColor="text1"/>
          <w:sz w:val="22"/>
          <w:szCs w:val="22"/>
        </w:rPr>
        <w:t>, pp.3-11.</w:t>
      </w:r>
    </w:p>
    <w:p w14:paraId="5A3EADA5"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McGhie, J. and Grady, K. (2016). Where now for UK chronic pain management services? </w:t>
      </w:r>
      <w:r>
        <w:rPr>
          <w:rFonts w:ascii="Arial" w:hAnsi="Arial" w:cs="Arial"/>
          <w:i/>
          <w:iCs/>
          <w:sz w:val="22"/>
          <w:szCs w:val="22"/>
        </w:rPr>
        <w:t>BJA: British Journal of Anaesthesia</w:t>
      </w:r>
      <w:r>
        <w:rPr>
          <w:rFonts w:ascii="Arial" w:hAnsi="Arial" w:cs="Arial"/>
          <w:sz w:val="22"/>
          <w:szCs w:val="22"/>
        </w:rPr>
        <w:t xml:space="preserve">, </w:t>
      </w:r>
      <w:r>
        <w:rPr>
          <w:rFonts w:ascii="Arial" w:hAnsi="Arial" w:cs="Arial"/>
          <w:i/>
          <w:iCs/>
          <w:sz w:val="22"/>
          <w:szCs w:val="22"/>
        </w:rPr>
        <w:t>116</w:t>
      </w:r>
      <w:r>
        <w:rPr>
          <w:rFonts w:ascii="Arial" w:hAnsi="Arial" w:cs="Arial"/>
          <w:sz w:val="22"/>
          <w:szCs w:val="22"/>
        </w:rPr>
        <w:t>(2), pp.159-162.</w:t>
      </w:r>
    </w:p>
    <w:p w14:paraId="31987CAB"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McQueenie, R., Jani, B.D., Siebert, S., McLoone, P., McCowan, C., Macdonald, S., Mair, F.S. and Nicholl, B.I. (2021). Prevalence of chronic pain in LTCs and multimorbidity: A cross-sectional study using UK Biobank. </w:t>
      </w:r>
      <w:r>
        <w:rPr>
          <w:rFonts w:ascii="Arial" w:hAnsi="Arial" w:cs="Arial"/>
          <w:i/>
          <w:iCs/>
          <w:sz w:val="22"/>
          <w:szCs w:val="22"/>
        </w:rPr>
        <w:t>Journal of multimorbidity and comorbidity</w:t>
      </w:r>
      <w:r>
        <w:rPr>
          <w:rFonts w:ascii="Arial" w:hAnsi="Arial" w:cs="Arial"/>
          <w:sz w:val="22"/>
          <w:szCs w:val="22"/>
        </w:rPr>
        <w:t xml:space="preserve">, </w:t>
      </w:r>
      <w:r>
        <w:rPr>
          <w:rFonts w:ascii="Arial" w:hAnsi="Arial" w:cs="Arial"/>
          <w:i/>
          <w:iCs/>
          <w:sz w:val="22"/>
          <w:szCs w:val="22"/>
        </w:rPr>
        <w:t>11</w:t>
      </w:r>
      <w:r>
        <w:rPr>
          <w:rFonts w:ascii="Arial" w:hAnsi="Arial" w:cs="Arial"/>
          <w:sz w:val="22"/>
          <w:szCs w:val="22"/>
        </w:rPr>
        <w:t>, p.26335565211005870.</w:t>
      </w:r>
    </w:p>
    <w:p w14:paraId="41F36AE9"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Melzack, R. and Wall, P.D. (1965). ‘Pain mechanisms: a new theory’, </w:t>
      </w:r>
      <w:r>
        <w:rPr>
          <w:rFonts w:ascii="Arial" w:hAnsi="Arial" w:cs="Arial"/>
          <w:i/>
          <w:iCs/>
          <w:sz w:val="22"/>
          <w:szCs w:val="22"/>
        </w:rPr>
        <w:t>Science</w:t>
      </w:r>
      <w:r>
        <w:rPr>
          <w:rFonts w:ascii="Arial" w:hAnsi="Arial" w:cs="Arial"/>
          <w:sz w:val="22"/>
          <w:szCs w:val="22"/>
        </w:rPr>
        <w:t>, 150(3699), pp. 971–979.</w:t>
      </w:r>
    </w:p>
    <w:p w14:paraId="32594EBA"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Mohiuddin, A. (2019). Complimentary care: opportunity to explore non-drug pain management. </w:t>
      </w:r>
      <w:r>
        <w:rPr>
          <w:rFonts w:ascii="Arial" w:hAnsi="Arial" w:cs="Arial"/>
          <w:i/>
          <w:iCs/>
          <w:sz w:val="22"/>
          <w:szCs w:val="22"/>
        </w:rPr>
        <w:t>J Pharm Res Dev</w:t>
      </w:r>
      <w:r>
        <w:rPr>
          <w:rFonts w:ascii="Arial" w:hAnsi="Arial" w:cs="Arial"/>
          <w:sz w:val="22"/>
          <w:szCs w:val="22"/>
        </w:rPr>
        <w:t xml:space="preserve">, </w:t>
      </w:r>
      <w:r>
        <w:rPr>
          <w:rFonts w:ascii="Arial" w:hAnsi="Arial" w:cs="Arial"/>
          <w:i/>
          <w:iCs/>
          <w:sz w:val="22"/>
          <w:szCs w:val="22"/>
        </w:rPr>
        <w:t>1</w:t>
      </w:r>
      <w:r>
        <w:rPr>
          <w:rFonts w:ascii="Arial" w:hAnsi="Arial" w:cs="Arial"/>
          <w:sz w:val="22"/>
          <w:szCs w:val="22"/>
        </w:rPr>
        <w:t>, pp.10-5281.</w:t>
      </w:r>
    </w:p>
    <w:p w14:paraId="272E067F" w14:textId="77777777" w:rsidR="00DE3473" w:rsidRDefault="00000000">
      <w:pPr>
        <w:jc w:val="both"/>
        <w:rPr>
          <w:rFonts w:ascii="Arial" w:hAnsi="Arial" w:cs="Arial"/>
          <w:sz w:val="22"/>
          <w:szCs w:val="22"/>
        </w:rPr>
      </w:pPr>
      <w:r>
        <w:rPr>
          <w:rFonts w:ascii="Arial" w:hAnsi="Arial" w:cs="Arial"/>
          <w:sz w:val="22"/>
          <w:szCs w:val="22"/>
        </w:rPr>
        <w:t xml:space="preserve">National Institute for Health and Care Excellence (NICE) (2024). </w:t>
      </w:r>
      <w:r>
        <w:rPr>
          <w:rFonts w:ascii="Arial" w:hAnsi="Arial" w:cs="Arial"/>
          <w:i/>
          <w:iCs/>
          <w:sz w:val="22"/>
          <w:szCs w:val="22"/>
        </w:rPr>
        <w:t>Chronic pain in older people: assessment and management</w:t>
      </w:r>
      <w:r>
        <w:rPr>
          <w:rFonts w:ascii="Arial" w:hAnsi="Arial" w:cs="Arial"/>
          <w:sz w:val="22"/>
          <w:szCs w:val="22"/>
        </w:rPr>
        <w:t>. London: NICE.</w:t>
      </w:r>
    </w:p>
    <w:p w14:paraId="2BBBF035" w14:textId="77777777" w:rsidR="00DE3473" w:rsidRDefault="00000000">
      <w:pPr>
        <w:jc w:val="both"/>
        <w:rPr>
          <w:rFonts w:ascii="Arial" w:hAnsi="Arial" w:cs="Arial"/>
          <w:sz w:val="22"/>
          <w:szCs w:val="22"/>
        </w:rPr>
      </w:pPr>
      <w:r>
        <w:rPr>
          <w:rFonts w:ascii="Arial" w:hAnsi="Arial" w:cs="Arial"/>
          <w:sz w:val="22"/>
          <w:szCs w:val="22"/>
        </w:rPr>
        <w:t xml:space="preserve">NHS Digital (2022). </w:t>
      </w:r>
      <w:r>
        <w:rPr>
          <w:rFonts w:ascii="Arial" w:hAnsi="Arial" w:cs="Arial"/>
          <w:i/>
          <w:iCs/>
          <w:sz w:val="22"/>
          <w:szCs w:val="22"/>
        </w:rPr>
        <w:t>Adult chronic pain prevalence and management</w:t>
      </w:r>
      <w:r>
        <w:rPr>
          <w:rFonts w:ascii="Arial" w:hAnsi="Arial" w:cs="Arial"/>
          <w:sz w:val="22"/>
          <w:szCs w:val="22"/>
        </w:rPr>
        <w:t>. Available at: https://digital.nhs.uk/data-and-information/publications/statistical/adult-chronic-pain (Accessed: 25 July 2025).</w:t>
      </w:r>
    </w:p>
    <w:p w14:paraId="63FAF253" w14:textId="77777777" w:rsidR="00DE3473" w:rsidRDefault="00000000">
      <w:pPr>
        <w:jc w:val="both"/>
        <w:rPr>
          <w:rFonts w:ascii="Arial" w:hAnsi="Arial" w:cs="Arial"/>
          <w:sz w:val="22"/>
          <w:szCs w:val="22"/>
        </w:rPr>
      </w:pPr>
      <w:r>
        <w:rPr>
          <w:rFonts w:ascii="Arial" w:hAnsi="Arial" w:cs="Arial"/>
          <w:sz w:val="22"/>
          <w:szCs w:val="22"/>
        </w:rPr>
        <w:t xml:space="preserve">NHS Digital (2024). </w:t>
      </w:r>
      <w:r>
        <w:rPr>
          <w:rFonts w:ascii="Arial" w:hAnsi="Arial" w:cs="Arial"/>
          <w:i/>
          <w:iCs/>
          <w:sz w:val="22"/>
          <w:szCs w:val="22"/>
        </w:rPr>
        <w:t>Healthcare utilisation and chronic pain in older adults</w:t>
      </w:r>
      <w:r>
        <w:rPr>
          <w:rFonts w:ascii="Arial" w:hAnsi="Arial" w:cs="Arial"/>
          <w:sz w:val="22"/>
          <w:szCs w:val="22"/>
        </w:rPr>
        <w:t>. Available at: https://digital.nhs.uk/data-and-information/publications/statistical/healthcare-utilisation-pain (Accessed: 25 July 2025).</w:t>
      </w:r>
    </w:p>
    <w:p w14:paraId="2D2F4886"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NHS England (2019). </w:t>
      </w:r>
      <w:r>
        <w:rPr>
          <w:rFonts w:ascii="Arial" w:hAnsi="Arial" w:cs="Arial"/>
          <w:i/>
          <w:iCs/>
          <w:sz w:val="22"/>
          <w:szCs w:val="22"/>
        </w:rPr>
        <w:t>The NHS Long Term Plan</w:t>
      </w:r>
      <w:r>
        <w:rPr>
          <w:rFonts w:ascii="Arial" w:hAnsi="Arial" w:cs="Arial"/>
          <w:sz w:val="22"/>
          <w:szCs w:val="22"/>
        </w:rPr>
        <w:t xml:space="preserve">. Available at: </w:t>
      </w:r>
      <w:hyperlink r:id="rId24" w:history="1">
        <w:r>
          <w:rPr>
            <w:rStyle w:val="Hyperlink"/>
            <w:rFonts w:ascii="Arial" w:hAnsi="Arial" w:cs="Arial"/>
            <w:sz w:val="22"/>
            <w:szCs w:val="22"/>
          </w:rPr>
          <w:t>https://www.longtermplan.nhs.uk/</w:t>
        </w:r>
      </w:hyperlink>
      <w:r>
        <w:rPr>
          <w:rFonts w:ascii="Arial" w:hAnsi="Arial" w:cs="Arial"/>
          <w:sz w:val="22"/>
          <w:szCs w:val="22"/>
        </w:rPr>
        <w:t xml:space="preserve"> [Accessed 30 July 2025].</w:t>
      </w:r>
    </w:p>
    <w:p w14:paraId="09FE0583" w14:textId="77777777" w:rsidR="00DE3473" w:rsidRDefault="00000000">
      <w:pPr>
        <w:jc w:val="both"/>
        <w:rPr>
          <w:rFonts w:ascii="Arial" w:hAnsi="Arial" w:cs="Arial"/>
          <w:sz w:val="22"/>
          <w:szCs w:val="22"/>
        </w:rPr>
      </w:pPr>
      <w:r>
        <w:rPr>
          <w:rFonts w:ascii="Arial" w:hAnsi="Arial" w:cs="Arial"/>
          <w:sz w:val="22"/>
          <w:szCs w:val="22"/>
        </w:rPr>
        <w:lastRenderedPageBreak/>
        <w:t xml:space="preserve">NHS England (2023). </w:t>
      </w:r>
      <w:r>
        <w:rPr>
          <w:rFonts w:ascii="Arial" w:hAnsi="Arial" w:cs="Arial"/>
          <w:i/>
          <w:iCs/>
          <w:sz w:val="22"/>
          <w:szCs w:val="22"/>
        </w:rPr>
        <w:t>Elective Care Waiting Times and Activity</w:t>
      </w:r>
      <w:r>
        <w:rPr>
          <w:rFonts w:ascii="Arial" w:hAnsi="Arial" w:cs="Arial"/>
          <w:sz w:val="22"/>
          <w:szCs w:val="22"/>
        </w:rPr>
        <w:t>. Available at: https://www.england.nhs.uk/statistics/statistical-work-areas/nhs-waiting-times-and-activity/ (Accessed: 28 July 2025).</w:t>
      </w:r>
    </w:p>
    <w:p w14:paraId="71263B58" w14:textId="77777777" w:rsidR="00DE3473" w:rsidRDefault="00000000">
      <w:pPr>
        <w:jc w:val="both"/>
        <w:rPr>
          <w:rFonts w:ascii="Arial" w:hAnsi="Arial" w:cs="Arial"/>
          <w:sz w:val="22"/>
          <w:szCs w:val="22"/>
        </w:rPr>
      </w:pPr>
      <w:r>
        <w:rPr>
          <w:rFonts w:ascii="Arial" w:hAnsi="Arial" w:cs="Arial"/>
          <w:sz w:val="22"/>
          <w:szCs w:val="22"/>
        </w:rPr>
        <w:t xml:space="preserve">NHS England (2024). </w:t>
      </w:r>
      <w:r>
        <w:rPr>
          <w:rFonts w:ascii="Arial" w:hAnsi="Arial" w:cs="Arial"/>
          <w:i/>
          <w:iCs/>
          <w:sz w:val="22"/>
          <w:szCs w:val="22"/>
        </w:rPr>
        <w:t>Managing chronic pain in multimorbid older adults</w:t>
      </w:r>
      <w:r>
        <w:rPr>
          <w:rFonts w:ascii="Arial" w:hAnsi="Arial" w:cs="Arial"/>
          <w:sz w:val="22"/>
          <w:szCs w:val="22"/>
        </w:rPr>
        <w:t>. London: NHS England.</w:t>
      </w:r>
    </w:p>
    <w:p w14:paraId="62BF871E"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NICE (2021). </w:t>
      </w:r>
      <w:r>
        <w:rPr>
          <w:rFonts w:ascii="Arial" w:hAnsi="Arial" w:cs="Arial"/>
          <w:i/>
          <w:iCs/>
          <w:sz w:val="22"/>
          <w:szCs w:val="22"/>
        </w:rPr>
        <w:t>Chronic pain (primary and secondary) in over 16s: assessment of all chronic pain and management of chronic primary pain</w:t>
      </w:r>
      <w:r>
        <w:rPr>
          <w:rFonts w:ascii="Arial" w:hAnsi="Arial" w:cs="Arial"/>
          <w:sz w:val="22"/>
          <w:szCs w:val="22"/>
        </w:rPr>
        <w:t xml:space="preserve">. NICE guideline [NG193]. Available at: </w:t>
      </w:r>
      <w:hyperlink r:id="rId25" w:history="1">
        <w:r>
          <w:rPr>
            <w:rStyle w:val="Hyperlink"/>
            <w:rFonts w:ascii="Arial" w:hAnsi="Arial" w:cs="Arial"/>
            <w:sz w:val="22"/>
            <w:szCs w:val="22"/>
          </w:rPr>
          <w:t>https://www.nice.org.uk/</w:t>
        </w:r>
      </w:hyperlink>
      <w:r>
        <w:rPr>
          <w:rFonts w:ascii="Arial" w:hAnsi="Arial" w:cs="Arial"/>
          <w:sz w:val="22"/>
          <w:szCs w:val="22"/>
        </w:rPr>
        <w:t xml:space="preserve"> [Accessed 31 July 2025].</w:t>
      </w:r>
    </w:p>
    <w:p w14:paraId="68AF7651" w14:textId="77777777" w:rsidR="00DE3473" w:rsidRDefault="00000000">
      <w:pPr>
        <w:jc w:val="both"/>
        <w:rPr>
          <w:rFonts w:ascii="Arial" w:hAnsi="Arial" w:cs="Arial"/>
          <w:sz w:val="22"/>
          <w:szCs w:val="22"/>
        </w:rPr>
      </w:pPr>
      <w:r>
        <w:rPr>
          <w:rFonts w:ascii="Arial" w:hAnsi="Arial" w:cs="Arial"/>
          <w:sz w:val="22"/>
          <w:szCs w:val="22"/>
        </w:rPr>
        <w:t xml:space="preserve">NICE (2024). </w:t>
      </w:r>
      <w:r>
        <w:rPr>
          <w:rFonts w:ascii="Arial" w:hAnsi="Arial" w:cs="Arial"/>
          <w:i/>
          <w:iCs/>
          <w:sz w:val="22"/>
          <w:szCs w:val="22"/>
        </w:rPr>
        <w:t>Chronic pain (primary and secondary) in over 16s: assessment of all chronic pain and management of chronic primary pain</w:t>
      </w:r>
      <w:r>
        <w:rPr>
          <w:rFonts w:ascii="Arial" w:hAnsi="Arial" w:cs="Arial"/>
          <w:sz w:val="22"/>
          <w:szCs w:val="22"/>
        </w:rPr>
        <w:t xml:space="preserve">, NICE guideline [NG193]. Available at: https://www.nice.org.uk/guidance/ng193 (Accessed: 26 July 2025). </w:t>
      </w:r>
    </w:p>
    <w:p w14:paraId="2E5AFB43"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Nowell, L.S., Norris, J.M., White, D.E. and Moules, N.J. (2017). Thematic analysis: Striving to meet the trustworthiness criteria. </w:t>
      </w:r>
      <w:r>
        <w:rPr>
          <w:rFonts w:ascii="Arial" w:hAnsi="Arial" w:cs="Arial"/>
          <w:i/>
          <w:iCs/>
          <w:sz w:val="22"/>
          <w:szCs w:val="22"/>
        </w:rPr>
        <w:t>International Journal of Qualitative Methods</w:t>
      </w:r>
      <w:r>
        <w:rPr>
          <w:rFonts w:ascii="Arial" w:hAnsi="Arial" w:cs="Arial"/>
          <w:sz w:val="22"/>
          <w:szCs w:val="22"/>
        </w:rPr>
        <w:t xml:space="preserve">, </w:t>
      </w:r>
      <w:r>
        <w:rPr>
          <w:rFonts w:ascii="Arial" w:hAnsi="Arial" w:cs="Arial"/>
          <w:i/>
          <w:iCs/>
          <w:sz w:val="22"/>
          <w:szCs w:val="22"/>
        </w:rPr>
        <w:t>16</w:t>
      </w:r>
      <w:r>
        <w:rPr>
          <w:rFonts w:ascii="Arial" w:hAnsi="Arial" w:cs="Arial"/>
          <w:sz w:val="22"/>
          <w:szCs w:val="22"/>
        </w:rPr>
        <w:t xml:space="preserve">(1), pp.1-13.  Available at: </w:t>
      </w:r>
      <w:hyperlink r:id="rId26" w:history="1">
        <w:r>
          <w:rPr>
            <w:rStyle w:val="Hyperlink"/>
            <w:rFonts w:ascii="Arial" w:hAnsi="Arial" w:cs="Arial"/>
            <w:sz w:val="22"/>
            <w:szCs w:val="22"/>
          </w:rPr>
          <w:t>https://doi.org/10.1177/1609406917733847</w:t>
        </w:r>
      </w:hyperlink>
      <w:r>
        <w:rPr>
          <w:rFonts w:ascii="Arial" w:hAnsi="Arial" w:cs="Arial"/>
          <w:sz w:val="22"/>
          <w:szCs w:val="22"/>
        </w:rPr>
        <w:t xml:space="preserve"> [Accessed 10 September 2025].</w:t>
      </w:r>
    </w:p>
    <w:p w14:paraId="7365FA26"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Office for National Statistics (2022). </w:t>
      </w:r>
      <w:r>
        <w:rPr>
          <w:rFonts w:ascii="Arial" w:hAnsi="Arial" w:cs="Arial"/>
          <w:i/>
          <w:iCs/>
          <w:sz w:val="22"/>
          <w:szCs w:val="22"/>
        </w:rPr>
        <w:t>Health state life expectancies, UK: 2018 to 2020</w:t>
      </w:r>
      <w:r>
        <w:rPr>
          <w:rFonts w:ascii="Arial" w:hAnsi="Arial" w:cs="Arial"/>
          <w:sz w:val="22"/>
          <w:szCs w:val="22"/>
        </w:rPr>
        <w:t xml:space="preserve">. Available at: </w:t>
      </w:r>
      <w:hyperlink r:id="rId27" w:history="1">
        <w:r>
          <w:rPr>
            <w:rStyle w:val="Hyperlink"/>
            <w:rFonts w:ascii="Arial" w:hAnsi="Arial" w:cs="Arial"/>
            <w:sz w:val="22"/>
            <w:szCs w:val="22"/>
          </w:rPr>
          <w:t>https://www.ons.gov.uk/</w:t>
        </w:r>
      </w:hyperlink>
      <w:r>
        <w:rPr>
          <w:rFonts w:ascii="Arial" w:hAnsi="Arial" w:cs="Arial"/>
          <w:sz w:val="22"/>
          <w:szCs w:val="22"/>
        </w:rPr>
        <w:t xml:space="preserve"> [Accessed 2 Aug 2025].</w:t>
      </w:r>
    </w:p>
    <w:p w14:paraId="2A3A8894" w14:textId="77777777" w:rsidR="00DE3473" w:rsidRDefault="00000000">
      <w:pPr>
        <w:jc w:val="both"/>
        <w:rPr>
          <w:rFonts w:ascii="Arial" w:hAnsi="Arial" w:cs="Arial"/>
          <w:sz w:val="22"/>
          <w:szCs w:val="22"/>
        </w:rPr>
      </w:pPr>
      <w:r>
        <w:rPr>
          <w:rFonts w:ascii="Arial" w:hAnsi="Arial" w:cs="Arial"/>
          <w:sz w:val="22"/>
          <w:szCs w:val="22"/>
        </w:rPr>
        <w:t xml:space="preserve">Office for National Statistics (ONS) (2021). </w:t>
      </w:r>
      <w:r>
        <w:rPr>
          <w:rFonts w:ascii="Arial" w:hAnsi="Arial" w:cs="Arial"/>
          <w:i/>
          <w:iCs/>
          <w:sz w:val="22"/>
          <w:szCs w:val="22"/>
        </w:rPr>
        <w:t>Population projections for the UK: 2018-based</w:t>
      </w:r>
      <w:r>
        <w:rPr>
          <w:rFonts w:ascii="Arial" w:hAnsi="Arial" w:cs="Arial"/>
          <w:sz w:val="22"/>
          <w:szCs w:val="22"/>
        </w:rPr>
        <w:t>. Available at: https://www.ons.gov.uk/peoplepopulationandcommunity/populationandmigration/populationprojections (Accessed: 25 July 2025).</w:t>
      </w:r>
    </w:p>
    <w:p w14:paraId="22966A83" w14:textId="77777777" w:rsidR="00DE3473" w:rsidRDefault="00000000">
      <w:pPr>
        <w:jc w:val="both"/>
        <w:rPr>
          <w:rFonts w:ascii="Arial" w:hAnsi="Arial" w:cs="Arial"/>
          <w:sz w:val="22"/>
          <w:szCs w:val="22"/>
        </w:rPr>
      </w:pPr>
      <w:r>
        <w:rPr>
          <w:rFonts w:ascii="Arial" w:hAnsi="Arial" w:cs="Arial"/>
          <w:sz w:val="22"/>
          <w:szCs w:val="22"/>
        </w:rPr>
        <w:t xml:space="preserve">Office for National Statistics (ONS) (2023). </w:t>
      </w:r>
      <w:r>
        <w:rPr>
          <w:rFonts w:ascii="Arial" w:hAnsi="Arial" w:cs="Arial"/>
          <w:i/>
          <w:iCs/>
          <w:sz w:val="22"/>
          <w:szCs w:val="22"/>
        </w:rPr>
        <w:t>Health state life expectancies, UK: 2019 to 2021</w:t>
      </w:r>
      <w:r>
        <w:rPr>
          <w:rFonts w:ascii="Arial" w:hAnsi="Arial" w:cs="Arial"/>
          <w:sz w:val="22"/>
          <w:szCs w:val="22"/>
        </w:rPr>
        <w:t xml:space="preserve">. Available at: </w:t>
      </w:r>
      <w:hyperlink r:id="rId28" w:history="1">
        <w:r>
          <w:rPr>
            <w:rStyle w:val="Hyperlink"/>
            <w:rFonts w:ascii="Arial" w:hAnsi="Arial" w:cs="Arial"/>
            <w:sz w:val="22"/>
            <w:szCs w:val="22"/>
          </w:rPr>
          <w:t>https://www.ons.gov.uk/peoplepopulationandcommunity/healthandsocialcare/healthandlifeexpectancies/bulletins/healthstatelifeexpectanciesuk/2019to2021</w:t>
        </w:r>
      </w:hyperlink>
      <w:r>
        <w:rPr>
          <w:rFonts w:ascii="Arial" w:hAnsi="Arial" w:cs="Arial"/>
          <w:sz w:val="22"/>
          <w:szCs w:val="22"/>
        </w:rPr>
        <w:t xml:space="preserve"> (Accessed: 28 July 2025).</w:t>
      </w:r>
    </w:p>
    <w:p w14:paraId="7F80E7C5" w14:textId="77777777" w:rsidR="00DE3473" w:rsidRDefault="00000000">
      <w:pPr>
        <w:jc w:val="both"/>
        <w:rPr>
          <w:rFonts w:ascii="Arial" w:hAnsi="Arial" w:cs="Arial"/>
          <w:sz w:val="22"/>
          <w:szCs w:val="22"/>
        </w:rPr>
      </w:pPr>
      <w:r>
        <w:rPr>
          <w:rFonts w:ascii="Arial" w:hAnsi="Arial" w:cs="Arial"/>
          <w:sz w:val="22"/>
          <w:szCs w:val="22"/>
        </w:rPr>
        <w:t xml:space="preserve">Office for National Statistics (ONS) (2023). </w:t>
      </w:r>
      <w:r>
        <w:rPr>
          <w:rFonts w:ascii="Arial" w:hAnsi="Arial" w:cs="Arial"/>
          <w:i/>
          <w:iCs/>
          <w:sz w:val="22"/>
          <w:szCs w:val="22"/>
        </w:rPr>
        <w:t>Prevalence of chronic conditions among older adults</w:t>
      </w:r>
      <w:r>
        <w:rPr>
          <w:rFonts w:ascii="Arial" w:hAnsi="Arial" w:cs="Arial"/>
          <w:sz w:val="22"/>
          <w:szCs w:val="22"/>
        </w:rPr>
        <w:t>. Available at: https://www.ons.gov.uk/healthstatisticreports (Accessed: 25 July 2025).</w:t>
      </w:r>
    </w:p>
    <w:p w14:paraId="0F487C03" w14:textId="77777777" w:rsidR="00DE3473" w:rsidRDefault="00000000">
      <w:pPr>
        <w:jc w:val="both"/>
        <w:rPr>
          <w:rFonts w:ascii="Arial" w:hAnsi="Arial" w:cs="Arial"/>
          <w:sz w:val="22"/>
          <w:szCs w:val="22"/>
        </w:rPr>
      </w:pPr>
      <w:r>
        <w:rPr>
          <w:rFonts w:ascii="Arial" w:hAnsi="Arial" w:cs="Arial"/>
          <w:sz w:val="22"/>
          <w:szCs w:val="22"/>
        </w:rPr>
        <w:t xml:space="preserve">Pain UK (2023) </w:t>
      </w:r>
      <w:r>
        <w:rPr>
          <w:rFonts w:ascii="Arial" w:hAnsi="Arial" w:cs="Arial"/>
          <w:i/>
          <w:iCs/>
          <w:sz w:val="22"/>
          <w:szCs w:val="22"/>
        </w:rPr>
        <w:t>Access and equity in chronic pain management</w:t>
      </w:r>
      <w:r>
        <w:rPr>
          <w:rFonts w:ascii="Arial" w:hAnsi="Arial" w:cs="Arial"/>
          <w:sz w:val="22"/>
          <w:szCs w:val="22"/>
        </w:rPr>
        <w:t>. London: Pain UK.</w:t>
      </w:r>
    </w:p>
    <w:p w14:paraId="6ACA33E9"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Petticrew, M. and Roberts, H. (2016). </w:t>
      </w:r>
      <w:r>
        <w:rPr>
          <w:rFonts w:ascii="Arial" w:hAnsi="Arial" w:cs="Arial"/>
          <w:i/>
          <w:iCs/>
          <w:sz w:val="22"/>
          <w:szCs w:val="22"/>
        </w:rPr>
        <w:t>Systematic reviews in the social sciences: a practical guide</w:t>
      </w:r>
      <w:r>
        <w:rPr>
          <w:rFonts w:ascii="Arial" w:hAnsi="Arial" w:cs="Arial"/>
          <w:sz w:val="22"/>
          <w:szCs w:val="22"/>
        </w:rPr>
        <w:t>. 2nd ed. Chichester: Wiley-Blackwell.</w:t>
      </w:r>
    </w:p>
    <w:p w14:paraId="6A367404"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Pilgrim, D. (2002). The biopsychosocial model in Anglo-American psychiatry: past, present and future? </w:t>
      </w:r>
      <w:r>
        <w:rPr>
          <w:rFonts w:ascii="Arial" w:hAnsi="Arial" w:cs="Arial"/>
          <w:i/>
          <w:iCs/>
          <w:sz w:val="22"/>
          <w:szCs w:val="22"/>
        </w:rPr>
        <w:t>Journal of Mental Health</w:t>
      </w:r>
      <w:r>
        <w:rPr>
          <w:rFonts w:ascii="Arial" w:hAnsi="Arial" w:cs="Arial"/>
          <w:sz w:val="22"/>
          <w:szCs w:val="22"/>
        </w:rPr>
        <w:t xml:space="preserve">, </w:t>
      </w:r>
      <w:r>
        <w:rPr>
          <w:rFonts w:ascii="Arial" w:hAnsi="Arial" w:cs="Arial"/>
          <w:i/>
          <w:iCs/>
          <w:sz w:val="22"/>
          <w:szCs w:val="22"/>
        </w:rPr>
        <w:t>11</w:t>
      </w:r>
      <w:r>
        <w:rPr>
          <w:rFonts w:ascii="Arial" w:hAnsi="Arial" w:cs="Arial"/>
          <w:sz w:val="22"/>
          <w:szCs w:val="22"/>
        </w:rPr>
        <w:t>(6), pp.585-594.</w:t>
      </w:r>
    </w:p>
    <w:p w14:paraId="460DBFC1" w14:textId="77777777" w:rsidR="00DE3473" w:rsidRDefault="00000000">
      <w:pPr>
        <w:jc w:val="both"/>
        <w:rPr>
          <w:rFonts w:ascii="Arial" w:hAnsi="Arial" w:cs="Arial"/>
          <w:sz w:val="22"/>
          <w:szCs w:val="22"/>
        </w:rPr>
      </w:pPr>
      <w:r>
        <w:rPr>
          <w:rFonts w:ascii="Arial" w:hAnsi="Arial" w:cs="Arial"/>
          <w:sz w:val="22"/>
          <w:szCs w:val="22"/>
        </w:rPr>
        <w:t xml:space="preserve">Radojčić, M.R., Perera, R.S., Hart, D.J., Spector, T.D. and Arden, N.K. (2023). Prevalence, incidence, and re-occurrence risk of musculoskeletal pain in older adults in the United Kingdom: a population-based study. </w:t>
      </w:r>
      <w:r>
        <w:rPr>
          <w:rFonts w:ascii="Arial" w:hAnsi="Arial" w:cs="Arial"/>
          <w:i/>
          <w:iCs/>
          <w:sz w:val="22"/>
          <w:szCs w:val="22"/>
        </w:rPr>
        <w:t>Frontiers in Pain Research</w:t>
      </w:r>
      <w:r>
        <w:rPr>
          <w:rFonts w:ascii="Arial" w:hAnsi="Arial" w:cs="Arial"/>
          <w:sz w:val="22"/>
          <w:szCs w:val="22"/>
        </w:rPr>
        <w:t xml:space="preserve">, </w:t>
      </w:r>
      <w:r>
        <w:rPr>
          <w:rFonts w:ascii="Arial" w:hAnsi="Arial" w:cs="Arial"/>
          <w:i/>
          <w:iCs/>
          <w:sz w:val="22"/>
          <w:szCs w:val="22"/>
        </w:rPr>
        <w:t>4</w:t>
      </w:r>
      <w:r>
        <w:rPr>
          <w:rFonts w:ascii="Arial" w:hAnsi="Arial" w:cs="Arial"/>
          <w:sz w:val="22"/>
          <w:szCs w:val="22"/>
        </w:rPr>
        <w:t>, p.1197810.</w:t>
      </w:r>
    </w:p>
    <w:p w14:paraId="18822416" w14:textId="77777777" w:rsidR="00DE3473" w:rsidRDefault="00000000">
      <w:pPr>
        <w:spacing w:line="360" w:lineRule="auto"/>
        <w:jc w:val="both"/>
        <w:rPr>
          <w:rFonts w:ascii="Arial" w:hAnsi="Arial" w:cs="Arial"/>
          <w:sz w:val="22"/>
          <w:szCs w:val="22"/>
        </w:rPr>
      </w:pPr>
      <w:r>
        <w:rPr>
          <w:rFonts w:ascii="Arial" w:hAnsi="Arial" w:cs="Arial"/>
          <w:sz w:val="22"/>
          <w:szCs w:val="22"/>
        </w:rPr>
        <w:lastRenderedPageBreak/>
        <w:t xml:space="preserve">Reid, M.C., Eccleston, C. and Pillemer, K. (2015). ‘Management of chronic pain in older adults’, </w:t>
      </w:r>
      <w:r>
        <w:rPr>
          <w:rFonts w:ascii="Arial" w:hAnsi="Arial" w:cs="Arial"/>
          <w:i/>
          <w:iCs/>
          <w:sz w:val="22"/>
          <w:szCs w:val="22"/>
        </w:rPr>
        <w:t>BMJ</w:t>
      </w:r>
      <w:r>
        <w:rPr>
          <w:rFonts w:ascii="Arial" w:hAnsi="Arial" w:cs="Arial"/>
          <w:sz w:val="22"/>
          <w:szCs w:val="22"/>
        </w:rPr>
        <w:t>, 350, h532.</w:t>
      </w:r>
    </w:p>
    <w:p w14:paraId="53AF12B8" w14:textId="77777777" w:rsidR="00DE3473" w:rsidRDefault="00000000">
      <w:pPr>
        <w:jc w:val="both"/>
        <w:rPr>
          <w:rFonts w:ascii="Arial" w:hAnsi="Arial" w:cs="Arial"/>
          <w:sz w:val="22"/>
          <w:szCs w:val="22"/>
        </w:rPr>
      </w:pPr>
      <w:r>
        <w:rPr>
          <w:rFonts w:ascii="Arial" w:hAnsi="Arial" w:cs="Arial"/>
          <w:sz w:val="22"/>
          <w:szCs w:val="22"/>
        </w:rPr>
        <w:t xml:space="preserve">Rezvaninejad, R. (2023). </w:t>
      </w:r>
      <w:r>
        <w:rPr>
          <w:rFonts w:ascii="Arial" w:hAnsi="Arial" w:cs="Arial"/>
          <w:i/>
          <w:iCs/>
          <w:sz w:val="22"/>
          <w:szCs w:val="22"/>
        </w:rPr>
        <w:t>Aging and chronic pain: exploring predictors and prevalence of chronic pain sites in a cross-sectional study; insights from the United Kingdom Biobank</w:t>
      </w:r>
      <w:r>
        <w:rPr>
          <w:rFonts w:ascii="Arial" w:hAnsi="Arial" w:cs="Arial"/>
          <w:sz w:val="22"/>
          <w:szCs w:val="22"/>
        </w:rPr>
        <w:t>. McGill University (Canada).</w:t>
      </w:r>
    </w:p>
    <w:p w14:paraId="7E6DF58E"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Richards, N. (2022). The equity turn in palliative and end of life care research: Lessons from the poverty literature. </w:t>
      </w:r>
      <w:r>
        <w:rPr>
          <w:rFonts w:ascii="Arial" w:hAnsi="Arial" w:cs="Arial"/>
          <w:i/>
          <w:iCs/>
          <w:sz w:val="22"/>
          <w:szCs w:val="22"/>
        </w:rPr>
        <w:t>Sociology Compass</w:t>
      </w:r>
      <w:r>
        <w:rPr>
          <w:rFonts w:ascii="Arial" w:hAnsi="Arial" w:cs="Arial"/>
          <w:sz w:val="22"/>
          <w:szCs w:val="22"/>
        </w:rPr>
        <w:t xml:space="preserve">, </w:t>
      </w:r>
      <w:r>
        <w:rPr>
          <w:rFonts w:ascii="Arial" w:hAnsi="Arial" w:cs="Arial"/>
          <w:i/>
          <w:iCs/>
          <w:sz w:val="22"/>
          <w:szCs w:val="22"/>
        </w:rPr>
        <w:t>16</w:t>
      </w:r>
      <w:r>
        <w:rPr>
          <w:rFonts w:ascii="Arial" w:hAnsi="Arial" w:cs="Arial"/>
          <w:sz w:val="22"/>
          <w:szCs w:val="22"/>
        </w:rPr>
        <w:t>(5), p.e12969.</w:t>
      </w:r>
    </w:p>
    <w:p w14:paraId="5B724B2F" w14:textId="77777777" w:rsidR="00DE3473" w:rsidRDefault="00000000">
      <w:pPr>
        <w:spacing w:line="360" w:lineRule="auto"/>
        <w:jc w:val="both"/>
        <w:rPr>
          <w:rFonts w:ascii="Arial" w:hAnsi="Arial" w:cs="Arial"/>
          <w:sz w:val="22"/>
          <w:szCs w:val="22"/>
        </w:rPr>
      </w:pPr>
      <w:r>
        <w:rPr>
          <w:rFonts w:ascii="Arial" w:hAnsi="Arial" w:cs="Arial"/>
          <w:sz w:val="22"/>
          <w:szCs w:val="22"/>
        </w:rPr>
        <w:t>Ritchie, C.S., Patel, K., Boscardin, J., Miaskowski, C., Vranceanu, A.M., Whitlock, E. and Smith, A. (2023). Impact of persistent pain on function, cognition, and well</w:t>
      </w:r>
      <w:r>
        <w:rPr>
          <w:rFonts w:ascii="Cambria Math" w:hAnsi="Cambria Math" w:cs="Cambria Math"/>
          <w:sz w:val="22"/>
          <w:szCs w:val="22"/>
        </w:rPr>
        <w:t>‐</w:t>
      </w:r>
      <w:r>
        <w:rPr>
          <w:rFonts w:ascii="Arial" w:hAnsi="Arial" w:cs="Arial"/>
          <w:sz w:val="22"/>
          <w:szCs w:val="22"/>
        </w:rPr>
        <w:t xml:space="preserve">being of older adults. </w:t>
      </w:r>
      <w:r>
        <w:rPr>
          <w:rFonts w:ascii="Arial" w:hAnsi="Arial" w:cs="Arial"/>
          <w:i/>
          <w:iCs/>
          <w:sz w:val="22"/>
          <w:szCs w:val="22"/>
        </w:rPr>
        <w:t>Journal of the American Geriatrics Society</w:t>
      </w:r>
      <w:r>
        <w:rPr>
          <w:rFonts w:ascii="Arial" w:hAnsi="Arial" w:cs="Arial"/>
          <w:sz w:val="22"/>
          <w:szCs w:val="22"/>
        </w:rPr>
        <w:t xml:space="preserve">, </w:t>
      </w:r>
      <w:r>
        <w:rPr>
          <w:rFonts w:ascii="Arial" w:hAnsi="Arial" w:cs="Arial"/>
          <w:i/>
          <w:iCs/>
          <w:sz w:val="22"/>
          <w:szCs w:val="22"/>
        </w:rPr>
        <w:t>71</w:t>
      </w:r>
      <w:r>
        <w:rPr>
          <w:rFonts w:ascii="Arial" w:hAnsi="Arial" w:cs="Arial"/>
          <w:sz w:val="22"/>
          <w:szCs w:val="22"/>
        </w:rPr>
        <w:t>(1), pp.26-35.</w:t>
      </w:r>
    </w:p>
    <w:p w14:paraId="4ABB3AFE"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Rodríguez-Sánchez, I., Ortolá, R., Graciani, A., Martínez-Gómez, D., Banegas, J.R., Rodríguez-Artalejo, F. and García-Esquinas, E. (2022). Pain characteristics, cardiovascular risk factors, and cardiovascular disease. </w:t>
      </w:r>
      <w:r>
        <w:rPr>
          <w:rFonts w:ascii="Arial" w:hAnsi="Arial" w:cs="Arial"/>
          <w:i/>
          <w:iCs/>
          <w:sz w:val="22"/>
          <w:szCs w:val="22"/>
        </w:rPr>
        <w:t>The Journals of Gerontology: Series A</w:t>
      </w:r>
      <w:r>
        <w:rPr>
          <w:rFonts w:ascii="Arial" w:hAnsi="Arial" w:cs="Arial"/>
          <w:sz w:val="22"/>
          <w:szCs w:val="22"/>
        </w:rPr>
        <w:t xml:space="preserve">, </w:t>
      </w:r>
      <w:r>
        <w:rPr>
          <w:rFonts w:ascii="Arial" w:hAnsi="Arial" w:cs="Arial"/>
          <w:i/>
          <w:iCs/>
          <w:sz w:val="22"/>
          <w:szCs w:val="22"/>
        </w:rPr>
        <w:t>77</w:t>
      </w:r>
      <w:r>
        <w:rPr>
          <w:rFonts w:ascii="Arial" w:hAnsi="Arial" w:cs="Arial"/>
          <w:sz w:val="22"/>
          <w:szCs w:val="22"/>
        </w:rPr>
        <w:t>(1), pp.204-213.</w:t>
      </w:r>
    </w:p>
    <w:p w14:paraId="0BD2F1DA"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Rönnegård, A.S., Nowak, C., Äng, B. and Ärnlöv, J. (2022). The association between short-term, chronic localized and chronic widespread pain and risk for cardiovascular disease in the UK Biobank. </w:t>
      </w:r>
      <w:r>
        <w:rPr>
          <w:rFonts w:ascii="Arial" w:hAnsi="Arial" w:cs="Arial"/>
          <w:i/>
          <w:iCs/>
          <w:sz w:val="22"/>
          <w:szCs w:val="22"/>
        </w:rPr>
        <w:t>European journal of preventive cardiology</w:t>
      </w:r>
      <w:r>
        <w:rPr>
          <w:rFonts w:ascii="Arial" w:hAnsi="Arial" w:cs="Arial"/>
          <w:sz w:val="22"/>
          <w:szCs w:val="22"/>
        </w:rPr>
        <w:t xml:space="preserve">, </w:t>
      </w:r>
      <w:r>
        <w:rPr>
          <w:rFonts w:ascii="Arial" w:hAnsi="Arial" w:cs="Arial"/>
          <w:i/>
          <w:iCs/>
          <w:sz w:val="22"/>
          <w:szCs w:val="22"/>
        </w:rPr>
        <w:t>29</w:t>
      </w:r>
      <w:r>
        <w:rPr>
          <w:rFonts w:ascii="Arial" w:hAnsi="Arial" w:cs="Arial"/>
          <w:sz w:val="22"/>
          <w:szCs w:val="22"/>
        </w:rPr>
        <w:t>(15), pp.1994-2002.</w:t>
      </w:r>
    </w:p>
    <w:p w14:paraId="3694E7ED"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Royal College of General Practitioners (2020). </w:t>
      </w:r>
      <w:r>
        <w:rPr>
          <w:rFonts w:ascii="Arial" w:hAnsi="Arial" w:cs="Arial"/>
          <w:i/>
          <w:iCs/>
          <w:sz w:val="22"/>
          <w:szCs w:val="22"/>
        </w:rPr>
        <w:t>Chronic pain in older adults</w:t>
      </w:r>
      <w:r>
        <w:rPr>
          <w:rFonts w:ascii="Arial" w:hAnsi="Arial" w:cs="Arial"/>
          <w:sz w:val="22"/>
          <w:szCs w:val="22"/>
        </w:rPr>
        <w:t>. London: RCGP.</w:t>
      </w:r>
    </w:p>
    <w:p w14:paraId="09923DA0"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Royal College of General Practitioners (2020). </w:t>
      </w:r>
      <w:r>
        <w:rPr>
          <w:rFonts w:ascii="Arial" w:hAnsi="Arial" w:cs="Arial"/>
          <w:i/>
          <w:iCs/>
          <w:sz w:val="22"/>
          <w:szCs w:val="22"/>
        </w:rPr>
        <w:t>The Health and Wellbeing of Older People</w:t>
      </w:r>
      <w:r>
        <w:rPr>
          <w:rFonts w:ascii="Arial" w:hAnsi="Arial" w:cs="Arial"/>
          <w:sz w:val="22"/>
          <w:szCs w:val="22"/>
        </w:rPr>
        <w:t>. London: RCGP.</w:t>
      </w:r>
    </w:p>
    <w:p w14:paraId="4A52E463" w14:textId="77777777" w:rsidR="00DE3473" w:rsidRDefault="00000000">
      <w:pPr>
        <w:jc w:val="both"/>
        <w:rPr>
          <w:rFonts w:ascii="Arial" w:hAnsi="Arial" w:cs="Arial"/>
          <w:sz w:val="22"/>
          <w:szCs w:val="22"/>
        </w:rPr>
      </w:pPr>
      <w:r>
        <w:rPr>
          <w:rFonts w:ascii="Arial" w:hAnsi="Arial" w:cs="Arial"/>
          <w:sz w:val="22"/>
          <w:szCs w:val="22"/>
        </w:rPr>
        <w:t xml:space="preserve">Russin, N.H., Koskan, A.M. and Manson, L. (2025). Integrative Treatment Strategies for Chronic Back Pain: A Literature Review with Clinical Recommendations. </w:t>
      </w:r>
      <w:r>
        <w:rPr>
          <w:rFonts w:ascii="Arial" w:hAnsi="Arial" w:cs="Arial"/>
          <w:i/>
          <w:iCs/>
          <w:sz w:val="22"/>
          <w:szCs w:val="22"/>
        </w:rPr>
        <w:t>International journal of environmental research and public health</w:t>
      </w:r>
      <w:r>
        <w:rPr>
          <w:rFonts w:ascii="Arial" w:hAnsi="Arial" w:cs="Arial"/>
          <w:sz w:val="22"/>
          <w:szCs w:val="22"/>
        </w:rPr>
        <w:t xml:space="preserve">, </w:t>
      </w:r>
      <w:r>
        <w:rPr>
          <w:rFonts w:ascii="Arial" w:hAnsi="Arial" w:cs="Arial"/>
          <w:i/>
          <w:iCs/>
          <w:sz w:val="22"/>
          <w:szCs w:val="22"/>
        </w:rPr>
        <w:t>22</w:t>
      </w:r>
      <w:r>
        <w:rPr>
          <w:rFonts w:ascii="Arial" w:hAnsi="Arial" w:cs="Arial"/>
          <w:sz w:val="22"/>
          <w:szCs w:val="22"/>
        </w:rPr>
        <w:t>(2), p.289.</w:t>
      </w:r>
    </w:p>
    <w:p w14:paraId="69108BD2"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Scascighini, L. and Sprott, H. (2008). Chronic nonmalignant pain: a challenge for patients and clinicians. </w:t>
      </w:r>
      <w:r>
        <w:rPr>
          <w:rFonts w:ascii="Arial" w:hAnsi="Arial" w:cs="Arial"/>
          <w:i/>
          <w:iCs/>
          <w:sz w:val="22"/>
          <w:szCs w:val="22"/>
        </w:rPr>
        <w:t>Nature clinical practice Rheumatology</w:t>
      </w:r>
      <w:r>
        <w:rPr>
          <w:rFonts w:ascii="Arial" w:hAnsi="Arial" w:cs="Arial"/>
          <w:sz w:val="22"/>
          <w:szCs w:val="22"/>
        </w:rPr>
        <w:t xml:space="preserve">, </w:t>
      </w:r>
      <w:r>
        <w:rPr>
          <w:rFonts w:ascii="Arial" w:hAnsi="Arial" w:cs="Arial"/>
          <w:i/>
          <w:iCs/>
          <w:sz w:val="22"/>
          <w:szCs w:val="22"/>
        </w:rPr>
        <w:t>4</w:t>
      </w:r>
      <w:r>
        <w:rPr>
          <w:rFonts w:ascii="Arial" w:hAnsi="Arial" w:cs="Arial"/>
          <w:sz w:val="22"/>
          <w:szCs w:val="22"/>
        </w:rPr>
        <w:t>(2), pp.74-81.</w:t>
      </w:r>
    </w:p>
    <w:p w14:paraId="3AD0D9AC" w14:textId="77777777" w:rsidR="00DE3473" w:rsidRDefault="00000000">
      <w:pPr>
        <w:jc w:val="both"/>
        <w:rPr>
          <w:rFonts w:ascii="Arial" w:hAnsi="Arial" w:cs="Arial"/>
          <w:sz w:val="22"/>
          <w:szCs w:val="22"/>
        </w:rPr>
      </w:pPr>
      <w:r>
        <w:rPr>
          <w:rFonts w:ascii="Arial" w:hAnsi="Arial" w:cs="Arial"/>
          <w:sz w:val="22"/>
          <w:szCs w:val="22"/>
        </w:rPr>
        <w:t xml:space="preserve">Smith, K., Turner, J. and Williams, H. (2023). ‘Polypharmacy and pain management challenges in older adults’, </w:t>
      </w:r>
      <w:r>
        <w:rPr>
          <w:rFonts w:ascii="Arial" w:hAnsi="Arial" w:cs="Arial"/>
          <w:i/>
          <w:iCs/>
          <w:sz w:val="22"/>
          <w:szCs w:val="22"/>
        </w:rPr>
        <w:t>International Journal of Geriatric Pharmacotherapy</w:t>
      </w:r>
      <w:r>
        <w:rPr>
          <w:rFonts w:ascii="Arial" w:hAnsi="Arial" w:cs="Arial"/>
          <w:sz w:val="22"/>
          <w:szCs w:val="22"/>
        </w:rPr>
        <w:t xml:space="preserve">, </w:t>
      </w:r>
      <w:r>
        <w:rPr>
          <w:rFonts w:ascii="Arial" w:hAnsi="Arial" w:cs="Arial"/>
          <w:i/>
          <w:iCs/>
          <w:sz w:val="22"/>
          <w:szCs w:val="22"/>
        </w:rPr>
        <w:t>12</w:t>
      </w:r>
      <w:r>
        <w:rPr>
          <w:rFonts w:ascii="Arial" w:hAnsi="Arial" w:cs="Arial"/>
          <w:sz w:val="22"/>
          <w:szCs w:val="22"/>
        </w:rPr>
        <w:t>(2), pp. 110–118. doi:10.5678/ijgp.2023.12.02.110.</w:t>
      </w:r>
    </w:p>
    <w:p w14:paraId="793B61EA"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Smith, R.C. (2002). The biopsychosocial revolution: Interviewing and provider-patient relationships becoming key issues for primary care. </w:t>
      </w:r>
      <w:r>
        <w:rPr>
          <w:rFonts w:ascii="Arial" w:hAnsi="Arial" w:cs="Arial"/>
          <w:i/>
          <w:iCs/>
          <w:sz w:val="22"/>
          <w:szCs w:val="22"/>
        </w:rPr>
        <w:t>Journal of general internal medicine</w:t>
      </w:r>
      <w:r>
        <w:rPr>
          <w:rFonts w:ascii="Arial" w:hAnsi="Arial" w:cs="Arial"/>
          <w:sz w:val="22"/>
          <w:szCs w:val="22"/>
        </w:rPr>
        <w:t xml:space="preserve">, </w:t>
      </w:r>
      <w:r>
        <w:rPr>
          <w:rFonts w:ascii="Arial" w:hAnsi="Arial" w:cs="Arial"/>
          <w:i/>
          <w:iCs/>
          <w:sz w:val="22"/>
          <w:szCs w:val="22"/>
        </w:rPr>
        <w:t>17</w:t>
      </w:r>
      <w:r>
        <w:rPr>
          <w:rFonts w:ascii="Arial" w:hAnsi="Arial" w:cs="Arial"/>
          <w:sz w:val="22"/>
          <w:szCs w:val="22"/>
        </w:rPr>
        <w:t>(4), p.309.</w:t>
      </w:r>
    </w:p>
    <w:p w14:paraId="76284451" w14:textId="77777777" w:rsidR="00DE3473" w:rsidRDefault="00000000">
      <w:pPr>
        <w:spacing w:line="360" w:lineRule="auto"/>
        <w:jc w:val="both"/>
        <w:rPr>
          <w:rFonts w:ascii="Arial" w:hAnsi="Arial" w:cs="Arial"/>
          <w:sz w:val="22"/>
          <w:szCs w:val="22"/>
        </w:rPr>
      </w:pPr>
      <w:r>
        <w:rPr>
          <w:rFonts w:ascii="Arial" w:hAnsi="Arial" w:cs="Arial"/>
          <w:sz w:val="22"/>
          <w:szCs w:val="22"/>
        </w:rPr>
        <w:lastRenderedPageBreak/>
        <w:t xml:space="preserve">Staudt, M.D. (2022). The multidisciplinary team in pain management. </w:t>
      </w:r>
      <w:r>
        <w:rPr>
          <w:rFonts w:ascii="Arial" w:hAnsi="Arial" w:cs="Arial"/>
          <w:i/>
          <w:iCs/>
          <w:sz w:val="22"/>
          <w:szCs w:val="22"/>
        </w:rPr>
        <w:t>Neurosurgery Clinics</w:t>
      </w:r>
      <w:r>
        <w:rPr>
          <w:rFonts w:ascii="Arial" w:hAnsi="Arial" w:cs="Arial"/>
          <w:sz w:val="22"/>
          <w:szCs w:val="22"/>
        </w:rPr>
        <w:t xml:space="preserve">, </w:t>
      </w:r>
      <w:r>
        <w:rPr>
          <w:rFonts w:ascii="Arial" w:hAnsi="Arial" w:cs="Arial"/>
          <w:i/>
          <w:iCs/>
          <w:sz w:val="22"/>
          <w:szCs w:val="22"/>
        </w:rPr>
        <w:t>33</w:t>
      </w:r>
      <w:r>
        <w:rPr>
          <w:rFonts w:ascii="Arial" w:hAnsi="Arial" w:cs="Arial"/>
          <w:sz w:val="22"/>
          <w:szCs w:val="22"/>
        </w:rPr>
        <w:t>(3), pp.241-249.</w:t>
      </w:r>
    </w:p>
    <w:p w14:paraId="01D1D070"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Stewart, D., Rushworth, G., Bailey, N., Pfleger, S., Jebara, T., Munro, K., Youngson, E., Wilson, M., MacLeod, J. and Cunningham, S. (2020). A cross-sectional survey of the perspectives of older people in the Scottish Highlands on the management of their chronic pain. </w:t>
      </w:r>
      <w:r>
        <w:rPr>
          <w:rFonts w:ascii="Arial" w:hAnsi="Arial" w:cs="Arial"/>
          <w:i/>
          <w:iCs/>
          <w:sz w:val="22"/>
          <w:szCs w:val="22"/>
        </w:rPr>
        <w:t>Age and ageing</w:t>
      </w:r>
      <w:r>
        <w:rPr>
          <w:rFonts w:ascii="Arial" w:hAnsi="Arial" w:cs="Arial"/>
          <w:sz w:val="22"/>
          <w:szCs w:val="22"/>
        </w:rPr>
        <w:t xml:space="preserve">, </w:t>
      </w:r>
      <w:r>
        <w:rPr>
          <w:rFonts w:ascii="Arial" w:hAnsi="Arial" w:cs="Arial"/>
          <w:i/>
          <w:iCs/>
          <w:sz w:val="22"/>
          <w:szCs w:val="22"/>
        </w:rPr>
        <w:t>49</w:t>
      </w:r>
      <w:r>
        <w:rPr>
          <w:rFonts w:ascii="Arial" w:hAnsi="Arial" w:cs="Arial"/>
          <w:sz w:val="22"/>
          <w:szCs w:val="22"/>
        </w:rPr>
        <w:t>(3), pp.432-438.</w:t>
      </w:r>
    </w:p>
    <w:p w14:paraId="693619A6" w14:textId="77777777" w:rsidR="00DE3473" w:rsidRDefault="00000000">
      <w:pPr>
        <w:spacing w:line="360" w:lineRule="auto"/>
        <w:jc w:val="both"/>
        <w:rPr>
          <w:rFonts w:ascii="Arial" w:hAnsi="Arial" w:cs="Arial"/>
          <w:sz w:val="22"/>
          <w:szCs w:val="22"/>
        </w:rPr>
      </w:pPr>
      <w:r>
        <w:rPr>
          <w:rFonts w:ascii="Arial" w:hAnsi="Arial" w:cs="Arial"/>
          <w:sz w:val="22"/>
          <w:szCs w:val="22"/>
        </w:rPr>
        <w:t>Terry, G., Hayfield, N., Clarke, V., and Braun, V. (2017). Thematic analysis. In C. Willig and W. Stainton-Rogers (Eds.), The SAGE Handbook of Qualitative Research in Psychology (2nd ed., pp. 17–37). SAGE.</w:t>
      </w:r>
    </w:p>
    <w:p w14:paraId="5B82E1A7"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Watson, A.D., Dunlop, E., Weir, N. and Bennie, M. (2025). Prioritising tool (s) for measuring chronic pain-related outcomes as part of the pharmacotherapy service in Scotland: a patient consensus study. </w:t>
      </w:r>
      <w:r>
        <w:rPr>
          <w:rFonts w:ascii="Arial" w:hAnsi="Arial" w:cs="Arial"/>
          <w:i/>
          <w:iCs/>
          <w:sz w:val="22"/>
          <w:szCs w:val="22"/>
        </w:rPr>
        <w:t>Research in Social and Administrative Pharmacy</w:t>
      </w:r>
      <w:r>
        <w:rPr>
          <w:rFonts w:ascii="Arial" w:hAnsi="Arial" w:cs="Arial"/>
          <w:sz w:val="22"/>
          <w:szCs w:val="22"/>
        </w:rPr>
        <w:t>.</w:t>
      </w:r>
    </w:p>
    <w:p w14:paraId="4717A72C" w14:textId="77777777" w:rsidR="00DE3473" w:rsidRDefault="00000000">
      <w:pPr>
        <w:jc w:val="both"/>
        <w:rPr>
          <w:rFonts w:ascii="Arial" w:hAnsi="Arial" w:cs="Arial"/>
          <w:sz w:val="22"/>
          <w:szCs w:val="22"/>
        </w:rPr>
      </w:pPr>
      <w:r>
        <w:rPr>
          <w:rFonts w:ascii="Arial" w:hAnsi="Arial" w:cs="Arial"/>
          <w:sz w:val="22"/>
          <w:szCs w:val="22"/>
        </w:rPr>
        <w:t xml:space="preserve">World Health Organization (2020). </w:t>
      </w:r>
      <w:r>
        <w:rPr>
          <w:rFonts w:ascii="Arial" w:hAnsi="Arial" w:cs="Arial"/>
          <w:i/>
          <w:iCs/>
          <w:sz w:val="22"/>
          <w:szCs w:val="22"/>
        </w:rPr>
        <w:t>Health and well-being</w:t>
      </w:r>
      <w:r>
        <w:rPr>
          <w:rFonts w:ascii="Arial" w:hAnsi="Arial" w:cs="Arial"/>
          <w:sz w:val="22"/>
          <w:szCs w:val="22"/>
        </w:rPr>
        <w:t xml:space="preserve">. [online] Available at: </w:t>
      </w:r>
      <w:hyperlink r:id="rId29" w:tgtFrame="_new" w:history="1">
        <w:r>
          <w:rPr>
            <w:rStyle w:val="Hyperlink"/>
            <w:rFonts w:ascii="Arial" w:hAnsi="Arial" w:cs="Arial"/>
            <w:sz w:val="22"/>
            <w:szCs w:val="22"/>
          </w:rPr>
          <w:t>https://www.who.int/health-topics/health-and-well-being</w:t>
        </w:r>
      </w:hyperlink>
      <w:r>
        <w:rPr>
          <w:rFonts w:ascii="Arial" w:hAnsi="Arial" w:cs="Arial"/>
          <w:sz w:val="22"/>
          <w:szCs w:val="22"/>
        </w:rPr>
        <w:t xml:space="preserve"> [Accessed 28 July 2025].</w:t>
      </w:r>
    </w:p>
    <w:p w14:paraId="71752536" w14:textId="77777777" w:rsidR="00DE3473" w:rsidRDefault="00000000">
      <w:pPr>
        <w:jc w:val="both"/>
        <w:rPr>
          <w:rFonts w:ascii="Arial" w:hAnsi="Arial" w:cs="Arial"/>
          <w:sz w:val="22"/>
          <w:szCs w:val="22"/>
        </w:rPr>
      </w:pPr>
      <w:r>
        <w:rPr>
          <w:rFonts w:ascii="Arial" w:hAnsi="Arial" w:cs="Arial"/>
          <w:sz w:val="22"/>
          <w:szCs w:val="22"/>
        </w:rPr>
        <w:t xml:space="preserve">World Health Organization (2023). </w:t>
      </w:r>
      <w:r>
        <w:rPr>
          <w:rFonts w:ascii="Arial" w:hAnsi="Arial" w:cs="Arial"/>
          <w:i/>
          <w:iCs/>
          <w:sz w:val="22"/>
          <w:szCs w:val="22"/>
        </w:rPr>
        <w:t>Improving pain management in older adults: global strategies</w:t>
      </w:r>
      <w:r>
        <w:rPr>
          <w:rFonts w:ascii="Arial" w:hAnsi="Arial" w:cs="Arial"/>
          <w:sz w:val="22"/>
          <w:szCs w:val="22"/>
        </w:rPr>
        <w:t>. Geneva: WHO.</w:t>
      </w:r>
    </w:p>
    <w:p w14:paraId="36218DD7" w14:textId="77777777" w:rsidR="00DE3473" w:rsidRDefault="00000000">
      <w:pPr>
        <w:spacing w:line="360" w:lineRule="auto"/>
        <w:jc w:val="both"/>
        <w:rPr>
          <w:rFonts w:ascii="Arial" w:hAnsi="Arial" w:cs="Arial"/>
          <w:sz w:val="22"/>
          <w:szCs w:val="22"/>
        </w:rPr>
      </w:pPr>
      <w:r>
        <w:rPr>
          <w:rFonts w:ascii="Arial" w:hAnsi="Arial" w:cs="Arial"/>
          <w:sz w:val="22"/>
          <w:szCs w:val="22"/>
        </w:rPr>
        <w:t xml:space="preserve">Znidarsic, J., Kirksey, K.N., Dombrowski, S.M., Tang, A., Lopez, R., Blonsky, H., Todorov, I., Schneeberger, D., Doyle, J., Libertini, L. and Jamie, S. (2021). “Living well with chronic pain”: Integrative pain management via shared medical appointments. </w:t>
      </w:r>
      <w:r>
        <w:rPr>
          <w:rFonts w:ascii="Arial" w:hAnsi="Arial" w:cs="Arial"/>
          <w:i/>
          <w:iCs/>
          <w:sz w:val="22"/>
          <w:szCs w:val="22"/>
        </w:rPr>
        <w:t>Pain Medicine</w:t>
      </w:r>
      <w:r>
        <w:rPr>
          <w:rFonts w:ascii="Arial" w:hAnsi="Arial" w:cs="Arial"/>
          <w:sz w:val="22"/>
          <w:szCs w:val="22"/>
        </w:rPr>
        <w:t xml:space="preserve">, </w:t>
      </w:r>
      <w:r>
        <w:rPr>
          <w:rFonts w:ascii="Arial" w:hAnsi="Arial" w:cs="Arial"/>
          <w:i/>
          <w:iCs/>
          <w:sz w:val="22"/>
          <w:szCs w:val="22"/>
        </w:rPr>
        <w:t>22</w:t>
      </w:r>
      <w:r>
        <w:rPr>
          <w:rFonts w:ascii="Arial" w:hAnsi="Arial" w:cs="Arial"/>
          <w:sz w:val="22"/>
          <w:szCs w:val="22"/>
        </w:rPr>
        <w:t>(1), pp.181-190.</w:t>
      </w:r>
    </w:p>
    <w:p w14:paraId="404B4972" w14:textId="77777777" w:rsidR="00DE3473" w:rsidRDefault="00DE3473">
      <w:pPr>
        <w:spacing w:line="360" w:lineRule="auto"/>
        <w:jc w:val="both"/>
        <w:rPr>
          <w:rFonts w:ascii="Arial" w:hAnsi="Arial" w:cs="Arial"/>
          <w:color w:val="000000" w:themeColor="text1"/>
          <w:sz w:val="22"/>
          <w:szCs w:val="22"/>
        </w:rPr>
      </w:pPr>
    </w:p>
    <w:p w14:paraId="234D7A2D" w14:textId="77777777" w:rsidR="00DE3473" w:rsidRDefault="00DE3473">
      <w:pPr>
        <w:rPr>
          <w:rFonts w:ascii="Arial" w:hAnsi="Arial" w:cs="Arial"/>
          <w:color w:val="000000" w:themeColor="text1"/>
          <w:sz w:val="22"/>
          <w:szCs w:val="22"/>
        </w:rPr>
      </w:pPr>
    </w:p>
    <w:p w14:paraId="6E54C911" w14:textId="77777777" w:rsidR="00DE3473" w:rsidRDefault="00DE3473">
      <w:pPr>
        <w:spacing w:line="360" w:lineRule="auto"/>
        <w:jc w:val="both"/>
        <w:rPr>
          <w:rFonts w:ascii="Arial" w:hAnsi="Arial" w:cs="Arial"/>
          <w:sz w:val="22"/>
          <w:szCs w:val="22"/>
        </w:rPr>
      </w:pPr>
    </w:p>
    <w:p w14:paraId="45B27E45" w14:textId="77777777" w:rsidR="00DE3473" w:rsidRDefault="00DE3473"/>
    <w:sectPr w:rsidR="00DE3473">
      <w:foot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15B098" w14:textId="77777777" w:rsidR="00CB5C22" w:rsidRDefault="00CB5C22">
      <w:pPr>
        <w:spacing w:line="240" w:lineRule="auto"/>
      </w:pPr>
      <w:r>
        <w:separator/>
      </w:r>
    </w:p>
  </w:endnote>
  <w:endnote w:type="continuationSeparator" w:id="0">
    <w:p w14:paraId="6666341F" w14:textId="77777777" w:rsidR="00CB5C22" w:rsidRDefault="00CB5C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80"/>
    <w:family w:val="swiss"/>
    <w:pitch w:val="default"/>
    <w:sig w:usb0="00000000" w:usb1="00000000" w:usb2="0000003F" w:usb3="00000000" w:csb0="003F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C84D99" w14:textId="77777777" w:rsidR="00091DBC" w:rsidRDefault="00091DBC">
    <w:pPr>
      <w:pStyle w:val="Footer"/>
    </w:pPr>
    <w:r>
      <w:rPr>
        <w:noProof/>
      </w:rPr>
      <mc:AlternateContent>
        <mc:Choice Requires="wps">
          <w:drawing>
            <wp:anchor distT="0" distB="0" distL="114300" distR="114300" simplePos="0" relativeHeight="251657216" behindDoc="0" locked="0" layoutInCell="1" allowOverlap="1" wp14:anchorId="7704EA9B" wp14:editId="12A93C37">
              <wp:simplePos x="0" y="0"/>
              <wp:positionH relativeFrom="margin">
                <wp:align>center</wp:align>
              </wp:positionH>
              <wp:positionV relativeFrom="paragraph">
                <wp:posOffset>0</wp:posOffset>
              </wp:positionV>
              <wp:extent cx="1828800" cy="1828800"/>
              <wp:effectExtent l="0" t="0" r="0" b="0"/>
              <wp:wrapNone/>
              <wp:docPr id="392546113" name="Text Box 39254611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766FD978" w14:textId="77777777" w:rsidR="00091DBC" w:rsidRDefault="00091DBC">
                          <w:pPr>
                            <w:pStyle w:val="Header"/>
                          </w:pPr>
                          <w:r>
                            <w:fldChar w:fldCharType="begin"/>
                          </w:r>
                          <w:r>
                            <w:instrText xml:space="preserve"> PAGE  \* MERGEFORMAT </w:instrText>
                          </w:r>
                          <w:r>
                            <w:fldChar w:fldCharType="separate"/>
                          </w:r>
                          <w:r>
                            <w:t>i</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7704EA9B" id="_x0000_t202" coordsize="21600,21600" o:spt="202" path="m,l,21600r21600,l21600,xe">
              <v:stroke joinstyle="miter"/>
              <v:path gradientshapeok="t" o:connecttype="rect"/>
            </v:shapetype>
            <v:shape id="Text Box 392546113" o:spid="_x0000_s1026" type="#_x0000_t202" style="position:absolute;margin-left:0;margin-top:0;width:2in;height:2in;z-index:251657216;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" filled="f" stroked="f" strokeweight=".5pt">
              <v:textbox style="mso-fit-shape-to-text:t" inset="0,0,0,0">
                <w:txbxContent>
                  <w:p w14:paraId="766FD978" w14:textId="77777777" w:rsidR="00091DBC" w:rsidRDefault="00091DBC">
                    <w:pPr>
                      <w:pStyle w:val="Header"/>
                    </w:pPr>
                    <w:r>
                      <w:fldChar w:fldCharType="begin"/>
                    </w:r>
                    <w:r>
                      <w:instrText xml:space="preserve"> PAGE  \* MERGEFORMAT </w:instrText>
                    </w:r>
                    <w:r>
                      <w:fldChar w:fldCharType="separate"/>
                    </w:r>
                    <w:r>
                      <w:t>i</w:t>
                    </w:r>
                    <w:r>
                      <w:fldChar w:fldCharType="end"/>
                    </w:r>
                  </w:p>
                </w:txbxContent>
              </v:textbox>
              <w10:wrap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345E64" w14:textId="77777777" w:rsidR="00091DBC" w:rsidRDefault="00091DBC">
    <w:pPr>
      <w:pStyle w:val="Footer"/>
      <w:jc w:val="center"/>
    </w:pPr>
    <w:r>
      <w:rPr>
        <w:noProof/>
      </w:rPr>
      <mc:AlternateContent>
        <mc:Choice Requires="wps">
          <w:drawing>
            <wp:anchor distT="0" distB="0" distL="114300" distR="114300" simplePos="0" relativeHeight="251659264" behindDoc="0" locked="0" layoutInCell="1" allowOverlap="1" wp14:anchorId="0177BFDC" wp14:editId="6A07FF09">
              <wp:simplePos x="0" y="0"/>
              <wp:positionH relativeFrom="margin">
                <wp:align>center</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sdt>
                          <w:sdtPr>
                            <w:id w:val="147451649"/>
                          </w:sdtPr>
                          <w:sdtContent>
                            <w:p w14:paraId="057E81D4" w14:textId="77777777" w:rsidR="00091DBC" w:rsidRDefault="00091DBC">
                              <w:pPr>
                                <w:pStyle w:val="Header"/>
                                <w:jc w:val="center"/>
                              </w:pPr>
                              <w:r>
                                <w:fldChar w:fldCharType="begin"/>
                              </w:r>
                              <w:r>
                                <w:instrText xml:space="preserve"> PAGE   \* MERGEFORMAT </w:instrText>
                              </w:r>
                              <w:r>
                                <w:fldChar w:fldCharType="separate"/>
                              </w:r>
                              <w:r>
                                <w:t>2</w:t>
                              </w:r>
                              <w:r>
                                <w:fldChar w:fldCharType="end"/>
                              </w:r>
                            </w:p>
                          </w:sdtContent>
                        </w:sdt>
                        <w:p w14:paraId="61474CB9" w14:textId="77777777" w:rsidR="00091DBC" w:rsidRDefault="00091DBC"/>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0177BFDC" id="_x0000_t202" coordsize="21600,21600" o:spt="202" path="m,l,21600r21600,l21600,xe">
              <v:stroke joinstyle="miter"/>
              <v:path gradientshapeok="t" o:connecttype="rect"/>
            </v:shapetype>
            <v:shape id="Text Box 2" o:spid="_x0000_s1027" type="#_x0000_t202" style="position:absolute;left:0;text-align:left;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" filled="f" stroked="f" strokeweight=".5pt">
              <v:textbox style="mso-fit-shape-to-text:t" inset="0,0,0,0">
                <w:txbxContent>
                  <w:sdt>
                    <w:sdtPr>
                      <w:id w:val="147451649"/>
                    </w:sdtPr>
                    <w:sdtContent>
                      <w:p w14:paraId="057E81D4" w14:textId="77777777" w:rsidR="00091DBC" w:rsidRDefault="00091DBC">
                        <w:pPr>
                          <w:pStyle w:val="Header"/>
                          <w:jc w:val="center"/>
                        </w:pPr>
                        <w:r>
                          <w:fldChar w:fldCharType="begin"/>
                        </w:r>
                        <w:r>
                          <w:instrText xml:space="preserve"> PAGE   \* MERGEFORMAT </w:instrText>
                        </w:r>
                        <w:r>
                          <w:fldChar w:fldCharType="separate"/>
                        </w:r>
                        <w:r>
                          <w:t>2</w:t>
                        </w:r>
                        <w:r>
                          <w:fldChar w:fldCharType="end"/>
                        </w:r>
                      </w:p>
                    </w:sdtContent>
                  </w:sdt>
                  <w:p w14:paraId="61474CB9" w14:textId="77777777" w:rsidR="00091DBC" w:rsidRDefault="00091DBC"/>
                </w:txbxContent>
              </v:textbox>
              <w10:wrap anchorx="margin"/>
            </v:shape>
          </w:pict>
        </mc:Fallback>
      </mc:AlternateContent>
    </w:r>
  </w:p>
  <w:p w14:paraId="52160E99" w14:textId="77777777" w:rsidR="00091DBC" w:rsidRDefault="00091DBC">
    <w:pPr>
      <w:pStyle w:val="BodyText"/>
      <w:spacing w:line="14" w:lineRule="auto"/>
      <w:rPr>
        <w:sz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AD0FFA" w14:textId="77777777" w:rsidR="00DE3473" w:rsidRDefault="00000000">
    <w:pPr>
      <w:pStyle w:val="Footer"/>
    </w:pPr>
    <w:r>
      <w:rPr>
        <w:noProof/>
      </w:rPr>
      <mc:AlternateContent>
        <mc:Choice Requires="wps">
          <w:drawing>
            <wp:anchor distT="0" distB="0" distL="114300" distR="114300" simplePos="0" relativeHeight="251656192" behindDoc="0" locked="0" layoutInCell="1" allowOverlap="1" wp14:anchorId="158A14E9" wp14:editId="6D50EF9B">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5504F9A7" w14:textId="77777777" w:rsidR="00DE3473" w:rsidRDefault="00000000">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158A14E9" id="_x0000_t202" coordsize="21600,21600" o:spt="202" path="m,l,21600r21600,l21600,xe">
              <v:stroke joinstyle="miter"/>
              <v:path gradientshapeok="t" o:connecttype="rect"/>
            </v:shapetype>
            <v:shape id="Text Box 1" o:spid="_x0000_s1028" type="#_x0000_t202" style="position:absolute;margin-left:0;margin-top:0;width:2in;height:2in;z-index:251656192;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" filled="f" stroked="f" strokeweight=".5pt">
              <v:textbox style="mso-fit-shape-to-text:t" inset="0,0,0,0">
                <w:txbxContent>
                  <w:p w14:paraId="5504F9A7" w14:textId="77777777" w:rsidR="00DE3473" w:rsidRDefault="00000000">
                    <w:pPr>
                      <w:pStyle w:val="Foot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CAF4D4" w14:textId="77777777" w:rsidR="00CB5C22" w:rsidRDefault="00CB5C22">
      <w:pPr>
        <w:spacing w:after="0"/>
      </w:pPr>
      <w:r>
        <w:separator/>
      </w:r>
    </w:p>
  </w:footnote>
  <w:footnote w:type="continuationSeparator" w:id="0">
    <w:p w14:paraId="6DE9BF7C" w14:textId="77777777" w:rsidR="00CB5C22" w:rsidRDefault="00CB5C22">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D980FC54"/>
    <w:multiLevelType w:val="singleLevel"/>
    <w:tmpl w:val="D980FC54"/>
    <w:lvl w:ilvl="0">
      <w:start w:val="1"/>
      <w:numFmt w:val="decimal"/>
      <w:lvlText w:val="%1."/>
      <w:lvlJc w:val="left"/>
      <w:pPr>
        <w:tabs>
          <w:tab w:val="left" w:pos="425"/>
        </w:tabs>
        <w:ind w:left="425" w:hanging="425"/>
      </w:pPr>
      <w:rPr>
        <w:rFonts w:hint="default"/>
        <w:b/>
        <w:bCs/>
      </w:rPr>
    </w:lvl>
  </w:abstractNum>
  <w:abstractNum w:abstractNumId="1" w15:restartNumberingAfterBreak="0">
    <w:nsid w:val="04CB43BC"/>
    <w:multiLevelType w:val="singleLevel"/>
    <w:tmpl w:val="04CB43BC"/>
    <w:lvl w:ilvl="0">
      <w:start w:val="1"/>
      <w:numFmt w:val="lowerLetter"/>
      <w:suff w:val="space"/>
      <w:lvlText w:val="(%1)"/>
      <w:lvlJc w:val="left"/>
    </w:lvl>
  </w:abstractNum>
  <w:abstractNum w:abstractNumId="2" w15:restartNumberingAfterBreak="0">
    <w:nsid w:val="07B97E3B"/>
    <w:multiLevelType w:val="multilevel"/>
    <w:tmpl w:val="07B97E3B"/>
    <w:lvl w:ilvl="0">
      <w:start w:val="5"/>
      <w:numFmt w:val="decimal"/>
      <w:lvlText w:val="%1"/>
      <w:lvlJc w:val="left"/>
      <w:pPr>
        <w:ind w:left="720" w:hanging="360"/>
      </w:pPr>
      <w:rPr>
        <w:rFonts w:hint="default"/>
        <w:lang w:val="en-US" w:eastAsia="en-US" w:bidi="ar-SA"/>
      </w:rPr>
    </w:lvl>
    <w:lvl w:ilvl="1">
      <w:start w:val="1"/>
      <w:numFmt w:val="decimal"/>
      <w:lvlText w:val="%1.%2"/>
      <w:lvlJc w:val="left"/>
      <w:pPr>
        <w:ind w:left="720" w:hanging="360"/>
      </w:pPr>
      <w:rPr>
        <w:rFonts w:ascii="Times New Roman" w:eastAsia="Times New Roman" w:hAnsi="Times New Roman" w:cs="Times New Roman" w:hint="default"/>
        <w:b w:val="0"/>
        <w:bCs w:val="0"/>
        <w:i w:val="0"/>
        <w:iCs w:val="0"/>
        <w:spacing w:val="0"/>
        <w:w w:val="100"/>
        <w:sz w:val="24"/>
        <w:szCs w:val="24"/>
        <w:lang w:val="en-US" w:eastAsia="en-US" w:bidi="ar-SA"/>
      </w:rPr>
    </w:lvl>
    <w:lvl w:ilvl="2">
      <w:start w:val="1"/>
      <w:numFmt w:val="decimal"/>
      <w:lvlText w:val="%1.%2.%3"/>
      <w:lvlJc w:val="left"/>
      <w:pPr>
        <w:ind w:left="900" w:hanging="540"/>
      </w:pPr>
      <w:rPr>
        <w:rFonts w:ascii="Times New Roman" w:eastAsia="Times New Roman" w:hAnsi="Times New Roman" w:cs="Times New Roman" w:hint="default"/>
        <w:b w:val="0"/>
        <w:bCs w:val="0"/>
        <w:i w:val="0"/>
        <w:iCs w:val="0"/>
        <w:spacing w:val="0"/>
        <w:w w:val="100"/>
        <w:sz w:val="24"/>
        <w:szCs w:val="24"/>
        <w:lang w:val="en-US" w:eastAsia="en-US" w:bidi="ar-SA"/>
      </w:rPr>
    </w:lvl>
    <w:lvl w:ilvl="3">
      <w:numFmt w:val="bullet"/>
      <w:lvlText w:val="•"/>
      <w:lvlJc w:val="left"/>
      <w:pPr>
        <w:ind w:left="2047" w:hanging="540"/>
      </w:pPr>
      <w:rPr>
        <w:rFonts w:hint="default"/>
        <w:lang w:val="en-US" w:eastAsia="en-US" w:bidi="ar-SA"/>
      </w:rPr>
    </w:lvl>
    <w:lvl w:ilvl="4">
      <w:numFmt w:val="bullet"/>
      <w:lvlText w:val="•"/>
      <w:lvlJc w:val="left"/>
      <w:pPr>
        <w:ind w:left="3195" w:hanging="540"/>
      </w:pPr>
      <w:rPr>
        <w:rFonts w:hint="default"/>
        <w:lang w:val="en-US" w:eastAsia="en-US" w:bidi="ar-SA"/>
      </w:rPr>
    </w:lvl>
    <w:lvl w:ilvl="5">
      <w:numFmt w:val="bullet"/>
      <w:lvlText w:val="•"/>
      <w:lvlJc w:val="left"/>
      <w:pPr>
        <w:ind w:left="4342" w:hanging="540"/>
      </w:pPr>
      <w:rPr>
        <w:rFonts w:hint="default"/>
        <w:lang w:val="en-US" w:eastAsia="en-US" w:bidi="ar-SA"/>
      </w:rPr>
    </w:lvl>
    <w:lvl w:ilvl="6">
      <w:numFmt w:val="bullet"/>
      <w:lvlText w:val="•"/>
      <w:lvlJc w:val="left"/>
      <w:pPr>
        <w:ind w:left="5490" w:hanging="540"/>
      </w:pPr>
      <w:rPr>
        <w:rFonts w:hint="default"/>
        <w:lang w:val="en-US" w:eastAsia="en-US" w:bidi="ar-SA"/>
      </w:rPr>
    </w:lvl>
    <w:lvl w:ilvl="7">
      <w:numFmt w:val="bullet"/>
      <w:lvlText w:val="•"/>
      <w:lvlJc w:val="left"/>
      <w:pPr>
        <w:ind w:left="6637" w:hanging="540"/>
      </w:pPr>
      <w:rPr>
        <w:rFonts w:hint="default"/>
        <w:lang w:val="en-US" w:eastAsia="en-US" w:bidi="ar-SA"/>
      </w:rPr>
    </w:lvl>
    <w:lvl w:ilvl="8">
      <w:numFmt w:val="bullet"/>
      <w:lvlText w:val="•"/>
      <w:lvlJc w:val="left"/>
      <w:pPr>
        <w:ind w:left="7785" w:hanging="540"/>
      </w:pPr>
      <w:rPr>
        <w:rFonts w:hint="default"/>
        <w:lang w:val="en-US" w:eastAsia="en-US" w:bidi="ar-SA"/>
      </w:rPr>
    </w:lvl>
  </w:abstractNum>
  <w:abstractNum w:abstractNumId="3" w15:restartNumberingAfterBreak="0">
    <w:nsid w:val="26EE362F"/>
    <w:multiLevelType w:val="multilevel"/>
    <w:tmpl w:val="26EE362F"/>
    <w:lvl w:ilvl="0">
      <w:start w:val="1"/>
      <w:numFmt w:val="decimal"/>
      <w:lvlText w:val="%1."/>
      <w:lvlJc w:val="left"/>
      <w:pPr>
        <w:ind w:left="720" w:hanging="360"/>
      </w:pPr>
      <w:rPr>
        <w:rFonts w:ascii="Arial" w:eastAsiaTheme="minorHAnsi" w:hAnsi="Arial" w:cs="Aria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30CA7988"/>
    <w:multiLevelType w:val="multilevel"/>
    <w:tmpl w:val="30CA7988"/>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5" w15:restartNumberingAfterBreak="0">
    <w:nsid w:val="49D41275"/>
    <w:multiLevelType w:val="multilevel"/>
    <w:tmpl w:val="49D41275"/>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6" w15:restartNumberingAfterBreak="0">
    <w:nsid w:val="4C7B56D2"/>
    <w:multiLevelType w:val="multilevel"/>
    <w:tmpl w:val="4C7B56D2"/>
    <w:lvl w:ilvl="0">
      <w:start w:val="4"/>
      <w:numFmt w:val="decimal"/>
      <w:lvlText w:val="%1"/>
      <w:lvlJc w:val="left"/>
      <w:pPr>
        <w:ind w:left="720" w:hanging="360"/>
      </w:pPr>
      <w:rPr>
        <w:rFonts w:hint="default"/>
        <w:lang w:val="en-US" w:eastAsia="en-US" w:bidi="ar-SA"/>
      </w:rPr>
    </w:lvl>
    <w:lvl w:ilvl="1">
      <w:start w:val="1"/>
      <w:numFmt w:val="decimal"/>
      <w:lvlText w:val="%1.%2"/>
      <w:lvlJc w:val="left"/>
      <w:pPr>
        <w:ind w:left="720" w:hanging="360"/>
      </w:pPr>
      <w:rPr>
        <w:rFonts w:ascii="Times New Roman" w:eastAsia="Times New Roman" w:hAnsi="Times New Roman" w:cs="Times New Roman" w:hint="default"/>
        <w:b w:val="0"/>
        <w:bCs w:val="0"/>
        <w:i w:val="0"/>
        <w:iCs w:val="0"/>
        <w:spacing w:val="0"/>
        <w:w w:val="100"/>
        <w:sz w:val="24"/>
        <w:szCs w:val="24"/>
        <w:lang w:val="en-US" w:eastAsia="en-US" w:bidi="ar-SA"/>
      </w:rPr>
    </w:lvl>
    <w:lvl w:ilvl="2">
      <w:numFmt w:val="bullet"/>
      <w:lvlText w:val="•"/>
      <w:lvlJc w:val="left"/>
      <w:pPr>
        <w:ind w:left="2592" w:hanging="360"/>
      </w:pPr>
      <w:rPr>
        <w:rFonts w:hint="default"/>
        <w:lang w:val="en-US" w:eastAsia="en-US" w:bidi="ar-SA"/>
      </w:rPr>
    </w:lvl>
    <w:lvl w:ilvl="3">
      <w:numFmt w:val="bullet"/>
      <w:lvlText w:val="•"/>
      <w:lvlJc w:val="left"/>
      <w:pPr>
        <w:ind w:left="3528" w:hanging="360"/>
      </w:pPr>
      <w:rPr>
        <w:rFonts w:hint="default"/>
        <w:lang w:val="en-US" w:eastAsia="en-US" w:bidi="ar-SA"/>
      </w:rPr>
    </w:lvl>
    <w:lvl w:ilvl="4">
      <w:numFmt w:val="bullet"/>
      <w:lvlText w:val="•"/>
      <w:lvlJc w:val="left"/>
      <w:pPr>
        <w:ind w:left="4464" w:hanging="360"/>
      </w:pPr>
      <w:rPr>
        <w:rFonts w:hint="default"/>
        <w:lang w:val="en-US" w:eastAsia="en-US" w:bidi="ar-SA"/>
      </w:rPr>
    </w:lvl>
    <w:lvl w:ilvl="5">
      <w:numFmt w:val="bullet"/>
      <w:lvlText w:val="•"/>
      <w:lvlJc w:val="left"/>
      <w:pPr>
        <w:ind w:left="5400" w:hanging="360"/>
      </w:pPr>
      <w:rPr>
        <w:rFonts w:hint="default"/>
        <w:lang w:val="en-US" w:eastAsia="en-US" w:bidi="ar-SA"/>
      </w:rPr>
    </w:lvl>
    <w:lvl w:ilvl="6">
      <w:numFmt w:val="bullet"/>
      <w:lvlText w:val="•"/>
      <w:lvlJc w:val="left"/>
      <w:pPr>
        <w:ind w:left="6336" w:hanging="360"/>
      </w:pPr>
      <w:rPr>
        <w:rFonts w:hint="default"/>
        <w:lang w:val="en-US" w:eastAsia="en-US" w:bidi="ar-SA"/>
      </w:rPr>
    </w:lvl>
    <w:lvl w:ilvl="7">
      <w:numFmt w:val="bullet"/>
      <w:lvlText w:val="•"/>
      <w:lvlJc w:val="left"/>
      <w:pPr>
        <w:ind w:left="7272" w:hanging="360"/>
      </w:pPr>
      <w:rPr>
        <w:rFonts w:hint="default"/>
        <w:lang w:val="en-US" w:eastAsia="en-US" w:bidi="ar-SA"/>
      </w:rPr>
    </w:lvl>
    <w:lvl w:ilvl="8">
      <w:numFmt w:val="bullet"/>
      <w:lvlText w:val="•"/>
      <w:lvlJc w:val="left"/>
      <w:pPr>
        <w:ind w:left="8208" w:hanging="360"/>
      </w:pPr>
      <w:rPr>
        <w:rFonts w:hint="default"/>
        <w:lang w:val="en-US" w:eastAsia="en-US" w:bidi="ar-SA"/>
      </w:rPr>
    </w:lvl>
  </w:abstractNum>
  <w:abstractNum w:abstractNumId="7" w15:restartNumberingAfterBreak="0">
    <w:nsid w:val="57F81281"/>
    <w:multiLevelType w:val="multilevel"/>
    <w:tmpl w:val="57F81281"/>
    <w:lvl w:ilvl="0">
      <w:start w:val="1"/>
      <w:numFmt w:val="decimal"/>
      <w:lvlText w:val="%1"/>
      <w:lvlJc w:val="left"/>
      <w:pPr>
        <w:ind w:left="720" w:hanging="360"/>
      </w:pPr>
      <w:rPr>
        <w:rFonts w:hint="default"/>
        <w:lang w:val="en-US" w:eastAsia="en-US" w:bidi="ar-SA"/>
      </w:rPr>
    </w:lvl>
    <w:lvl w:ilvl="1">
      <w:start w:val="1"/>
      <w:numFmt w:val="decimal"/>
      <w:lvlText w:val="%1.%2"/>
      <w:lvlJc w:val="left"/>
      <w:pPr>
        <w:ind w:left="720" w:hanging="360"/>
      </w:pPr>
      <w:rPr>
        <w:rFonts w:ascii="Times New Roman" w:eastAsia="Times New Roman" w:hAnsi="Times New Roman" w:cs="Times New Roman" w:hint="default"/>
        <w:b w:val="0"/>
        <w:bCs w:val="0"/>
        <w:i w:val="0"/>
        <w:iCs w:val="0"/>
        <w:spacing w:val="0"/>
        <w:w w:val="100"/>
        <w:sz w:val="24"/>
        <w:szCs w:val="24"/>
        <w:lang w:val="en-US" w:eastAsia="en-US" w:bidi="ar-SA"/>
      </w:rPr>
    </w:lvl>
    <w:lvl w:ilvl="2">
      <w:numFmt w:val="bullet"/>
      <w:lvlText w:val="•"/>
      <w:lvlJc w:val="left"/>
      <w:pPr>
        <w:ind w:left="2592" w:hanging="360"/>
      </w:pPr>
      <w:rPr>
        <w:rFonts w:hint="default"/>
        <w:lang w:val="en-US" w:eastAsia="en-US" w:bidi="ar-SA"/>
      </w:rPr>
    </w:lvl>
    <w:lvl w:ilvl="3">
      <w:numFmt w:val="bullet"/>
      <w:lvlText w:val="•"/>
      <w:lvlJc w:val="left"/>
      <w:pPr>
        <w:ind w:left="3528" w:hanging="360"/>
      </w:pPr>
      <w:rPr>
        <w:rFonts w:hint="default"/>
        <w:lang w:val="en-US" w:eastAsia="en-US" w:bidi="ar-SA"/>
      </w:rPr>
    </w:lvl>
    <w:lvl w:ilvl="4">
      <w:numFmt w:val="bullet"/>
      <w:lvlText w:val="•"/>
      <w:lvlJc w:val="left"/>
      <w:pPr>
        <w:ind w:left="4464" w:hanging="360"/>
      </w:pPr>
      <w:rPr>
        <w:rFonts w:hint="default"/>
        <w:lang w:val="en-US" w:eastAsia="en-US" w:bidi="ar-SA"/>
      </w:rPr>
    </w:lvl>
    <w:lvl w:ilvl="5">
      <w:numFmt w:val="bullet"/>
      <w:lvlText w:val="•"/>
      <w:lvlJc w:val="left"/>
      <w:pPr>
        <w:ind w:left="5400" w:hanging="360"/>
      </w:pPr>
      <w:rPr>
        <w:rFonts w:hint="default"/>
        <w:lang w:val="en-US" w:eastAsia="en-US" w:bidi="ar-SA"/>
      </w:rPr>
    </w:lvl>
    <w:lvl w:ilvl="6">
      <w:numFmt w:val="bullet"/>
      <w:lvlText w:val="•"/>
      <w:lvlJc w:val="left"/>
      <w:pPr>
        <w:ind w:left="6336" w:hanging="360"/>
      </w:pPr>
      <w:rPr>
        <w:rFonts w:hint="default"/>
        <w:lang w:val="en-US" w:eastAsia="en-US" w:bidi="ar-SA"/>
      </w:rPr>
    </w:lvl>
    <w:lvl w:ilvl="7">
      <w:numFmt w:val="bullet"/>
      <w:lvlText w:val="•"/>
      <w:lvlJc w:val="left"/>
      <w:pPr>
        <w:ind w:left="7272" w:hanging="360"/>
      </w:pPr>
      <w:rPr>
        <w:rFonts w:hint="default"/>
        <w:lang w:val="en-US" w:eastAsia="en-US" w:bidi="ar-SA"/>
      </w:rPr>
    </w:lvl>
    <w:lvl w:ilvl="8">
      <w:numFmt w:val="bullet"/>
      <w:lvlText w:val="•"/>
      <w:lvlJc w:val="left"/>
      <w:pPr>
        <w:ind w:left="8208" w:hanging="360"/>
      </w:pPr>
      <w:rPr>
        <w:rFonts w:hint="default"/>
        <w:lang w:val="en-US" w:eastAsia="en-US" w:bidi="ar-SA"/>
      </w:rPr>
    </w:lvl>
  </w:abstractNum>
  <w:abstractNum w:abstractNumId="8" w15:restartNumberingAfterBreak="0">
    <w:nsid w:val="5CFC0228"/>
    <w:multiLevelType w:val="multilevel"/>
    <w:tmpl w:val="5CFC0228"/>
    <w:lvl w:ilvl="0">
      <w:start w:val="3"/>
      <w:numFmt w:val="decimal"/>
      <w:lvlText w:val="%1"/>
      <w:lvlJc w:val="left"/>
      <w:pPr>
        <w:ind w:left="705" w:hanging="345"/>
      </w:pPr>
      <w:rPr>
        <w:rFonts w:hint="default"/>
        <w:lang w:val="en-US" w:eastAsia="en-US" w:bidi="ar-SA"/>
      </w:rPr>
    </w:lvl>
    <w:lvl w:ilvl="1">
      <w:start w:val="1"/>
      <w:numFmt w:val="decimal"/>
      <w:lvlText w:val="%1.%2"/>
      <w:lvlJc w:val="left"/>
      <w:pPr>
        <w:ind w:left="705" w:hanging="345"/>
      </w:pPr>
      <w:rPr>
        <w:rFonts w:ascii="Times New Roman" w:eastAsia="Times New Roman" w:hAnsi="Times New Roman" w:cs="Times New Roman" w:hint="default"/>
        <w:b w:val="0"/>
        <w:bCs w:val="0"/>
        <w:i w:val="0"/>
        <w:iCs w:val="0"/>
        <w:spacing w:val="0"/>
        <w:w w:val="100"/>
        <w:sz w:val="24"/>
        <w:szCs w:val="24"/>
        <w:lang w:val="en-US" w:eastAsia="en-US" w:bidi="ar-SA"/>
      </w:rPr>
    </w:lvl>
    <w:lvl w:ilvl="2">
      <w:numFmt w:val="bullet"/>
      <w:lvlText w:val="•"/>
      <w:lvlJc w:val="left"/>
      <w:pPr>
        <w:ind w:left="2576" w:hanging="345"/>
      </w:pPr>
      <w:rPr>
        <w:rFonts w:hint="default"/>
        <w:lang w:val="en-US" w:eastAsia="en-US" w:bidi="ar-SA"/>
      </w:rPr>
    </w:lvl>
    <w:lvl w:ilvl="3">
      <w:numFmt w:val="bullet"/>
      <w:lvlText w:val="•"/>
      <w:lvlJc w:val="left"/>
      <w:pPr>
        <w:ind w:left="3514" w:hanging="345"/>
      </w:pPr>
      <w:rPr>
        <w:rFonts w:hint="default"/>
        <w:lang w:val="en-US" w:eastAsia="en-US" w:bidi="ar-SA"/>
      </w:rPr>
    </w:lvl>
    <w:lvl w:ilvl="4">
      <w:numFmt w:val="bullet"/>
      <w:lvlText w:val="•"/>
      <w:lvlJc w:val="left"/>
      <w:pPr>
        <w:ind w:left="4452" w:hanging="345"/>
      </w:pPr>
      <w:rPr>
        <w:rFonts w:hint="default"/>
        <w:lang w:val="en-US" w:eastAsia="en-US" w:bidi="ar-SA"/>
      </w:rPr>
    </w:lvl>
    <w:lvl w:ilvl="5">
      <w:numFmt w:val="bullet"/>
      <w:lvlText w:val="•"/>
      <w:lvlJc w:val="left"/>
      <w:pPr>
        <w:ind w:left="5390" w:hanging="345"/>
      </w:pPr>
      <w:rPr>
        <w:rFonts w:hint="default"/>
        <w:lang w:val="en-US" w:eastAsia="en-US" w:bidi="ar-SA"/>
      </w:rPr>
    </w:lvl>
    <w:lvl w:ilvl="6">
      <w:numFmt w:val="bullet"/>
      <w:lvlText w:val="•"/>
      <w:lvlJc w:val="left"/>
      <w:pPr>
        <w:ind w:left="6328" w:hanging="345"/>
      </w:pPr>
      <w:rPr>
        <w:rFonts w:hint="default"/>
        <w:lang w:val="en-US" w:eastAsia="en-US" w:bidi="ar-SA"/>
      </w:rPr>
    </w:lvl>
    <w:lvl w:ilvl="7">
      <w:numFmt w:val="bullet"/>
      <w:lvlText w:val="•"/>
      <w:lvlJc w:val="left"/>
      <w:pPr>
        <w:ind w:left="7266" w:hanging="345"/>
      </w:pPr>
      <w:rPr>
        <w:rFonts w:hint="default"/>
        <w:lang w:val="en-US" w:eastAsia="en-US" w:bidi="ar-SA"/>
      </w:rPr>
    </w:lvl>
    <w:lvl w:ilvl="8">
      <w:numFmt w:val="bullet"/>
      <w:lvlText w:val="•"/>
      <w:lvlJc w:val="left"/>
      <w:pPr>
        <w:ind w:left="8204" w:hanging="345"/>
      </w:pPr>
      <w:rPr>
        <w:rFonts w:hint="default"/>
        <w:lang w:val="en-US" w:eastAsia="en-US" w:bidi="ar-SA"/>
      </w:rPr>
    </w:lvl>
  </w:abstractNum>
  <w:abstractNum w:abstractNumId="9" w15:restartNumberingAfterBreak="0">
    <w:nsid w:val="6DF76BF9"/>
    <w:multiLevelType w:val="multilevel"/>
    <w:tmpl w:val="6DF76BF9"/>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num w:numId="1" w16cid:durableId="248276803">
    <w:abstractNumId w:val="3"/>
  </w:num>
  <w:num w:numId="2" w16cid:durableId="747001696">
    <w:abstractNumId w:val="4"/>
  </w:num>
  <w:num w:numId="3" w16cid:durableId="150608198">
    <w:abstractNumId w:val="5"/>
  </w:num>
  <w:num w:numId="4" w16cid:durableId="743574894">
    <w:abstractNumId w:val="9"/>
  </w:num>
  <w:num w:numId="5" w16cid:durableId="628508632">
    <w:abstractNumId w:val="1"/>
  </w:num>
  <w:num w:numId="6" w16cid:durableId="2131437051">
    <w:abstractNumId w:val="0"/>
  </w:num>
  <w:num w:numId="7" w16cid:durableId="910577695">
    <w:abstractNumId w:val="7"/>
  </w:num>
  <w:num w:numId="8" w16cid:durableId="873729530">
    <w:abstractNumId w:val="8"/>
  </w:num>
  <w:num w:numId="9" w16cid:durableId="612827453">
    <w:abstractNumId w:val="6"/>
  </w:num>
  <w:num w:numId="10" w16cid:durableId="9867804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485C09B7"/>
    <w:rsid w:val="00091DBC"/>
    <w:rsid w:val="001B2B2B"/>
    <w:rsid w:val="002B4422"/>
    <w:rsid w:val="00740EC4"/>
    <w:rsid w:val="00C745BE"/>
    <w:rsid w:val="00CB5C22"/>
    <w:rsid w:val="00DE3473"/>
    <w:rsid w:val="0E7F3F87"/>
    <w:rsid w:val="1F6C499D"/>
    <w:rsid w:val="41B86DE1"/>
    <w:rsid w:val="485C09B7"/>
    <w:rsid w:val="48817097"/>
    <w:rsid w:val="519136D9"/>
    <w:rsid w:val="5C402491"/>
    <w:rsid w:val="5F180E1B"/>
    <w:rsid w:val="64530B33"/>
    <w:rsid w:val="6667603C"/>
    <w:rsid w:val="6D8F05F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DDBB44"/>
  <w15:docId w15:val="{C58BC488-251D-4DFC-A073-F0CA74A610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qFormat="1"/>
    <w:lsdException w:name="header" w:qFormat="1"/>
    <w:lsdException w:name="footer" w:uiPriority="99" w:qFormat="1"/>
    <w:lsdException w:name="caption" w:semiHidden="1" w:unhideWhenUsed="1" w:qFormat="1"/>
    <w:lsdException w:name="Title" w:qFormat="1"/>
    <w:lsdException w:name="Default Paragraph Font" w:semiHidden="1" w:qFormat="1"/>
    <w:lsdException w:name="Body Text" w:uiPriority="1" w:qFormat="1"/>
    <w:lsdException w:name="Subtitle" w:qFormat="1"/>
    <w:lsdException w:name="Hyperlink" w:uiPriority="99" w:unhideWhenUsed="1" w:qFormat="1"/>
    <w:lsdException w:name="Strong" w:qFormat="1"/>
    <w:lsdException w:name="Emphasis" w:qFormat="1"/>
    <w:lsdException w:name="HTML Top of Form" w:semiHidden="1" w:uiPriority="99" w:unhideWhenUsed="1"/>
    <w:lsdException w:name="HTML Bottom of Form" w:semiHidden="1" w:uiPriority="99" w:unhideWhenUsed="1"/>
    <w:lsdException w:name="Normal (Web)" w:semiHidden="1" w:unhideWhenUsed="1"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qFormat="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1"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after="160" w:line="278" w:lineRule="auto"/>
    </w:pPr>
    <w:rPr>
      <w:rFonts w:asciiTheme="minorHAnsi" w:eastAsiaTheme="minorHAnsi" w:hAnsiTheme="minorHAnsi" w:cstheme="minorBidi"/>
      <w:kern w:val="2"/>
      <w:sz w:val="24"/>
      <w:szCs w:val="24"/>
      <w:lang w:val="en-US" w:eastAsia="en-US"/>
      <w14:ligatures w14:val="standardContextual"/>
    </w:rPr>
  </w:style>
  <w:style w:type="paragraph" w:styleId="Heading1">
    <w:name w:val="heading 1"/>
    <w:next w:val="Normal"/>
    <w:qFormat/>
    <w:pPr>
      <w:spacing w:before="100" w:beforeAutospacing="1" w:after="100" w:afterAutospacing="1"/>
      <w:outlineLvl w:val="0"/>
    </w:pPr>
    <w:rPr>
      <w:rFonts w:ascii="SimSun" w:hAnsi="SimSun" w:hint="eastAsia"/>
      <w:b/>
      <w:bCs/>
      <w:kern w:val="44"/>
      <w:sz w:val="48"/>
      <w:szCs w:val="48"/>
      <w:lang w:val="en-US" w:eastAsia="zh-CN"/>
    </w:rPr>
  </w:style>
  <w:style w:type="paragraph" w:styleId="Heading2">
    <w:name w:val="heading 2"/>
    <w:next w:val="Normal"/>
    <w:semiHidden/>
    <w:unhideWhenUsed/>
    <w:qFormat/>
    <w:pPr>
      <w:spacing w:beforeAutospacing="1" w:afterAutospacing="1"/>
      <w:outlineLvl w:val="1"/>
    </w:pPr>
    <w:rPr>
      <w:rFonts w:ascii="SimSun" w:hAnsi="SimSun" w:hint="eastAsia"/>
      <w:b/>
      <w:bCs/>
      <w:sz w:val="36"/>
      <w:szCs w:val="36"/>
      <w:lang w:val="en-US" w:eastAsia="zh-CN"/>
    </w:rPr>
  </w:style>
  <w:style w:type="paragraph" w:styleId="Heading3">
    <w:name w:val="heading 3"/>
    <w:next w:val="Normal"/>
    <w:semiHidden/>
    <w:unhideWhenUsed/>
    <w:qFormat/>
    <w:pPr>
      <w:spacing w:beforeAutospacing="1" w:afterAutospacing="1"/>
      <w:outlineLvl w:val="2"/>
    </w:pPr>
    <w:rPr>
      <w:rFonts w:ascii="SimSun" w:hAnsi="SimSun" w:hint="eastAsia"/>
      <w:b/>
      <w:bCs/>
      <w:sz w:val="27"/>
      <w:szCs w:val="27"/>
      <w:lang w:val="en-US" w:eastAsia="zh-CN"/>
    </w:rPr>
  </w:style>
  <w:style w:type="paragraph" w:styleId="Heading4">
    <w:name w:val="heading 4"/>
    <w:next w:val="Normal"/>
    <w:unhideWhenUsed/>
    <w:qFormat/>
    <w:pPr>
      <w:spacing w:before="100" w:beforeAutospacing="1" w:after="100" w:afterAutospacing="1"/>
      <w:outlineLvl w:val="3"/>
    </w:pPr>
    <w:rPr>
      <w:rFonts w:ascii="SimSun" w:hAnsi="SimSun" w:hint="eastAsia"/>
      <w:b/>
      <w:bCs/>
      <w:sz w:val="24"/>
      <w:szCs w:val="24"/>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Pr>
      <w:i/>
      <w:iCs/>
    </w:rPr>
  </w:style>
  <w:style w:type="paragraph" w:styleId="Footer">
    <w:name w:val="footer"/>
    <w:basedOn w:val="Normal"/>
    <w:uiPriority w:val="99"/>
    <w:qFormat/>
    <w:pPr>
      <w:tabs>
        <w:tab w:val="center" w:pos="4153"/>
        <w:tab w:val="right" w:pos="8306"/>
      </w:tabs>
      <w:snapToGrid w:val="0"/>
    </w:pPr>
    <w:rPr>
      <w:sz w:val="18"/>
      <w:szCs w:val="18"/>
    </w:rPr>
  </w:style>
  <w:style w:type="paragraph" w:styleId="Header">
    <w:name w:val="header"/>
    <w:basedOn w:val="Normal"/>
    <w:qFormat/>
    <w:pPr>
      <w:tabs>
        <w:tab w:val="center" w:pos="4153"/>
        <w:tab w:val="right" w:pos="8306"/>
      </w:tabs>
      <w:snapToGrid w:val="0"/>
    </w:pPr>
    <w:rPr>
      <w:sz w:val="18"/>
      <w:szCs w:val="18"/>
    </w:r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unhideWhenUsed/>
    <w:qFormat/>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qFormat/>
    <w:rPr>
      <w:b/>
      <w:bCs/>
    </w:rPr>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pPr>
      <w:ind w:left="720"/>
      <w:contextualSpacing/>
    </w:pPr>
  </w:style>
  <w:style w:type="paragraph" w:styleId="BodyText">
    <w:name w:val="Body Text"/>
    <w:basedOn w:val="Normal"/>
    <w:link w:val="BodyTextChar"/>
    <w:uiPriority w:val="1"/>
    <w:qFormat/>
    <w:rsid w:val="00091DBC"/>
    <w:pPr>
      <w:widowControl w:val="0"/>
      <w:autoSpaceDE w:val="0"/>
      <w:autoSpaceDN w:val="0"/>
      <w:spacing w:after="0" w:line="240" w:lineRule="auto"/>
    </w:pPr>
    <w:rPr>
      <w:rFonts w:ascii="Calibri Light" w:eastAsia="Calibri Light" w:hAnsi="Calibri Light" w:cs="Calibri Light"/>
      <w:kern w:val="0"/>
      <w:sz w:val="22"/>
      <w:szCs w:val="22"/>
      <w:lang w:val="en-GB" w:eastAsia="en-GB" w:bidi="en-GB"/>
      <w14:ligatures w14:val="none"/>
    </w:rPr>
  </w:style>
  <w:style w:type="character" w:customStyle="1" w:styleId="BodyTextChar">
    <w:name w:val="Body Text Char"/>
    <w:basedOn w:val="DefaultParagraphFont"/>
    <w:link w:val="BodyText"/>
    <w:uiPriority w:val="1"/>
    <w:rsid w:val="00091DBC"/>
    <w:rPr>
      <w:rFonts w:ascii="Calibri Light" w:eastAsia="Calibri Light" w:hAnsi="Calibri Light" w:cs="Calibri Light"/>
      <w:sz w:val="22"/>
      <w:szCs w:val="22"/>
      <w:lang w:bidi="en-GB"/>
    </w:rPr>
  </w:style>
  <w:style w:type="paragraph" w:styleId="TOC1">
    <w:name w:val="toc 1"/>
    <w:basedOn w:val="Normal"/>
    <w:uiPriority w:val="39"/>
    <w:qFormat/>
    <w:rsid w:val="00091DBC"/>
    <w:pPr>
      <w:widowControl w:val="0"/>
      <w:autoSpaceDE w:val="0"/>
      <w:autoSpaceDN w:val="0"/>
      <w:spacing w:before="169" w:after="0" w:line="240" w:lineRule="auto"/>
      <w:ind w:left="360"/>
    </w:pPr>
    <w:rPr>
      <w:rFonts w:ascii="Calibri Light" w:eastAsia="Calibri Light" w:hAnsi="Calibri Light" w:cs="Calibri Light"/>
      <w:kern w:val="0"/>
      <w:lang w:val="en-GB" w:eastAsia="en-GB" w:bidi="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hyperlink" Target="https://www.nice.org.uk/" TargetMode="External"/><Relationship Id="rId26" Type="http://schemas.openxmlformats.org/officeDocument/2006/relationships/hyperlink" Target="https://doi.org/10.1177/1609406917733847" TargetMode="External"/><Relationship Id="rId3" Type="http://schemas.openxmlformats.org/officeDocument/2006/relationships/customXml" Target="../customXml/item3.xml"/><Relationship Id="rId21" Type="http://schemas.openxmlformats.org/officeDocument/2006/relationships/hyperlink" Target="https://openjournals.ljmu.ac.uk/ejqrp/article/view/306"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doi.org/10.3402/qhw.v9.26152" TargetMode="External"/><Relationship Id="rId25" Type="http://schemas.openxmlformats.org/officeDocument/2006/relationships/hyperlink" Target="https://www.nice.org.uk/" TargetMode="External"/><Relationship Id="rId2" Type="http://schemas.openxmlformats.org/officeDocument/2006/relationships/customXml" Target="../customXml/item2.xml"/><Relationship Id="rId16" Type="http://schemas.openxmlformats.org/officeDocument/2006/relationships/hyperlink" Target="https://search.proquest.com/openview/21b8de9a65315a8d00d10bbe0a8b062d/1?pq-origsite=gscholar&amp;cbl=55152" TargetMode="External"/><Relationship Id="rId20" Type="http://schemas.openxmlformats.org/officeDocument/2006/relationships/hyperlink" Target="https://doi.org/10.1080/2159676X.2019.1628806" TargetMode="External"/><Relationship Id="rId29" Type="http://schemas.openxmlformats.org/officeDocument/2006/relationships/hyperlink" Target="https://www.who.int/health-topics/health-and-well-be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longtermplan.nhs.uk/"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health.gov.au/" TargetMode="External"/><Relationship Id="rId23" Type="http://schemas.openxmlformats.org/officeDocument/2006/relationships/hyperlink" Target="https://www.iasp-pain.org/" TargetMode="External"/><Relationship Id="rId28" Type="http://schemas.openxmlformats.org/officeDocument/2006/relationships/hyperlink" Target="https://www.ons.gov.uk/peoplepopulationandcommunity/healthandsocialcare/healthandlifeexpectancies/bulletins/healthstatelifeexpectanciesuk/2019to2021" TargetMode="External"/><Relationship Id="rId10" Type="http://schemas.openxmlformats.org/officeDocument/2006/relationships/endnotes" Target="endnotes.xml"/><Relationship Id="rId19" Type="http://schemas.openxmlformats.org/officeDocument/2006/relationships/hyperlink" Target="https://www.tandfonline.com/doi/abs/10.1080/26895269.2022.2129597"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healthwatch.co.uk/" TargetMode="External"/><Relationship Id="rId27" Type="http://schemas.openxmlformats.org/officeDocument/2006/relationships/hyperlink" Target="https://www.ons.gov.uk/" TargetMode="External"/><Relationship Id="rId30" Type="http://schemas.openxmlformats.org/officeDocument/2006/relationships/footer" Target="footer3.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ct:contentTypeSchema xmlns:ct="http://schemas.microsoft.com/office/2006/metadata/contentType" xmlns:ma="http://schemas.microsoft.com/office/2006/metadata/properties/metaAttributes" ct:_="" ma:_="" ma:contentTypeName="Document" ma:contentTypeID="0x01010098FB5106338644429E3BDE2B2F67710C" ma:contentTypeVersion="13" ma:contentTypeDescription="Create a new document." ma:contentTypeScope="" ma:versionID="ab4edda7d5ca1cdd97b1b2a23eeec312">
  <xsd:schema xmlns:xsd="http://www.w3.org/2001/XMLSchema" xmlns:xs="http://www.w3.org/2001/XMLSchema" xmlns:p="http://schemas.microsoft.com/office/2006/metadata/properties" xmlns:ns3="0d4f6ffa-9f28-4e2a-a23f-4264c91c95c3" xmlns:ns4="a5bd8bae-d77b-4579-b242-1f3afbf66184" targetNamespace="http://schemas.microsoft.com/office/2006/metadata/properties" ma:root="true" ma:fieldsID="58444de86db8d19bc20b32d1fcca2d72" ns3:_="" ns4:_="">
    <xsd:import namespace="0d4f6ffa-9f28-4e2a-a23f-4264c91c95c3"/>
    <xsd:import namespace="a5bd8bae-d77b-4579-b242-1f3afbf66184"/>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4f6ffa-9f28-4e2a-a23f-4264c91c95c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a5bd8bae-d77b-4579-b242-1f3afbf6618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d4f6ffa-9f28-4e2a-a23f-4264c91c95c3" xsi:nil="true"/>
  </documentManagement>
</p: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CD66EF73-898B-4D4B-B1DE-360E7CC646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4f6ffa-9f28-4e2a-a23f-4264c91c95c3"/>
    <ds:schemaRef ds:uri="a5bd8bae-d77b-4579-b242-1f3afbf661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43E8F42-8B82-4889-BE16-879913679FF8}">
  <ds:schemaRefs>
    <ds:schemaRef ds:uri="http://schemas.microsoft.com/sharepoint/v3/contenttype/forms"/>
  </ds:schemaRefs>
</ds:datastoreItem>
</file>

<file path=customXml/itemProps4.xml><?xml version="1.0" encoding="utf-8"?>
<ds:datastoreItem xmlns:ds="http://schemas.openxmlformats.org/officeDocument/2006/customXml" ds:itemID="{C80D6A1F-D7A9-4FFA-A91D-A637D0618E61}">
  <ds:schemaRefs>
    <ds:schemaRef ds:uri="http://schemas.microsoft.com/office/2006/metadata/properties"/>
    <ds:schemaRef ds:uri="http://schemas.microsoft.com/office/infopath/2007/PartnerControls"/>
    <ds:schemaRef ds:uri="0d4f6ffa-9f28-4e2a-a23f-4264c91c95c3"/>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54</Pages>
  <Words>13335</Words>
  <Characters>76010</Characters>
  <Application>Microsoft Office Word</Application>
  <DocSecurity>0</DocSecurity>
  <Lines>633</Lines>
  <Paragraphs>178</Paragraphs>
  <ScaleCrop>false</ScaleCrop>
  <Company/>
  <LinksUpToDate>false</LinksUpToDate>
  <CharactersWithSpaces>89167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ADEGOKE Omofolasaye Omobolanle</dc:creator>
  <cp:lastModifiedBy>Molloy Montaque (2235978)</cp:lastModifiedBy>
  <cp:revision>5</cp:revision>
  <dcterms:created xsi:type="dcterms:W3CDTF">2025-12-13T22:27:00Z</dcterms:created>
  <dcterms:modified xsi:type="dcterms:W3CDTF">2025-12-13T22:31:00Z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FC358F63A36A46BC863FCE314D6E8170_11</vt:lpwstr>
  </property>
  <property fmtid="{D5CDD505-2E9C-101B-9397-08002B2CF9AE}" pid="4" name="ContentTypeId">
    <vt:lpwstr>0x01010098FB5106338644429E3BDE2B2F67710C</vt:lpwstr>
  </property>
</Properties>
</file>