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9099325"/>
        <w:docPartObj>
          <w:docPartGallery w:val="Cover Pages"/>
          <w:docPartUnique/>
        </w:docPartObj>
      </w:sdtPr>
      <w:sdtEndPr/>
      <w:sdtContent>
        <w:p w14:paraId="1EA0FF2A" w14:textId="76110994" w:rsidR="00F86339" w:rsidRDefault="00F86339">
          <w:r>
            <w:rPr>
              <w:noProof/>
            </w:rPr>
            <mc:AlternateContent>
              <mc:Choice Requires="wpg">
                <w:drawing>
                  <wp:anchor distT="0" distB="0" distL="114300" distR="114300" simplePos="0" relativeHeight="251659776" behindDoc="0" locked="0" layoutInCell="1" allowOverlap="1" wp14:anchorId="2169B571" wp14:editId="6F6278F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BE5156"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2FC71EBB" wp14:editId="04F2A99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E04013" w14:textId="4975A780" w:rsidR="00F86339" w:rsidRDefault="00F86339">
                                    <w:pPr>
                                      <w:pStyle w:val="NoSpacing"/>
                                      <w:jc w:val="right"/>
                                      <w:rPr>
                                        <w:color w:val="595959" w:themeColor="text1" w:themeTint="A6"/>
                                        <w:sz w:val="28"/>
                                        <w:szCs w:val="28"/>
                                      </w:rPr>
                                    </w:pPr>
                                    <w:r>
                                      <w:rPr>
                                        <w:color w:val="595959" w:themeColor="text1" w:themeTint="A6"/>
                                        <w:sz w:val="28"/>
                                        <w:szCs w:val="28"/>
                                      </w:rPr>
                                      <w:t>Tom Sinclair</w:t>
                                    </w:r>
                                  </w:p>
                                </w:sdtContent>
                              </w:sdt>
                              <w:p w14:paraId="4E071A61" w14:textId="15F024E6" w:rsidR="00F86339" w:rsidRDefault="0012676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86339">
                                      <w:rPr>
                                        <w:color w:val="595959" w:themeColor="text1" w:themeTint="A6"/>
                                        <w:sz w:val="18"/>
                                        <w:szCs w:val="18"/>
                                      </w:rPr>
                                      <w:t>2104559@student.uwtsd.ac.uk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C71EBB"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E04013" w14:textId="4975A780" w:rsidR="00F86339" w:rsidRDefault="00F86339">
                              <w:pPr>
                                <w:pStyle w:val="NoSpacing"/>
                                <w:jc w:val="right"/>
                                <w:rPr>
                                  <w:color w:val="595959" w:themeColor="text1" w:themeTint="A6"/>
                                  <w:sz w:val="28"/>
                                  <w:szCs w:val="28"/>
                                </w:rPr>
                              </w:pPr>
                              <w:r>
                                <w:rPr>
                                  <w:color w:val="595959" w:themeColor="text1" w:themeTint="A6"/>
                                  <w:sz w:val="28"/>
                                  <w:szCs w:val="28"/>
                                </w:rPr>
                                <w:t>Tom Sinclair</w:t>
                              </w:r>
                            </w:p>
                          </w:sdtContent>
                        </w:sdt>
                        <w:p w14:paraId="4E071A61" w14:textId="15F024E6" w:rsidR="00F86339" w:rsidRDefault="0012676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86339">
                                <w:rPr>
                                  <w:color w:val="595959" w:themeColor="text1" w:themeTint="A6"/>
                                  <w:sz w:val="18"/>
                                  <w:szCs w:val="18"/>
                                </w:rPr>
                                <w:t>2104559@student.uwtsd.ac.uk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0B89FC4E" wp14:editId="06A9577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40045E" w14:textId="58C3AF68" w:rsidR="00F86339" w:rsidRDefault="0012676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6339">
                                      <w:rPr>
                                        <w:caps/>
                                        <w:color w:val="4472C4" w:themeColor="accent1"/>
                                        <w:sz w:val="64"/>
                                        <w:szCs w:val="64"/>
                                      </w:rPr>
                                      <w:t>Legal Process –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F44B90" w14:textId="7E405198" w:rsidR="00F86339" w:rsidRDefault="00F86339">
                                    <w:pPr>
                                      <w:jc w:val="right"/>
                                      <w:rPr>
                                        <w:smallCaps/>
                                        <w:color w:val="404040" w:themeColor="text1" w:themeTint="BF"/>
                                        <w:sz w:val="36"/>
                                        <w:szCs w:val="36"/>
                                      </w:rPr>
                                    </w:pPr>
                                    <w:r>
                                      <w:rPr>
                                        <w:color w:val="404040" w:themeColor="text1" w:themeTint="BF"/>
                                        <w:sz w:val="36"/>
                                        <w:szCs w:val="36"/>
                                      </w:rPr>
                                      <w:t>By Tom Sinclair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89FC4E"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C40045E" w14:textId="58C3AF68" w:rsidR="00F86339" w:rsidRDefault="0012676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86339">
                                <w:rPr>
                                  <w:caps/>
                                  <w:color w:val="4472C4" w:themeColor="accent1"/>
                                  <w:sz w:val="64"/>
                                  <w:szCs w:val="64"/>
                                </w:rPr>
                                <w:t>Legal Process –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F44B90" w14:textId="7E405198" w:rsidR="00F86339" w:rsidRDefault="00F86339">
                              <w:pPr>
                                <w:jc w:val="right"/>
                                <w:rPr>
                                  <w:smallCaps/>
                                  <w:color w:val="404040" w:themeColor="text1" w:themeTint="BF"/>
                                  <w:sz w:val="36"/>
                                  <w:szCs w:val="36"/>
                                </w:rPr>
                              </w:pPr>
                              <w:r>
                                <w:rPr>
                                  <w:color w:val="404040" w:themeColor="text1" w:themeTint="BF"/>
                                  <w:sz w:val="36"/>
                                  <w:szCs w:val="36"/>
                                </w:rPr>
                                <w:t>By Tom Sinclair</w:t>
                              </w:r>
                            </w:p>
                          </w:sdtContent>
                        </w:sdt>
                      </w:txbxContent>
                    </v:textbox>
                    <w10:wrap type="square" anchorx="page" anchory="page"/>
                  </v:shape>
                </w:pict>
              </mc:Fallback>
            </mc:AlternateContent>
          </w:r>
        </w:p>
        <w:p w14:paraId="0CE2C7C5" w14:textId="06029A62" w:rsidR="00F86339" w:rsidRDefault="00F86339">
          <w:r>
            <w:br w:type="page"/>
          </w:r>
        </w:p>
      </w:sdtContent>
    </w:sdt>
    <w:p w14:paraId="576AE61A" w14:textId="04AD1E3B" w:rsidR="005E29B6" w:rsidRDefault="00727370" w:rsidP="008E30EF">
      <w:pPr>
        <w:ind w:firstLine="720"/>
      </w:pPr>
      <w:r>
        <w:lastRenderedPageBreak/>
        <w:t xml:space="preserve">In this essay, I will be discussing </w:t>
      </w:r>
      <w:r w:rsidR="00D070BE">
        <w:t xml:space="preserve">the importance of </w:t>
      </w:r>
      <w:r w:rsidR="00B803B8">
        <w:t>legislations and why both primary and secondary legislations are vital</w:t>
      </w:r>
      <w:r w:rsidR="00CE01CF">
        <w:t xml:space="preserve"> in today’s society. I will also be discussing </w:t>
      </w:r>
      <w:r w:rsidR="00D070BE">
        <w:t>statutory interpretations</w:t>
      </w:r>
      <w:r w:rsidR="000B6FA1">
        <w:t xml:space="preserve">, </w:t>
      </w:r>
      <w:r w:rsidR="00C612D0">
        <w:t xml:space="preserve">the effect it can have on other legislations </w:t>
      </w:r>
      <w:r w:rsidR="000A1FF7">
        <w:t xml:space="preserve">and how it can lead to the diminishment </w:t>
      </w:r>
      <w:r w:rsidR="009357E2">
        <w:t>of legislation as a primary source</w:t>
      </w:r>
      <w:r w:rsidR="008E30EF">
        <w:t xml:space="preserve"> in the United Kingdom.</w:t>
      </w:r>
      <w:r w:rsidR="002B2A66">
        <w:t xml:space="preserve"> I will </w:t>
      </w:r>
      <w:r w:rsidR="004963B2">
        <w:t>additionally</w:t>
      </w:r>
      <w:r w:rsidR="002B2A66">
        <w:t xml:space="preserve"> be talking about the </w:t>
      </w:r>
      <w:r w:rsidR="00713F74">
        <w:t>overall necessity for statutory interpretation and how it has both a positive and negative effect on law in the United Kingdom.</w:t>
      </w:r>
    </w:p>
    <w:p w14:paraId="1824F9E4" w14:textId="63DDC63E" w:rsidR="00695BDC" w:rsidRPr="00727370" w:rsidRDefault="000E395F" w:rsidP="00CE01CF">
      <w:pPr>
        <w:ind w:firstLine="720"/>
      </w:pPr>
      <w:r>
        <w:t>In the United Kingdom, there are two main types of legislation</w:t>
      </w:r>
      <w:r w:rsidR="003458D3">
        <w:t>,</w:t>
      </w:r>
      <w:r>
        <w:t xml:space="preserve"> </w:t>
      </w:r>
      <w:r w:rsidR="007E5BFD">
        <w:t>p</w:t>
      </w:r>
      <w:r>
        <w:t xml:space="preserve">rimary and </w:t>
      </w:r>
      <w:r w:rsidR="007E5BFD">
        <w:t>s</w:t>
      </w:r>
      <w:r>
        <w:t xml:space="preserve">econdary. </w:t>
      </w:r>
      <w:r w:rsidR="00654CA8">
        <w:t xml:space="preserve">The </w:t>
      </w:r>
      <w:r w:rsidR="00CC2AC5">
        <w:t>Legislation.gov.uk (2022)</w:t>
      </w:r>
      <w:r w:rsidR="00654CA8">
        <w:t xml:space="preserve"> website states that the primary legislation </w:t>
      </w:r>
      <w:r w:rsidR="003F42E7">
        <w:t>is used to describe main laws which have recently been passed off as laws by the legislative bodies.</w:t>
      </w:r>
      <w:r w:rsidR="00D60D99">
        <w:t xml:space="preserve"> These are also often referred to as ‘statutes’ or ‘statute </w:t>
      </w:r>
      <w:r w:rsidR="00CC2AC5">
        <w:t>laws</w:t>
      </w:r>
      <w:r w:rsidR="00D60D99">
        <w:t xml:space="preserve">. </w:t>
      </w:r>
      <w:r w:rsidR="00262067">
        <w:t>S</w:t>
      </w:r>
      <w:r w:rsidR="00D60D99">
        <w:t>econdary legislation</w:t>
      </w:r>
      <w:r w:rsidR="005A79BC">
        <w:t xml:space="preserve"> </w:t>
      </w:r>
      <w:r w:rsidR="00D264FC">
        <w:t>however is different to primary</w:t>
      </w:r>
      <w:r w:rsidR="00E64885">
        <w:t xml:space="preserve"> legislation</w:t>
      </w:r>
      <w:r w:rsidR="00D264FC">
        <w:t xml:space="preserve"> because these legislat</w:t>
      </w:r>
      <w:r w:rsidR="00A10168">
        <w:t>ions are laws which have been created by legislations or even ministers which serve under a specific Act of Parliament</w:t>
      </w:r>
      <w:r w:rsidR="00805417">
        <w:t xml:space="preserve"> (</w:t>
      </w:r>
      <w:r w:rsidR="00260B6D">
        <w:t>UK Parliament, 2022</w:t>
      </w:r>
      <w:r w:rsidR="00805417">
        <w:t xml:space="preserve">). The secondary legislation is often known as </w:t>
      </w:r>
      <w:r w:rsidR="003A4EC8">
        <w:t>‘delegated’ or ‘subordinate’ legislation.</w:t>
      </w:r>
      <w:r w:rsidR="00E51C3D">
        <w:t xml:space="preserve"> These legislations are extremely valuable, powerful and important </w:t>
      </w:r>
      <w:r w:rsidR="009964EA">
        <w:t xml:space="preserve">because </w:t>
      </w:r>
      <w:r w:rsidR="00806C65">
        <w:t xml:space="preserve">they affect everything </w:t>
      </w:r>
      <w:r w:rsidR="002C6E6B">
        <w:t>that</w:t>
      </w:r>
      <w:r w:rsidR="00806C65">
        <w:t xml:space="preserve"> happens in the United Kingdom</w:t>
      </w:r>
      <w:r w:rsidR="00C01D7E">
        <w:t>, and make sure that everyone is being treated respectfully and with fairness</w:t>
      </w:r>
      <w:r w:rsidR="00806C65">
        <w:t xml:space="preserve">. </w:t>
      </w:r>
      <w:r w:rsidR="00C01D7E">
        <w:t>Accountsandlegal.c</w:t>
      </w:r>
      <w:r w:rsidR="00EC5ABD">
        <w:t xml:space="preserve">o.uk (2020) displays examples of the different legislation which is required </w:t>
      </w:r>
      <w:r w:rsidR="00AE1105">
        <w:t xml:space="preserve">in order to run a business or to keep employers and employees safe. One example of an important legislation is </w:t>
      </w:r>
      <w:r w:rsidR="00761DD5">
        <w:t>the Health and Safety</w:t>
      </w:r>
      <w:r w:rsidR="001D2072">
        <w:t xml:space="preserve"> (Display Screen Equipment) Regulations</w:t>
      </w:r>
      <w:r w:rsidR="00761DD5">
        <w:t xml:space="preserve"> [1992]</w:t>
      </w:r>
      <w:r w:rsidR="001D2072">
        <w:t xml:space="preserve"> as this </w:t>
      </w:r>
      <w:r w:rsidR="00817AA1">
        <w:t xml:space="preserve">regulation makes sure that every employee in the company is being treated to a high standard, it also ensures that every employee is having </w:t>
      </w:r>
      <w:r w:rsidR="00CB3739">
        <w:t xml:space="preserve">the </w:t>
      </w:r>
      <w:r w:rsidR="00817AA1">
        <w:t>correct amount of breaks</w:t>
      </w:r>
      <w:r w:rsidR="00C31C6D">
        <w:t xml:space="preserve"> and allows the employees to have access to any desired personal protective equipment which they may need, such as specific chairs </w:t>
      </w:r>
      <w:r w:rsidR="00F53E63">
        <w:t>or tables in order to help reduce and prevent strain which it ma</w:t>
      </w:r>
      <w:r w:rsidR="006A70CD">
        <w:t>y</w:t>
      </w:r>
      <w:r w:rsidR="00F53E63">
        <w:t xml:space="preserve"> cause on the employees.</w:t>
      </w:r>
      <w:r w:rsidR="0012231D">
        <w:t xml:space="preserve"> Some </w:t>
      </w:r>
      <w:r w:rsidR="00CE4D7D">
        <w:t xml:space="preserve">routes of employment follow separate and specific regulations or acts. One example of this would be </w:t>
      </w:r>
      <w:r w:rsidR="00A12BD1">
        <w:t xml:space="preserve">any </w:t>
      </w:r>
      <w:r w:rsidR="002C680D">
        <w:t>d</w:t>
      </w:r>
      <w:r w:rsidR="00A12BD1">
        <w:t xml:space="preserve">epartment </w:t>
      </w:r>
      <w:r w:rsidR="002C680D">
        <w:t>in the h</w:t>
      </w:r>
      <w:r w:rsidR="00A12BD1">
        <w:t>ealth</w:t>
      </w:r>
      <w:r w:rsidR="002C680D">
        <w:t xml:space="preserve"> sector</w:t>
      </w:r>
      <w:r w:rsidR="00A12BD1">
        <w:t xml:space="preserve"> or </w:t>
      </w:r>
      <w:r w:rsidR="002C680D">
        <w:t xml:space="preserve">specific services such as the NHS. </w:t>
      </w:r>
      <w:r w:rsidR="00390650">
        <w:t xml:space="preserve">Different companies may follow different rules, however they all must follow an overall primary source legislation such as </w:t>
      </w:r>
      <w:r w:rsidR="00393851">
        <w:t xml:space="preserve">The Health and Social Care Act [2012]. This piece of legislation is very </w:t>
      </w:r>
      <w:r w:rsidR="00C874AC">
        <w:t xml:space="preserve">major in the vast majority of health care services as this will not only </w:t>
      </w:r>
      <w:r w:rsidR="00E4014F">
        <w:t>help</w:t>
      </w:r>
      <w:r w:rsidR="00C874AC">
        <w:t xml:space="preserve"> the employer and </w:t>
      </w:r>
      <w:r w:rsidR="00E4014F">
        <w:t>employees</w:t>
      </w:r>
      <w:r w:rsidR="00C874AC">
        <w:t xml:space="preserve"> through their line of work, </w:t>
      </w:r>
      <w:r w:rsidR="00E4014F">
        <w:t xml:space="preserve">but this will also cover them legally because </w:t>
      </w:r>
      <w:r w:rsidR="00840964">
        <w:t xml:space="preserve">upon signing their contract to work, they would have been shown the regulations stating that they must follow these protocols and regulations at all </w:t>
      </w:r>
      <w:r w:rsidR="00A436D1">
        <w:t>times</w:t>
      </w:r>
      <w:r w:rsidR="00840964">
        <w:t xml:space="preserve"> otherwise </w:t>
      </w:r>
      <w:r w:rsidR="00DB133C">
        <w:t>they ca</w:t>
      </w:r>
      <w:r w:rsidR="00685C74">
        <w:t xml:space="preserve">n </w:t>
      </w:r>
      <w:r w:rsidR="00DB133C">
        <w:t>be held accountable if something were to go wrong</w:t>
      </w:r>
      <w:r w:rsidR="00157B7B">
        <w:t xml:space="preserve"> (NHS, 2012).</w:t>
      </w:r>
    </w:p>
    <w:p w14:paraId="7D933F04" w14:textId="77777777" w:rsidR="00462DB3" w:rsidRDefault="00462DB3" w:rsidP="007F069A">
      <w:pPr>
        <w:ind w:firstLine="720"/>
      </w:pPr>
    </w:p>
    <w:p w14:paraId="43C680F3" w14:textId="77777777" w:rsidR="00462DB3" w:rsidRDefault="00462DB3" w:rsidP="007F069A">
      <w:pPr>
        <w:ind w:firstLine="720"/>
      </w:pPr>
    </w:p>
    <w:p w14:paraId="0F722430" w14:textId="77777777" w:rsidR="00462DB3" w:rsidRDefault="00462DB3" w:rsidP="007F069A">
      <w:pPr>
        <w:ind w:firstLine="720"/>
      </w:pPr>
    </w:p>
    <w:p w14:paraId="248870CC" w14:textId="77777777" w:rsidR="00462DB3" w:rsidRDefault="00462DB3" w:rsidP="007F069A">
      <w:pPr>
        <w:ind w:firstLine="720"/>
      </w:pPr>
    </w:p>
    <w:p w14:paraId="61F7557F" w14:textId="77777777" w:rsidR="00462DB3" w:rsidRDefault="00462DB3" w:rsidP="007F069A">
      <w:pPr>
        <w:ind w:firstLine="720"/>
      </w:pPr>
    </w:p>
    <w:p w14:paraId="23058CA3" w14:textId="77777777" w:rsidR="00462DB3" w:rsidRDefault="00462DB3" w:rsidP="007F069A">
      <w:pPr>
        <w:ind w:firstLine="720"/>
      </w:pPr>
    </w:p>
    <w:p w14:paraId="1BB5C1A9" w14:textId="6897CFA3" w:rsidR="00FB00E2" w:rsidRDefault="00C743F9" w:rsidP="007F069A">
      <w:pPr>
        <w:ind w:firstLine="720"/>
      </w:pPr>
      <w:r>
        <w:lastRenderedPageBreak/>
        <w:t xml:space="preserve">Statutory interpretation </w:t>
      </w:r>
      <w:r w:rsidR="00BC2B31">
        <w:t>is whe</w:t>
      </w:r>
      <w:r w:rsidR="00DE7553">
        <w:t>n</w:t>
      </w:r>
      <w:r w:rsidR="00BC2B31">
        <w:t xml:space="preserve"> the wording of a certain statute </w:t>
      </w:r>
      <w:r w:rsidR="00151CAF">
        <w:t>might be unclear</w:t>
      </w:r>
      <w:r w:rsidR="007347EC">
        <w:t>,</w:t>
      </w:r>
      <w:r w:rsidR="00151CAF">
        <w:t xml:space="preserve"> which results in the </w:t>
      </w:r>
      <w:r w:rsidR="00934CA1">
        <w:t xml:space="preserve">courts being called to interpret it. </w:t>
      </w:r>
      <w:r w:rsidR="0023289E">
        <w:t xml:space="preserve">During certain cases, </w:t>
      </w:r>
      <w:r w:rsidR="006654F9">
        <w:t xml:space="preserve">the courts may use different methods in order to interpret the law. For example, </w:t>
      </w:r>
      <w:r w:rsidR="008455A0">
        <w:t xml:space="preserve">the Student Councel </w:t>
      </w:r>
      <w:r w:rsidR="00264F01">
        <w:t>(2019) states that there are four main methods which judges can use in order to interpret a statute law. These four are the literal rule, the golden rule, the mischief rule and the purposive approach.</w:t>
      </w:r>
      <w:r w:rsidR="00B001A4">
        <w:t xml:space="preserve"> In a court of law, the judge does not have to use a specific one of these methods, as they may use </w:t>
      </w:r>
      <w:r w:rsidR="00102D8A">
        <w:t xml:space="preserve">whichever method best suits the </w:t>
      </w:r>
      <w:r w:rsidR="00123CB6">
        <w:t xml:space="preserve">given case. </w:t>
      </w:r>
      <w:r w:rsidR="00CA4245">
        <w:t>There are numerous reasons why judges must interpret statutes</w:t>
      </w:r>
      <w:r w:rsidR="00605E6F">
        <w:t>.</w:t>
      </w:r>
      <w:r w:rsidR="000321F9">
        <w:t xml:space="preserve"> </w:t>
      </w:r>
      <w:r w:rsidR="00605E6F">
        <w:t>A</w:t>
      </w:r>
      <w:r w:rsidR="000321F9">
        <w:t xml:space="preserve">ccording to </w:t>
      </w:r>
      <w:r w:rsidR="00686B48">
        <w:t xml:space="preserve">Laver, N (2016) </w:t>
      </w:r>
      <w:r w:rsidR="00FE2858">
        <w:t xml:space="preserve">one of the main reasons is because some of the laws which are used today are dated way back to the </w:t>
      </w:r>
      <w:r w:rsidR="00831370">
        <w:t>eighteenth</w:t>
      </w:r>
      <w:r w:rsidR="00FE2858">
        <w:t xml:space="preserve"> century, and since that time</w:t>
      </w:r>
      <w:r w:rsidR="0015333D">
        <w:t xml:space="preserve"> </w:t>
      </w:r>
      <w:r w:rsidR="008A3964">
        <w:t xml:space="preserve">a </w:t>
      </w:r>
      <w:r w:rsidR="0015333D">
        <w:t>l</w:t>
      </w:r>
      <w:r w:rsidR="009F6EC8">
        <w:t>arge amount</w:t>
      </w:r>
      <w:r w:rsidR="0015333D">
        <w:t xml:space="preserve"> of wording </w:t>
      </w:r>
      <w:r w:rsidR="009F6EC8">
        <w:t>ha</w:t>
      </w:r>
      <w:r w:rsidR="00FF7CF4">
        <w:t>s</w:t>
      </w:r>
      <w:r w:rsidR="0015333D">
        <w:t xml:space="preserve"> different meaning</w:t>
      </w:r>
      <w:r w:rsidR="008A3964">
        <w:t>s</w:t>
      </w:r>
      <w:r w:rsidR="0015333D">
        <w:t xml:space="preserve"> in today’s day and </w:t>
      </w:r>
      <w:r w:rsidR="009F6EC8">
        <w:t>age, and</w:t>
      </w:r>
      <w:r w:rsidR="0015333D">
        <w:t xml:space="preserve"> it might not mean the same as it did back then. It is also important that statutes are interpreted because </w:t>
      </w:r>
      <w:r w:rsidR="007A38DD">
        <w:t xml:space="preserve">some words can </w:t>
      </w:r>
      <w:r w:rsidR="00311498">
        <w:t xml:space="preserve">have </w:t>
      </w:r>
      <w:r w:rsidR="00B84D5F">
        <w:t>two</w:t>
      </w:r>
      <w:r w:rsidR="007A38DD">
        <w:t xml:space="preserve"> or more meanings, so the judge must interpret which meaning of the word is correct for the given scenario.</w:t>
      </w:r>
      <w:r w:rsidR="00D91F28">
        <w:t xml:space="preserve"> </w:t>
      </w:r>
      <w:r w:rsidR="00FC6DFC">
        <w:t xml:space="preserve">An article from Law Teacher (2021) states that </w:t>
      </w:r>
      <w:r w:rsidR="00E40984">
        <w:t>due to certain laws being outdated, there may be some errors which have been unnoticed by the parliament</w:t>
      </w:r>
      <w:r w:rsidR="00007EE3">
        <w:t>,</w:t>
      </w:r>
      <w:r w:rsidR="00E40984">
        <w:t xml:space="preserve"> </w:t>
      </w:r>
      <w:r w:rsidR="00574F8F">
        <w:t>therefore in this situation it would be of vital importance for the judges to interpret the meaning of the statute laws.</w:t>
      </w:r>
      <w:r w:rsidR="00A149E2">
        <w:t xml:space="preserve"> Although these are all positive reasons for statutory interpretation and how it is beneficial, there are also some negatives towards statutory interpretation. One of the main issues </w:t>
      </w:r>
      <w:r w:rsidR="00706AA1">
        <w:t xml:space="preserve">is with the four different methods of interpreting statute laws. This is because each method will have a lot of positives in different scenarios and different cases, however, they also have some negatives when </w:t>
      </w:r>
      <w:r w:rsidR="006F67B4">
        <w:t xml:space="preserve">talking about some cases. For example, </w:t>
      </w:r>
      <w:r w:rsidR="002000A7">
        <w:t>Louise, C (</w:t>
      </w:r>
      <w:r w:rsidR="00DD56EC">
        <w:t xml:space="preserve">2015) states that </w:t>
      </w:r>
      <w:r w:rsidR="00D2763F">
        <w:t xml:space="preserve">although the literal rule is beneficial </w:t>
      </w:r>
      <w:r w:rsidR="00110507">
        <w:t xml:space="preserve">as it can lead to the public having more </w:t>
      </w:r>
      <w:r w:rsidR="004D0E27">
        <w:t xml:space="preserve">jurisdiction over the laws passed, it can also lead to cases ending in </w:t>
      </w:r>
      <w:r w:rsidR="008C2C52">
        <w:t>absurdities.</w:t>
      </w:r>
      <w:r w:rsidR="00C43A0B">
        <w:t xml:space="preserve"> All of the</w:t>
      </w:r>
      <w:r w:rsidR="002E1EBC">
        <w:t xml:space="preserve"> </w:t>
      </w:r>
      <w:r w:rsidR="00C43A0B">
        <w:t>methods have both positives and negatives</w:t>
      </w:r>
      <w:r w:rsidR="00AB23EF">
        <w:t>.</w:t>
      </w:r>
      <w:r w:rsidR="00C43A0B">
        <w:t xml:space="preserve"> One example of this is</w:t>
      </w:r>
      <w:r w:rsidR="008C2C52">
        <w:t xml:space="preserve"> </w:t>
      </w:r>
      <w:r w:rsidR="00C43A0B">
        <w:t>i</w:t>
      </w:r>
      <w:r w:rsidR="00DB74F0">
        <w:t>n the case of ER v Berriman</w:t>
      </w:r>
      <w:r w:rsidR="00FF0BF7">
        <w:t xml:space="preserve"> [1946]</w:t>
      </w:r>
      <w:r w:rsidR="00AB23EF">
        <w:t xml:space="preserve"> where a railway worker was killed </w:t>
      </w:r>
      <w:r w:rsidR="00655186">
        <w:t>whilst oiling the track.</w:t>
      </w:r>
      <w:r w:rsidR="008D420B">
        <w:t xml:space="preserve"> Whilst the man was oiling the tracks, there was no lookout provided by any of the railway authorities.</w:t>
      </w:r>
      <w:r w:rsidR="00655186">
        <w:t xml:space="preserve"> </w:t>
      </w:r>
      <w:r w:rsidR="00885B7C">
        <w:t xml:space="preserve">The widow of the man attempted to claim </w:t>
      </w:r>
      <w:r w:rsidR="00145BBF">
        <w:t xml:space="preserve">compensation </w:t>
      </w:r>
      <w:r w:rsidR="0016545A">
        <w:t xml:space="preserve">for her </w:t>
      </w:r>
      <w:r w:rsidR="008D420B">
        <w:t>husband’s</w:t>
      </w:r>
      <w:r w:rsidR="0016545A">
        <w:t xml:space="preserve"> death</w:t>
      </w:r>
      <w:r w:rsidR="008D420B">
        <w:t xml:space="preserve"> from the London </w:t>
      </w:r>
      <w:r w:rsidR="00762E11">
        <w:t xml:space="preserve">and </w:t>
      </w:r>
      <w:r w:rsidR="00F157F5">
        <w:t xml:space="preserve">North </w:t>
      </w:r>
      <w:r w:rsidR="00514114">
        <w:t>E</w:t>
      </w:r>
      <w:r w:rsidR="00F157F5">
        <w:t>astern</w:t>
      </w:r>
      <w:r w:rsidR="00762E11">
        <w:t xml:space="preserve"> railway service </w:t>
      </w:r>
      <w:r w:rsidR="006458D1">
        <w:t xml:space="preserve">but was unable to using the literal rule as </w:t>
      </w:r>
      <w:r w:rsidR="00AE6B13">
        <w:t>‘oiling the tracks’ w</w:t>
      </w:r>
      <w:r w:rsidR="00CB6CEE">
        <w:t xml:space="preserve">as deemed different to ‘repairing or relaying’ the tracks. </w:t>
      </w:r>
      <w:r w:rsidR="00406EEE">
        <w:t xml:space="preserve">Furthermore, they could not use the mischief rule either as there </w:t>
      </w:r>
      <w:r w:rsidR="00576B1D">
        <w:t xml:space="preserve">were no ambiguity in the words. This case resulted in the widow </w:t>
      </w:r>
      <w:r w:rsidR="002923B6">
        <w:t xml:space="preserve">unable to claim compensation as she was </w:t>
      </w:r>
      <w:r w:rsidR="00F157F5">
        <w:t xml:space="preserve">not entitled to receive </w:t>
      </w:r>
      <w:r w:rsidR="001D3F11">
        <w:t xml:space="preserve">it </w:t>
      </w:r>
      <w:r w:rsidR="00F157F5">
        <w:t xml:space="preserve">after the </w:t>
      </w:r>
      <w:r w:rsidR="00DF1392">
        <w:t>judge’s</w:t>
      </w:r>
      <w:r w:rsidR="00F157F5">
        <w:t xml:space="preserve"> </w:t>
      </w:r>
      <w:r w:rsidR="00DF1392">
        <w:t xml:space="preserve">decision </w:t>
      </w:r>
      <w:r w:rsidR="00F157F5">
        <w:t>(Chhallani</w:t>
      </w:r>
      <w:r w:rsidR="00B92B51">
        <w:t xml:space="preserve">, </w:t>
      </w:r>
      <w:r w:rsidR="00F157F5">
        <w:t>A, 2021)</w:t>
      </w:r>
      <w:r w:rsidR="00A5195C">
        <w:t xml:space="preserve">. </w:t>
      </w:r>
      <w:r w:rsidR="00583C85">
        <w:t xml:space="preserve">Although this case shows negatives about the rules of statutory interpretation, it also shows </w:t>
      </w:r>
      <w:r w:rsidR="00E61A80">
        <w:t>us how</w:t>
      </w:r>
      <w:r w:rsidR="00583C85">
        <w:t xml:space="preserve"> </w:t>
      </w:r>
      <w:r w:rsidR="00175883">
        <w:t xml:space="preserve">crucial statutory interpretation actually is. One reason why it is so important is because if offers different </w:t>
      </w:r>
      <w:r w:rsidR="0024586D">
        <w:t xml:space="preserve">options when dealing with certain scenarios such as </w:t>
      </w:r>
      <w:r w:rsidR="006D0DE0">
        <w:t>for one case you could use the literal rule, and another you could use the mischief rule.</w:t>
      </w:r>
      <w:r w:rsidR="00A82446">
        <w:t xml:space="preserve"> Although having different ways to deal with a variety of scenarios is good, it can also be misleading and bad. </w:t>
      </w:r>
    </w:p>
    <w:p w14:paraId="0AE64CC1" w14:textId="77777777" w:rsidR="00462DB3" w:rsidRDefault="00462DB3" w:rsidP="00300B25">
      <w:pPr>
        <w:ind w:firstLine="720"/>
      </w:pPr>
    </w:p>
    <w:p w14:paraId="707939A3" w14:textId="77777777" w:rsidR="00462DB3" w:rsidRDefault="00462DB3" w:rsidP="00300B25">
      <w:pPr>
        <w:ind w:firstLine="720"/>
      </w:pPr>
    </w:p>
    <w:p w14:paraId="38F6B7F0" w14:textId="77777777" w:rsidR="00462DB3" w:rsidRDefault="00462DB3" w:rsidP="00300B25">
      <w:pPr>
        <w:ind w:firstLine="720"/>
      </w:pPr>
    </w:p>
    <w:p w14:paraId="598F67B7" w14:textId="2410A42B" w:rsidR="00462DB3" w:rsidRDefault="00B92B51" w:rsidP="00B6246F">
      <w:pPr>
        <w:ind w:firstLine="720"/>
      </w:pPr>
      <w:r>
        <w:lastRenderedPageBreak/>
        <w:t>Carter, R</w:t>
      </w:r>
      <w:r w:rsidR="00A82446">
        <w:t xml:space="preserve"> (2021) states that </w:t>
      </w:r>
      <w:r w:rsidR="005141C5">
        <w:t xml:space="preserve">failing to keep up to date can lead to misinterpretations as </w:t>
      </w:r>
      <w:r w:rsidR="00FB00E2">
        <w:t xml:space="preserve">with all the languages around the globe changing and being translated, there comes more and more issues with </w:t>
      </w:r>
      <w:r w:rsidR="00336712">
        <w:t xml:space="preserve">the wordings of some of the laws. Similar to this, </w:t>
      </w:r>
      <w:r w:rsidR="00913467">
        <w:t xml:space="preserve">it is also stated that the Interpretation Acts themselves should be updated more frequently, for example, </w:t>
      </w:r>
      <w:r>
        <w:t>there</w:t>
      </w:r>
      <w:r w:rsidR="00913467">
        <w:t xml:space="preserve"> are still some points being used from the original Interpretation Act [1889], which is now over </w:t>
      </w:r>
      <w:r w:rsidR="00B6246F">
        <w:t>130</w:t>
      </w:r>
      <w:r w:rsidR="00913467">
        <w:t xml:space="preserve"> years old. </w:t>
      </w:r>
      <w:r w:rsidR="00391C10">
        <w:t>This can prove to be difficult sometimes however, as the wording from the original act in comparison to wording now may be different and can mean different things if not interpreted correctly.</w:t>
      </w:r>
    </w:p>
    <w:p w14:paraId="6E1B039E" w14:textId="591D7146" w:rsidR="006B5606" w:rsidRDefault="006B5606" w:rsidP="007F069A">
      <w:pPr>
        <w:ind w:firstLine="720"/>
      </w:pPr>
      <w:r>
        <w:t xml:space="preserve">In summary, </w:t>
      </w:r>
      <w:r w:rsidR="0041143C">
        <w:t xml:space="preserve">we are shown that </w:t>
      </w:r>
      <w:r w:rsidR="00CE4D16">
        <w:t xml:space="preserve">statutory interpretation can diminish </w:t>
      </w:r>
      <w:r w:rsidR="00701404">
        <w:t xml:space="preserve">the status </w:t>
      </w:r>
      <w:r w:rsidR="005A015E">
        <w:t xml:space="preserve">of legislation as a primary source, however this does not occur in every scenario. In some scenarios </w:t>
      </w:r>
      <w:r w:rsidR="00FD0FFA">
        <w:t xml:space="preserve">statutory interpretation cannot or will not be used therefore it will not diminish the status of the given legislation. Furthermore, we are also shown that even if statutory interpretation is used, it still may not diminish the status of a primary source legislation </w:t>
      </w:r>
      <w:r w:rsidR="00882BF9">
        <w:t>as the given source may</w:t>
      </w:r>
      <w:r w:rsidR="00300B25">
        <w:t xml:space="preserve"> not necessarily need to be interpreted.</w:t>
      </w:r>
    </w:p>
    <w:p w14:paraId="7BCADB54" w14:textId="304D154F" w:rsidR="00296304" w:rsidRDefault="00296304">
      <w:r>
        <w:br w:type="page"/>
      </w:r>
    </w:p>
    <w:p w14:paraId="183751D7" w14:textId="7983A4F1" w:rsidR="00296304" w:rsidRDefault="00296304" w:rsidP="00296304">
      <w:pPr>
        <w:pStyle w:val="Heading1"/>
      </w:pPr>
      <w:r>
        <w:lastRenderedPageBreak/>
        <w:t>Reference List</w:t>
      </w:r>
    </w:p>
    <w:p w14:paraId="389FC361" w14:textId="77777777" w:rsidR="00296304" w:rsidRDefault="00296304" w:rsidP="00296304"/>
    <w:p w14:paraId="1D154C5E" w14:textId="7A348B98" w:rsidR="00300482" w:rsidRDefault="00300482" w:rsidP="00D10AA7">
      <w:pPr>
        <w:rPr>
          <w:lang w:eastAsia="en-GB"/>
        </w:rPr>
      </w:pPr>
      <w:r w:rsidRPr="00D10AA7">
        <w:rPr>
          <w:lang w:eastAsia="en-GB"/>
        </w:rPr>
        <w:t>Accountsandlegal.co.uk. (2020). </w:t>
      </w:r>
      <w:r w:rsidRPr="00D10AA7">
        <w:rPr>
          <w:i/>
          <w:iCs/>
          <w:lang w:eastAsia="en-GB"/>
        </w:rPr>
        <w:t xml:space="preserve">A List </w:t>
      </w:r>
      <w:proofErr w:type="gramStart"/>
      <w:r w:rsidRPr="00D10AA7">
        <w:rPr>
          <w:i/>
          <w:iCs/>
          <w:lang w:eastAsia="en-GB"/>
        </w:rPr>
        <w:t>Of</w:t>
      </w:r>
      <w:proofErr w:type="gramEnd"/>
      <w:r w:rsidRPr="00D10AA7">
        <w:rPr>
          <w:i/>
          <w:iCs/>
          <w:lang w:eastAsia="en-GB"/>
        </w:rPr>
        <w:t xml:space="preserve"> Key Points Of Legislation That Affect Employers In A Business Environment.</w:t>
      </w:r>
      <w:r w:rsidRPr="00D10AA7">
        <w:rPr>
          <w:lang w:eastAsia="en-GB"/>
        </w:rPr>
        <w:t xml:space="preserve"> Available: </w:t>
      </w:r>
      <w:hyperlink r:id="rId7" w:history="1">
        <w:r w:rsidRPr="00300482">
          <w:rPr>
            <w:rStyle w:val="Hyperlink"/>
            <w:lang w:eastAsia="en-GB"/>
          </w:rPr>
          <w:t>https://www.accountsandlegal.co.uk/legal-advice/a-list-of-key-points-of-legislation-that-affect-employers-in-a-business-e</w:t>
        </w:r>
        <w:r w:rsidRPr="00300482">
          <w:rPr>
            <w:rStyle w:val="Hyperlink"/>
            <w:lang w:eastAsia="en-GB"/>
          </w:rPr>
          <w:t>n</w:t>
        </w:r>
        <w:r w:rsidRPr="00300482">
          <w:rPr>
            <w:rStyle w:val="Hyperlink"/>
            <w:lang w:eastAsia="en-GB"/>
          </w:rPr>
          <w:t>vironment</w:t>
        </w:r>
      </w:hyperlink>
      <w:r>
        <w:rPr>
          <w:lang w:eastAsia="en-GB"/>
        </w:rPr>
        <w:t xml:space="preserve"> Last accessed 03/05/2022</w:t>
      </w:r>
    </w:p>
    <w:p w14:paraId="5DF70036" w14:textId="77777777" w:rsidR="00300482" w:rsidRPr="00D10AA7" w:rsidRDefault="00300482" w:rsidP="00D10AA7">
      <w:pPr>
        <w:rPr>
          <w:lang w:eastAsia="en-GB"/>
        </w:rPr>
      </w:pPr>
    </w:p>
    <w:p w14:paraId="551F773B" w14:textId="77777777" w:rsidR="00300482" w:rsidRDefault="00300482" w:rsidP="003C6C79">
      <w:r>
        <w:t>Carter, R</w:t>
      </w:r>
      <w:r>
        <w:t>. (2021). </w:t>
      </w:r>
      <w:r>
        <w:rPr>
          <w:i/>
          <w:iCs/>
        </w:rPr>
        <w:t>Interpretation Acts—Are They, and (How) Do They Make for, Great Law?.</w:t>
      </w:r>
      <w:r>
        <w:t xml:space="preserve"> Available: </w:t>
      </w:r>
      <w:hyperlink r:id="rId8" w:history="1">
        <w:r w:rsidRPr="003C6C79">
          <w:rPr>
            <w:rStyle w:val="Hyperlink"/>
          </w:rPr>
          <w:t>https://academic.oup.com/slr/article/43/1/1/6256297?login=true#33</w:t>
        </w:r>
        <w:r w:rsidRPr="003C6C79">
          <w:rPr>
            <w:rStyle w:val="Hyperlink"/>
          </w:rPr>
          <w:t>2</w:t>
        </w:r>
        <w:r w:rsidRPr="003C6C79">
          <w:rPr>
            <w:rStyle w:val="Hyperlink"/>
          </w:rPr>
          <w:t>900114</w:t>
        </w:r>
      </w:hyperlink>
      <w:r>
        <w:t>. Last accessed 03/05/2022.</w:t>
      </w:r>
    </w:p>
    <w:p w14:paraId="7AC5FE19" w14:textId="77777777" w:rsidR="00300482" w:rsidRDefault="00300482" w:rsidP="003C6C79"/>
    <w:p w14:paraId="332DFE68" w14:textId="77777777" w:rsidR="00300482" w:rsidRDefault="00300482" w:rsidP="002035D7">
      <w:proofErr w:type="spellStart"/>
      <w:r>
        <w:t>Chhallani</w:t>
      </w:r>
      <w:proofErr w:type="spellEnd"/>
      <w:r>
        <w:t>, A. (2021). </w:t>
      </w:r>
      <w:r>
        <w:rPr>
          <w:i/>
          <w:iCs/>
        </w:rPr>
        <w:t xml:space="preserve">London and </w:t>
      </w:r>
      <w:proofErr w:type="gramStart"/>
      <w:r>
        <w:rPr>
          <w:i/>
          <w:iCs/>
        </w:rPr>
        <w:t>North East</w:t>
      </w:r>
      <w:proofErr w:type="gramEnd"/>
      <w:r>
        <w:rPr>
          <w:i/>
          <w:iCs/>
        </w:rPr>
        <w:t xml:space="preserve"> London Railway v. Berriman.</w:t>
      </w:r>
      <w:r>
        <w:t xml:space="preserve"> Available: </w:t>
      </w:r>
      <w:hyperlink r:id="rId9" w:history="1">
        <w:r w:rsidRPr="002035D7">
          <w:rPr>
            <w:rStyle w:val="Hyperlink"/>
          </w:rPr>
          <w:t>https://www.jusdicere.in/london-and-north-eastern-railway-v-berriman</w:t>
        </w:r>
      </w:hyperlink>
      <w:r>
        <w:t>/. Last accessed 01/05/2022.</w:t>
      </w:r>
    </w:p>
    <w:p w14:paraId="0098923C" w14:textId="77777777" w:rsidR="00300482" w:rsidRDefault="00300482" w:rsidP="002035D7"/>
    <w:p w14:paraId="0685ABCF" w14:textId="77777777" w:rsidR="00300482" w:rsidRDefault="00300482" w:rsidP="0061421D">
      <w:r>
        <w:t>Laver, N. (2016). </w:t>
      </w:r>
      <w:r>
        <w:rPr>
          <w:i/>
          <w:iCs/>
        </w:rPr>
        <w:t>Statutory Interpretation.</w:t>
      </w:r>
      <w:r>
        <w:t xml:space="preserve"> Available: </w:t>
      </w:r>
      <w:hyperlink r:id="rId10" w:history="1">
        <w:r w:rsidRPr="00854E4D">
          <w:rPr>
            <w:rStyle w:val="Hyperlink"/>
          </w:rPr>
          <w:t>https://www.inbrief.co.uk/legal-system/statutory-interpretation/</w:t>
        </w:r>
      </w:hyperlink>
      <w:r>
        <w:t>. Last accessed 01/05/2022.</w:t>
      </w:r>
    </w:p>
    <w:p w14:paraId="359C498A" w14:textId="77777777" w:rsidR="00300482" w:rsidRDefault="00300482" w:rsidP="0061421D"/>
    <w:p w14:paraId="511CD760" w14:textId="77777777" w:rsidR="00300482" w:rsidRDefault="00300482" w:rsidP="006A291A">
      <w:r>
        <w:t>Law Teacher. (2021). </w:t>
      </w:r>
      <w:r>
        <w:rPr>
          <w:i/>
          <w:iCs/>
        </w:rPr>
        <w:t>The Rules Behind Statutory Interpretation.</w:t>
      </w:r>
      <w:r>
        <w:t xml:space="preserve"> Available: </w:t>
      </w:r>
      <w:hyperlink r:id="rId11" w:history="1">
        <w:r w:rsidRPr="00FC78FA">
          <w:rPr>
            <w:rStyle w:val="Hyperlink"/>
          </w:rPr>
          <w:t>https://www.lawteacher.net/free-law-essays/administrative-law/the-rules-behind-statutory-interpretation-administrative-law-essay.php</w:t>
        </w:r>
      </w:hyperlink>
      <w:r>
        <w:t xml:space="preserve">  Last accessed 01/05/2022</w:t>
      </w:r>
    </w:p>
    <w:p w14:paraId="623AF029" w14:textId="77777777" w:rsidR="00300482" w:rsidRDefault="00300482" w:rsidP="006A291A"/>
    <w:p w14:paraId="5A7F5A09" w14:textId="77777777" w:rsidR="00300482" w:rsidRDefault="00300482" w:rsidP="00CC2AC5">
      <w:r>
        <w:t>Legislation.gov.uk. (2022). </w:t>
      </w:r>
      <w:r>
        <w:rPr>
          <w:i/>
          <w:iCs/>
        </w:rPr>
        <w:t>Understanding Legislation.</w:t>
      </w:r>
      <w:r>
        <w:t xml:space="preserve"> Available: </w:t>
      </w:r>
      <w:hyperlink r:id="rId12" w:history="1">
        <w:r w:rsidRPr="0071324E">
          <w:rPr>
            <w:rStyle w:val="Hyperlink"/>
          </w:rPr>
          <w:t>https://www.legislation.gov.uk/underst</w:t>
        </w:r>
        <w:r w:rsidRPr="0071324E">
          <w:rPr>
            <w:rStyle w:val="Hyperlink"/>
          </w:rPr>
          <w:t>a</w:t>
        </w:r>
        <w:r w:rsidRPr="0071324E">
          <w:rPr>
            <w:rStyle w:val="Hyperlink"/>
          </w:rPr>
          <w:t>nding-legislation</w:t>
        </w:r>
      </w:hyperlink>
      <w:r>
        <w:t xml:space="preserve"> Last accessed 03/05/2022</w:t>
      </w:r>
    </w:p>
    <w:p w14:paraId="7872DA5C" w14:textId="77777777" w:rsidR="00300482" w:rsidRDefault="00300482" w:rsidP="00CC2AC5"/>
    <w:p w14:paraId="62ADF524" w14:textId="77777777" w:rsidR="00300482" w:rsidRDefault="00300482" w:rsidP="00DD617F">
      <w:r>
        <w:t>Louise, C. (2015). </w:t>
      </w:r>
      <w:r>
        <w:rPr>
          <w:i/>
          <w:iCs/>
        </w:rPr>
        <w:t>Statutory Interpretation.</w:t>
      </w:r>
      <w:r>
        <w:t xml:space="preserve"> Available: </w:t>
      </w:r>
      <w:hyperlink r:id="rId13" w:history="1">
        <w:r w:rsidRPr="00DD617F">
          <w:rPr>
            <w:rStyle w:val="Hyperlink"/>
          </w:rPr>
          <w:t>https://getrevising.co.uk/grids/statutory-interpretation</w:t>
        </w:r>
      </w:hyperlink>
      <w:r>
        <w:t>.  Last accessed 01/05/2022</w:t>
      </w:r>
    </w:p>
    <w:p w14:paraId="6F370D7E" w14:textId="77777777" w:rsidR="00300482" w:rsidRDefault="00300482" w:rsidP="00DD617F"/>
    <w:p w14:paraId="46A2592B" w14:textId="77777777" w:rsidR="00300482" w:rsidRDefault="00300482" w:rsidP="002853A9">
      <w:r>
        <w:t>NHS England. (2012). </w:t>
      </w:r>
      <w:r>
        <w:rPr>
          <w:i/>
          <w:iCs/>
        </w:rPr>
        <w:t>Key legislation.</w:t>
      </w:r>
      <w:r>
        <w:t xml:space="preserve"> Available: </w:t>
      </w:r>
      <w:hyperlink r:id="rId14" w:history="1">
        <w:r w:rsidRPr="002853A9">
          <w:rPr>
            <w:rStyle w:val="Hyperlink"/>
          </w:rPr>
          <w:t>https://www.england.nhs.uk/about/equality/equality-hub/resources/legis</w:t>
        </w:r>
        <w:r w:rsidRPr="002853A9">
          <w:rPr>
            <w:rStyle w:val="Hyperlink"/>
          </w:rPr>
          <w:t>l</w:t>
        </w:r>
        <w:r w:rsidRPr="002853A9">
          <w:rPr>
            <w:rStyle w:val="Hyperlink"/>
          </w:rPr>
          <w:t>ation</w:t>
        </w:r>
      </w:hyperlink>
      <w:r>
        <w:t>/. Last accessed 03/05/2022.</w:t>
      </w:r>
    </w:p>
    <w:p w14:paraId="58EB7291" w14:textId="77777777" w:rsidR="00300482" w:rsidRDefault="00300482" w:rsidP="002853A9"/>
    <w:p w14:paraId="4BF970C1" w14:textId="13C1F3E7" w:rsidR="00300482" w:rsidRDefault="00300482" w:rsidP="00762E03">
      <w:r>
        <w:t>The Student Councel</w:t>
      </w:r>
      <w:r w:rsidRPr="00762E03">
        <w:rPr>
          <w:i/>
          <w:iCs/>
        </w:rPr>
        <w:t>,</w:t>
      </w:r>
      <w:r>
        <w:rPr>
          <w:i/>
          <w:iCs/>
        </w:rPr>
        <w:t xml:space="preserve"> </w:t>
      </w:r>
      <w:r>
        <w:t>(2019),</w:t>
      </w:r>
      <w:r w:rsidRPr="00762E03">
        <w:rPr>
          <w:i/>
          <w:iCs/>
        </w:rPr>
        <w:t xml:space="preserve"> Legal System &amp; Method - Chapter 4: Statutory Interpretation (Part 1) (Degree - Year 1)</w:t>
      </w:r>
      <w:r>
        <w:rPr>
          <w:i/>
          <w:iCs/>
        </w:rPr>
        <w:t xml:space="preserve">, </w:t>
      </w:r>
      <w:r>
        <w:t xml:space="preserve">online video recording, YouTube, Available: </w:t>
      </w:r>
      <w:hyperlink r:id="rId15" w:history="1">
        <w:r w:rsidRPr="0089416F">
          <w:rPr>
            <w:rStyle w:val="Hyperlink"/>
          </w:rPr>
          <w:t>https://www.youtube.com/watch?v=cAK_XBpHTqE&amp;ab_channel=StudentCounsel</w:t>
        </w:r>
      </w:hyperlink>
      <w:r>
        <w:t xml:space="preserve"> Last accessed 01/05/2022</w:t>
      </w:r>
    </w:p>
    <w:p w14:paraId="066FA08B" w14:textId="77777777" w:rsidR="00300482" w:rsidRDefault="00300482" w:rsidP="006A0F7F">
      <w:r>
        <w:lastRenderedPageBreak/>
        <w:t>UK Parliament. (2022). </w:t>
      </w:r>
      <w:r>
        <w:rPr>
          <w:i/>
          <w:iCs/>
        </w:rPr>
        <w:t>Delegation legislation.</w:t>
      </w:r>
      <w:r>
        <w:t xml:space="preserve"> Available: </w:t>
      </w:r>
      <w:hyperlink r:id="rId16" w:history="1">
        <w:r w:rsidRPr="006A0F7F">
          <w:rPr>
            <w:rStyle w:val="Hyperlink"/>
          </w:rPr>
          <w:t>https://www.parliament.uk/site-information/glossary/delegated-or-secondary-legislatio</w:t>
        </w:r>
        <w:r w:rsidRPr="006A0F7F">
          <w:rPr>
            <w:rStyle w:val="Hyperlink"/>
          </w:rPr>
          <w:t>n</w:t>
        </w:r>
      </w:hyperlink>
      <w:r>
        <w:t>/. Last accessed 03/05/2022.</w:t>
      </w:r>
    </w:p>
    <w:p w14:paraId="7D6C1C30" w14:textId="77777777" w:rsidR="00CC2AC5" w:rsidRDefault="00CC2AC5" w:rsidP="00CC2AC5"/>
    <w:p w14:paraId="1DC3DB65" w14:textId="77777777" w:rsidR="00CC2AC5" w:rsidRDefault="00CC2AC5" w:rsidP="00CC2AC5"/>
    <w:p w14:paraId="1BEA407A" w14:textId="77777777" w:rsidR="00CC2AC5" w:rsidRDefault="00CC2AC5" w:rsidP="003C6C79"/>
    <w:p w14:paraId="0F488D5B" w14:textId="77777777" w:rsidR="00DD617F" w:rsidRPr="00762E03" w:rsidRDefault="00DD617F" w:rsidP="006A291A">
      <w:pPr>
        <w:rPr>
          <w:sz w:val="48"/>
        </w:rPr>
      </w:pPr>
    </w:p>
    <w:p w14:paraId="681F19D3" w14:textId="5E433578" w:rsidR="00296304" w:rsidRDefault="00296304" w:rsidP="00296304">
      <w:pPr>
        <w:rPr>
          <w:i/>
          <w:iCs/>
        </w:rPr>
      </w:pPr>
    </w:p>
    <w:p w14:paraId="502010D8" w14:textId="77777777" w:rsidR="00DC3F40" w:rsidRPr="00DC3F40" w:rsidRDefault="00DC3F40" w:rsidP="00296304"/>
    <w:sectPr w:rsidR="00DC3F40" w:rsidRPr="00DC3F40" w:rsidSect="00F863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339"/>
    <w:rsid w:val="00004B17"/>
    <w:rsid w:val="00007EE3"/>
    <w:rsid w:val="000321F9"/>
    <w:rsid w:val="00094449"/>
    <w:rsid w:val="000A1FF7"/>
    <w:rsid w:val="000B6FA1"/>
    <w:rsid w:val="000D007F"/>
    <w:rsid w:val="000E395F"/>
    <w:rsid w:val="00102D8A"/>
    <w:rsid w:val="00110507"/>
    <w:rsid w:val="0012231D"/>
    <w:rsid w:val="00123CB6"/>
    <w:rsid w:val="00126766"/>
    <w:rsid w:val="00145BBF"/>
    <w:rsid w:val="00151CAF"/>
    <w:rsid w:val="0015333D"/>
    <w:rsid w:val="00157B7B"/>
    <w:rsid w:val="0016545A"/>
    <w:rsid w:val="00175883"/>
    <w:rsid w:val="001D2072"/>
    <w:rsid w:val="001D3F11"/>
    <w:rsid w:val="002000A7"/>
    <w:rsid w:val="002035D7"/>
    <w:rsid w:val="0023289E"/>
    <w:rsid w:val="0024586D"/>
    <w:rsid w:val="00260B6D"/>
    <w:rsid w:val="00262067"/>
    <w:rsid w:val="00264F01"/>
    <w:rsid w:val="00277CCA"/>
    <w:rsid w:val="002853A9"/>
    <w:rsid w:val="002923B6"/>
    <w:rsid w:val="00296304"/>
    <w:rsid w:val="002B2A66"/>
    <w:rsid w:val="002C680D"/>
    <w:rsid w:val="002C6E6B"/>
    <w:rsid w:val="002E1EBC"/>
    <w:rsid w:val="00300482"/>
    <w:rsid w:val="00300B25"/>
    <w:rsid w:val="00311498"/>
    <w:rsid w:val="00336712"/>
    <w:rsid w:val="003458D3"/>
    <w:rsid w:val="00363272"/>
    <w:rsid w:val="00366CDD"/>
    <w:rsid w:val="00390650"/>
    <w:rsid w:val="00391C10"/>
    <w:rsid w:val="00393851"/>
    <w:rsid w:val="003A1AFC"/>
    <w:rsid w:val="003A4EC8"/>
    <w:rsid w:val="003B552D"/>
    <w:rsid w:val="003B6367"/>
    <w:rsid w:val="003C6C79"/>
    <w:rsid w:val="003E776A"/>
    <w:rsid w:val="003F42E7"/>
    <w:rsid w:val="00406EEE"/>
    <w:rsid w:val="0041143C"/>
    <w:rsid w:val="00426CB6"/>
    <w:rsid w:val="00462DB3"/>
    <w:rsid w:val="004963B2"/>
    <w:rsid w:val="004B4173"/>
    <w:rsid w:val="004D0E27"/>
    <w:rsid w:val="00514114"/>
    <w:rsid w:val="005141C5"/>
    <w:rsid w:val="005213BF"/>
    <w:rsid w:val="005237C8"/>
    <w:rsid w:val="00574F8F"/>
    <w:rsid w:val="00576B1D"/>
    <w:rsid w:val="00583C85"/>
    <w:rsid w:val="00583DAF"/>
    <w:rsid w:val="005A015E"/>
    <w:rsid w:val="005A79BC"/>
    <w:rsid w:val="005C76CE"/>
    <w:rsid w:val="005E29B6"/>
    <w:rsid w:val="00605E6F"/>
    <w:rsid w:val="0060693B"/>
    <w:rsid w:val="00613BEA"/>
    <w:rsid w:val="0061421D"/>
    <w:rsid w:val="006458D1"/>
    <w:rsid w:val="00654CA8"/>
    <w:rsid w:val="00655186"/>
    <w:rsid w:val="00662881"/>
    <w:rsid w:val="00665458"/>
    <w:rsid w:val="006654F9"/>
    <w:rsid w:val="00685C74"/>
    <w:rsid w:val="00686043"/>
    <w:rsid w:val="00686B48"/>
    <w:rsid w:val="00695BDC"/>
    <w:rsid w:val="006A0007"/>
    <w:rsid w:val="006A0F7F"/>
    <w:rsid w:val="006A291A"/>
    <w:rsid w:val="006A70CD"/>
    <w:rsid w:val="006B2C8C"/>
    <w:rsid w:val="006B5606"/>
    <w:rsid w:val="006D0DE0"/>
    <w:rsid w:val="006E30B8"/>
    <w:rsid w:val="006F67B4"/>
    <w:rsid w:val="00701404"/>
    <w:rsid w:val="00706AA1"/>
    <w:rsid w:val="00713F74"/>
    <w:rsid w:val="00727370"/>
    <w:rsid w:val="007347EC"/>
    <w:rsid w:val="00761DD5"/>
    <w:rsid w:val="00762E03"/>
    <w:rsid w:val="00762E11"/>
    <w:rsid w:val="007A17A0"/>
    <w:rsid w:val="007A38DD"/>
    <w:rsid w:val="007E5BFD"/>
    <w:rsid w:val="007F069A"/>
    <w:rsid w:val="00805417"/>
    <w:rsid w:val="00806C65"/>
    <w:rsid w:val="00817AA1"/>
    <w:rsid w:val="00831370"/>
    <w:rsid w:val="00840964"/>
    <w:rsid w:val="008455A0"/>
    <w:rsid w:val="00854E4D"/>
    <w:rsid w:val="00863296"/>
    <w:rsid w:val="0086731D"/>
    <w:rsid w:val="00882BF9"/>
    <w:rsid w:val="00885B7C"/>
    <w:rsid w:val="008A3964"/>
    <w:rsid w:val="008C2C52"/>
    <w:rsid w:val="008C463B"/>
    <w:rsid w:val="008D420B"/>
    <w:rsid w:val="008E30EF"/>
    <w:rsid w:val="008F7F42"/>
    <w:rsid w:val="00913467"/>
    <w:rsid w:val="0092045A"/>
    <w:rsid w:val="00934CA1"/>
    <w:rsid w:val="009357E2"/>
    <w:rsid w:val="00972DA7"/>
    <w:rsid w:val="009964EA"/>
    <w:rsid w:val="009D7A3B"/>
    <w:rsid w:val="009D7FF8"/>
    <w:rsid w:val="009F6EC8"/>
    <w:rsid w:val="00A10168"/>
    <w:rsid w:val="00A12BD1"/>
    <w:rsid w:val="00A149E2"/>
    <w:rsid w:val="00A436D1"/>
    <w:rsid w:val="00A5195C"/>
    <w:rsid w:val="00A82446"/>
    <w:rsid w:val="00A84815"/>
    <w:rsid w:val="00AB23EF"/>
    <w:rsid w:val="00AE1105"/>
    <w:rsid w:val="00AE6B13"/>
    <w:rsid w:val="00B001A4"/>
    <w:rsid w:val="00B21B0B"/>
    <w:rsid w:val="00B265D5"/>
    <w:rsid w:val="00B6246F"/>
    <w:rsid w:val="00B803B8"/>
    <w:rsid w:val="00B80D9E"/>
    <w:rsid w:val="00B84D5F"/>
    <w:rsid w:val="00B92B51"/>
    <w:rsid w:val="00BB3FB3"/>
    <w:rsid w:val="00BC2B31"/>
    <w:rsid w:val="00C01D7E"/>
    <w:rsid w:val="00C31C6D"/>
    <w:rsid w:val="00C43A0B"/>
    <w:rsid w:val="00C612D0"/>
    <w:rsid w:val="00C73CBA"/>
    <w:rsid w:val="00C743F9"/>
    <w:rsid w:val="00C874AC"/>
    <w:rsid w:val="00CA4245"/>
    <w:rsid w:val="00CB3739"/>
    <w:rsid w:val="00CB6CEE"/>
    <w:rsid w:val="00CB7AD0"/>
    <w:rsid w:val="00CC2AC5"/>
    <w:rsid w:val="00CD722D"/>
    <w:rsid w:val="00CE01CF"/>
    <w:rsid w:val="00CE4D16"/>
    <w:rsid w:val="00CE4D7D"/>
    <w:rsid w:val="00CF7862"/>
    <w:rsid w:val="00D070BE"/>
    <w:rsid w:val="00D10AA7"/>
    <w:rsid w:val="00D264FC"/>
    <w:rsid w:val="00D2763F"/>
    <w:rsid w:val="00D60D99"/>
    <w:rsid w:val="00D62415"/>
    <w:rsid w:val="00D91F28"/>
    <w:rsid w:val="00D92403"/>
    <w:rsid w:val="00DA2F54"/>
    <w:rsid w:val="00DB133C"/>
    <w:rsid w:val="00DB4C0D"/>
    <w:rsid w:val="00DB74F0"/>
    <w:rsid w:val="00DC3F40"/>
    <w:rsid w:val="00DD56EC"/>
    <w:rsid w:val="00DD617F"/>
    <w:rsid w:val="00DE7553"/>
    <w:rsid w:val="00DF1392"/>
    <w:rsid w:val="00E0205F"/>
    <w:rsid w:val="00E4014F"/>
    <w:rsid w:val="00E40984"/>
    <w:rsid w:val="00E51C3D"/>
    <w:rsid w:val="00E5555F"/>
    <w:rsid w:val="00E61A80"/>
    <w:rsid w:val="00E64885"/>
    <w:rsid w:val="00EA531A"/>
    <w:rsid w:val="00EC5ABD"/>
    <w:rsid w:val="00ED1DEF"/>
    <w:rsid w:val="00F157F5"/>
    <w:rsid w:val="00F22297"/>
    <w:rsid w:val="00F452C7"/>
    <w:rsid w:val="00F53E63"/>
    <w:rsid w:val="00F86213"/>
    <w:rsid w:val="00F86339"/>
    <w:rsid w:val="00FB00E2"/>
    <w:rsid w:val="00FC6DFC"/>
    <w:rsid w:val="00FC78FA"/>
    <w:rsid w:val="00FD0FFA"/>
    <w:rsid w:val="00FE2858"/>
    <w:rsid w:val="00FF0BF7"/>
    <w:rsid w:val="00FF7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EF265"/>
  <w15:chartTrackingRefBased/>
  <w15:docId w15:val="{092AC05B-EDD8-4A80-819A-64EC5C10D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DEF"/>
    <w:rPr>
      <w:rFonts w:ascii="Arial" w:hAnsi="Arial"/>
      <w:sz w:val="24"/>
    </w:rPr>
  </w:style>
  <w:style w:type="paragraph" w:styleId="Heading1">
    <w:name w:val="heading 1"/>
    <w:basedOn w:val="Normal"/>
    <w:next w:val="Normal"/>
    <w:link w:val="Heading1Char"/>
    <w:uiPriority w:val="9"/>
    <w:qFormat/>
    <w:rsid w:val="00296304"/>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63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6339"/>
    <w:rPr>
      <w:rFonts w:eastAsiaTheme="minorEastAsia"/>
      <w:lang w:val="en-US"/>
    </w:rPr>
  </w:style>
  <w:style w:type="character" w:customStyle="1" w:styleId="Heading1Char">
    <w:name w:val="Heading 1 Char"/>
    <w:basedOn w:val="DefaultParagraphFont"/>
    <w:link w:val="Heading1"/>
    <w:uiPriority w:val="9"/>
    <w:rsid w:val="00296304"/>
    <w:rPr>
      <w:rFonts w:ascii="Arial" w:eastAsiaTheme="majorEastAsia" w:hAnsi="Arial" w:cstheme="majorBidi"/>
      <w:color w:val="2F5496" w:themeColor="accent1" w:themeShade="BF"/>
      <w:sz w:val="32"/>
      <w:szCs w:val="32"/>
    </w:rPr>
  </w:style>
  <w:style w:type="character" w:styleId="Hyperlink">
    <w:name w:val="Hyperlink"/>
    <w:basedOn w:val="DefaultParagraphFont"/>
    <w:uiPriority w:val="99"/>
    <w:unhideWhenUsed/>
    <w:rsid w:val="00DC3F40"/>
    <w:rPr>
      <w:color w:val="0563C1" w:themeColor="hyperlink"/>
      <w:u w:val="single"/>
    </w:rPr>
  </w:style>
  <w:style w:type="character" w:styleId="UnresolvedMention">
    <w:name w:val="Unresolved Mention"/>
    <w:basedOn w:val="DefaultParagraphFont"/>
    <w:uiPriority w:val="99"/>
    <w:semiHidden/>
    <w:unhideWhenUsed/>
    <w:rsid w:val="00DC3F40"/>
    <w:rPr>
      <w:color w:val="605E5C"/>
      <w:shd w:val="clear" w:color="auto" w:fill="E1DFDD"/>
    </w:rPr>
  </w:style>
  <w:style w:type="character" w:styleId="FollowedHyperlink">
    <w:name w:val="FollowedHyperlink"/>
    <w:basedOn w:val="DefaultParagraphFont"/>
    <w:uiPriority w:val="99"/>
    <w:semiHidden/>
    <w:unhideWhenUsed/>
    <w:rsid w:val="00094449"/>
    <w:rPr>
      <w:color w:val="954F72" w:themeColor="followedHyperlink"/>
      <w:u w:val="single"/>
    </w:rPr>
  </w:style>
  <w:style w:type="paragraph" w:styleId="NormalWeb">
    <w:name w:val="Normal (Web)"/>
    <w:basedOn w:val="Normal"/>
    <w:uiPriority w:val="99"/>
    <w:semiHidden/>
    <w:unhideWhenUsed/>
    <w:rsid w:val="00CC2AC5"/>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326810">
      <w:bodyDiv w:val="1"/>
      <w:marLeft w:val="0"/>
      <w:marRight w:val="0"/>
      <w:marTop w:val="0"/>
      <w:marBottom w:val="0"/>
      <w:divBdr>
        <w:top w:val="none" w:sz="0" w:space="0" w:color="auto"/>
        <w:left w:val="none" w:sz="0" w:space="0" w:color="auto"/>
        <w:bottom w:val="none" w:sz="0" w:space="0" w:color="auto"/>
        <w:right w:val="none" w:sz="0" w:space="0" w:color="auto"/>
      </w:divBdr>
    </w:div>
    <w:div w:id="1826315261">
      <w:bodyDiv w:val="1"/>
      <w:marLeft w:val="0"/>
      <w:marRight w:val="0"/>
      <w:marTop w:val="0"/>
      <w:marBottom w:val="0"/>
      <w:divBdr>
        <w:top w:val="none" w:sz="0" w:space="0" w:color="auto"/>
        <w:left w:val="none" w:sz="0" w:space="0" w:color="auto"/>
        <w:bottom w:val="none" w:sz="0" w:space="0" w:color="auto"/>
        <w:right w:val="none" w:sz="0" w:space="0" w:color="auto"/>
      </w:divBdr>
    </w:div>
    <w:div w:id="201930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slr/article/43/1/1/6256297?login=true%23332900114" TargetMode="External"/><Relationship Id="rId13" Type="http://schemas.openxmlformats.org/officeDocument/2006/relationships/hyperlink" Target="https://getrevising.co.uk/grids/statutory-interpret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countsandlegal.co.uk/legal-advice/a-list-of-key-points-of-legislation-that-affect-employers-in-a-business-environment" TargetMode="External"/><Relationship Id="rId12" Type="http://schemas.openxmlformats.org/officeDocument/2006/relationships/hyperlink" Target="https://www.legislation.gov.uk/understanding-legisl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arliament.uk/site-information/glossary/delegated-or-secondary-legislation/"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lawteacher.net/free-law-essays/administrative-law/the-rules-behind-statutory-interpretation-administrative-law-essay.php" TargetMode="External"/><Relationship Id="rId5" Type="http://schemas.openxmlformats.org/officeDocument/2006/relationships/image" Target="media/image1.png"/><Relationship Id="rId15" Type="http://schemas.openxmlformats.org/officeDocument/2006/relationships/hyperlink" Target="https://www.youtube.com/watch?v=cAK_XBpHTqE&amp;ab_channel=StudentCounsel" TargetMode="External"/><Relationship Id="rId10" Type="http://schemas.openxmlformats.org/officeDocument/2006/relationships/hyperlink" Target="https://www.inbrief.co.uk/legal-system/statutory-interpretation/" TargetMode="External"/><Relationship Id="rId4" Type="http://schemas.openxmlformats.org/officeDocument/2006/relationships/webSettings" Target="webSettings.xml"/><Relationship Id="rId9" Type="http://schemas.openxmlformats.org/officeDocument/2006/relationships/hyperlink" Target="https://www.jusdicere.in/london-and-north-eastern-railway-v-berriman/" TargetMode="External"/><Relationship Id="rId14" Type="http://schemas.openxmlformats.org/officeDocument/2006/relationships/hyperlink" Target="https://www.england.nhs.uk/about/equality/equality-hub/resources/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2104559@student.uwtsd.ac.uk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 – Assignment 2</dc:title>
  <dc:subject>By Tom Sinclair</dc:subject>
  <dc:creator>Tom Sinclair</dc:creator>
  <cp:keywords/>
  <dc:description/>
  <cp:lastModifiedBy>Tom Sinclair</cp:lastModifiedBy>
  <cp:revision>2</cp:revision>
  <dcterms:created xsi:type="dcterms:W3CDTF">2022-05-03T22:26:00Z</dcterms:created>
  <dcterms:modified xsi:type="dcterms:W3CDTF">2022-05-03T22:26:00Z</dcterms:modified>
</cp:coreProperties>
</file>