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A77A70">
      <w:pPr>
        <w:jc w:val="center"/>
        <w:rPr>
          <w:rFonts w:ascii="Times New Roman" w:hAnsi="Times New Roman" w:eastAsia="Times New Roman" w:cs="Times New Roman"/>
          <w:b/>
          <w:sz w:val="24"/>
          <w:szCs w:val="24"/>
          <w:lang w:val="en-GB"/>
        </w:rPr>
      </w:pPr>
    </w:p>
    <w:p w14:paraId="4842E7A5">
      <w:pPr>
        <w:jc w:val="center"/>
        <w:rPr>
          <w:rFonts w:ascii="Times New Roman" w:hAnsi="Times New Roman" w:eastAsia="Times New Roman" w:cs="Times New Roman"/>
          <w:b/>
          <w:sz w:val="24"/>
          <w:szCs w:val="24"/>
          <w:lang w:val="en-GB"/>
        </w:rPr>
      </w:pPr>
    </w:p>
    <w:p w14:paraId="5CFC0CB2">
      <w:pPr>
        <w:jc w:val="center"/>
        <w:rPr>
          <w:rFonts w:ascii="Times New Roman" w:hAnsi="Times New Roman" w:eastAsia="Times New Roman" w:cs="Times New Roman"/>
          <w:b/>
          <w:sz w:val="24"/>
          <w:szCs w:val="24"/>
          <w:lang w:val="en-GB"/>
        </w:rPr>
      </w:pPr>
    </w:p>
    <w:p w14:paraId="7D756C1E">
      <w:pPr>
        <w:jc w:val="center"/>
        <w:rPr>
          <w:rFonts w:ascii="Times New Roman" w:hAnsi="Times New Roman" w:eastAsia="Times New Roman" w:cs="Times New Roman"/>
          <w:b/>
          <w:sz w:val="24"/>
          <w:szCs w:val="24"/>
          <w:lang w:val="en-GB"/>
        </w:rPr>
      </w:pPr>
    </w:p>
    <w:p w14:paraId="22620C02">
      <w:pPr>
        <w:jc w:val="center"/>
        <w:rPr>
          <w:rFonts w:ascii="Times New Roman" w:hAnsi="Times New Roman" w:eastAsia="Times New Roman" w:cs="Times New Roman"/>
          <w:b/>
          <w:sz w:val="24"/>
          <w:szCs w:val="24"/>
          <w:lang w:val="en-GB"/>
        </w:rPr>
      </w:pPr>
    </w:p>
    <w:p w14:paraId="2457CCF4">
      <w:pPr>
        <w:jc w:val="center"/>
        <w:rPr>
          <w:rFonts w:ascii="Times New Roman" w:hAnsi="Times New Roman" w:eastAsia="Times New Roman" w:cs="Times New Roman"/>
          <w:b/>
          <w:sz w:val="24"/>
          <w:szCs w:val="24"/>
          <w:lang w:val="en-GB"/>
        </w:rPr>
      </w:pPr>
    </w:p>
    <w:p w14:paraId="04B5D7D5">
      <w:pPr>
        <w:jc w:val="center"/>
        <w:rPr>
          <w:rFonts w:ascii="Times New Roman" w:hAnsi="Times New Roman" w:eastAsia="Times New Roman" w:cs="Times New Roman"/>
          <w:b/>
          <w:sz w:val="24"/>
          <w:szCs w:val="24"/>
          <w:lang w:val="en-GB"/>
        </w:rPr>
      </w:pPr>
    </w:p>
    <w:p w14:paraId="118BD390">
      <w:pPr>
        <w:jc w:val="center"/>
        <w:rPr>
          <w:rFonts w:ascii="Times New Roman" w:hAnsi="Times New Roman" w:eastAsia="Times New Roman" w:cs="Times New Roman"/>
          <w:b/>
          <w:sz w:val="24"/>
          <w:szCs w:val="24"/>
          <w:lang w:val="en-GB"/>
        </w:rPr>
      </w:pPr>
    </w:p>
    <w:p w14:paraId="20334F08">
      <w:pPr>
        <w:jc w:val="center"/>
        <w:rPr>
          <w:rFonts w:ascii="Times New Roman" w:hAnsi="Times New Roman" w:eastAsia="Times New Roman" w:cs="Times New Roman"/>
          <w:b/>
          <w:sz w:val="24"/>
          <w:szCs w:val="24"/>
          <w:lang w:val="en-GB"/>
        </w:rPr>
      </w:pPr>
    </w:p>
    <w:p w14:paraId="324A55F3">
      <w:pPr>
        <w:jc w:val="center"/>
        <w:rPr>
          <w:rFonts w:ascii="Times New Roman" w:hAnsi="Times New Roman" w:eastAsia="Times New Roman" w:cs="Times New Roman"/>
          <w:b/>
          <w:sz w:val="24"/>
          <w:szCs w:val="24"/>
          <w:lang w:val="en-GB"/>
        </w:rPr>
      </w:pPr>
    </w:p>
    <w:p w14:paraId="34B4C1CE">
      <w:pPr>
        <w:jc w:val="center"/>
        <w:rPr>
          <w:rFonts w:ascii="Times New Roman" w:hAnsi="Times New Roman" w:eastAsia="Times New Roman" w:cs="Times New Roman"/>
          <w:b/>
          <w:sz w:val="24"/>
          <w:szCs w:val="24"/>
          <w:lang w:val="en-GB"/>
        </w:rPr>
      </w:pPr>
    </w:p>
    <w:p w14:paraId="5B1ABB61">
      <w:pPr>
        <w:jc w:val="center"/>
        <w:rPr>
          <w:rFonts w:ascii="Times New Roman" w:hAnsi="Times New Roman" w:eastAsia="Times New Roman" w:cs="Times New Roman"/>
          <w:b/>
          <w:sz w:val="24"/>
          <w:szCs w:val="24"/>
          <w:lang w:val="en-GB"/>
        </w:rPr>
      </w:pPr>
    </w:p>
    <w:p w14:paraId="2E7A1418">
      <w:pPr>
        <w:spacing w:line="360" w:lineRule="auto"/>
        <w:jc w:val="center"/>
        <w:rPr>
          <w:rFonts w:ascii="Times New Roman" w:hAnsi="Times New Roman" w:eastAsia="Times New Roman" w:cs="Times New Roman"/>
          <w:b/>
          <w:sz w:val="28"/>
          <w:szCs w:val="24"/>
          <w:lang w:val="en-GB"/>
        </w:rPr>
      </w:pPr>
      <w:r>
        <w:rPr>
          <w:rFonts w:ascii="Times New Roman" w:hAnsi="Times New Roman" w:eastAsia="Times New Roman" w:cs="Times New Roman"/>
          <w:b/>
          <w:sz w:val="28"/>
          <w:szCs w:val="24"/>
          <w:lang w:val="en-GB"/>
        </w:rPr>
        <w:t>MODULE TITLE: BMIH5001 ENTREPRENEURSHIP</w:t>
      </w:r>
    </w:p>
    <w:p w14:paraId="51AB57CE">
      <w:pPr>
        <w:spacing w:line="360" w:lineRule="auto"/>
        <w:jc w:val="center"/>
        <w:rPr>
          <w:rFonts w:ascii="Times New Roman" w:hAnsi="Times New Roman" w:eastAsia="Times New Roman" w:cs="Times New Roman"/>
          <w:b/>
          <w:sz w:val="28"/>
          <w:szCs w:val="24"/>
          <w:lang w:val="en-GB"/>
        </w:rPr>
      </w:pPr>
    </w:p>
    <w:p w14:paraId="58F497D0">
      <w:pPr>
        <w:spacing w:line="360" w:lineRule="auto"/>
        <w:jc w:val="center"/>
        <w:rPr>
          <w:rFonts w:ascii="Times New Roman" w:hAnsi="Times New Roman" w:eastAsia="Times New Roman" w:cs="Times New Roman"/>
          <w:b/>
          <w:sz w:val="28"/>
          <w:szCs w:val="24"/>
          <w:lang w:val="en-GB"/>
        </w:rPr>
      </w:pPr>
    </w:p>
    <w:p w14:paraId="21C3962E">
      <w:pPr>
        <w:spacing w:line="360" w:lineRule="auto"/>
        <w:jc w:val="center"/>
        <w:rPr>
          <w:rFonts w:hint="default" w:ascii="Times New Roman" w:hAnsi="Times New Roman" w:eastAsia="Times New Roman" w:cs="Times New Roman"/>
          <w:b/>
          <w:sz w:val="28"/>
          <w:szCs w:val="24"/>
          <w:lang w:val="en-GB"/>
        </w:rPr>
      </w:pPr>
      <w:r>
        <w:rPr>
          <w:rFonts w:ascii="Times New Roman" w:hAnsi="Times New Roman" w:eastAsia="Times New Roman" w:cs="Times New Roman"/>
          <w:b/>
          <w:sz w:val="28"/>
          <w:szCs w:val="24"/>
          <w:lang w:val="en-GB"/>
        </w:rPr>
        <w:t>STUDENT NAME</w:t>
      </w:r>
      <w:r>
        <w:rPr>
          <w:rFonts w:hint="default" w:ascii="Times New Roman" w:hAnsi="Times New Roman" w:eastAsia="Times New Roman" w:cs="Times New Roman"/>
          <w:b/>
          <w:sz w:val="28"/>
          <w:szCs w:val="24"/>
          <w:lang w:val="en-GB"/>
        </w:rPr>
        <w:t xml:space="preserve">: </w:t>
      </w:r>
    </w:p>
    <w:p w14:paraId="1CAD14B7">
      <w:pPr>
        <w:spacing w:line="360" w:lineRule="auto"/>
        <w:jc w:val="center"/>
        <w:rPr>
          <w:rFonts w:ascii="Times New Roman" w:hAnsi="Times New Roman" w:eastAsia="Times New Roman" w:cs="Times New Roman"/>
          <w:b/>
          <w:sz w:val="28"/>
          <w:szCs w:val="24"/>
          <w:lang w:val="en-GB"/>
        </w:rPr>
      </w:pPr>
      <w:r>
        <w:rPr>
          <w:rFonts w:ascii="Times New Roman" w:hAnsi="Times New Roman" w:eastAsia="Times New Roman" w:cs="Times New Roman"/>
          <w:b/>
          <w:sz w:val="28"/>
          <w:szCs w:val="24"/>
          <w:lang w:val="en-GB"/>
        </w:rPr>
        <w:t xml:space="preserve">STUDENT ID: </w:t>
      </w:r>
      <w:r>
        <w:rPr>
          <w:rFonts w:hint="default" w:ascii="Times New Roman" w:hAnsi="Times New Roman" w:eastAsia="Times New Roman"/>
          <w:b/>
          <w:sz w:val="28"/>
          <w:szCs w:val="24"/>
          <w:lang w:val="en-GB"/>
        </w:rPr>
        <w:t>2244613</w:t>
      </w:r>
    </w:p>
    <w:p w14:paraId="5E29BA95">
      <w:pPr>
        <w:spacing w:line="360" w:lineRule="auto"/>
        <w:jc w:val="center"/>
        <w:rPr>
          <w:rFonts w:hint="default" w:ascii="Times New Roman" w:hAnsi="Times New Roman" w:eastAsia="Times New Roman" w:cs="Times New Roman"/>
          <w:b/>
          <w:sz w:val="28"/>
          <w:szCs w:val="24"/>
          <w:lang w:val="en-GB"/>
        </w:rPr>
      </w:pPr>
      <w:r>
        <w:rPr>
          <w:rFonts w:hint="default" w:ascii="Times New Roman" w:hAnsi="Times New Roman" w:eastAsia="Times New Roman" w:cs="Times New Roman"/>
          <w:b/>
          <w:sz w:val="28"/>
          <w:szCs w:val="24"/>
          <w:lang w:val="en-GB"/>
        </w:rPr>
        <w:t>L</w:t>
      </w:r>
      <w:r>
        <w:rPr>
          <w:rFonts w:ascii="Times New Roman" w:hAnsi="Times New Roman" w:eastAsia="Times New Roman" w:cs="Times New Roman"/>
          <w:b/>
          <w:sz w:val="28"/>
          <w:szCs w:val="24"/>
          <w:lang w:val="en-GB"/>
        </w:rPr>
        <w:t>ECTURER’S NAME:</w:t>
      </w:r>
      <w:r>
        <w:rPr>
          <w:rFonts w:hint="default" w:ascii="Times New Roman" w:hAnsi="Times New Roman" w:eastAsia="Times New Roman" w:cs="Times New Roman"/>
          <w:b/>
          <w:sz w:val="28"/>
          <w:szCs w:val="24"/>
          <w:lang w:val="en-GB"/>
        </w:rPr>
        <w:t xml:space="preserve"> Charlotte Joyner </w:t>
      </w:r>
    </w:p>
    <w:p w14:paraId="4F322D11">
      <w:pPr>
        <w:jc w:val="center"/>
        <w:rPr>
          <w:rFonts w:hint="default" w:ascii="Times New Roman" w:hAnsi="Times New Roman" w:eastAsia="Times New Roman"/>
          <w:b/>
          <w:sz w:val="28"/>
          <w:szCs w:val="24"/>
          <w:lang w:val="en-GB"/>
        </w:rPr>
      </w:pPr>
    </w:p>
    <w:p w14:paraId="4D6EE8A8">
      <w:pPr>
        <w:jc w:val="center"/>
        <w:rPr>
          <w:rFonts w:hint="default" w:ascii="Times New Roman" w:hAnsi="Times New Roman" w:eastAsia="Times New Roman"/>
          <w:b/>
          <w:sz w:val="28"/>
          <w:szCs w:val="24"/>
          <w:lang w:val="en-GB"/>
        </w:rPr>
      </w:pPr>
    </w:p>
    <w:p w14:paraId="32D8FAB3">
      <w:pPr>
        <w:jc w:val="center"/>
        <w:rPr>
          <w:rFonts w:hint="default" w:ascii="Times New Roman" w:hAnsi="Times New Roman" w:eastAsia="Times New Roman"/>
          <w:b w:val="0"/>
          <w:bCs/>
          <w:sz w:val="22"/>
          <w:szCs w:val="21"/>
          <w:lang w:val="en-GB"/>
        </w:rPr>
      </w:pPr>
    </w:p>
    <w:p w14:paraId="6536D62C">
      <w:pPr>
        <w:jc w:val="center"/>
        <w:rPr>
          <w:rFonts w:hint="default" w:ascii="Times New Roman" w:hAnsi="Times New Roman" w:eastAsia="Times New Roman"/>
          <w:b w:val="0"/>
          <w:bCs/>
          <w:sz w:val="22"/>
          <w:szCs w:val="21"/>
          <w:lang w:val="en-GB"/>
        </w:rPr>
      </w:pPr>
      <w:r>
        <w:rPr>
          <w:rFonts w:hint="default" w:ascii="Times New Roman" w:hAnsi="Times New Roman" w:eastAsia="Times New Roman"/>
          <w:b w:val="0"/>
          <w:bCs/>
          <w:sz w:val="22"/>
          <w:szCs w:val="21"/>
          <w:lang w:val="en-GB"/>
        </w:rPr>
        <w:t>I confirm that I have not used any AI tools in the research and creation of this</w:t>
      </w:r>
    </w:p>
    <w:p w14:paraId="74C65FAC">
      <w:pPr>
        <w:jc w:val="center"/>
        <w:rPr>
          <w:rFonts w:hint="default" w:ascii="Times New Roman" w:hAnsi="Times New Roman" w:eastAsia="Times New Roman"/>
          <w:b w:val="0"/>
          <w:bCs/>
          <w:sz w:val="22"/>
          <w:szCs w:val="21"/>
          <w:lang w:val="en-GB"/>
        </w:rPr>
      </w:pPr>
      <w:r>
        <w:rPr>
          <w:rFonts w:hint="default" w:ascii="Times New Roman" w:hAnsi="Times New Roman" w:eastAsia="Times New Roman"/>
          <w:b w:val="0"/>
          <w:bCs/>
          <w:sz w:val="22"/>
          <w:szCs w:val="21"/>
          <w:lang w:val="en-GB"/>
        </w:rPr>
        <w:t>assignment. I confirm that I have not presented any AI generated materials as my own work. I confirm I have copies of my drafts, notes, and other resources I used, which I may be asked to provide in evidence.</w:t>
      </w:r>
    </w:p>
    <w:p w14:paraId="12186A25">
      <w:pPr>
        <w:rPr>
          <w:rFonts w:hint="default" w:ascii="Times New Roman" w:hAnsi="Times New Roman" w:eastAsia="Times New Roman"/>
          <w:b/>
          <w:sz w:val="28"/>
          <w:szCs w:val="24"/>
          <w:lang w:val="en-GB"/>
        </w:rPr>
      </w:pPr>
    </w:p>
    <w:p w14:paraId="757E9207">
      <w:pPr>
        <w:rPr>
          <w:rFonts w:hint="default" w:ascii="Times New Roman" w:hAnsi="Times New Roman" w:eastAsia="Times New Roman"/>
          <w:b/>
          <w:sz w:val="28"/>
          <w:szCs w:val="24"/>
          <w:lang w:val="en-GB"/>
        </w:rPr>
      </w:pPr>
    </w:p>
    <w:p w14:paraId="291663ED">
      <w:pPr>
        <w:rPr>
          <w:rFonts w:hint="default" w:ascii="Times New Roman" w:hAnsi="Times New Roman" w:eastAsia="Times New Roman"/>
          <w:b/>
          <w:sz w:val="28"/>
          <w:szCs w:val="24"/>
          <w:lang w:val="en-GB"/>
        </w:rPr>
      </w:pPr>
    </w:p>
    <w:p w14:paraId="22ABD7F3">
      <w:pPr>
        <w:rPr>
          <w:rFonts w:hint="default" w:ascii="Times New Roman" w:hAnsi="Times New Roman" w:eastAsia="Times New Roman"/>
          <w:b/>
          <w:sz w:val="28"/>
          <w:szCs w:val="24"/>
          <w:lang w:val="en-GB"/>
        </w:rPr>
      </w:pPr>
    </w:p>
    <w:p w14:paraId="1CAE9DBA">
      <w:pPr>
        <w:rPr>
          <w:rFonts w:hint="default" w:ascii="Times New Roman" w:hAnsi="Times New Roman" w:eastAsia="Times New Roman"/>
          <w:b/>
          <w:sz w:val="28"/>
          <w:szCs w:val="24"/>
          <w:lang w:val="en-GB"/>
        </w:rPr>
      </w:pPr>
    </w:p>
    <w:p w14:paraId="70022733">
      <w:pPr>
        <w:rPr>
          <w:rFonts w:hint="default" w:ascii="Times New Roman" w:hAnsi="Times New Roman" w:eastAsia="Times New Roman"/>
          <w:b/>
          <w:sz w:val="28"/>
          <w:szCs w:val="24"/>
          <w:lang w:val="en-GB"/>
        </w:rPr>
      </w:pPr>
    </w:p>
    <w:p w14:paraId="1C71DCB2">
      <w:pPr>
        <w:rPr>
          <w:rFonts w:hint="default" w:ascii="Times New Roman" w:hAnsi="Times New Roman" w:eastAsia="Times New Roman"/>
          <w:b/>
          <w:sz w:val="28"/>
          <w:szCs w:val="24"/>
          <w:lang w:val="en-GB"/>
        </w:rPr>
      </w:pPr>
    </w:p>
    <w:p w14:paraId="17BEED85">
      <w:pPr>
        <w:rPr>
          <w:rFonts w:hint="default" w:ascii="Times New Roman" w:hAnsi="Times New Roman" w:eastAsia="Times New Roman"/>
          <w:b/>
          <w:sz w:val="28"/>
          <w:szCs w:val="24"/>
          <w:lang w:val="en-GB"/>
        </w:rPr>
      </w:pPr>
    </w:p>
    <w:p w14:paraId="2D9CA19C">
      <w:pPr>
        <w:rPr>
          <w:rFonts w:hint="default" w:ascii="Times New Roman" w:hAnsi="Times New Roman" w:eastAsia="Times New Roman"/>
          <w:b/>
          <w:sz w:val="28"/>
          <w:szCs w:val="24"/>
          <w:lang w:val="en-GB"/>
        </w:rPr>
      </w:pPr>
    </w:p>
    <w:sdt>
      <w:sdtPr>
        <w:rPr>
          <w:rFonts w:ascii="Arial" w:hAnsi="Arial" w:eastAsia="Arial" w:cs="Arial"/>
          <w:b w:val="0"/>
          <w:bCs w:val="0"/>
          <w:color w:val="auto"/>
          <w:sz w:val="22"/>
          <w:szCs w:val="22"/>
          <w:lang w:val="en-GB"/>
        </w:rPr>
        <w:id w:val="1026439"/>
        <w:showingPlcHdr/>
        <w:docPartObj>
          <w:docPartGallery w:val="Table of Contents"/>
          <w:docPartUnique/>
        </w:docPartObj>
      </w:sdtPr>
      <w:sdtEndPr>
        <w:rPr>
          <w:rFonts w:ascii="Arial" w:hAnsi="Arial" w:eastAsia="Arial" w:cs="Arial"/>
          <w:b w:val="0"/>
          <w:bCs w:val="0"/>
          <w:color w:val="auto"/>
          <w:sz w:val="22"/>
          <w:szCs w:val="22"/>
          <w:lang w:val="en-GB"/>
        </w:rPr>
      </w:sdtEndPr>
      <w:sdtContent>
        <w:p w14:paraId="62C28E77">
          <w:pPr>
            <w:spacing w:line="360" w:lineRule="auto"/>
            <w:rPr>
              <w:rFonts w:ascii="Times New Roman" w:hAnsi="Times New Roman" w:eastAsia="Times New Roman" w:cs="Times New Roman"/>
              <w:b/>
              <w:sz w:val="24"/>
              <w:szCs w:val="24"/>
              <w:lang w:val="en-GB"/>
            </w:rPr>
          </w:pPr>
        </w:p>
      </w:sdtContent>
    </w:sdt>
    <w:p w14:paraId="04F3D0AE">
      <w:pPr>
        <w:pStyle w:val="3"/>
        <w:rPr>
          <w:rFonts w:eastAsia="Times New Roman" w:cs="Times New Roman"/>
          <w:szCs w:val="24"/>
          <w:lang w:val="en-GB"/>
        </w:rPr>
      </w:pPr>
      <w:r>
        <w:rPr>
          <w:rFonts w:eastAsia="Times New Roman" w:cs="Times New Roman"/>
          <w:szCs w:val="24"/>
          <w:lang w:val="en-GB"/>
        </w:rPr>
        <w:t xml:space="preserve">In order to become an effective entrepreneur, there are a certain number of characteristics and traits that one is required to have in them. Entrepreneurs with suitable entrepreneurial traits are able to help in facilitating business growth properly. In respect to that, the present study has tried to understand the different entrepreneurial traits/motivations in respect to certain theoretical elements. Apart from that the consideration of examples of entrepreneurs from the hospitality industry has been taken into account so that relevant evidence in reference to the entrepreneurship traits can be highlighted properly. Apart from that the comparison and contrast of the different traits/ motivations has been done in the study. </w:t>
      </w:r>
    </w:p>
    <w:p w14:paraId="6DBF6579">
      <w:pPr>
        <w:pStyle w:val="3"/>
        <w:rPr>
          <w:rFonts w:eastAsia="Times New Roman" w:cs="Times New Roman"/>
          <w:color w:val="222222"/>
          <w:szCs w:val="24"/>
          <w:highlight w:val="white"/>
          <w:lang w:val="en-GB"/>
        </w:rPr>
      </w:pPr>
      <w:r>
        <w:rPr>
          <w:rFonts w:eastAsia="Times New Roman" w:cs="Times New Roman"/>
          <w:szCs w:val="24"/>
          <w:lang w:val="en-GB"/>
        </w:rPr>
        <w:t xml:space="preserve">There are a certain number of theories that can be taken into account so that a better understanding of the context can be done. The use of the trait theory can be taken into account. As per the observation of </w:t>
      </w:r>
      <w:r>
        <w:rPr>
          <w:rFonts w:eastAsia="Times New Roman" w:cs="Times New Roman"/>
          <w:szCs w:val="24"/>
          <w:highlight w:val="white"/>
          <w:lang w:val="en-GB"/>
        </w:rPr>
        <w:t xml:space="preserve">Hassan </w:t>
      </w:r>
      <w:r>
        <w:rPr>
          <w:rFonts w:eastAsia="Times New Roman" w:cs="Times New Roman"/>
          <w:i/>
          <w:szCs w:val="24"/>
          <w:highlight w:val="white"/>
          <w:lang w:val="en-GB"/>
        </w:rPr>
        <w:t xml:space="preserve">et al. </w:t>
      </w:r>
      <w:r>
        <w:rPr>
          <w:rFonts w:eastAsia="Times New Roman" w:cs="Times New Roman"/>
          <w:szCs w:val="24"/>
          <w:lang w:val="en-GB"/>
        </w:rPr>
        <w:t xml:space="preserve">(2020), the trait theory is able to highlight that self-efficacy is one of the characteristic traits that is embedded among an entrepreneur and such type of characteristics trait cannot be developed through training and education. Thus, based on the theory, it can be implied that an entrepreneur will be required to make sure that they are able to have self-efficacy in them to become an effective entrepreneur. In order to understand it, the example of the entrepreneur </w:t>
      </w:r>
      <w:r>
        <w:rPr>
          <w:rFonts w:eastAsia="Times New Roman" w:cs="Times New Roman"/>
          <w:b/>
          <w:i/>
          <w:szCs w:val="24"/>
          <w:lang w:val="en-GB"/>
        </w:rPr>
        <w:t xml:space="preserve">Scott King, </w:t>
      </w:r>
      <w:r>
        <w:rPr>
          <w:rFonts w:eastAsia="Times New Roman" w:cs="Times New Roman"/>
          <w:szCs w:val="24"/>
          <w:lang w:val="en-GB"/>
        </w:rPr>
        <w:t>the founder of Travelodge can be taken into account. The reason for this is that Scott King had the required self-efficacy in him as he knew the amount of competition at that time. Scott King had auto courts and motels, however, identifying the opportunity, a hotel was opened by the entrepreneur in the year 1940 (</w:t>
      </w:r>
      <w:r>
        <w:rPr>
          <w:rFonts w:eastAsia="Times New Roman" w:cs="Times New Roman"/>
          <w:szCs w:val="24"/>
          <w:highlight w:val="white"/>
          <w:lang w:val="en-GB"/>
        </w:rPr>
        <w:t>Wroten, 2017</w:t>
      </w:r>
      <w:r>
        <w:rPr>
          <w:rFonts w:eastAsia="Times New Roman" w:cs="Times New Roman"/>
          <w:szCs w:val="24"/>
          <w:lang w:val="en-GB"/>
        </w:rPr>
        <w:t>). It needs to be taken into account that Travelodge in the early stages started to do franchising for their expansion and this led to the company operating in more than 400 locations across Canada, US as well as Mexico (</w:t>
      </w:r>
      <w:r>
        <w:rPr>
          <w:rFonts w:eastAsia="Times New Roman" w:cs="Times New Roman"/>
          <w:szCs w:val="24"/>
          <w:highlight w:val="white"/>
          <w:lang w:val="en-GB"/>
        </w:rPr>
        <w:t>Wroten, 2017</w:t>
      </w:r>
      <w:r>
        <w:rPr>
          <w:rFonts w:eastAsia="Times New Roman" w:cs="Times New Roman"/>
          <w:szCs w:val="24"/>
          <w:lang w:val="en-GB"/>
        </w:rPr>
        <w:t xml:space="preserve">). This is able to highlight that the self-efficacy of Scott King was significant, which helped Travelodge to make sure that they were able to reach their goal of expansion properly. </w:t>
      </w:r>
    </w:p>
    <w:p w14:paraId="51E7A0C4">
      <w:pPr>
        <w:pStyle w:val="3"/>
        <w:rPr>
          <w:rFonts w:eastAsia="Times New Roman" w:cs="Times New Roman"/>
          <w:color w:val="222222"/>
          <w:szCs w:val="24"/>
          <w:highlight w:val="white"/>
          <w:lang w:val="en-GB"/>
        </w:rPr>
      </w:pPr>
      <w:r>
        <w:rPr>
          <w:rFonts w:eastAsia="Times New Roman" w:cs="Times New Roman"/>
          <w:color w:val="222222"/>
          <w:szCs w:val="24"/>
          <w:highlight w:val="white"/>
          <w:lang w:val="en-GB"/>
        </w:rPr>
        <w:t>Apart from that in order to understand the self-efficacy of Scott King as an entrepreneur, it can be said that Scott King started an auto court in the year 1935, in the next five years; he was able to expand the business to 24 new locations across South California (Wyndham hotels, 2024). It gives an insight into the capability of the entrepreneur as even in the early stage of the business, he had been able to open in 24 new locations (Wyndhamhotels, 2024). This is able to complement the trait theory which identifies self-efficacy as one of the main traits of entrepreneurship.</w:t>
      </w:r>
    </w:p>
    <w:p w14:paraId="464E02B4">
      <w:pPr>
        <w:pStyle w:val="3"/>
        <w:rPr>
          <w:lang w:val="en-GB"/>
        </w:rPr>
      </w:pPr>
      <w:r>
        <w:rPr>
          <w:lang w:val="en-GB"/>
        </w:rPr>
        <w:t xml:space="preserve">In addition to the one examined, </w:t>
      </w:r>
      <w:r>
        <w:rPr>
          <w:b/>
          <w:i/>
          <w:lang w:val="en-GB"/>
        </w:rPr>
        <w:t xml:space="preserve">passion </w:t>
      </w:r>
      <w:r>
        <w:rPr>
          <w:lang w:val="en-GB"/>
        </w:rPr>
        <w:t xml:space="preserve">is another trait crucial for becoming an efficient entrepreneur. Passion is often discussed in terms of the role it plays towards entrepreneurial success. One of the theories that underpin the significance of passion and vision is the </w:t>
      </w:r>
      <w:r>
        <w:rPr>
          <w:b/>
          <w:i/>
          <w:lang w:val="en-GB"/>
        </w:rPr>
        <w:t>Grit Theory</w:t>
      </w:r>
      <w:r>
        <w:rPr>
          <w:lang w:val="en-GB"/>
        </w:rPr>
        <w:t xml:space="preserve">. The theory was developed by Angela Lee Duckworth and it describes the importance of passion and perseverance in achieving long-term goals (Amawidyati </w:t>
      </w:r>
      <w:r>
        <w:rPr>
          <w:i/>
          <w:lang w:val="en-GB"/>
        </w:rPr>
        <w:t>et al</w:t>
      </w:r>
      <w:r>
        <w:rPr>
          <w:lang w:val="en-GB"/>
        </w:rPr>
        <w:t xml:space="preserve">., 2021). Entrepreneurs who are driven by passion are more likely to remain committed to their vision in times when they might come across adversity, which is essential for long-term success.  This aligns with the challenge that entrepreneurs often face during the launch or scaling of the business. </w:t>
      </w:r>
    </w:p>
    <w:p w14:paraId="2D1DC904">
      <w:pPr>
        <w:pStyle w:val="3"/>
        <w:rPr>
          <w:lang w:val="en-GB"/>
        </w:rPr>
      </w:pPr>
      <w:r>
        <w:rPr>
          <w:lang w:val="en-GB"/>
        </w:rPr>
        <w:t xml:space="preserve">One of the entrepreneurs who present as a best-case example of passion and vision traits is </w:t>
      </w:r>
      <w:r>
        <w:rPr>
          <w:b/>
          <w:i/>
          <w:lang w:val="en-GB"/>
        </w:rPr>
        <w:t>Alice Waters</w:t>
      </w:r>
      <w:r>
        <w:rPr>
          <w:lang w:val="en-GB"/>
        </w:rPr>
        <w:t>. She is an American chef and restaurateur who founded a restaurant named Chez Panisse in Berkeley, California in 1971 (Beard, 2017). A pioneer of the farm-to-table movement, Water’s passion for sustainability, ethical food sourcing and local ingredients has been the driving for behind her restaurant and advocacy work. Her passion for ethical consumption has extended far beyond her restaurant. This can be seen through the prism of new projects that she has founded. Among them, one of the projects is the Edible Schoolyard project to educate children on sustainable food practices, reflecting her long-term commitment towards her vision (Zissu, 2023).</w:t>
      </w:r>
    </w:p>
    <w:p w14:paraId="30019EB2">
      <w:pPr>
        <w:pStyle w:val="3"/>
        <w:rPr>
          <w:lang w:val="en-GB"/>
        </w:rPr>
      </w:pPr>
      <w:r>
        <w:rPr>
          <w:lang w:val="en-GB"/>
        </w:rPr>
        <w:t xml:space="preserve">In the fast-paced work of entrepreneurship, risk-taking is a crucial factor that can make or break a business. Successful entrepreneurs understand the importance of embracing risks and making calculated decisions for the new venture. </w:t>
      </w:r>
      <w:r>
        <w:rPr>
          <w:b/>
          <w:i/>
          <w:lang w:val="en-GB"/>
        </w:rPr>
        <w:t>Risk-taking</w:t>
      </w:r>
      <w:r>
        <w:rPr>
          <w:lang w:val="en-GB"/>
        </w:rPr>
        <w:t xml:space="preserve"> is also one of the key traits among entrepreneurs and it involves stepping outside one’s comfort zone and challenging the status quo by seizing opportunities (Ramotowski, 2024). This is particularly highlighted by </w:t>
      </w:r>
      <w:r>
        <w:rPr>
          <w:b/>
          <w:i/>
          <w:lang w:val="en-GB"/>
        </w:rPr>
        <w:t>David McClelland's Need for Achievement Theory</w:t>
      </w:r>
      <w:r>
        <w:rPr>
          <w:lang w:val="en-GB"/>
        </w:rPr>
        <w:t>. The theory has identified that three needs motivate individuals; these are the need for achievement, the need for power and the need for affiliation (Nindyati, 2023). McClelland argues that entrepreneurs are characterized by a high need for achievement, which drives them to take calculated risks (Ncokazi and Mpiti, 2023). As an entrepreneur, one must be prepared and knowledgeable and not take risks blindly. Based on the theory it can be noted that, unlike gamblers, entrepreneurs do not take reckless risks, rather, they assess the probability of success and are willing to step into uncertainty.</w:t>
      </w:r>
    </w:p>
    <w:p w14:paraId="45561B6E">
      <w:pPr>
        <w:pStyle w:val="3"/>
        <w:rPr>
          <w:rFonts w:hint="default"/>
          <w:lang w:val="en-GB"/>
        </w:rPr>
      </w:pPr>
      <w:r>
        <w:rPr>
          <w:lang w:val="en-GB"/>
        </w:rPr>
        <w:t xml:space="preserve">One of the entrepreneurs in the practice that exemplifies the entrepreneurial trait of risk-taking is </w:t>
      </w:r>
      <w:r>
        <w:rPr>
          <w:b/>
          <w:i/>
          <w:lang w:val="en-GB"/>
        </w:rPr>
        <w:t>Gordon Ramsay</w:t>
      </w:r>
      <w:r>
        <w:rPr>
          <w:lang w:val="en-GB"/>
        </w:rPr>
        <w:t xml:space="preserve"> through its calculated expansion and ventures. His global restaurant empire includes Michelin-starred restaurants and ventures in different cuisines and locations. His global restaurant empire includes Michelin-starred restaurants and ventures in different cuisines and locations (Gordonramsayrestaurants, 2024). However, Ramsay also faced notable setbacks, such as restaurant closures due to financial issues. Despite these challenges, his willingness to risk his brand on new ventures has been key to his success (Sweney, 2022). One of the risk-taking examples is the opening of restaurants in areas that are known for high competition in areas that consist of similar hotels</w:t>
      </w:r>
      <w:r>
        <w:rPr>
          <w:rFonts w:hint="default"/>
          <w:lang w:val="en-GB"/>
        </w:rPr>
        <w:t xml:space="preserve">. </w:t>
      </w:r>
    </w:p>
    <w:p w14:paraId="64FBB0C0">
      <w:pPr>
        <w:pStyle w:val="3"/>
        <w:rPr>
          <w:lang w:val="en-GB"/>
        </w:rPr>
      </w:pPr>
      <w:r>
        <w:rPr>
          <w:b/>
          <w:i/>
          <w:lang w:val="en-GB"/>
        </w:rPr>
        <w:t>Innovation</w:t>
      </w:r>
      <w:r>
        <w:rPr>
          <w:lang w:val="en-GB"/>
        </w:rPr>
        <w:t xml:space="preserve"> is also one of the key traits of being a successful entrepreneur. According to McGoldrick (2024), they enable entrepreneurs to differentiate themselves, respond to market changes, drive growth, take risks, solve problems, foster a culture of continuous improvement and attract stakeholders. One of the theories that facilitate generating a better understanding of the role of entrepreneurs as an innovator is</w:t>
      </w:r>
      <w:r>
        <w:rPr>
          <w:b/>
          <w:i/>
          <w:lang w:val="en-GB"/>
        </w:rPr>
        <w:t xml:space="preserve"> Joseph Schumperter’s Theory of Innovation</w:t>
      </w:r>
      <w:r>
        <w:rPr>
          <w:lang w:val="en-GB"/>
        </w:rPr>
        <w:t xml:space="preserve">. The theory is based on the idea that entrepreneurs are the driving force behind economic development. It argues that entrepreneurship is about creative destructions where the old models are replaced with innovative solutions that disrupt industries. Schumpeter points out that entrepreneurs innovate not just by figuring out the ways to use inventions but also by introducing new means of production, customer engagement methods and new products (Sener </w:t>
      </w:r>
      <w:r>
        <w:rPr>
          <w:i/>
          <w:lang w:val="en-GB"/>
        </w:rPr>
        <w:t>et al</w:t>
      </w:r>
      <w:r>
        <w:rPr>
          <w:lang w:val="en-GB"/>
        </w:rPr>
        <w:t xml:space="preserve">., 2017).     </w:t>
      </w:r>
    </w:p>
    <w:p w14:paraId="51BABAC7">
      <w:pPr>
        <w:pStyle w:val="3"/>
        <w:rPr>
          <w:lang w:val="en-GB"/>
        </w:rPr>
      </w:pPr>
      <w:r>
        <w:rPr>
          <w:lang w:val="en-GB"/>
        </w:rPr>
        <w:t xml:space="preserve">Within the hospitality industry, one of the entrepreneurs who demonstrate innovation traits is </w:t>
      </w:r>
      <w:r>
        <w:rPr>
          <w:b/>
          <w:i/>
          <w:lang w:val="en-GB"/>
        </w:rPr>
        <w:t>René Redzepi</w:t>
      </w:r>
      <w:r>
        <w:rPr>
          <w:lang w:val="en-GB"/>
        </w:rPr>
        <w:t xml:space="preserve">. He is a Danish chef and the co-owner of three Michelin-star restaurants. He is noted for his work on the reinvention and refinement of new Nordic cuisine and food that is characterised by clean flavours and inventiveness (Bottinelli and Valva, 2017). As the co-founder and head chef of Noma in Copenhagen, Redzepi has redefined what modern fine dining could be by focusing on local seasonal and foraged ingredients. This is in stark contrast to the international haute cuisine that is dominated by elite dining. The innovation by Redzepi’s innovation extended beyond just ingredients. He has also been successful in restructuring the entire dining experience from the open kitchen design which encouraged interaction and transparency with diners (Bottinelli and Valva, 2017). By challenging the existing norms, Redzepi introduced a creative and sustainable approach to haute cuisine, earning Noma several titles as the best restaurant in the world. According to Gora (2017), one of the titles is that it has been crowned first in Restaurant Magazine’s Best Restaurant in the World competition in 2010. </w:t>
      </w:r>
    </w:p>
    <w:p w14:paraId="03693E55">
      <w:pPr>
        <w:pStyle w:val="3"/>
        <w:rPr>
          <w:lang w:val="en-GB"/>
        </w:rPr>
      </w:pPr>
      <w:r>
        <w:rPr>
          <w:lang w:val="en-GB"/>
        </w:rPr>
        <w:t>Overall, when comparing the traits of all four entrepreneurs that have been explored it can be observed that in different scenarios those traits might be different. While Ramsay's risk-taking involved global expansion and high-end dining ventures, other entrepreneurs might take risks concerning culinary innovation and the adoption of new business models. Such as René Redzepi who has challenged established norms of fine dining which might have resulted in customer backlash but aimed towards culinary reinvention. As a result, it has been observed that Chef Rene Redzepi will close down Noma as a restaurant at the end of 2024 (Walsh, 2023). The major reason behind the closure of the restaurant was the pressure of producing innovative cuisine daily. This difference shows that risk-taking can manifest in different areas but remains a cornerstone of entrepreneurial success. Henceforth, both entrepreneurs have demonstrated how entrepreneurs can use creativity to differentiate themselves in a competitive market.</w:t>
      </w:r>
    </w:p>
    <w:p w14:paraId="6CA69B02">
      <w:pPr>
        <w:pStyle w:val="3"/>
        <w:rPr>
          <w:lang w:val="en-GB"/>
        </w:rPr>
      </w:pPr>
      <w:r>
        <w:rPr>
          <w:lang w:val="en-GB"/>
        </w:rPr>
        <w:t xml:space="preserve">Concerning the competitiveness of the market, the self-efficacy trait has also been identified as key to entrepreneurial success. As self-efficacy is the belief in one's ability to succeed in a specific situation, therefore, it plays a crucial role in emotional regulation. Henceforth, opting for a franchising model in the early stages has allowed Scott King to effectively expand the business of Travelodge to more than 400 locations in North America (Wroten, 2017). Therefore, in the case of Alice Waters, it can be observed that by understanding their ability she has been able to offer people good food along with the experiences of a small restaurant which was something different.  Moreover, unlike Ramsay whose passion largely revolves around branding and risk-taking, Water's passion is deeply connected to a specific cause such as ethical consumption and sustainability. Both entrepreneurs exhibit passion, but Ramsay's vision involves scaling the brand globally. Waters focuses on maintaining a mission-driven restaurant that promotes sustainability. Henceforth, the comparison depicts how passion can epitomise either an individual vision as of Waters or brand expansion such as Ramsay.                                                </w:t>
      </w:r>
    </w:p>
    <w:p w14:paraId="71D08DA1">
      <w:pPr>
        <w:pStyle w:val="3"/>
        <w:rPr>
          <w:rFonts w:eastAsia="Times New Roman" w:cs="Times New Roman"/>
          <w:color w:val="222222"/>
          <w:szCs w:val="24"/>
          <w:highlight w:val="white"/>
          <w:lang w:val="en-GB"/>
        </w:rPr>
      </w:pPr>
      <w:bookmarkStart w:id="0" w:name="_6vzketslg20r" w:colFirst="0" w:colLast="0"/>
      <w:bookmarkEnd w:id="0"/>
      <w:r>
        <w:rPr>
          <w:rFonts w:hint="default"/>
          <w:lang w:val="en-GB"/>
        </w:rPr>
        <w:t>In general, it is feasible to draw the conclusion from the research that the qualities of risk-taking, inventiveness, excitement, and self-efficacy are required for the achievement of success in the field of entrepreneurship, particularly in the hotel industry. This is a conclusion that can be drawn from the research. Based on the findings of the investigation, this is the conclusion that can be formed. This is the conclusion that may be drawn on the inquiry based on the findings that were discovered. Through the completion of an in-depth research of the paths taken by four successful individuals—Gordon Ramsey, Alice Waters, René Redzepi, and Scott King—the study was able to provide an explanation for how these characteristics are accountable for diverse sorts of success. As a result of this, the research was able to explain how these characteristics are responsible for a wide range of different kinds of success. Scott King was able to demonstrate his potential for self-efficacy with the support of trait theory. This was accomplished by virtue of his ability to adopt the franchising model at the early phases of developing Travelodge for expansion. As a result of having the ability to adapt the model, this was successfully accomplished. It was feasible to demonstrate that this skill was already existent in a manner that was both efficient and comprehensive. Ramsay's capacity to take calculated risks has enabled the company to successfully expand its operations to many regions of the world. This expansion has been made possible by Ramsay's ability to risk-taking. Specifically, this is due to the fact that Ramsay's actions required taking risks that were carefully considered. Additionally, Redzepi's inventiveness generated a disruption in the conventional culinary models by virtue of the innovation that he has brought in through practice, and Water's excitement for sustainability caused a revolution in the culture of dining. Both of these factors contributed to the transformation. Both of these elements had a role in the introduction of a new innovation during the course of the process. Each one of these concepts was conceived as a consequence of the interaction of a number of diverse factors that led to their development. When taken as a whole, these characteristics have the potential to paint a comprehensive picture of the entrepreneurial attitude that exists within a sector that is continuously undergoing change and becoming more competitive.</w:t>
      </w:r>
      <w:bookmarkStart w:id="2" w:name="_GoBack"/>
      <w:bookmarkEnd w:id="2"/>
      <w:r>
        <w:rPr>
          <w:lang w:val="en-GB"/>
        </w:rPr>
        <w:br w:type="page"/>
      </w:r>
    </w:p>
    <w:p w14:paraId="39B50BA2">
      <w:pPr>
        <w:pStyle w:val="2"/>
        <w:rPr>
          <w:highlight w:val="white"/>
          <w:lang w:val="en-GB"/>
        </w:rPr>
      </w:pPr>
      <w:bookmarkStart w:id="1" w:name="_Toc179896423"/>
      <w:r>
        <w:rPr>
          <w:highlight w:val="white"/>
          <w:lang w:val="en-GB"/>
        </w:rPr>
        <w:t>Reference</w:t>
      </w:r>
      <w:bookmarkEnd w:id="1"/>
      <w:r>
        <w:rPr>
          <w:highlight w:val="white"/>
          <w:lang w:val="en-GB"/>
        </w:rPr>
        <w:t xml:space="preserve"> </w:t>
      </w:r>
    </w:p>
    <w:p w14:paraId="6C7A8AD2">
      <w:pPr>
        <w:pStyle w:val="3"/>
        <w:spacing w:before="240" w:after="240"/>
        <w:rPr>
          <w:lang w:val="en-GB"/>
        </w:rPr>
      </w:pPr>
      <w:r>
        <w:rPr>
          <w:lang w:val="en-GB"/>
        </w:rPr>
        <w:t>Amawidyati, S.A.G., Mahanani, F.K., Masudah, I., Aprilolita, V. and Irawati, S., 2021. Are you gritty people? A study of passion and perseverance in university students. In</w:t>
      </w:r>
      <w:r>
        <w:rPr>
          <w:i/>
          <w:lang w:val="en-GB"/>
        </w:rPr>
        <w:t xml:space="preserve"> Proceedings of the International Conference on Industrial Engineering and Operations Management </w:t>
      </w:r>
      <w:r>
        <w:rPr>
          <w:lang w:val="en-GB"/>
        </w:rPr>
        <w:t>(Vol. 5, No. 8, pp. 3481-3487).</w:t>
      </w:r>
    </w:p>
    <w:p w14:paraId="33EA1EDF">
      <w:pPr>
        <w:pStyle w:val="3"/>
        <w:spacing w:before="240" w:after="240"/>
        <w:rPr>
          <w:lang w:val="en-GB"/>
        </w:rPr>
      </w:pPr>
      <w:r>
        <w:rPr>
          <w:lang w:val="en-GB"/>
        </w:rPr>
        <w:t xml:space="preserve">Beard, 2017 </w:t>
      </w:r>
      <w:r>
        <w:rPr>
          <w:i/>
          <w:lang w:val="en-GB"/>
        </w:rPr>
        <w:t>Life’s Work: An Interview with Alice Waters</w:t>
      </w:r>
      <w:r>
        <w:rPr>
          <w:lang w:val="en-GB"/>
        </w:rPr>
        <w:t xml:space="preserve"> Available at: </w:t>
      </w:r>
      <w:r>
        <w:fldChar w:fldCharType="begin"/>
      </w:r>
      <w:r>
        <w:instrText xml:space="preserve"> HYPERLINK "https://hbr.org/2017/05/alice-waters" \h </w:instrText>
      </w:r>
      <w:r>
        <w:fldChar w:fldCharType="separate"/>
      </w:r>
      <w:r>
        <w:rPr>
          <w:color w:val="1155CC"/>
          <w:u w:val="single"/>
          <w:lang w:val="en-GB"/>
        </w:rPr>
        <w:t>https://hbr.org/2017/05/alice-waters</w:t>
      </w:r>
      <w:r>
        <w:rPr>
          <w:color w:val="1155CC"/>
          <w:u w:val="single"/>
          <w:lang w:val="en-GB"/>
        </w:rPr>
        <w:fldChar w:fldCharType="end"/>
      </w:r>
      <w:r>
        <w:rPr>
          <w:lang w:val="en-GB"/>
        </w:rPr>
        <w:t xml:space="preserve"> [Accessed on: 15 October 2024]</w:t>
      </w:r>
    </w:p>
    <w:p w14:paraId="7C035099">
      <w:pPr>
        <w:pStyle w:val="3"/>
        <w:spacing w:before="240" w:after="240"/>
        <w:rPr>
          <w:rFonts w:eastAsia="Times New Roman" w:cs="Times New Roman"/>
          <w:color w:val="222222"/>
          <w:szCs w:val="24"/>
          <w:highlight w:val="white"/>
          <w:lang w:val="en-GB"/>
        </w:rPr>
      </w:pPr>
      <w:r>
        <w:rPr>
          <w:lang w:val="en-GB"/>
        </w:rPr>
        <w:t xml:space="preserve">Bottinelli, S. and Valva, M.D.A. eds., 2017. </w:t>
      </w:r>
      <w:r>
        <w:rPr>
          <w:i/>
          <w:lang w:val="en-GB"/>
        </w:rPr>
        <w:t>The taste of art: Cooking, food, and counterculture in contemporary practices</w:t>
      </w:r>
      <w:r>
        <w:rPr>
          <w:lang w:val="en-GB"/>
        </w:rPr>
        <w:t>. University of Arkansas Press.</w:t>
      </w:r>
      <w:r>
        <w:rPr>
          <w:rFonts w:eastAsia="Times New Roman" w:cs="Times New Roman"/>
          <w:color w:val="222222"/>
          <w:szCs w:val="24"/>
          <w:highlight w:val="white"/>
          <w:lang w:val="en-GB"/>
        </w:rPr>
        <w:t>.</w:t>
      </w:r>
    </w:p>
    <w:p w14:paraId="63A127DC">
      <w:pPr>
        <w:pStyle w:val="3"/>
        <w:spacing w:before="240" w:after="240"/>
        <w:rPr>
          <w:lang w:val="en-GB"/>
        </w:rPr>
      </w:pPr>
      <w:r>
        <w:rPr>
          <w:lang w:val="en-GB"/>
        </w:rPr>
        <w:t xml:space="preserve">Gordonramsayrestaurants, 2024 </w:t>
      </w:r>
      <w:r>
        <w:rPr>
          <w:i/>
          <w:lang w:val="en-GB"/>
        </w:rPr>
        <w:t>Michelin-starred Dining at Gordon Ramsay Restaurants</w:t>
      </w:r>
      <w:r>
        <w:rPr>
          <w:lang w:val="en-GB"/>
        </w:rPr>
        <w:t xml:space="preserve"> Available at: </w:t>
      </w:r>
      <w:r>
        <w:fldChar w:fldCharType="begin"/>
      </w:r>
      <w:r>
        <w:instrText xml:space="preserve"> HYPERLINK "https://www.gordonramsayrestaurants.com/restaurants-and-bars/michelin-starred/?srsltid=AfmBOor7bLBgdtVcSE0RgW4p-1gq6NdNZ5fJVIg4K3HzJ6DhvyYQPT5A" \h </w:instrText>
      </w:r>
      <w:r>
        <w:fldChar w:fldCharType="separate"/>
      </w:r>
      <w:r>
        <w:rPr>
          <w:color w:val="1155CC"/>
          <w:u w:val="single"/>
          <w:lang w:val="en-GB"/>
        </w:rPr>
        <w:t>https://www.gordonramsayrestaurants.com/restaurants-and-bars/michelin-starred/?srsltid=AfmBOor7bLBgdtVcSE0RgW4p-1gq6NdNZ5fJVIg4K3HzJ6DhvyYQPT5A</w:t>
      </w:r>
      <w:r>
        <w:rPr>
          <w:color w:val="1155CC"/>
          <w:u w:val="single"/>
          <w:lang w:val="en-GB"/>
        </w:rPr>
        <w:fldChar w:fldCharType="end"/>
      </w:r>
      <w:r>
        <w:rPr>
          <w:lang w:val="en-GB"/>
        </w:rPr>
        <w:t xml:space="preserve"> [Accessed on: 15 October 2024]</w:t>
      </w:r>
    </w:p>
    <w:p w14:paraId="63281968">
      <w:pPr>
        <w:pStyle w:val="3"/>
        <w:spacing w:before="240" w:after="240"/>
        <w:rPr>
          <w:rFonts w:eastAsia="Times New Roman" w:cs="Times New Roman"/>
          <w:color w:val="222222"/>
          <w:szCs w:val="24"/>
          <w:highlight w:val="white"/>
          <w:lang w:val="en-GB"/>
        </w:rPr>
      </w:pPr>
      <w:r>
        <w:rPr>
          <w:rFonts w:eastAsia="Times New Roman" w:cs="Times New Roman"/>
          <w:color w:val="222222"/>
          <w:szCs w:val="24"/>
          <w:highlight w:val="white"/>
          <w:lang w:val="en-GB"/>
        </w:rPr>
        <w:t xml:space="preserve">Hassan, A., Saleem, I., Anwar, I. and Hussain, S.A., 2020. Entrepreneurial intention of Indian university students: the role of opportunity recognition and entrepreneurship education. </w:t>
      </w:r>
      <w:r>
        <w:rPr>
          <w:rFonts w:eastAsia="Times New Roman" w:cs="Times New Roman"/>
          <w:i/>
          <w:color w:val="222222"/>
          <w:szCs w:val="24"/>
          <w:highlight w:val="white"/>
          <w:lang w:val="en-GB"/>
        </w:rPr>
        <w:t>Education+ Training</w:t>
      </w:r>
      <w:r>
        <w:rPr>
          <w:rFonts w:eastAsia="Times New Roman" w:cs="Times New Roman"/>
          <w:color w:val="222222"/>
          <w:szCs w:val="24"/>
          <w:highlight w:val="white"/>
          <w:lang w:val="en-GB"/>
        </w:rPr>
        <w:t xml:space="preserve">, </w:t>
      </w:r>
      <w:r>
        <w:rPr>
          <w:rFonts w:eastAsia="Times New Roman" w:cs="Times New Roman"/>
          <w:i/>
          <w:color w:val="222222"/>
          <w:szCs w:val="24"/>
          <w:highlight w:val="white"/>
          <w:lang w:val="en-GB"/>
        </w:rPr>
        <w:t>62</w:t>
      </w:r>
      <w:r>
        <w:rPr>
          <w:rFonts w:eastAsia="Times New Roman" w:cs="Times New Roman"/>
          <w:color w:val="222222"/>
          <w:szCs w:val="24"/>
          <w:highlight w:val="white"/>
          <w:lang w:val="en-GB"/>
        </w:rPr>
        <w:t>(7/8), pp.843-861.</w:t>
      </w:r>
    </w:p>
    <w:p w14:paraId="3365B4F9">
      <w:pPr>
        <w:pStyle w:val="3"/>
        <w:spacing w:before="240" w:after="240"/>
        <w:rPr>
          <w:lang w:val="en-GB"/>
        </w:rPr>
      </w:pPr>
      <w:r>
        <w:rPr>
          <w:lang w:val="en-GB"/>
        </w:rPr>
        <w:t xml:space="preserve">McGoldrick, 2024 </w:t>
      </w:r>
      <w:r>
        <w:rPr>
          <w:i/>
          <w:lang w:val="en-GB"/>
        </w:rPr>
        <w:t>Importance of Creativity &amp; Innovation in Entrepreneurship 2024</w:t>
      </w:r>
      <w:r>
        <w:rPr>
          <w:lang w:val="en-GB"/>
        </w:rPr>
        <w:t xml:space="preserve"> Available at: </w:t>
      </w:r>
      <w:r>
        <w:fldChar w:fldCharType="begin"/>
      </w:r>
      <w:r>
        <w:instrText xml:space="preserve"> HYPERLINK "https://www.nexford.edu/insights/creativity-innovation-in-entrepreneurship" \l ":~:text=Innovation%20and%20creativity%20are%20vital,a%20culture%20of%20continuous%20improvement" \h </w:instrText>
      </w:r>
      <w:r>
        <w:fldChar w:fldCharType="separate"/>
      </w:r>
      <w:r>
        <w:rPr>
          <w:color w:val="1155CC"/>
          <w:u w:val="single"/>
          <w:lang w:val="en-GB"/>
        </w:rPr>
        <w:t>https://www.nexford.edu/insights/creativity-innovation-in-entrepreneurship#:~:text=Innovation%20and%20creativity%20are%20vital,a%20culture%20of%20continuous%20improvement</w:t>
      </w:r>
      <w:r>
        <w:rPr>
          <w:color w:val="1155CC"/>
          <w:u w:val="single"/>
          <w:lang w:val="en-GB"/>
        </w:rPr>
        <w:fldChar w:fldCharType="end"/>
      </w:r>
      <w:r>
        <w:rPr>
          <w:lang w:val="en-GB"/>
        </w:rPr>
        <w:t xml:space="preserve">. [Accessed on: 15 October 2024]   </w:t>
      </w:r>
    </w:p>
    <w:p w14:paraId="6EDE97CE">
      <w:pPr>
        <w:pStyle w:val="3"/>
        <w:spacing w:before="240" w:after="240"/>
        <w:rPr>
          <w:lang w:val="en-GB"/>
        </w:rPr>
      </w:pPr>
      <w:r>
        <w:rPr>
          <w:lang w:val="en-GB"/>
        </w:rPr>
        <w:t xml:space="preserve">Ncokazi, A. and Mpiti, P.T., 2023. Critical evaluation of the relationship between the need for achievement and entrepreneurship performance: risk-taking propensity, entrepreneurial independence and motivation. In </w:t>
      </w:r>
      <w:r>
        <w:rPr>
          <w:i/>
          <w:lang w:val="en-GB"/>
        </w:rPr>
        <w:t>Motivation and Success</w:t>
      </w:r>
      <w:r>
        <w:rPr>
          <w:lang w:val="en-GB"/>
        </w:rPr>
        <w:t xml:space="preserve">. IntechOpen.      </w:t>
      </w:r>
    </w:p>
    <w:p w14:paraId="30426246">
      <w:pPr>
        <w:pStyle w:val="3"/>
        <w:spacing w:before="240" w:after="240"/>
        <w:rPr>
          <w:lang w:val="en-GB"/>
        </w:rPr>
      </w:pPr>
      <w:r>
        <w:rPr>
          <w:lang w:val="en-GB"/>
        </w:rPr>
        <w:t xml:space="preserve">Nindyati, A.D., 2023. Profiling Needs of X Private University's Students in Jakarta Using McClelland's Theory Approach. </w:t>
      </w:r>
      <w:r>
        <w:rPr>
          <w:i/>
          <w:lang w:val="en-GB"/>
        </w:rPr>
        <w:t>Journal of Health and Behavioral Science</w:t>
      </w:r>
      <w:r>
        <w:rPr>
          <w:lang w:val="en-GB"/>
        </w:rPr>
        <w:t>, 5(1), pp.134-149.</w:t>
      </w:r>
    </w:p>
    <w:p w14:paraId="62C1C40F">
      <w:pPr>
        <w:pStyle w:val="3"/>
        <w:spacing w:before="240" w:after="240"/>
        <w:rPr>
          <w:lang w:val="en-GB"/>
        </w:rPr>
      </w:pPr>
      <w:r>
        <w:rPr>
          <w:lang w:val="en-GB"/>
        </w:rPr>
        <w:t>Ramotowski, 2024</w:t>
      </w:r>
      <w:r>
        <w:rPr>
          <w:i/>
          <w:lang w:val="en-GB"/>
        </w:rPr>
        <w:t xml:space="preserve"> Types &amp; Importance of Risk Taking in Entrepreneurship 2024 </w:t>
      </w:r>
      <w:r>
        <w:rPr>
          <w:lang w:val="en-GB"/>
        </w:rPr>
        <w:t xml:space="preserve">Available at: </w:t>
      </w:r>
      <w:r>
        <w:fldChar w:fldCharType="begin"/>
      </w:r>
      <w:r>
        <w:instrText xml:space="preserve"> HYPERLINK "https://www.nexford.edu/insights/risk-taking-in-entrepreneurship" \h </w:instrText>
      </w:r>
      <w:r>
        <w:fldChar w:fldCharType="separate"/>
      </w:r>
      <w:r>
        <w:rPr>
          <w:color w:val="1155CC"/>
          <w:u w:val="single"/>
          <w:lang w:val="en-GB"/>
        </w:rPr>
        <w:t>https://www.nexford.edu/insights/risk-taking-in-entrepreneurship</w:t>
      </w:r>
      <w:r>
        <w:rPr>
          <w:color w:val="1155CC"/>
          <w:u w:val="single"/>
          <w:lang w:val="en-GB"/>
        </w:rPr>
        <w:fldChar w:fldCharType="end"/>
      </w:r>
      <w:r>
        <w:rPr>
          <w:lang w:val="en-GB"/>
        </w:rPr>
        <w:t xml:space="preserve"> [Accessed on: 15 October 2024]</w:t>
      </w:r>
    </w:p>
    <w:p w14:paraId="5682D383">
      <w:pPr>
        <w:pStyle w:val="3"/>
        <w:spacing w:before="240" w:after="240"/>
        <w:rPr>
          <w:lang w:val="en-GB"/>
        </w:rPr>
      </w:pPr>
      <w:r>
        <w:rPr>
          <w:lang w:val="en-GB"/>
        </w:rPr>
        <w:t>Sener, S., Hacioglu, V. and Akdemiral, A., 2017. Invention and innovation in economic change.</w:t>
      </w:r>
      <w:r>
        <w:rPr>
          <w:i/>
          <w:lang w:val="en-GB"/>
        </w:rPr>
        <w:t xml:space="preserve"> Journal of Economics Finance and Accounting, </w:t>
      </w:r>
      <w:r>
        <w:rPr>
          <w:lang w:val="en-GB"/>
        </w:rPr>
        <w:t xml:space="preserve">4(2), pp.203-208.    </w:t>
      </w:r>
    </w:p>
    <w:p w14:paraId="2C0D7D27">
      <w:pPr>
        <w:pStyle w:val="3"/>
        <w:spacing w:before="240" w:after="240"/>
        <w:rPr>
          <w:lang w:val="en-GB"/>
        </w:rPr>
      </w:pPr>
      <w:r>
        <w:rPr>
          <w:lang w:val="en-GB"/>
        </w:rPr>
        <w:t xml:space="preserve">Walsh, 2023 </w:t>
      </w:r>
      <w:r>
        <w:rPr>
          <w:i/>
          <w:lang w:val="en-GB"/>
        </w:rPr>
        <w:t>Noma’s closing exposes the contradictions of fine dining</w:t>
      </w:r>
      <w:r>
        <w:rPr>
          <w:lang w:val="en-GB"/>
        </w:rPr>
        <w:t xml:space="preserve"> Available at: </w:t>
      </w:r>
      <w:r>
        <w:fldChar w:fldCharType="begin"/>
      </w:r>
      <w:r>
        <w:instrText xml:space="preserve"> HYPERLINK "https://www.vox.com/future-perfect/2023/1/14/23553765/noma-rene-redzepi-fine-dining-art-restaurants-cuisine" \h </w:instrText>
      </w:r>
      <w:r>
        <w:fldChar w:fldCharType="separate"/>
      </w:r>
      <w:r>
        <w:rPr>
          <w:color w:val="1155CC"/>
          <w:u w:val="single"/>
          <w:lang w:val="en-GB"/>
        </w:rPr>
        <w:t>https://www.vox.com/future-perfect/2023/1/14/23553765/noma-rene-redzepi-fine-dining-art-restaurants-cuisine</w:t>
      </w:r>
      <w:r>
        <w:rPr>
          <w:color w:val="1155CC"/>
          <w:u w:val="single"/>
          <w:lang w:val="en-GB"/>
        </w:rPr>
        <w:fldChar w:fldCharType="end"/>
      </w:r>
      <w:r>
        <w:rPr>
          <w:lang w:val="en-GB"/>
        </w:rPr>
        <w:t xml:space="preserve"> [Accessed on: 15 October 2024]</w:t>
      </w:r>
    </w:p>
    <w:p w14:paraId="4718AD9D">
      <w:pPr>
        <w:pStyle w:val="3"/>
        <w:spacing w:before="240" w:after="240"/>
        <w:rPr>
          <w:rFonts w:eastAsia="Times New Roman" w:cs="Times New Roman"/>
          <w:color w:val="222222"/>
          <w:szCs w:val="24"/>
          <w:highlight w:val="white"/>
          <w:lang w:val="en-GB"/>
        </w:rPr>
      </w:pPr>
      <w:r>
        <w:rPr>
          <w:rFonts w:eastAsia="Times New Roman" w:cs="Times New Roman"/>
          <w:color w:val="222222"/>
          <w:szCs w:val="24"/>
          <w:highlight w:val="white"/>
          <w:lang w:val="en-GB"/>
        </w:rPr>
        <w:t xml:space="preserve">Wroten, B. 2017. </w:t>
      </w:r>
      <w:r>
        <w:rPr>
          <w:rFonts w:eastAsia="Times New Roman" w:cs="Times New Roman"/>
          <w:i/>
          <w:color w:val="222222"/>
          <w:szCs w:val="24"/>
          <w:highlight w:val="white"/>
          <w:lang w:val="en-GB"/>
        </w:rPr>
        <w:t xml:space="preserve">From Auto Court to Hotel: The Development of Travelodge. </w:t>
      </w:r>
      <w:r>
        <w:rPr>
          <w:rFonts w:eastAsia="Times New Roman" w:cs="Times New Roman"/>
          <w:color w:val="222222"/>
          <w:szCs w:val="24"/>
          <w:highlight w:val="white"/>
          <w:lang w:val="en-GB"/>
        </w:rPr>
        <w:t>Available at &lt;</w:t>
      </w:r>
      <w:r>
        <w:fldChar w:fldCharType="begin"/>
      </w:r>
      <w:r>
        <w:instrText xml:space="preserve"> HYPERLINK "https://www.costar.com/article/1501205873/from-auto-court-to-hotel-the-development-of-travelodge" \h </w:instrText>
      </w:r>
      <w:r>
        <w:fldChar w:fldCharType="separate"/>
      </w:r>
      <w:r>
        <w:rPr>
          <w:rFonts w:eastAsia="Times New Roman" w:cs="Times New Roman"/>
          <w:color w:val="1155CC"/>
          <w:szCs w:val="24"/>
          <w:highlight w:val="white"/>
          <w:u w:val="single"/>
          <w:lang w:val="en-GB"/>
        </w:rPr>
        <w:t>https://www.costar.com/article/1501205873/from-auto-court-to-hotel-the-development-of-travelodge</w:t>
      </w:r>
      <w:r>
        <w:rPr>
          <w:rFonts w:eastAsia="Times New Roman" w:cs="Times New Roman"/>
          <w:color w:val="1155CC"/>
          <w:szCs w:val="24"/>
          <w:highlight w:val="white"/>
          <w:u w:val="single"/>
          <w:lang w:val="en-GB"/>
        </w:rPr>
        <w:fldChar w:fldCharType="end"/>
      </w:r>
      <w:r>
        <w:rPr>
          <w:rFonts w:eastAsia="Times New Roman" w:cs="Times New Roman"/>
          <w:color w:val="222222"/>
          <w:szCs w:val="24"/>
          <w:highlight w:val="white"/>
          <w:lang w:val="en-GB"/>
        </w:rPr>
        <w:t>&gt; [Accessed 14 October 2024]</w:t>
      </w:r>
    </w:p>
    <w:p w14:paraId="4505A8D7">
      <w:pPr>
        <w:pStyle w:val="3"/>
        <w:spacing w:before="240" w:after="240"/>
        <w:rPr>
          <w:rFonts w:eastAsia="Times New Roman" w:cs="Times New Roman"/>
          <w:color w:val="222222"/>
          <w:szCs w:val="24"/>
          <w:highlight w:val="white"/>
          <w:lang w:val="en-GB"/>
        </w:rPr>
      </w:pPr>
      <w:r>
        <w:rPr>
          <w:rFonts w:eastAsia="Times New Roman" w:cs="Times New Roman"/>
          <w:color w:val="222222"/>
          <w:szCs w:val="24"/>
          <w:highlight w:val="white"/>
          <w:lang w:val="en-GB"/>
        </w:rPr>
        <w:t xml:space="preserve">Wyndhamhotels. 2024. </w:t>
      </w:r>
      <w:r>
        <w:rPr>
          <w:rFonts w:eastAsia="Times New Roman" w:cs="Times New Roman"/>
          <w:i/>
          <w:color w:val="222222"/>
          <w:szCs w:val="24"/>
          <w:highlight w:val="white"/>
          <w:lang w:val="en-GB"/>
        </w:rPr>
        <w:t xml:space="preserve">About Travelodge. </w:t>
      </w:r>
      <w:r>
        <w:rPr>
          <w:rFonts w:eastAsia="Times New Roman" w:cs="Times New Roman"/>
          <w:color w:val="222222"/>
          <w:szCs w:val="24"/>
          <w:highlight w:val="white"/>
          <w:lang w:val="en-GB"/>
        </w:rPr>
        <w:t>Available at &lt;</w:t>
      </w:r>
      <w:r>
        <w:fldChar w:fldCharType="begin"/>
      </w:r>
      <w:r>
        <w:instrText xml:space="preserve"> HYPERLINK "https://fqax.wyndhamhotels.com/travelodge/about-us" \h </w:instrText>
      </w:r>
      <w:r>
        <w:fldChar w:fldCharType="separate"/>
      </w:r>
      <w:r>
        <w:rPr>
          <w:rFonts w:eastAsia="Times New Roman" w:cs="Times New Roman"/>
          <w:color w:val="1155CC"/>
          <w:szCs w:val="24"/>
          <w:highlight w:val="white"/>
          <w:u w:val="single"/>
          <w:lang w:val="en-GB"/>
        </w:rPr>
        <w:t>https://fqax.wyndhamhotels.com/travelodge/about-us</w:t>
      </w:r>
      <w:r>
        <w:rPr>
          <w:rFonts w:eastAsia="Times New Roman" w:cs="Times New Roman"/>
          <w:color w:val="1155CC"/>
          <w:szCs w:val="24"/>
          <w:highlight w:val="white"/>
          <w:u w:val="single"/>
          <w:lang w:val="en-GB"/>
        </w:rPr>
        <w:fldChar w:fldCharType="end"/>
      </w:r>
      <w:r>
        <w:rPr>
          <w:rFonts w:eastAsia="Times New Roman" w:cs="Times New Roman"/>
          <w:color w:val="222222"/>
          <w:szCs w:val="24"/>
          <w:highlight w:val="white"/>
          <w:lang w:val="en-GB"/>
        </w:rPr>
        <w:t>&gt; [Accessed 14 October 2024]</w:t>
      </w:r>
    </w:p>
    <w:p w14:paraId="6192B76C">
      <w:pPr>
        <w:pStyle w:val="3"/>
        <w:spacing w:before="240" w:after="240"/>
        <w:rPr>
          <w:lang w:val="en-GB"/>
        </w:rPr>
      </w:pPr>
      <w:r>
        <w:rPr>
          <w:lang w:val="en-GB"/>
        </w:rPr>
        <w:t xml:space="preserve">Zissu, 2023 </w:t>
      </w:r>
      <w:r>
        <w:rPr>
          <w:i/>
          <w:lang w:val="en-GB"/>
        </w:rPr>
        <w:t>Alice Waters wants to make education edible in Rhinebeck</w:t>
      </w:r>
      <w:r>
        <w:rPr>
          <w:lang w:val="en-GB"/>
        </w:rPr>
        <w:t xml:space="preserve"> Available at: </w:t>
      </w:r>
      <w:r>
        <w:fldChar w:fldCharType="begin"/>
      </w:r>
      <w:r>
        <w:instrText xml:space="preserve"> HYPERLINK "https://www.timesunion.com/hudsonvalley/makers/article/alice-waters-rhinebeck-edible-schoolyard-project-18119957.php" \h </w:instrText>
      </w:r>
      <w:r>
        <w:fldChar w:fldCharType="separate"/>
      </w:r>
      <w:r>
        <w:rPr>
          <w:color w:val="1155CC"/>
          <w:u w:val="single"/>
          <w:lang w:val="en-GB"/>
        </w:rPr>
        <w:t>https://www.timesunion.com/hudsonvalley/makers/article/alice-waters-rhinebeck-edible-schoolyard-project-18119957.php</w:t>
      </w:r>
      <w:r>
        <w:rPr>
          <w:color w:val="1155CC"/>
          <w:u w:val="single"/>
          <w:lang w:val="en-GB"/>
        </w:rPr>
        <w:fldChar w:fldCharType="end"/>
      </w:r>
      <w:r>
        <w:rPr>
          <w:lang w:val="en-GB"/>
        </w:rPr>
        <w:t xml:space="preserve"> [Accessed on: 15 October 2024]</w:t>
      </w:r>
    </w:p>
    <w:p w14:paraId="56CA9E86">
      <w:pPr>
        <w:pStyle w:val="3"/>
        <w:spacing w:before="240" w:after="240"/>
        <w:rPr>
          <w:rFonts w:eastAsia="Times New Roman" w:cs="Times New Roman"/>
          <w:color w:val="222222"/>
          <w:szCs w:val="24"/>
          <w:highlight w:val="white"/>
          <w:lang w:val="en-GB"/>
        </w:rPr>
      </w:pPr>
    </w:p>
    <w:p w14:paraId="52E22528">
      <w:pPr>
        <w:pStyle w:val="3"/>
        <w:rPr>
          <w:rFonts w:eastAsia="Times New Roman" w:cs="Times New Roman"/>
          <w:szCs w:val="24"/>
          <w:lang w:val="en-GB"/>
        </w:rPr>
      </w:pP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08"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w:panose1 w:val="020B0604020202020204"/>
    <w:charset w:val="86"/>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6438"/>
      <w:docPartObj>
        <w:docPartGallery w:val="autotext"/>
      </w:docPartObj>
    </w:sdtPr>
    <w:sdtContent>
      <w:p w14:paraId="58D57AAB">
        <w:pPr>
          <w:pStyle w:val="12"/>
          <w:jc w:val="right"/>
        </w:pPr>
        <w:r>
          <w:fldChar w:fldCharType="begin"/>
        </w:r>
        <w:r>
          <w:instrText xml:space="preserve"> PAGE   \* MERGEFORMAT </w:instrText>
        </w:r>
        <w:r>
          <w:fldChar w:fldCharType="separate"/>
        </w:r>
        <w:r>
          <w:t>1</w:t>
        </w:r>
        <w:r>
          <w:fldChar w:fldCharType="end"/>
        </w:r>
      </w:p>
    </w:sdtContent>
  </w:sdt>
  <w:p w14:paraId="0EC400D0">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2"/>
  </w:compat>
  <w:rsids>
    <w:rsidRoot w:val="00AC574E"/>
    <w:rsid w:val="0006712C"/>
    <w:rsid w:val="00072950"/>
    <w:rsid w:val="000E17E9"/>
    <w:rsid w:val="0025296D"/>
    <w:rsid w:val="002743E7"/>
    <w:rsid w:val="002A670F"/>
    <w:rsid w:val="003E62B8"/>
    <w:rsid w:val="0046530E"/>
    <w:rsid w:val="0047050B"/>
    <w:rsid w:val="00491D06"/>
    <w:rsid w:val="00607194"/>
    <w:rsid w:val="0070186D"/>
    <w:rsid w:val="00723804"/>
    <w:rsid w:val="00822EC2"/>
    <w:rsid w:val="0084094F"/>
    <w:rsid w:val="00882C85"/>
    <w:rsid w:val="00887390"/>
    <w:rsid w:val="00894A1F"/>
    <w:rsid w:val="00942A57"/>
    <w:rsid w:val="009C58DD"/>
    <w:rsid w:val="00A61EC6"/>
    <w:rsid w:val="00A80580"/>
    <w:rsid w:val="00AC574E"/>
    <w:rsid w:val="00BA0DFA"/>
    <w:rsid w:val="00C844B0"/>
    <w:rsid w:val="00D75A47"/>
    <w:rsid w:val="00DE7727"/>
    <w:rsid w:val="00DF0E93"/>
    <w:rsid w:val="00F07C31"/>
    <w:rsid w:val="00FA2117"/>
    <w:rsid w:val="00FC3DD2"/>
    <w:rsid w:val="00FE54E6"/>
    <w:rsid w:val="223B4F50"/>
    <w:rsid w:val="6AA175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US" w:eastAsia="en-US" w:bidi="ar-SA"/>
    </w:rPr>
  </w:style>
  <w:style w:type="paragraph" w:styleId="2">
    <w:name w:val="heading 1"/>
    <w:basedOn w:val="3"/>
    <w:next w:val="3"/>
    <w:uiPriority w:val="0"/>
    <w:pPr>
      <w:keepNext/>
      <w:keepLines/>
      <w:spacing w:before="400" w:after="120"/>
      <w:outlineLvl w:val="0"/>
    </w:pPr>
    <w:rPr>
      <w:b/>
      <w:sz w:val="28"/>
      <w:szCs w:val="40"/>
    </w:rPr>
  </w:style>
  <w:style w:type="paragraph" w:styleId="4">
    <w:name w:val="heading 2"/>
    <w:basedOn w:val="3"/>
    <w:next w:val="3"/>
    <w:uiPriority w:val="0"/>
    <w:pPr>
      <w:keepNext/>
      <w:keepLines/>
      <w:spacing w:before="360" w:after="120"/>
      <w:outlineLvl w:val="1"/>
    </w:pPr>
    <w:rPr>
      <w:sz w:val="32"/>
      <w:szCs w:val="32"/>
    </w:rPr>
  </w:style>
  <w:style w:type="paragraph" w:styleId="5">
    <w:name w:val="heading 3"/>
    <w:basedOn w:val="3"/>
    <w:next w:val="3"/>
    <w:uiPriority w:val="0"/>
    <w:pPr>
      <w:keepNext/>
      <w:keepLines/>
      <w:spacing w:before="320" w:after="80"/>
      <w:outlineLvl w:val="2"/>
    </w:pPr>
    <w:rPr>
      <w:color w:val="434343"/>
      <w:sz w:val="28"/>
      <w:szCs w:val="28"/>
    </w:rPr>
  </w:style>
  <w:style w:type="paragraph" w:styleId="6">
    <w:name w:val="heading 4"/>
    <w:basedOn w:val="3"/>
    <w:next w:val="3"/>
    <w:uiPriority w:val="0"/>
    <w:pPr>
      <w:keepNext/>
      <w:keepLines/>
      <w:spacing w:before="280" w:after="80"/>
      <w:outlineLvl w:val="3"/>
    </w:pPr>
    <w:rPr>
      <w:color w:val="666666"/>
      <w:szCs w:val="24"/>
    </w:rPr>
  </w:style>
  <w:style w:type="paragraph" w:styleId="7">
    <w:name w:val="heading 5"/>
    <w:basedOn w:val="3"/>
    <w:next w:val="3"/>
    <w:uiPriority w:val="0"/>
    <w:pPr>
      <w:keepNext/>
      <w:keepLines/>
      <w:spacing w:before="240" w:after="80"/>
      <w:outlineLvl w:val="4"/>
    </w:pPr>
    <w:rPr>
      <w:color w:val="666666"/>
    </w:rPr>
  </w:style>
  <w:style w:type="paragraph" w:styleId="8">
    <w:name w:val="heading 6"/>
    <w:basedOn w:val="3"/>
    <w:next w:val="3"/>
    <w:uiPriority w:val="0"/>
    <w:pPr>
      <w:keepNext/>
      <w:keepLines/>
      <w:spacing w:before="240" w:after="80"/>
      <w:outlineLvl w:val="5"/>
    </w:pPr>
    <w:rPr>
      <w:i/>
      <w:color w:val="666666"/>
    </w:rPr>
  </w:style>
  <w:style w:type="character" w:default="1" w:styleId="9">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3">
    <w:name w:val="normal"/>
    <w:uiPriority w:val="0"/>
    <w:pPr>
      <w:spacing w:line="360" w:lineRule="auto"/>
      <w:jc w:val="both"/>
    </w:pPr>
    <w:rPr>
      <w:rFonts w:ascii="Times New Roman" w:hAnsi="Times New Roman" w:eastAsia="Arial" w:cs="Arial"/>
      <w:sz w:val="24"/>
      <w:szCs w:val="22"/>
      <w:lang w:val="en-US" w:eastAsia="en-US" w:bidi="ar-SA"/>
    </w:rPr>
  </w:style>
  <w:style w:type="paragraph" w:styleId="11">
    <w:name w:val="Balloon Text"/>
    <w:basedOn w:val="1"/>
    <w:link w:val="22"/>
    <w:semiHidden/>
    <w:unhideWhenUsed/>
    <w:uiPriority w:val="99"/>
    <w:pPr>
      <w:spacing w:line="240" w:lineRule="auto"/>
    </w:pPr>
    <w:rPr>
      <w:rFonts w:ascii="Tahoma" w:hAnsi="Tahoma" w:cs="Tahoma"/>
      <w:sz w:val="16"/>
      <w:szCs w:val="16"/>
    </w:rPr>
  </w:style>
  <w:style w:type="paragraph" w:styleId="12">
    <w:name w:val="footer"/>
    <w:basedOn w:val="1"/>
    <w:link w:val="20"/>
    <w:unhideWhenUsed/>
    <w:uiPriority w:val="99"/>
    <w:pPr>
      <w:tabs>
        <w:tab w:val="center" w:pos="4680"/>
        <w:tab w:val="right" w:pos="9360"/>
      </w:tabs>
      <w:spacing w:line="240" w:lineRule="auto"/>
    </w:pPr>
  </w:style>
  <w:style w:type="paragraph" w:styleId="13">
    <w:name w:val="header"/>
    <w:basedOn w:val="1"/>
    <w:link w:val="19"/>
    <w:semiHidden/>
    <w:unhideWhenUsed/>
    <w:uiPriority w:val="99"/>
    <w:pPr>
      <w:tabs>
        <w:tab w:val="center" w:pos="4680"/>
        <w:tab w:val="right" w:pos="9360"/>
      </w:tabs>
      <w:spacing w:line="240" w:lineRule="auto"/>
    </w:pPr>
  </w:style>
  <w:style w:type="character" w:styleId="14">
    <w:name w:val="Hyperlink"/>
    <w:basedOn w:val="9"/>
    <w:unhideWhenUsed/>
    <w:qFormat/>
    <w:uiPriority w:val="99"/>
    <w:rPr>
      <w:color w:val="0000FF" w:themeColor="hyperlink"/>
      <w:u w:val="single"/>
    </w:rPr>
  </w:style>
  <w:style w:type="paragraph" w:styleId="15">
    <w:name w:val="Subtitle"/>
    <w:basedOn w:val="3"/>
    <w:next w:val="3"/>
    <w:uiPriority w:val="0"/>
    <w:pPr>
      <w:keepNext/>
      <w:keepLines/>
      <w:spacing w:after="320"/>
    </w:pPr>
    <w:rPr>
      <w:color w:val="666666"/>
      <w:sz w:val="30"/>
      <w:szCs w:val="30"/>
    </w:rPr>
  </w:style>
  <w:style w:type="paragraph" w:styleId="16">
    <w:name w:val="Title"/>
    <w:basedOn w:val="3"/>
    <w:next w:val="3"/>
    <w:uiPriority w:val="0"/>
    <w:pPr>
      <w:keepNext/>
      <w:keepLines/>
      <w:spacing w:after="60"/>
    </w:pPr>
    <w:rPr>
      <w:sz w:val="52"/>
      <w:szCs w:val="52"/>
    </w:rPr>
  </w:style>
  <w:style w:type="paragraph" w:styleId="17">
    <w:name w:val="toc 1"/>
    <w:basedOn w:val="1"/>
    <w:next w:val="1"/>
    <w:autoRedefine/>
    <w:unhideWhenUsed/>
    <w:uiPriority w:val="39"/>
    <w:pPr>
      <w:spacing w:after="100"/>
    </w:pPr>
  </w:style>
  <w:style w:type="table" w:customStyle="1" w:styleId="18">
    <w:name w:val="Table Normal1"/>
    <w:uiPriority w:val="0"/>
    <w:tblPr>
      <w:tblCellMar>
        <w:top w:w="0" w:type="dxa"/>
        <w:left w:w="0" w:type="dxa"/>
        <w:bottom w:w="0" w:type="dxa"/>
        <w:right w:w="0" w:type="dxa"/>
      </w:tblCellMar>
    </w:tblPr>
  </w:style>
  <w:style w:type="character" w:customStyle="1" w:styleId="19">
    <w:name w:val="Header Char"/>
    <w:basedOn w:val="9"/>
    <w:link w:val="13"/>
    <w:semiHidden/>
    <w:uiPriority w:val="99"/>
  </w:style>
  <w:style w:type="character" w:customStyle="1" w:styleId="20">
    <w:name w:val="Footer Char"/>
    <w:basedOn w:val="9"/>
    <w:link w:val="12"/>
    <w:uiPriority w:val="99"/>
  </w:style>
  <w:style w:type="paragraph" w:customStyle="1" w:styleId="21">
    <w:name w:val="TOC Heading"/>
    <w:basedOn w:val="2"/>
    <w:next w:val="1"/>
    <w:semiHidden/>
    <w:unhideWhenUsed/>
    <w:qFormat/>
    <w:uiPriority w:val="39"/>
    <w:pPr>
      <w:spacing w:before="480" w:after="0" w:line="276" w:lineRule="auto"/>
      <w:jc w:val="left"/>
      <w:outlineLvl w:val="9"/>
    </w:pPr>
    <w:rPr>
      <w:rFonts w:asciiTheme="majorHAnsi" w:hAnsiTheme="majorHAnsi" w:eastAsiaTheme="majorEastAsia" w:cstheme="majorBidi"/>
      <w:bCs/>
      <w:color w:val="366091" w:themeColor="accent1" w:themeShade="BF"/>
      <w:szCs w:val="28"/>
    </w:rPr>
  </w:style>
  <w:style w:type="character" w:customStyle="1" w:styleId="22">
    <w:name w:val="Balloon Text Char"/>
    <w:basedOn w:val="9"/>
    <w:link w:val="11"/>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FEC36-74F5-44A7-BCA3-787809E4D73E}">
  <ds:schemaRefs/>
</ds:datastoreItem>
</file>

<file path=docProps/app.xml><?xml version="1.0" encoding="utf-8"?>
<Properties xmlns="http://schemas.openxmlformats.org/officeDocument/2006/extended-properties" xmlns:vt="http://schemas.openxmlformats.org/officeDocument/2006/docPropsVTypes">
  <Template>Normal</Template>
  <Pages>8</Pages>
  <Words>2803</Words>
  <Characters>15979</Characters>
  <Lines>133</Lines>
  <Paragraphs>37</Paragraphs>
  <TotalTime>32</TotalTime>
  <ScaleCrop>false</ScaleCrop>
  <LinksUpToDate>false</LinksUpToDate>
  <CharactersWithSpaces>18745</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2024-10-15T05:41:00Z</dcterms:created>
  <dc:creator>Alina</dc:creator>
  <cp:lastModifiedBy>i study</cp:lastModifiedBy>
  <dcterms:modified xsi:type="dcterms:W3CDTF">2024-10-18T08:55:54Z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2057-12.2.0.18283</vt:lpwstr>
  </property>
  <property fmtid="{D5CDD505-2E9C-101B-9397-08002B2CF9AE}" pid="3" name="ICV">
    <vt:lpwstr>081F70212A2140AC80B9964C45BE205B_12</vt:lpwstr>
  </property>
</Properties>
</file>