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0FA81" w14:textId="77777777" w:rsidR="0099483F" w:rsidRDefault="0099483F" w:rsidP="0099483F">
      <w:pPr>
        <w:jc w:val="center"/>
        <w:rPr>
          <w:sz w:val="32"/>
          <w:szCs w:val="32"/>
        </w:rPr>
      </w:pPr>
    </w:p>
    <w:p w14:paraId="79039E75" w14:textId="77777777" w:rsidR="0099483F" w:rsidRDefault="0099483F" w:rsidP="0099483F">
      <w:pPr>
        <w:jc w:val="center"/>
        <w:rPr>
          <w:sz w:val="32"/>
          <w:szCs w:val="32"/>
        </w:rPr>
      </w:pPr>
    </w:p>
    <w:p w14:paraId="0F81E0C7" w14:textId="77777777" w:rsidR="0099483F" w:rsidRDefault="0099483F" w:rsidP="0099483F">
      <w:pPr>
        <w:jc w:val="center"/>
        <w:rPr>
          <w:sz w:val="32"/>
          <w:szCs w:val="32"/>
        </w:rPr>
      </w:pPr>
    </w:p>
    <w:p w14:paraId="7C0F0191" w14:textId="77777777" w:rsidR="0099483F" w:rsidRDefault="0099483F" w:rsidP="0099483F">
      <w:pPr>
        <w:jc w:val="center"/>
        <w:rPr>
          <w:sz w:val="32"/>
          <w:szCs w:val="32"/>
        </w:rPr>
      </w:pPr>
    </w:p>
    <w:p w14:paraId="582C4D13" w14:textId="77777777" w:rsidR="0099483F" w:rsidRDefault="0099483F" w:rsidP="0099483F">
      <w:pPr>
        <w:jc w:val="center"/>
        <w:rPr>
          <w:sz w:val="32"/>
          <w:szCs w:val="32"/>
        </w:rPr>
      </w:pPr>
    </w:p>
    <w:p w14:paraId="27FB7D69" w14:textId="77777777" w:rsidR="0099483F" w:rsidRDefault="0099483F" w:rsidP="0099483F">
      <w:pPr>
        <w:jc w:val="center"/>
        <w:rPr>
          <w:sz w:val="32"/>
          <w:szCs w:val="32"/>
        </w:rPr>
      </w:pPr>
    </w:p>
    <w:p w14:paraId="0431C994" w14:textId="13EA5007" w:rsidR="0099483F" w:rsidRDefault="0099483F" w:rsidP="0099483F">
      <w:pPr>
        <w:jc w:val="center"/>
        <w:rPr>
          <w:sz w:val="32"/>
          <w:szCs w:val="32"/>
        </w:rPr>
      </w:pPr>
      <w:r>
        <w:rPr>
          <w:sz w:val="32"/>
          <w:szCs w:val="32"/>
        </w:rPr>
        <w:t xml:space="preserve">Rates of Reaction: The Iodine Clock </w:t>
      </w:r>
    </w:p>
    <w:p w14:paraId="4C7AC01F" w14:textId="2ACA9E53" w:rsidR="0099483F" w:rsidRDefault="0099483F" w:rsidP="0099483F">
      <w:pPr>
        <w:jc w:val="center"/>
        <w:rPr>
          <w:sz w:val="32"/>
          <w:szCs w:val="32"/>
        </w:rPr>
      </w:pPr>
      <w:r>
        <w:rPr>
          <w:sz w:val="32"/>
          <w:szCs w:val="32"/>
        </w:rPr>
        <w:t>Lab Report</w:t>
      </w:r>
    </w:p>
    <w:p w14:paraId="4578DA82" w14:textId="35B5467E" w:rsidR="0099483F" w:rsidRDefault="0099483F" w:rsidP="0099483F">
      <w:pPr>
        <w:jc w:val="center"/>
        <w:rPr>
          <w:sz w:val="32"/>
          <w:szCs w:val="32"/>
        </w:rPr>
      </w:pPr>
      <w:r>
        <w:rPr>
          <w:sz w:val="32"/>
          <w:szCs w:val="32"/>
        </w:rPr>
        <w:t>ACDA</w:t>
      </w:r>
      <w:r w:rsidR="00425ADF">
        <w:rPr>
          <w:sz w:val="32"/>
          <w:szCs w:val="32"/>
        </w:rPr>
        <w:t>620</w:t>
      </w:r>
    </w:p>
    <w:p w14:paraId="6280FF76" w14:textId="5D801DC4" w:rsidR="00425ADF" w:rsidRDefault="00425ADF" w:rsidP="0099483F">
      <w:pPr>
        <w:jc w:val="center"/>
        <w:rPr>
          <w:sz w:val="32"/>
          <w:szCs w:val="32"/>
        </w:rPr>
      </w:pPr>
      <w:r>
        <w:rPr>
          <w:sz w:val="32"/>
          <w:szCs w:val="32"/>
        </w:rPr>
        <w:t>Quinn Dunbar</w:t>
      </w:r>
    </w:p>
    <w:p w14:paraId="625914F5" w14:textId="25E25C9D" w:rsidR="00425ADF" w:rsidRDefault="00425ADF" w:rsidP="0099483F">
      <w:pPr>
        <w:jc w:val="center"/>
        <w:rPr>
          <w:sz w:val="32"/>
          <w:szCs w:val="32"/>
        </w:rPr>
      </w:pPr>
      <w:r>
        <w:rPr>
          <w:sz w:val="32"/>
          <w:szCs w:val="32"/>
        </w:rPr>
        <w:t>2217666</w:t>
      </w:r>
    </w:p>
    <w:p w14:paraId="53F7EC49" w14:textId="77777777" w:rsidR="00916824" w:rsidRDefault="009908D9">
      <w:pPr>
        <w:rPr>
          <w:sz w:val="32"/>
          <w:szCs w:val="32"/>
        </w:rPr>
      </w:pPr>
      <w:r>
        <w:rPr>
          <w:sz w:val="32"/>
          <w:szCs w:val="32"/>
        </w:rPr>
        <w:br w:type="page"/>
      </w:r>
    </w:p>
    <w:p w14:paraId="05BC07CE" w14:textId="77777777" w:rsidR="00916824" w:rsidRDefault="00916824">
      <w:pPr>
        <w:rPr>
          <w:sz w:val="32"/>
          <w:szCs w:val="32"/>
        </w:rPr>
      </w:pPr>
    </w:p>
    <w:sdt>
      <w:sdtPr>
        <w:id w:val="1539086353"/>
        <w:docPartObj>
          <w:docPartGallery w:val="Table of Contents"/>
          <w:docPartUnique/>
        </w:docPartObj>
      </w:sdtPr>
      <w:sdtEndPr>
        <w:rPr>
          <w:rFonts w:asciiTheme="minorHAnsi" w:eastAsiaTheme="minorHAnsi" w:hAnsiTheme="minorHAnsi" w:cstheme="minorBidi"/>
          <w:color w:val="auto"/>
          <w:kern w:val="2"/>
          <w:sz w:val="22"/>
          <w:szCs w:val="22"/>
          <w14:ligatures w14:val="standardContextual"/>
        </w:rPr>
      </w:sdtEndPr>
      <w:sdtContent>
        <w:p w14:paraId="57D62E77" w14:textId="5F3FCE69" w:rsidR="00916824" w:rsidRPr="00CB0E43" w:rsidRDefault="00916824">
          <w:pPr>
            <w:pStyle w:val="TOCHeading"/>
            <w:rPr>
              <w:color w:val="auto"/>
            </w:rPr>
          </w:pPr>
          <w:r w:rsidRPr="00CB0E43">
            <w:rPr>
              <w:color w:val="auto"/>
            </w:rPr>
            <w:t>Table of Contents</w:t>
          </w:r>
        </w:p>
        <w:p w14:paraId="4EC163B8" w14:textId="21C537E6" w:rsidR="00916824" w:rsidRPr="00CB0E43" w:rsidRDefault="00916824">
          <w:pPr>
            <w:pStyle w:val="TOC1"/>
            <w:rPr>
              <w:b/>
              <w:bCs/>
            </w:rPr>
          </w:pPr>
          <w:r w:rsidRPr="00CB0E43">
            <w:rPr>
              <w:b/>
              <w:bCs/>
            </w:rPr>
            <w:t>Table of tables</w:t>
          </w:r>
          <w:r w:rsidRPr="00CB0E43">
            <w:rPr>
              <w:b/>
              <w:bCs/>
            </w:rPr>
            <w:ptab w:relativeTo="margin" w:alignment="right" w:leader="dot"/>
          </w:r>
          <w:r w:rsidRPr="00CB0E43">
            <w:rPr>
              <w:b/>
              <w:bCs/>
            </w:rPr>
            <w:t>2</w:t>
          </w:r>
        </w:p>
        <w:p w14:paraId="6162A160" w14:textId="05E405D6" w:rsidR="00916824" w:rsidRPr="00CB0E43" w:rsidRDefault="00916824">
          <w:pPr>
            <w:pStyle w:val="TOC1"/>
            <w:rPr>
              <w:b/>
              <w:bCs/>
            </w:rPr>
          </w:pPr>
          <w:r w:rsidRPr="00CB0E43">
            <w:rPr>
              <w:b/>
              <w:bCs/>
            </w:rPr>
            <w:t>Table of Figures</w:t>
          </w:r>
          <w:r w:rsidRPr="00CB0E43">
            <w:rPr>
              <w:b/>
              <w:bCs/>
            </w:rPr>
            <w:ptab w:relativeTo="margin" w:alignment="right" w:leader="dot"/>
          </w:r>
          <w:r w:rsidRPr="00CB0E43">
            <w:rPr>
              <w:b/>
              <w:bCs/>
            </w:rPr>
            <w:t>2</w:t>
          </w:r>
        </w:p>
        <w:p w14:paraId="4518EF41" w14:textId="557DD50F" w:rsidR="00916824" w:rsidRPr="00CB0E43" w:rsidRDefault="00916824" w:rsidP="00916824">
          <w:pPr>
            <w:rPr>
              <w:b/>
              <w:bCs/>
            </w:rPr>
          </w:pPr>
          <w:r w:rsidRPr="00CB0E43">
            <w:rPr>
              <w:b/>
              <w:bCs/>
              <w:lang w:eastAsia="en-GB"/>
            </w:rPr>
            <w:t>Introduction</w:t>
          </w:r>
          <w:r w:rsidRPr="00CB0E43">
            <w:rPr>
              <w:b/>
              <w:bCs/>
            </w:rPr>
            <w:ptab w:relativeTo="margin" w:alignment="right" w:leader="dot"/>
          </w:r>
          <w:r w:rsidRPr="00CB0E43">
            <w:rPr>
              <w:b/>
              <w:bCs/>
            </w:rPr>
            <w:t>3</w:t>
          </w:r>
        </w:p>
        <w:p w14:paraId="1FAA6B4C" w14:textId="4A3CD180" w:rsidR="00916824" w:rsidRPr="00CB0E43" w:rsidRDefault="00CB0E43" w:rsidP="00916824">
          <w:pPr>
            <w:rPr>
              <w:b/>
              <w:bCs/>
            </w:rPr>
          </w:pPr>
          <w:r w:rsidRPr="00CB0E43">
            <w:rPr>
              <w:b/>
              <w:bCs/>
            </w:rPr>
            <w:t xml:space="preserve">Energetic Relevance </w:t>
          </w:r>
          <w:r w:rsidRPr="00CB0E43">
            <w:rPr>
              <w:b/>
              <w:bCs/>
            </w:rPr>
            <w:ptab w:relativeTo="margin" w:alignment="right" w:leader="dot"/>
          </w:r>
          <w:r w:rsidRPr="00CB0E43">
            <w:rPr>
              <w:b/>
              <w:bCs/>
            </w:rPr>
            <w:t>3</w:t>
          </w:r>
        </w:p>
        <w:p w14:paraId="559820AC" w14:textId="34447DE6" w:rsidR="00CB0E43" w:rsidRPr="00CB0E43" w:rsidRDefault="00CB0E43" w:rsidP="00916824">
          <w:pPr>
            <w:rPr>
              <w:b/>
              <w:bCs/>
            </w:rPr>
          </w:pPr>
          <w:r w:rsidRPr="00CB0E43">
            <w:rPr>
              <w:b/>
              <w:bCs/>
            </w:rPr>
            <w:t>Experimental</w:t>
          </w:r>
          <w:r w:rsidRPr="00CB0E43">
            <w:rPr>
              <w:b/>
              <w:bCs/>
            </w:rPr>
            <w:ptab w:relativeTo="margin" w:alignment="right" w:leader="dot"/>
          </w:r>
          <w:r w:rsidRPr="00CB0E43">
            <w:rPr>
              <w:b/>
              <w:bCs/>
            </w:rPr>
            <w:t>4</w:t>
          </w:r>
        </w:p>
        <w:p w14:paraId="5EF41FC4" w14:textId="1CEB317B" w:rsidR="00CB0E43" w:rsidRPr="00CB0E43" w:rsidRDefault="00CB0E43" w:rsidP="00916824">
          <w:pPr>
            <w:rPr>
              <w:b/>
              <w:bCs/>
            </w:rPr>
          </w:pPr>
          <w:r w:rsidRPr="00CB0E43">
            <w:rPr>
              <w:b/>
              <w:bCs/>
            </w:rPr>
            <w:t>Results and discussion</w:t>
          </w:r>
          <w:r w:rsidRPr="00CB0E43">
            <w:rPr>
              <w:b/>
              <w:bCs/>
            </w:rPr>
            <w:ptab w:relativeTo="margin" w:alignment="right" w:leader="dot"/>
          </w:r>
          <w:r w:rsidRPr="00CB0E43">
            <w:rPr>
              <w:b/>
              <w:bCs/>
            </w:rPr>
            <w:t>4</w:t>
          </w:r>
        </w:p>
        <w:p w14:paraId="7B646824" w14:textId="141EA917" w:rsidR="00CB0E43" w:rsidRPr="00CB0E43" w:rsidRDefault="00CB0E43" w:rsidP="00916824">
          <w:pPr>
            <w:rPr>
              <w:b/>
              <w:bCs/>
            </w:rPr>
          </w:pPr>
          <w:r w:rsidRPr="00CB0E43">
            <w:rPr>
              <w:b/>
              <w:bCs/>
            </w:rPr>
            <w:t>Conclusion</w:t>
          </w:r>
          <w:r w:rsidRPr="00CB0E43">
            <w:rPr>
              <w:b/>
              <w:bCs/>
            </w:rPr>
            <w:ptab w:relativeTo="margin" w:alignment="right" w:leader="dot"/>
          </w:r>
          <w:r w:rsidRPr="00CB0E43">
            <w:rPr>
              <w:b/>
              <w:bCs/>
            </w:rPr>
            <w:t>6</w:t>
          </w:r>
        </w:p>
        <w:p w14:paraId="59EE7FAB" w14:textId="57829F46" w:rsidR="00CB0E43" w:rsidRPr="00916824" w:rsidRDefault="00CB0E43" w:rsidP="00916824">
          <w:pPr>
            <w:rPr>
              <w:lang w:eastAsia="en-GB"/>
            </w:rPr>
          </w:pPr>
          <w:r w:rsidRPr="00CB0E43">
            <w:rPr>
              <w:b/>
              <w:bCs/>
            </w:rPr>
            <w:t>References</w:t>
          </w:r>
          <w:r w:rsidRPr="00CB0E43">
            <w:rPr>
              <w:b/>
              <w:bCs/>
            </w:rPr>
            <w:ptab w:relativeTo="margin" w:alignment="right" w:leader="dot"/>
          </w:r>
          <w:r w:rsidRPr="00CB0E43">
            <w:rPr>
              <w:b/>
              <w:bCs/>
            </w:rPr>
            <w:t>7</w:t>
          </w:r>
        </w:p>
        <w:p w14:paraId="647A8550" w14:textId="77777777" w:rsidR="00916824" w:rsidRDefault="00916824">
          <w:pPr>
            <w:rPr>
              <w:sz w:val="32"/>
              <w:szCs w:val="32"/>
            </w:rPr>
          </w:pPr>
        </w:p>
        <w:p w14:paraId="3B44C213" w14:textId="77777777" w:rsidR="00916824" w:rsidRDefault="00916824">
          <w:pPr>
            <w:rPr>
              <w:sz w:val="32"/>
              <w:szCs w:val="32"/>
            </w:rPr>
          </w:pPr>
        </w:p>
        <w:p w14:paraId="44DEFF94" w14:textId="4B5948A5" w:rsidR="00916824" w:rsidRDefault="00916824">
          <w:pPr>
            <w:rPr>
              <w:sz w:val="32"/>
              <w:szCs w:val="32"/>
            </w:rPr>
          </w:pPr>
          <w:r>
            <w:rPr>
              <w:sz w:val="32"/>
              <w:szCs w:val="32"/>
            </w:rPr>
            <w:t>Table of Tables</w:t>
          </w:r>
        </w:p>
        <w:p w14:paraId="21623433" w14:textId="4A798A70" w:rsidR="00916824" w:rsidRDefault="00916824">
          <w:pPr>
            <w:pStyle w:val="TableofFigures"/>
            <w:tabs>
              <w:tab w:val="right" w:leader="dot" w:pos="9016"/>
            </w:tabs>
            <w:rPr>
              <w:rFonts w:eastAsiaTheme="minorEastAsia"/>
              <w:noProof/>
              <w:sz w:val="24"/>
              <w:szCs w:val="24"/>
              <w:lang w:eastAsia="en-GB"/>
            </w:rPr>
          </w:pPr>
          <w:r>
            <w:rPr>
              <w:sz w:val="32"/>
              <w:szCs w:val="32"/>
            </w:rPr>
            <w:fldChar w:fldCharType="begin"/>
          </w:r>
          <w:r>
            <w:rPr>
              <w:sz w:val="32"/>
              <w:szCs w:val="32"/>
            </w:rPr>
            <w:instrText xml:space="preserve"> TOC \h \z \c "Table" </w:instrText>
          </w:r>
          <w:r>
            <w:rPr>
              <w:sz w:val="32"/>
              <w:szCs w:val="32"/>
            </w:rPr>
            <w:fldChar w:fldCharType="separate"/>
          </w:r>
          <w:hyperlink w:anchor="_Toc213353973" w:history="1">
            <w:r w:rsidRPr="00553411">
              <w:rPr>
                <w:rStyle w:val="Hyperlink"/>
                <w:noProof/>
              </w:rPr>
              <w:t>Table 1 - Reaction times for changing Hydrogen Peroxide Concentration</w:t>
            </w:r>
            <w:r>
              <w:rPr>
                <w:noProof/>
                <w:webHidden/>
              </w:rPr>
              <w:tab/>
            </w:r>
            <w:r>
              <w:rPr>
                <w:noProof/>
                <w:webHidden/>
              </w:rPr>
              <w:fldChar w:fldCharType="begin"/>
            </w:r>
            <w:r>
              <w:rPr>
                <w:noProof/>
                <w:webHidden/>
              </w:rPr>
              <w:instrText xml:space="preserve"> PAGEREF _Toc213353973 \h </w:instrText>
            </w:r>
            <w:r>
              <w:rPr>
                <w:noProof/>
                <w:webHidden/>
              </w:rPr>
            </w:r>
            <w:r>
              <w:rPr>
                <w:noProof/>
                <w:webHidden/>
              </w:rPr>
              <w:fldChar w:fldCharType="separate"/>
            </w:r>
            <w:r w:rsidR="009867BE">
              <w:rPr>
                <w:noProof/>
                <w:webHidden/>
              </w:rPr>
              <w:t>4</w:t>
            </w:r>
            <w:r>
              <w:rPr>
                <w:noProof/>
                <w:webHidden/>
              </w:rPr>
              <w:fldChar w:fldCharType="end"/>
            </w:r>
          </w:hyperlink>
        </w:p>
        <w:p w14:paraId="4F795136" w14:textId="255B7F60" w:rsidR="00916824" w:rsidRDefault="00916824">
          <w:pPr>
            <w:pStyle w:val="TableofFigures"/>
            <w:tabs>
              <w:tab w:val="right" w:leader="dot" w:pos="9016"/>
            </w:tabs>
            <w:rPr>
              <w:rFonts w:eastAsiaTheme="minorEastAsia"/>
              <w:noProof/>
              <w:sz w:val="24"/>
              <w:szCs w:val="24"/>
              <w:lang w:eastAsia="en-GB"/>
            </w:rPr>
          </w:pPr>
          <w:hyperlink w:anchor="_Toc213353974" w:history="1">
            <w:r w:rsidRPr="00553411">
              <w:rPr>
                <w:rStyle w:val="Hyperlink"/>
                <w:noProof/>
              </w:rPr>
              <w:t>Table 2 - Reaction times for changing potassium iodide concentrations</w:t>
            </w:r>
            <w:r>
              <w:rPr>
                <w:noProof/>
                <w:webHidden/>
              </w:rPr>
              <w:tab/>
            </w:r>
            <w:r>
              <w:rPr>
                <w:noProof/>
                <w:webHidden/>
              </w:rPr>
              <w:fldChar w:fldCharType="begin"/>
            </w:r>
            <w:r>
              <w:rPr>
                <w:noProof/>
                <w:webHidden/>
              </w:rPr>
              <w:instrText xml:space="preserve"> PAGEREF _Toc213353974 \h </w:instrText>
            </w:r>
            <w:r>
              <w:rPr>
                <w:noProof/>
                <w:webHidden/>
              </w:rPr>
            </w:r>
            <w:r>
              <w:rPr>
                <w:noProof/>
                <w:webHidden/>
              </w:rPr>
              <w:fldChar w:fldCharType="separate"/>
            </w:r>
            <w:r w:rsidR="009867BE">
              <w:rPr>
                <w:noProof/>
                <w:webHidden/>
              </w:rPr>
              <w:t>4</w:t>
            </w:r>
            <w:r>
              <w:rPr>
                <w:noProof/>
                <w:webHidden/>
              </w:rPr>
              <w:fldChar w:fldCharType="end"/>
            </w:r>
          </w:hyperlink>
        </w:p>
        <w:p w14:paraId="7C2D566F" w14:textId="1D41D2B0" w:rsidR="00916824" w:rsidRDefault="00916824">
          <w:pPr>
            <w:pStyle w:val="TableofFigures"/>
            <w:tabs>
              <w:tab w:val="right" w:leader="dot" w:pos="9016"/>
            </w:tabs>
            <w:rPr>
              <w:rFonts w:eastAsiaTheme="minorEastAsia"/>
              <w:noProof/>
              <w:sz w:val="24"/>
              <w:szCs w:val="24"/>
              <w:lang w:eastAsia="en-GB"/>
            </w:rPr>
          </w:pPr>
          <w:hyperlink w:anchor="_Toc213353975" w:history="1">
            <w:r w:rsidRPr="00553411">
              <w:rPr>
                <w:rStyle w:val="Hyperlink"/>
                <w:noProof/>
              </w:rPr>
              <w:t>Table 3 - Determination of rate constant for the reaction</w:t>
            </w:r>
            <w:r>
              <w:rPr>
                <w:noProof/>
                <w:webHidden/>
              </w:rPr>
              <w:tab/>
            </w:r>
            <w:r>
              <w:rPr>
                <w:noProof/>
                <w:webHidden/>
              </w:rPr>
              <w:fldChar w:fldCharType="begin"/>
            </w:r>
            <w:r>
              <w:rPr>
                <w:noProof/>
                <w:webHidden/>
              </w:rPr>
              <w:instrText xml:space="preserve"> PAGEREF _Toc213353975 \h </w:instrText>
            </w:r>
            <w:r>
              <w:rPr>
                <w:noProof/>
                <w:webHidden/>
              </w:rPr>
            </w:r>
            <w:r>
              <w:rPr>
                <w:noProof/>
                <w:webHidden/>
              </w:rPr>
              <w:fldChar w:fldCharType="separate"/>
            </w:r>
            <w:r w:rsidR="009867BE">
              <w:rPr>
                <w:noProof/>
                <w:webHidden/>
              </w:rPr>
              <w:t>6</w:t>
            </w:r>
            <w:r>
              <w:rPr>
                <w:noProof/>
                <w:webHidden/>
              </w:rPr>
              <w:fldChar w:fldCharType="end"/>
            </w:r>
          </w:hyperlink>
        </w:p>
        <w:p w14:paraId="665D2D7E" w14:textId="0EEA9BBD" w:rsidR="00916824" w:rsidRDefault="00916824">
          <w:pPr>
            <w:rPr>
              <w:sz w:val="32"/>
              <w:szCs w:val="32"/>
            </w:rPr>
          </w:pPr>
          <w:r>
            <w:rPr>
              <w:sz w:val="32"/>
              <w:szCs w:val="32"/>
            </w:rPr>
            <w:fldChar w:fldCharType="end"/>
          </w:r>
        </w:p>
        <w:p w14:paraId="4C6C8524" w14:textId="77777777" w:rsidR="00916824" w:rsidRDefault="00916824">
          <w:pPr>
            <w:rPr>
              <w:sz w:val="32"/>
              <w:szCs w:val="32"/>
            </w:rPr>
          </w:pPr>
          <w:r>
            <w:rPr>
              <w:sz w:val="32"/>
              <w:szCs w:val="32"/>
            </w:rPr>
            <w:t>Table of figures</w:t>
          </w:r>
        </w:p>
        <w:p w14:paraId="792E0710" w14:textId="3E2D0DE5" w:rsidR="00916824" w:rsidRDefault="00916824">
          <w:pPr>
            <w:pStyle w:val="TableofFigures"/>
            <w:tabs>
              <w:tab w:val="right" w:leader="dot" w:pos="9016"/>
            </w:tabs>
            <w:rPr>
              <w:rFonts w:eastAsiaTheme="minorEastAsia"/>
              <w:noProof/>
              <w:sz w:val="24"/>
              <w:szCs w:val="24"/>
              <w:lang w:eastAsia="en-GB"/>
            </w:rPr>
          </w:pPr>
          <w:r>
            <w:rPr>
              <w:sz w:val="32"/>
              <w:szCs w:val="32"/>
            </w:rPr>
            <w:fldChar w:fldCharType="begin"/>
          </w:r>
          <w:r>
            <w:rPr>
              <w:sz w:val="32"/>
              <w:szCs w:val="32"/>
            </w:rPr>
            <w:instrText xml:space="preserve"> TOC \h \z \c "Figure" </w:instrText>
          </w:r>
          <w:r>
            <w:rPr>
              <w:sz w:val="32"/>
              <w:szCs w:val="32"/>
            </w:rPr>
            <w:fldChar w:fldCharType="separate"/>
          </w:r>
          <w:hyperlink w:anchor="_Toc213353983" w:history="1">
            <w:r w:rsidRPr="006C5159">
              <w:rPr>
                <w:rStyle w:val="Hyperlink"/>
                <w:noProof/>
              </w:rPr>
              <w:t>Figure 1 - Change in rate with variation of hydrogen peroxide concentration</w:t>
            </w:r>
            <w:r>
              <w:rPr>
                <w:noProof/>
                <w:webHidden/>
              </w:rPr>
              <w:tab/>
            </w:r>
            <w:r>
              <w:rPr>
                <w:noProof/>
                <w:webHidden/>
              </w:rPr>
              <w:fldChar w:fldCharType="begin"/>
            </w:r>
            <w:r>
              <w:rPr>
                <w:noProof/>
                <w:webHidden/>
              </w:rPr>
              <w:instrText xml:space="preserve"> PAGEREF _Toc213353983 \h </w:instrText>
            </w:r>
            <w:r>
              <w:rPr>
                <w:noProof/>
                <w:webHidden/>
              </w:rPr>
            </w:r>
            <w:r>
              <w:rPr>
                <w:noProof/>
                <w:webHidden/>
              </w:rPr>
              <w:fldChar w:fldCharType="separate"/>
            </w:r>
            <w:r w:rsidR="009867BE">
              <w:rPr>
                <w:noProof/>
                <w:webHidden/>
              </w:rPr>
              <w:t>5</w:t>
            </w:r>
            <w:r>
              <w:rPr>
                <w:noProof/>
                <w:webHidden/>
              </w:rPr>
              <w:fldChar w:fldCharType="end"/>
            </w:r>
          </w:hyperlink>
        </w:p>
        <w:p w14:paraId="75D1FA74" w14:textId="43EF488B" w:rsidR="00916824" w:rsidRDefault="00916824">
          <w:pPr>
            <w:pStyle w:val="TableofFigures"/>
            <w:tabs>
              <w:tab w:val="right" w:leader="dot" w:pos="9016"/>
            </w:tabs>
            <w:rPr>
              <w:rFonts w:eastAsiaTheme="minorEastAsia"/>
              <w:noProof/>
              <w:sz w:val="24"/>
              <w:szCs w:val="24"/>
              <w:lang w:eastAsia="en-GB"/>
            </w:rPr>
          </w:pPr>
          <w:hyperlink w:anchor="_Toc213353984" w:history="1">
            <w:r w:rsidRPr="006C5159">
              <w:rPr>
                <w:rStyle w:val="Hyperlink"/>
                <w:noProof/>
              </w:rPr>
              <w:t>Figure 2 - Change in rate with variation of potassium iodide concentration</w:t>
            </w:r>
            <w:r>
              <w:rPr>
                <w:noProof/>
                <w:webHidden/>
              </w:rPr>
              <w:tab/>
            </w:r>
            <w:r>
              <w:rPr>
                <w:noProof/>
                <w:webHidden/>
              </w:rPr>
              <w:fldChar w:fldCharType="begin"/>
            </w:r>
            <w:r>
              <w:rPr>
                <w:noProof/>
                <w:webHidden/>
              </w:rPr>
              <w:instrText xml:space="preserve"> PAGEREF _Toc213353984 \h </w:instrText>
            </w:r>
            <w:r>
              <w:rPr>
                <w:noProof/>
                <w:webHidden/>
              </w:rPr>
            </w:r>
            <w:r>
              <w:rPr>
                <w:noProof/>
                <w:webHidden/>
              </w:rPr>
              <w:fldChar w:fldCharType="separate"/>
            </w:r>
            <w:r w:rsidR="009867BE">
              <w:rPr>
                <w:noProof/>
                <w:webHidden/>
              </w:rPr>
              <w:t>5</w:t>
            </w:r>
            <w:r>
              <w:rPr>
                <w:noProof/>
                <w:webHidden/>
              </w:rPr>
              <w:fldChar w:fldCharType="end"/>
            </w:r>
          </w:hyperlink>
        </w:p>
        <w:p w14:paraId="7C6FF804" w14:textId="138227E8" w:rsidR="009908D9" w:rsidRPr="00916824" w:rsidRDefault="00916824">
          <w:pPr>
            <w:rPr>
              <w:sz w:val="32"/>
              <w:szCs w:val="32"/>
            </w:rPr>
          </w:pPr>
          <w:r>
            <w:rPr>
              <w:sz w:val="32"/>
              <w:szCs w:val="32"/>
            </w:rPr>
            <w:fldChar w:fldCharType="end"/>
          </w:r>
          <w:r w:rsidR="00F47AF5">
            <w:rPr>
              <w:sz w:val="32"/>
              <w:szCs w:val="32"/>
            </w:rPr>
            <w:br w:type="page"/>
          </w:r>
        </w:p>
        <w:p w14:paraId="73BB27A5" w14:textId="52468C59" w:rsidR="009908D9" w:rsidRPr="00474F0D" w:rsidRDefault="009908D9" w:rsidP="009908D9">
          <w:pPr>
            <w:rPr>
              <w:sz w:val="24"/>
              <w:szCs w:val="24"/>
              <w:u w:val="single"/>
            </w:rPr>
          </w:pPr>
          <w:r w:rsidRPr="00474F0D">
            <w:rPr>
              <w:sz w:val="24"/>
              <w:szCs w:val="24"/>
              <w:u w:val="single"/>
            </w:rPr>
            <w:lastRenderedPageBreak/>
            <w:t>Introduction</w:t>
          </w:r>
        </w:p>
        <w:p w14:paraId="66624727" w14:textId="7E527486" w:rsidR="00F278EB" w:rsidRDefault="00F278EB" w:rsidP="009908D9">
          <w:r>
            <w:t xml:space="preserve">The rate of a reaction is a measurement of the speed at which a product in a reaction is produced. </w:t>
          </w:r>
          <w:r w:rsidR="006F496B">
            <w:t xml:space="preserve">The speed a reaction progresses at is affected by a number of factors, be they physical, such as surface area or concentration, energetic, such as temperature, or catalytic, dependent in the presence of a catalyst or inhibitor. </w:t>
          </w:r>
        </w:p>
        <w:p w14:paraId="73414573" w14:textId="6B952723" w:rsidR="00744205" w:rsidRDefault="00744205" w:rsidP="009908D9">
          <w:r>
            <w:t xml:space="preserve">The rate of the reaction is governed by the step known as the rate-determining step. This is a mechanistic step in an overall reaction that occurs at the slowest rate compared </w:t>
          </w:r>
          <w:r w:rsidR="0051583E">
            <w:t>to</w:t>
          </w:r>
          <w:r>
            <w:t xml:space="preserve"> the other steps in the reaction. Hence </w:t>
          </w:r>
          <w:r w:rsidR="003A7A4A">
            <w:t>only the species, whether reactants or intermediates, involved in the rate-determining step are present in the rate equation.</w:t>
          </w:r>
        </w:p>
        <w:p w14:paraId="5438F623" w14:textId="7129AA5C" w:rsidR="003A7A4A" w:rsidRDefault="003A7A4A" w:rsidP="009908D9">
          <w:r>
            <w:t>The rate equation of a given reaction is rate, v, = k[A]</w:t>
          </w:r>
          <w:r>
            <w:rPr>
              <w:vertAlign w:val="superscript"/>
            </w:rPr>
            <w:t>m</w:t>
          </w:r>
          <w:r>
            <w:t>[B]</w:t>
          </w:r>
          <w:r>
            <w:rPr>
              <w:vertAlign w:val="superscript"/>
            </w:rPr>
            <w:t>n</w:t>
          </w:r>
          <w:r>
            <w:t xml:space="preserve">, where [A] and [B] are the </w:t>
          </w:r>
          <w:r w:rsidR="00A20334">
            <w:t>concentration</w:t>
          </w:r>
          <w:r>
            <w:t xml:space="preserve"> of the reagents, m and n are the orders of reaction with respect to each reactant, with the overall reaction order given by m + n, and k, the rate constant. </w:t>
          </w:r>
        </w:p>
        <w:p w14:paraId="5C145727" w14:textId="2978022C" w:rsidR="00A20334" w:rsidRDefault="00A20334" w:rsidP="009908D9">
          <w:r>
            <w:t xml:space="preserve">The rate constant, k, is an experimentally determined parameter. </w:t>
          </w:r>
          <w:r w:rsidR="007374CD">
            <w:t xml:space="preserve">As the rate of a reaction is not constant, decreasing with time as the reactants are consumed, k is usually determined with relation to the initial rate of a reaction, or an average rate until a set endpoint. </w:t>
          </w:r>
        </w:p>
        <w:p w14:paraId="776BD537" w14:textId="21727AEE" w:rsidR="007374CD" w:rsidRDefault="003B4FA0" w:rsidP="009908D9">
          <w:r>
            <w:t xml:space="preserve">The following report covers experimental work to </w:t>
          </w:r>
          <w:r w:rsidR="00474F0D">
            <w:t>determine an average value for k for the rate of reaction for the oxidation of iodide to iodine by hydrogen peroxide</w:t>
          </w:r>
          <w:r w:rsidR="00993AA5">
            <w:t>.</w:t>
          </w:r>
          <w:r w:rsidR="00474F0D">
            <w:t xml:space="preserve"> </w:t>
          </w:r>
        </w:p>
        <w:p w14:paraId="1A68A856" w14:textId="77777777" w:rsidR="008D0ECC" w:rsidRDefault="008D0ECC" w:rsidP="008D0ECC">
          <w:pPr>
            <w:rPr>
              <w:sz w:val="24"/>
              <w:szCs w:val="24"/>
              <w:u w:val="single"/>
            </w:rPr>
          </w:pPr>
          <w:r>
            <w:rPr>
              <w:sz w:val="24"/>
              <w:szCs w:val="24"/>
              <w:u w:val="single"/>
            </w:rPr>
            <w:t>Energetic relevance</w:t>
          </w:r>
        </w:p>
        <w:p w14:paraId="3C0E98B9" w14:textId="67749B4A" w:rsidR="008D0ECC" w:rsidRDefault="008D0ECC" w:rsidP="008D0ECC">
          <w:r>
            <w:t xml:space="preserve">An alteration of this reaction in titrimetric form is used for the determination of hydrogen peroxide in forensic settings. This is used as hydrogen peroxide can be used in homemade explosive compositions </w:t>
          </w:r>
          <w:sdt>
            <w:sdtPr>
              <w:id w:val="-1143339831"/>
              <w:citation/>
            </w:sdtPr>
            <w:sdtContent>
              <w:r>
                <w:fldChar w:fldCharType="begin"/>
              </w:r>
              <w:r>
                <w:instrText xml:space="preserve"> CITATION Cos22 \l 2057 </w:instrText>
              </w:r>
              <w:r>
                <w:fldChar w:fldCharType="separate"/>
              </w:r>
              <w:r w:rsidR="009867BE" w:rsidRPr="009867BE">
                <w:rPr>
                  <w:noProof/>
                </w:rPr>
                <w:t>[1]</w:t>
              </w:r>
              <w:r>
                <w:fldChar w:fldCharType="end"/>
              </w:r>
            </w:sdtContent>
          </w:sdt>
          <w:r>
            <w:t>.</w:t>
          </w:r>
        </w:p>
        <w:p w14:paraId="1705D4DD" w14:textId="1DAA6F3F" w:rsidR="008D0ECC" w:rsidRDefault="008D0ECC" w:rsidP="008D0ECC">
          <w:r>
            <w:t xml:space="preserve"> The determination of rates of reaction is an important step in the synthesis of energetics. This is because modern high energy materials can involve very complicated synthesises with very reactive compounds. Hence it is necessary to be able to determine how the rate of reaction can be controlled to maximise production whilst also reducing the risk of a runaway reaction destroying the product or worse, causing an explosion </w:t>
          </w:r>
          <w:sdt>
            <w:sdtPr>
              <w:id w:val="1043876250"/>
              <w:citation/>
            </w:sdtPr>
            <w:sdtContent>
              <w:r>
                <w:fldChar w:fldCharType="begin"/>
              </w:r>
              <w:r>
                <w:instrText xml:space="preserve"> CITATION Ber13 \l 2057 </w:instrText>
              </w:r>
              <w:r>
                <w:fldChar w:fldCharType="separate"/>
              </w:r>
              <w:r w:rsidR="009867BE" w:rsidRPr="009867BE">
                <w:rPr>
                  <w:noProof/>
                </w:rPr>
                <w:t>[2]</w:t>
              </w:r>
              <w:r>
                <w:fldChar w:fldCharType="end"/>
              </w:r>
            </w:sdtContent>
          </w:sdt>
          <w:r>
            <w:t>.</w:t>
          </w:r>
        </w:p>
        <w:p w14:paraId="55C3EC17" w14:textId="363C2C9F" w:rsidR="008D0ECC" w:rsidRDefault="008D0ECC" w:rsidP="008D0ECC">
          <w:r>
            <w:t xml:space="preserve">It is also important in the storage and lifetime assessment of explosive articles, as the reaction with moisture in the air or between components of the explosive fill can result in degradation of the energetic which can pose both a safety risk if a runaway reaction starts, resulting in a fire or unplanned detonation, or the misfire of an article as the explosive fill is no longer explosive. Hence stabilisers are added to mixtures as they can either inhibit the reactions that lead to decomposition, or “mop up” decomposition products by reacting with them to prevent them causing further degradation </w:t>
          </w:r>
          <w:sdt>
            <w:sdtPr>
              <w:id w:val="-2115440824"/>
              <w:citation/>
            </w:sdtPr>
            <w:sdtContent>
              <w:r>
                <w:fldChar w:fldCharType="begin"/>
              </w:r>
              <w:r>
                <w:instrText xml:space="preserve"> CITATION Tra181 \l 2057 </w:instrText>
              </w:r>
              <w:r>
                <w:fldChar w:fldCharType="separate"/>
              </w:r>
              <w:r w:rsidR="009867BE" w:rsidRPr="009867BE">
                <w:rPr>
                  <w:noProof/>
                </w:rPr>
                <w:t>[3]</w:t>
              </w:r>
              <w:r>
                <w:fldChar w:fldCharType="end"/>
              </w:r>
            </w:sdtContent>
          </w:sdt>
          <w:r>
            <w:t>.</w:t>
          </w:r>
        </w:p>
        <w:p w14:paraId="584504F9" w14:textId="0BDE1EB1" w:rsidR="008D0ECC" w:rsidRDefault="008D0ECC" w:rsidP="008D0ECC">
          <w:r>
            <w:t xml:space="preserve">Determining rates of reactions is an important step in the development of propellant and pyrotechnic mixtures. This is because rather than the usual reaction rate profile of a high initial rate followed by an exponential decay in rate, a constant reaction is desired to provide either a steady signal in the case of pyrotechnics, or constant thrust in the case of propellants. This is achieved by the addition of burn-rate modifiers, inhibitors added to compositions to bring the rate profile into the desired shape, through the introduction of different reaction pathways that can affect the order and rate of the overall reaction. </w:t>
          </w:r>
          <w:sdt>
            <w:sdtPr>
              <w:id w:val="-729157515"/>
              <w:citation/>
            </w:sdtPr>
            <w:sdtContent>
              <w:r>
                <w:fldChar w:fldCharType="begin"/>
              </w:r>
              <w:r>
                <w:instrText xml:space="preserve"> CITATION Nie24 \l 2057 </w:instrText>
              </w:r>
              <w:r>
                <w:fldChar w:fldCharType="separate"/>
              </w:r>
              <w:r w:rsidR="009867BE" w:rsidRPr="009867BE">
                <w:rPr>
                  <w:noProof/>
                </w:rPr>
                <w:t>[4]</w:t>
              </w:r>
              <w:r>
                <w:fldChar w:fldCharType="end"/>
              </w:r>
            </w:sdtContent>
          </w:sdt>
        </w:p>
        <w:p w14:paraId="3603FE7B" w14:textId="77777777" w:rsidR="00474F0D" w:rsidRDefault="00474F0D" w:rsidP="009908D9"/>
        <w:p w14:paraId="7C736341" w14:textId="004D42DD" w:rsidR="00474F0D" w:rsidRDefault="00474F0D" w:rsidP="009908D9">
          <w:pPr>
            <w:rPr>
              <w:sz w:val="24"/>
              <w:szCs w:val="24"/>
              <w:u w:val="single"/>
            </w:rPr>
          </w:pPr>
          <w:r>
            <w:rPr>
              <w:sz w:val="24"/>
              <w:szCs w:val="24"/>
              <w:u w:val="single"/>
            </w:rPr>
            <w:lastRenderedPageBreak/>
            <w:t>Experimental</w:t>
          </w:r>
        </w:p>
        <w:p w14:paraId="4B4C141E" w14:textId="2D2DFEE9" w:rsidR="00474F0D" w:rsidRDefault="00796F20" w:rsidP="009908D9">
          <w:r>
            <w:t xml:space="preserve">The iodine </w:t>
          </w:r>
          <w:r w:rsidR="0071136E">
            <w:t xml:space="preserve">clock reaction was conducted by reacting potassium iodide of differing concentrations, with hydrogen peroxide of differing concentrations. This reaction requires acidic conditions, so ascorbic acid was added. Starch is used as an indicator for the presence of iodine as it forms a very visible blue-black complex when iodine is present. For the reaction to occur at a slow enough rate for it to be timed, a reducing agent is required. This converts the formed iodine back to iodide, </w:t>
          </w:r>
          <w:r w:rsidR="00ED6DF8">
            <w:t>so that the blue-black colour does not appear until the reducing agent is entirely consumed. Ascorbic acid also performs the role of reducing agent.</w:t>
          </w:r>
        </w:p>
        <w:p w14:paraId="7EF54E17" w14:textId="7542D041" w:rsidR="00ED6DF8" w:rsidRDefault="00ED6DF8" w:rsidP="009908D9">
          <w:r>
            <w:t>For all 8 reactions, the reaction volume was kept at 25 ml, the amount of starch solution was kept at 1 ml, the amount of 0.01M ascorbic acid was kept at 1 ml</w:t>
          </w:r>
          <w:r w:rsidR="00BC78CB">
            <w:t xml:space="preserve"> and the amount of the fixed reagent was kept at 3ml.</w:t>
          </w:r>
        </w:p>
        <w:p w14:paraId="183E167A" w14:textId="77A0F398" w:rsidR="00D04399" w:rsidRDefault="00D04399" w:rsidP="009908D9">
          <w:r>
            <w:t>Reactions 1-4 increased the concentration of hydrogen peroxide,</w:t>
          </w:r>
          <w:r w:rsidR="00BC78CB">
            <w:t xml:space="preserve"> using 1-4 ml of 3% solution,</w:t>
          </w:r>
          <w:r>
            <w:t xml:space="preserve"> with the concentration of potassium iodide kept at 0.024 M. </w:t>
          </w:r>
        </w:p>
        <w:p w14:paraId="6C32D0C8" w14:textId="63569266" w:rsidR="00D04399" w:rsidRDefault="00D04399" w:rsidP="009908D9">
          <w:r>
            <w:t>Reactions 5-8 increased the concentration of potassium iodide,</w:t>
          </w:r>
          <w:r w:rsidR="00BC78CB">
            <w:t xml:space="preserve"> using 1-4 ml of 0.20 M solution,</w:t>
          </w:r>
          <w:r>
            <w:t xml:space="preserve"> with the concentration of hydrogen peroxide kept at </w:t>
          </w:r>
          <w:r w:rsidR="00592459">
            <w:t xml:space="preserve">0.11M. </w:t>
          </w:r>
        </w:p>
        <w:p w14:paraId="2A762C5D" w14:textId="468838F9" w:rsidR="00592459" w:rsidRDefault="00592459" w:rsidP="009908D9">
          <w:r>
            <w:t xml:space="preserve">Distilled water, the fixed reagent, ascorbic acid and starch were added to a conical flask. The reagent under investigation was then added, and at the same time </w:t>
          </w:r>
          <w:r w:rsidR="00BC78CB">
            <w:t>a timer was started. The timer was run until a strong blue-black colour became visible.</w:t>
          </w:r>
        </w:p>
        <w:p w14:paraId="7B76A2F7" w14:textId="77777777" w:rsidR="00BC78CB" w:rsidRDefault="00BC78CB" w:rsidP="009908D9"/>
        <w:p w14:paraId="4BC0D4AE" w14:textId="69260B3F" w:rsidR="00BC78CB" w:rsidRDefault="00BC78CB" w:rsidP="009908D9">
          <w:pPr>
            <w:rPr>
              <w:sz w:val="24"/>
              <w:szCs w:val="24"/>
              <w:u w:val="single"/>
            </w:rPr>
          </w:pPr>
          <w:r>
            <w:rPr>
              <w:sz w:val="24"/>
              <w:szCs w:val="24"/>
              <w:u w:val="single"/>
            </w:rPr>
            <w:t>Results and discussion</w:t>
          </w:r>
        </w:p>
        <w:p w14:paraId="1DE75777" w14:textId="0E9C0749" w:rsidR="00BC78CB" w:rsidRPr="00BC78CB" w:rsidRDefault="00BC78CB" w:rsidP="009908D9">
          <w:r>
            <w:t xml:space="preserve">The tested concentrations and reaction times for each experiment are given in Table 1 for hydrogen peroxide, and table 2 for potassium iodide. </w:t>
          </w:r>
        </w:p>
        <w:p w14:paraId="4C27D3A0" w14:textId="77777777" w:rsidR="007E7C91" w:rsidRDefault="007E7C91" w:rsidP="009908D9"/>
        <w:tbl>
          <w:tblPr>
            <w:tblStyle w:val="TableGrid"/>
            <w:tblW w:w="0" w:type="auto"/>
            <w:tblLook w:val="04A0" w:firstRow="1" w:lastRow="0" w:firstColumn="1" w:lastColumn="0" w:noHBand="0" w:noVBand="1"/>
          </w:tblPr>
          <w:tblGrid>
            <w:gridCol w:w="1945"/>
            <w:gridCol w:w="1637"/>
            <w:gridCol w:w="2100"/>
          </w:tblGrid>
          <w:tr w:rsidR="00D25910" w14:paraId="6CE4BF5A" w14:textId="6C53C66A" w:rsidTr="00D25910">
            <w:tc>
              <w:tcPr>
                <w:tcW w:w="1945" w:type="dxa"/>
              </w:tcPr>
              <w:p w14:paraId="237CE56B" w14:textId="36292106" w:rsidR="00D25910" w:rsidRDefault="00D25910" w:rsidP="009908D9">
                <w:r>
                  <w:t>Reaction number</w:t>
                </w:r>
              </w:p>
            </w:tc>
            <w:tc>
              <w:tcPr>
                <w:tcW w:w="1637" w:type="dxa"/>
              </w:tcPr>
              <w:p w14:paraId="79A28831" w14:textId="258686BA" w:rsidR="00D25910" w:rsidRDefault="00D25910" w:rsidP="009908D9">
                <w:r>
                  <w:t>[H</w:t>
                </w:r>
                <w:r>
                  <w:rPr>
                    <w:vertAlign w:val="subscript"/>
                  </w:rPr>
                  <w:t>2</w:t>
                </w:r>
                <w:r>
                  <w:t>O</w:t>
                </w:r>
                <w:r>
                  <w:rPr>
                    <w:vertAlign w:val="subscript"/>
                  </w:rPr>
                  <w:t>2</w:t>
                </w:r>
                <w:r>
                  <w:t>]</w:t>
                </w:r>
                <w:r w:rsidR="00490934">
                  <w:rPr>
                    <w:vertAlign w:val="subscript"/>
                  </w:rPr>
                  <w:t>0</w:t>
                </w:r>
                <w:r>
                  <w:t xml:space="preserve"> / M</w:t>
                </w:r>
              </w:p>
            </w:tc>
            <w:tc>
              <w:tcPr>
                <w:tcW w:w="2100" w:type="dxa"/>
              </w:tcPr>
              <w:p w14:paraId="6B4FBBCE" w14:textId="3D45D688" w:rsidR="00D25910" w:rsidRDefault="00D25910" w:rsidP="009908D9">
                <w:r>
                  <w:t>Reaction time / s</w:t>
                </w:r>
              </w:p>
            </w:tc>
          </w:tr>
          <w:tr w:rsidR="002F0752" w14:paraId="69B6F3D0" w14:textId="5CFEC0B1" w:rsidTr="005002C6">
            <w:tc>
              <w:tcPr>
                <w:tcW w:w="1945" w:type="dxa"/>
              </w:tcPr>
              <w:p w14:paraId="2A674965" w14:textId="557B48F4" w:rsidR="002F0752" w:rsidRDefault="002F0752" w:rsidP="002F0752">
                <w:r>
                  <w:t>1</w:t>
                </w:r>
              </w:p>
            </w:tc>
            <w:tc>
              <w:tcPr>
                <w:tcW w:w="1637" w:type="dxa"/>
                <w:vAlign w:val="center"/>
              </w:tcPr>
              <w:p w14:paraId="1E8DC0BB" w14:textId="2C30ACD1" w:rsidR="002F0752" w:rsidRDefault="002F0752" w:rsidP="002F0752">
                <w:r>
                  <w:rPr>
                    <w:rFonts w:ascii="Aptos" w:hAnsi="Aptos"/>
                    <w:color w:val="000000"/>
                  </w:rPr>
                  <w:t>0.036</w:t>
                </w:r>
              </w:p>
            </w:tc>
            <w:tc>
              <w:tcPr>
                <w:tcW w:w="2100" w:type="dxa"/>
              </w:tcPr>
              <w:p w14:paraId="3F27821A" w14:textId="4270CE43" w:rsidR="002F0752" w:rsidRDefault="002F0752" w:rsidP="002F0752">
                <w:r>
                  <w:t>120.79</w:t>
                </w:r>
              </w:p>
            </w:tc>
          </w:tr>
          <w:tr w:rsidR="002F0752" w14:paraId="4BE94339" w14:textId="2CF6C21E" w:rsidTr="005002C6">
            <w:tc>
              <w:tcPr>
                <w:tcW w:w="1945" w:type="dxa"/>
              </w:tcPr>
              <w:p w14:paraId="1D861D88" w14:textId="75AA915A" w:rsidR="002F0752" w:rsidRDefault="002F0752" w:rsidP="002F0752">
                <w:r>
                  <w:t>2</w:t>
                </w:r>
              </w:p>
            </w:tc>
            <w:tc>
              <w:tcPr>
                <w:tcW w:w="1637" w:type="dxa"/>
                <w:vAlign w:val="center"/>
              </w:tcPr>
              <w:p w14:paraId="2AB460A2" w14:textId="7E23F7DD" w:rsidR="002F0752" w:rsidRDefault="002F0752" w:rsidP="002F0752">
                <w:r>
                  <w:rPr>
                    <w:rFonts w:ascii="Aptos" w:hAnsi="Aptos"/>
                    <w:color w:val="000000"/>
                  </w:rPr>
                  <w:t>0.071</w:t>
                </w:r>
              </w:p>
            </w:tc>
            <w:tc>
              <w:tcPr>
                <w:tcW w:w="2100" w:type="dxa"/>
              </w:tcPr>
              <w:p w14:paraId="64EBFA2B" w14:textId="46227D16" w:rsidR="002F0752" w:rsidRDefault="002F0752" w:rsidP="002F0752">
                <w:r>
                  <w:t>118.97</w:t>
                </w:r>
              </w:p>
            </w:tc>
          </w:tr>
          <w:tr w:rsidR="002F0752" w14:paraId="3F3EE519" w14:textId="38487ED4" w:rsidTr="005002C6">
            <w:tc>
              <w:tcPr>
                <w:tcW w:w="1945" w:type="dxa"/>
              </w:tcPr>
              <w:p w14:paraId="34CC6E2B" w14:textId="2B972C4C" w:rsidR="002F0752" w:rsidRDefault="002F0752" w:rsidP="002F0752">
                <w:r>
                  <w:t>3</w:t>
                </w:r>
              </w:p>
            </w:tc>
            <w:tc>
              <w:tcPr>
                <w:tcW w:w="1637" w:type="dxa"/>
                <w:vAlign w:val="center"/>
              </w:tcPr>
              <w:p w14:paraId="4EC4C85C" w14:textId="31F558B7" w:rsidR="002F0752" w:rsidRDefault="002F0752" w:rsidP="002F0752">
                <w:r>
                  <w:rPr>
                    <w:rFonts w:ascii="Aptos" w:hAnsi="Aptos"/>
                    <w:color w:val="000000"/>
                  </w:rPr>
                  <w:t>0.11</w:t>
                </w:r>
              </w:p>
            </w:tc>
            <w:tc>
              <w:tcPr>
                <w:tcW w:w="2100" w:type="dxa"/>
              </w:tcPr>
              <w:p w14:paraId="6E47456A" w14:textId="666FCA0A" w:rsidR="002F0752" w:rsidRDefault="002F0752" w:rsidP="002F0752">
                <w:r>
                  <w:t>88.53</w:t>
                </w:r>
              </w:p>
            </w:tc>
          </w:tr>
          <w:tr w:rsidR="002F0752" w14:paraId="24AF16C4" w14:textId="53578541" w:rsidTr="005002C6">
            <w:tc>
              <w:tcPr>
                <w:tcW w:w="1945" w:type="dxa"/>
              </w:tcPr>
              <w:p w14:paraId="430391A4" w14:textId="618B2A29" w:rsidR="002F0752" w:rsidRDefault="002F0752" w:rsidP="002F0752">
                <w:r>
                  <w:t>4</w:t>
                </w:r>
              </w:p>
            </w:tc>
            <w:tc>
              <w:tcPr>
                <w:tcW w:w="1637" w:type="dxa"/>
                <w:vAlign w:val="center"/>
              </w:tcPr>
              <w:p w14:paraId="6AE7D801" w14:textId="757F4F8E" w:rsidR="002F0752" w:rsidRDefault="002F0752" w:rsidP="002F0752">
                <w:r>
                  <w:rPr>
                    <w:rFonts w:ascii="Aptos" w:hAnsi="Aptos"/>
                    <w:color w:val="000000"/>
                  </w:rPr>
                  <w:t>0.15</w:t>
                </w:r>
              </w:p>
            </w:tc>
            <w:tc>
              <w:tcPr>
                <w:tcW w:w="2100" w:type="dxa"/>
              </w:tcPr>
              <w:p w14:paraId="5B569C17" w14:textId="35A8AC37" w:rsidR="002F0752" w:rsidRDefault="002F0752" w:rsidP="002F0752">
                <w:pPr>
                  <w:keepNext/>
                </w:pPr>
                <w:r>
                  <w:t>75.38</w:t>
                </w:r>
              </w:p>
            </w:tc>
          </w:tr>
        </w:tbl>
        <w:p w14:paraId="41FAC385" w14:textId="103EE721" w:rsidR="00BC78CB" w:rsidRDefault="00E822E4" w:rsidP="00E822E4">
          <w:pPr>
            <w:pStyle w:val="Caption"/>
          </w:pPr>
          <w:bookmarkStart w:id="0" w:name="_Toc213353973"/>
          <w:r>
            <w:t xml:space="preserve">Table </w:t>
          </w:r>
          <w:r>
            <w:fldChar w:fldCharType="begin"/>
          </w:r>
          <w:r>
            <w:instrText xml:space="preserve"> SEQ Table \* ARABIC </w:instrText>
          </w:r>
          <w:r>
            <w:fldChar w:fldCharType="separate"/>
          </w:r>
          <w:r w:rsidR="009867BE">
            <w:rPr>
              <w:noProof/>
            </w:rPr>
            <w:t>1</w:t>
          </w:r>
          <w:r>
            <w:fldChar w:fldCharType="end"/>
          </w:r>
          <w:r>
            <w:t xml:space="preserve"> - Reaction times for changing Hydrogen Peroxide Concentration</w:t>
          </w:r>
          <w:bookmarkEnd w:id="0"/>
        </w:p>
        <w:p w14:paraId="788FD54A" w14:textId="77777777" w:rsidR="007E7C91" w:rsidRPr="007E7C91" w:rsidRDefault="007E7C91" w:rsidP="007E7C91"/>
        <w:tbl>
          <w:tblPr>
            <w:tblStyle w:val="TableGrid"/>
            <w:tblW w:w="0" w:type="auto"/>
            <w:tblLook w:val="04A0" w:firstRow="1" w:lastRow="0" w:firstColumn="1" w:lastColumn="0" w:noHBand="0" w:noVBand="1"/>
          </w:tblPr>
          <w:tblGrid>
            <w:gridCol w:w="1945"/>
            <w:gridCol w:w="1637"/>
            <w:gridCol w:w="2100"/>
          </w:tblGrid>
          <w:tr w:rsidR="00E822E4" w14:paraId="06EACF30" w14:textId="77777777" w:rsidTr="005002C6">
            <w:tc>
              <w:tcPr>
                <w:tcW w:w="1945" w:type="dxa"/>
              </w:tcPr>
              <w:p w14:paraId="77795A0B" w14:textId="77777777" w:rsidR="00E822E4" w:rsidRDefault="00E822E4" w:rsidP="005002C6">
                <w:r>
                  <w:t>Reaction number</w:t>
                </w:r>
              </w:p>
            </w:tc>
            <w:tc>
              <w:tcPr>
                <w:tcW w:w="1637" w:type="dxa"/>
              </w:tcPr>
              <w:p w14:paraId="0580482B" w14:textId="34EB41A5" w:rsidR="00E822E4" w:rsidRDefault="00E822E4" w:rsidP="005002C6">
                <w:r>
                  <w:t>[KI]</w:t>
                </w:r>
                <w:r w:rsidR="00490934">
                  <w:rPr>
                    <w:vertAlign w:val="subscript"/>
                  </w:rPr>
                  <w:t>0</w:t>
                </w:r>
                <w:r>
                  <w:t xml:space="preserve"> / M</w:t>
                </w:r>
              </w:p>
            </w:tc>
            <w:tc>
              <w:tcPr>
                <w:tcW w:w="2100" w:type="dxa"/>
              </w:tcPr>
              <w:p w14:paraId="255D49F4" w14:textId="77777777" w:rsidR="00E822E4" w:rsidRDefault="00E822E4" w:rsidP="005002C6">
                <w:r>
                  <w:t>Reaction time / s</w:t>
                </w:r>
              </w:p>
            </w:tc>
          </w:tr>
          <w:tr w:rsidR="00E822E4" w14:paraId="589776D2" w14:textId="77777777" w:rsidTr="005002C6">
            <w:tc>
              <w:tcPr>
                <w:tcW w:w="1945" w:type="dxa"/>
              </w:tcPr>
              <w:p w14:paraId="791B2B17" w14:textId="0B89623F" w:rsidR="00E822E4" w:rsidRDefault="00E822E4" w:rsidP="005002C6">
                <w:r>
                  <w:t>5</w:t>
                </w:r>
              </w:p>
            </w:tc>
            <w:tc>
              <w:tcPr>
                <w:tcW w:w="1637" w:type="dxa"/>
              </w:tcPr>
              <w:p w14:paraId="22511C93" w14:textId="7CAC3F07" w:rsidR="00E822E4" w:rsidRDefault="00E822E4" w:rsidP="005002C6">
                <w:r>
                  <w:t>0.008</w:t>
                </w:r>
              </w:p>
            </w:tc>
            <w:tc>
              <w:tcPr>
                <w:tcW w:w="2100" w:type="dxa"/>
              </w:tcPr>
              <w:p w14:paraId="1CC1F9C3" w14:textId="67A3F222" w:rsidR="00E822E4" w:rsidRDefault="00E95861" w:rsidP="005002C6">
                <w:r>
                  <w:t>158.42</w:t>
                </w:r>
              </w:p>
            </w:tc>
          </w:tr>
          <w:tr w:rsidR="00E822E4" w14:paraId="3503CBCE" w14:textId="77777777" w:rsidTr="005002C6">
            <w:tc>
              <w:tcPr>
                <w:tcW w:w="1945" w:type="dxa"/>
              </w:tcPr>
              <w:p w14:paraId="45B62CFB" w14:textId="5833EABF" w:rsidR="00E822E4" w:rsidRDefault="00E822E4" w:rsidP="005002C6">
                <w:r>
                  <w:t>6</w:t>
                </w:r>
              </w:p>
            </w:tc>
            <w:tc>
              <w:tcPr>
                <w:tcW w:w="1637" w:type="dxa"/>
              </w:tcPr>
              <w:p w14:paraId="78E87917" w14:textId="323F5A9C" w:rsidR="00E822E4" w:rsidRDefault="00E822E4" w:rsidP="005002C6">
                <w:r>
                  <w:t>0.016</w:t>
                </w:r>
              </w:p>
            </w:tc>
            <w:tc>
              <w:tcPr>
                <w:tcW w:w="2100" w:type="dxa"/>
              </w:tcPr>
              <w:p w14:paraId="097A5461" w14:textId="7B9E34DE" w:rsidR="00E822E4" w:rsidRDefault="00E95861" w:rsidP="005002C6">
                <w:r>
                  <w:t>113.60</w:t>
                </w:r>
              </w:p>
            </w:tc>
          </w:tr>
          <w:tr w:rsidR="00E822E4" w14:paraId="5A4DA795" w14:textId="77777777" w:rsidTr="005002C6">
            <w:tc>
              <w:tcPr>
                <w:tcW w:w="1945" w:type="dxa"/>
              </w:tcPr>
              <w:p w14:paraId="6DAE6B02" w14:textId="4C70286E" w:rsidR="00E822E4" w:rsidRDefault="00E822E4" w:rsidP="005002C6">
                <w:r>
                  <w:t>7</w:t>
                </w:r>
              </w:p>
            </w:tc>
            <w:tc>
              <w:tcPr>
                <w:tcW w:w="1637" w:type="dxa"/>
              </w:tcPr>
              <w:p w14:paraId="574C2F60" w14:textId="1607436E" w:rsidR="00E822E4" w:rsidRDefault="00E822E4" w:rsidP="005002C6">
                <w:r>
                  <w:t>0.024</w:t>
                </w:r>
              </w:p>
            </w:tc>
            <w:tc>
              <w:tcPr>
                <w:tcW w:w="2100" w:type="dxa"/>
              </w:tcPr>
              <w:p w14:paraId="20C25543" w14:textId="0283D52F" w:rsidR="00E822E4" w:rsidRDefault="00E95861" w:rsidP="005002C6">
                <w:r>
                  <w:t>81.82</w:t>
                </w:r>
              </w:p>
            </w:tc>
          </w:tr>
          <w:tr w:rsidR="00E822E4" w14:paraId="76C13C3D" w14:textId="77777777" w:rsidTr="005002C6">
            <w:tc>
              <w:tcPr>
                <w:tcW w:w="1945" w:type="dxa"/>
              </w:tcPr>
              <w:p w14:paraId="7022DA77" w14:textId="7A7E8254" w:rsidR="00E822E4" w:rsidRDefault="00E822E4" w:rsidP="005002C6">
                <w:r>
                  <w:t>8</w:t>
                </w:r>
              </w:p>
            </w:tc>
            <w:tc>
              <w:tcPr>
                <w:tcW w:w="1637" w:type="dxa"/>
              </w:tcPr>
              <w:p w14:paraId="0423F12F" w14:textId="0BDEA852" w:rsidR="00E822E4" w:rsidRDefault="00E822E4" w:rsidP="005002C6">
                <w:r>
                  <w:t>0.0</w:t>
                </w:r>
                <w:r w:rsidR="00E95861">
                  <w:t>32</w:t>
                </w:r>
              </w:p>
            </w:tc>
            <w:tc>
              <w:tcPr>
                <w:tcW w:w="2100" w:type="dxa"/>
              </w:tcPr>
              <w:p w14:paraId="71E8458E" w14:textId="0BB2898E" w:rsidR="00E822E4" w:rsidRDefault="00E95861" w:rsidP="00E822E4">
                <w:pPr>
                  <w:keepNext/>
                </w:pPr>
                <w:r>
                  <w:t>63.62</w:t>
                </w:r>
              </w:p>
            </w:tc>
          </w:tr>
        </w:tbl>
        <w:p w14:paraId="0FE5A1B5" w14:textId="2B15B4B8" w:rsidR="00E822E4" w:rsidRDefault="00E822E4" w:rsidP="00E822E4">
          <w:pPr>
            <w:pStyle w:val="Caption"/>
          </w:pPr>
          <w:bookmarkStart w:id="1" w:name="_Toc213353974"/>
          <w:r>
            <w:t xml:space="preserve">Table </w:t>
          </w:r>
          <w:r>
            <w:fldChar w:fldCharType="begin"/>
          </w:r>
          <w:r>
            <w:instrText xml:space="preserve"> SEQ Table \* ARABIC </w:instrText>
          </w:r>
          <w:r>
            <w:fldChar w:fldCharType="separate"/>
          </w:r>
          <w:r w:rsidR="009867BE">
            <w:rPr>
              <w:noProof/>
            </w:rPr>
            <w:t>2</w:t>
          </w:r>
          <w:r>
            <w:fldChar w:fldCharType="end"/>
          </w:r>
          <w:r>
            <w:t xml:space="preserve"> - Reaction times for changing potassium iodide concentrations</w:t>
          </w:r>
          <w:bookmarkEnd w:id="1"/>
        </w:p>
        <w:p w14:paraId="4772D7E1" w14:textId="77777777" w:rsidR="007E7C91" w:rsidRDefault="007E7C91" w:rsidP="007E7C91"/>
        <w:p w14:paraId="32847864" w14:textId="43704DF1" w:rsidR="007E7C91" w:rsidRDefault="007E7C91" w:rsidP="007E7C91">
          <w:r>
            <w:t xml:space="preserve">The order of reaction can be found graphically for each reactant, by </w:t>
          </w:r>
          <w:r w:rsidR="00B82FF2">
            <w:t xml:space="preserve">plotting rate against concentration. Rate is given as the amount of product formed over time, as the formation of </w:t>
          </w:r>
          <w:r w:rsidR="00B82FF2">
            <w:lastRenderedPageBreak/>
            <w:t xml:space="preserve">product was not measured the inverse of reaction time can be used, as </w:t>
          </w:r>
          <w:r w:rsidR="00591481">
            <w:t xml:space="preserve">this is proportional to rate. </w:t>
          </w:r>
        </w:p>
        <w:p w14:paraId="28D56BCB" w14:textId="77777777" w:rsidR="00805B2F" w:rsidRDefault="00805B2F" w:rsidP="007E7C91"/>
        <w:p w14:paraId="692DB446" w14:textId="01196959" w:rsidR="00805B2F" w:rsidRDefault="00BC41B3" w:rsidP="00805B2F">
          <w:pPr>
            <w:keepNext/>
          </w:pPr>
          <w:r>
            <w:rPr>
              <w:noProof/>
            </w:rPr>
            <w:drawing>
              <wp:inline distT="0" distB="0" distL="0" distR="0" wp14:anchorId="654EA90E" wp14:editId="0BACCD86">
                <wp:extent cx="4584700" cy="2755900"/>
                <wp:effectExtent l="0" t="0" r="6350" b="6350"/>
                <wp:docPr id="15910723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88FD859" w14:textId="6BBC678C" w:rsidR="00805B2F" w:rsidRDefault="00805B2F" w:rsidP="00805B2F">
          <w:pPr>
            <w:pStyle w:val="Caption"/>
          </w:pPr>
          <w:bookmarkStart w:id="2" w:name="_Toc213353983"/>
          <w:r>
            <w:t xml:space="preserve">Figure </w:t>
          </w:r>
          <w:r>
            <w:fldChar w:fldCharType="begin"/>
          </w:r>
          <w:r>
            <w:instrText xml:space="preserve"> SEQ Figure \* ARABIC </w:instrText>
          </w:r>
          <w:r>
            <w:fldChar w:fldCharType="separate"/>
          </w:r>
          <w:r w:rsidR="009867BE">
            <w:rPr>
              <w:noProof/>
            </w:rPr>
            <w:t>1</w:t>
          </w:r>
          <w:r>
            <w:fldChar w:fldCharType="end"/>
          </w:r>
          <w:r>
            <w:t xml:space="preserve"> - </w:t>
          </w:r>
          <w:r w:rsidRPr="009C52DF">
            <w:t>Change in rate with variation of hydrogen peroxide concentration</w:t>
          </w:r>
          <w:bookmarkEnd w:id="2"/>
        </w:p>
        <w:p w14:paraId="5B02914E" w14:textId="77777777" w:rsidR="00BC41B3" w:rsidRDefault="00BC41B3" w:rsidP="00BC41B3">
          <w:pPr>
            <w:keepNext/>
          </w:pPr>
          <w:r>
            <w:rPr>
              <w:noProof/>
            </w:rPr>
            <w:drawing>
              <wp:inline distT="0" distB="0" distL="0" distR="0" wp14:anchorId="1AA8AB50" wp14:editId="48F29BD7">
                <wp:extent cx="4584700" cy="2755900"/>
                <wp:effectExtent l="0" t="0" r="6350" b="6350"/>
                <wp:docPr id="17279853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E1042A3" w14:textId="348D2439" w:rsidR="00BC41B3" w:rsidRDefault="00BC41B3" w:rsidP="00BC41B3">
          <w:pPr>
            <w:pStyle w:val="Caption"/>
          </w:pPr>
          <w:bookmarkStart w:id="3" w:name="_Toc213353984"/>
          <w:r>
            <w:t xml:space="preserve">Figure </w:t>
          </w:r>
          <w:r>
            <w:fldChar w:fldCharType="begin"/>
          </w:r>
          <w:r>
            <w:instrText xml:space="preserve"> SEQ Figure \* ARABIC </w:instrText>
          </w:r>
          <w:r>
            <w:fldChar w:fldCharType="separate"/>
          </w:r>
          <w:r w:rsidR="009867BE">
            <w:rPr>
              <w:noProof/>
            </w:rPr>
            <w:t>2</w:t>
          </w:r>
          <w:r>
            <w:fldChar w:fldCharType="end"/>
          </w:r>
          <w:r>
            <w:t xml:space="preserve"> - </w:t>
          </w:r>
          <w:r w:rsidRPr="005571C3">
            <w:t xml:space="preserve">Change in rate with variation of </w:t>
          </w:r>
          <w:r>
            <w:t>potassium iodide</w:t>
          </w:r>
          <w:r w:rsidRPr="005571C3">
            <w:t xml:space="preserve"> concentration</w:t>
          </w:r>
          <w:bookmarkEnd w:id="3"/>
        </w:p>
        <w:p w14:paraId="0EE7ABAC" w14:textId="77777777" w:rsidR="00BC41B3" w:rsidRDefault="00BC41B3" w:rsidP="00BC41B3"/>
        <w:p w14:paraId="0111FDDC" w14:textId="48DE39EC" w:rsidR="00BC41B3" w:rsidRDefault="00BC41B3" w:rsidP="00BC41B3">
          <w:r>
            <w:t xml:space="preserve">As shown in fig. 1 and fig. 2 there is a linear relationship between </w:t>
          </w:r>
          <w:r w:rsidR="005B35AA">
            <w:t xml:space="preserve">rate and concentration, meaning that the reaction is first order for both potassium iodide and hydrogen peroxide, and this matches the literature </w:t>
          </w:r>
          <w:sdt>
            <w:sdtPr>
              <w:id w:val="-1353568061"/>
              <w:citation/>
            </w:sdtPr>
            <w:sdtContent>
              <w:r w:rsidR="005B35AA">
                <w:fldChar w:fldCharType="begin"/>
              </w:r>
              <w:r w:rsidR="005B35AA">
                <w:instrText xml:space="preserve"> CITATION Lib25 \l 2057 </w:instrText>
              </w:r>
              <w:r w:rsidR="005B35AA">
                <w:fldChar w:fldCharType="separate"/>
              </w:r>
              <w:r w:rsidR="009867BE" w:rsidRPr="009867BE">
                <w:rPr>
                  <w:noProof/>
                </w:rPr>
                <w:t>[5]</w:t>
              </w:r>
              <w:r w:rsidR="005B35AA">
                <w:fldChar w:fldCharType="end"/>
              </w:r>
            </w:sdtContent>
          </w:sdt>
          <w:r w:rsidR="005B35AA">
            <w:t xml:space="preserve">. Hence the rate equation for </w:t>
          </w:r>
          <w:r w:rsidR="00B53383">
            <w:t>t</w:t>
          </w:r>
          <w:r w:rsidR="005B35AA">
            <w:t>his reaction is v = k[I</w:t>
          </w:r>
          <w:r w:rsidR="005B35AA">
            <w:rPr>
              <w:vertAlign w:val="superscript"/>
            </w:rPr>
            <w:t>-</w:t>
          </w:r>
          <w:r w:rsidR="005B35AA">
            <w:t>][H</w:t>
          </w:r>
          <w:r w:rsidR="005B35AA">
            <w:rPr>
              <w:vertAlign w:val="subscript"/>
            </w:rPr>
            <w:t>2</w:t>
          </w:r>
          <w:r w:rsidR="005B35AA">
            <w:t>O</w:t>
          </w:r>
          <w:r w:rsidR="005B35AA">
            <w:rPr>
              <w:vertAlign w:val="subscript"/>
            </w:rPr>
            <w:t>2</w:t>
          </w:r>
          <w:r w:rsidR="005B35AA">
            <w:t>].</w:t>
          </w:r>
        </w:p>
        <w:p w14:paraId="22ABFE97" w14:textId="3791D971" w:rsidR="00CB0E43" w:rsidRDefault="00F84FA9" w:rsidP="00BC41B3">
          <w:r>
            <w:t xml:space="preserve">Rearranging the </w:t>
          </w:r>
          <w:r w:rsidR="003259AA">
            <w:t>derived</w:t>
          </w:r>
          <w:r>
            <w:t xml:space="preserve"> rate equation, </w:t>
          </w:r>
          <w:r w:rsidR="003259AA">
            <w:t>k can be found from k = (1/t)/[KI][</w:t>
          </w:r>
          <w:r w:rsidR="003259AA" w:rsidRPr="003259AA">
            <w:t>H</w:t>
          </w:r>
          <w:r w:rsidR="003259AA" w:rsidRPr="003259AA">
            <w:rPr>
              <w:vertAlign w:val="subscript"/>
            </w:rPr>
            <w:t>2</w:t>
          </w:r>
          <w:r w:rsidR="003259AA" w:rsidRPr="003259AA">
            <w:t>O</w:t>
          </w:r>
          <w:r w:rsidR="003259AA" w:rsidRPr="003259AA">
            <w:rPr>
              <w:vertAlign w:val="subscript"/>
            </w:rPr>
            <w:t>2</w:t>
          </w:r>
          <w:r w:rsidR="003259AA">
            <w:t xml:space="preserve">], and then averaged across all experiments, see table 3. </w:t>
          </w:r>
        </w:p>
        <w:p w14:paraId="714F9D96" w14:textId="77777777" w:rsidR="00CB0E43" w:rsidRDefault="00CB0E43">
          <w:r>
            <w:br w:type="page"/>
          </w:r>
        </w:p>
        <w:p w14:paraId="79547177" w14:textId="77777777" w:rsidR="005B35AA" w:rsidRDefault="005B35AA" w:rsidP="00BC41B3"/>
        <w:tbl>
          <w:tblPr>
            <w:tblStyle w:val="TableGrid"/>
            <w:tblW w:w="0" w:type="auto"/>
            <w:tblLook w:val="04A0" w:firstRow="1" w:lastRow="0" w:firstColumn="1" w:lastColumn="0" w:noHBand="0" w:noVBand="1"/>
          </w:tblPr>
          <w:tblGrid>
            <w:gridCol w:w="1803"/>
            <w:gridCol w:w="1803"/>
            <w:gridCol w:w="1803"/>
            <w:gridCol w:w="1803"/>
            <w:gridCol w:w="1804"/>
          </w:tblGrid>
          <w:tr w:rsidR="00541D31" w14:paraId="0C82BA9C" w14:textId="77777777" w:rsidTr="00541D31">
            <w:tc>
              <w:tcPr>
                <w:tcW w:w="1803" w:type="dxa"/>
              </w:tcPr>
              <w:p w14:paraId="7327A01F" w14:textId="37C3FEFD" w:rsidR="00541D31" w:rsidRDefault="00541D31" w:rsidP="00BC41B3">
                <w:r>
                  <w:t>Experiment number</w:t>
                </w:r>
              </w:p>
            </w:tc>
            <w:tc>
              <w:tcPr>
                <w:tcW w:w="1803" w:type="dxa"/>
              </w:tcPr>
              <w:p w14:paraId="5236BA73" w14:textId="00E3F439" w:rsidR="00541D31" w:rsidRDefault="00541D31" w:rsidP="00BC41B3">
                <w:r>
                  <w:t>[H</w:t>
                </w:r>
                <w:r>
                  <w:rPr>
                    <w:vertAlign w:val="subscript"/>
                  </w:rPr>
                  <w:t>2</w:t>
                </w:r>
                <w:r>
                  <w:t>O</w:t>
                </w:r>
                <w:r>
                  <w:rPr>
                    <w:vertAlign w:val="subscript"/>
                  </w:rPr>
                  <w:t>2</w:t>
                </w:r>
                <w:r>
                  <w:t>]</w:t>
                </w:r>
                <w:r>
                  <w:rPr>
                    <w:vertAlign w:val="subscript"/>
                  </w:rPr>
                  <w:t>0</w:t>
                </w:r>
                <w:r>
                  <w:t xml:space="preserve"> / M</w:t>
                </w:r>
              </w:p>
            </w:tc>
            <w:tc>
              <w:tcPr>
                <w:tcW w:w="1803" w:type="dxa"/>
              </w:tcPr>
              <w:p w14:paraId="189BAAEA" w14:textId="657497CC" w:rsidR="00541D31" w:rsidRDefault="00541D31" w:rsidP="00BC41B3">
                <w:r>
                  <w:t>[KI]</w:t>
                </w:r>
                <w:r>
                  <w:rPr>
                    <w:vertAlign w:val="subscript"/>
                  </w:rPr>
                  <w:t>0</w:t>
                </w:r>
                <w:r>
                  <w:t xml:space="preserve"> / M</w:t>
                </w:r>
              </w:p>
            </w:tc>
            <w:tc>
              <w:tcPr>
                <w:tcW w:w="1803" w:type="dxa"/>
              </w:tcPr>
              <w:p w14:paraId="26F8A462" w14:textId="61284198" w:rsidR="00541D31" w:rsidRPr="00541D31" w:rsidRDefault="00541D31" w:rsidP="00BC41B3">
                <w:pPr>
                  <w:rPr>
                    <w:vertAlign w:val="superscript"/>
                  </w:rPr>
                </w:pPr>
                <w:r>
                  <w:t>1/t /</w:t>
                </w:r>
                <w:r w:rsidR="00846469">
                  <w:t xml:space="preserve"> </w:t>
                </w:r>
                <w:r>
                  <w:t>s</w:t>
                </w:r>
                <w:r>
                  <w:rPr>
                    <w:vertAlign w:val="superscript"/>
                  </w:rPr>
                  <w:t>-1</w:t>
                </w:r>
              </w:p>
            </w:tc>
            <w:tc>
              <w:tcPr>
                <w:tcW w:w="1804" w:type="dxa"/>
              </w:tcPr>
              <w:p w14:paraId="2BC7011F" w14:textId="356638CA" w:rsidR="00541D31" w:rsidRPr="00541D31" w:rsidRDefault="00541D31" w:rsidP="00BC41B3">
                <w:pPr>
                  <w:rPr>
                    <w:vertAlign w:val="superscript"/>
                  </w:rPr>
                </w:pPr>
                <w:r>
                  <w:t>k / s</w:t>
                </w:r>
                <w:r>
                  <w:rPr>
                    <w:vertAlign w:val="superscript"/>
                  </w:rPr>
                  <w:t>-1</w:t>
                </w:r>
                <w:r>
                  <w:t>mol</w:t>
                </w:r>
                <w:r>
                  <w:rPr>
                    <w:vertAlign w:val="superscript"/>
                  </w:rPr>
                  <w:t>-2</w:t>
                </w:r>
                <w:r>
                  <w:t>dm</w:t>
                </w:r>
                <w:r>
                  <w:rPr>
                    <w:vertAlign w:val="superscript"/>
                  </w:rPr>
                  <w:t>6</w:t>
                </w:r>
              </w:p>
            </w:tc>
          </w:tr>
          <w:tr w:rsidR="00541D31" w14:paraId="4DFC8BA2" w14:textId="77777777" w:rsidTr="005002C6">
            <w:tc>
              <w:tcPr>
                <w:tcW w:w="1803" w:type="dxa"/>
                <w:vAlign w:val="bottom"/>
              </w:tcPr>
              <w:p w14:paraId="0E3DBCEE" w14:textId="7DDB0BF7" w:rsidR="00541D31" w:rsidRDefault="00541D31" w:rsidP="00541D31">
                <w:r>
                  <w:rPr>
                    <w:rFonts w:ascii="Aptos Narrow" w:hAnsi="Aptos Narrow"/>
                    <w:color w:val="000000"/>
                  </w:rPr>
                  <w:t>1</w:t>
                </w:r>
              </w:p>
            </w:tc>
            <w:tc>
              <w:tcPr>
                <w:tcW w:w="1803" w:type="dxa"/>
                <w:vAlign w:val="bottom"/>
              </w:tcPr>
              <w:p w14:paraId="7185AA29" w14:textId="5766F512" w:rsidR="00541D31" w:rsidRDefault="00541D31" w:rsidP="00541D31">
                <w:r>
                  <w:rPr>
                    <w:rFonts w:ascii="Aptos Narrow" w:hAnsi="Aptos Narrow"/>
                    <w:color w:val="000000"/>
                  </w:rPr>
                  <w:t>0.024</w:t>
                </w:r>
              </w:p>
            </w:tc>
            <w:tc>
              <w:tcPr>
                <w:tcW w:w="1803" w:type="dxa"/>
                <w:vAlign w:val="center"/>
              </w:tcPr>
              <w:p w14:paraId="2FDDCD79" w14:textId="23D49493" w:rsidR="00541D31" w:rsidRDefault="00541D31" w:rsidP="00541D31">
                <w:r>
                  <w:rPr>
                    <w:rFonts w:ascii="Aptos" w:hAnsi="Aptos"/>
                    <w:color w:val="000000"/>
                  </w:rPr>
                  <w:t>0.036</w:t>
                </w:r>
              </w:p>
            </w:tc>
            <w:tc>
              <w:tcPr>
                <w:tcW w:w="1803" w:type="dxa"/>
                <w:vAlign w:val="bottom"/>
              </w:tcPr>
              <w:p w14:paraId="6B20680E" w14:textId="5F977F56" w:rsidR="00541D31" w:rsidRDefault="00541D31" w:rsidP="00541D31">
                <w:r>
                  <w:rPr>
                    <w:rFonts w:ascii="Aptos Narrow" w:hAnsi="Aptos Narrow"/>
                    <w:color w:val="000000"/>
                  </w:rPr>
                  <w:t>0.0083</w:t>
                </w:r>
              </w:p>
            </w:tc>
            <w:tc>
              <w:tcPr>
                <w:tcW w:w="1804" w:type="dxa"/>
                <w:vAlign w:val="bottom"/>
              </w:tcPr>
              <w:p w14:paraId="5544DDC4" w14:textId="0F9848CE" w:rsidR="00541D31" w:rsidRDefault="00541D31" w:rsidP="00541D31">
                <w:r>
                  <w:rPr>
                    <w:rFonts w:ascii="Aptos Narrow" w:hAnsi="Aptos Narrow"/>
                    <w:color w:val="000000"/>
                  </w:rPr>
                  <w:t>9.58</w:t>
                </w:r>
              </w:p>
            </w:tc>
          </w:tr>
          <w:tr w:rsidR="00541D31" w14:paraId="54880F4B" w14:textId="77777777" w:rsidTr="005002C6">
            <w:tc>
              <w:tcPr>
                <w:tcW w:w="1803" w:type="dxa"/>
                <w:vAlign w:val="bottom"/>
              </w:tcPr>
              <w:p w14:paraId="6C85A11D" w14:textId="2D54877F" w:rsidR="00541D31" w:rsidRDefault="00541D31" w:rsidP="00541D31">
                <w:r>
                  <w:rPr>
                    <w:rFonts w:ascii="Aptos Narrow" w:hAnsi="Aptos Narrow"/>
                    <w:color w:val="000000"/>
                  </w:rPr>
                  <w:t>2</w:t>
                </w:r>
              </w:p>
            </w:tc>
            <w:tc>
              <w:tcPr>
                <w:tcW w:w="1803" w:type="dxa"/>
                <w:vAlign w:val="bottom"/>
              </w:tcPr>
              <w:p w14:paraId="5D82B884" w14:textId="1EDEE08A" w:rsidR="00541D31" w:rsidRDefault="00541D31" w:rsidP="00541D31">
                <w:r>
                  <w:rPr>
                    <w:rFonts w:ascii="Aptos Narrow" w:hAnsi="Aptos Narrow"/>
                    <w:color w:val="000000"/>
                  </w:rPr>
                  <w:t>0.024</w:t>
                </w:r>
              </w:p>
            </w:tc>
            <w:tc>
              <w:tcPr>
                <w:tcW w:w="1803" w:type="dxa"/>
                <w:vAlign w:val="center"/>
              </w:tcPr>
              <w:p w14:paraId="7AED77D7" w14:textId="6758D9F5" w:rsidR="00541D31" w:rsidRDefault="00541D31" w:rsidP="00541D31">
                <w:r>
                  <w:rPr>
                    <w:rFonts w:ascii="Aptos" w:hAnsi="Aptos"/>
                    <w:color w:val="000000"/>
                  </w:rPr>
                  <w:t>0.071</w:t>
                </w:r>
              </w:p>
            </w:tc>
            <w:tc>
              <w:tcPr>
                <w:tcW w:w="1803" w:type="dxa"/>
                <w:vAlign w:val="bottom"/>
              </w:tcPr>
              <w:p w14:paraId="031B75C9" w14:textId="716626AC" w:rsidR="00541D31" w:rsidRDefault="00541D31" w:rsidP="00541D31">
                <w:r>
                  <w:rPr>
                    <w:rFonts w:ascii="Aptos Narrow" w:hAnsi="Aptos Narrow"/>
                    <w:color w:val="000000"/>
                  </w:rPr>
                  <w:t>0.0084</w:t>
                </w:r>
              </w:p>
            </w:tc>
            <w:tc>
              <w:tcPr>
                <w:tcW w:w="1804" w:type="dxa"/>
                <w:vAlign w:val="bottom"/>
              </w:tcPr>
              <w:p w14:paraId="4F824B1A" w14:textId="4FCD805C" w:rsidR="00541D31" w:rsidRDefault="00541D31" w:rsidP="00541D31">
                <w:r>
                  <w:rPr>
                    <w:rFonts w:ascii="Aptos Narrow" w:hAnsi="Aptos Narrow"/>
                    <w:color w:val="000000"/>
                  </w:rPr>
                  <w:t>4.93</w:t>
                </w:r>
              </w:p>
            </w:tc>
          </w:tr>
          <w:tr w:rsidR="00541D31" w14:paraId="5A52E808" w14:textId="77777777" w:rsidTr="005002C6">
            <w:tc>
              <w:tcPr>
                <w:tcW w:w="1803" w:type="dxa"/>
                <w:vAlign w:val="bottom"/>
              </w:tcPr>
              <w:p w14:paraId="02BFA1D7" w14:textId="56AE8550" w:rsidR="00541D31" w:rsidRDefault="00541D31" w:rsidP="00541D31">
                <w:r>
                  <w:rPr>
                    <w:rFonts w:ascii="Aptos Narrow" w:hAnsi="Aptos Narrow"/>
                    <w:color w:val="000000"/>
                  </w:rPr>
                  <w:t>3</w:t>
                </w:r>
              </w:p>
            </w:tc>
            <w:tc>
              <w:tcPr>
                <w:tcW w:w="1803" w:type="dxa"/>
                <w:vAlign w:val="bottom"/>
              </w:tcPr>
              <w:p w14:paraId="0CB076AC" w14:textId="003D2AD4" w:rsidR="00541D31" w:rsidRDefault="00541D31" w:rsidP="00541D31">
                <w:r>
                  <w:rPr>
                    <w:rFonts w:ascii="Aptos Narrow" w:hAnsi="Aptos Narrow"/>
                    <w:color w:val="000000"/>
                  </w:rPr>
                  <w:t>0.024</w:t>
                </w:r>
              </w:p>
            </w:tc>
            <w:tc>
              <w:tcPr>
                <w:tcW w:w="1803" w:type="dxa"/>
                <w:vAlign w:val="center"/>
              </w:tcPr>
              <w:p w14:paraId="68C5557D" w14:textId="45A0B58C" w:rsidR="00541D31" w:rsidRDefault="00541D31" w:rsidP="00541D31">
                <w:r>
                  <w:rPr>
                    <w:rFonts w:ascii="Aptos" w:hAnsi="Aptos"/>
                    <w:color w:val="000000"/>
                  </w:rPr>
                  <w:t>0.11</w:t>
                </w:r>
              </w:p>
            </w:tc>
            <w:tc>
              <w:tcPr>
                <w:tcW w:w="1803" w:type="dxa"/>
                <w:vAlign w:val="bottom"/>
              </w:tcPr>
              <w:p w14:paraId="756D854C" w14:textId="0F4EE589" w:rsidR="00541D31" w:rsidRDefault="00541D31" w:rsidP="00541D31">
                <w:r>
                  <w:rPr>
                    <w:rFonts w:ascii="Aptos Narrow" w:hAnsi="Aptos Narrow"/>
                    <w:color w:val="000000"/>
                  </w:rPr>
                  <w:t>0.011</w:t>
                </w:r>
              </w:p>
            </w:tc>
            <w:tc>
              <w:tcPr>
                <w:tcW w:w="1804" w:type="dxa"/>
                <w:vAlign w:val="bottom"/>
              </w:tcPr>
              <w:p w14:paraId="059FB0EB" w14:textId="6AB6D694" w:rsidR="00541D31" w:rsidRDefault="00541D31" w:rsidP="00541D31">
                <w:r>
                  <w:rPr>
                    <w:rFonts w:ascii="Aptos Narrow" w:hAnsi="Aptos Narrow"/>
                    <w:color w:val="000000"/>
                  </w:rPr>
                  <w:t>4.27</w:t>
                </w:r>
              </w:p>
            </w:tc>
          </w:tr>
          <w:tr w:rsidR="00541D31" w14:paraId="0CBBD2A0" w14:textId="77777777" w:rsidTr="005002C6">
            <w:tc>
              <w:tcPr>
                <w:tcW w:w="1803" w:type="dxa"/>
                <w:vAlign w:val="bottom"/>
              </w:tcPr>
              <w:p w14:paraId="399C71BE" w14:textId="41618DFC" w:rsidR="00541D31" w:rsidRDefault="00541D31" w:rsidP="00541D31">
                <w:r>
                  <w:rPr>
                    <w:rFonts w:ascii="Aptos Narrow" w:hAnsi="Aptos Narrow"/>
                    <w:color w:val="000000"/>
                  </w:rPr>
                  <w:t>4</w:t>
                </w:r>
              </w:p>
            </w:tc>
            <w:tc>
              <w:tcPr>
                <w:tcW w:w="1803" w:type="dxa"/>
                <w:vAlign w:val="bottom"/>
              </w:tcPr>
              <w:p w14:paraId="41C46302" w14:textId="5690C168" w:rsidR="00541D31" w:rsidRDefault="00541D31" w:rsidP="00541D31">
                <w:r>
                  <w:rPr>
                    <w:rFonts w:ascii="Aptos Narrow" w:hAnsi="Aptos Narrow"/>
                    <w:color w:val="000000"/>
                  </w:rPr>
                  <w:t>0.024</w:t>
                </w:r>
              </w:p>
            </w:tc>
            <w:tc>
              <w:tcPr>
                <w:tcW w:w="1803" w:type="dxa"/>
                <w:vAlign w:val="center"/>
              </w:tcPr>
              <w:p w14:paraId="26172D87" w14:textId="0A5889DA" w:rsidR="00541D31" w:rsidRDefault="00541D31" w:rsidP="00541D31">
                <w:r>
                  <w:rPr>
                    <w:rFonts w:ascii="Aptos" w:hAnsi="Aptos"/>
                    <w:color w:val="000000"/>
                  </w:rPr>
                  <w:t>0.15</w:t>
                </w:r>
              </w:p>
            </w:tc>
            <w:tc>
              <w:tcPr>
                <w:tcW w:w="1803" w:type="dxa"/>
                <w:vAlign w:val="bottom"/>
              </w:tcPr>
              <w:p w14:paraId="623A59CD" w14:textId="4D482CC9" w:rsidR="00541D31" w:rsidRDefault="00541D31" w:rsidP="00541D31">
                <w:r>
                  <w:rPr>
                    <w:rFonts w:ascii="Aptos Narrow" w:hAnsi="Aptos Narrow"/>
                    <w:color w:val="000000"/>
                  </w:rPr>
                  <w:t>0.013</w:t>
                </w:r>
              </w:p>
            </w:tc>
            <w:tc>
              <w:tcPr>
                <w:tcW w:w="1804" w:type="dxa"/>
                <w:vAlign w:val="bottom"/>
              </w:tcPr>
              <w:p w14:paraId="7393EB6E" w14:textId="1A3CE61F" w:rsidR="00541D31" w:rsidRDefault="00541D31" w:rsidP="00541D31">
                <w:r>
                  <w:rPr>
                    <w:rFonts w:ascii="Aptos Narrow" w:hAnsi="Aptos Narrow"/>
                    <w:color w:val="000000"/>
                  </w:rPr>
                  <w:t>3.69</w:t>
                </w:r>
              </w:p>
            </w:tc>
          </w:tr>
          <w:tr w:rsidR="00541D31" w14:paraId="5A3E0063" w14:textId="77777777" w:rsidTr="005002C6">
            <w:tc>
              <w:tcPr>
                <w:tcW w:w="1803" w:type="dxa"/>
                <w:vAlign w:val="bottom"/>
              </w:tcPr>
              <w:p w14:paraId="1C8BFAC0" w14:textId="01AD2639" w:rsidR="00541D31" w:rsidRDefault="00541D31" w:rsidP="00541D31">
                <w:r>
                  <w:rPr>
                    <w:rFonts w:ascii="Aptos Narrow" w:hAnsi="Aptos Narrow"/>
                    <w:color w:val="000000"/>
                  </w:rPr>
                  <w:t>5</w:t>
                </w:r>
              </w:p>
            </w:tc>
            <w:tc>
              <w:tcPr>
                <w:tcW w:w="1803" w:type="dxa"/>
                <w:vAlign w:val="center"/>
              </w:tcPr>
              <w:p w14:paraId="411F5B30" w14:textId="6AA00AC2" w:rsidR="00541D31" w:rsidRDefault="00541D31" w:rsidP="00541D31">
                <w:r>
                  <w:rPr>
                    <w:rFonts w:ascii="Aptos" w:hAnsi="Aptos"/>
                    <w:color w:val="000000"/>
                  </w:rPr>
                  <w:t>0.008</w:t>
                </w:r>
              </w:p>
            </w:tc>
            <w:tc>
              <w:tcPr>
                <w:tcW w:w="1803" w:type="dxa"/>
                <w:vAlign w:val="center"/>
              </w:tcPr>
              <w:p w14:paraId="6AFA0632" w14:textId="18C99B35" w:rsidR="00541D31" w:rsidRDefault="00541D31" w:rsidP="00541D31">
                <w:r>
                  <w:rPr>
                    <w:rFonts w:ascii="Aptos" w:hAnsi="Aptos"/>
                    <w:color w:val="000000"/>
                  </w:rPr>
                  <w:t>0.11</w:t>
                </w:r>
              </w:p>
            </w:tc>
            <w:tc>
              <w:tcPr>
                <w:tcW w:w="1803" w:type="dxa"/>
                <w:vAlign w:val="bottom"/>
              </w:tcPr>
              <w:p w14:paraId="14CC8A21" w14:textId="279AA3C0" w:rsidR="00541D31" w:rsidRDefault="00541D31" w:rsidP="00541D31">
                <w:r>
                  <w:rPr>
                    <w:rFonts w:ascii="Aptos Narrow" w:hAnsi="Aptos Narrow"/>
                    <w:color w:val="000000"/>
                  </w:rPr>
                  <w:t>0.0063</w:t>
                </w:r>
              </w:p>
            </w:tc>
            <w:tc>
              <w:tcPr>
                <w:tcW w:w="1804" w:type="dxa"/>
                <w:vAlign w:val="bottom"/>
              </w:tcPr>
              <w:p w14:paraId="05DBBF13" w14:textId="59EBE080" w:rsidR="00541D31" w:rsidRDefault="00541D31" w:rsidP="00541D31">
                <w:r>
                  <w:rPr>
                    <w:rFonts w:ascii="Aptos Narrow" w:hAnsi="Aptos Narrow"/>
                    <w:color w:val="000000"/>
                  </w:rPr>
                  <w:t>7.17</w:t>
                </w:r>
              </w:p>
            </w:tc>
          </w:tr>
          <w:tr w:rsidR="00541D31" w14:paraId="1B299BC8" w14:textId="77777777" w:rsidTr="005002C6">
            <w:tc>
              <w:tcPr>
                <w:tcW w:w="1803" w:type="dxa"/>
                <w:vAlign w:val="bottom"/>
              </w:tcPr>
              <w:p w14:paraId="17A1B08E" w14:textId="09540BDC" w:rsidR="00541D31" w:rsidRDefault="00541D31" w:rsidP="00541D31">
                <w:r>
                  <w:rPr>
                    <w:rFonts w:ascii="Aptos Narrow" w:hAnsi="Aptos Narrow"/>
                    <w:color w:val="000000"/>
                  </w:rPr>
                  <w:t>6</w:t>
                </w:r>
              </w:p>
            </w:tc>
            <w:tc>
              <w:tcPr>
                <w:tcW w:w="1803" w:type="dxa"/>
                <w:vAlign w:val="center"/>
              </w:tcPr>
              <w:p w14:paraId="30FF0237" w14:textId="7857B4F6" w:rsidR="00541D31" w:rsidRDefault="00541D31" w:rsidP="00541D31">
                <w:r>
                  <w:rPr>
                    <w:rFonts w:ascii="Aptos" w:hAnsi="Aptos"/>
                    <w:color w:val="000000"/>
                  </w:rPr>
                  <w:t>0.016</w:t>
                </w:r>
              </w:p>
            </w:tc>
            <w:tc>
              <w:tcPr>
                <w:tcW w:w="1803" w:type="dxa"/>
                <w:vAlign w:val="center"/>
              </w:tcPr>
              <w:p w14:paraId="4204CE86" w14:textId="57C62A7E" w:rsidR="00541D31" w:rsidRDefault="00541D31" w:rsidP="00541D31">
                <w:r>
                  <w:rPr>
                    <w:rFonts w:ascii="Aptos" w:hAnsi="Aptos"/>
                    <w:color w:val="000000"/>
                  </w:rPr>
                  <w:t>0.11</w:t>
                </w:r>
              </w:p>
            </w:tc>
            <w:tc>
              <w:tcPr>
                <w:tcW w:w="1803" w:type="dxa"/>
                <w:vAlign w:val="bottom"/>
              </w:tcPr>
              <w:p w14:paraId="4D73BCA7" w14:textId="038C73D6" w:rsidR="00541D31" w:rsidRDefault="00541D31" w:rsidP="00541D31">
                <w:r>
                  <w:rPr>
                    <w:rFonts w:ascii="Aptos Narrow" w:hAnsi="Aptos Narrow"/>
                    <w:color w:val="000000"/>
                  </w:rPr>
                  <w:t>0.0088</w:t>
                </w:r>
              </w:p>
            </w:tc>
            <w:tc>
              <w:tcPr>
                <w:tcW w:w="1804" w:type="dxa"/>
                <w:vAlign w:val="bottom"/>
              </w:tcPr>
              <w:p w14:paraId="6C192191" w14:textId="067CAB76" w:rsidR="00541D31" w:rsidRDefault="00541D31" w:rsidP="00541D31">
                <w:r>
                  <w:rPr>
                    <w:rFonts w:ascii="Aptos Narrow" w:hAnsi="Aptos Narrow"/>
                    <w:color w:val="000000"/>
                  </w:rPr>
                  <w:t>5.00</w:t>
                </w:r>
              </w:p>
            </w:tc>
          </w:tr>
          <w:tr w:rsidR="00541D31" w14:paraId="443ECB98" w14:textId="77777777" w:rsidTr="005002C6">
            <w:tc>
              <w:tcPr>
                <w:tcW w:w="1803" w:type="dxa"/>
                <w:vAlign w:val="bottom"/>
              </w:tcPr>
              <w:p w14:paraId="264A14E9" w14:textId="6858F79E" w:rsidR="00541D31" w:rsidRDefault="00541D31" w:rsidP="00541D31">
                <w:r>
                  <w:rPr>
                    <w:rFonts w:ascii="Aptos Narrow" w:hAnsi="Aptos Narrow"/>
                    <w:color w:val="000000"/>
                  </w:rPr>
                  <w:t>7</w:t>
                </w:r>
              </w:p>
            </w:tc>
            <w:tc>
              <w:tcPr>
                <w:tcW w:w="1803" w:type="dxa"/>
                <w:vAlign w:val="center"/>
              </w:tcPr>
              <w:p w14:paraId="0310EC8A" w14:textId="38204C0E" w:rsidR="00541D31" w:rsidRDefault="00541D31" w:rsidP="00541D31">
                <w:r>
                  <w:rPr>
                    <w:rFonts w:ascii="Aptos" w:hAnsi="Aptos"/>
                    <w:color w:val="000000"/>
                  </w:rPr>
                  <w:t>0.024</w:t>
                </w:r>
              </w:p>
            </w:tc>
            <w:tc>
              <w:tcPr>
                <w:tcW w:w="1803" w:type="dxa"/>
                <w:vAlign w:val="center"/>
              </w:tcPr>
              <w:p w14:paraId="3B4F1EF5" w14:textId="4A127EE4" w:rsidR="00541D31" w:rsidRDefault="00541D31" w:rsidP="00541D31">
                <w:r>
                  <w:rPr>
                    <w:rFonts w:ascii="Aptos" w:hAnsi="Aptos"/>
                    <w:color w:val="000000"/>
                  </w:rPr>
                  <w:t>0.11</w:t>
                </w:r>
              </w:p>
            </w:tc>
            <w:tc>
              <w:tcPr>
                <w:tcW w:w="1803" w:type="dxa"/>
                <w:vAlign w:val="bottom"/>
              </w:tcPr>
              <w:p w14:paraId="65637904" w14:textId="5382FF21" w:rsidR="00541D31" w:rsidRDefault="00541D31" w:rsidP="00541D31">
                <w:r>
                  <w:rPr>
                    <w:rFonts w:ascii="Aptos Narrow" w:hAnsi="Aptos Narrow"/>
                    <w:color w:val="000000"/>
                  </w:rPr>
                  <w:t>0.012</w:t>
                </w:r>
              </w:p>
            </w:tc>
            <w:tc>
              <w:tcPr>
                <w:tcW w:w="1804" w:type="dxa"/>
                <w:vAlign w:val="bottom"/>
              </w:tcPr>
              <w:p w14:paraId="34268165" w14:textId="359DE40D" w:rsidR="00541D31" w:rsidRDefault="00541D31" w:rsidP="00541D31">
                <w:r>
                  <w:rPr>
                    <w:rFonts w:ascii="Aptos Narrow" w:hAnsi="Aptos Narrow"/>
                    <w:color w:val="000000"/>
                  </w:rPr>
                  <w:t>4.62</w:t>
                </w:r>
              </w:p>
            </w:tc>
          </w:tr>
          <w:tr w:rsidR="00541D31" w14:paraId="5D4929CC" w14:textId="77777777" w:rsidTr="005002C6">
            <w:tc>
              <w:tcPr>
                <w:tcW w:w="1803" w:type="dxa"/>
                <w:vAlign w:val="bottom"/>
              </w:tcPr>
              <w:p w14:paraId="38156022" w14:textId="429AC772" w:rsidR="00541D31" w:rsidRDefault="00541D31" w:rsidP="00541D31">
                <w:r>
                  <w:rPr>
                    <w:rFonts w:ascii="Aptos Narrow" w:hAnsi="Aptos Narrow"/>
                    <w:color w:val="000000"/>
                  </w:rPr>
                  <w:t>8</w:t>
                </w:r>
              </w:p>
            </w:tc>
            <w:tc>
              <w:tcPr>
                <w:tcW w:w="1803" w:type="dxa"/>
                <w:vAlign w:val="center"/>
              </w:tcPr>
              <w:p w14:paraId="2715D0FE" w14:textId="46E2395B" w:rsidR="00541D31" w:rsidRDefault="00541D31" w:rsidP="00541D31">
                <w:r>
                  <w:rPr>
                    <w:rFonts w:ascii="Aptos" w:hAnsi="Aptos"/>
                    <w:color w:val="000000"/>
                  </w:rPr>
                  <w:t>0.032</w:t>
                </w:r>
              </w:p>
            </w:tc>
            <w:tc>
              <w:tcPr>
                <w:tcW w:w="1803" w:type="dxa"/>
                <w:vAlign w:val="center"/>
              </w:tcPr>
              <w:p w14:paraId="0AFF758C" w14:textId="6FBF22D6" w:rsidR="00541D31" w:rsidRDefault="00541D31" w:rsidP="00541D31">
                <w:r>
                  <w:rPr>
                    <w:rFonts w:ascii="Aptos" w:hAnsi="Aptos"/>
                    <w:color w:val="000000"/>
                  </w:rPr>
                  <w:t>0.11</w:t>
                </w:r>
              </w:p>
            </w:tc>
            <w:tc>
              <w:tcPr>
                <w:tcW w:w="1803" w:type="dxa"/>
                <w:vAlign w:val="bottom"/>
              </w:tcPr>
              <w:p w14:paraId="054D241A" w14:textId="30C0638B" w:rsidR="00541D31" w:rsidRDefault="00541D31" w:rsidP="00541D31">
                <w:r>
                  <w:rPr>
                    <w:rFonts w:ascii="Aptos Narrow" w:hAnsi="Aptos Narrow"/>
                    <w:color w:val="000000"/>
                  </w:rPr>
                  <w:t>0.016</w:t>
                </w:r>
              </w:p>
            </w:tc>
            <w:tc>
              <w:tcPr>
                <w:tcW w:w="1804" w:type="dxa"/>
                <w:vAlign w:val="bottom"/>
              </w:tcPr>
              <w:p w14:paraId="7B6E9B4F" w14:textId="6CA0E021" w:rsidR="00541D31" w:rsidRDefault="00541D31" w:rsidP="00846469">
                <w:pPr>
                  <w:keepNext/>
                </w:pPr>
                <w:r>
                  <w:rPr>
                    <w:rFonts w:ascii="Aptos Narrow" w:hAnsi="Aptos Narrow"/>
                    <w:color w:val="000000"/>
                  </w:rPr>
                  <w:t>4.47</w:t>
                </w:r>
              </w:p>
            </w:tc>
          </w:tr>
        </w:tbl>
        <w:p w14:paraId="4BB9A495" w14:textId="554B91C0" w:rsidR="003259AA" w:rsidRDefault="00846469" w:rsidP="00846469">
          <w:pPr>
            <w:pStyle w:val="Caption"/>
          </w:pPr>
          <w:bookmarkStart w:id="4" w:name="_Toc213353975"/>
          <w:r>
            <w:t xml:space="preserve">Table </w:t>
          </w:r>
          <w:r>
            <w:fldChar w:fldCharType="begin"/>
          </w:r>
          <w:r>
            <w:instrText xml:space="preserve"> SEQ Table \* ARABIC </w:instrText>
          </w:r>
          <w:r>
            <w:fldChar w:fldCharType="separate"/>
          </w:r>
          <w:r w:rsidR="009867BE">
            <w:rPr>
              <w:noProof/>
            </w:rPr>
            <w:t>3</w:t>
          </w:r>
          <w:r>
            <w:fldChar w:fldCharType="end"/>
          </w:r>
          <w:r>
            <w:t xml:space="preserve"> - Determination of rate constant for the reaction</w:t>
          </w:r>
          <w:bookmarkEnd w:id="4"/>
        </w:p>
        <w:p w14:paraId="00BACF10" w14:textId="56B2EACE" w:rsidR="00846469" w:rsidRDefault="00846469" w:rsidP="00846469">
          <w:r>
            <w:t>Averaging the calculated rate constant values gives k = 5.47 s</w:t>
          </w:r>
          <w:r>
            <w:rPr>
              <w:vertAlign w:val="superscript"/>
            </w:rPr>
            <w:t>-1</w:t>
          </w:r>
          <w:r>
            <w:t>mol</w:t>
          </w:r>
          <w:r>
            <w:rPr>
              <w:vertAlign w:val="superscript"/>
            </w:rPr>
            <w:t>-2</w:t>
          </w:r>
          <w:r>
            <w:t>dm</w:t>
          </w:r>
          <w:r>
            <w:rPr>
              <w:vertAlign w:val="superscript"/>
            </w:rPr>
            <w:t>6</w:t>
          </w:r>
          <w:r>
            <w:t xml:space="preserve">. </w:t>
          </w:r>
        </w:p>
        <w:p w14:paraId="36973064" w14:textId="08374FCC" w:rsidR="00846469" w:rsidRDefault="001D592F" w:rsidP="00846469">
          <w:r>
            <w:t xml:space="preserve">The calculated value of k fluctuates greatly for a number of reasons. Firstly, this is not a true rate constant as the inverse of time is used rather than the actual rate of the reaction. Secondly, the initial concentrations are being compared to the overall reaction time rather than the initial rate, this is especially problematic with regards to the hydrogen peroxide concentration, as this is effectively undergoing two reactions, as it is first reacting to produce iodine that is reduced by the ascorbic acid  back to iodide and then reacting again once all the ascorbic acid is consumed before the indicator changes colour. Finally, the two variables are not isolated from each other during the experiment, to be able to determine the effect of changing one reactants concentration, the other reactants should be in large excess so that the </w:t>
          </w:r>
          <w:r w:rsidR="00B1579F">
            <w:t xml:space="preserve">fixed reagent’s reaction remains near constant throughout the reaction. </w:t>
          </w:r>
        </w:p>
        <w:p w14:paraId="22858563" w14:textId="3008BDD8" w:rsidR="00B1579F" w:rsidRDefault="00167DB4" w:rsidP="00846469">
          <w:r>
            <w:t>It is possible to determine the half lives of each reactant during the reaction. As the reaction is first order with respect to both reactants, the half life is given by t</w:t>
          </w:r>
          <w:r>
            <w:rPr>
              <w:vertAlign w:val="subscript"/>
            </w:rPr>
            <w:t>1/2</w:t>
          </w:r>
          <w:r>
            <w:t xml:space="preserve"> = ln2/k,</w:t>
          </w:r>
          <w:r w:rsidR="007F5E23">
            <w:t xml:space="preserve"> however as the calculated k is not a true rate constant, this results in the nonsensical answer of 0.12 seconds. </w:t>
          </w:r>
        </w:p>
        <w:p w14:paraId="2C8F1CD6" w14:textId="77777777" w:rsidR="008D0ECC" w:rsidRDefault="008D0ECC" w:rsidP="00846469"/>
        <w:p w14:paraId="293DB065" w14:textId="7BDC50CD" w:rsidR="008D0ECC" w:rsidRDefault="008D0ECC" w:rsidP="00846469">
          <w:pPr>
            <w:rPr>
              <w:sz w:val="24"/>
              <w:szCs w:val="24"/>
              <w:u w:val="single"/>
            </w:rPr>
          </w:pPr>
          <w:r>
            <w:rPr>
              <w:sz w:val="24"/>
              <w:szCs w:val="24"/>
              <w:u w:val="single"/>
            </w:rPr>
            <w:t>Conclusion</w:t>
          </w:r>
        </w:p>
        <w:p w14:paraId="79303CE1" w14:textId="5D34E55B" w:rsidR="00F47AF5" w:rsidRDefault="008D0ECC" w:rsidP="00846469">
          <w:r>
            <w:t xml:space="preserve">Through the iodine clock </w:t>
          </w:r>
          <w:r w:rsidR="0083380D">
            <w:t>experiment,</w:t>
          </w:r>
          <w:r>
            <w:t xml:space="preserve"> </w:t>
          </w:r>
          <w:r w:rsidR="0083380D">
            <w:t>it was possible to determine the order of reaction for the oxidation of iodide by hydrogen peroxide as second order, as the reaction is first order with respect to both iodide and hydrogen peroxide. It was not possible to calculate a true value of k using the included experimental method. For a true k value, the experiment would need to be rerun with the ability to measure the concentration of the reactants or products throughout the run rather than performing separate experiments for different concentrations. This would allow for the graphical determination of the initial rate of reaction</w:t>
          </w:r>
          <w:r w:rsidR="00F47AF5">
            <w:t xml:space="preserve">. The fixed reagent not being investigated in that run should be present in great excess, so its concentration is constant throughout the experiment. This would allow for the graphical determination of reaction order and k from the log-log graph of rate vs concentration. Once k had been determined in this way, it would be possible to use a similar experimental setup but varying temperature rather than concentration to calculate the activation energy of the reaction using the Arrhenius equation. </w:t>
          </w:r>
        </w:p>
        <w:p w14:paraId="514FBA69" w14:textId="77777777" w:rsidR="00F47AF5" w:rsidRDefault="00F47AF5">
          <w:r>
            <w:br w:type="page"/>
          </w:r>
        </w:p>
        <w:sdt>
          <w:sdtPr>
            <w:id w:val="-437991687"/>
            <w:docPartObj>
              <w:docPartGallery w:val="Bibliographies"/>
              <w:docPartUnique/>
            </w:docPartObj>
          </w:sdtPr>
          <w:sdtEndPr>
            <w:rPr>
              <w:rFonts w:asciiTheme="minorHAnsi" w:eastAsiaTheme="minorHAnsi" w:hAnsiTheme="minorHAnsi" w:cstheme="minorBidi"/>
              <w:color w:val="auto"/>
              <w:sz w:val="22"/>
              <w:szCs w:val="22"/>
            </w:rPr>
          </w:sdtEndPr>
          <w:sdtContent>
            <w:p w14:paraId="2E16378D" w14:textId="0A68D652" w:rsidR="00F47AF5" w:rsidRPr="009867BE" w:rsidRDefault="00F47AF5">
              <w:pPr>
                <w:pStyle w:val="Heading1"/>
                <w:rPr>
                  <w:color w:val="auto"/>
                </w:rPr>
              </w:pPr>
              <w:r w:rsidRPr="009867BE">
                <w:rPr>
                  <w:color w:val="auto"/>
                </w:rPr>
                <w:t>References</w:t>
              </w:r>
            </w:p>
            <w:sdt>
              <w:sdtPr>
                <w:id w:val="-573587230"/>
                <w:bibliography/>
              </w:sdtPr>
              <w:sdtContent>
                <w:p w14:paraId="3322F89E" w14:textId="77777777" w:rsidR="009867BE" w:rsidRDefault="00F47AF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6"/>
                    <w:gridCol w:w="8830"/>
                  </w:tblGrid>
                  <w:tr w:rsidR="009867BE" w14:paraId="1C75305B" w14:textId="77777777">
                    <w:trPr>
                      <w:divId w:val="658506800"/>
                      <w:tblCellSpacing w:w="15" w:type="dxa"/>
                    </w:trPr>
                    <w:tc>
                      <w:tcPr>
                        <w:tcW w:w="50" w:type="pct"/>
                        <w:hideMark/>
                      </w:tcPr>
                      <w:p w14:paraId="345A4023" w14:textId="79B86C63" w:rsidR="009867BE" w:rsidRDefault="009867BE">
                        <w:pPr>
                          <w:pStyle w:val="Bibliography"/>
                          <w:rPr>
                            <w:noProof/>
                            <w:kern w:val="0"/>
                            <w:sz w:val="24"/>
                            <w:szCs w:val="24"/>
                            <w14:ligatures w14:val="none"/>
                          </w:rPr>
                        </w:pPr>
                        <w:r>
                          <w:rPr>
                            <w:noProof/>
                          </w:rPr>
                          <w:t xml:space="preserve">[1] </w:t>
                        </w:r>
                      </w:p>
                    </w:tc>
                    <w:tc>
                      <w:tcPr>
                        <w:tcW w:w="0" w:type="auto"/>
                        <w:hideMark/>
                      </w:tcPr>
                      <w:p w14:paraId="055B5915" w14:textId="77777777" w:rsidR="009867BE" w:rsidRDefault="009867BE">
                        <w:pPr>
                          <w:pStyle w:val="Bibliography"/>
                          <w:rPr>
                            <w:noProof/>
                          </w:rPr>
                        </w:pPr>
                        <w:r>
                          <w:rPr>
                            <w:noProof/>
                          </w:rPr>
                          <w:t xml:space="preserve">E. Costache, A.-O. Urs and A.-R. Trifoi, “THE INTERFERENCE OF FORENSICS WITH CHEMISTRY, CONTRIBUTIONS OF CHEMISTRY IN SOLVING CASES OF JUDICIAL INTEREST,” </w:t>
                        </w:r>
                        <w:r>
                          <w:rPr>
                            <w:i/>
                            <w:iCs/>
                            <w:noProof/>
                          </w:rPr>
                          <w:t xml:space="preserve">Romanian Journal of Forensic Science, </w:t>
                        </w:r>
                        <w:r>
                          <w:rPr>
                            <w:noProof/>
                          </w:rPr>
                          <w:t xml:space="preserve">vol. 23, no. 131, pp. 189-194, 2022. </w:t>
                        </w:r>
                      </w:p>
                    </w:tc>
                  </w:tr>
                  <w:tr w:rsidR="009867BE" w14:paraId="17AEA037" w14:textId="77777777">
                    <w:trPr>
                      <w:divId w:val="658506800"/>
                      <w:tblCellSpacing w:w="15" w:type="dxa"/>
                    </w:trPr>
                    <w:tc>
                      <w:tcPr>
                        <w:tcW w:w="50" w:type="pct"/>
                        <w:hideMark/>
                      </w:tcPr>
                      <w:p w14:paraId="56CCCF99" w14:textId="77777777" w:rsidR="009867BE" w:rsidRDefault="009867BE">
                        <w:pPr>
                          <w:pStyle w:val="Bibliography"/>
                          <w:rPr>
                            <w:noProof/>
                          </w:rPr>
                        </w:pPr>
                        <w:r>
                          <w:rPr>
                            <w:noProof/>
                          </w:rPr>
                          <w:t xml:space="preserve">[2] </w:t>
                        </w:r>
                      </w:p>
                    </w:tc>
                    <w:tc>
                      <w:tcPr>
                        <w:tcW w:w="0" w:type="auto"/>
                        <w:hideMark/>
                      </w:tcPr>
                      <w:p w14:paraId="0A4517CC" w14:textId="77777777" w:rsidR="009867BE" w:rsidRDefault="009867BE">
                        <w:pPr>
                          <w:pStyle w:val="Bibliography"/>
                          <w:rPr>
                            <w:noProof/>
                          </w:rPr>
                        </w:pPr>
                        <w:r>
                          <w:rPr>
                            <w:noProof/>
                          </w:rPr>
                          <w:t xml:space="preserve">M. Berner, V. Zarko and M. Talawar, “Nanoparticles of energetic materials: synthesis and properties (review),” </w:t>
                        </w:r>
                        <w:r>
                          <w:rPr>
                            <w:i/>
                            <w:iCs/>
                            <w:noProof/>
                          </w:rPr>
                          <w:t xml:space="preserve">Combustion, Explosion, and Shock Waves, </w:t>
                        </w:r>
                        <w:r>
                          <w:rPr>
                            <w:noProof/>
                          </w:rPr>
                          <w:t xml:space="preserve">vol. 49, pp. 625-647, 2013. </w:t>
                        </w:r>
                      </w:p>
                    </w:tc>
                  </w:tr>
                  <w:tr w:rsidR="009867BE" w14:paraId="0D2FFD85" w14:textId="77777777">
                    <w:trPr>
                      <w:divId w:val="658506800"/>
                      <w:tblCellSpacing w:w="15" w:type="dxa"/>
                    </w:trPr>
                    <w:tc>
                      <w:tcPr>
                        <w:tcW w:w="50" w:type="pct"/>
                        <w:hideMark/>
                      </w:tcPr>
                      <w:p w14:paraId="21450CD0" w14:textId="77777777" w:rsidR="009867BE" w:rsidRDefault="009867BE">
                        <w:pPr>
                          <w:pStyle w:val="Bibliography"/>
                          <w:rPr>
                            <w:noProof/>
                          </w:rPr>
                        </w:pPr>
                        <w:r>
                          <w:rPr>
                            <w:noProof/>
                          </w:rPr>
                          <w:t xml:space="preserve">[3] </w:t>
                        </w:r>
                      </w:p>
                    </w:tc>
                    <w:tc>
                      <w:tcPr>
                        <w:tcW w:w="0" w:type="auto"/>
                        <w:hideMark/>
                      </w:tcPr>
                      <w:p w14:paraId="71094F31" w14:textId="77777777" w:rsidR="009867BE" w:rsidRDefault="009867BE">
                        <w:pPr>
                          <w:pStyle w:val="Bibliography"/>
                          <w:rPr>
                            <w:noProof/>
                          </w:rPr>
                        </w:pPr>
                        <w:r>
                          <w:rPr>
                            <w:noProof/>
                          </w:rPr>
                          <w:t xml:space="preserve">D. Trache and A. Tarchoun, “Stabilizers for nitrate ester-based energetic materials and their mechanism of action: a state-of-the-art review,” </w:t>
                        </w:r>
                        <w:r>
                          <w:rPr>
                            <w:i/>
                            <w:iCs/>
                            <w:noProof/>
                          </w:rPr>
                          <w:t xml:space="preserve">Journal of Materials Science , </w:t>
                        </w:r>
                        <w:r>
                          <w:rPr>
                            <w:noProof/>
                          </w:rPr>
                          <w:t xml:space="preserve">vol. 53, pp. 100-123, 2018. </w:t>
                        </w:r>
                      </w:p>
                    </w:tc>
                  </w:tr>
                  <w:tr w:rsidR="009867BE" w14:paraId="5B274003" w14:textId="77777777">
                    <w:trPr>
                      <w:divId w:val="658506800"/>
                      <w:tblCellSpacing w:w="15" w:type="dxa"/>
                    </w:trPr>
                    <w:tc>
                      <w:tcPr>
                        <w:tcW w:w="50" w:type="pct"/>
                        <w:hideMark/>
                      </w:tcPr>
                      <w:p w14:paraId="051D8E65" w14:textId="77777777" w:rsidR="009867BE" w:rsidRDefault="009867BE">
                        <w:pPr>
                          <w:pStyle w:val="Bibliography"/>
                          <w:rPr>
                            <w:noProof/>
                          </w:rPr>
                        </w:pPr>
                        <w:r>
                          <w:rPr>
                            <w:noProof/>
                          </w:rPr>
                          <w:t xml:space="preserve">[4] </w:t>
                        </w:r>
                      </w:p>
                    </w:tc>
                    <w:tc>
                      <w:tcPr>
                        <w:tcW w:w="0" w:type="auto"/>
                        <w:hideMark/>
                      </w:tcPr>
                      <w:p w14:paraId="59EC5936" w14:textId="77777777" w:rsidR="009867BE" w:rsidRDefault="009867BE">
                        <w:pPr>
                          <w:pStyle w:val="Bibliography"/>
                          <w:rPr>
                            <w:noProof/>
                          </w:rPr>
                        </w:pPr>
                        <w:r>
                          <w:rPr>
                            <w:noProof/>
                          </w:rPr>
                          <w:t xml:space="preserve">H. Nie, X. Zhang, Z. Yuan, Y. Wang and L. Zhang, “Tunning Combustion Behaviors of Composite Modified Double-Based Propellants with a Novel Energetic Burn Rate Modifier,” </w:t>
                        </w:r>
                        <w:r>
                          <w:rPr>
                            <w:i/>
                            <w:iCs/>
                            <w:noProof/>
                          </w:rPr>
                          <w:t xml:space="preserve">Combustion Science and Technology, </w:t>
                        </w:r>
                        <w:r>
                          <w:rPr>
                            <w:noProof/>
                          </w:rPr>
                          <w:t xml:space="preserve">vol. 196, no. 14, pp. 2846-2862, 2024. </w:t>
                        </w:r>
                      </w:p>
                    </w:tc>
                  </w:tr>
                  <w:tr w:rsidR="009867BE" w14:paraId="3FC91273" w14:textId="77777777">
                    <w:trPr>
                      <w:divId w:val="658506800"/>
                      <w:tblCellSpacing w:w="15" w:type="dxa"/>
                    </w:trPr>
                    <w:tc>
                      <w:tcPr>
                        <w:tcW w:w="50" w:type="pct"/>
                        <w:hideMark/>
                      </w:tcPr>
                      <w:p w14:paraId="0BCF934D" w14:textId="77777777" w:rsidR="009867BE" w:rsidRDefault="009867BE">
                        <w:pPr>
                          <w:pStyle w:val="Bibliography"/>
                          <w:rPr>
                            <w:noProof/>
                          </w:rPr>
                        </w:pPr>
                        <w:r>
                          <w:rPr>
                            <w:noProof/>
                          </w:rPr>
                          <w:t xml:space="preserve">[5] </w:t>
                        </w:r>
                      </w:p>
                    </w:tc>
                    <w:tc>
                      <w:tcPr>
                        <w:tcW w:w="0" w:type="auto"/>
                        <w:hideMark/>
                      </w:tcPr>
                      <w:p w14:paraId="3552AD24" w14:textId="77777777" w:rsidR="009867BE" w:rsidRDefault="009867BE">
                        <w:pPr>
                          <w:pStyle w:val="Bibliography"/>
                          <w:rPr>
                            <w:noProof/>
                          </w:rPr>
                        </w:pPr>
                        <w:r>
                          <w:rPr>
                            <w:noProof/>
                          </w:rPr>
                          <w:t>Libre Texts, “13: Iodine Clock Reaction,” Libre Texts Chemistry, [Online]. Available: https://chem.libretexts.org/Courses/Saint_Marys_College_Notre_Dame_IN/Chem_122L%3A_Principles_of_Chemistry_II_Laboratory_(Under_Construction__)/13%3A_Iodine_Clock_Reaction. [Accessed 28 October 2025].</w:t>
                        </w:r>
                      </w:p>
                    </w:tc>
                  </w:tr>
                </w:tbl>
                <w:p w14:paraId="1FD58D7C" w14:textId="77777777" w:rsidR="009867BE" w:rsidRDefault="009867BE">
                  <w:pPr>
                    <w:divId w:val="658506800"/>
                    <w:rPr>
                      <w:rFonts w:eastAsia="Times New Roman"/>
                      <w:noProof/>
                    </w:rPr>
                  </w:pPr>
                </w:p>
                <w:p w14:paraId="255DE042" w14:textId="18A1989F" w:rsidR="00F47AF5" w:rsidRDefault="00F47AF5">
                  <w:r>
                    <w:rPr>
                      <w:b/>
                      <w:bCs/>
                    </w:rPr>
                    <w:fldChar w:fldCharType="end"/>
                  </w:r>
                </w:p>
              </w:sdtContent>
            </w:sdt>
          </w:sdtContent>
        </w:sdt>
        <w:p w14:paraId="367FBAFA" w14:textId="77777777" w:rsidR="00F47AF5" w:rsidRPr="008D0ECC" w:rsidRDefault="00F47AF5" w:rsidP="00846469"/>
        <w:p w14:paraId="788CA473" w14:textId="77777777" w:rsidR="00993AA5" w:rsidRDefault="00993AA5" w:rsidP="00846469"/>
        <w:p w14:paraId="1EB64EDD" w14:textId="77777777" w:rsidR="00A516D5" w:rsidRDefault="00A516D5" w:rsidP="00846469"/>
        <w:p w14:paraId="6BEF7F20" w14:textId="77777777" w:rsidR="00A66FF6" w:rsidRPr="00993AA5" w:rsidRDefault="00A66FF6" w:rsidP="00846469"/>
      </w:sdtContent>
    </w:sdt>
    <w:sectPr w:rsidR="00A66FF6" w:rsidRPr="00993AA5" w:rsidSect="00BC78CB">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1A515" w14:textId="77777777" w:rsidR="006872E6" w:rsidRDefault="006872E6" w:rsidP="00BC78CB">
      <w:pPr>
        <w:spacing w:after="0" w:line="240" w:lineRule="auto"/>
      </w:pPr>
      <w:r>
        <w:separator/>
      </w:r>
    </w:p>
  </w:endnote>
  <w:endnote w:type="continuationSeparator" w:id="0">
    <w:p w14:paraId="55D7130C" w14:textId="77777777" w:rsidR="006872E6" w:rsidRDefault="006872E6" w:rsidP="00BC7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0748599"/>
      <w:docPartObj>
        <w:docPartGallery w:val="Page Numbers (Bottom of Page)"/>
        <w:docPartUnique/>
      </w:docPartObj>
    </w:sdtPr>
    <w:sdtEndPr>
      <w:rPr>
        <w:noProof/>
      </w:rPr>
    </w:sdtEndPr>
    <w:sdtContent>
      <w:p w14:paraId="5A59CDFA" w14:textId="262D92CA" w:rsidR="00BC78CB" w:rsidRDefault="00BC78CB">
        <w:pPr>
          <w:pStyle w:val="Footer"/>
        </w:pPr>
        <w:r>
          <w:fldChar w:fldCharType="begin"/>
        </w:r>
        <w:r>
          <w:instrText xml:space="preserve"> PAGE   \* MERGEFORMAT </w:instrText>
        </w:r>
        <w:r>
          <w:fldChar w:fldCharType="separate"/>
        </w:r>
        <w:r>
          <w:rPr>
            <w:noProof/>
          </w:rPr>
          <w:t>2</w:t>
        </w:r>
        <w:r>
          <w:rPr>
            <w:noProof/>
          </w:rPr>
          <w:fldChar w:fldCharType="end"/>
        </w:r>
      </w:p>
    </w:sdtContent>
  </w:sdt>
  <w:p w14:paraId="17C06AB4" w14:textId="77777777" w:rsidR="00BC78CB" w:rsidRDefault="00BC7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FBD" w14:textId="77777777" w:rsidR="006872E6" w:rsidRDefault="006872E6" w:rsidP="00BC78CB">
      <w:pPr>
        <w:spacing w:after="0" w:line="240" w:lineRule="auto"/>
      </w:pPr>
      <w:r>
        <w:separator/>
      </w:r>
    </w:p>
  </w:footnote>
  <w:footnote w:type="continuationSeparator" w:id="0">
    <w:p w14:paraId="76E8AA30" w14:textId="77777777" w:rsidR="006872E6" w:rsidRDefault="006872E6" w:rsidP="00BC78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3F"/>
    <w:rsid w:val="000F3028"/>
    <w:rsid w:val="00167DB4"/>
    <w:rsid w:val="001A59E4"/>
    <w:rsid w:val="001D592F"/>
    <w:rsid w:val="002B7521"/>
    <w:rsid w:val="002F0752"/>
    <w:rsid w:val="00313D58"/>
    <w:rsid w:val="003259AA"/>
    <w:rsid w:val="003A7A4A"/>
    <w:rsid w:val="003B4FA0"/>
    <w:rsid w:val="003E5862"/>
    <w:rsid w:val="00425ADF"/>
    <w:rsid w:val="00474F0D"/>
    <w:rsid w:val="00490934"/>
    <w:rsid w:val="005002C6"/>
    <w:rsid w:val="0051583E"/>
    <w:rsid w:val="00541D31"/>
    <w:rsid w:val="00591481"/>
    <w:rsid w:val="00592459"/>
    <w:rsid w:val="005B35AA"/>
    <w:rsid w:val="006872E6"/>
    <w:rsid w:val="006F496B"/>
    <w:rsid w:val="0071136E"/>
    <w:rsid w:val="007374CD"/>
    <w:rsid w:val="00744205"/>
    <w:rsid w:val="00782303"/>
    <w:rsid w:val="00796F20"/>
    <w:rsid w:val="007E7C91"/>
    <w:rsid w:val="007F5E23"/>
    <w:rsid w:val="008050CF"/>
    <w:rsid w:val="00805B2F"/>
    <w:rsid w:val="0083380D"/>
    <w:rsid w:val="00846469"/>
    <w:rsid w:val="008D0ECC"/>
    <w:rsid w:val="00916824"/>
    <w:rsid w:val="009867BE"/>
    <w:rsid w:val="009908D9"/>
    <w:rsid w:val="00993AA5"/>
    <w:rsid w:val="0099483F"/>
    <w:rsid w:val="00A20334"/>
    <w:rsid w:val="00A516D5"/>
    <w:rsid w:val="00A66FF6"/>
    <w:rsid w:val="00B1579F"/>
    <w:rsid w:val="00B53383"/>
    <w:rsid w:val="00B82FF2"/>
    <w:rsid w:val="00BC41B3"/>
    <w:rsid w:val="00BC78CB"/>
    <w:rsid w:val="00C17BBB"/>
    <w:rsid w:val="00CA7540"/>
    <w:rsid w:val="00CB0E43"/>
    <w:rsid w:val="00D04399"/>
    <w:rsid w:val="00D25910"/>
    <w:rsid w:val="00DF33E0"/>
    <w:rsid w:val="00E822E4"/>
    <w:rsid w:val="00E95861"/>
    <w:rsid w:val="00ED6DF8"/>
    <w:rsid w:val="00F278EB"/>
    <w:rsid w:val="00F47AF5"/>
    <w:rsid w:val="00F84FA9"/>
    <w:rsid w:val="00FB3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F8111"/>
  <w15:chartTrackingRefBased/>
  <w15:docId w15:val="{8E759ED7-745B-4E9C-81C2-DCE990B50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83F"/>
    <w:rPr>
      <w:rFonts w:eastAsiaTheme="majorEastAsia" w:cstheme="majorBidi"/>
      <w:color w:val="272727" w:themeColor="text1" w:themeTint="D8"/>
    </w:rPr>
  </w:style>
  <w:style w:type="paragraph" w:styleId="Title">
    <w:name w:val="Title"/>
    <w:basedOn w:val="Normal"/>
    <w:next w:val="Normal"/>
    <w:link w:val="TitleChar"/>
    <w:uiPriority w:val="10"/>
    <w:qFormat/>
    <w:rsid w:val="00994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83F"/>
    <w:pPr>
      <w:spacing w:before="160"/>
      <w:jc w:val="center"/>
    </w:pPr>
    <w:rPr>
      <w:i/>
      <w:iCs/>
      <w:color w:val="404040" w:themeColor="text1" w:themeTint="BF"/>
    </w:rPr>
  </w:style>
  <w:style w:type="character" w:customStyle="1" w:styleId="QuoteChar">
    <w:name w:val="Quote Char"/>
    <w:basedOn w:val="DefaultParagraphFont"/>
    <w:link w:val="Quote"/>
    <w:uiPriority w:val="29"/>
    <w:rsid w:val="0099483F"/>
    <w:rPr>
      <w:i/>
      <w:iCs/>
      <w:color w:val="404040" w:themeColor="text1" w:themeTint="BF"/>
    </w:rPr>
  </w:style>
  <w:style w:type="paragraph" w:styleId="ListParagraph">
    <w:name w:val="List Paragraph"/>
    <w:basedOn w:val="Normal"/>
    <w:uiPriority w:val="34"/>
    <w:qFormat/>
    <w:rsid w:val="0099483F"/>
    <w:pPr>
      <w:ind w:left="720"/>
      <w:contextualSpacing/>
    </w:pPr>
  </w:style>
  <w:style w:type="character" w:styleId="IntenseEmphasis">
    <w:name w:val="Intense Emphasis"/>
    <w:basedOn w:val="DefaultParagraphFont"/>
    <w:uiPriority w:val="21"/>
    <w:qFormat/>
    <w:rsid w:val="0099483F"/>
    <w:rPr>
      <w:i/>
      <w:iCs/>
      <w:color w:val="0F4761" w:themeColor="accent1" w:themeShade="BF"/>
    </w:rPr>
  </w:style>
  <w:style w:type="paragraph" w:styleId="IntenseQuote">
    <w:name w:val="Intense Quote"/>
    <w:basedOn w:val="Normal"/>
    <w:next w:val="Normal"/>
    <w:link w:val="IntenseQuoteChar"/>
    <w:uiPriority w:val="30"/>
    <w:qFormat/>
    <w:rsid w:val="00994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83F"/>
    <w:rPr>
      <w:i/>
      <w:iCs/>
      <w:color w:val="0F4761" w:themeColor="accent1" w:themeShade="BF"/>
    </w:rPr>
  </w:style>
  <w:style w:type="character" w:styleId="IntenseReference">
    <w:name w:val="Intense Reference"/>
    <w:basedOn w:val="DefaultParagraphFont"/>
    <w:uiPriority w:val="32"/>
    <w:qFormat/>
    <w:rsid w:val="0099483F"/>
    <w:rPr>
      <w:b/>
      <w:bCs/>
      <w:smallCaps/>
      <w:color w:val="0F4761" w:themeColor="accent1" w:themeShade="BF"/>
      <w:spacing w:val="5"/>
    </w:rPr>
  </w:style>
  <w:style w:type="paragraph" w:styleId="Header">
    <w:name w:val="header"/>
    <w:basedOn w:val="Normal"/>
    <w:link w:val="HeaderChar"/>
    <w:uiPriority w:val="99"/>
    <w:unhideWhenUsed/>
    <w:rsid w:val="00BC7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8CB"/>
  </w:style>
  <w:style w:type="paragraph" w:styleId="Footer">
    <w:name w:val="footer"/>
    <w:basedOn w:val="Normal"/>
    <w:link w:val="FooterChar"/>
    <w:uiPriority w:val="99"/>
    <w:unhideWhenUsed/>
    <w:rsid w:val="00BC7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8CB"/>
  </w:style>
  <w:style w:type="table" w:styleId="TableGrid">
    <w:name w:val="Table Grid"/>
    <w:basedOn w:val="TableNormal"/>
    <w:uiPriority w:val="39"/>
    <w:rsid w:val="00D25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22E4"/>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47AF5"/>
  </w:style>
  <w:style w:type="paragraph" w:styleId="TOCHeading">
    <w:name w:val="TOC Heading"/>
    <w:basedOn w:val="Heading1"/>
    <w:next w:val="Normal"/>
    <w:uiPriority w:val="39"/>
    <w:unhideWhenUsed/>
    <w:qFormat/>
    <w:rsid w:val="00916824"/>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916824"/>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916824"/>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916824"/>
    <w:pPr>
      <w:spacing w:after="100"/>
      <w:ind w:left="440"/>
    </w:pPr>
    <w:rPr>
      <w:rFonts w:eastAsiaTheme="minorEastAsia" w:cs="Times New Roman"/>
      <w:kern w:val="0"/>
      <w:lang w:eastAsia="en-GB"/>
      <w14:ligatures w14:val="none"/>
    </w:rPr>
  </w:style>
  <w:style w:type="paragraph" w:styleId="TableofFigures">
    <w:name w:val="table of figures"/>
    <w:basedOn w:val="Normal"/>
    <w:next w:val="Normal"/>
    <w:uiPriority w:val="99"/>
    <w:unhideWhenUsed/>
    <w:rsid w:val="00916824"/>
    <w:pPr>
      <w:spacing w:after="0"/>
    </w:pPr>
  </w:style>
  <w:style w:type="character" w:styleId="Hyperlink">
    <w:name w:val="Hyperlink"/>
    <w:basedOn w:val="DefaultParagraphFont"/>
    <w:uiPriority w:val="99"/>
    <w:unhideWhenUsed/>
    <w:rsid w:val="009168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601383">
      <w:bodyDiv w:val="1"/>
      <w:marLeft w:val="0"/>
      <w:marRight w:val="0"/>
      <w:marTop w:val="0"/>
      <w:marBottom w:val="0"/>
      <w:divBdr>
        <w:top w:val="none" w:sz="0" w:space="0" w:color="auto"/>
        <w:left w:val="none" w:sz="0" w:space="0" w:color="auto"/>
        <w:bottom w:val="none" w:sz="0" w:space="0" w:color="auto"/>
        <w:right w:val="none" w:sz="0" w:space="0" w:color="auto"/>
      </w:divBdr>
    </w:div>
    <w:div w:id="395669445">
      <w:bodyDiv w:val="1"/>
      <w:marLeft w:val="0"/>
      <w:marRight w:val="0"/>
      <w:marTop w:val="0"/>
      <w:marBottom w:val="0"/>
      <w:divBdr>
        <w:top w:val="none" w:sz="0" w:space="0" w:color="auto"/>
        <w:left w:val="none" w:sz="0" w:space="0" w:color="auto"/>
        <w:bottom w:val="none" w:sz="0" w:space="0" w:color="auto"/>
        <w:right w:val="none" w:sz="0" w:space="0" w:color="auto"/>
      </w:divBdr>
    </w:div>
    <w:div w:id="658506800">
      <w:bodyDiv w:val="1"/>
      <w:marLeft w:val="0"/>
      <w:marRight w:val="0"/>
      <w:marTop w:val="0"/>
      <w:marBottom w:val="0"/>
      <w:divBdr>
        <w:top w:val="none" w:sz="0" w:space="0" w:color="auto"/>
        <w:left w:val="none" w:sz="0" w:space="0" w:color="auto"/>
        <w:bottom w:val="none" w:sz="0" w:space="0" w:color="auto"/>
        <w:right w:val="none" w:sz="0" w:space="0" w:color="auto"/>
      </w:divBdr>
    </w:div>
    <w:div w:id="792283131">
      <w:bodyDiv w:val="1"/>
      <w:marLeft w:val="0"/>
      <w:marRight w:val="0"/>
      <w:marTop w:val="0"/>
      <w:marBottom w:val="0"/>
      <w:divBdr>
        <w:top w:val="none" w:sz="0" w:space="0" w:color="auto"/>
        <w:left w:val="none" w:sz="0" w:space="0" w:color="auto"/>
        <w:bottom w:val="none" w:sz="0" w:space="0" w:color="auto"/>
        <w:right w:val="none" w:sz="0" w:space="0" w:color="auto"/>
      </w:divBdr>
    </w:div>
    <w:div w:id="1058358727">
      <w:bodyDiv w:val="1"/>
      <w:marLeft w:val="0"/>
      <w:marRight w:val="0"/>
      <w:marTop w:val="0"/>
      <w:marBottom w:val="0"/>
      <w:divBdr>
        <w:top w:val="none" w:sz="0" w:space="0" w:color="auto"/>
        <w:left w:val="none" w:sz="0" w:space="0" w:color="auto"/>
        <w:bottom w:val="none" w:sz="0" w:space="0" w:color="auto"/>
        <w:right w:val="none" w:sz="0" w:space="0" w:color="auto"/>
      </w:divBdr>
    </w:div>
    <w:div w:id="1107693678">
      <w:bodyDiv w:val="1"/>
      <w:marLeft w:val="0"/>
      <w:marRight w:val="0"/>
      <w:marTop w:val="0"/>
      <w:marBottom w:val="0"/>
      <w:divBdr>
        <w:top w:val="none" w:sz="0" w:space="0" w:color="auto"/>
        <w:left w:val="none" w:sz="0" w:space="0" w:color="auto"/>
        <w:bottom w:val="none" w:sz="0" w:space="0" w:color="auto"/>
        <w:right w:val="none" w:sz="0" w:space="0" w:color="auto"/>
      </w:divBdr>
    </w:div>
    <w:div w:id="1389305666">
      <w:bodyDiv w:val="1"/>
      <w:marLeft w:val="0"/>
      <w:marRight w:val="0"/>
      <w:marTop w:val="0"/>
      <w:marBottom w:val="0"/>
      <w:divBdr>
        <w:top w:val="none" w:sz="0" w:space="0" w:color="auto"/>
        <w:left w:val="none" w:sz="0" w:space="0" w:color="auto"/>
        <w:bottom w:val="none" w:sz="0" w:space="0" w:color="auto"/>
        <w:right w:val="none" w:sz="0" w:space="0" w:color="auto"/>
      </w:divBdr>
    </w:div>
    <w:div w:id="1555118560">
      <w:bodyDiv w:val="1"/>
      <w:marLeft w:val="0"/>
      <w:marRight w:val="0"/>
      <w:marTop w:val="0"/>
      <w:marBottom w:val="0"/>
      <w:divBdr>
        <w:top w:val="none" w:sz="0" w:space="0" w:color="auto"/>
        <w:left w:val="none" w:sz="0" w:space="0" w:color="auto"/>
        <w:bottom w:val="none" w:sz="0" w:space="0" w:color="auto"/>
        <w:right w:val="none" w:sz="0" w:space="0" w:color="auto"/>
      </w:divBdr>
    </w:div>
    <w:div w:id="1635284090">
      <w:bodyDiv w:val="1"/>
      <w:marLeft w:val="0"/>
      <w:marRight w:val="0"/>
      <w:marTop w:val="0"/>
      <w:marBottom w:val="0"/>
      <w:divBdr>
        <w:top w:val="none" w:sz="0" w:space="0" w:color="auto"/>
        <w:left w:val="none" w:sz="0" w:space="0" w:color="auto"/>
        <w:bottom w:val="none" w:sz="0" w:space="0" w:color="auto"/>
        <w:right w:val="none" w:sz="0" w:space="0" w:color="auto"/>
      </w:divBdr>
    </w:div>
    <w:div w:id="1656256820">
      <w:bodyDiv w:val="1"/>
      <w:marLeft w:val="0"/>
      <w:marRight w:val="0"/>
      <w:marTop w:val="0"/>
      <w:marBottom w:val="0"/>
      <w:divBdr>
        <w:top w:val="none" w:sz="0" w:space="0" w:color="auto"/>
        <w:left w:val="none" w:sz="0" w:space="0" w:color="auto"/>
        <w:bottom w:val="none" w:sz="0" w:space="0" w:color="auto"/>
        <w:right w:val="none" w:sz="0" w:space="0" w:color="auto"/>
      </w:divBdr>
    </w:div>
    <w:div w:id="1943294239">
      <w:bodyDiv w:val="1"/>
      <w:marLeft w:val="0"/>
      <w:marRight w:val="0"/>
      <w:marTop w:val="0"/>
      <w:marBottom w:val="0"/>
      <w:divBdr>
        <w:top w:val="none" w:sz="0" w:space="0" w:color="auto"/>
        <w:left w:val="none" w:sz="0" w:space="0" w:color="auto"/>
        <w:bottom w:val="none" w:sz="0" w:space="0" w:color="auto"/>
        <w:right w:val="none" w:sz="0" w:space="0" w:color="auto"/>
      </w:divBdr>
    </w:div>
    <w:div w:id="2039967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Lib25</b:Tag>
    <b:SourceType>InternetSite</b:SourceType>
    <b:Guid>{A5166B2F-4BC0-4874-B8BD-B9DE741FF718}</b:Guid>
    <b:Author>
      <b:Author>
        <b:Corporate>Libre Texts</b:Corporate>
      </b:Author>
    </b:Author>
    <b:Title>13: Iodine Clock Reaction</b:Title>
    <b:ProductionCompany>Libre Texts Chemistry</b:ProductionCompany>
    <b:YearAccessed>2025</b:YearAccessed>
    <b:MonthAccessed>October</b:MonthAccessed>
    <b:DayAccessed>28</b:DayAccessed>
    <b:URL>https://chem.libretexts.org/Courses/Saint_Marys_College_Notre_Dame_IN/Chem_122L%3A_Principles_of_Chemistry_II_Laboratory_(Under_Construction__)/13%3A_Iodine_Clock_Reaction</b:URL>
    <b:RefOrder>5</b:RefOrder>
  </b:Source>
  <b:Source>
    <b:Tag>Cos22</b:Tag>
    <b:SourceType>JournalArticle</b:SourceType>
    <b:Guid>{52EC3B86-CCEC-4CBA-A231-045EE85848DE}</b:Guid>
    <b:Title>THE INTERFERENCE OF FORENSICS WITH CHEMISTRY, CONTRIBUTIONS OF CHEMISTRY IN SOLVING CASES OF JUDICIAL INTEREST</b:Title>
    <b:Year>2022</b:Year>
    <b:Author>
      <b:Author>
        <b:NameList>
          <b:Person>
            <b:Last>Costache</b:Last>
            <b:First>E</b:First>
          </b:Person>
          <b:Person>
            <b:Last>Urs</b:Last>
            <b:First>A-O</b:First>
          </b:Person>
          <b:Person>
            <b:Last>Trifoi</b:Last>
            <b:First>A-R </b:First>
          </b:Person>
        </b:NameList>
      </b:Author>
    </b:Author>
    <b:JournalName>Romanian Journal of Forensic Science</b:JournalName>
    <b:Pages>189-194</b:Pages>
    <b:Volume>23</b:Volume>
    <b:Issue>131</b:Issue>
    <b:RefOrder>1</b:RefOrder>
  </b:Source>
  <b:Source>
    <b:Tag>Ber13</b:Tag>
    <b:SourceType>JournalArticle</b:SourceType>
    <b:Guid>{4B1EDC34-2CD1-4ED0-B61B-8577E91410C4}</b:Guid>
    <b:Author>
      <b:Author>
        <b:NameList>
          <b:Person>
            <b:Last>Berner</b:Last>
            <b:First>M</b:First>
          </b:Person>
          <b:Person>
            <b:Last>Zarko</b:Last>
            <b:First>V</b:First>
          </b:Person>
          <b:Person>
            <b:Last>Talawar</b:Last>
            <b:First>M</b:First>
          </b:Person>
        </b:NameList>
      </b:Author>
    </b:Author>
    <b:Title>Nanoparticles of energetic materials: synthesis and properties (review)</b:Title>
    <b:JournalName> Combustion, Explosion, and Shock Waves</b:JournalName>
    <b:Year>2013</b:Year>
    <b:Pages>625-647</b:Pages>
    <b:Volume>49</b:Volume>
    <b:RefOrder>2</b:RefOrder>
  </b:Source>
  <b:Source>
    <b:Tag>Tra181</b:Tag>
    <b:SourceType>JournalArticle</b:SourceType>
    <b:Guid>{58AABCCD-A007-40AF-8CD7-F0EA914283B5}</b:Guid>
    <b:Title>Stabilizers for nitrate ester-based energetic materials and their mechanism of action: a state-of-the-art review</b:Title>
    <b:Year>2018</b:Year>
    <b:Author>
      <b:Author>
        <b:NameList>
          <b:Person>
            <b:Last>Trache</b:Last>
            <b:First>D</b:First>
          </b:Person>
          <b:Person>
            <b:Last>Tarchoun</b:Last>
            <b:First>A</b:First>
          </b:Person>
        </b:NameList>
      </b:Author>
    </b:Author>
    <b:JournalName> Journal of Materials Science </b:JournalName>
    <b:Pages>100-123</b:Pages>
    <b:Volume>53</b:Volume>
    <b:RefOrder>3</b:RefOrder>
  </b:Source>
  <b:Source>
    <b:Tag>Nie24</b:Tag>
    <b:SourceType>JournalArticle</b:SourceType>
    <b:Guid>{F77F3BEC-FAE3-4E99-B410-0BE69A078398}</b:Guid>
    <b:Author>
      <b:Author>
        <b:NameList>
          <b:Person>
            <b:Last>Nie</b:Last>
            <b:First>H</b:First>
          </b:Person>
          <b:Person>
            <b:Last>Zhang</b:Last>
            <b:First>X</b:First>
          </b:Person>
          <b:Person>
            <b:Last>Yuan</b:Last>
            <b:First>Z</b:First>
          </b:Person>
          <b:Person>
            <b:Last>Wang</b:Last>
            <b:First>Y</b:First>
          </b:Person>
          <b:Person>
            <b:Last>Zhang</b:Last>
            <b:First>L</b:First>
          </b:Person>
        </b:NameList>
      </b:Author>
    </b:Author>
    <b:Title>Tunning Combustion Behaviors of Composite Modified Double-Based Propellants with a Novel Energetic Burn Rate Modifier</b:Title>
    <b:JournalName>Combustion Science and Technology</b:JournalName>
    <b:Year>2024</b:Year>
    <b:Pages>2846-2862</b:Pages>
    <b:Volume>196</b:Volume>
    <b:Issue>14</b:Issue>
    <b:RefOrder>4</b:RefOrder>
  </b:Source>
</b:Sources>
</file>

<file path=customXml/itemProps1.xml><?xml version="1.0" encoding="utf-8"?>
<ds:datastoreItem xmlns:ds="http://schemas.openxmlformats.org/officeDocument/2006/customXml" ds:itemID="{4919E2F1-8B6E-42BF-A39A-26E58BB93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7</Pages>
  <Words>1698</Words>
  <Characters>9684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3</cp:revision>
  <dcterms:created xsi:type="dcterms:W3CDTF">2025-11-05T17:48:00Z</dcterms:created>
  <dcterms:modified xsi:type="dcterms:W3CDTF">2025-11-06T20:44:00Z</dcterms:modified>
</cp:coreProperties>
</file>