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19DBC9" w14:textId="57F19BA3" w:rsidR="00740139" w:rsidRPr="00905B65" w:rsidRDefault="00740139" w:rsidP="00764590">
      <w:pPr>
        <w:spacing w:line="360" w:lineRule="auto"/>
        <w:rPr>
          <w:rFonts w:ascii="Calibri" w:hAnsi="Calibri" w:cs="Calibri"/>
          <w:b/>
          <w:bCs/>
        </w:rPr>
      </w:pPr>
      <w:r w:rsidRPr="00905B65">
        <w:rPr>
          <w:rFonts w:ascii="Calibri" w:hAnsi="Calibri" w:cs="Calibri"/>
          <w:b/>
          <w:bCs/>
        </w:rPr>
        <w:t>Internal Memorandum</w:t>
      </w:r>
    </w:p>
    <w:p w14:paraId="2211828A" w14:textId="77777777" w:rsidR="00740139" w:rsidRPr="00905B65" w:rsidRDefault="00740139" w:rsidP="00764590">
      <w:pPr>
        <w:spacing w:line="360" w:lineRule="auto"/>
        <w:rPr>
          <w:rFonts w:ascii="Calibri" w:hAnsi="Calibri" w:cs="Calibri"/>
        </w:rPr>
      </w:pPr>
    </w:p>
    <w:p w14:paraId="14C9BDC7" w14:textId="77777777" w:rsidR="00740139" w:rsidRPr="00905B65" w:rsidRDefault="00740139" w:rsidP="00764590">
      <w:pPr>
        <w:spacing w:line="360" w:lineRule="auto"/>
        <w:rPr>
          <w:rFonts w:ascii="Calibri" w:hAnsi="Calibri" w:cs="Calibri"/>
        </w:rPr>
      </w:pPr>
      <w:r w:rsidRPr="00905B65">
        <w:rPr>
          <w:rFonts w:ascii="Calibri" w:hAnsi="Calibri" w:cs="Calibri"/>
        </w:rPr>
        <w:t>TO: Ada Adebayo</w:t>
      </w:r>
    </w:p>
    <w:p w14:paraId="1A824660" w14:textId="1C780105" w:rsidR="00740139" w:rsidRPr="00905B65" w:rsidRDefault="00740139" w:rsidP="00764590">
      <w:pPr>
        <w:spacing w:line="360" w:lineRule="auto"/>
        <w:rPr>
          <w:rFonts w:ascii="Calibri" w:hAnsi="Calibri" w:cs="Calibri"/>
        </w:rPr>
      </w:pPr>
      <w:r w:rsidRPr="00905B65">
        <w:rPr>
          <w:rFonts w:ascii="Calibri" w:hAnsi="Calibri" w:cs="Calibri"/>
        </w:rPr>
        <w:t>FROM: Salimata Traore</w:t>
      </w:r>
    </w:p>
    <w:p w14:paraId="12D28481" w14:textId="77777777" w:rsidR="00740139" w:rsidRPr="00905B65" w:rsidRDefault="00740139" w:rsidP="00764590">
      <w:pPr>
        <w:spacing w:line="360" w:lineRule="auto"/>
        <w:rPr>
          <w:rFonts w:ascii="Calibri" w:hAnsi="Calibri" w:cs="Calibri"/>
        </w:rPr>
      </w:pPr>
      <w:r w:rsidRPr="00905B65">
        <w:rPr>
          <w:rFonts w:ascii="Calibri" w:hAnsi="Calibri" w:cs="Calibri"/>
        </w:rPr>
        <w:t>MATTER: Case of Kim Cottrell</w:t>
      </w:r>
    </w:p>
    <w:p w14:paraId="6C7A3ED5" w14:textId="3831B150" w:rsidR="00740139" w:rsidRPr="00905B65" w:rsidRDefault="00740139" w:rsidP="00764590">
      <w:pPr>
        <w:spacing w:line="360" w:lineRule="auto"/>
        <w:rPr>
          <w:rFonts w:ascii="Calibri" w:hAnsi="Calibri" w:cs="Calibri"/>
        </w:rPr>
      </w:pPr>
      <w:r w:rsidRPr="00905B65">
        <w:rPr>
          <w:rFonts w:ascii="Calibri" w:hAnsi="Calibri" w:cs="Calibri"/>
        </w:rPr>
        <w:t>DATE: 14 March 2024</w:t>
      </w:r>
    </w:p>
    <w:p w14:paraId="00BE45B0" w14:textId="6AECAB42" w:rsidR="00740139" w:rsidRPr="00905B65" w:rsidRDefault="00740139" w:rsidP="00764590">
      <w:pPr>
        <w:spacing w:line="360" w:lineRule="auto"/>
        <w:rPr>
          <w:rFonts w:ascii="Calibri" w:hAnsi="Calibri" w:cs="Calibri"/>
        </w:rPr>
      </w:pPr>
    </w:p>
    <w:p w14:paraId="460310E5" w14:textId="0A1F43D7" w:rsidR="00740139" w:rsidRPr="00905B65" w:rsidRDefault="00740139" w:rsidP="00764590">
      <w:pPr>
        <w:spacing w:line="360" w:lineRule="auto"/>
        <w:rPr>
          <w:rFonts w:ascii="Calibri" w:hAnsi="Calibri" w:cs="Calibri"/>
        </w:rPr>
      </w:pPr>
      <w:r w:rsidRPr="00905B65">
        <w:rPr>
          <w:rFonts w:ascii="Calibri" w:hAnsi="Calibri" w:cs="Calibri"/>
        </w:rPr>
        <w:t>Dear Ada Adebayo,</w:t>
      </w:r>
    </w:p>
    <w:p w14:paraId="7EAC025F" w14:textId="77777777" w:rsidR="00740139" w:rsidRPr="00905B65" w:rsidRDefault="00740139" w:rsidP="00764590">
      <w:pPr>
        <w:spacing w:line="360" w:lineRule="auto"/>
        <w:rPr>
          <w:rFonts w:ascii="Calibri" w:hAnsi="Calibri" w:cs="Calibri"/>
          <w:b/>
          <w:bCs/>
        </w:rPr>
      </w:pPr>
      <w:r w:rsidRPr="00905B65">
        <w:rPr>
          <w:rFonts w:ascii="Calibri" w:hAnsi="Calibri" w:cs="Calibri"/>
          <w:b/>
          <w:bCs/>
        </w:rPr>
        <w:t>Background</w:t>
      </w:r>
    </w:p>
    <w:p w14:paraId="266BB7E3" w14:textId="08E51ECF" w:rsidR="008967F8" w:rsidRPr="00905B65" w:rsidRDefault="008D666C" w:rsidP="007912BF">
      <w:pPr>
        <w:jc w:val="center"/>
        <w:rPr>
          <w:rFonts w:ascii="Calibri" w:eastAsia="Times New Roman" w:hAnsi="Calibri" w:cs="Calibri"/>
          <w:kern w:val="0"/>
          <w:lang w:eastAsia="en-GB"/>
          <w14:ligatures w14:val="none"/>
        </w:rPr>
      </w:pPr>
      <w:r w:rsidRPr="008D666C">
        <w:rPr>
          <w:rFonts w:ascii="Calibri" w:eastAsia="Times New Roman" w:hAnsi="Calibri" w:cs="Calibri"/>
          <w:kern w:val="0"/>
          <w:lang w:eastAsia="en-GB"/>
          <w14:ligatures w14:val="none"/>
        </w:rPr>
        <w:t xml:space="preserve">The 26-year-old Kim Cottrell is accused of assault causing actual bodily harm on one occasion during an altercation at the Dog and Duck public house. The event happened on Saturday, March 2, 2024. Kim is said to have smacked Bob Branning for making an offensive remark about her aunt, who had passed away suddenly, while she was grieving. Kim was </w:t>
      </w:r>
      <w:r w:rsidR="00A21553" w:rsidRPr="00905B65">
        <w:rPr>
          <w:rFonts w:ascii="Calibri" w:eastAsia="Times New Roman" w:hAnsi="Calibri" w:cs="Calibri"/>
          <w:kern w:val="0"/>
          <w:lang w:eastAsia="en-GB"/>
          <w14:ligatures w14:val="none"/>
        </w:rPr>
        <w:t xml:space="preserve">arrested and </w:t>
      </w:r>
      <w:r w:rsidRPr="008D666C">
        <w:rPr>
          <w:rFonts w:ascii="Calibri" w:eastAsia="Times New Roman" w:hAnsi="Calibri" w:cs="Calibri"/>
          <w:kern w:val="0"/>
          <w:lang w:eastAsia="en-GB"/>
          <w14:ligatures w14:val="none"/>
        </w:rPr>
        <w:t xml:space="preserve">taken to the police station, where she was fingerprinted and interrogated. She claims that because she was uncomfortable with physical touch, she declined to </w:t>
      </w:r>
      <w:r w:rsidR="00AC4B78" w:rsidRPr="00905B65">
        <w:rPr>
          <w:rFonts w:ascii="Calibri" w:eastAsia="Times New Roman" w:hAnsi="Calibri" w:cs="Calibri"/>
          <w:kern w:val="0"/>
          <w:lang w:eastAsia="en-GB"/>
          <w14:ligatures w14:val="none"/>
        </w:rPr>
        <w:t>take her fingerprints</w:t>
      </w:r>
      <w:r w:rsidRPr="008D666C">
        <w:rPr>
          <w:rFonts w:ascii="Calibri" w:eastAsia="Times New Roman" w:hAnsi="Calibri" w:cs="Calibri"/>
          <w:kern w:val="0"/>
          <w:lang w:eastAsia="en-GB"/>
          <w14:ligatures w14:val="none"/>
        </w:rPr>
        <w:t xml:space="preserve"> and that if she had known her rights, she would have asked for legal counsel. Kim is being held without bond and plans to enter a </w:t>
      </w:r>
      <w:r w:rsidR="005B4617" w:rsidRPr="00905B65">
        <w:rPr>
          <w:rFonts w:ascii="Calibri" w:eastAsia="Times New Roman" w:hAnsi="Calibri" w:cs="Calibri"/>
          <w:kern w:val="0"/>
          <w:lang w:eastAsia="en-GB"/>
          <w14:ligatures w14:val="none"/>
        </w:rPr>
        <w:t>not-guilty</w:t>
      </w:r>
      <w:r w:rsidRPr="008D666C">
        <w:rPr>
          <w:rFonts w:ascii="Calibri" w:eastAsia="Times New Roman" w:hAnsi="Calibri" w:cs="Calibri"/>
          <w:kern w:val="0"/>
          <w:lang w:eastAsia="en-GB"/>
          <w14:ligatures w14:val="none"/>
        </w:rPr>
        <w:t xml:space="preserve"> plea. This emphasises how crucial it is to make sure </w:t>
      </w:r>
      <w:r w:rsidR="008967F8" w:rsidRPr="00905B65">
        <w:rPr>
          <w:rFonts w:ascii="Calibri" w:eastAsia="Times New Roman" w:hAnsi="Calibri" w:cs="Calibri"/>
          <w:kern w:val="0"/>
          <w:lang w:eastAsia="en-GB"/>
          <w14:ligatures w14:val="none"/>
        </w:rPr>
        <w:t>people understand their legal advice rights when interacting with the police.</w:t>
      </w:r>
    </w:p>
    <w:p w14:paraId="24EBE04F" w14:textId="77777777" w:rsidR="008D666C" w:rsidRPr="008D666C" w:rsidRDefault="008D666C" w:rsidP="007912BF">
      <w:pPr>
        <w:spacing w:after="0" w:line="240" w:lineRule="auto"/>
        <w:jc w:val="center"/>
        <w:rPr>
          <w:rFonts w:ascii="Calibri" w:eastAsia="Times New Roman" w:hAnsi="Calibri" w:cs="Calibri"/>
          <w:kern w:val="0"/>
          <w:lang w:eastAsia="en-GB"/>
          <w14:ligatures w14:val="none"/>
        </w:rPr>
      </w:pPr>
    </w:p>
    <w:p w14:paraId="442E22EB" w14:textId="2F7E9728" w:rsidR="008D666C" w:rsidRPr="00905B65" w:rsidRDefault="00740139" w:rsidP="007912BF">
      <w:pPr>
        <w:spacing w:line="360" w:lineRule="auto"/>
        <w:jc w:val="center"/>
        <w:rPr>
          <w:rFonts w:ascii="Calibri" w:hAnsi="Calibri" w:cs="Calibri"/>
          <w:b/>
          <w:bCs/>
        </w:rPr>
      </w:pPr>
      <w:r w:rsidRPr="00905B65">
        <w:rPr>
          <w:rFonts w:ascii="Calibri" w:hAnsi="Calibri" w:cs="Calibri"/>
          <w:b/>
          <w:bCs/>
        </w:rPr>
        <w:t>Substantive Law</w:t>
      </w:r>
    </w:p>
    <w:p w14:paraId="603D0286" w14:textId="626CA836" w:rsidR="00E54B61" w:rsidRPr="00905B65" w:rsidRDefault="00E54B61" w:rsidP="007912BF">
      <w:pPr>
        <w:spacing w:after="0" w:line="240" w:lineRule="auto"/>
        <w:jc w:val="center"/>
        <w:rPr>
          <w:rFonts w:ascii="Calibri" w:eastAsia="Times New Roman" w:hAnsi="Calibri" w:cs="Calibri"/>
          <w:kern w:val="0"/>
          <w:lang w:eastAsia="en-GB"/>
          <w14:ligatures w14:val="none"/>
        </w:rPr>
      </w:pPr>
      <w:r w:rsidRPr="00905B65">
        <w:rPr>
          <w:rFonts w:ascii="Calibri" w:eastAsia="Times New Roman" w:hAnsi="Calibri" w:cs="Calibri"/>
          <w:kern w:val="0"/>
          <w:lang w:eastAsia="en-GB"/>
          <w14:ligatures w14:val="none"/>
        </w:rPr>
        <w:t>The foundation of criminal law in England and Wales is the Offences Against the Person Act 1861</w:t>
      </w:r>
      <w:r w:rsidR="000941D7" w:rsidRPr="00905B65">
        <w:rPr>
          <w:rFonts w:ascii="Calibri" w:eastAsia="Times New Roman" w:hAnsi="Calibri" w:cs="Calibri"/>
          <w:kern w:val="0"/>
          <w:lang w:eastAsia="en-GB"/>
          <w14:ligatures w14:val="none"/>
        </w:rPr>
        <w:t>(section 47</w:t>
      </w:r>
      <w:r w:rsidR="00A715AE" w:rsidRPr="00905B65">
        <w:rPr>
          <w:rFonts w:ascii="Calibri" w:eastAsia="Times New Roman" w:hAnsi="Calibri" w:cs="Calibri"/>
          <w:kern w:val="0"/>
          <w:lang w:eastAsia="en-GB"/>
          <w14:ligatures w14:val="none"/>
        </w:rPr>
        <w:t>)</w:t>
      </w:r>
      <w:r w:rsidRPr="00905B65">
        <w:rPr>
          <w:rFonts w:ascii="Calibri" w:eastAsia="Times New Roman" w:hAnsi="Calibri" w:cs="Calibri"/>
          <w:kern w:val="0"/>
          <w:lang w:eastAsia="en-GB"/>
          <w14:ligatures w14:val="none"/>
        </w:rPr>
        <w:t xml:space="preserve"> which establishes the definition of assault resulting in actual bodily harm (ABH). It creates a critical cutoff point for harm, defining harm as any injury that "interferes with the health or comfort" of the affected party. This definition goes beyond just fleeting discomfort. The damage must be of a kind that noticeably impairs the victim's physical or emotional</w:t>
      </w:r>
      <w:r w:rsidR="00EB2155" w:rsidRPr="00905B65">
        <w:rPr>
          <w:rFonts w:ascii="Calibri" w:eastAsia="Times New Roman" w:hAnsi="Calibri" w:cs="Calibri"/>
          <w:kern w:val="0"/>
          <w:lang w:eastAsia="en-GB"/>
          <w14:ligatures w14:val="none"/>
        </w:rPr>
        <w:t xml:space="preserve"> </w:t>
      </w:r>
      <w:r w:rsidR="00D4577C" w:rsidRPr="00905B65">
        <w:rPr>
          <w:rFonts w:ascii="Calibri" w:eastAsia="Times New Roman" w:hAnsi="Calibri" w:cs="Calibri"/>
          <w:kern w:val="0"/>
          <w:lang w:eastAsia="en-GB"/>
          <w14:ligatures w14:val="none"/>
        </w:rPr>
        <w:t>wellbeing</w:t>
      </w:r>
      <w:r w:rsidR="00F20BE2" w:rsidRPr="00905B65">
        <w:rPr>
          <w:rFonts w:ascii="Calibri" w:eastAsia="Times New Roman" w:hAnsi="Calibri" w:cs="Calibri"/>
          <w:kern w:val="0"/>
          <w:lang w:eastAsia="en-GB"/>
          <w14:ligatures w14:val="none"/>
        </w:rPr>
        <w:t xml:space="preserve"> not just a brief sting or transient redness.</w:t>
      </w:r>
      <w:r w:rsidRPr="00905B65">
        <w:rPr>
          <w:rFonts w:ascii="Calibri" w:eastAsia="Times New Roman" w:hAnsi="Calibri" w:cs="Calibri"/>
          <w:kern w:val="0"/>
          <w:lang w:eastAsia="en-GB"/>
          <w14:ligatures w14:val="none"/>
        </w:rPr>
        <w:t xml:space="preserve">  </w:t>
      </w:r>
      <w:r w:rsidRPr="00905B65">
        <w:rPr>
          <w:rFonts w:ascii="Calibri" w:eastAsia="Times New Roman" w:hAnsi="Calibri" w:cs="Calibri"/>
          <w:kern w:val="0"/>
          <w:lang w:eastAsia="en-GB"/>
          <w14:ligatures w14:val="none"/>
        </w:rPr>
        <w:br/>
      </w:r>
      <w:r w:rsidRPr="00905B65">
        <w:rPr>
          <w:rFonts w:ascii="Calibri" w:eastAsia="Times New Roman" w:hAnsi="Calibri" w:cs="Calibri"/>
          <w:kern w:val="0"/>
          <w:lang w:eastAsia="en-GB"/>
          <w14:ligatures w14:val="none"/>
        </w:rPr>
        <w:br/>
        <w:t xml:space="preserve">To secure a conviction for ABH, however, the prosecution must successfully prove </w:t>
      </w:r>
      <w:r w:rsidR="007104CB" w:rsidRPr="00905B65">
        <w:rPr>
          <w:rFonts w:ascii="Calibri" w:eastAsia="Times New Roman" w:hAnsi="Calibri" w:cs="Calibri"/>
          <w:kern w:val="0"/>
          <w:lang w:eastAsia="en-GB"/>
          <w14:ligatures w14:val="none"/>
        </w:rPr>
        <w:t xml:space="preserve">both the </w:t>
      </w:r>
      <w:r w:rsidR="003B0944" w:rsidRPr="00905B65">
        <w:rPr>
          <w:rFonts w:ascii="Calibri" w:eastAsia="Times New Roman" w:hAnsi="Calibri" w:cs="Calibri"/>
          <w:kern w:val="0"/>
          <w:lang w:eastAsia="en-GB"/>
          <w14:ligatures w14:val="none"/>
        </w:rPr>
        <w:t xml:space="preserve">offence's physical act (actus reus) and </w:t>
      </w:r>
      <w:r w:rsidR="00BF375C" w:rsidRPr="00905B65">
        <w:rPr>
          <w:rFonts w:ascii="Calibri" w:eastAsia="Times New Roman" w:hAnsi="Calibri" w:cs="Calibri"/>
          <w:kern w:val="0"/>
          <w:lang w:eastAsia="en-GB"/>
          <w14:ligatures w14:val="none"/>
        </w:rPr>
        <w:t xml:space="preserve">the </w:t>
      </w:r>
      <w:r w:rsidR="003B0944" w:rsidRPr="00905B65">
        <w:rPr>
          <w:rFonts w:ascii="Calibri" w:eastAsia="Times New Roman" w:hAnsi="Calibri" w:cs="Calibri"/>
          <w:kern w:val="0"/>
          <w:lang w:eastAsia="en-GB"/>
          <w14:ligatures w14:val="none"/>
        </w:rPr>
        <w:t>mental condition (mens rea)</w:t>
      </w:r>
      <w:r w:rsidRPr="00905B65">
        <w:rPr>
          <w:rFonts w:ascii="Calibri" w:eastAsia="Times New Roman" w:hAnsi="Calibri" w:cs="Calibri"/>
          <w:kern w:val="0"/>
          <w:lang w:eastAsia="en-GB"/>
          <w14:ligatures w14:val="none"/>
        </w:rPr>
        <w:t>. Proof that the defendant intended is required by the mens rea factor.</w:t>
      </w:r>
    </w:p>
    <w:p w14:paraId="4D8897FC" w14:textId="466164C1" w:rsidR="00740139" w:rsidRPr="00905B65" w:rsidRDefault="00740139" w:rsidP="007912BF">
      <w:pPr>
        <w:spacing w:line="360" w:lineRule="auto"/>
        <w:jc w:val="center"/>
        <w:rPr>
          <w:rFonts w:ascii="Calibri" w:hAnsi="Calibri" w:cs="Calibri"/>
          <w:b/>
          <w:bCs/>
        </w:rPr>
      </w:pPr>
    </w:p>
    <w:p w14:paraId="46F41BB7" w14:textId="77777777" w:rsidR="005709C1" w:rsidRPr="00905B65" w:rsidRDefault="005709C1" w:rsidP="007912BF">
      <w:pPr>
        <w:spacing w:after="0" w:line="240" w:lineRule="auto"/>
        <w:jc w:val="center"/>
        <w:rPr>
          <w:rFonts w:ascii="Calibri" w:eastAsia="Times New Roman" w:hAnsi="Calibri" w:cs="Calibri"/>
          <w:kern w:val="0"/>
          <w:lang w:eastAsia="en-GB"/>
          <w14:ligatures w14:val="none"/>
        </w:rPr>
      </w:pPr>
    </w:p>
    <w:p w14:paraId="6B99C556" w14:textId="05346ADC" w:rsidR="005709C1" w:rsidRPr="00905B65" w:rsidRDefault="0048622A" w:rsidP="007912BF">
      <w:pPr>
        <w:spacing w:after="0" w:line="240" w:lineRule="auto"/>
        <w:jc w:val="center"/>
        <w:rPr>
          <w:rFonts w:ascii="Calibri" w:eastAsia="Times New Roman" w:hAnsi="Calibri" w:cs="Calibri"/>
          <w:kern w:val="0"/>
          <w:lang w:eastAsia="en-GB"/>
          <w14:ligatures w14:val="none"/>
        </w:rPr>
      </w:pPr>
      <w:r w:rsidRPr="0048622A">
        <w:rPr>
          <w:rFonts w:ascii="Calibri" w:eastAsia="Times New Roman" w:hAnsi="Calibri" w:cs="Calibri"/>
          <w:kern w:val="0"/>
          <w:lang w:eastAsia="en-GB"/>
          <w14:ligatures w14:val="none"/>
        </w:rPr>
        <w:lastRenderedPageBreak/>
        <w:t xml:space="preserve">A comprehensive analysis of several substantive laws is necessary </w:t>
      </w:r>
      <w:r w:rsidRPr="00905B65">
        <w:rPr>
          <w:rFonts w:ascii="Calibri" w:eastAsia="Times New Roman" w:hAnsi="Calibri" w:cs="Calibri"/>
          <w:kern w:val="0"/>
          <w:lang w:eastAsia="en-GB"/>
          <w14:ligatures w14:val="none"/>
        </w:rPr>
        <w:t>to</w:t>
      </w:r>
      <w:r w:rsidRPr="0048622A">
        <w:rPr>
          <w:rFonts w:ascii="Calibri" w:eastAsia="Times New Roman" w:hAnsi="Calibri" w:cs="Calibri"/>
          <w:kern w:val="0"/>
          <w:lang w:eastAsia="en-GB"/>
          <w14:ligatures w14:val="none"/>
        </w:rPr>
        <w:t xml:space="preserve"> fully understand the consequences of Kim's case and its implications for law. Kim's circumstances most certainly</w:t>
      </w:r>
    </w:p>
    <w:p w14:paraId="3D9671AC" w14:textId="7A640ED4" w:rsidR="0048622A" w:rsidRPr="0048622A" w:rsidRDefault="0048622A" w:rsidP="007912BF">
      <w:pPr>
        <w:spacing w:after="0" w:line="240" w:lineRule="auto"/>
        <w:jc w:val="center"/>
        <w:rPr>
          <w:rFonts w:ascii="Calibri" w:eastAsia="Times New Roman" w:hAnsi="Calibri" w:cs="Calibri"/>
          <w:kern w:val="0"/>
          <w:lang w:eastAsia="en-GB"/>
          <w14:ligatures w14:val="none"/>
        </w:rPr>
      </w:pPr>
      <w:r w:rsidRPr="0048622A">
        <w:rPr>
          <w:rFonts w:ascii="Calibri" w:eastAsia="Times New Roman" w:hAnsi="Calibri" w:cs="Calibri"/>
          <w:kern w:val="0"/>
          <w:lang w:eastAsia="en-GB"/>
          <w14:ligatures w14:val="none"/>
        </w:rPr>
        <w:t xml:space="preserve">come under </w:t>
      </w:r>
      <w:proofErr w:type="gramStart"/>
      <w:r w:rsidRPr="0048622A">
        <w:rPr>
          <w:rFonts w:ascii="Calibri" w:eastAsia="Times New Roman" w:hAnsi="Calibri" w:cs="Calibri"/>
          <w:kern w:val="0"/>
          <w:lang w:eastAsia="en-GB"/>
          <w14:ligatures w14:val="none"/>
        </w:rPr>
        <w:t>a number of</w:t>
      </w:r>
      <w:proofErr w:type="gramEnd"/>
      <w:r w:rsidRPr="0048622A">
        <w:rPr>
          <w:rFonts w:ascii="Calibri" w:eastAsia="Times New Roman" w:hAnsi="Calibri" w:cs="Calibri"/>
          <w:kern w:val="0"/>
          <w:lang w:eastAsia="en-GB"/>
          <w14:ligatures w14:val="none"/>
        </w:rPr>
        <w:t xml:space="preserve"> legal statutes that cover various facets of criminal procedure and law. The Offences Act (Section 39 of the Criminal Justice Act 1988), which covers offences like assault and battery, among others, is one of the main legal frameworks that is pertinent to her case. Furthermore, police conduct during investigations is governed by the Police and Criminal Evidence Act 1984, which further specifies procedures for evidence gathering, arrest, and detention. Even while making snap decisions, law enforcement officers are nonetheless answerable for their conduct. Respecting the human rights of individuals should always be the main priority. In addition, the Bail Act of 1976 controls the issuance of bail.</w:t>
      </w:r>
    </w:p>
    <w:p w14:paraId="2D2A25FB" w14:textId="5569A326" w:rsidR="00817A57" w:rsidRPr="00905B65" w:rsidRDefault="00256D53" w:rsidP="007912BF">
      <w:pPr>
        <w:spacing w:line="360" w:lineRule="auto"/>
        <w:jc w:val="center"/>
        <w:rPr>
          <w:rFonts w:ascii="Calibri" w:hAnsi="Calibri" w:cs="Calibri"/>
          <w:b/>
          <w:bCs/>
        </w:rPr>
      </w:pPr>
      <w:r w:rsidRPr="00905B65">
        <w:rPr>
          <w:rFonts w:ascii="Calibri" w:hAnsi="Calibri" w:cs="Calibri"/>
        </w:rPr>
        <w:t>.</w:t>
      </w:r>
    </w:p>
    <w:p w14:paraId="284CC1AA" w14:textId="77777777" w:rsidR="00817A57" w:rsidRPr="00905B65" w:rsidRDefault="00817A57" w:rsidP="007912BF">
      <w:pPr>
        <w:spacing w:line="360" w:lineRule="auto"/>
        <w:jc w:val="center"/>
        <w:rPr>
          <w:rFonts w:ascii="Calibri" w:hAnsi="Calibri" w:cs="Calibri"/>
        </w:rPr>
      </w:pPr>
    </w:p>
    <w:p w14:paraId="57B645FF" w14:textId="7EBF2052" w:rsidR="00D33CE8" w:rsidRPr="00905B65" w:rsidRDefault="00740139" w:rsidP="007912BF">
      <w:pPr>
        <w:jc w:val="center"/>
        <w:rPr>
          <w:rFonts w:ascii="Calibri" w:eastAsia="Times New Roman" w:hAnsi="Calibri" w:cs="Calibri"/>
          <w:kern w:val="0"/>
          <w:lang w:eastAsia="en-GB"/>
          <w14:ligatures w14:val="none"/>
        </w:rPr>
      </w:pPr>
      <w:r w:rsidRPr="00905B65">
        <w:rPr>
          <w:rFonts w:ascii="Calibri" w:hAnsi="Calibri" w:cs="Calibri"/>
          <w:b/>
          <w:bCs/>
        </w:rPr>
        <w:t>Offence and Sentencing</w:t>
      </w:r>
      <w:r w:rsidRPr="00905B65">
        <w:rPr>
          <w:rFonts w:ascii="Calibri" w:hAnsi="Calibri" w:cs="Calibri"/>
        </w:rPr>
        <w:t xml:space="preserve">: Kim Cottrell's case involves </w:t>
      </w:r>
      <w:r w:rsidR="00D33CE8" w:rsidRPr="00905B65">
        <w:rPr>
          <w:rFonts w:ascii="Calibri" w:eastAsia="Times New Roman" w:hAnsi="Calibri" w:cs="Calibri"/>
          <w:kern w:val="0"/>
          <w:lang w:eastAsia="en-GB"/>
          <w14:ligatures w14:val="none"/>
        </w:rPr>
        <w:t>actual bodily harm (ABH), it indicates that they have been damaged or injured. Physical injuries need only be more than "trifling" or "</w:t>
      </w:r>
      <w:r w:rsidR="00916789" w:rsidRPr="00905B65">
        <w:rPr>
          <w:rFonts w:ascii="Calibri" w:eastAsia="Times New Roman" w:hAnsi="Calibri" w:cs="Calibri"/>
          <w:kern w:val="0"/>
          <w:lang w:eastAsia="en-GB"/>
          <w14:ligatures w14:val="none"/>
        </w:rPr>
        <w:t>transient meaning</w:t>
      </w:r>
      <w:r w:rsidR="00873A31" w:rsidRPr="00905B65">
        <w:rPr>
          <w:rFonts w:ascii="Calibri" w:eastAsia="Times New Roman" w:hAnsi="Calibri" w:cs="Calibri"/>
          <w:kern w:val="0"/>
          <w:lang w:eastAsia="en-GB"/>
          <w14:ligatures w14:val="none"/>
        </w:rPr>
        <w:t xml:space="preserve"> they must at least result in small wounds, pain, or discomfort. They do not need to be severe or long-</w:t>
      </w:r>
      <w:r w:rsidR="00916789" w:rsidRPr="00905B65">
        <w:rPr>
          <w:rFonts w:ascii="Calibri" w:eastAsia="Times New Roman" w:hAnsi="Calibri" w:cs="Calibri"/>
          <w:kern w:val="0"/>
          <w:lang w:eastAsia="en-GB"/>
          <w14:ligatures w14:val="none"/>
        </w:rPr>
        <w:t>lasting</w:t>
      </w:r>
      <w:r w:rsidR="00583DD8" w:rsidRPr="00905B65">
        <w:rPr>
          <w:rFonts w:ascii="Calibri" w:eastAsia="Times New Roman" w:hAnsi="Calibri" w:cs="Calibri"/>
          <w:kern w:val="0"/>
          <w:lang w:eastAsia="en-GB"/>
          <w14:ligatures w14:val="none"/>
        </w:rPr>
        <w:t>.</w:t>
      </w:r>
    </w:p>
    <w:p w14:paraId="4E061464" w14:textId="1472E429" w:rsidR="00740139" w:rsidRPr="00905B65" w:rsidRDefault="00FC5EA7" w:rsidP="007912BF">
      <w:pPr>
        <w:spacing w:line="360" w:lineRule="auto"/>
        <w:jc w:val="center"/>
        <w:rPr>
          <w:rFonts w:ascii="Calibri" w:hAnsi="Calibri" w:cs="Calibri"/>
        </w:rPr>
      </w:pPr>
      <w:r w:rsidRPr="00905B65">
        <w:rPr>
          <w:rFonts w:ascii="Calibri" w:hAnsi="Calibri" w:cs="Calibri"/>
        </w:rPr>
        <w:t>Sen</w:t>
      </w:r>
      <w:r w:rsidR="00740139" w:rsidRPr="00905B65">
        <w:rPr>
          <w:rFonts w:ascii="Calibri" w:hAnsi="Calibri" w:cs="Calibri"/>
        </w:rPr>
        <w:t>tencing guidelines for ABH range from community orders to imprisonment, with aggravating factors such as prior convictions and injury severity leading to higher sentences (Sentencing Council, Assault Offences - Definitive Guideline, 2011).</w:t>
      </w:r>
    </w:p>
    <w:p w14:paraId="49ECD6F2" w14:textId="3CF565D7" w:rsidR="00C75583" w:rsidRPr="00905B65" w:rsidRDefault="00740139" w:rsidP="007912BF">
      <w:pPr>
        <w:jc w:val="center"/>
        <w:rPr>
          <w:rFonts w:ascii="Calibri" w:eastAsia="Times New Roman" w:hAnsi="Calibri" w:cs="Calibri"/>
          <w:kern w:val="0"/>
          <w:lang w:eastAsia="en-GB"/>
          <w14:ligatures w14:val="none"/>
        </w:rPr>
      </w:pPr>
      <w:r w:rsidRPr="00905B65">
        <w:rPr>
          <w:rFonts w:ascii="Calibri" w:hAnsi="Calibri" w:cs="Calibri"/>
          <w:b/>
          <w:bCs/>
        </w:rPr>
        <w:t xml:space="preserve">Procedure for Trial Allocation: </w:t>
      </w:r>
      <w:r w:rsidR="00C75583" w:rsidRPr="00905B65">
        <w:rPr>
          <w:rFonts w:ascii="Calibri" w:eastAsia="Times New Roman" w:hAnsi="Calibri" w:cs="Calibri"/>
          <w:kern w:val="0"/>
          <w:lang w:eastAsia="en-GB"/>
          <w14:ligatures w14:val="none"/>
        </w:rPr>
        <w:t>Kim's case will go through the trial allocation processes described in Section 8</w:t>
      </w:r>
    </w:p>
    <w:p w14:paraId="36A6AB75" w14:textId="646DD521" w:rsidR="00AB3B46" w:rsidRPr="00905B65" w:rsidRDefault="007C630A" w:rsidP="007912BF">
      <w:pPr>
        <w:jc w:val="center"/>
        <w:rPr>
          <w:rFonts w:ascii="Calibri" w:eastAsia="Times New Roman" w:hAnsi="Calibri" w:cs="Calibri"/>
          <w:kern w:val="0"/>
          <w:lang w:eastAsia="en-GB"/>
          <w14:ligatures w14:val="none"/>
        </w:rPr>
      </w:pPr>
      <w:r w:rsidRPr="00905B65">
        <w:rPr>
          <w:rFonts w:ascii="Calibri" w:hAnsi="Calibri" w:cs="Calibri"/>
          <w:color w:val="1E1E1E"/>
          <w:shd w:val="clear" w:color="auto" w:fill="F5F5F5"/>
        </w:rPr>
        <w:t>Polic</w:t>
      </w:r>
      <w:r w:rsidR="00AC0AF1" w:rsidRPr="00905B65">
        <w:rPr>
          <w:rFonts w:ascii="Calibri" w:hAnsi="Calibri" w:cs="Calibri"/>
          <w:color w:val="1E1E1E"/>
          <w:shd w:val="clear" w:color="auto" w:fill="F5F5F5"/>
        </w:rPr>
        <w:t xml:space="preserve">e and Criminal Evidence Act </w:t>
      </w:r>
      <w:proofErr w:type="gramStart"/>
      <w:r w:rsidR="00AC0AF1" w:rsidRPr="00905B65">
        <w:rPr>
          <w:rFonts w:ascii="Calibri" w:hAnsi="Calibri" w:cs="Calibri"/>
          <w:color w:val="1E1E1E"/>
          <w:shd w:val="clear" w:color="auto" w:fill="F5F5F5"/>
        </w:rPr>
        <w:t>1984</w:t>
      </w:r>
      <w:r w:rsidR="00371B35" w:rsidRPr="00905B65">
        <w:rPr>
          <w:rFonts w:ascii="Calibri" w:hAnsi="Calibri" w:cs="Calibri"/>
          <w:color w:val="1E1E1E"/>
          <w:shd w:val="clear" w:color="auto" w:fill="F5F5F5"/>
        </w:rPr>
        <w:t xml:space="preserve"> </w:t>
      </w:r>
      <w:r w:rsidR="00540F0C" w:rsidRPr="00905B65">
        <w:rPr>
          <w:rFonts w:ascii="Calibri" w:hAnsi="Calibri" w:cs="Calibri"/>
          <w:color w:val="1E1E1E"/>
          <w:shd w:val="clear" w:color="auto" w:fill="F5F5F5"/>
        </w:rPr>
        <w:t xml:space="preserve"> </w:t>
      </w:r>
      <w:r w:rsidR="00740139" w:rsidRPr="00905B65">
        <w:rPr>
          <w:rFonts w:ascii="Calibri" w:hAnsi="Calibri" w:cs="Calibri"/>
        </w:rPr>
        <w:t>requires</w:t>
      </w:r>
      <w:proofErr w:type="gramEnd"/>
      <w:r w:rsidR="00740139" w:rsidRPr="00905B65">
        <w:rPr>
          <w:rFonts w:ascii="Calibri" w:hAnsi="Calibri" w:cs="Calibri"/>
        </w:rPr>
        <w:t xml:space="preserve"> cases to be allocated to the appropriate court based on seriousness, with considerations for summary, either-way, or indictable offences (Police and Criminal Evidence Act 1984). The decision on allocation is influenced by factors such as the defendant's plea, case complexity, and potential sentence.</w:t>
      </w:r>
      <w:r w:rsidR="00AB3B46" w:rsidRPr="00905B65">
        <w:rPr>
          <w:rFonts w:ascii="Calibri" w:hAnsi="Calibri" w:cs="Calibri"/>
        </w:rPr>
        <w:t xml:space="preserve"> </w:t>
      </w:r>
      <w:r w:rsidR="00AB3B46" w:rsidRPr="00905B65">
        <w:rPr>
          <w:rFonts w:ascii="Calibri" w:eastAsia="Times New Roman" w:hAnsi="Calibri" w:cs="Calibri"/>
          <w:kern w:val="0"/>
          <w:lang w:eastAsia="en-GB"/>
          <w14:ligatures w14:val="none"/>
        </w:rPr>
        <w:t>Kim's case may</w:t>
      </w:r>
      <w:r w:rsidR="00F859D4" w:rsidRPr="00905B65">
        <w:rPr>
          <w:rFonts w:ascii="Calibri" w:eastAsia="Times New Roman" w:hAnsi="Calibri" w:cs="Calibri"/>
          <w:kern w:val="0"/>
          <w:lang w:eastAsia="en-GB"/>
          <w14:ligatures w14:val="none"/>
        </w:rPr>
        <w:t xml:space="preserve"> also</w:t>
      </w:r>
      <w:r w:rsidR="00AB3B46" w:rsidRPr="00905B65">
        <w:rPr>
          <w:rFonts w:ascii="Calibri" w:eastAsia="Times New Roman" w:hAnsi="Calibri" w:cs="Calibri"/>
          <w:kern w:val="0"/>
          <w:lang w:eastAsia="en-GB"/>
          <w14:ligatures w14:val="none"/>
        </w:rPr>
        <w:t xml:space="preserve"> be assigned for trial in the Crown Court or the Magistrates' Court, depending on the circumstances, including its severity. </w:t>
      </w:r>
      <w:r w:rsidR="00AB3B46" w:rsidRPr="00905B65">
        <w:rPr>
          <w:rFonts w:ascii="Calibri" w:eastAsia="Times New Roman" w:hAnsi="Calibri" w:cs="Calibri"/>
          <w:kern w:val="0"/>
          <w:lang w:eastAsia="en-GB"/>
          <w14:ligatures w14:val="none"/>
        </w:rPr>
        <w:br/>
        <w:t xml:space="preserve">The type of offence and the defendant's preferences are </w:t>
      </w:r>
      <w:r w:rsidR="00D643EC" w:rsidRPr="00905B65">
        <w:rPr>
          <w:rFonts w:ascii="Calibri" w:eastAsia="Times New Roman" w:hAnsi="Calibri" w:cs="Calibri"/>
          <w:kern w:val="0"/>
          <w:lang w:eastAsia="en-GB"/>
          <w14:ligatures w14:val="none"/>
        </w:rPr>
        <w:t>considered</w:t>
      </w:r>
      <w:r w:rsidR="00AB3B46" w:rsidRPr="00905B65">
        <w:rPr>
          <w:rFonts w:ascii="Calibri" w:eastAsia="Times New Roman" w:hAnsi="Calibri" w:cs="Calibri"/>
          <w:kern w:val="0"/>
          <w:lang w:eastAsia="en-GB"/>
          <w14:ligatures w14:val="none"/>
        </w:rPr>
        <w:t xml:space="preserve"> by the court.</w:t>
      </w:r>
      <w:r w:rsidR="00AB3B46" w:rsidRPr="00905B65">
        <w:rPr>
          <w:rFonts w:ascii="Calibri" w:eastAsia="Times New Roman" w:hAnsi="Calibri" w:cs="Calibri"/>
          <w:kern w:val="0"/>
          <w:lang w:eastAsia="en-GB"/>
          <w14:ligatures w14:val="none"/>
        </w:rPr>
        <w:br/>
        <w:t>Plea negotiations, jury trials, and magistrates' trials are all wise choices.</w:t>
      </w:r>
    </w:p>
    <w:p w14:paraId="6B065FE2" w14:textId="77777777" w:rsidR="008834BF" w:rsidRPr="00905B65" w:rsidRDefault="008834BF" w:rsidP="007912BF">
      <w:pPr>
        <w:jc w:val="center"/>
        <w:rPr>
          <w:rFonts w:ascii="Calibri" w:hAnsi="Calibri" w:cs="Calibri"/>
          <w:b/>
          <w:bCs/>
        </w:rPr>
      </w:pPr>
    </w:p>
    <w:p w14:paraId="6F687B99" w14:textId="24C14DB4" w:rsidR="005D35F4" w:rsidRPr="00905B65" w:rsidRDefault="00740139" w:rsidP="007912BF">
      <w:pPr>
        <w:jc w:val="center"/>
        <w:rPr>
          <w:rFonts w:ascii="Calibri" w:hAnsi="Calibri" w:cs="Calibri"/>
        </w:rPr>
      </w:pPr>
      <w:r w:rsidRPr="00905B65">
        <w:rPr>
          <w:rFonts w:ascii="Calibri" w:hAnsi="Calibri" w:cs="Calibri"/>
          <w:b/>
          <w:bCs/>
        </w:rPr>
        <w:t xml:space="preserve">Available Trial Modes: </w:t>
      </w:r>
      <w:r w:rsidRPr="00905B65">
        <w:rPr>
          <w:rFonts w:ascii="Calibri" w:hAnsi="Calibri" w:cs="Calibri"/>
        </w:rPr>
        <w:t xml:space="preserve">Various trial modes are available under the Criminal Justice and Public Order Act 1994, including summary trial, trial by jury, and plea bargaining (Criminal Justice and Public Order Act 1994). </w:t>
      </w:r>
      <w:r w:rsidR="007C630A" w:rsidRPr="00905B65">
        <w:rPr>
          <w:rFonts w:ascii="Calibri" w:hAnsi="Calibri" w:cs="Calibri"/>
        </w:rPr>
        <w:t>A summary</w:t>
      </w:r>
      <w:r w:rsidRPr="00905B65">
        <w:rPr>
          <w:rFonts w:ascii="Calibri" w:hAnsi="Calibri" w:cs="Calibri"/>
        </w:rPr>
        <w:t xml:space="preserve"> trial offers efficiency but may limit sentencing powers, while </w:t>
      </w:r>
      <w:r w:rsidR="007C630A" w:rsidRPr="00905B65">
        <w:rPr>
          <w:rFonts w:ascii="Calibri" w:hAnsi="Calibri" w:cs="Calibri"/>
        </w:rPr>
        <w:t xml:space="preserve">a </w:t>
      </w:r>
      <w:r w:rsidRPr="00905B65">
        <w:rPr>
          <w:rFonts w:ascii="Calibri" w:hAnsi="Calibri" w:cs="Calibri"/>
        </w:rPr>
        <w:t>jury trial ensures a fair hearing but involves longer proceedings. Plea bargaining, as seen in R v. Jones [2010] EWCA Crim 90, allows for reduced charges or sentences in exchange for guilty pleas.</w:t>
      </w:r>
    </w:p>
    <w:p w14:paraId="37BDC384" w14:textId="16A7C300" w:rsidR="00156FD0" w:rsidRPr="00905B65" w:rsidRDefault="00795E54" w:rsidP="007912BF">
      <w:pPr>
        <w:jc w:val="center"/>
        <w:rPr>
          <w:rFonts w:ascii="Calibri" w:eastAsia="Times New Roman" w:hAnsi="Calibri" w:cs="Calibri"/>
          <w:kern w:val="0"/>
          <w:lang w:eastAsia="en-GB"/>
          <w14:ligatures w14:val="none"/>
        </w:rPr>
      </w:pPr>
      <w:r w:rsidRPr="00905B65">
        <w:rPr>
          <w:rFonts w:ascii="Calibri" w:eastAsia="Times New Roman" w:hAnsi="Calibri" w:cs="Calibri"/>
          <w:b/>
          <w:bCs/>
          <w:kern w:val="0"/>
          <w:lang w:eastAsia="en-GB"/>
          <w14:ligatures w14:val="none"/>
        </w:rPr>
        <w:lastRenderedPageBreak/>
        <w:t>Character of the Offence</w:t>
      </w:r>
      <w:r w:rsidRPr="00905B65">
        <w:rPr>
          <w:rFonts w:ascii="Calibri" w:eastAsia="Times New Roman" w:hAnsi="Calibri" w:cs="Calibri"/>
          <w:kern w:val="0"/>
          <w:lang w:eastAsia="en-GB"/>
          <w14:ligatures w14:val="none"/>
        </w:rPr>
        <w:t>:</w:t>
      </w:r>
      <w:r w:rsidR="009060AB" w:rsidRPr="00905B65">
        <w:rPr>
          <w:rFonts w:ascii="Calibri" w:eastAsia="Times New Roman" w:hAnsi="Calibri" w:cs="Calibri"/>
          <w:kern w:val="0"/>
          <w:lang w:eastAsia="en-GB"/>
          <w14:ligatures w14:val="none"/>
        </w:rPr>
        <w:t xml:space="preserve"> </w:t>
      </w:r>
      <w:r w:rsidR="00394A40" w:rsidRPr="00905B65">
        <w:rPr>
          <w:rFonts w:ascii="Calibri" w:eastAsia="Times New Roman" w:hAnsi="Calibri" w:cs="Calibri"/>
          <w:kern w:val="0"/>
          <w:lang w:eastAsia="en-GB"/>
          <w14:ligatures w14:val="none"/>
        </w:rPr>
        <w:t xml:space="preserve"> </w:t>
      </w:r>
      <w:r w:rsidR="00BD65AB" w:rsidRPr="00905B65">
        <w:rPr>
          <w:rFonts w:ascii="Calibri" w:eastAsia="Times New Roman" w:hAnsi="Calibri" w:cs="Calibri"/>
          <w:kern w:val="0"/>
          <w:lang w:eastAsia="en-GB"/>
          <w14:ligatures w14:val="none"/>
        </w:rPr>
        <w:t>K</w:t>
      </w:r>
      <w:r w:rsidRPr="00905B65">
        <w:rPr>
          <w:rFonts w:ascii="Calibri" w:eastAsia="Times New Roman" w:hAnsi="Calibri" w:cs="Calibri"/>
          <w:kern w:val="0"/>
          <w:lang w:eastAsia="en-GB"/>
          <w14:ligatures w14:val="none"/>
        </w:rPr>
        <w:t>im faces charges of assault resulting in actual bodily harm, which is a grave offence. The Magistrates' Court and the Crown Court both have jurisdiction over this offence.</w:t>
      </w:r>
    </w:p>
    <w:p w14:paraId="0616FB54" w14:textId="3AB47373" w:rsidR="00156FD0" w:rsidRPr="00905B65" w:rsidRDefault="00795E54" w:rsidP="007912BF">
      <w:pPr>
        <w:jc w:val="center"/>
        <w:rPr>
          <w:rFonts w:ascii="Calibri" w:eastAsia="Times New Roman" w:hAnsi="Calibri" w:cs="Calibri"/>
          <w:kern w:val="0"/>
          <w:lang w:eastAsia="en-GB"/>
          <w14:ligatures w14:val="none"/>
        </w:rPr>
      </w:pPr>
      <w:r w:rsidRPr="00905B65">
        <w:rPr>
          <w:rFonts w:ascii="Calibri" w:eastAsia="Times New Roman" w:hAnsi="Calibri" w:cs="Calibri"/>
          <w:kern w:val="0"/>
          <w:lang w:eastAsia="en-GB"/>
          <w14:ligatures w14:val="none"/>
        </w:rPr>
        <w:br/>
      </w:r>
      <w:r w:rsidRPr="00905B65">
        <w:rPr>
          <w:rFonts w:ascii="Calibri" w:eastAsia="Times New Roman" w:hAnsi="Calibri" w:cs="Calibri"/>
          <w:b/>
          <w:bCs/>
          <w:kern w:val="0"/>
          <w:lang w:eastAsia="en-GB"/>
          <w14:ligatures w14:val="none"/>
        </w:rPr>
        <w:t>Level of Offence Severity</w:t>
      </w:r>
      <w:r w:rsidRPr="00905B65">
        <w:rPr>
          <w:rFonts w:ascii="Calibri" w:eastAsia="Times New Roman" w:hAnsi="Calibri" w:cs="Calibri"/>
          <w:kern w:val="0"/>
          <w:lang w:eastAsia="en-GB"/>
          <w14:ligatures w14:val="none"/>
        </w:rPr>
        <w:t>:</w:t>
      </w:r>
      <w:r w:rsidR="009060AB" w:rsidRPr="00905B65">
        <w:rPr>
          <w:rFonts w:ascii="Calibri" w:eastAsia="Times New Roman" w:hAnsi="Calibri" w:cs="Calibri"/>
          <w:kern w:val="0"/>
          <w:lang w:eastAsia="en-GB"/>
          <w14:ligatures w14:val="none"/>
        </w:rPr>
        <w:t xml:space="preserve"> O</w:t>
      </w:r>
      <w:r w:rsidRPr="00905B65">
        <w:rPr>
          <w:rFonts w:ascii="Calibri" w:eastAsia="Times New Roman" w:hAnsi="Calibri" w:cs="Calibri"/>
          <w:kern w:val="0"/>
          <w:lang w:eastAsia="en-GB"/>
          <w14:ligatures w14:val="none"/>
        </w:rPr>
        <w:t>ne of the most important factors in choosing which court to assign the case to for trial is how serious the offence is. This offence can be deemed serious enough for a Crown Court trial since it entails bodily injury to another person.</w:t>
      </w:r>
    </w:p>
    <w:p w14:paraId="4A98EF43" w14:textId="39B7AD9F" w:rsidR="00795E54" w:rsidRPr="00905B65" w:rsidRDefault="00795E54" w:rsidP="007912BF">
      <w:pPr>
        <w:jc w:val="center"/>
        <w:rPr>
          <w:rFonts w:ascii="Calibri" w:eastAsia="Times New Roman" w:hAnsi="Calibri" w:cs="Calibri"/>
          <w:kern w:val="0"/>
          <w:lang w:eastAsia="en-GB"/>
          <w14:ligatures w14:val="none"/>
        </w:rPr>
      </w:pPr>
      <w:r w:rsidRPr="00905B65">
        <w:rPr>
          <w:rFonts w:ascii="Calibri" w:eastAsia="Times New Roman" w:hAnsi="Calibri" w:cs="Calibri"/>
          <w:b/>
          <w:bCs/>
          <w:kern w:val="0"/>
          <w:lang w:eastAsia="en-GB"/>
          <w14:ligatures w14:val="none"/>
        </w:rPr>
        <w:br/>
        <w:t>Alternatives for Allocating Trials</w:t>
      </w:r>
      <w:r w:rsidRPr="00905B65">
        <w:rPr>
          <w:rFonts w:ascii="Calibri" w:eastAsia="Times New Roman" w:hAnsi="Calibri" w:cs="Calibri"/>
          <w:kern w:val="0"/>
          <w:lang w:eastAsia="en-GB"/>
          <w14:ligatures w14:val="none"/>
        </w:rPr>
        <w:t>:</w:t>
      </w:r>
      <w:r w:rsidR="00156FD0" w:rsidRPr="00905B65">
        <w:rPr>
          <w:rFonts w:ascii="Calibri" w:eastAsia="Times New Roman" w:hAnsi="Calibri" w:cs="Calibri"/>
          <w:kern w:val="0"/>
          <w:lang w:eastAsia="en-GB"/>
          <w14:ligatures w14:val="none"/>
        </w:rPr>
        <w:t xml:space="preserve"> </w:t>
      </w:r>
      <w:r w:rsidRPr="00905B65">
        <w:rPr>
          <w:rFonts w:ascii="Calibri" w:eastAsia="Times New Roman" w:hAnsi="Calibri" w:cs="Calibri"/>
          <w:kern w:val="0"/>
          <w:lang w:eastAsia="en-GB"/>
          <w14:ligatures w14:val="none"/>
        </w:rPr>
        <w:t xml:space="preserve">The trial process would usually go more quickly and the magistrates' ability to sentence would be restricted </w:t>
      </w:r>
      <w:r w:rsidR="00156FD0" w:rsidRPr="00905B65">
        <w:rPr>
          <w:rFonts w:ascii="Calibri" w:eastAsia="Times New Roman" w:hAnsi="Calibri" w:cs="Calibri"/>
          <w:kern w:val="0"/>
          <w:lang w:eastAsia="en-GB"/>
          <w14:ligatures w14:val="none"/>
        </w:rPr>
        <w:t>if Kim’s</w:t>
      </w:r>
      <w:r w:rsidRPr="00905B65">
        <w:rPr>
          <w:rFonts w:ascii="Calibri" w:eastAsia="Times New Roman" w:hAnsi="Calibri" w:cs="Calibri"/>
          <w:kern w:val="0"/>
          <w:lang w:eastAsia="en-GB"/>
          <w14:ligatures w14:val="none"/>
        </w:rPr>
        <w:t xml:space="preserve"> case was assigned to the Magistrates' Court. However, Kim would go through a more thorough trial procedure if the matter </w:t>
      </w:r>
      <w:proofErr w:type="gramStart"/>
      <w:r w:rsidRPr="00905B65">
        <w:rPr>
          <w:rFonts w:ascii="Calibri" w:eastAsia="Times New Roman" w:hAnsi="Calibri" w:cs="Calibri"/>
          <w:kern w:val="0"/>
          <w:lang w:eastAsia="en-GB"/>
          <w14:ligatures w14:val="none"/>
        </w:rPr>
        <w:t>is</w:t>
      </w:r>
      <w:proofErr w:type="gramEnd"/>
      <w:r w:rsidRPr="00905B65">
        <w:rPr>
          <w:rFonts w:ascii="Calibri" w:eastAsia="Times New Roman" w:hAnsi="Calibri" w:cs="Calibri"/>
          <w:kern w:val="0"/>
          <w:lang w:eastAsia="en-GB"/>
          <w14:ligatures w14:val="none"/>
        </w:rPr>
        <w:t xml:space="preserve"> assigned to the Crown Court.</w:t>
      </w:r>
    </w:p>
    <w:p w14:paraId="52A22B37" w14:textId="77777777" w:rsidR="00C73DD9" w:rsidRPr="00905B65" w:rsidRDefault="00C73DD9" w:rsidP="007912BF">
      <w:pPr>
        <w:jc w:val="center"/>
        <w:rPr>
          <w:rFonts w:ascii="Calibri" w:hAnsi="Calibri" w:cs="Calibri"/>
          <w:b/>
          <w:bCs/>
        </w:rPr>
      </w:pPr>
    </w:p>
    <w:p w14:paraId="29512704" w14:textId="6427E001" w:rsidR="00C14574" w:rsidRPr="00905B65" w:rsidRDefault="00C14574" w:rsidP="007912BF">
      <w:pPr>
        <w:jc w:val="center"/>
        <w:rPr>
          <w:rFonts w:ascii="Calibri" w:eastAsia="Times New Roman" w:hAnsi="Calibri" w:cs="Calibri"/>
          <w:kern w:val="0"/>
          <w:lang w:eastAsia="en-GB"/>
          <w14:ligatures w14:val="none"/>
        </w:rPr>
      </w:pPr>
      <w:r w:rsidRPr="00905B65">
        <w:rPr>
          <w:rFonts w:ascii="Calibri" w:eastAsia="Times New Roman" w:hAnsi="Calibri" w:cs="Calibri"/>
          <w:b/>
          <w:bCs/>
          <w:kern w:val="0"/>
          <w:lang w:eastAsia="en-GB"/>
          <w14:ligatures w14:val="none"/>
        </w:rPr>
        <w:t>The advantages and disadvantages</w:t>
      </w:r>
      <w:r w:rsidRPr="00905B65">
        <w:rPr>
          <w:rFonts w:ascii="Calibri" w:eastAsia="Times New Roman" w:hAnsi="Calibri" w:cs="Calibri"/>
          <w:kern w:val="0"/>
          <w:lang w:eastAsia="en-GB"/>
          <w14:ligatures w14:val="none"/>
        </w:rPr>
        <w:t xml:space="preserve"> of Trial </w:t>
      </w:r>
      <w:r w:rsidR="007C76E5" w:rsidRPr="00905B65">
        <w:rPr>
          <w:rFonts w:ascii="Calibri" w:eastAsia="Times New Roman" w:hAnsi="Calibri" w:cs="Calibri"/>
          <w:kern w:val="0"/>
          <w:lang w:eastAsia="en-GB"/>
          <w14:ligatures w14:val="none"/>
        </w:rPr>
        <w:t>Mode Magistrates</w:t>
      </w:r>
      <w:r w:rsidRPr="00905B65">
        <w:rPr>
          <w:rFonts w:ascii="Calibri" w:eastAsia="Times New Roman" w:hAnsi="Calibri" w:cs="Calibri"/>
          <w:kern w:val="0"/>
          <w:lang w:eastAsia="en-GB"/>
          <w14:ligatures w14:val="none"/>
        </w:rPr>
        <w:t>' Court: Quick resolution, but limited power for punishment.</w:t>
      </w:r>
      <w:r w:rsidRPr="00905B65">
        <w:rPr>
          <w:rFonts w:ascii="Calibri" w:eastAsia="Times New Roman" w:hAnsi="Calibri" w:cs="Calibri"/>
          <w:kern w:val="0"/>
          <w:lang w:eastAsia="en-GB"/>
          <w14:ligatures w14:val="none"/>
        </w:rPr>
        <w:br/>
        <w:t xml:space="preserve">Crown Court: Prolonged proceedings but an accurate trial process. </w:t>
      </w:r>
      <w:r w:rsidRPr="00905B65">
        <w:rPr>
          <w:rFonts w:ascii="Calibri" w:eastAsia="Times New Roman" w:hAnsi="Calibri" w:cs="Calibri"/>
          <w:kern w:val="0"/>
          <w:lang w:eastAsia="en-GB"/>
          <w14:ligatures w14:val="none"/>
        </w:rPr>
        <w:br/>
        <w:t xml:space="preserve">Plea bargaining: lower charges </w:t>
      </w:r>
      <w:r w:rsidR="007C630A" w:rsidRPr="00905B65">
        <w:rPr>
          <w:rFonts w:ascii="Calibri" w:eastAsia="Times New Roman" w:hAnsi="Calibri" w:cs="Calibri"/>
          <w:kern w:val="0"/>
          <w:lang w:eastAsia="en-GB"/>
          <w14:ligatures w14:val="none"/>
        </w:rPr>
        <w:t xml:space="preserve">are </w:t>
      </w:r>
      <w:r w:rsidRPr="00905B65">
        <w:rPr>
          <w:rFonts w:ascii="Calibri" w:eastAsia="Times New Roman" w:hAnsi="Calibri" w:cs="Calibri"/>
          <w:kern w:val="0"/>
          <w:lang w:eastAsia="en-GB"/>
          <w14:ligatures w14:val="none"/>
        </w:rPr>
        <w:t xml:space="preserve">possible, but </w:t>
      </w:r>
      <w:r w:rsidR="007C630A" w:rsidRPr="00905B65">
        <w:rPr>
          <w:rFonts w:ascii="Calibri" w:eastAsia="Times New Roman" w:hAnsi="Calibri" w:cs="Calibri"/>
          <w:kern w:val="0"/>
          <w:lang w:eastAsia="en-GB"/>
          <w14:ligatures w14:val="none"/>
        </w:rPr>
        <w:t xml:space="preserve">a </w:t>
      </w:r>
      <w:r w:rsidRPr="00905B65">
        <w:rPr>
          <w:rFonts w:ascii="Calibri" w:eastAsia="Times New Roman" w:hAnsi="Calibri" w:cs="Calibri"/>
          <w:kern w:val="0"/>
          <w:lang w:eastAsia="en-GB"/>
          <w14:ligatures w14:val="none"/>
        </w:rPr>
        <w:t>guilty plea is necessary.</w:t>
      </w:r>
    </w:p>
    <w:p w14:paraId="172121A3" w14:textId="77777777" w:rsidR="004D7C42" w:rsidRPr="00905B65" w:rsidRDefault="004D7C42" w:rsidP="007912BF">
      <w:pPr>
        <w:spacing w:line="360" w:lineRule="auto"/>
        <w:jc w:val="center"/>
        <w:rPr>
          <w:rFonts w:ascii="Calibri" w:hAnsi="Calibri" w:cs="Calibri"/>
          <w:b/>
          <w:bCs/>
        </w:rPr>
      </w:pPr>
    </w:p>
    <w:p w14:paraId="18EE53E5" w14:textId="359102B1" w:rsidR="00740139" w:rsidRPr="00905B65" w:rsidRDefault="00740139" w:rsidP="007912BF">
      <w:pPr>
        <w:spacing w:line="360" w:lineRule="auto"/>
        <w:jc w:val="center"/>
        <w:rPr>
          <w:rFonts w:ascii="Calibri" w:hAnsi="Calibri" w:cs="Calibri"/>
          <w:b/>
          <w:bCs/>
        </w:rPr>
      </w:pPr>
      <w:r w:rsidRPr="00905B65">
        <w:rPr>
          <w:rFonts w:ascii="Calibri" w:hAnsi="Calibri" w:cs="Calibri"/>
          <w:b/>
          <w:bCs/>
        </w:rPr>
        <w:t xml:space="preserve">Entitlement to Legal Aid: </w:t>
      </w:r>
      <w:r w:rsidRPr="00905B65">
        <w:rPr>
          <w:rFonts w:ascii="Calibri" w:hAnsi="Calibri" w:cs="Calibri"/>
        </w:rPr>
        <w:t>Kim's eligibility for legal aid is governed by the Legal Aid, Sentencing and Punishment of Offenders Act 2012. Section 12 of the Act outlines criteria for means and merits testing, ensuring access to legal representation for those unable to afford it (Legal Aid, Sentencing and Punishment of Offenders Act 2012, s.12).</w:t>
      </w:r>
    </w:p>
    <w:p w14:paraId="41C153AA" w14:textId="3FA21504" w:rsidR="00F17AEA" w:rsidRPr="00905B65" w:rsidRDefault="00740139" w:rsidP="007912BF">
      <w:pPr>
        <w:spacing w:line="360" w:lineRule="auto"/>
        <w:jc w:val="center"/>
        <w:rPr>
          <w:rFonts w:ascii="Calibri" w:hAnsi="Calibri" w:cs="Calibri"/>
          <w:b/>
          <w:bCs/>
        </w:rPr>
      </w:pPr>
      <w:r w:rsidRPr="00905B65">
        <w:rPr>
          <w:rFonts w:ascii="Calibri" w:hAnsi="Calibri" w:cs="Calibri"/>
          <w:b/>
          <w:bCs/>
        </w:rPr>
        <w:t xml:space="preserve">Relevance of Complaints: </w:t>
      </w:r>
      <w:r w:rsidRPr="00905B65">
        <w:rPr>
          <w:rFonts w:ascii="Calibri" w:hAnsi="Calibri" w:cs="Calibri"/>
        </w:rPr>
        <w:t>Kim's complaints regarding forced fingerprinting and unawareness of her right to legal representation raise concerns regarding police procedures and human rights violations. Section 6 of the Human Rights Act 1998 guarantees the right to a fair trial, including access to legal representation and protection from arbitrary interference (Human Rights Act 1998, s.6). These complaints necessitate careful consideration and may have implications for the overall fairness of the legal proceedings.</w:t>
      </w:r>
    </w:p>
    <w:p w14:paraId="411DAB13" w14:textId="47C3E8A8" w:rsidR="00F17AEA" w:rsidRPr="00905B65" w:rsidRDefault="006B616F" w:rsidP="007912BF">
      <w:pPr>
        <w:spacing w:line="360" w:lineRule="auto"/>
        <w:jc w:val="center"/>
        <w:rPr>
          <w:rFonts w:ascii="Calibri" w:hAnsi="Calibri" w:cs="Calibri"/>
        </w:rPr>
      </w:pPr>
      <w:r w:rsidRPr="00905B65">
        <w:rPr>
          <w:rFonts w:ascii="Calibri" w:hAnsi="Calibri" w:cs="Calibri"/>
          <w:b/>
          <w:bCs/>
        </w:rPr>
        <w:t>Evaluation and Conclusion</w:t>
      </w:r>
    </w:p>
    <w:p w14:paraId="74214FC2" w14:textId="3E91AE17" w:rsidR="00974472" w:rsidRPr="00905B65" w:rsidRDefault="006B616F" w:rsidP="007912BF">
      <w:pPr>
        <w:spacing w:line="360" w:lineRule="auto"/>
        <w:jc w:val="center"/>
        <w:rPr>
          <w:rFonts w:ascii="Calibri" w:hAnsi="Calibri" w:cs="Calibri"/>
        </w:rPr>
      </w:pPr>
      <w:r w:rsidRPr="00905B65">
        <w:rPr>
          <w:rFonts w:ascii="Calibri" w:hAnsi="Calibri" w:cs="Calibri"/>
        </w:rPr>
        <w:t xml:space="preserve">Upon evaluating Kim's case, it becomes apparent that she confronts grave charges with potential legal ramifications. The substantive law governing assault </w:t>
      </w:r>
      <w:r w:rsidR="00EA1963" w:rsidRPr="00905B65">
        <w:rPr>
          <w:rFonts w:ascii="Calibri" w:hAnsi="Calibri" w:cs="Calibri"/>
        </w:rPr>
        <w:t>offences</w:t>
      </w:r>
      <w:r w:rsidRPr="00905B65">
        <w:rPr>
          <w:rFonts w:ascii="Calibri" w:hAnsi="Calibri" w:cs="Calibri"/>
        </w:rPr>
        <w:t xml:space="preserve"> and the procedural options at her disposal are intricate and necessitate careful deliberation. </w:t>
      </w:r>
      <w:r w:rsidR="00D44209" w:rsidRPr="00905B65">
        <w:rPr>
          <w:rFonts w:ascii="Calibri" w:hAnsi="Calibri" w:cs="Calibri"/>
        </w:rPr>
        <w:t>We</w:t>
      </w:r>
      <w:r w:rsidRPr="00905B65">
        <w:rPr>
          <w:rFonts w:ascii="Calibri" w:hAnsi="Calibri" w:cs="Calibri"/>
        </w:rPr>
        <w:t xml:space="preserve"> </w:t>
      </w:r>
      <w:r w:rsidRPr="00905B65">
        <w:rPr>
          <w:rFonts w:ascii="Calibri" w:hAnsi="Calibri" w:cs="Calibri"/>
        </w:rPr>
        <w:lastRenderedPageBreak/>
        <w:t>must weigh the pros and cons of each trial mode, considering the specific circumstances of her case. Additionally, her entitlement to legal aid ensures access to legal representation despite her financial constraints. Kim's complaints about police procedures underscore the imperative of ensuring fair treatment throughout the legal process.</w:t>
      </w:r>
    </w:p>
    <w:p w14:paraId="6B0EDE90" w14:textId="2C4B697B" w:rsidR="00974472" w:rsidRPr="00905B65" w:rsidRDefault="00974472" w:rsidP="007912BF">
      <w:pPr>
        <w:spacing w:line="360" w:lineRule="auto"/>
        <w:jc w:val="center"/>
        <w:rPr>
          <w:rFonts w:ascii="Calibri" w:hAnsi="Calibri" w:cs="Calibri"/>
        </w:rPr>
      </w:pPr>
      <w:r w:rsidRPr="00905B65">
        <w:rPr>
          <w:rFonts w:ascii="Calibri" w:hAnsi="Calibri" w:cs="Calibri"/>
        </w:rPr>
        <w:t xml:space="preserve">A thorough examination of the procedural options available to Kim reveals a complex landscape governed by statutes such as the Police and Criminal Evidence Act 1984 (PACE) and the Criminal Justice and Public Order Act 1994. Each trial mode presents distinct advantages and disadvantages, necessitating careful consideration </w:t>
      </w:r>
      <w:proofErr w:type="gramStart"/>
      <w:r w:rsidRPr="00905B65">
        <w:rPr>
          <w:rFonts w:ascii="Calibri" w:hAnsi="Calibri" w:cs="Calibri"/>
        </w:rPr>
        <w:t>in light of</w:t>
      </w:r>
      <w:proofErr w:type="gramEnd"/>
      <w:r w:rsidRPr="00905B65">
        <w:rPr>
          <w:rFonts w:ascii="Calibri" w:hAnsi="Calibri" w:cs="Calibri"/>
        </w:rPr>
        <w:t xml:space="preserve"> the specific circumstances of Kim's case. References to relevant case law, such as R v. Jones [2010] EWCA Crim 90, offer insights into the practical implications of various trial modes and their potential impact on the outcome of her case.</w:t>
      </w:r>
    </w:p>
    <w:p w14:paraId="64C0FDD4" w14:textId="12652695" w:rsidR="00786EE1" w:rsidRPr="00905B65" w:rsidRDefault="00124BD1" w:rsidP="007912BF">
      <w:pPr>
        <w:jc w:val="center"/>
        <w:rPr>
          <w:rFonts w:ascii="Calibri" w:hAnsi="Calibri" w:cs="Calibri"/>
        </w:rPr>
      </w:pPr>
      <w:r w:rsidRPr="00905B65">
        <w:rPr>
          <w:rFonts w:ascii="Calibri" w:hAnsi="Calibri" w:cs="Calibri"/>
        </w:rPr>
        <w:t>Furthermore</w:t>
      </w:r>
      <w:r w:rsidR="00974472" w:rsidRPr="00905B65">
        <w:rPr>
          <w:rFonts w:ascii="Calibri" w:hAnsi="Calibri" w:cs="Calibri"/>
        </w:rPr>
        <w:t xml:space="preserve">, Kim's entitlement to legal aid, as stipulated in the Legal Aid, Sentencing and Punishment of Offenders Act 2012, underscores the importance of ensuring access to justice regardless of financial circumstances. By availing herself of legal representation, Kim can navigate the complexities of the legal system with guidance and support, </w:t>
      </w:r>
      <w:r w:rsidR="007C630A" w:rsidRPr="00905B65">
        <w:rPr>
          <w:rFonts w:ascii="Calibri" w:hAnsi="Calibri" w:cs="Calibri"/>
        </w:rPr>
        <w:t>thereby</w:t>
      </w:r>
      <w:r w:rsidR="00974472" w:rsidRPr="00905B65">
        <w:rPr>
          <w:rFonts w:ascii="Calibri" w:hAnsi="Calibri" w:cs="Calibri"/>
        </w:rPr>
        <w:t xml:space="preserve"> safeguarding her legal rights effectively.</w:t>
      </w:r>
    </w:p>
    <w:p w14:paraId="19CE1722" w14:textId="76AEF171" w:rsidR="00624A2D" w:rsidRPr="00905B65" w:rsidRDefault="00CD4227" w:rsidP="007912BF">
      <w:pPr>
        <w:jc w:val="center"/>
        <w:rPr>
          <w:rFonts w:ascii="Calibri" w:eastAsia="Times New Roman" w:hAnsi="Calibri" w:cs="Calibri"/>
          <w:kern w:val="0"/>
          <w:lang w:eastAsia="en-GB"/>
          <w14:ligatures w14:val="none"/>
        </w:rPr>
      </w:pPr>
      <w:r w:rsidRPr="00905B65">
        <w:rPr>
          <w:rFonts w:ascii="Calibri" w:eastAsia="Times New Roman" w:hAnsi="Calibri" w:cs="Calibri"/>
          <w:b/>
          <w:bCs/>
          <w:kern w:val="0"/>
          <w:lang w:eastAsia="en-GB"/>
          <w14:ligatures w14:val="none"/>
        </w:rPr>
        <w:t>Eligibility for Financing</w:t>
      </w:r>
      <w:r w:rsidRPr="00905B65">
        <w:rPr>
          <w:rFonts w:ascii="Calibri" w:eastAsia="Times New Roman" w:hAnsi="Calibri" w:cs="Calibri"/>
          <w:kern w:val="0"/>
          <w:lang w:eastAsia="en-GB"/>
          <w14:ligatures w14:val="none"/>
        </w:rPr>
        <w:t>:</w:t>
      </w:r>
      <w:r w:rsidR="00786EE1" w:rsidRPr="00905B65">
        <w:rPr>
          <w:rFonts w:ascii="Calibri" w:eastAsia="Times New Roman" w:hAnsi="Calibri" w:cs="Calibri"/>
          <w:kern w:val="0"/>
          <w:lang w:eastAsia="en-GB"/>
          <w14:ligatures w14:val="none"/>
        </w:rPr>
        <w:t xml:space="preserve"> </w:t>
      </w:r>
      <w:r w:rsidRPr="00905B65">
        <w:rPr>
          <w:rFonts w:ascii="Calibri" w:eastAsia="Times New Roman" w:hAnsi="Calibri" w:cs="Calibri"/>
          <w:kern w:val="0"/>
          <w:lang w:eastAsia="en-GB"/>
          <w14:ligatures w14:val="none"/>
        </w:rPr>
        <w:t xml:space="preserve">Legal assistance is based on a person's financial situation and is means-tested. Kim might qualify for legal help financially based on her recent layoff, her current jobless status, and the fact that she is receiving benefits. Her </w:t>
      </w:r>
      <w:r w:rsidR="00786EE1" w:rsidRPr="00905B65">
        <w:rPr>
          <w:rFonts w:ascii="Calibri" w:eastAsia="Times New Roman" w:hAnsi="Calibri" w:cs="Calibri"/>
          <w:kern w:val="0"/>
          <w:lang w:eastAsia="en-GB"/>
          <w14:ligatures w14:val="none"/>
        </w:rPr>
        <w:t>enrolment</w:t>
      </w:r>
      <w:r w:rsidRPr="00905B65">
        <w:rPr>
          <w:rFonts w:ascii="Calibri" w:eastAsia="Times New Roman" w:hAnsi="Calibri" w:cs="Calibri"/>
          <w:kern w:val="0"/>
          <w:lang w:eastAsia="en-GB"/>
          <w14:ligatures w14:val="none"/>
        </w:rPr>
        <w:t xml:space="preserve"> in a training programme and hope for future work could also be </w:t>
      </w:r>
      <w:r w:rsidR="004C6549" w:rsidRPr="00905B65">
        <w:rPr>
          <w:rFonts w:ascii="Calibri" w:eastAsia="Times New Roman" w:hAnsi="Calibri" w:cs="Calibri"/>
          <w:kern w:val="0"/>
          <w:lang w:eastAsia="en-GB"/>
          <w14:ligatures w14:val="none"/>
        </w:rPr>
        <w:t>considered</w:t>
      </w:r>
      <w:r w:rsidRPr="00905B65">
        <w:rPr>
          <w:rFonts w:ascii="Calibri" w:eastAsia="Times New Roman" w:hAnsi="Calibri" w:cs="Calibri"/>
          <w:kern w:val="0"/>
          <w:lang w:eastAsia="en-GB"/>
          <w14:ligatures w14:val="none"/>
        </w:rPr>
        <w:t>.</w:t>
      </w:r>
      <w:r w:rsidRPr="00905B65">
        <w:rPr>
          <w:rFonts w:ascii="Calibri" w:eastAsia="Times New Roman" w:hAnsi="Calibri" w:cs="Calibri"/>
          <w:kern w:val="0"/>
          <w:lang w:eastAsia="en-GB"/>
          <w14:ligatures w14:val="none"/>
        </w:rPr>
        <w:br/>
      </w:r>
    </w:p>
    <w:p w14:paraId="0B9AC2C7" w14:textId="6B7252E1" w:rsidR="00653E55" w:rsidRPr="00905B65" w:rsidRDefault="00CD4227" w:rsidP="007912BF">
      <w:pPr>
        <w:jc w:val="center"/>
        <w:rPr>
          <w:rFonts w:ascii="Calibri" w:eastAsia="Times New Roman" w:hAnsi="Calibri" w:cs="Calibri"/>
          <w:kern w:val="0"/>
          <w:lang w:eastAsia="en-GB"/>
          <w14:ligatures w14:val="none"/>
        </w:rPr>
      </w:pPr>
      <w:r w:rsidRPr="00905B65">
        <w:rPr>
          <w:rFonts w:ascii="Calibri" w:eastAsia="Times New Roman" w:hAnsi="Calibri" w:cs="Calibri"/>
          <w:b/>
          <w:bCs/>
          <w:kern w:val="0"/>
          <w:lang w:eastAsia="en-GB"/>
          <w14:ligatures w14:val="none"/>
        </w:rPr>
        <w:t>The gravity of the offence</w:t>
      </w:r>
      <w:r w:rsidRPr="00905B65">
        <w:rPr>
          <w:rFonts w:ascii="Calibri" w:eastAsia="Times New Roman" w:hAnsi="Calibri" w:cs="Calibri"/>
          <w:kern w:val="0"/>
          <w:lang w:eastAsia="en-GB"/>
          <w14:ligatures w14:val="none"/>
        </w:rPr>
        <w:t>:</w:t>
      </w:r>
      <w:r w:rsidR="00624A2D" w:rsidRPr="00905B65">
        <w:rPr>
          <w:rFonts w:ascii="Calibri" w:eastAsia="Times New Roman" w:hAnsi="Calibri" w:cs="Calibri"/>
          <w:kern w:val="0"/>
          <w:lang w:eastAsia="en-GB"/>
          <w14:ligatures w14:val="none"/>
        </w:rPr>
        <w:t xml:space="preserve"> </w:t>
      </w:r>
      <w:r w:rsidRPr="00905B65">
        <w:rPr>
          <w:rFonts w:ascii="Calibri" w:eastAsia="Times New Roman" w:hAnsi="Calibri" w:cs="Calibri"/>
          <w:kern w:val="0"/>
          <w:lang w:eastAsia="en-GB"/>
          <w14:ligatures w14:val="none"/>
        </w:rPr>
        <w:t>The degree of the offence also plays a role in deciding who is eligible for legal aid. Attacks that result in genuine bodily harm are regarded as serious crimes, and those accused of them are more likely to be eligible for legal aid.</w:t>
      </w:r>
    </w:p>
    <w:p w14:paraId="37B1121F" w14:textId="731E81BD" w:rsidR="00EE33BD" w:rsidRPr="00905B65" w:rsidRDefault="00EE33BD" w:rsidP="007912BF">
      <w:pPr>
        <w:spacing w:after="0" w:line="240" w:lineRule="auto"/>
        <w:jc w:val="center"/>
        <w:rPr>
          <w:rFonts w:ascii="Calibri" w:eastAsia="Times New Roman" w:hAnsi="Calibri" w:cs="Calibri"/>
          <w:kern w:val="0"/>
          <w:lang w:eastAsia="en-GB"/>
          <w14:ligatures w14:val="none"/>
        </w:rPr>
      </w:pPr>
      <w:r w:rsidRPr="00905B65">
        <w:rPr>
          <w:rFonts w:ascii="Calibri" w:eastAsia="Times New Roman" w:hAnsi="Calibri" w:cs="Calibri"/>
          <w:kern w:val="0"/>
          <w:lang w:eastAsia="en-GB"/>
          <w14:ligatures w14:val="none"/>
        </w:rPr>
        <w:t xml:space="preserve">The Police and Criminal Evidence Act </w:t>
      </w:r>
      <w:r w:rsidR="0099299D" w:rsidRPr="00905B65">
        <w:rPr>
          <w:rFonts w:ascii="Calibri" w:eastAsia="Times New Roman" w:hAnsi="Calibri" w:cs="Calibri"/>
          <w:kern w:val="0"/>
          <w:lang w:eastAsia="en-GB"/>
          <w14:ligatures w14:val="none"/>
        </w:rPr>
        <w:t>1984 gives</w:t>
      </w:r>
      <w:r w:rsidRPr="00905B65">
        <w:rPr>
          <w:rFonts w:ascii="Calibri" w:eastAsia="Times New Roman" w:hAnsi="Calibri" w:cs="Calibri"/>
          <w:kern w:val="0"/>
          <w:lang w:eastAsia="en-GB"/>
          <w14:ligatures w14:val="none"/>
        </w:rPr>
        <w:t xml:space="preserve"> the police the right to collect fingerprints from people in specific situations. To preserve individual rights, this authority is nevertheless subject to </w:t>
      </w:r>
      <w:r w:rsidR="0099299D" w:rsidRPr="00905B65">
        <w:rPr>
          <w:rFonts w:ascii="Calibri" w:eastAsia="Times New Roman" w:hAnsi="Calibri" w:cs="Calibri"/>
          <w:kern w:val="0"/>
          <w:lang w:eastAsia="en-GB"/>
          <w14:ligatures w14:val="none"/>
        </w:rPr>
        <w:t>several</w:t>
      </w:r>
      <w:r w:rsidRPr="00905B65">
        <w:rPr>
          <w:rFonts w:ascii="Calibri" w:eastAsia="Times New Roman" w:hAnsi="Calibri" w:cs="Calibri"/>
          <w:kern w:val="0"/>
          <w:lang w:eastAsia="en-GB"/>
          <w14:ligatures w14:val="none"/>
        </w:rPr>
        <w:t xml:space="preserve"> protections. If the person is being held in custody properly and the fingerprints are being taken by the right person, Section </w:t>
      </w:r>
      <w:r w:rsidR="0099299D" w:rsidRPr="00905B65">
        <w:rPr>
          <w:rFonts w:ascii="Calibri" w:eastAsia="Times New Roman" w:hAnsi="Calibri" w:cs="Calibri"/>
          <w:kern w:val="0"/>
          <w:lang w:eastAsia="en-GB"/>
          <w14:ligatures w14:val="none"/>
        </w:rPr>
        <w:t>61 permits</w:t>
      </w:r>
      <w:r w:rsidRPr="00905B65">
        <w:rPr>
          <w:rFonts w:ascii="Calibri" w:eastAsia="Times New Roman" w:hAnsi="Calibri" w:cs="Calibri"/>
          <w:kern w:val="0"/>
          <w:lang w:eastAsia="en-GB"/>
          <w14:ligatures w14:val="none"/>
        </w:rPr>
        <w:t xml:space="preserve"> the police to obtain fingerprints without the subject's agreement. Furthermore, the police may, if required, obtain fingerprints with reasonable force.</w:t>
      </w:r>
    </w:p>
    <w:p w14:paraId="4604C299" w14:textId="77777777" w:rsidR="00C96C29" w:rsidRPr="00905B65" w:rsidRDefault="00C96C29" w:rsidP="007912BF">
      <w:pPr>
        <w:pBdr>
          <w:bottom w:val="single" w:sz="6" w:space="1" w:color="auto"/>
        </w:pBdr>
        <w:spacing w:after="0" w:line="240" w:lineRule="auto"/>
        <w:jc w:val="center"/>
        <w:rPr>
          <w:rFonts w:ascii="Calibri" w:eastAsia="Times New Roman" w:hAnsi="Calibri" w:cs="Calibri"/>
          <w:vanish/>
          <w:kern w:val="0"/>
          <w:lang w:eastAsia="en-GB"/>
          <w14:ligatures w14:val="none"/>
        </w:rPr>
      </w:pPr>
      <w:r w:rsidRPr="00905B65">
        <w:rPr>
          <w:rFonts w:ascii="Calibri" w:eastAsia="Times New Roman" w:hAnsi="Calibri" w:cs="Calibri"/>
          <w:vanish/>
          <w:kern w:val="0"/>
          <w:lang w:eastAsia="en-GB"/>
          <w14:ligatures w14:val="none"/>
        </w:rPr>
        <w:t>Top of Form</w:t>
      </w:r>
    </w:p>
    <w:p w14:paraId="42A81239" w14:textId="56E22D4D" w:rsidR="00974472" w:rsidRPr="00905B65" w:rsidRDefault="00974472" w:rsidP="007912BF">
      <w:pPr>
        <w:spacing w:line="360" w:lineRule="auto"/>
        <w:jc w:val="center"/>
        <w:rPr>
          <w:rFonts w:ascii="Calibri" w:hAnsi="Calibri" w:cs="Calibri"/>
        </w:rPr>
      </w:pPr>
    </w:p>
    <w:p w14:paraId="037B24D2" w14:textId="2BA39E75" w:rsidR="003B4FFB" w:rsidRPr="003B4FFB" w:rsidRDefault="003B4FFB" w:rsidP="007912BF">
      <w:pPr>
        <w:spacing w:after="0" w:line="240" w:lineRule="auto"/>
        <w:jc w:val="center"/>
        <w:rPr>
          <w:rFonts w:ascii="Calibri" w:eastAsia="Times New Roman" w:hAnsi="Calibri" w:cs="Calibri"/>
          <w:kern w:val="0"/>
          <w:lang w:eastAsia="en-GB"/>
          <w14:ligatures w14:val="none"/>
        </w:rPr>
      </w:pPr>
      <w:r w:rsidRPr="003B4FFB">
        <w:rPr>
          <w:rFonts w:ascii="Calibri" w:eastAsia="Times New Roman" w:hAnsi="Calibri" w:cs="Calibri"/>
          <w:kern w:val="0"/>
          <w:lang w:eastAsia="en-GB"/>
          <w14:ligatures w14:val="none"/>
        </w:rPr>
        <w:t xml:space="preserve">Kim's case serves as a reminder of the complex interactions that exist between substantive law, procedural issues, and essential justice values. Therefore, we can give Kim knowledgeable advice and support while she negotiates the complexities of the legal system by </w:t>
      </w:r>
      <w:r w:rsidR="00B30379" w:rsidRPr="00905B65">
        <w:rPr>
          <w:rFonts w:ascii="Calibri" w:eastAsia="Times New Roman" w:hAnsi="Calibri" w:cs="Calibri"/>
          <w:kern w:val="0"/>
          <w:lang w:eastAsia="en-GB"/>
          <w14:ligatures w14:val="none"/>
        </w:rPr>
        <w:t>considering</w:t>
      </w:r>
      <w:r w:rsidRPr="003B4FFB">
        <w:rPr>
          <w:rFonts w:ascii="Calibri" w:eastAsia="Times New Roman" w:hAnsi="Calibri" w:cs="Calibri"/>
          <w:kern w:val="0"/>
          <w:lang w:eastAsia="en-GB"/>
          <w14:ligatures w14:val="none"/>
        </w:rPr>
        <w:t xml:space="preserve"> pertinent legal authorities. We want to protect her rights and provide a fair result, so we'll make sure that procedural justice is followed and that her right to legal aid is </w:t>
      </w:r>
      <w:r w:rsidRPr="003B4FFB">
        <w:rPr>
          <w:rFonts w:ascii="Calibri" w:eastAsia="Times New Roman" w:hAnsi="Calibri" w:cs="Calibri"/>
          <w:kern w:val="0"/>
          <w:lang w:eastAsia="en-GB"/>
          <w14:ligatures w14:val="none"/>
        </w:rPr>
        <w:lastRenderedPageBreak/>
        <w:t xml:space="preserve">maintained. In addition, it is important to carefully consider the circumstances surrounding Kim's prior convictions, the seriousness of the crime, and the possibility that she may appear in court for further hearings before deciding </w:t>
      </w:r>
      <w:r w:rsidR="000953D1" w:rsidRPr="00905B65">
        <w:rPr>
          <w:rFonts w:ascii="Calibri" w:eastAsia="Times New Roman" w:hAnsi="Calibri" w:cs="Calibri"/>
          <w:kern w:val="0"/>
          <w:lang w:eastAsia="en-GB"/>
          <w14:ligatures w14:val="none"/>
        </w:rPr>
        <w:t>whether</w:t>
      </w:r>
      <w:r w:rsidRPr="003B4FFB">
        <w:rPr>
          <w:rFonts w:ascii="Calibri" w:eastAsia="Times New Roman" w:hAnsi="Calibri" w:cs="Calibri"/>
          <w:kern w:val="0"/>
          <w:lang w:eastAsia="en-GB"/>
          <w14:ligatures w14:val="none"/>
        </w:rPr>
        <w:t xml:space="preserve"> to grant her bail. This decision will be extremely important in determining how her case develops and guaranteeing that her rights are </w:t>
      </w:r>
      <w:r w:rsidR="00DA3AE5" w:rsidRPr="00905B65">
        <w:rPr>
          <w:rFonts w:ascii="Calibri" w:eastAsia="Times New Roman" w:hAnsi="Calibri" w:cs="Calibri"/>
          <w:kern w:val="0"/>
          <w:lang w:eastAsia="en-GB"/>
          <w14:ligatures w14:val="none"/>
        </w:rPr>
        <w:t>always upheld</w:t>
      </w:r>
      <w:r w:rsidRPr="003B4FFB">
        <w:rPr>
          <w:rFonts w:ascii="Calibri" w:eastAsia="Times New Roman" w:hAnsi="Calibri" w:cs="Calibri"/>
          <w:kern w:val="0"/>
          <w:lang w:eastAsia="en-GB"/>
          <w14:ligatures w14:val="none"/>
        </w:rPr>
        <w:t>.</w:t>
      </w:r>
    </w:p>
    <w:p w14:paraId="09C03410" w14:textId="77777777" w:rsidR="000539EF" w:rsidRDefault="00974472" w:rsidP="007912BF">
      <w:pPr>
        <w:jc w:val="center"/>
        <w:rPr>
          <w:rFonts w:ascii="Calibri" w:eastAsia="Times New Roman" w:hAnsi="Calibri" w:cs="Calibri"/>
          <w:kern w:val="0"/>
          <w:lang w:eastAsia="en-GB"/>
          <w14:ligatures w14:val="none"/>
        </w:rPr>
      </w:pPr>
      <w:r w:rsidRPr="00905B65">
        <w:rPr>
          <w:rFonts w:ascii="Calibri" w:hAnsi="Calibri" w:cs="Calibri"/>
        </w:rPr>
        <w:t xml:space="preserve">we can strive to achieve a just outcome that respects Kim's rights and safeguards the integrity of the legal </w:t>
      </w:r>
      <w:r w:rsidR="0029098C" w:rsidRPr="00905B65">
        <w:rPr>
          <w:rFonts w:ascii="Calibri" w:hAnsi="Calibri" w:cs="Calibri"/>
        </w:rPr>
        <w:t xml:space="preserve">system. </w:t>
      </w:r>
      <w:r w:rsidR="00786080" w:rsidRPr="00905B65">
        <w:rPr>
          <w:rFonts w:ascii="Calibri" w:hAnsi="Calibri" w:cs="Calibri"/>
        </w:rPr>
        <w:t xml:space="preserve">It </w:t>
      </w:r>
      <w:r w:rsidR="00786080" w:rsidRPr="00905B65">
        <w:rPr>
          <w:rFonts w:ascii="Calibri" w:eastAsia="Times New Roman" w:hAnsi="Calibri" w:cs="Calibri"/>
          <w:kern w:val="0"/>
          <w:lang w:eastAsia="en-GB"/>
          <w14:ligatures w14:val="none"/>
        </w:rPr>
        <w:t>provides</w:t>
      </w:r>
      <w:r w:rsidR="00F26E3A" w:rsidRPr="00905B65">
        <w:rPr>
          <w:rFonts w:ascii="Calibri" w:eastAsia="Times New Roman" w:hAnsi="Calibri" w:cs="Calibri"/>
          <w:kern w:val="0"/>
          <w:lang w:eastAsia="en-GB"/>
          <w14:ligatures w14:val="none"/>
        </w:rPr>
        <w:t xml:space="preserve"> Ada with a briefing on the subjects she wants you to examine in relation to Kim's case. It implies that you may give Kim knowledgeable counsel and support as she deals with the legal system by carefully weighing pertinent legal authorities.</w:t>
      </w:r>
      <w:r w:rsidR="00F26E3A" w:rsidRPr="00905B65">
        <w:rPr>
          <w:rFonts w:ascii="Calibri" w:eastAsia="Times New Roman" w:hAnsi="Calibri" w:cs="Calibri"/>
          <w:kern w:val="0"/>
          <w:lang w:eastAsia="en-GB"/>
          <w14:ligatures w14:val="none"/>
        </w:rPr>
        <w:br/>
      </w:r>
    </w:p>
    <w:p w14:paraId="07F5AD4A" w14:textId="77777777" w:rsidR="000539EF" w:rsidRDefault="000539EF" w:rsidP="007912BF">
      <w:pPr>
        <w:jc w:val="center"/>
        <w:rPr>
          <w:rFonts w:ascii="Calibri" w:eastAsia="Times New Roman" w:hAnsi="Calibri" w:cs="Calibri"/>
          <w:kern w:val="0"/>
          <w:lang w:eastAsia="en-GB"/>
          <w14:ligatures w14:val="none"/>
        </w:rPr>
      </w:pPr>
    </w:p>
    <w:p w14:paraId="30E554BD" w14:textId="77777777" w:rsidR="000539EF" w:rsidRDefault="000539EF" w:rsidP="007912BF">
      <w:pPr>
        <w:jc w:val="center"/>
        <w:rPr>
          <w:rFonts w:ascii="Calibri" w:eastAsia="Times New Roman" w:hAnsi="Calibri" w:cs="Calibri"/>
          <w:kern w:val="0"/>
          <w:lang w:eastAsia="en-GB"/>
          <w14:ligatures w14:val="none"/>
        </w:rPr>
      </w:pPr>
    </w:p>
    <w:p w14:paraId="726B4A4B" w14:textId="77777777" w:rsidR="000539EF" w:rsidRDefault="000539EF" w:rsidP="007912BF">
      <w:pPr>
        <w:jc w:val="center"/>
        <w:rPr>
          <w:rFonts w:ascii="Calibri" w:eastAsia="Times New Roman" w:hAnsi="Calibri" w:cs="Calibri"/>
          <w:kern w:val="0"/>
          <w:lang w:eastAsia="en-GB"/>
          <w14:ligatures w14:val="none"/>
        </w:rPr>
      </w:pPr>
    </w:p>
    <w:p w14:paraId="2BF563BA" w14:textId="326304BA" w:rsidR="00F17AEA" w:rsidRDefault="00F26E3A" w:rsidP="007912BF">
      <w:pPr>
        <w:jc w:val="center"/>
        <w:rPr>
          <w:rFonts w:ascii="Calibri" w:hAnsi="Calibri" w:cs="Calibri"/>
        </w:rPr>
      </w:pPr>
      <w:r w:rsidRPr="00905B65">
        <w:rPr>
          <w:rFonts w:ascii="Calibri" w:eastAsia="Times New Roman" w:hAnsi="Calibri" w:cs="Calibri"/>
          <w:kern w:val="0"/>
          <w:lang w:eastAsia="en-GB"/>
          <w14:ligatures w14:val="none"/>
        </w:rPr>
        <w:br/>
      </w:r>
      <w:r w:rsidR="003E4693">
        <w:rPr>
          <w:rFonts w:ascii="Calibri" w:hAnsi="Calibri" w:cs="Calibri"/>
        </w:rPr>
        <w:t>Your</w:t>
      </w:r>
      <w:r w:rsidR="00940770">
        <w:rPr>
          <w:rFonts w:ascii="Calibri" w:hAnsi="Calibri" w:cs="Calibri"/>
        </w:rPr>
        <w:t>s</w:t>
      </w:r>
      <w:r w:rsidR="003E4693">
        <w:rPr>
          <w:rFonts w:ascii="Calibri" w:hAnsi="Calibri" w:cs="Calibri"/>
        </w:rPr>
        <w:t xml:space="preserve"> </w:t>
      </w:r>
      <w:r w:rsidR="000539EF">
        <w:rPr>
          <w:rFonts w:ascii="Calibri" w:hAnsi="Calibri" w:cs="Calibri"/>
        </w:rPr>
        <w:t>Sincerely</w:t>
      </w:r>
      <w:r w:rsidR="002D04FC">
        <w:rPr>
          <w:rFonts w:ascii="Calibri" w:hAnsi="Calibri" w:cs="Calibri"/>
        </w:rPr>
        <w:t>.</w:t>
      </w:r>
      <w:r w:rsidR="000539EF">
        <w:rPr>
          <w:rFonts w:ascii="Calibri" w:hAnsi="Calibri" w:cs="Calibri"/>
        </w:rPr>
        <w:t>Salimata</w:t>
      </w:r>
      <w:r w:rsidR="00127E10">
        <w:rPr>
          <w:rFonts w:ascii="Calibri" w:hAnsi="Calibri" w:cs="Calibri"/>
        </w:rPr>
        <w:t xml:space="preserve"> traore</w:t>
      </w:r>
    </w:p>
    <w:p w14:paraId="09FB157A" w14:textId="77777777" w:rsidR="00127E10" w:rsidRPr="00905B65" w:rsidRDefault="00127E10" w:rsidP="00127E10">
      <w:pPr>
        <w:rPr>
          <w:rFonts w:ascii="Calibri" w:hAnsi="Calibri" w:cs="Calibri"/>
        </w:rPr>
      </w:pPr>
    </w:p>
    <w:p w14:paraId="0AE98E51" w14:textId="77777777" w:rsidR="00F17AEA" w:rsidRPr="00905B65" w:rsidRDefault="00F17AEA" w:rsidP="007912BF">
      <w:pPr>
        <w:spacing w:line="360" w:lineRule="auto"/>
        <w:jc w:val="center"/>
        <w:rPr>
          <w:rFonts w:ascii="Calibri" w:hAnsi="Calibri" w:cs="Calibri"/>
        </w:rPr>
      </w:pPr>
    </w:p>
    <w:p w14:paraId="15C2197D" w14:textId="77777777" w:rsidR="00F17AEA" w:rsidRPr="00905B65" w:rsidRDefault="00F17AEA" w:rsidP="007912BF">
      <w:pPr>
        <w:spacing w:line="360" w:lineRule="auto"/>
        <w:jc w:val="center"/>
        <w:rPr>
          <w:rFonts w:ascii="Calibri" w:hAnsi="Calibri" w:cs="Calibri"/>
        </w:rPr>
      </w:pPr>
    </w:p>
    <w:p w14:paraId="1DEAB78B" w14:textId="77777777" w:rsidR="00DF74C7" w:rsidRPr="00905B65" w:rsidRDefault="00DF74C7" w:rsidP="007912BF">
      <w:pPr>
        <w:spacing w:line="360" w:lineRule="auto"/>
        <w:jc w:val="center"/>
        <w:rPr>
          <w:rFonts w:ascii="Calibri" w:hAnsi="Calibri" w:cs="Calibri"/>
        </w:rPr>
      </w:pPr>
    </w:p>
    <w:p w14:paraId="42BA3A81" w14:textId="77777777" w:rsidR="00DF74C7" w:rsidRPr="00905B65" w:rsidRDefault="00DF74C7" w:rsidP="007912BF">
      <w:pPr>
        <w:spacing w:line="360" w:lineRule="auto"/>
        <w:jc w:val="center"/>
        <w:rPr>
          <w:rFonts w:ascii="Calibri" w:hAnsi="Calibri" w:cs="Calibri"/>
        </w:rPr>
      </w:pPr>
    </w:p>
    <w:p w14:paraId="1CAEAF88" w14:textId="77777777" w:rsidR="00F17AEA" w:rsidRPr="00905B65" w:rsidRDefault="00F17AEA" w:rsidP="007912BF">
      <w:pPr>
        <w:spacing w:line="360" w:lineRule="auto"/>
        <w:jc w:val="center"/>
        <w:rPr>
          <w:rFonts w:ascii="Calibri" w:hAnsi="Calibri" w:cs="Calibri"/>
        </w:rPr>
      </w:pPr>
    </w:p>
    <w:p w14:paraId="7490C480" w14:textId="77777777" w:rsidR="00F17AEA" w:rsidRPr="00905B65" w:rsidRDefault="00F17AEA" w:rsidP="007912BF">
      <w:pPr>
        <w:spacing w:line="360" w:lineRule="auto"/>
        <w:jc w:val="center"/>
        <w:rPr>
          <w:rFonts w:ascii="Calibri" w:hAnsi="Calibri" w:cs="Calibri"/>
          <w:b/>
          <w:bCs/>
        </w:rPr>
      </w:pPr>
      <w:r w:rsidRPr="00905B65">
        <w:rPr>
          <w:rFonts w:ascii="Calibri" w:hAnsi="Calibri" w:cs="Calibri"/>
          <w:b/>
          <w:bCs/>
        </w:rPr>
        <w:t>Reference List</w:t>
      </w:r>
    </w:p>
    <w:p w14:paraId="70CF695E" w14:textId="65820551" w:rsidR="00F17AEA" w:rsidRPr="00905B65" w:rsidRDefault="00F17AEA" w:rsidP="007912BF">
      <w:pPr>
        <w:spacing w:line="360" w:lineRule="auto"/>
        <w:jc w:val="center"/>
        <w:rPr>
          <w:rStyle w:val="Hyperlink"/>
          <w:rFonts w:ascii="Calibri" w:hAnsi="Calibri" w:cs="Calibri"/>
        </w:rPr>
      </w:pPr>
      <w:r w:rsidRPr="00905B65">
        <w:rPr>
          <w:rFonts w:ascii="Calibri" w:hAnsi="Calibri" w:cs="Calibri"/>
        </w:rPr>
        <w:t xml:space="preserve">Offences Against the Person Act 1861. </w:t>
      </w:r>
      <w:hyperlink r:id="rId6" w:history="1">
        <w:r w:rsidR="00DA0181" w:rsidRPr="00905B65">
          <w:rPr>
            <w:rStyle w:val="Hyperlink"/>
            <w:rFonts w:ascii="Calibri" w:hAnsi="Calibri" w:cs="Calibri"/>
          </w:rPr>
          <w:t xml:space="preserve"> (legislation.gov.uk)</w:t>
        </w:r>
      </w:hyperlink>
    </w:p>
    <w:p w14:paraId="4E4343A0" w14:textId="2E29FE8B" w:rsidR="005D06AA" w:rsidRPr="00905B65" w:rsidRDefault="002D04FC" w:rsidP="007912BF">
      <w:pPr>
        <w:spacing w:line="360" w:lineRule="auto"/>
        <w:jc w:val="center"/>
        <w:rPr>
          <w:rFonts w:ascii="Calibri" w:hAnsi="Calibri" w:cs="Calibri"/>
        </w:rPr>
      </w:pPr>
      <w:hyperlink r:id="rId7" w:anchor=":~:text=The%20offence%20of%20Assault%20Occasioning%20Actual%20Bodily%20Harm,with%20the%20health%20or%20comfort%20of%20the%20victim" w:history="1">
        <w:r w:rsidR="005D06AA" w:rsidRPr="00905B65">
          <w:rPr>
            <w:rStyle w:val="Hyperlink"/>
            <w:rFonts w:ascii="Calibri" w:hAnsi="Calibri" w:cs="Calibri"/>
          </w:rPr>
          <w:t>https://www.makwanas.co.uk/criminal-assault/#:~:text=The%20offence%20of%20Assault%20Occasioning%20Actual%20Bodily%20Harm,with%20the%20health%20or%20comfort%20of%20the%20victim</w:t>
        </w:r>
      </w:hyperlink>
      <w:r w:rsidR="005D06AA" w:rsidRPr="00905B65">
        <w:rPr>
          <w:rFonts w:ascii="Calibri" w:hAnsi="Calibri" w:cs="Calibri"/>
        </w:rPr>
        <w:t>.</w:t>
      </w:r>
    </w:p>
    <w:p w14:paraId="6CE75436" w14:textId="77777777" w:rsidR="005D06AA" w:rsidRPr="00905B65" w:rsidRDefault="005D06AA" w:rsidP="007912BF">
      <w:pPr>
        <w:spacing w:line="360" w:lineRule="auto"/>
        <w:jc w:val="center"/>
        <w:rPr>
          <w:rFonts w:ascii="Calibri" w:hAnsi="Calibri" w:cs="Calibri"/>
        </w:rPr>
      </w:pPr>
    </w:p>
    <w:p w14:paraId="600A398D" w14:textId="30716EB1" w:rsidR="00F17AEA" w:rsidRPr="00905B65" w:rsidRDefault="00F17AEA" w:rsidP="007912BF">
      <w:pPr>
        <w:spacing w:line="360" w:lineRule="auto"/>
        <w:jc w:val="center"/>
        <w:rPr>
          <w:rFonts w:ascii="Calibri" w:hAnsi="Calibri" w:cs="Calibri"/>
        </w:rPr>
      </w:pPr>
      <w:r w:rsidRPr="00905B65">
        <w:rPr>
          <w:rFonts w:ascii="Calibri" w:hAnsi="Calibri" w:cs="Calibri"/>
          <w:color w:val="0D0D0D"/>
          <w:shd w:val="clear" w:color="auto" w:fill="FFFFFF"/>
        </w:rPr>
        <w:t xml:space="preserve">Lawteacher.net. (2024). R v Cunningham - 1957. </w:t>
      </w:r>
      <w:hyperlink r:id="rId8" w:history="1">
        <w:r w:rsidRPr="00905B65">
          <w:rPr>
            <w:rStyle w:val="Hyperlink"/>
            <w:rFonts w:ascii="Calibri" w:hAnsi="Calibri" w:cs="Calibri"/>
            <w:bdr w:val="single" w:sz="2" w:space="0" w:color="E3E3E3" w:frame="1"/>
            <w:shd w:val="clear" w:color="auto" w:fill="FFFFFF"/>
          </w:rPr>
          <w:t>https://www.lawteacher.net/cases/r-v-cunningham.php?vref=1</w:t>
        </w:r>
      </w:hyperlink>
    </w:p>
    <w:p w14:paraId="034EC08D" w14:textId="77777777" w:rsidR="00F17AEA" w:rsidRPr="00905B65" w:rsidRDefault="00F17AEA" w:rsidP="007912BF">
      <w:pPr>
        <w:spacing w:line="360" w:lineRule="auto"/>
        <w:jc w:val="center"/>
        <w:rPr>
          <w:rStyle w:val="Hyperlink"/>
          <w:rFonts w:ascii="Calibri" w:hAnsi="Calibri" w:cs="Calibri"/>
        </w:rPr>
      </w:pPr>
      <w:r w:rsidRPr="00905B65">
        <w:rPr>
          <w:rFonts w:ascii="Calibri" w:hAnsi="Calibri" w:cs="Calibri"/>
        </w:rPr>
        <w:lastRenderedPageBreak/>
        <w:t xml:space="preserve">R v. Miller [1954] 2 QB 282. </w:t>
      </w:r>
      <w:hyperlink r:id="rId9" w:history="1">
        <w:r w:rsidRPr="00905B65">
          <w:rPr>
            <w:rStyle w:val="Hyperlink"/>
            <w:rFonts w:ascii="Calibri" w:hAnsi="Calibri" w:cs="Calibri"/>
          </w:rPr>
          <w:t>R v Miller - 1954 (lawteacher.net)</w:t>
        </w:r>
      </w:hyperlink>
    </w:p>
    <w:p w14:paraId="55769BC6" w14:textId="0AB052D9" w:rsidR="005D06AA" w:rsidRPr="00905B65" w:rsidRDefault="005D06AA" w:rsidP="007912BF">
      <w:pPr>
        <w:spacing w:line="360" w:lineRule="auto"/>
        <w:jc w:val="center"/>
        <w:rPr>
          <w:rFonts w:ascii="Calibri" w:hAnsi="Calibri" w:cs="Calibri"/>
          <w:color w:val="111111"/>
          <w:shd w:val="clear" w:color="auto" w:fill="FFFFFF"/>
        </w:rPr>
      </w:pPr>
      <w:r w:rsidRPr="00905B65">
        <w:rPr>
          <w:rFonts w:ascii="Calibri" w:hAnsi="Calibri" w:cs="Calibri"/>
          <w:color w:val="111111"/>
          <w:shd w:val="clear" w:color="auto" w:fill="FFFFFF"/>
        </w:rPr>
        <w:t>the Criminal Justice Act 1988</w:t>
      </w:r>
      <w:r w:rsidR="0099299D" w:rsidRPr="00905B65">
        <w:rPr>
          <w:rFonts w:ascii="Calibri" w:hAnsi="Calibri" w:cs="Calibri"/>
          <w:color w:val="111111"/>
          <w:shd w:val="clear" w:color="auto" w:fill="FFFFFF"/>
        </w:rPr>
        <w:t xml:space="preserve"> </w:t>
      </w:r>
      <w:hyperlink r:id="rId10" w:history="1">
        <w:r w:rsidR="0099299D" w:rsidRPr="00905B65">
          <w:rPr>
            <w:rStyle w:val="Hyperlink"/>
            <w:rFonts w:ascii="Calibri" w:hAnsi="Calibri" w:cs="Calibri"/>
            <w:shd w:val="clear" w:color="auto" w:fill="FFFFFF"/>
          </w:rPr>
          <w:t>https://www.legislation.gov.uk/ukpga/1988/33/section/39https://www.legislation.gov.uk/ukpga/1988/33/section/39b</w:t>
        </w:r>
      </w:hyperlink>
    </w:p>
    <w:p w14:paraId="01362A9A" w14:textId="68F1333D" w:rsidR="0099299D" w:rsidRPr="00905B65" w:rsidRDefault="00905B65" w:rsidP="007912BF">
      <w:pPr>
        <w:spacing w:line="360" w:lineRule="auto"/>
        <w:jc w:val="center"/>
        <w:rPr>
          <w:rFonts w:ascii="Calibri" w:hAnsi="Calibri" w:cs="Calibri"/>
        </w:rPr>
      </w:pPr>
      <w:r w:rsidRPr="00905B65">
        <w:rPr>
          <w:rFonts w:ascii="Calibri" w:hAnsi="Calibri" w:cs="Calibri"/>
        </w:rPr>
        <w:t xml:space="preserve">Bail Act 1976. </w:t>
      </w:r>
      <w:hyperlink r:id="rId11" w:history="1">
        <w:r w:rsidR="008F35AA" w:rsidRPr="00905B65">
          <w:rPr>
            <w:rStyle w:val="Hyperlink"/>
            <w:rFonts w:ascii="Calibri" w:hAnsi="Calibri" w:cs="Calibri"/>
          </w:rPr>
          <w:t>Bail Act 1976 (legislation.gov.uk)</w:t>
        </w:r>
      </w:hyperlink>
    </w:p>
    <w:p w14:paraId="7F3D8B07" w14:textId="77777777" w:rsidR="00F17AEA" w:rsidRPr="00905B65" w:rsidRDefault="00F17AEA" w:rsidP="007912BF">
      <w:pPr>
        <w:spacing w:line="360" w:lineRule="auto"/>
        <w:jc w:val="center"/>
        <w:rPr>
          <w:rFonts w:ascii="Calibri" w:hAnsi="Calibri" w:cs="Calibri"/>
        </w:rPr>
      </w:pPr>
      <w:r w:rsidRPr="00905B65">
        <w:rPr>
          <w:rFonts w:ascii="Calibri" w:hAnsi="Calibri" w:cs="Calibri"/>
        </w:rPr>
        <w:t xml:space="preserve">Sentencing Council (2011) Assault Offences - Definitive Guideline. </w:t>
      </w:r>
      <w:hyperlink r:id="rId12" w:history="1">
        <w:r w:rsidRPr="00905B65">
          <w:rPr>
            <w:rStyle w:val="Hyperlink"/>
            <w:rFonts w:ascii="Calibri" w:hAnsi="Calibri" w:cs="Calibri"/>
          </w:rPr>
          <w:t>Assault: Definitive guideline – Sentencing (sentencingcouncil.org.uk)</w:t>
        </w:r>
      </w:hyperlink>
    </w:p>
    <w:p w14:paraId="770B9962" w14:textId="77777777" w:rsidR="00F17AEA" w:rsidRPr="00905B65" w:rsidRDefault="00F17AEA" w:rsidP="007912BF">
      <w:pPr>
        <w:spacing w:line="360" w:lineRule="auto"/>
        <w:jc w:val="center"/>
        <w:rPr>
          <w:rFonts w:ascii="Calibri" w:hAnsi="Calibri" w:cs="Calibri"/>
        </w:rPr>
      </w:pPr>
      <w:r w:rsidRPr="00905B65">
        <w:rPr>
          <w:rFonts w:ascii="Calibri" w:hAnsi="Calibri" w:cs="Calibri"/>
        </w:rPr>
        <w:t xml:space="preserve">Police and Criminal Evidence Act 1984. </w:t>
      </w:r>
      <w:hyperlink r:id="rId13" w:history="1">
        <w:r w:rsidRPr="00905B65">
          <w:rPr>
            <w:rStyle w:val="Hyperlink"/>
            <w:rFonts w:ascii="Calibri" w:hAnsi="Calibri" w:cs="Calibri"/>
          </w:rPr>
          <w:t>Police and Criminal Evidence Act 1984 (legislation.gov.uk)</w:t>
        </w:r>
      </w:hyperlink>
    </w:p>
    <w:p w14:paraId="13082F87" w14:textId="77777777" w:rsidR="00F17AEA" w:rsidRPr="00905B65" w:rsidRDefault="00F17AEA" w:rsidP="007912BF">
      <w:pPr>
        <w:spacing w:line="360" w:lineRule="auto"/>
        <w:jc w:val="center"/>
        <w:rPr>
          <w:rFonts w:ascii="Calibri" w:hAnsi="Calibri" w:cs="Calibri"/>
        </w:rPr>
      </w:pPr>
      <w:r w:rsidRPr="00905B65">
        <w:rPr>
          <w:rFonts w:ascii="Calibri" w:hAnsi="Calibri" w:cs="Calibri"/>
        </w:rPr>
        <w:t xml:space="preserve">Criminal Justice and Public Order Act 1994. </w:t>
      </w:r>
      <w:hyperlink r:id="rId14" w:history="1">
        <w:r w:rsidRPr="00905B65">
          <w:rPr>
            <w:rStyle w:val="Hyperlink"/>
            <w:rFonts w:ascii="Calibri" w:hAnsi="Calibri" w:cs="Calibri"/>
          </w:rPr>
          <w:t>Criminal Justice and Public Order Act 1994 (legislation.gov.uk)</w:t>
        </w:r>
      </w:hyperlink>
    </w:p>
    <w:p w14:paraId="3C140950" w14:textId="77777777" w:rsidR="00F17AEA" w:rsidRPr="00905B65" w:rsidRDefault="00F17AEA" w:rsidP="007912BF">
      <w:pPr>
        <w:spacing w:line="360" w:lineRule="auto"/>
        <w:jc w:val="center"/>
        <w:rPr>
          <w:rFonts w:ascii="Calibri" w:hAnsi="Calibri" w:cs="Calibri"/>
        </w:rPr>
      </w:pPr>
      <w:r w:rsidRPr="00905B65">
        <w:rPr>
          <w:rFonts w:ascii="Calibri" w:hAnsi="Calibri" w:cs="Calibri"/>
        </w:rPr>
        <w:t>R v. Jones [2010] EWCA Crim 90</w:t>
      </w:r>
    </w:p>
    <w:p w14:paraId="67B60F89" w14:textId="77777777" w:rsidR="00F17AEA" w:rsidRPr="00905B65" w:rsidRDefault="00F17AEA" w:rsidP="007912BF">
      <w:pPr>
        <w:spacing w:line="360" w:lineRule="auto"/>
        <w:jc w:val="center"/>
        <w:rPr>
          <w:rFonts w:ascii="Calibri" w:hAnsi="Calibri" w:cs="Calibri"/>
        </w:rPr>
      </w:pPr>
      <w:r w:rsidRPr="00905B65">
        <w:rPr>
          <w:rFonts w:ascii="Calibri" w:hAnsi="Calibri" w:cs="Calibri"/>
        </w:rPr>
        <w:t xml:space="preserve">Legal Aid, Sentencing and Punishment of Offenders Act 2012. </w:t>
      </w:r>
      <w:hyperlink r:id="rId15" w:history="1">
        <w:r w:rsidRPr="00905B65">
          <w:rPr>
            <w:rStyle w:val="Hyperlink"/>
            <w:rFonts w:ascii="Calibri" w:hAnsi="Calibri" w:cs="Calibri"/>
          </w:rPr>
          <w:t>https://www.legislation.gov.uk/ukpga/2012/10/contents</w:t>
        </w:r>
      </w:hyperlink>
    </w:p>
    <w:p w14:paraId="4E7EF3EE" w14:textId="77777777" w:rsidR="00F17AEA" w:rsidRPr="00905B65" w:rsidRDefault="00F17AEA" w:rsidP="007912BF">
      <w:pPr>
        <w:spacing w:line="360" w:lineRule="auto"/>
        <w:jc w:val="center"/>
        <w:rPr>
          <w:rStyle w:val="Hyperlink"/>
          <w:rFonts w:ascii="Calibri" w:hAnsi="Calibri" w:cs="Calibri"/>
        </w:rPr>
      </w:pPr>
      <w:r w:rsidRPr="00905B65">
        <w:rPr>
          <w:rFonts w:ascii="Calibri" w:hAnsi="Calibri" w:cs="Calibri"/>
        </w:rPr>
        <w:t xml:space="preserve">Human Rights Act 1998. </w:t>
      </w:r>
      <w:hyperlink r:id="rId16" w:history="1">
        <w:r w:rsidRPr="00905B65">
          <w:rPr>
            <w:rStyle w:val="Hyperlink"/>
            <w:rFonts w:ascii="Calibri" w:hAnsi="Calibri" w:cs="Calibri"/>
          </w:rPr>
          <w:t>https://www.legislation.gov.uk/ukpga/1998/42/contents</w:t>
        </w:r>
      </w:hyperlink>
    </w:p>
    <w:p w14:paraId="3F175DDC" w14:textId="28D08582" w:rsidR="00C954EB" w:rsidRPr="00905B65" w:rsidRDefault="00C954EB" w:rsidP="007912BF">
      <w:pPr>
        <w:shd w:val="clear" w:color="auto" w:fill="FFFFFF"/>
        <w:spacing w:before="100" w:beforeAutospacing="1" w:after="0" w:line="240" w:lineRule="auto"/>
        <w:jc w:val="center"/>
        <w:rPr>
          <w:rFonts w:ascii="Calibri" w:eastAsia="Times New Roman" w:hAnsi="Calibri" w:cs="Calibri"/>
          <w:color w:val="1F1F1F"/>
          <w:kern w:val="0"/>
          <w:lang w:eastAsia="en-GB"/>
          <w14:ligatures w14:val="none"/>
        </w:rPr>
      </w:pPr>
      <w:r w:rsidRPr="00905B65">
        <w:rPr>
          <w:rFonts w:ascii="Calibri" w:eastAsia="Times New Roman" w:hAnsi="Calibri" w:cs="Calibri"/>
          <w:color w:val="1F1F1F"/>
          <w:kern w:val="0"/>
          <w:lang w:eastAsia="en-GB"/>
          <w14:ligatures w14:val="none"/>
        </w:rPr>
        <w:t>Williams, G. (1983). Textbook of criminal law. London: Stevens and Sons.</w:t>
      </w:r>
    </w:p>
    <w:p w14:paraId="68BF9B79" w14:textId="1CA9DB85" w:rsidR="00E54BFB" w:rsidRPr="00905B65" w:rsidRDefault="00C954EB" w:rsidP="007912BF">
      <w:pPr>
        <w:shd w:val="clear" w:color="auto" w:fill="FFFFFF"/>
        <w:spacing w:before="100" w:beforeAutospacing="1" w:after="0" w:line="240" w:lineRule="auto"/>
        <w:jc w:val="center"/>
        <w:rPr>
          <w:rFonts w:ascii="Calibri" w:eastAsia="Times New Roman" w:hAnsi="Calibri" w:cs="Calibri"/>
          <w:color w:val="1F1F1F"/>
          <w:kern w:val="0"/>
          <w:lang w:eastAsia="en-GB"/>
          <w14:ligatures w14:val="none"/>
        </w:rPr>
      </w:pPr>
      <w:r w:rsidRPr="00905B65">
        <w:rPr>
          <w:rFonts w:ascii="Calibri" w:eastAsia="Times New Roman" w:hAnsi="Calibri" w:cs="Calibri"/>
          <w:color w:val="1F1F1F"/>
          <w:kern w:val="0"/>
          <w:lang w:eastAsia="en-GB"/>
          <w14:ligatures w14:val="none"/>
        </w:rPr>
        <w:t>Russell on crime. (1970). London: Sweet and Maxwell.</w:t>
      </w:r>
    </w:p>
    <w:p w14:paraId="2CDF5CF7" w14:textId="77777777" w:rsidR="004866E6" w:rsidRPr="00905B65" w:rsidRDefault="004866E6" w:rsidP="007912BF">
      <w:pPr>
        <w:shd w:val="clear" w:color="auto" w:fill="FFFFFF"/>
        <w:spacing w:before="100" w:beforeAutospacing="1" w:after="0" w:line="240" w:lineRule="auto"/>
        <w:jc w:val="center"/>
        <w:rPr>
          <w:rFonts w:ascii="Calibri" w:eastAsia="Times New Roman" w:hAnsi="Calibri" w:cs="Calibri"/>
          <w:color w:val="1F1F1F"/>
          <w:kern w:val="0"/>
          <w:lang w:eastAsia="en-GB"/>
          <w14:ligatures w14:val="none"/>
        </w:rPr>
      </w:pPr>
    </w:p>
    <w:p w14:paraId="39DDDFD6" w14:textId="2966FA71" w:rsidR="00C87146" w:rsidRPr="00905B65" w:rsidRDefault="006741F3" w:rsidP="007912BF">
      <w:pPr>
        <w:spacing w:line="360" w:lineRule="auto"/>
        <w:jc w:val="center"/>
        <w:rPr>
          <w:rFonts w:ascii="Calibri" w:eastAsia="Times New Roman" w:hAnsi="Calibri" w:cs="Calibri"/>
          <w:kern w:val="0"/>
          <w:lang w:eastAsia="en-GB"/>
          <w14:ligatures w14:val="none"/>
        </w:rPr>
      </w:pPr>
      <w:r w:rsidRPr="00905B65">
        <w:rPr>
          <w:rFonts w:ascii="Calibri" w:eastAsia="Times New Roman" w:hAnsi="Calibri" w:cs="Calibri"/>
          <w:kern w:val="0"/>
          <w:lang w:eastAsia="en-GB"/>
          <w14:ligatures w14:val="none"/>
        </w:rPr>
        <w:t>Police and Criminal Evidence Act 1984</w:t>
      </w:r>
    </w:p>
    <w:p w14:paraId="375B3F6C" w14:textId="73E43F73" w:rsidR="00EA0650" w:rsidRPr="00905B65" w:rsidRDefault="002D04FC" w:rsidP="007912BF">
      <w:pPr>
        <w:spacing w:line="360" w:lineRule="auto"/>
        <w:jc w:val="center"/>
        <w:rPr>
          <w:rFonts w:ascii="Calibri" w:hAnsi="Calibri" w:cs="Calibri"/>
        </w:rPr>
      </w:pPr>
      <w:hyperlink r:id="rId17" w:anchor=":~:text=if%20they%20have%20no%20reasonable%20grounds%2C%20you%20have,and%20doing%20so%20could%20amount%20to%20false%20imprisonment" w:history="1">
        <w:r w:rsidR="009C4A9F" w:rsidRPr="00905B65">
          <w:rPr>
            <w:rStyle w:val="Hyperlink"/>
            <w:rFonts w:ascii="Calibri" w:hAnsi="Calibri" w:cs="Calibri"/>
          </w:rPr>
          <w:t>https://www.libertyhumanrights.org.uk/issue/know-your-rights-police-stop-and-scan-technology/#:~:text=if%20they%20have%20no%20reasonable%20grounds%2C%20you%20have,and%20doing%20so%20could%20amount%20to%20false%20imprisonment</w:t>
        </w:r>
      </w:hyperlink>
      <w:r w:rsidR="009C4A9F" w:rsidRPr="00905B65">
        <w:rPr>
          <w:rFonts w:ascii="Calibri" w:hAnsi="Calibri" w:cs="Calibri"/>
        </w:rPr>
        <w:t>.</w:t>
      </w:r>
    </w:p>
    <w:p w14:paraId="14C26C2A" w14:textId="77777777" w:rsidR="00026483" w:rsidRPr="00905B65" w:rsidRDefault="00026483" w:rsidP="007912BF">
      <w:pPr>
        <w:spacing w:line="360" w:lineRule="auto"/>
        <w:jc w:val="center"/>
        <w:rPr>
          <w:rFonts w:ascii="Calibri" w:hAnsi="Calibri" w:cs="Calibri"/>
        </w:rPr>
      </w:pPr>
    </w:p>
    <w:p w14:paraId="670239FC" w14:textId="059FEE02" w:rsidR="00062C7A" w:rsidRPr="00905B65" w:rsidRDefault="00062C7A" w:rsidP="007912BF">
      <w:pPr>
        <w:spacing w:line="360" w:lineRule="auto"/>
        <w:jc w:val="center"/>
        <w:rPr>
          <w:rFonts w:ascii="Calibri" w:hAnsi="Calibri" w:cs="Calibri"/>
        </w:rPr>
      </w:pPr>
      <w:r w:rsidRPr="00905B65">
        <w:rPr>
          <w:rFonts w:ascii="Calibri" w:hAnsi="Calibri" w:cs="Calibri"/>
        </w:rPr>
        <w:t>Sentencing and Punishment of Offenders Act 2012</w:t>
      </w:r>
    </w:p>
    <w:p w14:paraId="02A4A2FF" w14:textId="242B881C" w:rsidR="009C4A9F" w:rsidRPr="00905B65" w:rsidRDefault="002D04FC" w:rsidP="007912BF">
      <w:pPr>
        <w:spacing w:line="360" w:lineRule="auto"/>
        <w:jc w:val="center"/>
        <w:rPr>
          <w:rFonts w:ascii="Calibri" w:hAnsi="Calibri" w:cs="Calibri"/>
        </w:rPr>
      </w:pPr>
      <w:hyperlink r:id="rId18" w:history="1">
        <w:r w:rsidR="007A22FB" w:rsidRPr="00905B65">
          <w:rPr>
            <w:rStyle w:val="Hyperlink"/>
            <w:rFonts w:ascii="Calibri" w:hAnsi="Calibri" w:cs="Calibri"/>
          </w:rPr>
          <w:t>Legal Aid, Sentencing and Punishment of Offenders Act 2012 (legislation.gov.uk)</w:t>
        </w:r>
      </w:hyperlink>
    </w:p>
    <w:p w14:paraId="2861CC94" w14:textId="77777777" w:rsidR="00834BA7" w:rsidRPr="00905B65" w:rsidRDefault="00834BA7" w:rsidP="007912BF">
      <w:pPr>
        <w:spacing w:line="360" w:lineRule="auto"/>
        <w:jc w:val="center"/>
        <w:rPr>
          <w:rFonts w:ascii="Calibri" w:hAnsi="Calibri" w:cs="Calibri"/>
        </w:rPr>
      </w:pPr>
    </w:p>
    <w:p w14:paraId="4649E31C" w14:textId="77777777" w:rsidR="00834BA7" w:rsidRPr="00905B65" w:rsidRDefault="00834BA7" w:rsidP="007912BF">
      <w:pPr>
        <w:spacing w:line="360" w:lineRule="auto"/>
        <w:jc w:val="center"/>
        <w:rPr>
          <w:rFonts w:ascii="Calibri" w:hAnsi="Calibri" w:cs="Calibri"/>
        </w:rPr>
      </w:pPr>
    </w:p>
    <w:p w14:paraId="33E6D3FC" w14:textId="77777777" w:rsidR="0012354F" w:rsidRPr="00905B65" w:rsidRDefault="0012354F" w:rsidP="007912BF">
      <w:pPr>
        <w:spacing w:line="360" w:lineRule="auto"/>
        <w:jc w:val="center"/>
        <w:rPr>
          <w:rFonts w:ascii="Calibri" w:hAnsi="Calibri" w:cs="Calibri"/>
        </w:rPr>
      </w:pPr>
    </w:p>
    <w:p w14:paraId="492E460D" w14:textId="77777777" w:rsidR="00EA0650" w:rsidRPr="00905B65" w:rsidRDefault="00EA0650" w:rsidP="007912BF">
      <w:pPr>
        <w:spacing w:line="360" w:lineRule="auto"/>
        <w:jc w:val="center"/>
        <w:rPr>
          <w:rFonts w:ascii="Calibri" w:hAnsi="Calibri" w:cs="Calibri"/>
        </w:rPr>
      </w:pPr>
    </w:p>
    <w:sectPr w:rsidR="00EA0650" w:rsidRPr="00905B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AB7687"/>
    <w:multiLevelType w:val="multilevel"/>
    <w:tmpl w:val="EF22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9E0E9B"/>
    <w:multiLevelType w:val="multilevel"/>
    <w:tmpl w:val="FE26A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7960506">
    <w:abstractNumId w:val="0"/>
  </w:num>
  <w:num w:numId="2" w16cid:durableId="142159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139"/>
    <w:rsid w:val="00007AF9"/>
    <w:rsid w:val="00014D73"/>
    <w:rsid w:val="00026483"/>
    <w:rsid w:val="000349FD"/>
    <w:rsid w:val="000539EF"/>
    <w:rsid w:val="00062C7A"/>
    <w:rsid w:val="00062F15"/>
    <w:rsid w:val="00077B37"/>
    <w:rsid w:val="000871B1"/>
    <w:rsid w:val="000941D7"/>
    <w:rsid w:val="000953D1"/>
    <w:rsid w:val="000B02B3"/>
    <w:rsid w:val="000E4248"/>
    <w:rsid w:val="0012354F"/>
    <w:rsid w:val="00124BD1"/>
    <w:rsid w:val="00127E10"/>
    <w:rsid w:val="00156FD0"/>
    <w:rsid w:val="00163A87"/>
    <w:rsid w:val="00167B96"/>
    <w:rsid w:val="00167E54"/>
    <w:rsid w:val="00173DFB"/>
    <w:rsid w:val="00175A31"/>
    <w:rsid w:val="00187865"/>
    <w:rsid w:val="001C295E"/>
    <w:rsid w:val="001D3F7F"/>
    <w:rsid w:val="001E5C49"/>
    <w:rsid w:val="002219FE"/>
    <w:rsid w:val="00251067"/>
    <w:rsid w:val="002520BA"/>
    <w:rsid w:val="00256D53"/>
    <w:rsid w:val="002813A0"/>
    <w:rsid w:val="0029098C"/>
    <w:rsid w:val="002D04FC"/>
    <w:rsid w:val="00323326"/>
    <w:rsid w:val="00331B1B"/>
    <w:rsid w:val="00332762"/>
    <w:rsid w:val="0034064A"/>
    <w:rsid w:val="00371B35"/>
    <w:rsid w:val="003765D9"/>
    <w:rsid w:val="00385A83"/>
    <w:rsid w:val="00394A40"/>
    <w:rsid w:val="003B0944"/>
    <w:rsid w:val="003B4FFB"/>
    <w:rsid w:val="003E22C2"/>
    <w:rsid w:val="003E4693"/>
    <w:rsid w:val="003F07E4"/>
    <w:rsid w:val="003F1D95"/>
    <w:rsid w:val="00407B5F"/>
    <w:rsid w:val="004551F6"/>
    <w:rsid w:val="004602A3"/>
    <w:rsid w:val="004651F1"/>
    <w:rsid w:val="0048622A"/>
    <w:rsid w:val="004866E6"/>
    <w:rsid w:val="004B3CCC"/>
    <w:rsid w:val="004C0FC1"/>
    <w:rsid w:val="004C6549"/>
    <w:rsid w:val="004D2295"/>
    <w:rsid w:val="004D6262"/>
    <w:rsid w:val="004D7C42"/>
    <w:rsid w:val="00503A0B"/>
    <w:rsid w:val="00503DC6"/>
    <w:rsid w:val="00505430"/>
    <w:rsid w:val="005135B6"/>
    <w:rsid w:val="00527A7F"/>
    <w:rsid w:val="00531BB8"/>
    <w:rsid w:val="00540F0C"/>
    <w:rsid w:val="0054342F"/>
    <w:rsid w:val="005653C9"/>
    <w:rsid w:val="005709C1"/>
    <w:rsid w:val="00583DD8"/>
    <w:rsid w:val="0059511A"/>
    <w:rsid w:val="005B4103"/>
    <w:rsid w:val="005B4617"/>
    <w:rsid w:val="005D06AA"/>
    <w:rsid w:val="005D35F4"/>
    <w:rsid w:val="005E1185"/>
    <w:rsid w:val="005E216F"/>
    <w:rsid w:val="0060756F"/>
    <w:rsid w:val="00611AEB"/>
    <w:rsid w:val="006244B7"/>
    <w:rsid w:val="00624A2D"/>
    <w:rsid w:val="0062522A"/>
    <w:rsid w:val="006326D6"/>
    <w:rsid w:val="00653E55"/>
    <w:rsid w:val="006741F3"/>
    <w:rsid w:val="006B3EAF"/>
    <w:rsid w:val="006B616F"/>
    <w:rsid w:val="007104CB"/>
    <w:rsid w:val="00740139"/>
    <w:rsid w:val="0076057C"/>
    <w:rsid w:val="00764590"/>
    <w:rsid w:val="00786080"/>
    <w:rsid w:val="00786EE1"/>
    <w:rsid w:val="007912BF"/>
    <w:rsid w:val="00795E54"/>
    <w:rsid w:val="007960DD"/>
    <w:rsid w:val="007A22FB"/>
    <w:rsid w:val="007C630A"/>
    <w:rsid w:val="007C76E5"/>
    <w:rsid w:val="007D6581"/>
    <w:rsid w:val="007E1D37"/>
    <w:rsid w:val="007E3B75"/>
    <w:rsid w:val="007F32D8"/>
    <w:rsid w:val="00817A57"/>
    <w:rsid w:val="00834BA7"/>
    <w:rsid w:val="00873A31"/>
    <w:rsid w:val="00873D82"/>
    <w:rsid w:val="00875586"/>
    <w:rsid w:val="008834BF"/>
    <w:rsid w:val="008958CC"/>
    <w:rsid w:val="008967F8"/>
    <w:rsid w:val="008D666C"/>
    <w:rsid w:val="008D673A"/>
    <w:rsid w:val="008E0AE1"/>
    <w:rsid w:val="008F35AA"/>
    <w:rsid w:val="009005ED"/>
    <w:rsid w:val="00905B65"/>
    <w:rsid w:val="009060AB"/>
    <w:rsid w:val="00916789"/>
    <w:rsid w:val="00940770"/>
    <w:rsid w:val="0094672C"/>
    <w:rsid w:val="00974472"/>
    <w:rsid w:val="0098790D"/>
    <w:rsid w:val="0099299D"/>
    <w:rsid w:val="00996880"/>
    <w:rsid w:val="009A2CF3"/>
    <w:rsid w:val="009B740E"/>
    <w:rsid w:val="009C4A9F"/>
    <w:rsid w:val="009D028D"/>
    <w:rsid w:val="009E5665"/>
    <w:rsid w:val="00A21553"/>
    <w:rsid w:val="00A364E4"/>
    <w:rsid w:val="00A53825"/>
    <w:rsid w:val="00A715AE"/>
    <w:rsid w:val="00A96C59"/>
    <w:rsid w:val="00AB3B46"/>
    <w:rsid w:val="00AC0AF1"/>
    <w:rsid w:val="00AC4B78"/>
    <w:rsid w:val="00B06BA1"/>
    <w:rsid w:val="00B132FD"/>
    <w:rsid w:val="00B30379"/>
    <w:rsid w:val="00B430D8"/>
    <w:rsid w:val="00B54449"/>
    <w:rsid w:val="00BB758D"/>
    <w:rsid w:val="00BD65AB"/>
    <w:rsid w:val="00BF375C"/>
    <w:rsid w:val="00C122B3"/>
    <w:rsid w:val="00C14574"/>
    <w:rsid w:val="00C25DB7"/>
    <w:rsid w:val="00C27801"/>
    <w:rsid w:val="00C62CDD"/>
    <w:rsid w:val="00C73DD9"/>
    <w:rsid w:val="00C75583"/>
    <w:rsid w:val="00C76D51"/>
    <w:rsid w:val="00C87146"/>
    <w:rsid w:val="00C954EB"/>
    <w:rsid w:val="00C96C29"/>
    <w:rsid w:val="00CA1E0A"/>
    <w:rsid w:val="00CB4E2B"/>
    <w:rsid w:val="00CB7F50"/>
    <w:rsid w:val="00CD4227"/>
    <w:rsid w:val="00CF3D22"/>
    <w:rsid w:val="00CF6034"/>
    <w:rsid w:val="00D32E4E"/>
    <w:rsid w:val="00D33CE8"/>
    <w:rsid w:val="00D44209"/>
    <w:rsid w:val="00D4577C"/>
    <w:rsid w:val="00D62CAC"/>
    <w:rsid w:val="00D64235"/>
    <w:rsid w:val="00D643EC"/>
    <w:rsid w:val="00D9641B"/>
    <w:rsid w:val="00D97B81"/>
    <w:rsid w:val="00DA0181"/>
    <w:rsid w:val="00DA0A85"/>
    <w:rsid w:val="00DA3AE5"/>
    <w:rsid w:val="00DB4E39"/>
    <w:rsid w:val="00DF74C7"/>
    <w:rsid w:val="00E54B61"/>
    <w:rsid w:val="00E54BFB"/>
    <w:rsid w:val="00E612C8"/>
    <w:rsid w:val="00E61EA4"/>
    <w:rsid w:val="00E844E4"/>
    <w:rsid w:val="00EA0650"/>
    <w:rsid w:val="00EA1963"/>
    <w:rsid w:val="00EB2155"/>
    <w:rsid w:val="00ED3AFC"/>
    <w:rsid w:val="00EE33BD"/>
    <w:rsid w:val="00EE69F2"/>
    <w:rsid w:val="00EE72EE"/>
    <w:rsid w:val="00EF0858"/>
    <w:rsid w:val="00EF6604"/>
    <w:rsid w:val="00F008B2"/>
    <w:rsid w:val="00F13410"/>
    <w:rsid w:val="00F17AEA"/>
    <w:rsid w:val="00F20BE2"/>
    <w:rsid w:val="00F26E3A"/>
    <w:rsid w:val="00F40C6F"/>
    <w:rsid w:val="00F43CA4"/>
    <w:rsid w:val="00F57D80"/>
    <w:rsid w:val="00F66E42"/>
    <w:rsid w:val="00F67432"/>
    <w:rsid w:val="00F859D4"/>
    <w:rsid w:val="00FC5EA7"/>
    <w:rsid w:val="00FE086F"/>
    <w:rsid w:val="00FE50FA"/>
    <w:rsid w:val="00FF6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B29EE"/>
  <w15:chartTrackingRefBased/>
  <w15:docId w15:val="{2CB0E2A1-F6E4-4F89-897D-95057D4C0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139"/>
  </w:style>
  <w:style w:type="paragraph" w:styleId="Heading1">
    <w:name w:val="heading 1"/>
    <w:basedOn w:val="Normal"/>
    <w:next w:val="Normal"/>
    <w:link w:val="Heading1Char"/>
    <w:uiPriority w:val="9"/>
    <w:qFormat/>
    <w:rsid w:val="007401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01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01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1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1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1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1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1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1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1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01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01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01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01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01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1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1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139"/>
    <w:rPr>
      <w:rFonts w:eastAsiaTheme="majorEastAsia" w:cstheme="majorBidi"/>
      <w:color w:val="272727" w:themeColor="text1" w:themeTint="D8"/>
    </w:rPr>
  </w:style>
  <w:style w:type="paragraph" w:styleId="Title">
    <w:name w:val="Title"/>
    <w:basedOn w:val="Normal"/>
    <w:next w:val="Normal"/>
    <w:link w:val="TitleChar"/>
    <w:uiPriority w:val="10"/>
    <w:qFormat/>
    <w:rsid w:val="007401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1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1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1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139"/>
    <w:pPr>
      <w:spacing w:before="160"/>
      <w:jc w:val="center"/>
    </w:pPr>
    <w:rPr>
      <w:i/>
      <w:iCs/>
      <w:color w:val="404040" w:themeColor="text1" w:themeTint="BF"/>
    </w:rPr>
  </w:style>
  <w:style w:type="character" w:customStyle="1" w:styleId="QuoteChar">
    <w:name w:val="Quote Char"/>
    <w:basedOn w:val="DefaultParagraphFont"/>
    <w:link w:val="Quote"/>
    <w:uiPriority w:val="29"/>
    <w:rsid w:val="00740139"/>
    <w:rPr>
      <w:i/>
      <w:iCs/>
      <w:color w:val="404040" w:themeColor="text1" w:themeTint="BF"/>
    </w:rPr>
  </w:style>
  <w:style w:type="paragraph" w:styleId="ListParagraph">
    <w:name w:val="List Paragraph"/>
    <w:basedOn w:val="Normal"/>
    <w:uiPriority w:val="34"/>
    <w:qFormat/>
    <w:rsid w:val="00740139"/>
    <w:pPr>
      <w:ind w:left="720"/>
      <w:contextualSpacing/>
    </w:pPr>
  </w:style>
  <w:style w:type="character" w:styleId="IntenseEmphasis">
    <w:name w:val="Intense Emphasis"/>
    <w:basedOn w:val="DefaultParagraphFont"/>
    <w:uiPriority w:val="21"/>
    <w:qFormat/>
    <w:rsid w:val="00740139"/>
    <w:rPr>
      <w:i/>
      <w:iCs/>
      <w:color w:val="0F4761" w:themeColor="accent1" w:themeShade="BF"/>
    </w:rPr>
  </w:style>
  <w:style w:type="paragraph" w:styleId="IntenseQuote">
    <w:name w:val="Intense Quote"/>
    <w:basedOn w:val="Normal"/>
    <w:next w:val="Normal"/>
    <w:link w:val="IntenseQuoteChar"/>
    <w:uiPriority w:val="30"/>
    <w:qFormat/>
    <w:rsid w:val="007401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139"/>
    <w:rPr>
      <w:i/>
      <w:iCs/>
      <w:color w:val="0F4761" w:themeColor="accent1" w:themeShade="BF"/>
    </w:rPr>
  </w:style>
  <w:style w:type="character" w:styleId="IntenseReference">
    <w:name w:val="Intense Reference"/>
    <w:basedOn w:val="DefaultParagraphFont"/>
    <w:uiPriority w:val="32"/>
    <w:qFormat/>
    <w:rsid w:val="00740139"/>
    <w:rPr>
      <w:b/>
      <w:bCs/>
      <w:smallCaps/>
      <w:color w:val="0F4761" w:themeColor="accent1" w:themeShade="BF"/>
      <w:spacing w:val="5"/>
    </w:rPr>
  </w:style>
  <w:style w:type="character" w:styleId="Hyperlink">
    <w:name w:val="Hyperlink"/>
    <w:basedOn w:val="DefaultParagraphFont"/>
    <w:uiPriority w:val="99"/>
    <w:unhideWhenUsed/>
    <w:rsid w:val="00F17AEA"/>
    <w:rPr>
      <w:color w:val="0000FF"/>
      <w:u w:val="single"/>
    </w:rPr>
  </w:style>
  <w:style w:type="character" w:styleId="Strong">
    <w:name w:val="Strong"/>
    <w:basedOn w:val="DefaultParagraphFont"/>
    <w:uiPriority w:val="22"/>
    <w:qFormat/>
    <w:rsid w:val="00C954EB"/>
    <w:rPr>
      <w:b/>
      <w:bCs/>
    </w:rPr>
  </w:style>
  <w:style w:type="paragraph" w:styleId="NormalWeb">
    <w:name w:val="Normal (Web)"/>
    <w:basedOn w:val="Normal"/>
    <w:uiPriority w:val="99"/>
    <w:semiHidden/>
    <w:unhideWhenUsed/>
    <w:rsid w:val="00C96C2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C96C29"/>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C96C29"/>
    <w:rPr>
      <w:rFonts w:ascii="Arial" w:eastAsia="Times New Roman" w:hAnsi="Arial" w:cs="Arial"/>
      <w:vanish/>
      <w:kern w:val="0"/>
      <w:sz w:val="16"/>
      <w:szCs w:val="16"/>
      <w:lang w:eastAsia="en-GB"/>
      <w14:ligatures w14:val="none"/>
    </w:rPr>
  </w:style>
  <w:style w:type="character" w:styleId="UnresolvedMention">
    <w:name w:val="Unresolved Mention"/>
    <w:basedOn w:val="DefaultParagraphFont"/>
    <w:uiPriority w:val="99"/>
    <w:semiHidden/>
    <w:unhideWhenUsed/>
    <w:rsid w:val="00EA0650"/>
    <w:rPr>
      <w:color w:val="605E5C"/>
      <w:shd w:val="clear" w:color="auto" w:fill="E1DFDD"/>
    </w:rPr>
  </w:style>
  <w:style w:type="character" w:styleId="FollowedHyperlink">
    <w:name w:val="FollowedHyperlink"/>
    <w:basedOn w:val="DefaultParagraphFont"/>
    <w:uiPriority w:val="99"/>
    <w:semiHidden/>
    <w:unhideWhenUsed/>
    <w:rsid w:val="007E3B7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815024">
      <w:bodyDiv w:val="1"/>
      <w:marLeft w:val="0"/>
      <w:marRight w:val="0"/>
      <w:marTop w:val="0"/>
      <w:marBottom w:val="0"/>
      <w:divBdr>
        <w:top w:val="none" w:sz="0" w:space="0" w:color="auto"/>
        <w:left w:val="none" w:sz="0" w:space="0" w:color="auto"/>
        <w:bottom w:val="none" w:sz="0" w:space="0" w:color="auto"/>
        <w:right w:val="none" w:sz="0" w:space="0" w:color="auto"/>
      </w:divBdr>
    </w:div>
    <w:div w:id="358969502">
      <w:bodyDiv w:val="1"/>
      <w:marLeft w:val="0"/>
      <w:marRight w:val="0"/>
      <w:marTop w:val="0"/>
      <w:marBottom w:val="0"/>
      <w:divBdr>
        <w:top w:val="none" w:sz="0" w:space="0" w:color="auto"/>
        <w:left w:val="none" w:sz="0" w:space="0" w:color="auto"/>
        <w:bottom w:val="none" w:sz="0" w:space="0" w:color="auto"/>
        <w:right w:val="none" w:sz="0" w:space="0" w:color="auto"/>
      </w:divBdr>
    </w:div>
    <w:div w:id="375664782">
      <w:bodyDiv w:val="1"/>
      <w:marLeft w:val="0"/>
      <w:marRight w:val="0"/>
      <w:marTop w:val="0"/>
      <w:marBottom w:val="0"/>
      <w:divBdr>
        <w:top w:val="none" w:sz="0" w:space="0" w:color="auto"/>
        <w:left w:val="none" w:sz="0" w:space="0" w:color="auto"/>
        <w:bottom w:val="none" w:sz="0" w:space="0" w:color="auto"/>
        <w:right w:val="none" w:sz="0" w:space="0" w:color="auto"/>
      </w:divBdr>
    </w:div>
    <w:div w:id="390546657">
      <w:bodyDiv w:val="1"/>
      <w:marLeft w:val="0"/>
      <w:marRight w:val="0"/>
      <w:marTop w:val="0"/>
      <w:marBottom w:val="0"/>
      <w:divBdr>
        <w:top w:val="none" w:sz="0" w:space="0" w:color="auto"/>
        <w:left w:val="none" w:sz="0" w:space="0" w:color="auto"/>
        <w:bottom w:val="none" w:sz="0" w:space="0" w:color="auto"/>
        <w:right w:val="none" w:sz="0" w:space="0" w:color="auto"/>
      </w:divBdr>
    </w:div>
    <w:div w:id="513961661">
      <w:bodyDiv w:val="1"/>
      <w:marLeft w:val="0"/>
      <w:marRight w:val="0"/>
      <w:marTop w:val="0"/>
      <w:marBottom w:val="0"/>
      <w:divBdr>
        <w:top w:val="none" w:sz="0" w:space="0" w:color="auto"/>
        <w:left w:val="none" w:sz="0" w:space="0" w:color="auto"/>
        <w:bottom w:val="none" w:sz="0" w:space="0" w:color="auto"/>
        <w:right w:val="none" w:sz="0" w:space="0" w:color="auto"/>
      </w:divBdr>
    </w:div>
    <w:div w:id="545726626">
      <w:bodyDiv w:val="1"/>
      <w:marLeft w:val="0"/>
      <w:marRight w:val="0"/>
      <w:marTop w:val="0"/>
      <w:marBottom w:val="0"/>
      <w:divBdr>
        <w:top w:val="none" w:sz="0" w:space="0" w:color="auto"/>
        <w:left w:val="none" w:sz="0" w:space="0" w:color="auto"/>
        <w:bottom w:val="none" w:sz="0" w:space="0" w:color="auto"/>
        <w:right w:val="none" w:sz="0" w:space="0" w:color="auto"/>
      </w:divBdr>
    </w:div>
    <w:div w:id="583802652">
      <w:bodyDiv w:val="1"/>
      <w:marLeft w:val="0"/>
      <w:marRight w:val="0"/>
      <w:marTop w:val="0"/>
      <w:marBottom w:val="0"/>
      <w:divBdr>
        <w:top w:val="none" w:sz="0" w:space="0" w:color="auto"/>
        <w:left w:val="none" w:sz="0" w:space="0" w:color="auto"/>
        <w:bottom w:val="none" w:sz="0" w:space="0" w:color="auto"/>
        <w:right w:val="none" w:sz="0" w:space="0" w:color="auto"/>
      </w:divBdr>
    </w:div>
    <w:div w:id="705643649">
      <w:bodyDiv w:val="1"/>
      <w:marLeft w:val="0"/>
      <w:marRight w:val="0"/>
      <w:marTop w:val="0"/>
      <w:marBottom w:val="0"/>
      <w:divBdr>
        <w:top w:val="none" w:sz="0" w:space="0" w:color="auto"/>
        <w:left w:val="none" w:sz="0" w:space="0" w:color="auto"/>
        <w:bottom w:val="none" w:sz="0" w:space="0" w:color="auto"/>
        <w:right w:val="none" w:sz="0" w:space="0" w:color="auto"/>
      </w:divBdr>
    </w:div>
    <w:div w:id="1000044630">
      <w:bodyDiv w:val="1"/>
      <w:marLeft w:val="0"/>
      <w:marRight w:val="0"/>
      <w:marTop w:val="0"/>
      <w:marBottom w:val="0"/>
      <w:divBdr>
        <w:top w:val="none" w:sz="0" w:space="0" w:color="auto"/>
        <w:left w:val="none" w:sz="0" w:space="0" w:color="auto"/>
        <w:bottom w:val="none" w:sz="0" w:space="0" w:color="auto"/>
        <w:right w:val="none" w:sz="0" w:space="0" w:color="auto"/>
      </w:divBdr>
    </w:div>
    <w:div w:id="1038701875">
      <w:bodyDiv w:val="1"/>
      <w:marLeft w:val="0"/>
      <w:marRight w:val="0"/>
      <w:marTop w:val="0"/>
      <w:marBottom w:val="0"/>
      <w:divBdr>
        <w:top w:val="none" w:sz="0" w:space="0" w:color="auto"/>
        <w:left w:val="none" w:sz="0" w:space="0" w:color="auto"/>
        <w:bottom w:val="none" w:sz="0" w:space="0" w:color="auto"/>
        <w:right w:val="none" w:sz="0" w:space="0" w:color="auto"/>
      </w:divBdr>
    </w:div>
    <w:div w:id="1039009864">
      <w:bodyDiv w:val="1"/>
      <w:marLeft w:val="0"/>
      <w:marRight w:val="0"/>
      <w:marTop w:val="0"/>
      <w:marBottom w:val="0"/>
      <w:divBdr>
        <w:top w:val="none" w:sz="0" w:space="0" w:color="auto"/>
        <w:left w:val="none" w:sz="0" w:space="0" w:color="auto"/>
        <w:bottom w:val="none" w:sz="0" w:space="0" w:color="auto"/>
        <w:right w:val="none" w:sz="0" w:space="0" w:color="auto"/>
      </w:divBdr>
    </w:div>
    <w:div w:id="1105155235">
      <w:bodyDiv w:val="1"/>
      <w:marLeft w:val="0"/>
      <w:marRight w:val="0"/>
      <w:marTop w:val="0"/>
      <w:marBottom w:val="0"/>
      <w:divBdr>
        <w:top w:val="none" w:sz="0" w:space="0" w:color="auto"/>
        <w:left w:val="none" w:sz="0" w:space="0" w:color="auto"/>
        <w:bottom w:val="none" w:sz="0" w:space="0" w:color="auto"/>
        <w:right w:val="none" w:sz="0" w:space="0" w:color="auto"/>
      </w:divBdr>
    </w:div>
    <w:div w:id="1255477530">
      <w:bodyDiv w:val="1"/>
      <w:marLeft w:val="0"/>
      <w:marRight w:val="0"/>
      <w:marTop w:val="0"/>
      <w:marBottom w:val="0"/>
      <w:divBdr>
        <w:top w:val="none" w:sz="0" w:space="0" w:color="auto"/>
        <w:left w:val="none" w:sz="0" w:space="0" w:color="auto"/>
        <w:bottom w:val="none" w:sz="0" w:space="0" w:color="auto"/>
        <w:right w:val="none" w:sz="0" w:space="0" w:color="auto"/>
      </w:divBdr>
    </w:div>
    <w:div w:id="1405687093">
      <w:bodyDiv w:val="1"/>
      <w:marLeft w:val="0"/>
      <w:marRight w:val="0"/>
      <w:marTop w:val="0"/>
      <w:marBottom w:val="0"/>
      <w:divBdr>
        <w:top w:val="none" w:sz="0" w:space="0" w:color="auto"/>
        <w:left w:val="none" w:sz="0" w:space="0" w:color="auto"/>
        <w:bottom w:val="none" w:sz="0" w:space="0" w:color="auto"/>
        <w:right w:val="none" w:sz="0" w:space="0" w:color="auto"/>
      </w:divBdr>
      <w:divsChild>
        <w:div w:id="1030882595">
          <w:marLeft w:val="0"/>
          <w:marRight w:val="0"/>
          <w:marTop w:val="0"/>
          <w:marBottom w:val="0"/>
          <w:divBdr>
            <w:top w:val="single" w:sz="2" w:space="0" w:color="E3E3E3"/>
            <w:left w:val="single" w:sz="2" w:space="0" w:color="E3E3E3"/>
            <w:bottom w:val="single" w:sz="2" w:space="0" w:color="E3E3E3"/>
            <w:right w:val="single" w:sz="2" w:space="0" w:color="E3E3E3"/>
          </w:divBdr>
          <w:divsChild>
            <w:div w:id="1618676408">
              <w:marLeft w:val="0"/>
              <w:marRight w:val="0"/>
              <w:marTop w:val="0"/>
              <w:marBottom w:val="0"/>
              <w:divBdr>
                <w:top w:val="single" w:sz="2" w:space="0" w:color="E3E3E3"/>
                <w:left w:val="single" w:sz="2" w:space="0" w:color="E3E3E3"/>
                <w:bottom w:val="single" w:sz="2" w:space="0" w:color="E3E3E3"/>
                <w:right w:val="single" w:sz="2" w:space="0" w:color="E3E3E3"/>
              </w:divBdr>
              <w:divsChild>
                <w:div w:id="1288273891">
                  <w:marLeft w:val="0"/>
                  <w:marRight w:val="0"/>
                  <w:marTop w:val="0"/>
                  <w:marBottom w:val="0"/>
                  <w:divBdr>
                    <w:top w:val="single" w:sz="2" w:space="0" w:color="E3E3E3"/>
                    <w:left w:val="single" w:sz="2" w:space="0" w:color="E3E3E3"/>
                    <w:bottom w:val="single" w:sz="2" w:space="0" w:color="E3E3E3"/>
                    <w:right w:val="single" w:sz="2" w:space="0" w:color="E3E3E3"/>
                  </w:divBdr>
                  <w:divsChild>
                    <w:div w:id="1440568585">
                      <w:marLeft w:val="0"/>
                      <w:marRight w:val="0"/>
                      <w:marTop w:val="0"/>
                      <w:marBottom w:val="0"/>
                      <w:divBdr>
                        <w:top w:val="single" w:sz="2" w:space="0" w:color="E3E3E3"/>
                        <w:left w:val="single" w:sz="2" w:space="0" w:color="E3E3E3"/>
                        <w:bottom w:val="single" w:sz="2" w:space="0" w:color="E3E3E3"/>
                        <w:right w:val="single" w:sz="2" w:space="0" w:color="E3E3E3"/>
                      </w:divBdr>
                      <w:divsChild>
                        <w:div w:id="1368869692">
                          <w:marLeft w:val="0"/>
                          <w:marRight w:val="0"/>
                          <w:marTop w:val="0"/>
                          <w:marBottom w:val="0"/>
                          <w:divBdr>
                            <w:top w:val="single" w:sz="2" w:space="0" w:color="E3E3E3"/>
                            <w:left w:val="single" w:sz="2" w:space="0" w:color="E3E3E3"/>
                            <w:bottom w:val="single" w:sz="2" w:space="0" w:color="E3E3E3"/>
                            <w:right w:val="single" w:sz="2" w:space="0" w:color="E3E3E3"/>
                          </w:divBdr>
                          <w:divsChild>
                            <w:div w:id="423765067">
                              <w:marLeft w:val="0"/>
                              <w:marRight w:val="0"/>
                              <w:marTop w:val="100"/>
                              <w:marBottom w:val="100"/>
                              <w:divBdr>
                                <w:top w:val="single" w:sz="2" w:space="0" w:color="E3E3E3"/>
                                <w:left w:val="single" w:sz="2" w:space="0" w:color="E3E3E3"/>
                                <w:bottom w:val="single" w:sz="2" w:space="0" w:color="E3E3E3"/>
                                <w:right w:val="single" w:sz="2" w:space="0" w:color="E3E3E3"/>
                              </w:divBdr>
                              <w:divsChild>
                                <w:div w:id="224877755">
                                  <w:marLeft w:val="0"/>
                                  <w:marRight w:val="0"/>
                                  <w:marTop w:val="0"/>
                                  <w:marBottom w:val="0"/>
                                  <w:divBdr>
                                    <w:top w:val="single" w:sz="2" w:space="0" w:color="E3E3E3"/>
                                    <w:left w:val="single" w:sz="2" w:space="0" w:color="E3E3E3"/>
                                    <w:bottom w:val="single" w:sz="2" w:space="0" w:color="E3E3E3"/>
                                    <w:right w:val="single" w:sz="2" w:space="0" w:color="E3E3E3"/>
                                  </w:divBdr>
                                  <w:divsChild>
                                    <w:div w:id="851990871">
                                      <w:marLeft w:val="0"/>
                                      <w:marRight w:val="0"/>
                                      <w:marTop w:val="0"/>
                                      <w:marBottom w:val="0"/>
                                      <w:divBdr>
                                        <w:top w:val="single" w:sz="2" w:space="0" w:color="E3E3E3"/>
                                        <w:left w:val="single" w:sz="2" w:space="0" w:color="E3E3E3"/>
                                        <w:bottom w:val="single" w:sz="2" w:space="0" w:color="E3E3E3"/>
                                        <w:right w:val="single" w:sz="2" w:space="0" w:color="E3E3E3"/>
                                      </w:divBdr>
                                      <w:divsChild>
                                        <w:div w:id="1877232586">
                                          <w:marLeft w:val="0"/>
                                          <w:marRight w:val="0"/>
                                          <w:marTop w:val="0"/>
                                          <w:marBottom w:val="0"/>
                                          <w:divBdr>
                                            <w:top w:val="single" w:sz="2" w:space="0" w:color="E3E3E3"/>
                                            <w:left w:val="single" w:sz="2" w:space="0" w:color="E3E3E3"/>
                                            <w:bottom w:val="single" w:sz="2" w:space="0" w:color="E3E3E3"/>
                                            <w:right w:val="single" w:sz="2" w:space="0" w:color="E3E3E3"/>
                                          </w:divBdr>
                                          <w:divsChild>
                                            <w:div w:id="1822648624">
                                              <w:marLeft w:val="0"/>
                                              <w:marRight w:val="0"/>
                                              <w:marTop w:val="0"/>
                                              <w:marBottom w:val="0"/>
                                              <w:divBdr>
                                                <w:top w:val="single" w:sz="2" w:space="0" w:color="E3E3E3"/>
                                                <w:left w:val="single" w:sz="2" w:space="0" w:color="E3E3E3"/>
                                                <w:bottom w:val="single" w:sz="2" w:space="0" w:color="E3E3E3"/>
                                                <w:right w:val="single" w:sz="2" w:space="0" w:color="E3E3E3"/>
                                              </w:divBdr>
                                              <w:divsChild>
                                                <w:div w:id="1058747842">
                                                  <w:marLeft w:val="0"/>
                                                  <w:marRight w:val="0"/>
                                                  <w:marTop w:val="0"/>
                                                  <w:marBottom w:val="0"/>
                                                  <w:divBdr>
                                                    <w:top w:val="single" w:sz="2" w:space="0" w:color="E3E3E3"/>
                                                    <w:left w:val="single" w:sz="2" w:space="0" w:color="E3E3E3"/>
                                                    <w:bottom w:val="single" w:sz="2" w:space="0" w:color="E3E3E3"/>
                                                    <w:right w:val="single" w:sz="2" w:space="0" w:color="E3E3E3"/>
                                                  </w:divBdr>
                                                  <w:divsChild>
                                                    <w:div w:id="8654138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20244648">
          <w:marLeft w:val="0"/>
          <w:marRight w:val="0"/>
          <w:marTop w:val="0"/>
          <w:marBottom w:val="0"/>
          <w:divBdr>
            <w:top w:val="none" w:sz="0" w:space="0" w:color="auto"/>
            <w:left w:val="none" w:sz="0" w:space="0" w:color="auto"/>
            <w:bottom w:val="none" w:sz="0" w:space="0" w:color="auto"/>
            <w:right w:val="none" w:sz="0" w:space="0" w:color="auto"/>
          </w:divBdr>
        </w:div>
      </w:divsChild>
    </w:div>
    <w:div w:id="1448234045">
      <w:bodyDiv w:val="1"/>
      <w:marLeft w:val="0"/>
      <w:marRight w:val="0"/>
      <w:marTop w:val="0"/>
      <w:marBottom w:val="0"/>
      <w:divBdr>
        <w:top w:val="none" w:sz="0" w:space="0" w:color="auto"/>
        <w:left w:val="none" w:sz="0" w:space="0" w:color="auto"/>
        <w:bottom w:val="none" w:sz="0" w:space="0" w:color="auto"/>
        <w:right w:val="none" w:sz="0" w:space="0" w:color="auto"/>
      </w:divBdr>
    </w:div>
    <w:div w:id="1466459668">
      <w:bodyDiv w:val="1"/>
      <w:marLeft w:val="0"/>
      <w:marRight w:val="0"/>
      <w:marTop w:val="0"/>
      <w:marBottom w:val="0"/>
      <w:divBdr>
        <w:top w:val="none" w:sz="0" w:space="0" w:color="auto"/>
        <w:left w:val="none" w:sz="0" w:space="0" w:color="auto"/>
        <w:bottom w:val="none" w:sz="0" w:space="0" w:color="auto"/>
        <w:right w:val="none" w:sz="0" w:space="0" w:color="auto"/>
      </w:divBdr>
    </w:div>
    <w:div w:id="1609653784">
      <w:bodyDiv w:val="1"/>
      <w:marLeft w:val="0"/>
      <w:marRight w:val="0"/>
      <w:marTop w:val="0"/>
      <w:marBottom w:val="0"/>
      <w:divBdr>
        <w:top w:val="none" w:sz="0" w:space="0" w:color="auto"/>
        <w:left w:val="none" w:sz="0" w:space="0" w:color="auto"/>
        <w:bottom w:val="none" w:sz="0" w:space="0" w:color="auto"/>
        <w:right w:val="none" w:sz="0" w:space="0" w:color="auto"/>
      </w:divBdr>
    </w:div>
    <w:div w:id="1768958507">
      <w:bodyDiv w:val="1"/>
      <w:marLeft w:val="0"/>
      <w:marRight w:val="0"/>
      <w:marTop w:val="0"/>
      <w:marBottom w:val="0"/>
      <w:divBdr>
        <w:top w:val="none" w:sz="0" w:space="0" w:color="auto"/>
        <w:left w:val="none" w:sz="0" w:space="0" w:color="auto"/>
        <w:bottom w:val="none" w:sz="0" w:space="0" w:color="auto"/>
        <w:right w:val="none" w:sz="0" w:space="0" w:color="auto"/>
      </w:divBdr>
    </w:div>
    <w:div w:id="1851674506">
      <w:bodyDiv w:val="1"/>
      <w:marLeft w:val="0"/>
      <w:marRight w:val="0"/>
      <w:marTop w:val="0"/>
      <w:marBottom w:val="0"/>
      <w:divBdr>
        <w:top w:val="none" w:sz="0" w:space="0" w:color="auto"/>
        <w:left w:val="none" w:sz="0" w:space="0" w:color="auto"/>
        <w:bottom w:val="none" w:sz="0" w:space="0" w:color="auto"/>
        <w:right w:val="none" w:sz="0" w:space="0" w:color="auto"/>
      </w:divBdr>
    </w:div>
    <w:div w:id="1854764808">
      <w:bodyDiv w:val="1"/>
      <w:marLeft w:val="0"/>
      <w:marRight w:val="0"/>
      <w:marTop w:val="0"/>
      <w:marBottom w:val="0"/>
      <w:divBdr>
        <w:top w:val="none" w:sz="0" w:space="0" w:color="auto"/>
        <w:left w:val="none" w:sz="0" w:space="0" w:color="auto"/>
        <w:bottom w:val="none" w:sz="0" w:space="0" w:color="auto"/>
        <w:right w:val="none" w:sz="0" w:space="0" w:color="auto"/>
      </w:divBdr>
    </w:div>
    <w:div w:id="1888032390">
      <w:bodyDiv w:val="1"/>
      <w:marLeft w:val="0"/>
      <w:marRight w:val="0"/>
      <w:marTop w:val="0"/>
      <w:marBottom w:val="0"/>
      <w:divBdr>
        <w:top w:val="none" w:sz="0" w:space="0" w:color="auto"/>
        <w:left w:val="none" w:sz="0" w:space="0" w:color="auto"/>
        <w:bottom w:val="none" w:sz="0" w:space="0" w:color="auto"/>
        <w:right w:val="none" w:sz="0" w:space="0" w:color="auto"/>
      </w:divBdr>
    </w:div>
    <w:div w:id="191412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teacher.net/cases/r-v-cunningham.php?vref=1" TargetMode="External"/><Relationship Id="rId13" Type="http://schemas.openxmlformats.org/officeDocument/2006/relationships/hyperlink" Target="https://www.legislation.gov.uk/ukpga/1984/60/contents" TargetMode="External"/><Relationship Id="rId18" Type="http://schemas.openxmlformats.org/officeDocument/2006/relationships/hyperlink" Target="https://www.legislation.gov.uk/ukpga/2012/10/contents" TargetMode="External"/><Relationship Id="rId3" Type="http://schemas.openxmlformats.org/officeDocument/2006/relationships/styles" Target="styles.xml"/><Relationship Id="rId7" Type="http://schemas.openxmlformats.org/officeDocument/2006/relationships/hyperlink" Target="https://www.makwanas.co.uk/criminal-assault/" TargetMode="External"/><Relationship Id="rId12" Type="http://schemas.openxmlformats.org/officeDocument/2006/relationships/hyperlink" Target="https://www.sentencingcouncil.org.uk/publications/item/assault-definitive-guideline/" TargetMode="External"/><Relationship Id="rId17" Type="http://schemas.openxmlformats.org/officeDocument/2006/relationships/hyperlink" Target="https://www.libertyhumanrights.org.uk/issue/know-your-rights-police-stop-and-scan-technology/" TargetMode="External"/><Relationship Id="rId2" Type="http://schemas.openxmlformats.org/officeDocument/2006/relationships/numbering" Target="numbering.xml"/><Relationship Id="rId16" Type="http://schemas.openxmlformats.org/officeDocument/2006/relationships/hyperlink" Target="https://www.legislation.gov.uk/ukpga/1998/42/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legislation.gov.uk/ukpga/Vict/24-25/100/contents" TargetMode="External"/><Relationship Id="rId11" Type="http://schemas.openxmlformats.org/officeDocument/2006/relationships/hyperlink" Target="https://www.legislation.gov.uk/ukpga/1976/63" TargetMode="External"/><Relationship Id="rId5" Type="http://schemas.openxmlformats.org/officeDocument/2006/relationships/webSettings" Target="webSettings.xml"/><Relationship Id="rId15" Type="http://schemas.openxmlformats.org/officeDocument/2006/relationships/hyperlink" Target="https://www.legislation.gov.uk/ukpga/2012/10/contents" TargetMode="External"/><Relationship Id="rId10" Type="http://schemas.openxmlformats.org/officeDocument/2006/relationships/hyperlink" Target="https://www.legislation.gov.uk/ukpga/1988/33/section/39https://www.legislation.gov.uk/ukpga/1988/33/section/39b"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awteacher.net/cases/r-v-miller-1954.php" TargetMode="External"/><Relationship Id="rId14" Type="http://schemas.openxmlformats.org/officeDocument/2006/relationships/hyperlink" Target="https://www.legislation.gov.uk/ukpga/1994/33/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B1CE8-596A-47F0-8837-2B32FCF42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7</Pages>
  <Words>1744</Words>
  <Characters>10254</Characters>
  <Application>Microsoft Office Word</Application>
  <DocSecurity>0</DocSecurity>
  <Lines>196</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Salimata Traore</dc:creator>
  <cp:keywords/>
  <dc:description/>
  <cp:lastModifiedBy>Salimata Traore</cp:lastModifiedBy>
  <cp:revision>201</cp:revision>
  <dcterms:created xsi:type="dcterms:W3CDTF">2024-02-29T17:04:00Z</dcterms:created>
  <dcterms:modified xsi:type="dcterms:W3CDTF">2024-03-14T23:18:00Z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1ae50303-2d11-4e03-8258-0aa1cff0f5a4</vt:lpwstr>
  </property>
</Properties>
</file>