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HAnsi" w:hAnsiTheme="minorHAnsi" w:cstheme="minorBidi"/>
          <w:color w:val="auto"/>
          <w:kern w:val="2"/>
          <w:sz w:val="24"/>
          <w:szCs w:val="24"/>
          <w:lang w:val="en-IN"/>
          <w14:ligatures w14:val="standardContextual"/>
        </w:rPr>
        <w:id w:val="455452211"/>
        <w:docPartObj>
          <w:docPartGallery w:val="Table of Contents"/>
          <w:docPartUnique/>
        </w:docPartObj>
      </w:sdtPr>
      <w:sdtEndPr>
        <w:rPr>
          <w:b/>
          <w:bCs/>
          <w:noProof/>
        </w:rPr>
      </w:sdtEndPr>
      <w:sdtContent>
        <w:p w14:paraId="7DA19A3F" w14:textId="084F78B6" w:rsidR="00E04A48" w:rsidRDefault="00E04A48" w:rsidP="00E04A48">
          <w:pPr>
            <w:pStyle w:val="TOCHeading"/>
          </w:pPr>
        </w:p>
        <w:p w14:paraId="3BA75FF1" w14:textId="10F8A26D" w:rsidR="006F1EE4" w:rsidRDefault="00847B17"/>
      </w:sdtContent>
    </w:sdt>
    <w:p w14:paraId="44F7AAAD" w14:textId="77777777" w:rsidR="005456E1" w:rsidRDefault="005456E1" w:rsidP="005456E1">
      <w:pPr>
        <w:spacing w:line="360" w:lineRule="auto"/>
        <w:jc w:val="center"/>
      </w:pPr>
      <w:r>
        <w:rPr>
          <w:noProof/>
        </w:rPr>
        <w:drawing>
          <wp:inline distT="0" distB="0" distL="0" distR="0" wp14:anchorId="6EE75CA2" wp14:editId="3CD9AE8F">
            <wp:extent cx="3810330" cy="1627773"/>
            <wp:effectExtent l="0" t="0" r="0" b="0"/>
            <wp:docPr id="130636002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360025" name="Picture 1306360025"/>
                    <pic:cNvPicPr/>
                  </pic:nvPicPr>
                  <pic:blipFill>
                    <a:blip r:embed="rId8">
                      <a:extLst>
                        <a:ext uri="{28A0092B-C50C-407E-A947-70E740481C1C}">
                          <a14:useLocalDpi xmlns:a14="http://schemas.microsoft.com/office/drawing/2010/main"/>
                        </a:ext>
                      </a:extLst>
                    </a:blip>
                    <a:stretch>
                      <a:fillRect/>
                    </a:stretch>
                  </pic:blipFill>
                  <pic:spPr>
                    <a:xfrm>
                      <a:off x="0" y="0"/>
                      <a:ext cx="3810330" cy="1627773"/>
                    </a:xfrm>
                    <a:prstGeom prst="rect">
                      <a:avLst/>
                    </a:prstGeom>
                  </pic:spPr>
                </pic:pic>
              </a:graphicData>
            </a:graphic>
          </wp:inline>
        </w:drawing>
      </w:r>
    </w:p>
    <w:p w14:paraId="6C5B97BF" w14:textId="77777777" w:rsidR="005456E1" w:rsidRDefault="005456E1" w:rsidP="005456E1">
      <w:pPr>
        <w:spacing w:line="360" w:lineRule="auto"/>
        <w:rPr>
          <w:lang w:val="en-US"/>
        </w:rPr>
      </w:pPr>
    </w:p>
    <w:p w14:paraId="10D95F9E" w14:textId="77777777" w:rsidR="005456E1" w:rsidRDefault="005456E1" w:rsidP="005456E1">
      <w:pPr>
        <w:spacing w:line="360" w:lineRule="auto"/>
        <w:rPr>
          <w:rFonts w:ascii="Arial" w:eastAsia="Arial" w:hAnsi="Arial" w:cs="Arial"/>
          <w:lang w:val="en-US"/>
        </w:rPr>
      </w:pPr>
    </w:p>
    <w:p w14:paraId="7E35F328" w14:textId="77777777" w:rsidR="005456E1" w:rsidRDefault="005456E1" w:rsidP="005456E1">
      <w:pPr>
        <w:spacing w:line="360" w:lineRule="auto"/>
        <w:jc w:val="center"/>
        <w:rPr>
          <w:rFonts w:ascii="Arial" w:eastAsia="Arial" w:hAnsi="Arial" w:cs="Arial"/>
          <w:b/>
          <w:bCs/>
          <w:lang w:val="en-US"/>
        </w:rPr>
      </w:pPr>
      <w:r w:rsidRPr="290B13FD">
        <w:rPr>
          <w:rFonts w:ascii="Arial" w:eastAsia="Arial" w:hAnsi="Arial" w:cs="Arial"/>
          <w:b/>
          <w:bCs/>
          <w:lang w:val="en-US"/>
        </w:rPr>
        <w:t>Student Name: Shyam SatishKumar Patel</w:t>
      </w:r>
    </w:p>
    <w:p w14:paraId="76BE3FA9" w14:textId="77777777" w:rsidR="005456E1" w:rsidRDefault="005456E1" w:rsidP="005456E1">
      <w:pPr>
        <w:spacing w:line="360" w:lineRule="auto"/>
        <w:jc w:val="center"/>
        <w:rPr>
          <w:rFonts w:ascii="Arial" w:eastAsia="Arial" w:hAnsi="Arial" w:cs="Arial"/>
          <w:b/>
          <w:bCs/>
          <w:lang w:val="en-US"/>
        </w:rPr>
      </w:pPr>
      <w:r w:rsidRPr="290B13FD">
        <w:rPr>
          <w:rFonts w:ascii="Arial" w:eastAsia="Arial" w:hAnsi="Arial" w:cs="Arial"/>
          <w:b/>
          <w:bCs/>
          <w:lang w:val="en-US"/>
        </w:rPr>
        <w:t xml:space="preserve"> </w:t>
      </w:r>
    </w:p>
    <w:p w14:paraId="7B9D3997" w14:textId="77777777" w:rsidR="005456E1" w:rsidRDefault="005456E1" w:rsidP="005456E1">
      <w:pPr>
        <w:spacing w:line="360" w:lineRule="auto"/>
        <w:jc w:val="center"/>
        <w:rPr>
          <w:rFonts w:ascii="Arial" w:eastAsia="Arial" w:hAnsi="Arial" w:cs="Arial"/>
          <w:b/>
          <w:bCs/>
          <w:lang w:val="en-US"/>
        </w:rPr>
      </w:pPr>
      <w:r w:rsidRPr="290B13FD">
        <w:rPr>
          <w:rFonts w:ascii="Arial" w:eastAsia="Arial" w:hAnsi="Arial" w:cs="Arial"/>
          <w:b/>
          <w:bCs/>
          <w:lang w:val="en-US"/>
        </w:rPr>
        <w:t>Student ID: 2520602</w:t>
      </w:r>
    </w:p>
    <w:p w14:paraId="59B75828" w14:textId="77777777" w:rsidR="005456E1" w:rsidRDefault="005456E1" w:rsidP="005456E1">
      <w:pPr>
        <w:spacing w:line="360" w:lineRule="auto"/>
        <w:jc w:val="center"/>
        <w:rPr>
          <w:rFonts w:ascii="Arial" w:eastAsia="Arial" w:hAnsi="Arial" w:cs="Arial"/>
          <w:b/>
          <w:bCs/>
          <w:lang w:val="en-US"/>
        </w:rPr>
      </w:pPr>
      <w:r w:rsidRPr="290B13FD">
        <w:rPr>
          <w:rFonts w:ascii="Arial" w:eastAsia="Arial" w:hAnsi="Arial" w:cs="Arial"/>
          <w:b/>
          <w:bCs/>
          <w:lang w:val="en-US"/>
        </w:rPr>
        <w:t xml:space="preserve"> </w:t>
      </w:r>
    </w:p>
    <w:p w14:paraId="69BDCB93" w14:textId="79DF9A1F" w:rsidR="005456E1" w:rsidRDefault="005456E1" w:rsidP="005456E1">
      <w:pPr>
        <w:spacing w:line="360" w:lineRule="auto"/>
        <w:jc w:val="center"/>
        <w:rPr>
          <w:rFonts w:ascii="Arial" w:eastAsia="Arial" w:hAnsi="Arial" w:cs="Arial"/>
          <w:b/>
          <w:bCs/>
          <w:lang w:val="en-US"/>
        </w:rPr>
      </w:pPr>
      <w:r w:rsidRPr="290B13FD">
        <w:rPr>
          <w:rFonts w:ascii="Arial" w:eastAsia="Arial" w:hAnsi="Arial" w:cs="Arial"/>
          <w:b/>
          <w:bCs/>
          <w:lang w:val="en-US"/>
        </w:rPr>
        <w:t xml:space="preserve">Module Name: </w:t>
      </w:r>
      <w:r w:rsidR="00C604CE">
        <w:rPr>
          <w:rFonts w:ascii="Arial" w:eastAsia="Arial" w:hAnsi="Arial" w:cs="Arial"/>
          <w:b/>
          <w:bCs/>
          <w:lang w:val="en-US"/>
        </w:rPr>
        <w:t>In</w:t>
      </w:r>
      <w:r w:rsidR="00FF39EE">
        <w:rPr>
          <w:rFonts w:ascii="Arial" w:eastAsia="Arial" w:hAnsi="Arial" w:cs="Arial"/>
          <w:b/>
          <w:bCs/>
          <w:lang w:val="en-US"/>
        </w:rPr>
        <w:t>ternational Marketing</w:t>
      </w:r>
      <w:r w:rsidR="00767283">
        <w:rPr>
          <w:rFonts w:ascii="Arial" w:eastAsia="Arial" w:hAnsi="Arial" w:cs="Arial"/>
          <w:b/>
          <w:bCs/>
          <w:lang w:val="en-US"/>
        </w:rPr>
        <w:t>: Principles and Pract</w:t>
      </w:r>
      <w:r w:rsidR="008553BB">
        <w:rPr>
          <w:rFonts w:ascii="Arial" w:eastAsia="Arial" w:hAnsi="Arial" w:cs="Arial"/>
          <w:b/>
          <w:bCs/>
          <w:lang w:val="en-US"/>
        </w:rPr>
        <w:t>ices</w:t>
      </w:r>
      <w:r w:rsidR="00E75919">
        <w:rPr>
          <w:rFonts w:ascii="Arial" w:eastAsia="Arial" w:hAnsi="Arial" w:cs="Arial"/>
          <w:b/>
          <w:bCs/>
          <w:lang w:val="en-US"/>
        </w:rPr>
        <w:t xml:space="preserve"> </w:t>
      </w:r>
    </w:p>
    <w:p w14:paraId="3137A676" w14:textId="77777777" w:rsidR="005456E1" w:rsidRDefault="005456E1" w:rsidP="005456E1">
      <w:pPr>
        <w:spacing w:line="360" w:lineRule="auto"/>
        <w:ind w:left="3478"/>
        <w:jc w:val="center"/>
        <w:rPr>
          <w:rFonts w:ascii="Arial" w:eastAsia="Arial" w:hAnsi="Arial" w:cs="Arial"/>
          <w:b/>
          <w:bCs/>
          <w:lang w:val="en-US"/>
        </w:rPr>
      </w:pPr>
      <w:r w:rsidRPr="290B13FD">
        <w:rPr>
          <w:rFonts w:ascii="Arial" w:eastAsia="Arial" w:hAnsi="Arial" w:cs="Arial"/>
          <w:b/>
          <w:bCs/>
          <w:lang w:val="en-US"/>
        </w:rPr>
        <w:t xml:space="preserve"> </w:t>
      </w:r>
    </w:p>
    <w:p w14:paraId="3EF9D176" w14:textId="7D23E4F3" w:rsidR="005456E1" w:rsidRDefault="005456E1" w:rsidP="005456E1">
      <w:pPr>
        <w:spacing w:line="360" w:lineRule="auto"/>
        <w:jc w:val="center"/>
        <w:rPr>
          <w:rFonts w:ascii="Arial" w:eastAsia="Arial" w:hAnsi="Arial" w:cs="Arial"/>
          <w:b/>
          <w:bCs/>
          <w:lang w:val="en-US"/>
        </w:rPr>
      </w:pPr>
      <w:r w:rsidRPr="290B13FD">
        <w:rPr>
          <w:rFonts w:ascii="Arial" w:eastAsia="Arial" w:hAnsi="Arial" w:cs="Arial"/>
          <w:b/>
          <w:bCs/>
          <w:lang w:val="en-US"/>
        </w:rPr>
        <w:t>Module Code: LCMB</w:t>
      </w:r>
      <w:r w:rsidR="00C604CE">
        <w:rPr>
          <w:rFonts w:ascii="Arial" w:eastAsia="Arial" w:hAnsi="Arial" w:cs="Arial"/>
          <w:b/>
          <w:bCs/>
          <w:lang w:val="en-US"/>
        </w:rPr>
        <w:t>7026</w:t>
      </w:r>
    </w:p>
    <w:p w14:paraId="10E5787B" w14:textId="77777777" w:rsidR="005456E1" w:rsidRDefault="005456E1" w:rsidP="005456E1">
      <w:pPr>
        <w:spacing w:line="360" w:lineRule="auto"/>
        <w:ind w:left="3478"/>
        <w:jc w:val="center"/>
        <w:rPr>
          <w:rFonts w:ascii="Arial" w:eastAsia="Arial" w:hAnsi="Arial" w:cs="Arial"/>
          <w:b/>
          <w:bCs/>
          <w:lang w:val="en-US"/>
        </w:rPr>
      </w:pPr>
      <w:r w:rsidRPr="290B13FD">
        <w:rPr>
          <w:rFonts w:ascii="Arial" w:eastAsia="Arial" w:hAnsi="Arial" w:cs="Arial"/>
          <w:b/>
          <w:bCs/>
          <w:lang w:val="en-US"/>
        </w:rPr>
        <w:t xml:space="preserve"> </w:t>
      </w:r>
    </w:p>
    <w:p w14:paraId="4E4BCDA4" w14:textId="218872A8" w:rsidR="005456E1" w:rsidRDefault="005456E1" w:rsidP="005456E1">
      <w:pPr>
        <w:spacing w:line="360" w:lineRule="auto"/>
        <w:jc w:val="center"/>
        <w:rPr>
          <w:rFonts w:ascii="Arial" w:eastAsia="Arial" w:hAnsi="Arial" w:cs="Arial"/>
          <w:b/>
          <w:bCs/>
          <w:lang w:val="en-US"/>
        </w:rPr>
      </w:pPr>
      <w:r w:rsidRPr="290B13FD">
        <w:rPr>
          <w:rFonts w:ascii="Arial" w:eastAsia="Arial" w:hAnsi="Arial" w:cs="Arial"/>
          <w:b/>
          <w:bCs/>
          <w:lang w:val="en-US"/>
        </w:rPr>
        <w:t>Lecturer’s Name:  D</w:t>
      </w:r>
      <w:r>
        <w:rPr>
          <w:rFonts w:ascii="Arial" w:eastAsia="Arial" w:hAnsi="Arial" w:cs="Arial"/>
          <w:b/>
          <w:bCs/>
          <w:lang w:val="en-US"/>
        </w:rPr>
        <w:t>r</w:t>
      </w:r>
      <w:r w:rsidRPr="290B13FD">
        <w:rPr>
          <w:rFonts w:ascii="Arial" w:eastAsia="Arial" w:hAnsi="Arial" w:cs="Arial"/>
          <w:b/>
          <w:bCs/>
          <w:lang w:val="en-US"/>
        </w:rPr>
        <w:t xml:space="preserve"> </w:t>
      </w:r>
      <w:r w:rsidR="00640920">
        <w:rPr>
          <w:rFonts w:ascii="Arial" w:eastAsia="Arial" w:hAnsi="Arial" w:cs="Arial"/>
          <w:b/>
          <w:bCs/>
          <w:lang w:val="en-US"/>
        </w:rPr>
        <w:t>Piyumika Gamage</w:t>
      </w:r>
    </w:p>
    <w:p w14:paraId="4D1CE6F1" w14:textId="77777777" w:rsidR="005456E1" w:rsidRDefault="005456E1" w:rsidP="005456E1">
      <w:pPr>
        <w:spacing w:line="360" w:lineRule="auto"/>
        <w:ind w:left="3478"/>
        <w:jc w:val="center"/>
        <w:rPr>
          <w:rFonts w:ascii="Arial" w:eastAsia="Arial" w:hAnsi="Arial" w:cs="Arial"/>
          <w:b/>
          <w:bCs/>
          <w:lang w:val="en-US"/>
        </w:rPr>
      </w:pPr>
      <w:r w:rsidRPr="290B13FD">
        <w:rPr>
          <w:rFonts w:ascii="Arial" w:eastAsia="Arial" w:hAnsi="Arial" w:cs="Arial"/>
          <w:b/>
          <w:bCs/>
          <w:lang w:val="en-US"/>
        </w:rPr>
        <w:t xml:space="preserve"> </w:t>
      </w:r>
    </w:p>
    <w:p w14:paraId="68D487A3" w14:textId="0E2B151F" w:rsidR="005456E1" w:rsidRDefault="005456E1" w:rsidP="005456E1">
      <w:pPr>
        <w:spacing w:line="360" w:lineRule="auto"/>
        <w:jc w:val="center"/>
        <w:rPr>
          <w:rFonts w:ascii="Arial" w:eastAsia="Arial" w:hAnsi="Arial" w:cs="Arial"/>
          <w:b/>
          <w:bCs/>
          <w:lang w:val="en-US"/>
        </w:rPr>
      </w:pPr>
      <w:r w:rsidRPr="290B13FD">
        <w:rPr>
          <w:rFonts w:ascii="Arial" w:eastAsia="Arial" w:hAnsi="Arial" w:cs="Arial"/>
          <w:b/>
          <w:bCs/>
          <w:lang w:val="en-US"/>
        </w:rPr>
        <w:t xml:space="preserve">Word Count: </w:t>
      </w:r>
      <w:r w:rsidR="00A11EC6">
        <w:rPr>
          <w:rFonts w:ascii="Arial" w:eastAsia="Arial" w:hAnsi="Arial" w:cs="Arial"/>
          <w:b/>
          <w:bCs/>
          <w:lang w:val="en-US"/>
        </w:rPr>
        <w:t>5369</w:t>
      </w:r>
    </w:p>
    <w:p w14:paraId="3C645B1F" w14:textId="77777777" w:rsidR="005456E1" w:rsidRDefault="005456E1" w:rsidP="005456E1">
      <w:pPr>
        <w:spacing w:line="360" w:lineRule="auto"/>
        <w:ind w:left="3478"/>
        <w:rPr>
          <w:rFonts w:ascii="Arial" w:eastAsia="Arial" w:hAnsi="Arial" w:cs="Arial"/>
          <w:b/>
          <w:bCs/>
          <w:lang w:val="en-US"/>
        </w:rPr>
      </w:pPr>
      <w:r w:rsidRPr="290B13FD">
        <w:rPr>
          <w:rFonts w:ascii="Arial" w:eastAsia="Arial" w:hAnsi="Arial" w:cs="Arial"/>
          <w:b/>
          <w:bCs/>
          <w:lang w:val="en-US"/>
        </w:rPr>
        <w:t xml:space="preserve"> </w:t>
      </w:r>
    </w:p>
    <w:p w14:paraId="7108851B" w14:textId="3D06F5B0" w:rsidR="005456E1" w:rsidRDefault="005456E1" w:rsidP="005456E1">
      <w:pPr>
        <w:spacing w:line="360" w:lineRule="auto"/>
        <w:jc w:val="center"/>
        <w:rPr>
          <w:rFonts w:ascii="Arial" w:eastAsia="Arial" w:hAnsi="Arial" w:cs="Arial"/>
          <w:b/>
          <w:bCs/>
          <w:lang w:val="en-US"/>
        </w:rPr>
      </w:pPr>
      <w:r w:rsidRPr="290B13FD">
        <w:rPr>
          <w:rFonts w:ascii="Arial" w:eastAsia="Arial" w:hAnsi="Arial" w:cs="Arial"/>
          <w:b/>
          <w:bCs/>
          <w:lang w:val="en-US"/>
        </w:rPr>
        <w:t xml:space="preserve">Term </w:t>
      </w:r>
      <w:r>
        <w:rPr>
          <w:rFonts w:ascii="Arial" w:eastAsia="Arial" w:hAnsi="Arial" w:cs="Arial"/>
          <w:b/>
          <w:bCs/>
          <w:lang w:val="en-US"/>
        </w:rPr>
        <w:t>2</w:t>
      </w:r>
    </w:p>
    <w:p w14:paraId="6DF43B5A" w14:textId="77777777" w:rsidR="006F1EE4" w:rsidRDefault="006F1EE4" w:rsidP="006F1EE4">
      <w:pPr>
        <w:pStyle w:val="Heading1"/>
        <w:spacing w:line="360" w:lineRule="auto"/>
        <w:rPr>
          <w:rFonts w:ascii="Arial" w:hAnsi="Arial" w:cs="Arial"/>
          <w:sz w:val="24"/>
          <w:szCs w:val="24"/>
        </w:rPr>
      </w:pPr>
    </w:p>
    <w:p w14:paraId="0DFDCA6F" w14:textId="77777777" w:rsidR="006F1EE4" w:rsidRDefault="006F1EE4" w:rsidP="006F1EE4"/>
    <w:p w14:paraId="60E2591E" w14:textId="4028D335" w:rsidR="00E04A48" w:rsidRDefault="00E04A48" w:rsidP="006F1EE4"/>
    <w:p w14:paraId="793B7E01" w14:textId="77777777" w:rsidR="00E04A48" w:rsidRDefault="00E04A48">
      <w:r>
        <w:br w:type="page"/>
      </w:r>
    </w:p>
    <w:p w14:paraId="1F920725" w14:textId="77777777" w:rsidR="006F1EE4" w:rsidRDefault="006F1EE4" w:rsidP="006F1EE4"/>
    <w:sdt>
      <w:sdtPr>
        <w:rPr>
          <w:rFonts w:asciiTheme="minorHAnsi" w:eastAsiaTheme="minorHAnsi" w:hAnsiTheme="minorHAnsi" w:cstheme="minorBidi"/>
          <w:color w:val="auto"/>
          <w:kern w:val="2"/>
          <w:sz w:val="24"/>
          <w:szCs w:val="24"/>
          <w:lang w:val="en-IN"/>
          <w14:ligatures w14:val="standardContextual"/>
        </w:rPr>
        <w:id w:val="1258868252"/>
        <w:docPartObj>
          <w:docPartGallery w:val="Table of Contents"/>
          <w:docPartUnique/>
        </w:docPartObj>
      </w:sdtPr>
      <w:sdtEndPr>
        <w:rPr>
          <w:b/>
          <w:bCs/>
          <w:noProof/>
        </w:rPr>
      </w:sdtEndPr>
      <w:sdtContent>
        <w:p w14:paraId="387CEB0E" w14:textId="77777777" w:rsidR="00E04A48" w:rsidRDefault="00E04A48" w:rsidP="00E04A48">
          <w:pPr>
            <w:pStyle w:val="TOCHeading"/>
          </w:pPr>
          <w:r>
            <w:t>Table of Contents</w:t>
          </w:r>
        </w:p>
        <w:p w14:paraId="4893F93C" w14:textId="2DFDA1BA" w:rsidR="00D40EF5" w:rsidRDefault="00E04A48">
          <w:pPr>
            <w:pStyle w:val="TOC1"/>
            <w:tabs>
              <w:tab w:val="left" w:pos="480"/>
              <w:tab w:val="right" w:leader="dot" w:pos="10456"/>
            </w:tabs>
            <w:rPr>
              <w:rFonts w:eastAsiaTheme="minorEastAsia"/>
              <w:noProof/>
              <w:lang w:val="en-CA" w:eastAsia="en-CA"/>
            </w:rPr>
          </w:pPr>
          <w:r>
            <w:fldChar w:fldCharType="begin"/>
          </w:r>
          <w:r>
            <w:instrText xml:space="preserve"> TOC \o "1-3" \h \z \u </w:instrText>
          </w:r>
          <w:r>
            <w:fldChar w:fldCharType="separate"/>
          </w:r>
          <w:hyperlink w:anchor="_Toc236641010" w:history="1">
            <w:r w:rsidR="00D40EF5" w:rsidRPr="00E550BC">
              <w:rPr>
                <w:rStyle w:val="Hyperlink"/>
                <w:rFonts w:ascii="Arial" w:hAnsi="Arial" w:cs="Arial"/>
                <w:noProof/>
              </w:rPr>
              <w:t>1.</w:t>
            </w:r>
            <w:r w:rsidR="00D40EF5">
              <w:rPr>
                <w:rFonts w:eastAsiaTheme="minorEastAsia"/>
                <w:noProof/>
                <w:lang w:val="en-CA" w:eastAsia="en-CA"/>
              </w:rPr>
              <w:tab/>
            </w:r>
            <w:r w:rsidR="00D40EF5" w:rsidRPr="00E550BC">
              <w:rPr>
                <w:rStyle w:val="Hyperlink"/>
                <w:rFonts w:ascii="Arial" w:hAnsi="Arial" w:cs="Arial"/>
                <w:noProof/>
              </w:rPr>
              <w:t>Introduction</w:t>
            </w:r>
            <w:r w:rsidR="00D40EF5">
              <w:rPr>
                <w:noProof/>
                <w:webHidden/>
              </w:rPr>
              <w:tab/>
            </w:r>
            <w:r w:rsidR="00D40EF5">
              <w:rPr>
                <w:noProof/>
                <w:webHidden/>
              </w:rPr>
              <w:fldChar w:fldCharType="begin"/>
            </w:r>
            <w:r w:rsidR="00D40EF5">
              <w:rPr>
                <w:noProof/>
                <w:webHidden/>
              </w:rPr>
              <w:instrText xml:space="preserve"> PAGEREF _Toc236641010 \h </w:instrText>
            </w:r>
            <w:r w:rsidR="00D40EF5">
              <w:rPr>
                <w:noProof/>
                <w:webHidden/>
              </w:rPr>
            </w:r>
            <w:r w:rsidR="00D40EF5">
              <w:rPr>
                <w:noProof/>
                <w:webHidden/>
              </w:rPr>
              <w:fldChar w:fldCharType="separate"/>
            </w:r>
            <w:r w:rsidR="00D40EF5">
              <w:rPr>
                <w:noProof/>
                <w:webHidden/>
              </w:rPr>
              <w:t>3</w:t>
            </w:r>
            <w:r w:rsidR="00D40EF5">
              <w:rPr>
                <w:noProof/>
                <w:webHidden/>
              </w:rPr>
              <w:fldChar w:fldCharType="end"/>
            </w:r>
          </w:hyperlink>
        </w:p>
        <w:p w14:paraId="6FCD509B" w14:textId="7C75AD4F" w:rsidR="00D40EF5" w:rsidRDefault="00847B17">
          <w:pPr>
            <w:pStyle w:val="TOC1"/>
            <w:tabs>
              <w:tab w:val="right" w:leader="dot" w:pos="10456"/>
            </w:tabs>
            <w:rPr>
              <w:rFonts w:eastAsiaTheme="minorEastAsia"/>
              <w:noProof/>
              <w:lang w:val="en-CA" w:eastAsia="en-CA"/>
            </w:rPr>
          </w:pPr>
          <w:hyperlink w:anchor="_Toc236641011" w:history="1">
            <w:r w:rsidR="00D40EF5" w:rsidRPr="00E550BC">
              <w:rPr>
                <w:rStyle w:val="Hyperlink"/>
                <w:rFonts w:ascii="Arial" w:hAnsi="Arial" w:cs="Arial"/>
                <w:noProof/>
              </w:rPr>
              <w:t>2. Comparative Macro-Environmental Analysis (PESTEL)</w:t>
            </w:r>
            <w:r w:rsidR="00D40EF5">
              <w:rPr>
                <w:noProof/>
                <w:webHidden/>
              </w:rPr>
              <w:tab/>
            </w:r>
            <w:r w:rsidR="00D40EF5">
              <w:rPr>
                <w:noProof/>
                <w:webHidden/>
              </w:rPr>
              <w:fldChar w:fldCharType="begin"/>
            </w:r>
            <w:r w:rsidR="00D40EF5">
              <w:rPr>
                <w:noProof/>
                <w:webHidden/>
              </w:rPr>
              <w:instrText xml:space="preserve"> PAGEREF _Toc236641011 \h </w:instrText>
            </w:r>
            <w:r w:rsidR="00D40EF5">
              <w:rPr>
                <w:noProof/>
                <w:webHidden/>
              </w:rPr>
            </w:r>
            <w:r w:rsidR="00D40EF5">
              <w:rPr>
                <w:noProof/>
                <w:webHidden/>
              </w:rPr>
              <w:fldChar w:fldCharType="separate"/>
            </w:r>
            <w:r w:rsidR="00D40EF5">
              <w:rPr>
                <w:noProof/>
                <w:webHidden/>
              </w:rPr>
              <w:t>3</w:t>
            </w:r>
            <w:r w:rsidR="00D40EF5">
              <w:rPr>
                <w:noProof/>
                <w:webHidden/>
              </w:rPr>
              <w:fldChar w:fldCharType="end"/>
            </w:r>
          </w:hyperlink>
        </w:p>
        <w:p w14:paraId="329A3409" w14:textId="4E030F14" w:rsidR="00D40EF5" w:rsidRDefault="00847B17">
          <w:pPr>
            <w:pStyle w:val="TOC1"/>
            <w:tabs>
              <w:tab w:val="right" w:leader="dot" w:pos="10456"/>
            </w:tabs>
            <w:rPr>
              <w:rFonts w:eastAsiaTheme="minorEastAsia"/>
              <w:noProof/>
              <w:lang w:val="en-CA" w:eastAsia="en-CA"/>
            </w:rPr>
          </w:pPr>
          <w:hyperlink w:anchor="_Toc236641012" w:history="1">
            <w:r w:rsidR="00D40EF5" w:rsidRPr="00E550BC">
              <w:rPr>
                <w:rStyle w:val="Hyperlink"/>
                <w:rFonts w:ascii="Arial" w:hAnsi="Arial" w:cs="Arial"/>
                <w:noProof/>
              </w:rPr>
              <w:t>3. Comparative Cultural Analysis: Hofstede’s Framework</w:t>
            </w:r>
            <w:r w:rsidR="00D40EF5">
              <w:rPr>
                <w:noProof/>
                <w:webHidden/>
              </w:rPr>
              <w:tab/>
            </w:r>
            <w:r w:rsidR="00D40EF5">
              <w:rPr>
                <w:noProof/>
                <w:webHidden/>
              </w:rPr>
              <w:fldChar w:fldCharType="begin"/>
            </w:r>
            <w:r w:rsidR="00D40EF5">
              <w:rPr>
                <w:noProof/>
                <w:webHidden/>
              </w:rPr>
              <w:instrText xml:space="preserve"> PAGEREF _Toc236641012 \h </w:instrText>
            </w:r>
            <w:r w:rsidR="00D40EF5">
              <w:rPr>
                <w:noProof/>
                <w:webHidden/>
              </w:rPr>
            </w:r>
            <w:r w:rsidR="00D40EF5">
              <w:rPr>
                <w:noProof/>
                <w:webHidden/>
              </w:rPr>
              <w:fldChar w:fldCharType="separate"/>
            </w:r>
            <w:r w:rsidR="00D40EF5">
              <w:rPr>
                <w:noProof/>
                <w:webHidden/>
              </w:rPr>
              <w:t>6</w:t>
            </w:r>
            <w:r w:rsidR="00D40EF5">
              <w:rPr>
                <w:noProof/>
                <w:webHidden/>
              </w:rPr>
              <w:fldChar w:fldCharType="end"/>
            </w:r>
          </w:hyperlink>
        </w:p>
        <w:p w14:paraId="60CAFC22" w14:textId="0048798B" w:rsidR="00D40EF5" w:rsidRDefault="00847B17">
          <w:pPr>
            <w:pStyle w:val="TOC1"/>
            <w:tabs>
              <w:tab w:val="right" w:leader="dot" w:pos="10456"/>
            </w:tabs>
            <w:rPr>
              <w:rFonts w:eastAsiaTheme="minorEastAsia"/>
              <w:noProof/>
              <w:lang w:val="en-CA" w:eastAsia="en-CA"/>
            </w:rPr>
          </w:pPr>
          <w:hyperlink w:anchor="_Toc236641013" w:history="1">
            <w:r w:rsidR="00D40EF5" w:rsidRPr="00E550BC">
              <w:rPr>
                <w:rStyle w:val="Hyperlink"/>
                <w:rFonts w:ascii="Arial" w:hAnsi="Arial" w:cs="Arial"/>
                <w:noProof/>
              </w:rPr>
              <w:t>4. Comparative STP Analysis</w:t>
            </w:r>
            <w:r w:rsidR="00D40EF5">
              <w:rPr>
                <w:noProof/>
                <w:webHidden/>
              </w:rPr>
              <w:tab/>
            </w:r>
            <w:r w:rsidR="00D40EF5">
              <w:rPr>
                <w:noProof/>
                <w:webHidden/>
              </w:rPr>
              <w:fldChar w:fldCharType="begin"/>
            </w:r>
            <w:r w:rsidR="00D40EF5">
              <w:rPr>
                <w:noProof/>
                <w:webHidden/>
              </w:rPr>
              <w:instrText xml:space="preserve"> PAGEREF _Toc236641013 \h </w:instrText>
            </w:r>
            <w:r w:rsidR="00D40EF5">
              <w:rPr>
                <w:noProof/>
                <w:webHidden/>
              </w:rPr>
            </w:r>
            <w:r w:rsidR="00D40EF5">
              <w:rPr>
                <w:noProof/>
                <w:webHidden/>
              </w:rPr>
              <w:fldChar w:fldCharType="separate"/>
            </w:r>
            <w:r w:rsidR="00D40EF5">
              <w:rPr>
                <w:noProof/>
                <w:webHidden/>
              </w:rPr>
              <w:t>10</w:t>
            </w:r>
            <w:r w:rsidR="00D40EF5">
              <w:rPr>
                <w:noProof/>
                <w:webHidden/>
              </w:rPr>
              <w:fldChar w:fldCharType="end"/>
            </w:r>
          </w:hyperlink>
        </w:p>
        <w:p w14:paraId="66378D66" w14:textId="6E843236" w:rsidR="00D40EF5" w:rsidRDefault="00847B17">
          <w:pPr>
            <w:pStyle w:val="TOC1"/>
            <w:tabs>
              <w:tab w:val="right" w:leader="dot" w:pos="10456"/>
            </w:tabs>
            <w:rPr>
              <w:rFonts w:eastAsiaTheme="minorEastAsia"/>
              <w:noProof/>
              <w:lang w:val="en-CA" w:eastAsia="en-CA"/>
            </w:rPr>
          </w:pPr>
          <w:hyperlink w:anchor="_Toc236641014" w:history="1">
            <w:r w:rsidR="00D40EF5" w:rsidRPr="00E550BC">
              <w:rPr>
                <w:rStyle w:val="Hyperlink"/>
                <w:rFonts w:ascii="Arial" w:hAnsi="Arial" w:cs="Arial"/>
                <w:noProof/>
              </w:rPr>
              <w:t>5. Comparative International Marketing Mix (7Ps)</w:t>
            </w:r>
            <w:r w:rsidR="00D40EF5">
              <w:rPr>
                <w:noProof/>
                <w:webHidden/>
              </w:rPr>
              <w:tab/>
            </w:r>
            <w:r w:rsidR="00D40EF5">
              <w:rPr>
                <w:noProof/>
                <w:webHidden/>
              </w:rPr>
              <w:fldChar w:fldCharType="begin"/>
            </w:r>
            <w:r w:rsidR="00D40EF5">
              <w:rPr>
                <w:noProof/>
                <w:webHidden/>
              </w:rPr>
              <w:instrText xml:space="preserve"> PAGEREF _Toc236641014 \h </w:instrText>
            </w:r>
            <w:r w:rsidR="00D40EF5">
              <w:rPr>
                <w:noProof/>
                <w:webHidden/>
              </w:rPr>
            </w:r>
            <w:r w:rsidR="00D40EF5">
              <w:rPr>
                <w:noProof/>
                <w:webHidden/>
              </w:rPr>
              <w:fldChar w:fldCharType="separate"/>
            </w:r>
            <w:r w:rsidR="00D40EF5">
              <w:rPr>
                <w:noProof/>
                <w:webHidden/>
              </w:rPr>
              <w:t>14</w:t>
            </w:r>
            <w:r w:rsidR="00D40EF5">
              <w:rPr>
                <w:noProof/>
                <w:webHidden/>
              </w:rPr>
              <w:fldChar w:fldCharType="end"/>
            </w:r>
          </w:hyperlink>
        </w:p>
        <w:p w14:paraId="7C387537" w14:textId="3C239302" w:rsidR="00D40EF5" w:rsidRDefault="00847B17">
          <w:pPr>
            <w:pStyle w:val="TOC1"/>
            <w:tabs>
              <w:tab w:val="right" w:leader="dot" w:pos="10456"/>
            </w:tabs>
            <w:rPr>
              <w:rFonts w:eastAsiaTheme="minorEastAsia"/>
              <w:noProof/>
              <w:lang w:val="en-CA" w:eastAsia="en-CA"/>
            </w:rPr>
          </w:pPr>
          <w:hyperlink w:anchor="_Toc236641015" w:history="1">
            <w:r w:rsidR="00D40EF5" w:rsidRPr="00E550BC">
              <w:rPr>
                <w:rStyle w:val="Hyperlink"/>
                <w:rFonts w:ascii="Arial" w:hAnsi="Arial" w:cs="Arial"/>
                <w:noProof/>
              </w:rPr>
              <w:t>6. Market Entry Strategy</w:t>
            </w:r>
            <w:r w:rsidR="00D40EF5">
              <w:rPr>
                <w:noProof/>
                <w:webHidden/>
              </w:rPr>
              <w:tab/>
            </w:r>
            <w:r w:rsidR="00D40EF5">
              <w:rPr>
                <w:noProof/>
                <w:webHidden/>
              </w:rPr>
              <w:fldChar w:fldCharType="begin"/>
            </w:r>
            <w:r w:rsidR="00D40EF5">
              <w:rPr>
                <w:noProof/>
                <w:webHidden/>
              </w:rPr>
              <w:instrText xml:space="preserve"> PAGEREF _Toc236641015 \h </w:instrText>
            </w:r>
            <w:r w:rsidR="00D40EF5">
              <w:rPr>
                <w:noProof/>
                <w:webHidden/>
              </w:rPr>
            </w:r>
            <w:r w:rsidR="00D40EF5">
              <w:rPr>
                <w:noProof/>
                <w:webHidden/>
              </w:rPr>
              <w:fldChar w:fldCharType="separate"/>
            </w:r>
            <w:r w:rsidR="00D40EF5">
              <w:rPr>
                <w:noProof/>
                <w:webHidden/>
              </w:rPr>
              <w:t>17</w:t>
            </w:r>
            <w:r w:rsidR="00D40EF5">
              <w:rPr>
                <w:noProof/>
                <w:webHidden/>
              </w:rPr>
              <w:fldChar w:fldCharType="end"/>
            </w:r>
          </w:hyperlink>
        </w:p>
        <w:p w14:paraId="1CF5C627" w14:textId="093F79A8" w:rsidR="00D40EF5" w:rsidRDefault="00847B17">
          <w:pPr>
            <w:pStyle w:val="TOC1"/>
            <w:tabs>
              <w:tab w:val="right" w:leader="dot" w:pos="10456"/>
            </w:tabs>
            <w:rPr>
              <w:rFonts w:eastAsiaTheme="minorEastAsia"/>
              <w:noProof/>
              <w:lang w:val="en-CA" w:eastAsia="en-CA"/>
            </w:rPr>
          </w:pPr>
          <w:hyperlink w:anchor="_Toc236641016" w:history="1">
            <w:r w:rsidR="00D40EF5" w:rsidRPr="00E550BC">
              <w:rPr>
                <w:rStyle w:val="Hyperlink"/>
                <w:rFonts w:ascii="Arial" w:hAnsi="Arial" w:cs="Arial"/>
                <w:noProof/>
              </w:rPr>
              <w:t>7. Ethical Evaluation of the Marketing Mix</w:t>
            </w:r>
            <w:r w:rsidR="00D40EF5">
              <w:rPr>
                <w:noProof/>
                <w:webHidden/>
              </w:rPr>
              <w:tab/>
            </w:r>
            <w:r w:rsidR="00D40EF5">
              <w:rPr>
                <w:noProof/>
                <w:webHidden/>
              </w:rPr>
              <w:fldChar w:fldCharType="begin"/>
            </w:r>
            <w:r w:rsidR="00D40EF5">
              <w:rPr>
                <w:noProof/>
                <w:webHidden/>
              </w:rPr>
              <w:instrText xml:space="preserve"> PAGEREF _Toc236641016 \h </w:instrText>
            </w:r>
            <w:r w:rsidR="00D40EF5">
              <w:rPr>
                <w:noProof/>
                <w:webHidden/>
              </w:rPr>
            </w:r>
            <w:r w:rsidR="00D40EF5">
              <w:rPr>
                <w:noProof/>
                <w:webHidden/>
              </w:rPr>
              <w:fldChar w:fldCharType="separate"/>
            </w:r>
            <w:r w:rsidR="00D40EF5">
              <w:rPr>
                <w:noProof/>
                <w:webHidden/>
              </w:rPr>
              <w:t>19</w:t>
            </w:r>
            <w:r w:rsidR="00D40EF5">
              <w:rPr>
                <w:noProof/>
                <w:webHidden/>
              </w:rPr>
              <w:fldChar w:fldCharType="end"/>
            </w:r>
          </w:hyperlink>
        </w:p>
        <w:p w14:paraId="1BBF93B9" w14:textId="7C761798" w:rsidR="00D40EF5" w:rsidRDefault="00847B17">
          <w:pPr>
            <w:pStyle w:val="TOC1"/>
            <w:tabs>
              <w:tab w:val="right" w:leader="dot" w:pos="10456"/>
            </w:tabs>
            <w:rPr>
              <w:rFonts w:eastAsiaTheme="minorEastAsia"/>
              <w:noProof/>
              <w:lang w:val="en-CA" w:eastAsia="en-CA"/>
            </w:rPr>
          </w:pPr>
          <w:hyperlink w:anchor="_Toc236641017" w:history="1">
            <w:r w:rsidR="00D40EF5" w:rsidRPr="00E550BC">
              <w:rPr>
                <w:rStyle w:val="Hyperlink"/>
                <w:rFonts w:ascii="Arial" w:hAnsi="Arial" w:cs="Arial"/>
                <w:noProof/>
              </w:rPr>
              <w:t>8. Strategic Recommendations</w:t>
            </w:r>
            <w:r w:rsidR="00D40EF5">
              <w:rPr>
                <w:noProof/>
                <w:webHidden/>
              </w:rPr>
              <w:tab/>
            </w:r>
            <w:r w:rsidR="00D40EF5">
              <w:rPr>
                <w:noProof/>
                <w:webHidden/>
              </w:rPr>
              <w:fldChar w:fldCharType="begin"/>
            </w:r>
            <w:r w:rsidR="00D40EF5">
              <w:rPr>
                <w:noProof/>
                <w:webHidden/>
              </w:rPr>
              <w:instrText xml:space="preserve"> PAGEREF _Toc236641017 \h </w:instrText>
            </w:r>
            <w:r w:rsidR="00D40EF5">
              <w:rPr>
                <w:noProof/>
                <w:webHidden/>
              </w:rPr>
            </w:r>
            <w:r w:rsidR="00D40EF5">
              <w:rPr>
                <w:noProof/>
                <w:webHidden/>
              </w:rPr>
              <w:fldChar w:fldCharType="separate"/>
            </w:r>
            <w:r w:rsidR="00D40EF5">
              <w:rPr>
                <w:noProof/>
                <w:webHidden/>
              </w:rPr>
              <w:t>22</w:t>
            </w:r>
            <w:r w:rsidR="00D40EF5">
              <w:rPr>
                <w:noProof/>
                <w:webHidden/>
              </w:rPr>
              <w:fldChar w:fldCharType="end"/>
            </w:r>
          </w:hyperlink>
        </w:p>
        <w:p w14:paraId="1F92D39C" w14:textId="579B7815" w:rsidR="00D40EF5" w:rsidRDefault="00847B17">
          <w:pPr>
            <w:pStyle w:val="TOC1"/>
            <w:tabs>
              <w:tab w:val="right" w:leader="dot" w:pos="10456"/>
            </w:tabs>
            <w:rPr>
              <w:rFonts w:eastAsiaTheme="minorEastAsia"/>
              <w:noProof/>
              <w:lang w:val="en-CA" w:eastAsia="en-CA"/>
            </w:rPr>
          </w:pPr>
          <w:hyperlink w:anchor="_Toc236641018" w:history="1">
            <w:r w:rsidR="00D40EF5" w:rsidRPr="00E550BC">
              <w:rPr>
                <w:rStyle w:val="Hyperlink"/>
                <w:rFonts w:ascii="Arial" w:hAnsi="Arial" w:cs="Arial"/>
                <w:noProof/>
              </w:rPr>
              <w:t>Section 2: Reflective Account (Gibbs' Reflective Cycle)</w:t>
            </w:r>
            <w:r w:rsidR="00D40EF5">
              <w:rPr>
                <w:noProof/>
                <w:webHidden/>
              </w:rPr>
              <w:tab/>
            </w:r>
            <w:r w:rsidR="00D40EF5">
              <w:rPr>
                <w:noProof/>
                <w:webHidden/>
              </w:rPr>
              <w:fldChar w:fldCharType="begin"/>
            </w:r>
            <w:r w:rsidR="00D40EF5">
              <w:rPr>
                <w:noProof/>
                <w:webHidden/>
              </w:rPr>
              <w:instrText xml:space="preserve"> PAGEREF _Toc236641018 \h </w:instrText>
            </w:r>
            <w:r w:rsidR="00D40EF5">
              <w:rPr>
                <w:noProof/>
                <w:webHidden/>
              </w:rPr>
            </w:r>
            <w:r w:rsidR="00D40EF5">
              <w:rPr>
                <w:noProof/>
                <w:webHidden/>
              </w:rPr>
              <w:fldChar w:fldCharType="separate"/>
            </w:r>
            <w:r w:rsidR="00D40EF5">
              <w:rPr>
                <w:noProof/>
                <w:webHidden/>
              </w:rPr>
              <w:t>24</w:t>
            </w:r>
            <w:r w:rsidR="00D40EF5">
              <w:rPr>
                <w:noProof/>
                <w:webHidden/>
              </w:rPr>
              <w:fldChar w:fldCharType="end"/>
            </w:r>
          </w:hyperlink>
        </w:p>
        <w:p w14:paraId="5ECCD260" w14:textId="67C25027" w:rsidR="00D40EF5" w:rsidRDefault="00847B17">
          <w:pPr>
            <w:pStyle w:val="TOC1"/>
            <w:tabs>
              <w:tab w:val="right" w:leader="dot" w:pos="10456"/>
            </w:tabs>
            <w:rPr>
              <w:rFonts w:eastAsiaTheme="minorEastAsia"/>
              <w:noProof/>
              <w:lang w:val="en-CA" w:eastAsia="en-CA"/>
            </w:rPr>
          </w:pPr>
          <w:hyperlink w:anchor="_Toc236641019" w:history="1">
            <w:r w:rsidR="00D40EF5" w:rsidRPr="00E550BC">
              <w:rPr>
                <w:rStyle w:val="Hyperlink"/>
                <w:rFonts w:ascii="Arial" w:hAnsi="Arial" w:cs="Arial"/>
                <w:noProof/>
              </w:rPr>
              <w:t>References</w:t>
            </w:r>
            <w:r w:rsidR="00D40EF5">
              <w:rPr>
                <w:noProof/>
                <w:webHidden/>
              </w:rPr>
              <w:tab/>
            </w:r>
            <w:r w:rsidR="00D40EF5">
              <w:rPr>
                <w:noProof/>
                <w:webHidden/>
              </w:rPr>
              <w:fldChar w:fldCharType="begin"/>
            </w:r>
            <w:r w:rsidR="00D40EF5">
              <w:rPr>
                <w:noProof/>
                <w:webHidden/>
              </w:rPr>
              <w:instrText xml:space="preserve"> PAGEREF _Toc236641019 \h </w:instrText>
            </w:r>
            <w:r w:rsidR="00D40EF5">
              <w:rPr>
                <w:noProof/>
                <w:webHidden/>
              </w:rPr>
            </w:r>
            <w:r w:rsidR="00D40EF5">
              <w:rPr>
                <w:noProof/>
                <w:webHidden/>
              </w:rPr>
              <w:fldChar w:fldCharType="separate"/>
            </w:r>
            <w:r w:rsidR="00D40EF5">
              <w:rPr>
                <w:noProof/>
                <w:webHidden/>
              </w:rPr>
              <w:t>27</w:t>
            </w:r>
            <w:r w:rsidR="00D40EF5">
              <w:rPr>
                <w:noProof/>
                <w:webHidden/>
              </w:rPr>
              <w:fldChar w:fldCharType="end"/>
            </w:r>
          </w:hyperlink>
        </w:p>
        <w:p w14:paraId="7551E2CA" w14:textId="72AF8A62" w:rsidR="00E04A48" w:rsidRDefault="00E04A48" w:rsidP="00E04A48">
          <w:pPr>
            <w:rPr>
              <w:b/>
              <w:bCs/>
              <w:noProof/>
            </w:rPr>
          </w:pPr>
          <w:r>
            <w:rPr>
              <w:b/>
              <w:bCs/>
              <w:noProof/>
            </w:rPr>
            <w:fldChar w:fldCharType="end"/>
          </w:r>
        </w:p>
      </w:sdtContent>
    </w:sdt>
    <w:p w14:paraId="3901D865" w14:textId="77777777" w:rsidR="006F1EE4" w:rsidRDefault="006F1EE4" w:rsidP="006F1EE4"/>
    <w:p w14:paraId="2996344C" w14:textId="77777777" w:rsidR="006F1EE4" w:rsidRDefault="006F1EE4" w:rsidP="006F1EE4"/>
    <w:p w14:paraId="7F5FC82D" w14:textId="77777777" w:rsidR="006F1EE4" w:rsidRDefault="006F1EE4" w:rsidP="006F1EE4"/>
    <w:p w14:paraId="186065F8" w14:textId="77777777" w:rsidR="006F1EE4" w:rsidRDefault="006F1EE4" w:rsidP="006F1EE4"/>
    <w:p w14:paraId="1BCAEB0F" w14:textId="77777777" w:rsidR="006F1EE4" w:rsidRDefault="006F1EE4" w:rsidP="006F1EE4"/>
    <w:p w14:paraId="4A7FF644" w14:textId="77777777" w:rsidR="006F1EE4" w:rsidRDefault="006F1EE4" w:rsidP="006F1EE4"/>
    <w:p w14:paraId="669E8843" w14:textId="77777777" w:rsidR="006F1EE4" w:rsidRDefault="006F1EE4" w:rsidP="006F1EE4"/>
    <w:p w14:paraId="5D8F7D39" w14:textId="77777777" w:rsidR="006F1EE4" w:rsidRDefault="006F1EE4" w:rsidP="006F1EE4"/>
    <w:p w14:paraId="46294B56" w14:textId="77777777" w:rsidR="006F1EE4" w:rsidRDefault="006F1EE4" w:rsidP="006F1EE4"/>
    <w:p w14:paraId="28120477" w14:textId="77777777" w:rsidR="006F1EE4" w:rsidRDefault="006F1EE4" w:rsidP="006F1EE4"/>
    <w:p w14:paraId="7E519C1D" w14:textId="77777777" w:rsidR="006F1EE4" w:rsidRDefault="006F1EE4" w:rsidP="006F1EE4"/>
    <w:p w14:paraId="6DFB0575" w14:textId="77777777" w:rsidR="006F1EE4" w:rsidRDefault="006F1EE4" w:rsidP="006F1EE4"/>
    <w:p w14:paraId="17CF3971" w14:textId="77777777" w:rsidR="006F1EE4" w:rsidRDefault="006F1EE4" w:rsidP="006F1EE4"/>
    <w:p w14:paraId="625D044F" w14:textId="77777777" w:rsidR="006F1EE4" w:rsidRDefault="006F1EE4" w:rsidP="006F1EE4"/>
    <w:p w14:paraId="72E616AD" w14:textId="77777777" w:rsidR="006F1EE4" w:rsidRDefault="006F1EE4" w:rsidP="006F1EE4"/>
    <w:p w14:paraId="7E609E68" w14:textId="77777777" w:rsidR="00E04A48" w:rsidRDefault="00E04A48" w:rsidP="006F1EE4"/>
    <w:p w14:paraId="1FF329CD" w14:textId="77777777" w:rsidR="00E04A48" w:rsidRDefault="00E04A48" w:rsidP="006F1EE4"/>
    <w:p w14:paraId="50F9FA0B" w14:textId="77777777" w:rsidR="00E04A48" w:rsidRDefault="00E04A48" w:rsidP="006F1EE4"/>
    <w:p w14:paraId="50645A68" w14:textId="77777777" w:rsidR="00E04A48" w:rsidRPr="006F1EE4" w:rsidRDefault="00E04A48" w:rsidP="006F1EE4"/>
    <w:p w14:paraId="47EA1490" w14:textId="563EFDBD" w:rsidR="009F6635" w:rsidRPr="009C0BB3" w:rsidRDefault="009F6635" w:rsidP="006F1EE4">
      <w:pPr>
        <w:pStyle w:val="Heading1"/>
        <w:numPr>
          <w:ilvl w:val="0"/>
          <w:numId w:val="1"/>
        </w:numPr>
        <w:spacing w:line="360" w:lineRule="auto"/>
        <w:jc w:val="center"/>
        <w:rPr>
          <w:rFonts w:ascii="Arial" w:hAnsi="Arial" w:cs="Arial"/>
          <w:sz w:val="24"/>
          <w:szCs w:val="24"/>
        </w:rPr>
      </w:pPr>
      <w:bookmarkStart w:id="0" w:name="_Toc236641010"/>
      <w:r w:rsidRPr="009C0BB3">
        <w:rPr>
          <w:rFonts w:ascii="Arial" w:hAnsi="Arial" w:cs="Arial"/>
          <w:sz w:val="24"/>
          <w:szCs w:val="24"/>
        </w:rPr>
        <w:lastRenderedPageBreak/>
        <w:t>Introduction</w:t>
      </w:r>
      <w:bookmarkEnd w:id="0"/>
    </w:p>
    <w:p w14:paraId="7A23BFDC" w14:textId="77777777" w:rsidR="009F6635" w:rsidRPr="009C0BB3" w:rsidRDefault="009F6635" w:rsidP="009C0BB3">
      <w:pPr>
        <w:spacing w:line="360" w:lineRule="auto"/>
        <w:rPr>
          <w:rFonts w:ascii="Arial" w:hAnsi="Arial" w:cs="Arial"/>
        </w:rPr>
      </w:pPr>
      <w:r w:rsidRPr="009C0BB3">
        <w:rPr>
          <w:rFonts w:ascii="Arial" w:hAnsi="Arial" w:cs="Arial"/>
        </w:rPr>
        <w:t>The increasing integration of global markets has intensified competition for multinational organisations, making the effective management of international marketing strategies a critical source of sustainable competitive advantage. While globalisation encourages firms to pursue standardised branding and operational efficiencies, significant differences in political, economic and socio-cultural environments often necessitate market-specific adaptation. Consequently, multinational organisations must balance global brand consistency with local responsiveness to satisfy diverse consumer expectations while maintaining a coherent international identity.</w:t>
      </w:r>
    </w:p>
    <w:p w14:paraId="48845C2C" w14:textId="77777777" w:rsidR="009F6635" w:rsidRPr="009C0BB3" w:rsidRDefault="009F6635" w:rsidP="009C0BB3">
      <w:pPr>
        <w:spacing w:line="360" w:lineRule="auto"/>
        <w:rPr>
          <w:rFonts w:ascii="Arial" w:hAnsi="Arial" w:cs="Arial"/>
        </w:rPr>
      </w:pPr>
      <w:r w:rsidRPr="009C0BB3">
        <w:rPr>
          <w:rFonts w:ascii="Arial" w:hAnsi="Arial" w:cs="Arial"/>
        </w:rPr>
        <w:t>Cadbury, a flagship confectionery brand owned by Mondelēz International, provides an appropriate case for examining this strategic challenge. Operating successfully in both the United Kingdom (its home market) and India (one of its largest and fastest-growing international markets), Cadbury has adopted varying marketing approaches to accommodate contrasting market conditions, consumer behaviour and cultural values. The comparison between these two markets offers valuable insight into how international marketing strategies are adapted to support competitive performance across mature and emerging economies.</w:t>
      </w:r>
    </w:p>
    <w:p w14:paraId="18D0EA90" w14:textId="77777777" w:rsidR="009F6635" w:rsidRPr="009C0BB3" w:rsidRDefault="009F6635" w:rsidP="009C0BB3">
      <w:pPr>
        <w:spacing w:line="360" w:lineRule="auto"/>
        <w:rPr>
          <w:rFonts w:ascii="Arial" w:hAnsi="Arial" w:cs="Arial"/>
        </w:rPr>
      </w:pPr>
      <w:r w:rsidRPr="009C0BB3">
        <w:rPr>
          <w:rFonts w:ascii="Arial" w:hAnsi="Arial" w:cs="Arial"/>
        </w:rPr>
        <w:t>Accordingly, this report critically evaluates Cadbury's international marketing strategy by comparing the macro-environmental conditions of the United Kingdom and India using the PESTEL and Hofstede frameworks. It further analyses the company's segmentation, targeting and positioning (STP) strategy, evaluates the adaptation of its 7Ps marketing mix, examines its market entry strategy in India, assesses ethical issues associated with its marketing practices, and concludes with strategic recommendations for strengthening Cadbury's future international competitiveness.</w:t>
      </w:r>
    </w:p>
    <w:p w14:paraId="2616C19B" w14:textId="77777777" w:rsidR="009F6635" w:rsidRPr="009C0BB3" w:rsidRDefault="009F6635" w:rsidP="009C0BB3">
      <w:pPr>
        <w:pStyle w:val="Heading1"/>
        <w:spacing w:line="360" w:lineRule="auto"/>
        <w:jc w:val="center"/>
        <w:rPr>
          <w:rFonts w:ascii="Arial" w:hAnsi="Arial" w:cs="Arial"/>
          <w:sz w:val="24"/>
          <w:szCs w:val="24"/>
        </w:rPr>
      </w:pPr>
      <w:bookmarkStart w:id="1" w:name="_Toc236641011"/>
      <w:r w:rsidRPr="009C0BB3">
        <w:rPr>
          <w:rFonts w:ascii="Arial" w:hAnsi="Arial" w:cs="Arial"/>
          <w:sz w:val="24"/>
          <w:szCs w:val="24"/>
        </w:rPr>
        <w:t>2. Comparative Macro-Environmental Analysis (PESTEL)</w:t>
      </w:r>
      <w:bookmarkEnd w:id="1"/>
    </w:p>
    <w:p w14:paraId="520E23BC" w14:textId="77777777" w:rsidR="009F6635" w:rsidRPr="009C0BB3" w:rsidRDefault="009F6635" w:rsidP="009C0BB3">
      <w:pPr>
        <w:spacing w:line="360" w:lineRule="auto"/>
        <w:rPr>
          <w:rFonts w:ascii="Arial" w:hAnsi="Arial" w:cs="Arial"/>
        </w:rPr>
      </w:pPr>
      <w:r w:rsidRPr="009C0BB3">
        <w:rPr>
          <w:rFonts w:ascii="Arial" w:hAnsi="Arial" w:cs="Arial"/>
        </w:rPr>
        <w:t>A PESTEL analysis provides a systematic framework for evaluating the external environmental factors that influence international marketing decisions (Johnson et al., 2020). For multinational organisations such as Cadbury, understanding differences between the United Kingdom and India is essential because variations in political, economic, socio-cultural and regulatory environments determine the extent to which marketing strategies should be standardised or adapted. The comparison below highlights the key macro-environmental factors shaping Cadbury's international marketing strategy in both markets.</w:t>
      </w:r>
    </w:p>
    <w:p w14:paraId="24EC2AF0" w14:textId="77777777" w:rsidR="009F6635" w:rsidRDefault="009F6635" w:rsidP="009C0BB3">
      <w:pPr>
        <w:spacing w:line="360" w:lineRule="auto"/>
        <w:rPr>
          <w:rFonts w:ascii="Arial" w:hAnsi="Arial" w:cs="Arial"/>
        </w:rPr>
      </w:pPr>
    </w:p>
    <w:p w14:paraId="217D224E" w14:textId="77777777" w:rsidR="009C0BB3" w:rsidRPr="009C0BB3" w:rsidRDefault="009C0BB3" w:rsidP="009C0BB3">
      <w:pPr>
        <w:spacing w:line="360" w:lineRule="auto"/>
        <w:rPr>
          <w:rFonts w:ascii="Arial" w:hAnsi="Arial" w:cs="Arial"/>
        </w:rPr>
      </w:pPr>
    </w:p>
    <w:tbl>
      <w:tblPr>
        <w:tblStyle w:val="TableGrid"/>
        <w:tblW w:w="0" w:type="auto"/>
        <w:tblLook w:val="04A0" w:firstRow="1" w:lastRow="0" w:firstColumn="1" w:lastColumn="0" w:noHBand="0" w:noVBand="1"/>
      </w:tblPr>
      <w:tblGrid>
        <w:gridCol w:w="1883"/>
        <w:gridCol w:w="2081"/>
        <w:gridCol w:w="2552"/>
        <w:gridCol w:w="3940"/>
      </w:tblGrid>
      <w:tr w:rsidR="009F6635" w:rsidRPr="009C0BB3" w14:paraId="2EEA94EF" w14:textId="77777777" w:rsidTr="009F6635">
        <w:tc>
          <w:tcPr>
            <w:tcW w:w="0" w:type="auto"/>
            <w:hideMark/>
          </w:tcPr>
          <w:p w14:paraId="037DC7A1" w14:textId="77777777" w:rsidR="009F6635" w:rsidRPr="009C0BB3" w:rsidRDefault="009F6635" w:rsidP="009C0BB3">
            <w:pPr>
              <w:spacing w:after="160" w:line="360" w:lineRule="auto"/>
              <w:rPr>
                <w:rFonts w:ascii="Arial" w:hAnsi="Arial" w:cs="Arial"/>
                <w:b/>
                <w:bCs/>
              </w:rPr>
            </w:pPr>
            <w:r w:rsidRPr="009C0BB3">
              <w:rPr>
                <w:rFonts w:ascii="Arial" w:hAnsi="Arial" w:cs="Arial"/>
                <w:b/>
                <w:bCs/>
              </w:rPr>
              <w:lastRenderedPageBreak/>
              <w:t>Factor</w:t>
            </w:r>
          </w:p>
        </w:tc>
        <w:tc>
          <w:tcPr>
            <w:tcW w:w="2081" w:type="dxa"/>
            <w:hideMark/>
          </w:tcPr>
          <w:p w14:paraId="0B602749" w14:textId="77777777" w:rsidR="009F6635" w:rsidRPr="009C0BB3" w:rsidRDefault="009F6635" w:rsidP="009C0BB3">
            <w:pPr>
              <w:spacing w:after="160" w:line="360" w:lineRule="auto"/>
              <w:rPr>
                <w:rFonts w:ascii="Arial" w:hAnsi="Arial" w:cs="Arial"/>
                <w:b/>
                <w:bCs/>
              </w:rPr>
            </w:pPr>
            <w:r w:rsidRPr="009C0BB3">
              <w:rPr>
                <w:rFonts w:ascii="Arial" w:hAnsi="Arial" w:cs="Arial"/>
                <w:b/>
                <w:bCs/>
              </w:rPr>
              <w:t>United Kingdom (Home Market)</w:t>
            </w:r>
          </w:p>
        </w:tc>
        <w:tc>
          <w:tcPr>
            <w:tcW w:w="2552" w:type="dxa"/>
            <w:hideMark/>
          </w:tcPr>
          <w:p w14:paraId="02CFCD0D" w14:textId="77777777" w:rsidR="009F6635" w:rsidRPr="009C0BB3" w:rsidRDefault="009F6635" w:rsidP="009C0BB3">
            <w:pPr>
              <w:spacing w:after="160" w:line="360" w:lineRule="auto"/>
              <w:rPr>
                <w:rFonts w:ascii="Arial" w:hAnsi="Arial" w:cs="Arial"/>
                <w:b/>
                <w:bCs/>
              </w:rPr>
            </w:pPr>
            <w:r w:rsidRPr="009C0BB3">
              <w:rPr>
                <w:rFonts w:ascii="Arial" w:hAnsi="Arial" w:cs="Arial"/>
                <w:b/>
                <w:bCs/>
              </w:rPr>
              <w:t>India (Host Market)</w:t>
            </w:r>
          </w:p>
        </w:tc>
        <w:tc>
          <w:tcPr>
            <w:tcW w:w="3940" w:type="dxa"/>
            <w:hideMark/>
          </w:tcPr>
          <w:p w14:paraId="78FA21AB" w14:textId="77777777" w:rsidR="009F6635" w:rsidRPr="009C0BB3" w:rsidRDefault="009F6635" w:rsidP="009C0BB3">
            <w:pPr>
              <w:spacing w:after="160" w:line="360" w:lineRule="auto"/>
              <w:rPr>
                <w:rFonts w:ascii="Arial" w:hAnsi="Arial" w:cs="Arial"/>
                <w:b/>
                <w:bCs/>
              </w:rPr>
            </w:pPr>
            <w:r w:rsidRPr="009C0BB3">
              <w:rPr>
                <w:rFonts w:ascii="Arial" w:hAnsi="Arial" w:cs="Arial"/>
                <w:b/>
                <w:bCs/>
              </w:rPr>
              <w:t>Implications for Cadbury's International Marketing Strategy</w:t>
            </w:r>
          </w:p>
        </w:tc>
      </w:tr>
      <w:tr w:rsidR="009F6635" w:rsidRPr="009C0BB3" w14:paraId="5FA78F9A" w14:textId="77777777" w:rsidTr="009F6635">
        <w:tc>
          <w:tcPr>
            <w:tcW w:w="0" w:type="auto"/>
            <w:hideMark/>
          </w:tcPr>
          <w:p w14:paraId="7860704F" w14:textId="77777777" w:rsidR="009F6635" w:rsidRPr="009C0BB3" w:rsidRDefault="009F6635" w:rsidP="009C0BB3">
            <w:pPr>
              <w:spacing w:after="160" w:line="360" w:lineRule="auto"/>
              <w:rPr>
                <w:rFonts w:ascii="Arial" w:hAnsi="Arial" w:cs="Arial"/>
              </w:rPr>
            </w:pPr>
            <w:r w:rsidRPr="009C0BB3">
              <w:rPr>
                <w:rFonts w:ascii="Arial" w:hAnsi="Arial" w:cs="Arial"/>
                <w:b/>
                <w:bCs/>
              </w:rPr>
              <w:t>Political</w:t>
            </w:r>
          </w:p>
        </w:tc>
        <w:tc>
          <w:tcPr>
            <w:tcW w:w="2081" w:type="dxa"/>
            <w:hideMark/>
          </w:tcPr>
          <w:p w14:paraId="26C17E96" w14:textId="77777777" w:rsidR="009F6635" w:rsidRPr="009C0BB3" w:rsidRDefault="009F6635" w:rsidP="009C0BB3">
            <w:pPr>
              <w:spacing w:after="160" w:line="360" w:lineRule="auto"/>
              <w:rPr>
                <w:rFonts w:ascii="Arial" w:hAnsi="Arial" w:cs="Arial"/>
              </w:rPr>
            </w:pPr>
            <w:r w:rsidRPr="009C0BB3">
              <w:rPr>
                <w:rFonts w:ascii="Arial" w:hAnsi="Arial" w:cs="Arial"/>
              </w:rPr>
              <w:t>The UK provides a politically stable environment with transparent regulatory institutions, predictable trade policies and strict food safety standards.</w:t>
            </w:r>
          </w:p>
        </w:tc>
        <w:tc>
          <w:tcPr>
            <w:tcW w:w="2552" w:type="dxa"/>
            <w:hideMark/>
          </w:tcPr>
          <w:p w14:paraId="68220BF1" w14:textId="77777777" w:rsidR="009F6635" w:rsidRPr="009C0BB3" w:rsidRDefault="009F6635" w:rsidP="009C0BB3">
            <w:pPr>
              <w:spacing w:after="160" w:line="360" w:lineRule="auto"/>
              <w:rPr>
                <w:rFonts w:ascii="Arial" w:hAnsi="Arial" w:cs="Arial"/>
              </w:rPr>
            </w:pPr>
            <w:r w:rsidRPr="009C0BB3">
              <w:rPr>
                <w:rFonts w:ascii="Arial" w:hAnsi="Arial" w:cs="Arial"/>
              </w:rPr>
              <w:t>India also maintains political stability but regulatory enforcement differs across states, creating greater administrative complexity for multinational firms.</w:t>
            </w:r>
          </w:p>
        </w:tc>
        <w:tc>
          <w:tcPr>
            <w:tcW w:w="3940" w:type="dxa"/>
            <w:hideMark/>
          </w:tcPr>
          <w:p w14:paraId="7D311961" w14:textId="77777777" w:rsidR="009F6635" w:rsidRPr="009C0BB3" w:rsidRDefault="009F6635" w:rsidP="009C0BB3">
            <w:pPr>
              <w:spacing w:after="160" w:line="360" w:lineRule="auto"/>
              <w:rPr>
                <w:rFonts w:ascii="Arial" w:hAnsi="Arial" w:cs="Arial"/>
              </w:rPr>
            </w:pPr>
            <w:r w:rsidRPr="009C0BB3">
              <w:rPr>
                <w:rFonts w:ascii="Arial" w:hAnsi="Arial" w:cs="Arial"/>
              </w:rPr>
              <w:t>Cadbury benefits from standardised compliance procedures in the UK, whereas India requires greater operational flexibility and local responsiveness in packaging, labelling and distribution. This supports Bartlett and Ghoshal's (1989) argument that multinational firms must balance global integration with local responsiveness.</w:t>
            </w:r>
          </w:p>
        </w:tc>
      </w:tr>
      <w:tr w:rsidR="009F6635" w:rsidRPr="009C0BB3" w14:paraId="6D3BB7A9" w14:textId="77777777" w:rsidTr="009F6635">
        <w:tc>
          <w:tcPr>
            <w:tcW w:w="0" w:type="auto"/>
            <w:hideMark/>
          </w:tcPr>
          <w:p w14:paraId="3A3D0068" w14:textId="77777777" w:rsidR="009F6635" w:rsidRPr="009C0BB3" w:rsidRDefault="009F6635" w:rsidP="009C0BB3">
            <w:pPr>
              <w:spacing w:after="160" w:line="360" w:lineRule="auto"/>
              <w:rPr>
                <w:rFonts w:ascii="Arial" w:hAnsi="Arial" w:cs="Arial"/>
              </w:rPr>
            </w:pPr>
            <w:r w:rsidRPr="009C0BB3">
              <w:rPr>
                <w:rFonts w:ascii="Arial" w:hAnsi="Arial" w:cs="Arial"/>
                <w:b/>
                <w:bCs/>
              </w:rPr>
              <w:t>Economic</w:t>
            </w:r>
          </w:p>
        </w:tc>
        <w:tc>
          <w:tcPr>
            <w:tcW w:w="2081" w:type="dxa"/>
            <w:hideMark/>
          </w:tcPr>
          <w:p w14:paraId="51455A1D" w14:textId="77777777" w:rsidR="009F6635" w:rsidRPr="009C0BB3" w:rsidRDefault="009F6635" w:rsidP="009C0BB3">
            <w:pPr>
              <w:spacing w:after="160" w:line="360" w:lineRule="auto"/>
              <w:rPr>
                <w:rFonts w:ascii="Arial" w:hAnsi="Arial" w:cs="Arial"/>
              </w:rPr>
            </w:pPr>
            <w:r w:rsidRPr="009C0BB3">
              <w:rPr>
                <w:rFonts w:ascii="Arial" w:hAnsi="Arial" w:cs="Arial"/>
              </w:rPr>
              <w:t>The UK is a mature, high-income economy with relatively stable purchasing power but slow market growth and intense competition.</w:t>
            </w:r>
          </w:p>
        </w:tc>
        <w:tc>
          <w:tcPr>
            <w:tcW w:w="2552" w:type="dxa"/>
            <w:hideMark/>
          </w:tcPr>
          <w:p w14:paraId="6C9EFD8C" w14:textId="77777777" w:rsidR="009F6635" w:rsidRPr="009C0BB3" w:rsidRDefault="009F6635" w:rsidP="009C0BB3">
            <w:pPr>
              <w:spacing w:after="160" w:line="360" w:lineRule="auto"/>
              <w:rPr>
                <w:rFonts w:ascii="Arial" w:hAnsi="Arial" w:cs="Arial"/>
              </w:rPr>
            </w:pPr>
            <w:r w:rsidRPr="009C0BB3">
              <w:rPr>
                <w:rFonts w:ascii="Arial" w:hAnsi="Arial" w:cs="Arial"/>
              </w:rPr>
              <w:t>India is one of the world's fastest-growing consumer markets, characterised by rapid urbanisation, an expanding middle class and greater price sensitivity.</w:t>
            </w:r>
          </w:p>
        </w:tc>
        <w:tc>
          <w:tcPr>
            <w:tcW w:w="3940" w:type="dxa"/>
            <w:hideMark/>
          </w:tcPr>
          <w:p w14:paraId="2A71DD18" w14:textId="77777777" w:rsidR="009F6635" w:rsidRPr="009C0BB3" w:rsidRDefault="009F6635" w:rsidP="009C0BB3">
            <w:pPr>
              <w:spacing w:after="160" w:line="360" w:lineRule="auto"/>
              <w:rPr>
                <w:rFonts w:ascii="Arial" w:hAnsi="Arial" w:cs="Arial"/>
              </w:rPr>
            </w:pPr>
            <w:r w:rsidRPr="009C0BB3">
              <w:rPr>
                <w:rFonts w:ascii="Arial" w:hAnsi="Arial" w:cs="Arial"/>
              </w:rPr>
              <w:t>Cadbury adopts premiumisation and product innovation in the UK while using smaller pack sizes, multiple price points and value-based offerings in India to maximise market penetration (Kotler et al., 2022).</w:t>
            </w:r>
          </w:p>
        </w:tc>
      </w:tr>
      <w:tr w:rsidR="009F6635" w:rsidRPr="009C0BB3" w14:paraId="776AA5A9" w14:textId="77777777" w:rsidTr="009F6635">
        <w:tc>
          <w:tcPr>
            <w:tcW w:w="0" w:type="auto"/>
            <w:hideMark/>
          </w:tcPr>
          <w:p w14:paraId="2701B559" w14:textId="77777777" w:rsidR="009F6635" w:rsidRPr="009C0BB3" w:rsidRDefault="009F6635" w:rsidP="009C0BB3">
            <w:pPr>
              <w:spacing w:after="160" w:line="360" w:lineRule="auto"/>
              <w:rPr>
                <w:rFonts w:ascii="Arial" w:hAnsi="Arial" w:cs="Arial"/>
              </w:rPr>
            </w:pPr>
            <w:r w:rsidRPr="009C0BB3">
              <w:rPr>
                <w:rFonts w:ascii="Arial" w:hAnsi="Arial" w:cs="Arial"/>
                <w:b/>
                <w:bCs/>
              </w:rPr>
              <w:t>Social</w:t>
            </w:r>
          </w:p>
        </w:tc>
        <w:tc>
          <w:tcPr>
            <w:tcW w:w="2081" w:type="dxa"/>
            <w:hideMark/>
          </w:tcPr>
          <w:p w14:paraId="0796E0FE" w14:textId="77777777" w:rsidR="009F6635" w:rsidRPr="009C0BB3" w:rsidRDefault="009F6635" w:rsidP="009C0BB3">
            <w:pPr>
              <w:spacing w:after="160" w:line="360" w:lineRule="auto"/>
              <w:rPr>
                <w:rFonts w:ascii="Arial" w:hAnsi="Arial" w:cs="Arial"/>
              </w:rPr>
            </w:pPr>
            <w:r w:rsidRPr="009C0BB3">
              <w:rPr>
                <w:rFonts w:ascii="Arial" w:hAnsi="Arial" w:cs="Arial"/>
              </w:rPr>
              <w:t>Consumers associate Cadbury with heritage, nostalgia and everyday indulgence. Demand for healthier and premium confectionery is increasing.</w:t>
            </w:r>
          </w:p>
        </w:tc>
        <w:tc>
          <w:tcPr>
            <w:tcW w:w="2552" w:type="dxa"/>
            <w:hideMark/>
          </w:tcPr>
          <w:p w14:paraId="42421297" w14:textId="77777777" w:rsidR="009F6635" w:rsidRPr="009C0BB3" w:rsidRDefault="009F6635" w:rsidP="009C0BB3">
            <w:pPr>
              <w:spacing w:after="160" w:line="360" w:lineRule="auto"/>
              <w:rPr>
                <w:rFonts w:ascii="Arial" w:hAnsi="Arial" w:cs="Arial"/>
              </w:rPr>
            </w:pPr>
            <w:r w:rsidRPr="009C0BB3">
              <w:rPr>
                <w:rFonts w:ascii="Arial" w:hAnsi="Arial" w:cs="Arial"/>
              </w:rPr>
              <w:t>Purchasing decisions are strongly influenced by festivals, family traditions and gifting culture, making emotional and culturally relevant branding essential.</w:t>
            </w:r>
          </w:p>
        </w:tc>
        <w:tc>
          <w:tcPr>
            <w:tcW w:w="3940" w:type="dxa"/>
            <w:hideMark/>
          </w:tcPr>
          <w:p w14:paraId="7BD00C09" w14:textId="77777777" w:rsidR="009F6635" w:rsidRPr="009C0BB3" w:rsidRDefault="009F6635" w:rsidP="009C0BB3">
            <w:pPr>
              <w:spacing w:after="160" w:line="360" w:lineRule="auto"/>
              <w:rPr>
                <w:rFonts w:ascii="Arial" w:hAnsi="Arial" w:cs="Arial"/>
              </w:rPr>
            </w:pPr>
            <w:r w:rsidRPr="009C0BB3">
              <w:rPr>
                <w:rFonts w:ascii="Arial" w:hAnsi="Arial" w:cs="Arial"/>
              </w:rPr>
              <w:t xml:space="preserve">Rather than standardising promotions, Cadbury adapts its communication strategy by linking chocolate to celebrations in India (e.g., </w:t>
            </w:r>
            <w:r w:rsidRPr="009C0BB3">
              <w:rPr>
                <w:rFonts w:ascii="Arial" w:hAnsi="Arial" w:cs="Arial"/>
                <w:i/>
                <w:iCs/>
              </w:rPr>
              <w:t>Kuch Meetha Ho Jaaye</w:t>
            </w:r>
            <w:r w:rsidRPr="009C0BB3">
              <w:rPr>
                <w:rFonts w:ascii="Arial" w:hAnsi="Arial" w:cs="Arial"/>
              </w:rPr>
              <w:t>) while maintaining heritage-focused campaigns in the UK, demonstrating cultural adaptation as a source of competitive advantage (De Mooij, 2021).</w:t>
            </w:r>
          </w:p>
        </w:tc>
      </w:tr>
      <w:tr w:rsidR="009F6635" w:rsidRPr="009C0BB3" w14:paraId="30ABFCF8" w14:textId="77777777" w:rsidTr="009F6635">
        <w:tc>
          <w:tcPr>
            <w:tcW w:w="0" w:type="auto"/>
            <w:hideMark/>
          </w:tcPr>
          <w:p w14:paraId="51622FEA" w14:textId="77777777" w:rsidR="009F6635" w:rsidRPr="009C0BB3" w:rsidRDefault="009F6635" w:rsidP="009C0BB3">
            <w:pPr>
              <w:spacing w:after="160" w:line="360" w:lineRule="auto"/>
              <w:rPr>
                <w:rFonts w:ascii="Arial" w:hAnsi="Arial" w:cs="Arial"/>
              </w:rPr>
            </w:pPr>
            <w:r w:rsidRPr="009C0BB3">
              <w:rPr>
                <w:rFonts w:ascii="Arial" w:hAnsi="Arial" w:cs="Arial"/>
                <w:b/>
                <w:bCs/>
              </w:rPr>
              <w:lastRenderedPageBreak/>
              <w:t>Technological</w:t>
            </w:r>
          </w:p>
        </w:tc>
        <w:tc>
          <w:tcPr>
            <w:tcW w:w="2081" w:type="dxa"/>
            <w:hideMark/>
          </w:tcPr>
          <w:p w14:paraId="3ED51706" w14:textId="77777777" w:rsidR="009F6635" w:rsidRPr="009C0BB3" w:rsidRDefault="009F6635" w:rsidP="009C0BB3">
            <w:pPr>
              <w:spacing w:after="160" w:line="360" w:lineRule="auto"/>
              <w:rPr>
                <w:rFonts w:ascii="Arial" w:hAnsi="Arial" w:cs="Arial"/>
              </w:rPr>
            </w:pPr>
            <w:r w:rsidRPr="009C0BB3">
              <w:rPr>
                <w:rFonts w:ascii="Arial" w:hAnsi="Arial" w:cs="Arial"/>
              </w:rPr>
              <w:t>Advanced digital infrastructure supports omnichannel retailing, data analytics and personalised marketing.</w:t>
            </w:r>
          </w:p>
        </w:tc>
        <w:tc>
          <w:tcPr>
            <w:tcW w:w="2552" w:type="dxa"/>
            <w:hideMark/>
          </w:tcPr>
          <w:p w14:paraId="0FE1140E" w14:textId="77777777" w:rsidR="009F6635" w:rsidRPr="009C0BB3" w:rsidRDefault="009F6635" w:rsidP="009C0BB3">
            <w:pPr>
              <w:spacing w:after="160" w:line="360" w:lineRule="auto"/>
              <w:rPr>
                <w:rFonts w:ascii="Arial" w:hAnsi="Arial" w:cs="Arial"/>
              </w:rPr>
            </w:pPr>
            <w:r w:rsidRPr="009C0BB3">
              <w:rPr>
                <w:rFonts w:ascii="Arial" w:hAnsi="Arial" w:cs="Arial"/>
              </w:rPr>
              <w:t>Rapid smartphone adoption and expanding e-commerce platforms have transformed consumer engagement, although digital access remains uneven across regions.</w:t>
            </w:r>
          </w:p>
        </w:tc>
        <w:tc>
          <w:tcPr>
            <w:tcW w:w="3940" w:type="dxa"/>
            <w:hideMark/>
          </w:tcPr>
          <w:p w14:paraId="48CB0C84" w14:textId="77777777" w:rsidR="009F6635" w:rsidRPr="009C0BB3" w:rsidRDefault="009F6635" w:rsidP="009C0BB3">
            <w:pPr>
              <w:spacing w:after="160" w:line="360" w:lineRule="auto"/>
              <w:rPr>
                <w:rFonts w:ascii="Arial" w:hAnsi="Arial" w:cs="Arial"/>
              </w:rPr>
            </w:pPr>
            <w:r w:rsidRPr="009C0BB3">
              <w:rPr>
                <w:rFonts w:ascii="Arial" w:hAnsi="Arial" w:cs="Arial"/>
              </w:rPr>
              <w:t>Cadbury increasingly invests in digital marketing in both countries; however, India requires a hybrid approach combining digital channels with traditional retail networks to maximise market coverage.</w:t>
            </w:r>
          </w:p>
        </w:tc>
      </w:tr>
      <w:tr w:rsidR="009F6635" w:rsidRPr="009C0BB3" w14:paraId="298C1DF8" w14:textId="77777777" w:rsidTr="009F6635">
        <w:tc>
          <w:tcPr>
            <w:tcW w:w="0" w:type="auto"/>
            <w:hideMark/>
          </w:tcPr>
          <w:p w14:paraId="511487D7" w14:textId="77777777" w:rsidR="009F6635" w:rsidRPr="009C0BB3" w:rsidRDefault="009F6635" w:rsidP="009C0BB3">
            <w:pPr>
              <w:spacing w:after="160" w:line="360" w:lineRule="auto"/>
              <w:rPr>
                <w:rFonts w:ascii="Arial" w:hAnsi="Arial" w:cs="Arial"/>
              </w:rPr>
            </w:pPr>
            <w:r w:rsidRPr="009C0BB3">
              <w:rPr>
                <w:rFonts w:ascii="Arial" w:hAnsi="Arial" w:cs="Arial"/>
                <w:b/>
                <w:bCs/>
              </w:rPr>
              <w:t>Environmental</w:t>
            </w:r>
          </w:p>
        </w:tc>
        <w:tc>
          <w:tcPr>
            <w:tcW w:w="2081" w:type="dxa"/>
            <w:hideMark/>
          </w:tcPr>
          <w:p w14:paraId="1BAC2377" w14:textId="77777777" w:rsidR="009F6635" w:rsidRPr="009C0BB3" w:rsidRDefault="009F6635" w:rsidP="009C0BB3">
            <w:pPr>
              <w:spacing w:after="160" w:line="360" w:lineRule="auto"/>
              <w:rPr>
                <w:rFonts w:ascii="Arial" w:hAnsi="Arial" w:cs="Arial"/>
              </w:rPr>
            </w:pPr>
            <w:r w:rsidRPr="009C0BB3">
              <w:rPr>
                <w:rFonts w:ascii="Arial" w:hAnsi="Arial" w:cs="Arial"/>
              </w:rPr>
              <w:t>Consumers and regulators place significant emphasis on sustainable packaging, carbon reduction and ethically sourced cocoa.</w:t>
            </w:r>
          </w:p>
        </w:tc>
        <w:tc>
          <w:tcPr>
            <w:tcW w:w="2552" w:type="dxa"/>
            <w:hideMark/>
          </w:tcPr>
          <w:p w14:paraId="35D95656" w14:textId="77777777" w:rsidR="009F6635" w:rsidRPr="009C0BB3" w:rsidRDefault="009F6635" w:rsidP="009C0BB3">
            <w:pPr>
              <w:spacing w:after="160" w:line="360" w:lineRule="auto"/>
              <w:rPr>
                <w:rFonts w:ascii="Arial" w:hAnsi="Arial" w:cs="Arial"/>
              </w:rPr>
            </w:pPr>
            <w:r w:rsidRPr="009C0BB3">
              <w:rPr>
                <w:rFonts w:ascii="Arial" w:hAnsi="Arial" w:cs="Arial"/>
              </w:rPr>
              <w:t>Environmental awareness is growing, although affordability often remains a stronger purchasing driver than sustainability.</w:t>
            </w:r>
          </w:p>
        </w:tc>
        <w:tc>
          <w:tcPr>
            <w:tcW w:w="3940" w:type="dxa"/>
            <w:hideMark/>
          </w:tcPr>
          <w:p w14:paraId="6DD1ED5E" w14:textId="7E4F0792" w:rsidR="009F6635" w:rsidRPr="009C0BB3" w:rsidRDefault="009F6635" w:rsidP="009C0BB3">
            <w:pPr>
              <w:spacing w:after="160" w:line="360" w:lineRule="auto"/>
              <w:rPr>
                <w:rFonts w:ascii="Arial" w:hAnsi="Arial" w:cs="Arial"/>
              </w:rPr>
            </w:pPr>
            <w:r w:rsidRPr="009C0BB3">
              <w:rPr>
                <w:rFonts w:ascii="Arial" w:hAnsi="Arial" w:cs="Arial"/>
              </w:rPr>
              <w:t xml:space="preserve">Cadbury must integrate sustainability into its global brand while balancing environmental initiatives with affordability in India, </w:t>
            </w:r>
            <w:r w:rsidR="00952F27" w:rsidRPr="00952F27">
              <w:rPr>
                <w:rFonts w:ascii="Arial" w:hAnsi="Arial" w:cs="Arial"/>
              </w:rPr>
              <w:t xml:space="preserve">reflecting increasing stakeholder expectations regarding ESG performance </w:t>
            </w:r>
            <w:r w:rsidR="00952F27" w:rsidRPr="000B3C7F">
              <w:rPr>
                <w:rFonts w:ascii="Arial" w:hAnsi="Arial" w:cs="Arial"/>
              </w:rPr>
              <w:t>(Porter and Kramer, 2011).</w:t>
            </w:r>
          </w:p>
        </w:tc>
      </w:tr>
      <w:tr w:rsidR="009F6635" w:rsidRPr="009C0BB3" w14:paraId="1696EC2F" w14:textId="77777777" w:rsidTr="009F6635">
        <w:tc>
          <w:tcPr>
            <w:tcW w:w="0" w:type="auto"/>
            <w:hideMark/>
          </w:tcPr>
          <w:p w14:paraId="7F667F71" w14:textId="77777777" w:rsidR="009F6635" w:rsidRPr="009C0BB3" w:rsidRDefault="009F6635" w:rsidP="009C0BB3">
            <w:pPr>
              <w:spacing w:after="160" w:line="360" w:lineRule="auto"/>
              <w:rPr>
                <w:rFonts w:ascii="Arial" w:hAnsi="Arial" w:cs="Arial"/>
              </w:rPr>
            </w:pPr>
            <w:r w:rsidRPr="009C0BB3">
              <w:rPr>
                <w:rFonts w:ascii="Arial" w:hAnsi="Arial" w:cs="Arial"/>
                <w:b/>
                <w:bCs/>
              </w:rPr>
              <w:t>Legal</w:t>
            </w:r>
          </w:p>
        </w:tc>
        <w:tc>
          <w:tcPr>
            <w:tcW w:w="2081" w:type="dxa"/>
            <w:hideMark/>
          </w:tcPr>
          <w:p w14:paraId="1A3415C7" w14:textId="77777777" w:rsidR="009F6635" w:rsidRPr="009C0BB3" w:rsidRDefault="009F6635" w:rsidP="009C0BB3">
            <w:pPr>
              <w:spacing w:after="160" w:line="360" w:lineRule="auto"/>
              <w:rPr>
                <w:rFonts w:ascii="Arial" w:hAnsi="Arial" w:cs="Arial"/>
              </w:rPr>
            </w:pPr>
            <w:r w:rsidRPr="009C0BB3">
              <w:rPr>
                <w:rFonts w:ascii="Arial" w:hAnsi="Arial" w:cs="Arial"/>
              </w:rPr>
              <w:t>The UK has consistent legislation governing food safety, consumer protection, labelling and advertising.</w:t>
            </w:r>
          </w:p>
        </w:tc>
        <w:tc>
          <w:tcPr>
            <w:tcW w:w="2552" w:type="dxa"/>
            <w:hideMark/>
          </w:tcPr>
          <w:p w14:paraId="5B34335B" w14:textId="77777777" w:rsidR="009F6635" w:rsidRPr="009C0BB3" w:rsidRDefault="009F6635" w:rsidP="009C0BB3">
            <w:pPr>
              <w:spacing w:after="160" w:line="360" w:lineRule="auto"/>
              <w:rPr>
                <w:rFonts w:ascii="Arial" w:hAnsi="Arial" w:cs="Arial"/>
              </w:rPr>
            </w:pPr>
            <w:r w:rsidRPr="009C0BB3">
              <w:rPr>
                <w:rFonts w:ascii="Arial" w:hAnsi="Arial" w:cs="Arial"/>
              </w:rPr>
              <w:t>India applies comparable food safety regulations through FSSAI, but implementation and compliance requirements vary across states.</w:t>
            </w:r>
          </w:p>
        </w:tc>
        <w:tc>
          <w:tcPr>
            <w:tcW w:w="3940" w:type="dxa"/>
            <w:hideMark/>
          </w:tcPr>
          <w:p w14:paraId="7CA30F82" w14:textId="77777777" w:rsidR="009F6635" w:rsidRPr="009C0BB3" w:rsidRDefault="009F6635" w:rsidP="009C0BB3">
            <w:pPr>
              <w:spacing w:after="160" w:line="360" w:lineRule="auto"/>
              <w:rPr>
                <w:rFonts w:ascii="Arial" w:hAnsi="Arial" w:cs="Arial"/>
              </w:rPr>
            </w:pPr>
            <w:r w:rsidRPr="009C0BB3">
              <w:rPr>
                <w:rFonts w:ascii="Arial" w:hAnsi="Arial" w:cs="Arial"/>
              </w:rPr>
              <w:t>Compliance is essential in both markets; however, India's regulatory diversity requires greater localisation of product packaging and distribution processes, increasing operational complexity.</w:t>
            </w:r>
          </w:p>
        </w:tc>
      </w:tr>
    </w:tbl>
    <w:p w14:paraId="68810DC0" w14:textId="77777777" w:rsidR="009F6635" w:rsidRPr="009C0BB3" w:rsidRDefault="009F6635" w:rsidP="009C0BB3">
      <w:pPr>
        <w:spacing w:line="360" w:lineRule="auto"/>
        <w:rPr>
          <w:rFonts w:ascii="Arial" w:hAnsi="Arial" w:cs="Arial"/>
          <w:b/>
          <w:bCs/>
        </w:rPr>
      </w:pPr>
    </w:p>
    <w:p w14:paraId="36EF8797" w14:textId="2B8FA172" w:rsidR="009F6635" w:rsidRPr="009C0BB3" w:rsidRDefault="009F6635" w:rsidP="009C0BB3">
      <w:pPr>
        <w:spacing w:line="360" w:lineRule="auto"/>
        <w:rPr>
          <w:rFonts w:ascii="Arial" w:hAnsi="Arial" w:cs="Arial"/>
          <w:b/>
          <w:bCs/>
        </w:rPr>
      </w:pPr>
      <w:r w:rsidRPr="009C0BB3">
        <w:rPr>
          <w:rFonts w:ascii="Arial" w:hAnsi="Arial" w:cs="Arial"/>
          <w:b/>
          <w:bCs/>
        </w:rPr>
        <w:t>Evaluation</w:t>
      </w:r>
    </w:p>
    <w:p w14:paraId="1E316E65" w14:textId="77777777" w:rsidR="009F6635" w:rsidRPr="009C0BB3" w:rsidRDefault="009F6635" w:rsidP="009C0BB3">
      <w:pPr>
        <w:spacing w:line="360" w:lineRule="auto"/>
        <w:rPr>
          <w:rFonts w:ascii="Arial" w:hAnsi="Arial" w:cs="Arial"/>
        </w:rPr>
      </w:pPr>
      <w:r w:rsidRPr="009C0BB3">
        <w:rPr>
          <w:rFonts w:ascii="Arial" w:hAnsi="Arial" w:cs="Arial"/>
        </w:rPr>
        <w:t xml:space="preserve">The PESTEL analysis demonstrates that although Cadbury operates under a globally recognised brand, the macro-environmental conditions of the United Kingdom and India differ substantially. While the UK represents a mature and relatively predictable market where competitive advantage is achieved through innovation and premiumisation, India offers significant growth potential but requires greater adaptation to economic conditions, cultural preferences and regulatory diversity. </w:t>
      </w:r>
      <w:r w:rsidRPr="009C0BB3">
        <w:rPr>
          <w:rFonts w:ascii="Arial" w:hAnsi="Arial" w:cs="Arial"/>
        </w:rPr>
        <w:lastRenderedPageBreak/>
        <w:t>Consequently, a fully standardised international marketing strategy would be unlikely to maximise performance across both markets. Instead, Cadbury's approach reflects a transnational strategy, whereby core brand values remain globally consistent while elements of the marketing mix are adapted to local market conditions (Bartlett &amp; Ghoshal, 1989). This balance between standardisation and adaptation strengthens the firm's long-term competitiveness across mature and emerging economies.</w:t>
      </w:r>
    </w:p>
    <w:p w14:paraId="6CE73401" w14:textId="77777777" w:rsidR="009F6635" w:rsidRPr="009C0BB3" w:rsidRDefault="009F6635" w:rsidP="009C0BB3">
      <w:pPr>
        <w:pStyle w:val="Heading1"/>
        <w:spacing w:line="360" w:lineRule="auto"/>
        <w:jc w:val="center"/>
        <w:rPr>
          <w:rFonts w:ascii="Arial" w:hAnsi="Arial" w:cs="Arial"/>
          <w:sz w:val="24"/>
          <w:szCs w:val="24"/>
        </w:rPr>
      </w:pPr>
      <w:bookmarkStart w:id="2" w:name="_Toc236641012"/>
      <w:r w:rsidRPr="009C0BB3">
        <w:rPr>
          <w:rFonts w:ascii="Arial" w:hAnsi="Arial" w:cs="Arial"/>
          <w:sz w:val="24"/>
          <w:szCs w:val="24"/>
        </w:rPr>
        <w:t>3. Comparative Cultural Analysis: Hofstede’s Framework</w:t>
      </w:r>
      <w:bookmarkEnd w:id="2"/>
    </w:p>
    <w:p w14:paraId="7CC30E9C" w14:textId="77777777" w:rsidR="009F6635" w:rsidRPr="009C0BB3" w:rsidRDefault="009F6635" w:rsidP="009C0BB3">
      <w:pPr>
        <w:spacing w:line="360" w:lineRule="auto"/>
        <w:rPr>
          <w:rFonts w:ascii="Arial" w:hAnsi="Arial" w:cs="Arial"/>
        </w:rPr>
      </w:pPr>
      <w:r w:rsidRPr="009C0BB3">
        <w:rPr>
          <w:rFonts w:ascii="Arial" w:hAnsi="Arial" w:cs="Arial"/>
        </w:rPr>
        <w:t xml:space="preserve">Hofstede’s framework enables national cultures to be compared across six dimensions that may influence consumer values, communication preferences and purchasing behaviour. The latest Hofstede dataset reports substantial cultural differences between the UK and India, particularly in power distance, individualism and indulgence. However, these scores represent national-level tendencies rather than the behaviour of every consumer and should therefore be interpreted alongside contemporary market evidence (Bearden, Money and Nevins, 2006; Minkov, 2018). </w:t>
      </w:r>
    </w:p>
    <w:p w14:paraId="62146770" w14:textId="77777777" w:rsidR="009F6635" w:rsidRPr="009C0BB3" w:rsidRDefault="009F6635" w:rsidP="009C0BB3">
      <w:pPr>
        <w:spacing w:line="360" w:lineRule="auto"/>
        <w:rPr>
          <w:rFonts w:ascii="Arial" w:hAnsi="Arial" w:cs="Arial"/>
        </w:rPr>
      </w:pPr>
      <w:r w:rsidRPr="009C0BB3">
        <w:rPr>
          <w:rFonts w:ascii="Arial" w:hAnsi="Arial" w:cs="Arial"/>
          <w:b/>
          <w:bCs/>
        </w:rPr>
        <w:t>Table 2: Hofstede cultural comparison of the United Kingdom and India</w:t>
      </w:r>
    </w:p>
    <w:tbl>
      <w:tblPr>
        <w:tblStyle w:val="TableGrid"/>
        <w:tblW w:w="0" w:type="auto"/>
        <w:tblLook w:val="04A0" w:firstRow="1" w:lastRow="0" w:firstColumn="1" w:lastColumn="0" w:noHBand="0" w:noVBand="1"/>
      </w:tblPr>
      <w:tblGrid>
        <w:gridCol w:w="2289"/>
        <w:gridCol w:w="917"/>
        <w:gridCol w:w="948"/>
        <w:gridCol w:w="6302"/>
      </w:tblGrid>
      <w:tr w:rsidR="009F6635" w:rsidRPr="009C0BB3" w14:paraId="2231832D" w14:textId="77777777" w:rsidTr="009F6635">
        <w:tc>
          <w:tcPr>
            <w:tcW w:w="0" w:type="auto"/>
            <w:hideMark/>
          </w:tcPr>
          <w:p w14:paraId="43D11BC3" w14:textId="77777777" w:rsidR="009F6635" w:rsidRPr="009C0BB3" w:rsidRDefault="009F6635" w:rsidP="009C0BB3">
            <w:pPr>
              <w:spacing w:after="160" w:line="360" w:lineRule="auto"/>
              <w:rPr>
                <w:rFonts w:ascii="Arial" w:hAnsi="Arial" w:cs="Arial"/>
                <w:b/>
                <w:bCs/>
              </w:rPr>
            </w:pPr>
            <w:r w:rsidRPr="009C0BB3">
              <w:rPr>
                <w:rFonts w:ascii="Arial" w:hAnsi="Arial" w:cs="Arial"/>
                <w:b/>
                <w:bCs/>
              </w:rPr>
              <w:t>Cultural dimension</w:t>
            </w:r>
          </w:p>
        </w:tc>
        <w:tc>
          <w:tcPr>
            <w:tcW w:w="0" w:type="auto"/>
            <w:hideMark/>
          </w:tcPr>
          <w:p w14:paraId="4822ED25" w14:textId="77777777" w:rsidR="009F6635" w:rsidRPr="009C0BB3" w:rsidRDefault="009F6635" w:rsidP="009C0BB3">
            <w:pPr>
              <w:spacing w:after="160" w:line="360" w:lineRule="auto"/>
              <w:rPr>
                <w:rFonts w:ascii="Arial" w:hAnsi="Arial" w:cs="Arial"/>
                <w:b/>
                <w:bCs/>
              </w:rPr>
            </w:pPr>
            <w:r w:rsidRPr="009C0BB3">
              <w:rPr>
                <w:rFonts w:ascii="Arial" w:hAnsi="Arial" w:cs="Arial"/>
                <w:b/>
                <w:bCs/>
              </w:rPr>
              <w:t>UK score</w:t>
            </w:r>
          </w:p>
        </w:tc>
        <w:tc>
          <w:tcPr>
            <w:tcW w:w="0" w:type="auto"/>
            <w:hideMark/>
          </w:tcPr>
          <w:p w14:paraId="7EF06E18" w14:textId="77777777" w:rsidR="009F6635" w:rsidRPr="009C0BB3" w:rsidRDefault="009F6635" w:rsidP="009C0BB3">
            <w:pPr>
              <w:spacing w:after="160" w:line="360" w:lineRule="auto"/>
              <w:rPr>
                <w:rFonts w:ascii="Arial" w:hAnsi="Arial" w:cs="Arial"/>
                <w:b/>
                <w:bCs/>
              </w:rPr>
            </w:pPr>
            <w:r w:rsidRPr="009C0BB3">
              <w:rPr>
                <w:rFonts w:ascii="Arial" w:hAnsi="Arial" w:cs="Arial"/>
                <w:b/>
                <w:bCs/>
              </w:rPr>
              <w:t>India score</w:t>
            </w:r>
          </w:p>
        </w:tc>
        <w:tc>
          <w:tcPr>
            <w:tcW w:w="0" w:type="auto"/>
            <w:hideMark/>
          </w:tcPr>
          <w:p w14:paraId="68BC7DC3" w14:textId="77777777" w:rsidR="009F6635" w:rsidRPr="009C0BB3" w:rsidRDefault="009F6635" w:rsidP="009C0BB3">
            <w:pPr>
              <w:spacing w:after="160" w:line="360" w:lineRule="auto"/>
              <w:rPr>
                <w:rFonts w:ascii="Arial" w:hAnsi="Arial" w:cs="Arial"/>
                <w:b/>
                <w:bCs/>
              </w:rPr>
            </w:pPr>
            <w:r w:rsidRPr="009C0BB3">
              <w:rPr>
                <w:rFonts w:ascii="Arial" w:hAnsi="Arial" w:cs="Arial"/>
                <w:b/>
                <w:bCs/>
              </w:rPr>
              <w:t>Comparative interpretation and implications for Cadbury</w:t>
            </w:r>
          </w:p>
        </w:tc>
      </w:tr>
      <w:tr w:rsidR="009F6635" w:rsidRPr="009C0BB3" w14:paraId="62355FBC" w14:textId="77777777" w:rsidTr="009F6635">
        <w:tc>
          <w:tcPr>
            <w:tcW w:w="0" w:type="auto"/>
            <w:hideMark/>
          </w:tcPr>
          <w:p w14:paraId="608206F3" w14:textId="77777777" w:rsidR="009F6635" w:rsidRPr="009C0BB3" w:rsidRDefault="009F6635" w:rsidP="009C0BB3">
            <w:pPr>
              <w:spacing w:after="160" w:line="360" w:lineRule="auto"/>
              <w:rPr>
                <w:rFonts w:ascii="Arial" w:hAnsi="Arial" w:cs="Arial"/>
              </w:rPr>
            </w:pPr>
            <w:r w:rsidRPr="009C0BB3">
              <w:rPr>
                <w:rFonts w:ascii="Arial" w:hAnsi="Arial" w:cs="Arial"/>
                <w:b/>
                <w:bCs/>
              </w:rPr>
              <w:t>Power Distance</w:t>
            </w:r>
          </w:p>
        </w:tc>
        <w:tc>
          <w:tcPr>
            <w:tcW w:w="0" w:type="auto"/>
            <w:hideMark/>
          </w:tcPr>
          <w:p w14:paraId="77517B8E" w14:textId="77777777" w:rsidR="009F6635" w:rsidRPr="009C0BB3" w:rsidRDefault="009F6635" w:rsidP="009C0BB3">
            <w:pPr>
              <w:spacing w:after="160" w:line="360" w:lineRule="auto"/>
              <w:rPr>
                <w:rFonts w:ascii="Arial" w:hAnsi="Arial" w:cs="Arial"/>
              </w:rPr>
            </w:pPr>
            <w:r w:rsidRPr="009C0BB3">
              <w:rPr>
                <w:rFonts w:ascii="Arial" w:hAnsi="Arial" w:cs="Arial"/>
                <w:b/>
                <w:bCs/>
              </w:rPr>
              <w:t>35</w:t>
            </w:r>
          </w:p>
        </w:tc>
        <w:tc>
          <w:tcPr>
            <w:tcW w:w="0" w:type="auto"/>
            <w:hideMark/>
          </w:tcPr>
          <w:p w14:paraId="0BFDEA47" w14:textId="77777777" w:rsidR="009F6635" w:rsidRPr="009C0BB3" w:rsidRDefault="009F6635" w:rsidP="009C0BB3">
            <w:pPr>
              <w:spacing w:after="160" w:line="360" w:lineRule="auto"/>
              <w:rPr>
                <w:rFonts w:ascii="Arial" w:hAnsi="Arial" w:cs="Arial"/>
              </w:rPr>
            </w:pPr>
            <w:r w:rsidRPr="009C0BB3">
              <w:rPr>
                <w:rFonts w:ascii="Arial" w:hAnsi="Arial" w:cs="Arial"/>
                <w:b/>
                <w:bCs/>
              </w:rPr>
              <w:t>77</w:t>
            </w:r>
          </w:p>
        </w:tc>
        <w:tc>
          <w:tcPr>
            <w:tcW w:w="0" w:type="auto"/>
            <w:hideMark/>
          </w:tcPr>
          <w:p w14:paraId="27116AA7" w14:textId="77777777" w:rsidR="009F6635" w:rsidRPr="009C0BB3" w:rsidRDefault="009F6635" w:rsidP="009C0BB3">
            <w:pPr>
              <w:spacing w:after="160" w:line="360" w:lineRule="auto"/>
              <w:rPr>
                <w:rFonts w:ascii="Arial" w:hAnsi="Arial" w:cs="Arial"/>
              </w:rPr>
            </w:pPr>
            <w:r w:rsidRPr="009C0BB3">
              <w:rPr>
                <w:rFonts w:ascii="Arial" w:hAnsi="Arial" w:cs="Arial"/>
              </w:rPr>
              <w:t>The 42-point difference indicates that British society is comparatively egalitarian, whereas Indian society demonstrates greater acceptance of hierarchy and unequal power relationships. Cadbury’s UK communications can therefore use informal, ordinary characters and accessible brand language without depending heavily on authority figures. In India, respected family members, intergenerational relationships and socially recognised roles may carry greater persuasive value. Nevertheless, power distance should not be translated automatically into celebrity endorsement, because hierarchy is only one possible influence on advertising effectiveness.</w:t>
            </w:r>
          </w:p>
        </w:tc>
      </w:tr>
      <w:tr w:rsidR="009F6635" w:rsidRPr="009C0BB3" w14:paraId="7CB6D3AF" w14:textId="77777777" w:rsidTr="009F6635">
        <w:tc>
          <w:tcPr>
            <w:tcW w:w="0" w:type="auto"/>
            <w:hideMark/>
          </w:tcPr>
          <w:p w14:paraId="34A68BAF" w14:textId="77777777" w:rsidR="009F6635" w:rsidRPr="009C0BB3" w:rsidRDefault="009F6635" w:rsidP="009C0BB3">
            <w:pPr>
              <w:spacing w:after="160" w:line="360" w:lineRule="auto"/>
              <w:rPr>
                <w:rFonts w:ascii="Arial" w:hAnsi="Arial" w:cs="Arial"/>
              </w:rPr>
            </w:pPr>
            <w:r w:rsidRPr="009C0BB3">
              <w:rPr>
                <w:rFonts w:ascii="Arial" w:hAnsi="Arial" w:cs="Arial"/>
                <w:b/>
                <w:bCs/>
              </w:rPr>
              <w:t>Individualism</w:t>
            </w:r>
          </w:p>
        </w:tc>
        <w:tc>
          <w:tcPr>
            <w:tcW w:w="0" w:type="auto"/>
            <w:hideMark/>
          </w:tcPr>
          <w:p w14:paraId="744990FD" w14:textId="77777777" w:rsidR="009F6635" w:rsidRPr="009C0BB3" w:rsidRDefault="009F6635" w:rsidP="009C0BB3">
            <w:pPr>
              <w:spacing w:after="160" w:line="360" w:lineRule="auto"/>
              <w:rPr>
                <w:rFonts w:ascii="Arial" w:hAnsi="Arial" w:cs="Arial"/>
              </w:rPr>
            </w:pPr>
            <w:r w:rsidRPr="009C0BB3">
              <w:rPr>
                <w:rFonts w:ascii="Arial" w:hAnsi="Arial" w:cs="Arial"/>
                <w:b/>
                <w:bCs/>
              </w:rPr>
              <w:t>76</w:t>
            </w:r>
          </w:p>
        </w:tc>
        <w:tc>
          <w:tcPr>
            <w:tcW w:w="0" w:type="auto"/>
            <w:hideMark/>
          </w:tcPr>
          <w:p w14:paraId="454C20A3" w14:textId="77777777" w:rsidR="009F6635" w:rsidRPr="009C0BB3" w:rsidRDefault="009F6635" w:rsidP="009C0BB3">
            <w:pPr>
              <w:spacing w:after="160" w:line="360" w:lineRule="auto"/>
              <w:rPr>
                <w:rFonts w:ascii="Arial" w:hAnsi="Arial" w:cs="Arial"/>
              </w:rPr>
            </w:pPr>
            <w:r w:rsidRPr="009C0BB3">
              <w:rPr>
                <w:rFonts w:ascii="Arial" w:hAnsi="Arial" w:cs="Arial"/>
                <w:b/>
                <w:bCs/>
              </w:rPr>
              <w:t>24</w:t>
            </w:r>
          </w:p>
        </w:tc>
        <w:tc>
          <w:tcPr>
            <w:tcW w:w="0" w:type="auto"/>
            <w:hideMark/>
          </w:tcPr>
          <w:p w14:paraId="148CE841" w14:textId="77777777" w:rsidR="009F6635" w:rsidRPr="009C0BB3" w:rsidRDefault="009F6635" w:rsidP="009C0BB3">
            <w:pPr>
              <w:spacing w:after="160" w:line="360" w:lineRule="auto"/>
              <w:rPr>
                <w:rFonts w:ascii="Arial" w:hAnsi="Arial" w:cs="Arial"/>
              </w:rPr>
            </w:pPr>
            <w:r w:rsidRPr="009C0BB3">
              <w:rPr>
                <w:rFonts w:ascii="Arial" w:hAnsi="Arial" w:cs="Arial"/>
              </w:rPr>
              <w:t xml:space="preserve">The UK’s substantially higher score indicates stronger emphasis on independence, personal choice and individual identity. India’s lower score suggests that consumers are more likely to interpret consumption through family, community and group relationships. This </w:t>
            </w:r>
            <w:r w:rsidRPr="009C0BB3">
              <w:rPr>
                <w:rFonts w:ascii="Arial" w:hAnsi="Arial" w:cs="Arial"/>
              </w:rPr>
              <w:lastRenderedPageBreak/>
              <w:t xml:space="preserve">supports differentiated emotional positioning: British communication may foreground personal enjoyment or individual acts of generosity, while Indian campaigns can position chocolate as facilitating relationships, gifting and shared celebration. Research on Indian advertising confirms that family, festivity, religion, friendship and social relationships remain prominent cultural cues, although their meaning continues to evolve (Swaminathan and Bansal, 2014). </w:t>
            </w:r>
          </w:p>
        </w:tc>
      </w:tr>
      <w:tr w:rsidR="009F6635" w:rsidRPr="009C0BB3" w14:paraId="102F4B4A" w14:textId="77777777" w:rsidTr="009F6635">
        <w:tc>
          <w:tcPr>
            <w:tcW w:w="0" w:type="auto"/>
            <w:hideMark/>
          </w:tcPr>
          <w:p w14:paraId="0CE3EB1F" w14:textId="77777777" w:rsidR="009F6635" w:rsidRPr="009C0BB3" w:rsidRDefault="009F6635" w:rsidP="009C0BB3">
            <w:pPr>
              <w:spacing w:after="160" w:line="360" w:lineRule="auto"/>
              <w:rPr>
                <w:rFonts w:ascii="Arial" w:hAnsi="Arial" w:cs="Arial"/>
              </w:rPr>
            </w:pPr>
            <w:r w:rsidRPr="009C0BB3">
              <w:rPr>
                <w:rFonts w:ascii="Arial" w:hAnsi="Arial" w:cs="Arial"/>
                <w:b/>
                <w:bCs/>
              </w:rPr>
              <w:lastRenderedPageBreak/>
              <w:t>Motivation towards Achievement and Success</w:t>
            </w:r>
          </w:p>
        </w:tc>
        <w:tc>
          <w:tcPr>
            <w:tcW w:w="0" w:type="auto"/>
            <w:hideMark/>
          </w:tcPr>
          <w:p w14:paraId="1EBFB232" w14:textId="77777777" w:rsidR="009F6635" w:rsidRPr="009C0BB3" w:rsidRDefault="009F6635" w:rsidP="009C0BB3">
            <w:pPr>
              <w:spacing w:after="160" w:line="360" w:lineRule="auto"/>
              <w:rPr>
                <w:rFonts w:ascii="Arial" w:hAnsi="Arial" w:cs="Arial"/>
              </w:rPr>
            </w:pPr>
            <w:r w:rsidRPr="009C0BB3">
              <w:rPr>
                <w:rFonts w:ascii="Arial" w:hAnsi="Arial" w:cs="Arial"/>
                <w:b/>
                <w:bCs/>
              </w:rPr>
              <w:t>66</w:t>
            </w:r>
          </w:p>
        </w:tc>
        <w:tc>
          <w:tcPr>
            <w:tcW w:w="0" w:type="auto"/>
            <w:hideMark/>
          </w:tcPr>
          <w:p w14:paraId="3B23E8E7" w14:textId="77777777" w:rsidR="009F6635" w:rsidRPr="009C0BB3" w:rsidRDefault="009F6635" w:rsidP="009C0BB3">
            <w:pPr>
              <w:spacing w:after="160" w:line="360" w:lineRule="auto"/>
              <w:rPr>
                <w:rFonts w:ascii="Arial" w:hAnsi="Arial" w:cs="Arial"/>
              </w:rPr>
            </w:pPr>
            <w:r w:rsidRPr="009C0BB3">
              <w:rPr>
                <w:rFonts w:ascii="Arial" w:hAnsi="Arial" w:cs="Arial"/>
                <w:b/>
                <w:bCs/>
              </w:rPr>
              <w:t>56</w:t>
            </w:r>
          </w:p>
        </w:tc>
        <w:tc>
          <w:tcPr>
            <w:tcW w:w="0" w:type="auto"/>
            <w:hideMark/>
          </w:tcPr>
          <w:p w14:paraId="6BAABD5B" w14:textId="77777777" w:rsidR="009F6635" w:rsidRPr="009C0BB3" w:rsidRDefault="009F6635" w:rsidP="009C0BB3">
            <w:pPr>
              <w:spacing w:after="160" w:line="360" w:lineRule="auto"/>
              <w:rPr>
                <w:rFonts w:ascii="Arial" w:hAnsi="Arial" w:cs="Arial"/>
              </w:rPr>
            </w:pPr>
            <w:r w:rsidRPr="009C0BB3">
              <w:rPr>
                <w:rFonts w:ascii="Arial" w:hAnsi="Arial" w:cs="Arial"/>
              </w:rPr>
              <w:t xml:space="preserve">Both countries score above the midpoint, indicating that achievement, recognition and performance possess cultural relevance, although this tendency is stronger in the UK. The relatively small ten-point difference does not justify radically different strategies. Cadbury can appeal to achievement occasions in both markets—for example, celebrations associated with success—but should combine these with its broader emotional positioning. In India, achievement may be represented through family pride or collective recognition, whereas UK executions may emphasise personal accomplishment. This interpretation must remain cautious because recent large-scale studies have questioned whether Hofstede’s masculinity dimension can be reliably replicated (Minkov, 2018; Minkov and Kaasa, 2021). </w:t>
            </w:r>
          </w:p>
        </w:tc>
      </w:tr>
      <w:tr w:rsidR="009F6635" w:rsidRPr="009C0BB3" w14:paraId="4F7A4819" w14:textId="77777777" w:rsidTr="009F6635">
        <w:tc>
          <w:tcPr>
            <w:tcW w:w="0" w:type="auto"/>
            <w:hideMark/>
          </w:tcPr>
          <w:p w14:paraId="016819D9" w14:textId="77777777" w:rsidR="009F6635" w:rsidRPr="009C0BB3" w:rsidRDefault="009F6635" w:rsidP="009C0BB3">
            <w:pPr>
              <w:spacing w:after="160" w:line="360" w:lineRule="auto"/>
              <w:rPr>
                <w:rFonts w:ascii="Arial" w:hAnsi="Arial" w:cs="Arial"/>
              </w:rPr>
            </w:pPr>
            <w:r w:rsidRPr="009C0BB3">
              <w:rPr>
                <w:rFonts w:ascii="Arial" w:hAnsi="Arial" w:cs="Arial"/>
                <w:b/>
                <w:bCs/>
              </w:rPr>
              <w:t>Uncertainty Avoidance</w:t>
            </w:r>
          </w:p>
        </w:tc>
        <w:tc>
          <w:tcPr>
            <w:tcW w:w="0" w:type="auto"/>
            <w:hideMark/>
          </w:tcPr>
          <w:p w14:paraId="11B443A5" w14:textId="77777777" w:rsidR="009F6635" w:rsidRPr="009C0BB3" w:rsidRDefault="009F6635" w:rsidP="009C0BB3">
            <w:pPr>
              <w:spacing w:after="160" w:line="360" w:lineRule="auto"/>
              <w:rPr>
                <w:rFonts w:ascii="Arial" w:hAnsi="Arial" w:cs="Arial"/>
              </w:rPr>
            </w:pPr>
            <w:r w:rsidRPr="009C0BB3">
              <w:rPr>
                <w:rFonts w:ascii="Arial" w:hAnsi="Arial" w:cs="Arial"/>
                <w:b/>
                <w:bCs/>
              </w:rPr>
              <w:t>35</w:t>
            </w:r>
          </w:p>
        </w:tc>
        <w:tc>
          <w:tcPr>
            <w:tcW w:w="0" w:type="auto"/>
            <w:hideMark/>
          </w:tcPr>
          <w:p w14:paraId="4B93D20E" w14:textId="77777777" w:rsidR="009F6635" w:rsidRPr="009C0BB3" w:rsidRDefault="009F6635" w:rsidP="009C0BB3">
            <w:pPr>
              <w:spacing w:after="160" w:line="360" w:lineRule="auto"/>
              <w:rPr>
                <w:rFonts w:ascii="Arial" w:hAnsi="Arial" w:cs="Arial"/>
              </w:rPr>
            </w:pPr>
            <w:r w:rsidRPr="009C0BB3">
              <w:rPr>
                <w:rFonts w:ascii="Arial" w:hAnsi="Arial" w:cs="Arial"/>
                <w:b/>
                <w:bCs/>
              </w:rPr>
              <w:t>40</w:t>
            </w:r>
          </w:p>
        </w:tc>
        <w:tc>
          <w:tcPr>
            <w:tcW w:w="0" w:type="auto"/>
            <w:hideMark/>
          </w:tcPr>
          <w:p w14:paraId="00EE4283" w14:textId="77777777" w:rsidR="009F6635" w:rsidRPr="009C0BB3" w:rsidRDefault="009F6635" w:rsidP="009C0BB3">
            <w:pPr>
              <w:spacing w:after="160" w:line="360" w:lineRule="auto"/>
              <w:rPr>
                <w:rFonts w:ascii="Arial" w:hAnsi="Arial" w:cs="Arial"/>
              </w:rPr>
            </w:pPr>
            <w:r w:rsidRPr="009C0BB3">
              <w:rPr>
                <w:rFonts w:ascii="Arial" w:hAnsi="Arial" w:cs="Arial"/>
              </w:rPr>
              <w:t xml:space="preserve">The five-point difference is too small to support a strong cultural contrast. Both markets display relatively low uncertainty avoidance, suggesting comparatively greater tolerance of ambiguity, product experimentation and creative advertising. Cadbury may therefore introduce new flavours, limited editions and unconventional campaigns in both countries. Market-specific differences in adoption should not be attributed to culture alone; price, distribution, product familiarity and income may be equally or more influential. This caution is reinforced by evidence that Hofstede’s uncertainty-avoidance construct </w:t>
            </w:r>
            <w:r w:rsidRPr="009C0BB3">
              <w:rPr>
                <w:rFonts w:ascii="Arial" w:hAnsi="Arial" w:cs="Arial"/>
              </w:rPr>
              <w:lastRenderedPageBreak/>
              <w:t xml:space="preserve">has not consistently replicated across more recent international samples (Minkov and Kaasa, 2021). </w:t>
            </w:r>
          </w:p>
        </w:tc>
      </w:tr>
      <w:tr w:rsidR="009F6635" w:rsidRPr="009C0BB3" w14:paraId="7DAB4477" w14:textId="77777777" w:rsidTr="009F6635">
        <w:tc>
          <w:tcPr>
            <w:tcW w:w="0" w:type="auto"/>
            <w:hideMark/>
          </w:tcPr>
          <w:p w14:paraId="212CBCE1" w14:textId="77777777" w:rsidR="009F6635" w:rsidRPr="009C0BB3" w:rsidRDefault="009F6635" w:rsidP="009C0BB3">
            <w:pPr>
              <w:spacing w:after="160" w:line="360" w:lineRule="auto"/>
              <w:rPr>
                <w:rFonts w:ascii="Arial" w:hAnsi="Arial" w:cs="Arial"/>
              </w:rPr>
            </w:pPr>
            <w:r w:rsidRPr="009C0BB3">
              <w:rPr>
                <w:rFonts w:ascii="Arial" w:hAnsi="Arial" w:cs="Arial"/>
                <w:b/>
                <w:bCs/>
              </w:rPr>
              <w:lastRenderedPageBreak/>
              <w:t>Long-Term Orientation</w:t>
            </w:r>
          </w:p>
        </w:tc>
        <w:tc>
          <w:tcPr>
            <w:tcW w:w="0" w:type="auto"/>
            <w:hideMark/>
          </w:tcPr>
          <w:p w14:paraId="4C56C1DA" w14:textId="77777777" w:rsidR="009F6635" w:rsidRPr="009C0BB3" w:rsidRDefault="009F6635" w:rsidP="009C0BB3">
            <w:pPr>
              <w:spacing w:after="160" w:line="360" w:lineRule="auto"/>
              <w:rPr>
                <w:rFonts w:ascii="Arial" w:hAnsi="Arial" w:cs="Arial"/>
              </w:rPr>
            </w:pPr>
            <w:r w:rsidRPr="009C0BB3">
              <w:rPr>
                <w:rFonts w:ascii="Arial" w:hAnsi="Arial" w:cs="Arial"/>
                <w:b/>
                <w:bCs/>
              </w:rPr>
              <w:t>60</w:t>
            </w:r>
          </w:p>
        </w:tc>
        <w:tc>
          <w:tcPr>
            <w:tcW w:w="0" w:type="auto"/>
            <w:hideMark/>
          </w:tcPr>
          <w:p w14:paraId="3757B84A" w14:textId="77777777" w:rsidR="009F6635" w:rsidRPr="009C0BB3" w:rsidRDefault="009F6635" w:rsidP="009C0BB3">
            <w:pPr>
              <w:spacing w:after="160" w:line="360" w:lineRule="auto"/>
              <w:rPr>
                <w:rFonts w:ascii="Arial" w:hAnsi="Arial" w:cs="Arial"/>
              </w:rPr>
            </w:pPr>
            <w:r w:rsidRPr="009C0BB3">
              <w:rPr>
                <w:rFonts w:ascii="Arial" w:hAnsi="Arial" w:cs="Arial"/>
                <w:b/>
                <w:bCs/>
              </w:rPr>
              <w:t>51</w:t>
            </w:r>
          </w:p>
        </w:tc>
        <w:tc>
          <w:tcPr>
            <w:tcW w:w="0" w:type="auto"/>
            <w:hideMark/>
          </w:tcPr>
          <w:p w14:paraId="3B45BE88" w14:textId="77777777" w:rsidR="009F6635" w:rsidRPr="009C0BB3" w:rsidRDefault="009F6635" w:rsidP="009C0BB3">
            <w:pPr>
              <w:spacing w:after="160" w:line="360" w:lineRule="auto"/>
              <w:rPr>
                <w:rFonts w:ascii="Arial" w:hAnsi="Arial" w:cs="Arial"/>
              </w:rPr>
            </w:pPr>
            <w:r w:rsidRPr="009C0BB3">
              <w:rPr>
                <w:rFonts w:ascii="Arial" w:hAnsi="Arial" w:cs="Arial"/>
              </w:rPr>
              <w:t>Both markets occupy a relatively balanced position, although the UK’s updated score is moderately higher. These results provide limited support for portraying India as inherently more long-term oriented than the UK. Cadbury should therefore combine long-term brand building with short-term occasion-based activation in both countries. In the UK, its continued emphasis on heritage and generosity reinforces accumulated brand equity, while festival and gifting communications in India can generate immediate purchases while gradually embedding chocolate within established social rituals.</w:t>
            </w:r>
          </w:p>
        </w:tc>
      </w:tr>
      <w:tr w:rsidR="009F6635" w:rsidRPr="009C0BB3" w14:paraId="7D1D2D81" w14:textId="77777777" w:rsidTr="009F6635">
        <w:tc>
          <w:tcPr>
            <w:tcW w:w="0" w:type="auto"/>
            <w:hideMark/>
          </w:tcPr>
          <w:p w14:paraId="2E6E7A00" w14:textId="77777777" w:rsidR="009F6635" w:rsidRPr="009C0BB3" w:rsidRDefault="009F6635" w:rsidP="009C0BB3">
            <w:pPr>
              <w:spacing w:after="160" w:line="360" w:lineRule="auto"/>
              <w:rPr>
                <w:rFonts w:ascii="Arial" w:hAnsi="Arial" w:cs="Arial"/>
              </w:rPr>
            </w:pPr>
            <w:r w:rsidRPr="009C0BB3">
              <w:rPr>
                <w:rFonts w:ascii="Arial" w:hAnsi="Arial" w:cs="Arial"/>
                <w:b/>
                <w:bCs/>
              </w:rPr>
              <w:t>Indulgence</w:t>
            </w:r>
          </w:p>
        </w:tc>
        <w:tc>
          <w:tcPr>
            <w:tcW w:w="0" w:type="auto"/>
            <w:hideMark/>
          </w:tcPr>
          <w:p w14:paraId="5F4B13B6" w14:textId="77777777" w:rsidR="009F6635" w:rsidRPr="009C0BB3" w:rsidRDefault="009F6635" w:rsidP="009C0BB3">
            <w:pPr>
              <w:spacing w:after="160" w:line="360" w:lineRule="auto"/>
              <w:rPr>
                <w:rFonts w:ascii="Arial" w:hAnsi="Arial" w:cs="Arial"/>
              </w:rPr>
            </w:pPr>
            <w:r w:rsidRPr="009C0BB3">
              <w:rPr>
                <w:rFonts w:ascii="Arial" w:hAnsi="Arial" w:cs="Arial"/>
                <w:b/>
                <w:bCs/>
              </w:rPr>
              <w:t>69</w:t>
            </w:r>
          </w:p>
        </w:tc>
        <w:tc>
          <w:tcPr>
            <w:tcW w:w="0" w:type="auto"/>
            <w:hideMark/>
          </w:tcPr>
          <w:p w14:paraId="5E40126B" w14:textId="77777777" w:rsidR="009F6635" w:rsidRPr="009C0BB3" w:rsidRDefault="009F6635" w:rsidP="009C0BB3">
            <w:pPr>
              <w:spacing w:after="160" w:line="360" w:lineRule="auto"/>
              <w:rPr>
                <w:rFonts w:ascii="Arial" w:hAnsi="Arial" w:cs="Arial"/>
              </w:rPr>
            </w:pPr>
            <w:r w:rsidRPr="009C0BB3">
              <w:rPr>
                <w:rFonts w:ascii="Arial" w:hAnsi="Arial" w:cs="Arial"/>
                <w:b/>
                <w:bCs/>
              </w:rPr>
              <w:t>26</w:t>
            </w:r>
          </w:p>
        </w:tc>
        <w:tc>
          <w:tcPr>
            <w:tcW w:w="0" w:type="auto"/>
            <w:hideMark/>
          </w:tcPr>
          <w:p w14:paraId="5B0F82E3" w14:textId="77777777" w:rsidR="009F6635" w:rsidRPr="009C0BB3" w:rsidRDefault="009F6635" w:rsidP="009C0BB3">
            <w:pPr>
              <w:spacing w:after="160" w:line="360" w:lineRule="auto"/>
              <w:rPr>
                <w:rFonts w:ascii="Arial" w:hAnsi="Arial" w:cs="Arial"/>
              </w:rPr>
            </w:pPr>
            <w:r w:rsidRPr="009C0BB3">
              <w:rPr>
                <w:rFonts w:ascii="Arial" w:hAnsi="Arial" w:cs="Arial"/>
              </w:rPr>
              <w:t xml:space="preserve">This is the second-largest difference. The UK’s high score suggests greater social acceptance of enjoyment, leisure and gratification, making everyday indulgence and self-reward credible consumption motives. India’s low score indicates comparatively stronger restraint and social regulation of gratification. Therefore, Cadbury may need to legitimise consumption in India by connecting chocolate with gifting, festivals, relationships or meaningful occasions rather than presenting it only as individual self-indulgence. Research based on 200 Indian advertisements similarly finds that rituals, festivity, religion, language and emotional appeals are important vehicles for cultural relevance (Jain, 2020). </w:t>
            </w:r>
          </w:p>
        </w:tc>
      </w:tr>
    </w:tbl>
    <w:p w14:paraId="6367B568" w14:textId="14FD779E" w:rsidR="009F6635" w:rsidRPr="009C0BB3" w:rsidRDefault="009F6635" w:rsidP="009C0BB3">
      <w:pPr>
        <w:spacing w:line="360" w:lineRule="auto"/>
        <w:rPr>
          <w:rFonts w:ascii="Arial" w:hAnsi="Arial" w:cs="Arial"/>
        </w:rPr>
      </w:pPr>
      <w:r w:rsidRPr="009C0BB3">
        <w:rPr>
          <w:rFonts w:ascii="Arial" w:hAnsi="Arial" w:cs="Arial"/>
          <w:i/>
          <w:iCs/>
        </w:rPr>
        <w:t xml:space="preserve">Source: </w:t>
      </w:r>
      <w:r w:rsidR="00492029" w:rsidRPr="00492029">
        <w:rPr>
          <w:rFonts w:ascii="Arial" w:hAnsi="Arial" w:cs="Arial"/>
          <w:i/>
          <w:iCs/>
        </w:rPr>
        <w:t>Hofstede Insights (2023). Country Comparison: United Kingdom and India.</w:t>
      </w:r>
      <w:r w:rsidR="00492029">
        <w:rPr>
          <w:rFonts w:ascii="Arial" w:hAnsi="Arial" w:cs="Arial"/>
          <w:i/>
          <w:iCs/>
        </w:rPr>
        <w:t xml:space="preserve"> </w:t>
      </w:r>
      <w:r w:rsidRPr="009C0BB3">
        <w:rPr>
          <w:rFonts w:ascii="Arial" w:hAnsi="Arial" w:cs="Arial"/>
          <w:i/>
          <w:iCs/>
        </w:rPr>
        <w:t>Scores range comparatively across countries and should not be interpreted as percentages or individual personality measures.</w:t>
      </w:r>
      <w:r w:rsidRPr="009C0BB3">
        <w:rPr>
          <w:rFonts w:ascii="Arial" w:hAnsi="Arial" w:cs="Arial"/>
        </w:rPr>
        <w:t xml:space="preserve"> </w:t>
      </w:r>
    </w:p>
    <w:p w14:paraId="1CA74740" w14:textId="02E52380" w:rsidR="009F6635" w:rsidRPr="009C0BB3" w:rsidRDefault="00C5112B" w:rsidP="009C0BB3">
      <w:pPr>
        <w:spacing w:line="360" w:lineRule="auto"/>
        <w:rPr>
          <w:rFonts w:ascii="Arial" w:hAnsi="Arial" w:cs="Arial"/>
        </w:rPr>
      </w:pPr>
      <w:r w:rsidRPr="009C0BB3">
        <w:rPr>
          <w:rFonts w:ascii="Arial" w:hAnsi="Arial" w:cs="Arial"/>
          <w:noProof/>
        </w:rPr>
        <w:lastRenderedPageBreak/>
        <w:drawing>
          <wp:inline distT="0" distB="0" distL="0" distR="0" wp14:anchorId="4D0FE729" wp14:editId="7A2D0267">
            <wp:extent cx="6614160" cy="3975859"/>
            <wp:effectExtent l="0" t="0" r="0" b="5715"/>
            <wp:docPr id="1661647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684164" cy="4017939"/>
                    </a:xfrm>
                    <a:prstGeom prst="rect">
                      <a:avLst/>
                    </a:prstGeom>
                    <a:noFill/>
                  </pic:spPr>
                </pic:pic>
              </a:graphicData>
            </a:graphic>
          </wp:inline>
        </w:drawing>
      </w:r>
      <w:r w:rsidR="009F6635" w:rsidRPr="009C0BB3">
        <w:rPr>
          <w:rFonts w:ascii="Arial" w:hAnsi="Arial" w:cs="Arial"/>
          <w:b/>
          <w:bCs/>
        </w:rPr>
        <w:t>Evaluation</w:t>
      </w:r>
    </w:p>
    <w:p w14:paraId="58652E60" w14:textId="77777777" w:rsidR="009F6635" w:rsidRPr="009C0BB3" w:rsidRDefault="009F6635" w:rsidP="009C0BB3">
      <w:pPr>
        <w:spacing w:line="360" w:lineRule="auto"/>
        <w:rPr>
          <w:rFonts w:ascii="Arial" w:hAnsi="Arial" w:cs="Arial"/>
        </w:rPr>
      </w:pPr>
      <w:r w:rsidRPr="009C0BB3">
        <w:rPr>
          <w:rFonts w:ascii="Arial" w:hAnsi="Arial" w:cs="Arial"/>
        </w:rPr>
        <w:t xml:space="preserve">The comparison suggests that Cadbury should not employ identical marketing communications in the two countries. The greatest differences concern power distance, individualism and indulgence, providing a stronger empirical basis for adaptation than masculinity, uncertainty avoidance or long-term orientation, where the scores are comparatively close. Cadbury can consequently retain a globally consistent emotional promise while varying the cultural meaning through which it is expressed. In the UK, the brand’s official communications emphasise generosity through ordinary individual acts and personal gifting. In India, relationship-based and festival-oriented storytelling is more congruent with the country’s lower individualism and indulgence scores. </w:t>
      </w:r>
    </w:p>
    <w:p w14:paraId="3CB107B2" w14:textId="77777777" w:rsidR="009F6635" w:rsidRPr="009C0BB3" w:rsidRDefault="009F6635" w:rsidP="009C0BB3">
      <w:pPr>
        <w:spacing w:line="360" w:lineRule="auto"/>
        <w:rPr>
          <w:rFonts w:ascii="Arial" w:hAnsi="Arial" w:cs="Arial"/>
        </w:rPr>
      </w:pPr>
      <w:r w:rsidRPr="009C0BB3">
        <w:rPr>
          <w:rFonts w:ascii="Arial" w:hAnsi="Arial" w:cs="Arial"/>
        </w:rPr>
        <w:t xml:space="preserve">Nevertheless, Hofstede should be treated as an analytical starting point rather than a deterministic explanation of consumer behaviour. India contains substantial regional, linguistic, religious, generational and socioeconomic diversity, while the UK is also culturally heterogeneous. Applying national averages directly to individual consumers risks an ecological fallacy (Bearden, Money and Nevins, 2006). Moreover, Hofstede’s original model was derived substantially from IBM employee data, and subsequent research involving approximately 53,000 respondents across 56 countries challenged the independence or replicability of several dimensions, particularly masculinity and uncertainty avoidance (Minkov, 2018). </w:t>
      </w:r>
    </w:p>
    <w:p w14:paraId="6E8103F0" w14:textId="77777777" w:rsidR="009F6635" w:rsidRPr="009C0BB3" w:rsidRDefault="009F6635" w:rsidP="009C0BB3">
      <w:pPr>
        <w:spacing w:line="360" w:lineRule="auto"/>
        <w:rPr>
          <w:rFonts w:ascii="Arial" w:hAnsi="Arial" w:cs="Arial"/>
        </w:rPr>
      </w:pPr>
      <w:r w:rsidRPr="009C0BB3">
        <w:rPr>
          <w:rFonts w:ascii="Arial" w:hAnsi="Arial" w:cs="Arial"/>
        </w:rPr>
        <w:t xml:space="preserve">Accordingly, Cadbury should triangulate Hofstede’s scores with contemporary consumer research, regional sales data and campaign testing. This produces a more defensible transnational strategy: </w:t>
      </w:r>
      <w:r w:rsidRPr="009C0BB3">
        <w:rPr>
          <w:rFonts w:ascii="Arial" w:hAnsi="Arial" w:cs="Arial"/>
        </w:rPr>
        <w:lastRenderedPageBreak/>
        <w:t>standardising core brand identity and product quality while adapting narratives, occasions and cultural symbols to local consumer contexts.</w:t>
      </w:r>
    </w:p>
    <w:p w14:paraId="2ABE45B5" w14:textId="77777777" w:rsidR="00C5112B" w:rsidRPr="009C0BB3" w:rsidRDefault="00C5112B" w:rsidP="009C0BB3">
      <w:pPr>
        <w:pStyle w:val="Heading1"/>
        <w:spacing w:line="360" w:lineRule="auto"/>
        <w:jc w:val="center"/>
        <w:rPr>
          <w:rFonts w:ascii="Arial" w:hAnsi="Arial" w:cs="Arial"/>
          <w:sz w:val="24"/>
          <w:szCs w:val="24"/>
        </w:rPr>
      </w:pPr>
      <w:bookmarkStart w:id="3" w:name="_Toc236641013"/>
      <w:r w:rsidRPr="009C0BB3">
        <w:rPr>
          <w:rFonts w:ascii="Arial" w:hAnsi="Arial" w:cs="Arial"/>
          <w:sz w:val="24"/>
          <w:szCs w:val="24"/>
        </w:rPr>
        <w:t>4. Comparative STP Analysis</w:t>
      </w:r>
      <w:bookmarkEnd w:id="3"/>
    </w:p>
    <w:p w14:paraId="6B2DB84D" w14:textId="49346469" w:rsidR="00C5112B" w:rsidRPr="009C0BB3" w:rsidRDefault="00C5112B" w:rsidP="009C0BB3">
      <w:pPr>
        <w:spacing w:line="360" w:lineRule="auto"/>
        <w:rPr>
          <w:rFonts w:ascii="Arial" w:hAnsi="Arial" w:cs="Arial"/>
        </w:rPr>
      </w:pPr>
      <w:r w:rsidRPr="009C0BB3">
        <w:rPr>
          <w:rFonts w:ascii="Arial" w:hAnsi="Arial" w:cs="Arial"/>
        </w:rPr>
        <w:t xml:space="preserve">Segmentation, Targeting and Positioning (STP) is a strategic marketing framework that enables firms to identify attractive customer groups and develop differentiated value propositions that create sustainable competitive advantage </w:t>
      </w:r>
      <w:r w:rsidR="00C117D6" w:rsidRPr="00C117D6">
        <w:rPr>
          <w:rFonts w:ascii="Arial" w:hAnsi="Arial" w:cs="Arial"/>
        </w:rPr>
        <w:t>Kotler et al</w:t>
      </w:r>
      <w:r w:rsidR="00847B17">
        <w:rPr>
          <w:rFonts w:ascii="Arial" w:hAnsi="Arial" w:cs="Arial"/>
        </w:rPr>
        <w:t>.</w:t>
      </w:r>
      <w:r w:rsidR="008E6E22">
        <w:rPr>
          <w:rFonts w:ascii="Arial" w:hAnsi="Arial" w:cs="Arial"/>
        </w:rPr>
        <w:t>,</w:t>
      </w:r>
      <w:r w:rsidR="003B5AE1">
        <w:rPr>
          <w:rFonts w:ascii="Arial" w:hAnsi="Arial" w:cs="Arial"/>
        </w:rPr>
        <w:t xml:space="preserve"> </w:t>
      </w:r>
      <w:r w:rsidR="00C117D6" w:rsidRPr="00C117D6">
        <w:rPr>
          <w:rFonts w:ascii="Arial" w:hAnsi="Arial" w:cs="Arial"/>
        </w:rPr>
        <w:t>2022)</w:t>
      </w:r>
      <w:r w:rsidRPr="009C0BB3">
        <w:rPr>
          <w:rFonts w:ascii="Arial" w:hAnsi="Arial" w:cs="Arial"/>
        </w:rPr>
        <w:t>. For multinational firms, STP rarely follows a standardised approach because demographic profiles, purchasing power, cultural values and consumption occasions differ substantially across markets (Wedel and Kamakura, 2012). Consequently, Cadbury adapts its STP strategy between the United Kingdom and India while maintaining consistent global brand values centred on generosity, togetherness and emotional connection.</w:t>
      </w:r>
    </w:p>
    <w:p w14:paraId="54045C08" w14:textId="77777777" w:rsidR="00C5112B" w:rsidRPr="009C0BB3" w:rsidRDefault="00C5112B" w:rsidP="009C0BB3">
      <w:pPr>
        <w:spacing w:line="360" w:lineRule="auto"/>
        <w:jc w:val="center"/>
        <w:rPr>
          <w:rFonts w:ascii="Arial" w:hAnsi="Arial" w:cs="Arial"/>
          <w:b/>
          <w:bCs/>
        </w:rPr>
      </w:pPr>
      <w:r w:rsidRPr="009C0BB3">
        <w:rPr>
          <w:rFonts w:ascii="Arial" w:hAnsi="Arial" w:cs="Arial"/>
          <w:b/>
          <w:bCs/>
        </w:rPr>
        <w:t>Table 3. Comparative STP Analysis of Cadbury</w:t>
      </w:r>
    </w:p>
    <w:tbl>
      <w:tblPr>
        <w:tblStyle w:val="TableGrid"/>
        <w:tblW w:w="0" w:type="auto"/>
        <w:tblLook w:val="04A0" w:firstRow="1" w:lastRow="0" w:firstColumn="1" w:lastColumn="0" w:noHBand="0" w:noVBand="1"/>
      </w:tblPr>
      <w:tblGrid>
        <w:gridCol w:w="1803"/>
        <w:gridCol w:w="2895"/>
        <w:gridCol w:w="2882"/>
        <w:gridCol w:w="2876"/>
      </w:tblGrid>
      <w:tr w:rsidR="00C5112B" w:rsidRPr="009C0BB3" w14:paraId="5AF94DB4" w14:textId="77777777" w:rsidTr="00C5112B">
        <w:tc>
          <w:tcPr>
            <w:tcW w:w="0" w:type="auto"/>
            <w:hideMark/>
          </w:tcPr>
          <w:p w14:paraId="464B74B3" w14:textId="77777777" w:rsidR="00C5112B" w:rsidRPr="009C0BB3" w:rsidRDefault="00C5112B" w:rsidP="009C0BB3">
            <w:pPr>
              <w:spacing w:after="160" w:line="360" w:lineRule="auto"/>
              <w:rPr>
                <w:rFonts w:ascii="Arial" w:hAnsi="Arial" w:cs="Arial"/>
                <w:b/>
                <w:bCs/>
              </w:rPr>
            </w:pPr>
            <w:r w:rsidRPr="009C0BB3">
              <w:rPr>
                <w:rFonts w:ascii="Arial" w:hAnsi="Arial" w:cs="Arial"/>
                <w:b/>
                <w:bCs/>
              </w:rPr>
              <w:t>STP Element</w:t>
            </w:r>
          </w:p>
        </w:tc>
        <w:tc>
          <w:tcPr>
            <w:tcW w:w="0" w:type="auto"/>
            <w:hideMark/>
          </w:tcPr>
          <w:p w14:paraId="57C8D00B" w14:textId="77777777" w:rsidR="00C5112B" w:rsidRPr="009C0BB3" w:rsidRDefault="00C5112B" w:rsidP="009C0BB3">
            <w:pPr>
              <w:spacing w:after="160" w:line="360" w:lineRule="auto"/>
              <w:rPr>
                <w:rFonts w:ascii="Arial" w:hAnsi="Arial" w:cs="Arial"/>
                <w:b/>
                <w:bCs/>
              </w:rPr>
            </w:pPr>
            <w:r w:rsidRPr="009C0BB3">
              <w:rPr>
                <w:rFonts w:ascii="Arial" w:hAnsi="Arial" w:cs="Arial"/>
                <w:b/>
                <w:bCs/>
              </w:rPr>
              <w:t>United Kingdom</w:t>
            </w:r>
          </w:p>
        </w:tc>
        <w:tc>
          <w:tcPr>
            <w:tcW w:w="0" w:type="auto"/>
            <w:hideMark/>
          </w:tcPr>
          <w:p w14:paraId="4DE207BE" w14:textId="77777777" w:rsidR="00C5112B" w:rsidRPr="009C0BB3" w:rsidRDefault="00C5112B" w:rsidP="009C0BB3">
            <w:pPr>
              <w:spacing w:after="160" w:line="360" w:lineRule="auto"/>
              <w:rPr>
                <w:rFonts w:ascii="Arial" w:hAnsi="Arial" w:cs="Arial"/>
                <w:b/>
                <w:bCs/>
              </w:rPr>
            </w:pPr>
            <w:r w:rsidRPr="009C0BB3">
              <w:rPr>
                <w:rFonts w:ascii="Arial" w:hAnsi="Arial" w:cs="Arial"/>
                <w:b/>
                <w:bCs/>
              </w:rPr>
              <w:t>India</w:t>
            </w:r>
          </w:p>
        </w:tc>
        <w:tc>
          <w:tcPr>
            <w:tcW w:w="0" w:type="auto"/>
            <w:hideMark/>
          </w:tcPr>
          <w:p w14:paraId="734FE461" w14:textId="77777777" w:rsidR="00C5112B" w:rsidRPr="009C0BB3" w:rsidRDefault="00C5112B" w:rsidP="009C0BB3">
            <w:pPr>
              <w:spacing w:after="160" w:line="360" w:lineRule="auto"/>
              <w:rPr>
                <w:rFonts w:ascii="Arial" w:hAnsi="Arial" w:cs="Arial"/>
                <w:b/>
                <w:bCs/>
              </w:rPr>
            </w:pPr>
            <w:r w:rsidRPr="009C0BB3">
              <w:rPr>
                <w:rFonts w:ascii="Arial" w:hAnsi="Arial" w:cs="Arial"/>
                <w:b/>
                <w:bCs/>
              </w:rPr>
              <w:t>Strategic implication</w:t>
            </w:r>
          </w:p>
        </w:tc>
      </w:tr>
      <w:tr w:rsidR="00C5112B" w:rsidRPr="009C0BB3" w14:paraId="0D6267CA" w14:textId="77777777" w:rsidTr="00C5112B">
        <w:tc>
          <w:tcPr>
            <w:tcW w:w="0" w:type="auto"/>
            <w:hideMark/>
          </w:tcPr>
          <w:p w14:paraId="2926E4F5" w14:textId="77777777" w:rsidR="00C5112B" w:rsidRPr="009C0BB3" w:rsidRDefault="00C5112B" w:rsidP="009C0BB3">
            <w:pPr>
              <w:spacing w:after="160" w:line="360" w:lineRule="auto"/>
              <w:rPr>
                <w:rFonts w:ascii="Arial" w:hAnsi="Arial" w:cs="Arial"/>
              </w:rPr>
            </w:pPr>
            <w:r w:rsidRPr="009C0BB3">
              <w:rPr>
                <w:rFonts w:ascii="Arial" w:hAnsi="Arial" w:cs="Arial"/>
                <w:b/>
                <w:bCs/>
              </w:rPr>
              <w:t>Segmentation</w:t>
            </w:r>
          </w:p>
        </w:tc>
        <w:tc>
          <w:tcPr>
            <w:tcW w:w="0" w:type="auto"/>
            <w:hideMark/>
          </w:tcPr>
          <w:p w14:paraId="542A5A6D" w14:textId="77777777" w:rsidR="00C5112B" w:rsidRPr="009C0BB3" w:rsidRDefault="00C5112B" w:rsidP="009C0BB3">
            <w:pPr>
              <w:spacing w:after="160" w:line="360" w:lineRule="auto"/>
              <w:rPr>
                <w:rFonts w:ascii="Arial" w:hAnsi="Arial" w:cs="Arial"/>
              </w:rPr>
            </w:pPr>
            <w:r w:rsidRPr="009C0BB3">
              <w:rPr>
                <w:rFonts w:ascii="Arial" w:hAnsi="Arial" w:cs="Arial"/>
              </w:rPr>
              <w:t xml:space="preserve">Cadbury segments consumers primarily by </w:t>
            </w:r>
            <w:r w:rsidRPr="006F1EE4">
              <w:rPr>
                <w:rFonts w:ascii="Arial" w:hAnsi="Arial" w:cs="Arial"/>
              </w:rPr>
              <w:t xml:space="preserve">age, income, lifestyle, and purchase occasion. Premium chocolates (e.g., Dairy Milk Velvet, Darkmilk) target higher-income consumers, while seasonal products dominate Easter and Christmas. Approximately 72% of UK consumers purchase chocolate at least once per week, reflecting habitual </w:t>
            </w:r>
            <w:r w:rsidRPr="009C0BB3">
              <w:rPr>
                <w:rFonts w:ascii="Arial" w:hAnsi="Arial" w:cs="Arial"/>
              </w:rPr>
              <w:t>consumption (Mintel, 2024).</w:t>
            </w:r>
          </w:p>
        </w:tc>
        <w:tc>
          <w:tcPr>
            <w:tcW w:w="0" w:type="auto"/>
            <w:hideMark/>
          </w:tcPr>
          <w:p w14:paraId="77DBF61D" w14:textId="77777777" w:rsidR="00C5112B" w:rsidRPr="009C0BB3" w:rsidRDefault="00C5112B" w:rsidP="009C0BB3">
            <w:pPr>
              <w:spacing w:after="160" w:line="360" w:lineRule="auto"/>
              <w:rPr>
                <w:rFonts w:ascii="Arial" w:hAnsi="Arial" w:cs="Arial"/>
              </w:rPr>
            </w:pPr>
            <w:r w:rsidRPr="009C0BB3">
              <w:rPr>
                <w:rFonts w:ascii="Arial" w:hAnsi="Arial" w:cs="Arial"/>
              </w:rPr>
              <w:t xml:space="preserve">Segmentation is considerably broader because of India's socio-economic diversity. Cadbury combines demographic, geographic, income and behavioural segmentation. Products range from ₹10 Dairy Milk bars to premium Silk gift boxes, allowing penetration across urban and rural markets. India's confectionery market exceeded </w:t>
            </w:r>
            <w:r w:rsidRPr="006F1EE4">
              <w:rPr>
                <w:rFonts w:ascii="Arial" w:hAnsi="Arial" w:cs="Arial"/>
              </w:rPr>
              <w:t>US$13 billion in 2024, driven</w:t>
            </w:r>
            <w:r w:rsidRPr="009C0BB3">
              <w:rPr>
                <w:rFonts w:ascii="Arial" w:hAnsi="Arial" w:cs="Arial"/>
              </w:rPr>
              <w:t xml:space="preserve"> by expanding middle-income households (Euromonitor, 2024).</w:t>
            </w:r>
          </w:p>
        </w:tc>
        <w:tc>
          <w:tcPr>
            <w:tcW w:w="0" w:type="auto"/>
            <w:hideMark/>
          </w:tcPr>
          <w:p w14:paraId="4C7DB3AA" w14:textId="77777777" w:rsidR="00C5112B" w:rsidRPr="009C0BB3" w:rsidRDefault="00C5112B" w:rsidP="009C0BB3">
            <w:pPr>
              <w:spacing w:after="160" w:line="360" w:lineRule="auto"/>
              <w:rPr>
                <w:rFonts w:ascii="Arial" w:hAnsi="Arial" w:cs="Arial"/>
              </w:rPr>
            </w:pPr>
            <w:r w:rsidRPr="009C0BB3">
              <w:rPr>
                <w:rFonts w:ascii="Arial" w:hAnsi="Arial" w:cs="Arial"/>
              </w:rPr>
              <w:t>Cadbury adopts finer segmentation in India because income inequality and regional diversity generate greater variation in consumer needs than in the relatively mature UK market.</w:t>
            </w:r>
          </w:p>
        </w:tc>
      </w:tr>
      <w:tr w:rsidR="00C5112B" w:rsidRPr="009C0BB3" w14:paraId="2F3E302F" w14:textId="77777777" w:rsidTr="00C5112B">
        <w:tc>
          <w:tcPr>
            <w:tcW w:w="0" w:type="auto"/>
            <w:hideMark/>
          </w:tcPr>
          <w:p w14:paraId="13345A7F" w14:textId="77777777" w:rsidR="00C5112B" w:rsidRPr="009C0BB3" w:rsidRDefault="00C5112B" w:rsidP="009C0BB3">
            <w:pPr>
              <w:spacing w:after="160" w:line="360" w:lineRule="auto"/>
              <w:rPr>
                <w:rFonts w:ascii="Arial" w:hAnsi="Arial" w:cs="Arial"/>
              </w:rPr>
            </w:pPr>
            <w:r w:rsidRPr="009C0BB3">
              <w:rPr>
                <w:rFonts w:ascii="Arial" w:hAnsi="Arial" w:cs="Arial"/>
                <w:b/>
                <w:bCs/>
              </w:rPr>
              <w:lastRenderedPageBreak/>
              <w:t>Targeting</w:t>
            </w:r>
          </w:p>
        </w:tc>
        <w:tc>
          <w:tcPr>
            <w:tcW w:w="0" w:type="auto"/>
            <w:hideMark/>
          </w:tcPr>
          <w:p w14:paraId="5A8070C2" w14:textId="77777777" w:rsidR="00C5112B" w:rsidRPr="009C0BB3" w:rsidRDefault="00C5112B" w:rsidP="009C0BB3">
            <w:pPr>
              <w:spacing w:after="160" w:line="360" w:lineRule="auto"/>
              <w:rPr>
                <w:rFonts w:ascii="Arial" w:hAnsi="Arial" w:cs="Arial"/>
              </w:rPr>
            </w:pPr>
            <w:r w:rsidRPr="009C0BB3">
              <w:rPr>
                <w:rFonts w:ascii="Arial" w:hAnsi="Arial" w:cs="Arial"/>
              </w:rPr>
              <w:t>Cadbury primarily targets families, young adults and everyday chocolate consumers seeking affordable indulgence. Premium products target affluent consumers willing to pay higher prices for quality and innovation.</w:t>
            </w:r>
          </w:p>
        </w:tc>
        <w:tc>
          <w:tcPr>
            <w:tcW w:w="0" w:type="auto"/>
            <w:hideMark/>
          </w:tcPr>
          <w:p w14:paraId="0C72AC47" w14:textId="77777777" w:rsidR="00C5112B" w:rsidRPr="009C0BB3" w:rsidRDefault="00C5112B" w:rsidP="009C0BB3">
            <w:pPr>
              <w:spacing w:after="160" w:line="360" w:lineRule="auto"/>
              <w:rPr>
                <w:rFonts w:ascii="Arial" w:hAnsi="Arial" w:cs="Arial"/>
              </w:rPr>
            </w:pPr>
            <w:r w:rsidRPr="009C0BB3">
              <w:rPr>
                <w:rFonts w:ascii="Arial" w:hAnsi="Arial" w:cs="Arial"/>
              </w:rPr>
              <w:t>Cadbury employs a differentiated targeting strategy by serving children, families, urban millennials and festival shoppers. Premium ranges such as Dairy Milk Silk target affluent consumers, while lower-priced packs maximise accessibility. During Diwali, gifting demand significantly increases confectionery sales.</w:t>
            </w:r>
          </w:p>
        </w:tc>
        <w:tc>
          <w:tcPr>
            <w:tcW w:w="0" w:type="auto"/>
            <w:hideMark/>
          </w:tcPr>
          <w:p w14:paraId="2647E58E" w14:textId="77777777" w:rsidR="00C5112B" w:rsidRPr="009C0BB3" w:rsidRDefault="00C5112B" w:rsidP="009C0BB3">
            <w:pPr>
              <w:spacing w:after="160" w:line="360" w:lineRule="auto"/>
              <w:rPr>
                <w:rFonts w:ascii="Arial" w:hAnsi="Arial" w:cs="Arial"/>
              </w:rPr>
            </w:pPr>
            <w:r w:rsidRPr="009C0BB3">
              <w:rPr>
                <w:rFonts w:ascii="Arial" w:hAnsi="Arial" w:cs="Arial"/>
              </w:rPr>
              <w:t>India requires multiple target segments simultaneously, whereas the UK relies more heavily on relationship marketing and customer retention within established consumer groups.</w:t>
            </w:r>
          </w:p>
        </w:tc>
      </w:tr>
      <w:tr w:rsidR="00C5112B" w:rsidRPr="009C0BB3" w14:paraId="531EDFAC" w14:textId="77777777" w:rsidTr="00C5112B">
        <w:tc>
          <w:tcPr>
            <w:tcW w:w="0" w:type="auto"/>
            <w:hideMark/>
          </w:tcPr>
          <w:p w14:paraId="7FCB4C5E" w14:textId="77777777" w:rsidR="00C5112B" w:rsidRPr="009C0BB3" w:rsidRDefault="00C5112B" w:rsidP="009C0BB3">
            <w:pPr>
              <w:spacing w:after="160" w:line="360" w:lineRule="auto"/>
              <w:rPr>
                <w:rFonts w:ascii="Arial" w:hAnsi="Arial" w:cs="Arial"/>
              </w:rPr>
            </w:pPr>
            <w:r w:rsidRPr="009C0BB3">
              <w:rPr>
                <w:rFonts w:ascii="Arial" w:hAnsi="Arial" w:cs="Arial"/>
                <w:b/>
                <w:bCs/>
              </w:rPr>
              <w:t>Positioning</w:t>
            </w:r>
          </w:p>
        </w:tc>
        <w:tc>
          <w:tcPr>
            <w:tcW w:w="0" w:type="auto"/>
            <w:hideMark/>
          </w:tcPr>
          <w:p w14:paraId="353DB56C" w14:textId="77777777" w:rsidR="00C5112B" w:rsidRPr="009C0BB3" w:rsidRDefault="00C5112B" w:rsidP="009C0BB3">
            <w:pPr>
              <w:spacing w:after="160" w:line="360" w:lineRule="auto"/>
              <w:rPr>
                <w:rFonts w:ascii="Arial" w:hAnsi="Arial" w:cs="Arial"/>
              </w:rPr>
            </w:pPr>
            <w:r w:rsidRPr="009C0BB3">
              <w:rPr>
                <w:rFonts w:ascii="Arial" w:hAnsi="Arial" w:cs="Arial"/>
              </w:rPr>
              <w:t xml:space="preserve">Cadbury positions itself as Britain's heritage chocolate brand associated with generosity, nostalgia and everyday happiness. Campaigns such as </w:t>
            </w:r>
            <w:r w:rsidRPr="006F1EE4">
              <w:rPr>
                <w:rFonts w:ascii="Arial" w:hAnsi="Arial" w:cs="Arial"/>
              </w:rPr>
              <w:t>"There's a Glass and a Half in Everyone"</w:t>
            </w:r>
            <w:r w:rsidRPr="009C0BB3">
              <w:rPr>
                <w:rFonts w:ascii="Arial" w:hAnsi="Arial" w:cs="Arial"/>
              </w:rPr>
              <w:t xml:space="preserve"> reinforce emotional brand equity rather than functional product benefits.</w:t>
            </w:r>
          </w:p>
        </w:tc>
        <w:tc>
          <w:tcPr>
            <w:tcW w:w="0" w:type="auto"/>
            <w:hideMark/>
          </w:tcPr>
          <w:p w14:paraId="1B65D311" w14:textId="77777777" w:rsidR="00C5112B" w:rsidRPr="009C0BB3" w:rsidRDefault="00C5112B" w:rsidP="009C0BB3">
            <w:pPr>
              <w:spacing w:after="160" w:line="360" w:lineRule="auto"/>
              <w:rPr>
                <w:rFonts w:ascii="Arial" w:hAnsi="Arial" w:cs="Arial"/>
              </w:rPr>
            </w:pPr>
            <w:r w:rsidRPr="009C0BB3">
              <w:rPr>
                <w:rFonts w:ascii="Arial" w:hAnsi="Arial" w:cs="Arial"/>
              </w:rPr>
              <w:t xml:space="preserve">Cadbury positions chocolate as an essential element of celebration and gifting rather than merely confectionery. Campaigns such as </w:t>
            </w:r>
            <w:r w:rsidRPr="006F1EE4">
              <w:rPr>
                <w:rFonts w:ascii="Arial" w:hAnsi="Arial" w:cs="Arial"/>
              </w:rPr>
              <w:t>"Kuch Meetha Ho Jaaye" successfully</w:t>
            </w:r>
            <w:r w:rsidRPr="009C0BB3">
              <w:rPr>
                <w:rFonts w:ascii="Arial" w:hAnsi="Arial" w:cs="Arial"/>
              </w:rPr>
              <w:t xml:space="preserve"> repositioned chocolate as an alternative to traditional Indian sweets during festivals (De Mooij, 2021).</w:t>
            </w:r>
          </w:p>
        </w:tc>
        <w:tc>
          <w:tcPr>
            <w:tcW w:w="0" w:type="auto"/>
            <w:hideMark/>
          </w:tcPr>
          <w:p w14:paraId="2C5EFD0E" w14:textId="77777777" w:rsidR="00C5112B" w:rsidRPr="009C0BB3" w:rsidRDefault="00C5112B" w:rsidP="009C0BB3">
            <w:pPr>
              <w:spacing w:after="160" w:line="360" w:lineRule="auto"/>
              <w:rPr>
                <w:rFonts w:ascii="Arial" w:hAnsi="Arial" w:cs="Arial"/>
              </w:rPr>
            </w:pPr>
            <w:r w:rsidRPr="009C0BB3">
              <w:rPr>
                <w:rFonts w:ascii="Arial" w:hAnsi="Arial" w:cs="Arial"/>
              </w:rPr>
              <w:t>While the emotional promise remains globally consistent, positioning is culturally adapted. The UK emphasises nostalgia, whereas India focuses on celebrations, gifting and family relationships, demonstrating effective localisation without diluting global brand identity.</w:t>
            </w:r>
          </w:p>
        </w:tc>
      </w:tr>
    </w:tbl>
    <w:p w14:paraId="7BDDC776" w14:textId="63795A3F" w:rsidR="00C5112B" w:rsidRPr="009C0BB3" w:rsidRDefault="00C5112B" w:rsidP="009C0BB3">
      <w:pPr>
        <w:spacing w:line="360" w:lineRule="auto"/>
        <w:jc w:val="center"/>
        <w:rPr>
          <w:rFonts w:ascii="Arial" w:hAnsi="Arial" w:cs="Arial"/>
        </w:rPr>
      </w:pPr>
      <w:r w:rsidRPr="009C0BB3">
        <w:rPr>
          <w:rFonts w:ascii="Arial" w:hAnsi="Arial" w:cs="Arial"/>
          <w:noProof/>
        </w:rPr>
        <w:lastRenderedPageBreak/>
        <w:drawing>
          <wp:inline distT="0" distB="0" distL="0" distR="0" wp14:anchorId="5931EF72" wp14:editId="75B34A0E">
            <wp:extent cx="5273040" cy="3515360"/>
            <wp:effectExtent l="0" t="0" r="3810" b="8890"/>
            <wp:docPr id="4243683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273040" cy="3515360"/>
                    </a:xfrm>
                    <a:prstGeom prst="rect">
                      <a:avLst/>
                    </a:prstGeom>
                    <a:noFill/>
                  </pic:spPr>
                </pic:pic>
              </a:graphicData>
            </a:graphic>
          </wp:inline>
        </w:drawing>
      </w:r>
    </w:p>
    <w:p w14:paraId="3D1CF8F1" w14:textId="0089B910" w:rsidR="00C5112B" w:rsidRPr="009C0BB3" w:rsidRDefault="00C5112B" w:rsidP="009C0BB3">
      <w:pPr>
        <w:spacing w:line="360" w:lineRule="auto"/>
        <w:rPr>
          <w:rFonts w:ascii="Arial" w:hAnsi="Arial" w:cs="Arial"/>
        </w:rPr>
      </w:pPr>
    </w:p>
    <w:p w14:paraId="4CD05BB0" w14:textId="51E10EDC" w:rsidR="00560E3C" w:rsidRPr="009C0BB3" w:rsidRDefault="00560E3C" w:rsidP="009C0BB3">
      <w:pPr>
        <w:spacing w:line="360" w:lineRule="auto"/>
        <w:rPr>
          <w:rFonts w:ascii="Arial" w:hAnsi="Arial" w:cs="Arial"/>
          <w:b/>
          <w:bCs/>
        </w:rPr>
      </w:pPr>
      <w:r w:rsidRPr="009C0BB3">
        <w:rPr>
          <w:rFonts w:ascii="Arial" w:hAnsi="Arial" w:cs="Arial"/>
          <w:b/>
          <w:bCs/>
          <w:noProof/>
        </w:rPr>
        <w:drawing>
          <wp:inline distT="0" distB="0" distL="0" distR="0" wp14:anchorId="39943BCC" wp14:editId="6DADE9BA">
            <wp:extent cx="6492240" cy="5195644"/>
            <wp:effectExtent l="0" t="0" r="3810" b="5080"/>
            <wp:docPr id="6302772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516849" cy="5215338"/>
                    </a:xfrm>
                    <a:prstGeom prst="rect">
                      <a:avLst/>
                    </a:prstGeom>
                    <a:noFill/>
                  </pic:spPr>
                </pic:pic>
              </a:graphicData>
            </a:graphic>
          </wp:inline>
        </w:drawing>
      </w:r>
    </w:p>
    <w:p w14:paraId="61138FAE" w14:textId="77777777" w:rsidR="00560E3C" w:rsidRPr="009C0BB3" w:rsidRDefault="00560E3C" w:rsidP="009C0BB3">
      <w:pPr>
        <w:spacing w:line="360" w:lineRule="auto"/>
        <w:rPr>
          <w:rFonts w:ascii="Arial" w:hAnsi="Arial" w:cs="Arial"/>
          <w:b/>
          <w:bCs/>
        </w:rPr>
      </w:pPr>
    </w:p>
    <w:p w14:paraId="4D595D62" w14:textId="467BE392" w:rsidR="00C5112B" w:rsidRPr="009C0BB3" w:rsidRDefault="00C5112B" w:rsidP="009C0BB3">
      <w:pPr>
        <w:spacing w:line="360" w:lineRule="auto"/>
        <w:rPr>
          <w:rFonts w:ascii="Arial" w:hAnsi="Arial" w:cs="Arial"/>
          <w:b/>
          <w:bCs/>
        </w:rPr>
      </w:pPr>
      <w:r w:rsidRPr="009C0BB3">
        <w:rPr>
          <w:rFonts w:ascii="Arial" w:hAnsi="Arial" w:cs="Arial"/>
          <w:b/>
          <w:bCs/>
        </w:rPr>
        <w:lastRenderedPageBreak/>
        <w:t>Evaluation</w:t>
      </w:r>
    </w:p>
    <w:p w14:paraId="78606266" w14:textId="77777777" w:rsidR="00C5112B" w:rsidRPr="009C0BB3" w:rsidRDefault="00C5112B" w:rsidP="009C0BB3">
      <w:pPr>
        <w:spacing w:line="360" w:lineRule="auto"/>
        <w:rPr>
          <w:rFonts w:ascii="Arial" w:hAnsi="Arial" w:cs="Arial"/>
        </w:rPr>
      </w:pPr>
      <w:r w:rsidRPr="009C0BB3">
        <w:rPr>
          <w:rFonts w:ascii="Arial" w:hAnsi="Arial" w:cs="Arial"/>
        </w:rPr>
        <w:t>Cadbury's STP strategy illustrates that international competitive advantage is derived not from offering identical products worldwide but from aligning customer value propositions with local market characteristics. In the United Kingdom, where chocolate consumption is mature and highly competitive, the firm's strategy prioritises customer retention through emotional branding, heritage and product innovation. Conversely, in India, Cadbury has adopted a market-development strategy by expanding consumption occasions rather than competing solely for existing market share. The success of the "Kuch Meetha Ho Jaaye" campaign demonstrates how repositioning can reshape consumer behaviour by embedding chocolate within culturally significant festivals and gifting traditions (De Mooij, 2021).</w:t>
      </w:r>
    </w:p>
    <w:p w14:paraId="24ABCF2E" w14:textId="77777777" w:rsidR="00C5112B" w:rsidRDefault="00C5112B" w:rsidP="009C0BB3">
      <w:pPr>
        <w:spacing w:line="360" w:lineRule="auto"/>
        <w:rPr>
          <w:rFonts w:ascii="Arial" w:hAnsi="Arial" w:cs="Arial"/>
        </w:rPr>
      </w:pPr>
      <w:r w:rsidRPr="009C0BB3">
        <w:rPr>
          <w:rFonts w:ascii="Arial" w:hAnsi="Arial" w:cs="Arial"/>
        </w:rPr>
        <w:t>From a theoretical perspective, Cadbury's approach reflects Bartlett and Ghoshal's (1989) Transnational Strategy, combining globally standardised brand equity with locally responsive segmentation and positioning decisions. Furthermore, Keller's (2013) Customer-Based Brand Equity model suggests that Cadbury's emphasis on emotional associations strengthens brand resonance and long-term loyalty beyond functional product attributes. Nevertheless, maintaining differentiated product portfolios, promotional campaigns and pricing structures across markets increases operational complexity and marketing expenditure. Consequently, Cadbury must continuously evaluate whether the additional returns generated through localisation outweigh the associated coordination costs.</w:t>
      </w:r>
    </w:p>
    <w:p w14:paraId="5CF8249B" w14:textId="77777777" w:rsidR="006F1EE4" w:rsidRDefault="006F1EE4" w:rsidP="009C0BB3">
      <w:pPr>
        <w:spacing w:line="360" w:lineRule="auto"/>
        <w:rPr>
          <w:rFonts w:ascii="Arial" w:hAnsi="Arial" w:cs="Arial"/>
        </w:rPr>
      </w:pPr>
    </w:p>
    <w:p w14:paraId="60F27B70" w14:textId="77777777" w:rsidR="006F1EE4" w:rsidRDefault="006F1EE4" w:rsidP="009C0BB3">
      <w:pPr>
        <w:spacing w:line="360" w:lineRule="auto"/>
        <w:rPr>
          <w:rFonts w:ascii="Arial" w:hAnsi="Arial" w:cs="Arial"/>
        </w:rPr>
      </w:pPr>
    </w:p>
    <w:p w14:paraId="62C8FBFF" w14:textId="77777777" w:rsidR="006F1EE4" w:rsidRDefault="006F1EE4" w:rsidP="009C0BB3">
      <w:pPr>
        <w:spacing w:line="360" w:lineRule="auto"/>
        <w:rPr>
          <w:rFonts w:ascii="Arial" w:hAnsi="Arial" w:cs="Arial"/>
        </w:rPr>
      </w:pPr>
    </w:p>
    <w:p w14:paraId="03685B78" w14:textId="77777777" w:rsidR="006F1EE4" w:rsidRDefault="006F1EE4" w:rsidP="009C0BB3">
      <w:pPr>
        <w:spacing w:line="360" w:lineRule="auto"/>
        <w:rPr>
          <w:rFonts w:ascii="Arial" w:hAnsi="Arial" w:cs="Arial"/>
        </w:rPr>
      </w:pPr>
    </w:p>
    <w:p w14:paraId="684DAE24" w14:textId="77777777" w:rsidR="006F1EE4" w:rsidRDefault="006F1EE4" w:rsidP="009C0BB3">
      <w:pPr>
        <w:spacing w:line="360" w:lineRule="auto"/>
        <w:rPr>
          <w:rFonts w:ascii="Arial" w:hAnsi="Arial" w:cs="Arial"/>
        </w:rPr>
      </w:pPr>
    </w:p>
    <w:p w14:paraId="2217753E" w14:textId="77777777" w:rsidR="006F1EE4" w:rsidRDefault="006F1EE4" w:rsidP="009C0BB3">
      <w:pPr>
        <w:spacing w:line="360" w:lineRule="auto"/>
        <w:rPr>
          <w:rFonts w:ascii="Arial" w:hAnsi="Arial" w:cs="Arial"/>
        </w:rPr>
      </w:pPr>
    </w:p>
    <w:p w14:paraId="47EAA60F" w14:textId="77777777" w:rsidR="006F1EE4" w:rsidRDefault="006F1EE4" w:rsidP="009C0BB3">
      <w:pPr>
        <w:spacing w:line="360" w:lineRule="auto"/>
        <w:rPr>
          <w:rFonts w:ascii="Arial" w:hAnsi="Arial" w:cs="Arial"/>
        </w:rPr>
      </w:pPr>
    </w:p>
    <w:p w14:paraId="655A2B16" w14:textId="77777777" w:rsidR="006F1EE4" w:rsidRDefault="006F1EE4" w:rsidP="009C0BB3">
      <w:pPr>
        <w:spacing w:line="360" w:lineRule="auto"/>
        <w:rPr>
          <w:rFonts w:ascii="Arial" w:hAnsi="Arial" w:cs="Arial"/>
        </w:rPr>
      </w:pPr>
    </w:p>
    <w:p w14:paraId="788FE366" w14:textId="77777777" w:rsidR="006F1EE4" w:rsidRDefault="006F1EE4" w:rsidP="009C0BB3">
      <w:pPr>
        <w:spacing w:line="360" w:lineRule="auto"/>
        <w:rPr>
          <w:rFonts w:ascii="Arial" w:hAnsi="Arial" w:cs="Arial"/>
        </w:rPr>
      </w:pPr>
    </w:p>
    <w:p w14:paraId="387F95B9" w14:textId="77777777" w:rsidR="006F1EE4" w:rsidRPr="009C0BB3" w:rsidRDefault="006F1EE4" w:rsidP="009C0BB3">
      <w:pPr>
        <w:spacing w:line="360" w:lineRule="auto"/>
        <w:rPr>
          <w:rFonts w:ascii="Arial" w:hAnsi="Arial" w:cs="Arial"/>
        </w:rPr>
      </w:pPr>
    </w:p>
    <w:p w14:paraId="2288F784" w14:textId="77777777" w:rsidR="00560E3C" w:rsidRPr="009C0BB3" w:rsidRDefault="00560E3C" w:rsidP="009C0BB3">
      <w:pPr>
        <w:pStyle w:val="Heading1"/>
        <w:spacing w:line="360" w:lineRule="auto"/>
        <w:jc w:val="center"/>
        <w:rPr>
          <w:rFonts w:ascii="Arial" w:hAnsi="Arial" w:cs="Arial"/>
          <w:sz w:val="24"/>
          <w:szCs w:val="24"/>
        </w:rPr>
      </w:pPr>
      <w:bookmarkStart w:id="4" w:name="_Toc236641014"/>
      <w:r w:rsidRPr="009C0BB3">
        <w:rPr>
          <w:rFonts w:ascii="Arial" w:hAnsi="Arial" w:cs="Arial"/>
          <w:sz w:val="24"/>
          <w:szCs w:val="24"/>
        </w:rPr>
        <w:lastRenderedPageBreak/>
        <w:t>5. Comparative International Marketing Mix (7Ps)</w:t>
      </w:r>
      <w:bookmarkEnd w:id="4"/>
    </w:p>
    <w:p w14:paraId="7B8C3C7F" w14:textId="77777777" w:rsidR="00560E3C" w:rsidRPr="006F1EE4" w:rsidRDefault="00560E3C" w:rsidP="009C0BB3">
      <w:pPr>
        <w:spacing w:line="360" w:lineRule="auto"/>
        <w:rPr>
          <w:rFonts w:ascii="Arial" w:hAnsi="Arial" w:cs="Arial"/>
        </w:rPr>
      </w:pPr>
      <w:r w:rsidRPr="006F1EE4">
        <w:rPr>
          <w:rFonts w:ascii="Arial" w:hAnsi="Arial" w:cs="Arial"/>
        </w:rPr>
        <w:t>The marketing mix provides a tactical framework through which organisations translate their international marketing strategy into customer value (Booms and Bitner, 1981; Kotler et al., 2022). While Cadbury maintains globally consistent brand values, its implementation of the 7Ps differs across the United Kingdom and India in response to variations in market maturity, retail structure, purchasing behaviour and competitive dynamics. The following comparison evaluates how Cadbury adapts each element of the marketing mix while preserving a coherent international brand identity.</w:t>
      </w:r>
    </w:p>
    <w:p w14:paraId="4DF9C128" w14:textId="2CEDE8F8" w:rsidR="00560E3C" w:rsidRPr="009C0BB3" w:rsidRDefault="00560E3C" w:rsidP="009C0BB3">
      <w:pPr>
        <w:spacing w:line="360" w:lineRule="auto"/>
        <w:rPr>
          <w:rFonts w:ascii="Arial" w:hAnsi="Arial" w:cs="Arial"/>
        </w:rPr>
      </w:pPr>
    </w:p>
    <w:p w14:paraId="01740077" w14:textId="77777777" w:rsidR="00560E3C" w:rsidRPr="009C0BB3" w:rsidRDefault="00560E3C" w:rsidP="009C0BB3">
      <w:pPr>
        <w:spacing w:line="360" w:lineRule="auto"/>
        <w:jc w:val="center"/>
        <w:rPr>
          <w:rFonts w:ascii="Arial" w:hAnsi="Arial" w:cs="Arial"/>
          <w:b/>
          <w:bCs/>
        </w:rPr>
      </w:pPr>
      <w:r w:rsidRPr="009C0BB3">
        <w:rPr>
          <w:rFonts w:ascii="Arial" w:hAnsi="Arial" w:cs="Arial"/>
          <w:b/>
          <w:bCs/>
        </w:rPr>
        <w:t>Table 4. Comparative International Marketing Mix</w:t>
      </w:r>
    </w:p>
    <w:tbl>
      <w:tblPr>
        <w:tblStyle w:val="TableGrid"/>
        <w:tblW w:w="0" w:type="auto"/>
        <w:tblLook w:val="04A0" w:firstRow="1" w:lastRow="0" w:firstColumn="1" w:lastColumn="0" w:noHBand="0" w:noVBand="1"/>
      </w:tblPr>
      <w:tblGrid>
        <w:gridCol w:w="1455"/>
        <w:gridCol w:w="3165"/>
        <w:gridCol w:w="3014"/>
        <w:gridCol w:w="2822"/>
      </w:tblGrid>
      <w:tr w:rsidR="00560E3C" w:rsidRPr="009C0BB3" w14:paraId="06ADD962" w14:textId="77777777" w:rsidTr="00560E3C">
        <w:tc>
          <w:tcPr>
            <w:tcW w:w="0" w:type="auto"/>
            <w:hideMark/>
          </w:tcPr>
          <w:p w14:paraId="5A427C0B" w14:textId="77777777" w:rsidR="00560E3C" w:rsidRPr="009C0BB3" w:rsidRDefault="00560E3C" w:rsidP="009C0BB3">
            <w:pPr>
              <w:spacing w:after="160" w:line="360" w:lineRule="auto"/>
              <w:rPr>
                <w:rFonts w:ascii="Arial" w:hAnsi="Arial" w:cs="Arial"/>
                <w:b/>
                <w:bCs/>
              </w:rPr>
            </w:pPr>
            <w:r w:rsidRPr="009C0BB3">
              <w:rPr>
                <w:rFonts w:ascii="Arial" w:hAnsi="Arial" w:cs="Arial"/>
                <w:b/>
                <w:bCs/>
              </w:rPr>
              <w:t>Marketing Mix</w:t>
            </w:r>
          </w:p>
        </w:tc>
        <w:tc>
          <w:tcPr>
            <w:tcW w:w="0" w:type="auto"/>
            <w:hideMark/>
          </w:tcPr>
          <w:p w14:paraId="439D8F48" w14:textId="77777777" w:rsidR="00560E3C" w:rsidRPr="009C0BB3" w:rsidRDefault="00560E3C" w:rsidP="009C0BB3">
            <w:pPr>
              <w:spacing w:after="160" w:line="360" w:lineRule="auto"/>
              <w:rPr>
                <w:rFonts w:ascii="Arial" w:hAnsi="Arial" w:cs="Arial"/>
                <w:b/>
                <w:bCs/>
              </w:rPr>
            </w:pPr>
            <w:r w:rsidRPr="009C0BB3">
              <w:rPr>
                <w:rFonts w:ascii="Arial" w:hAnsi="Arial" w:cs="Arial"/>
                <w:b/>
                <w:bCs/>
              </w:rPr>
              <w:t>United Kingdom</w:t>
            </w:r>
          </w:p>
        </w:tc>
        <w:tc>
          <w:tcPr>
            <w:tcW w:w="0" w:type="auto"/>
            <w:hideMark/>
          </w:tcPr>
          <w:p w14:paraId="0E8EA7EF" w14:textId="77777777" w:rsidR="00560E3C" w:rsidRPr="009C0BB3" w:rsidRDefault="00560E3C" w:rsidP="009C0BB3">
            <w:pPr>
              <w:spacing w:after="160" w:line="360" w:lineRule="auto"/>
              <w:rPr>
                <w:rFonts w:ascii="Arial" w:hAnsi="Arial" w:cs="Arial"/>
                <w:b/>
                <w:bCs/>
              </w:rPr>
            </w:pPr>
            <w:r w:rsidRPr="009C0BB3">
              <w:rPr>
                <w:rFonts w:ascii="Arial" w:hAnsi="Arial" w:cs="Arial"/>
                <w:b/>
                <w:bCs/>
              </w:rPr>
              <w:t>India</w:t>
            </w:r>
          </w:p>
        </w:tc>
        <w:tc>
          <w:tcPr>
            <w:tcW w:w="0" w:type="auto"/>
            <w:hideMark/>
          </w:tcPr>
          <w:p w14:paraId="11CD2916" w14:textId="77777777" w:rsidR="00560E3C" w:rsidRPr="009C0BB3" w:rsidRDefault="00560E3C" w:rsidP="009C0BB3">
            <w:pPr>
              <w:spacing w:after="160" w:line="360" w:lineRule="auto"/>
              <w:rPr>
                <w:rFonts w:ascii="Arial" w:hAnsi="Arial" w:cs="Arial"/>
                <w:b/>
                <w:bCs/>
              </w:rPr>
            </w:pPr>
            <w:r w:rsidRPr="009C0BB3">
              <w:rPr>
                <w:rFonts w:ascii="Arial" w:hAnsi="Arial" w:cs="Arial"/>
                <w:b/>
                <w:bCs/>
              </w:rPr>
              <w:t>Strategic Evaluation</w:t>
            </w:r>
          </w:p>
        </w:tc>
      </w:tr>
      <w:tr w:rsidR="00560E3C" w:rsidRPr="009C0BB3" w14:paraId="269200F3" w14:textId="77777777" w:rsidTr="00560E3C">
        <w:tc>
          <w:tcPr>
            <w:tcW w:w="0" w:type="auto"/>
            <w:hideMark/>
          </w:tcPr>
          <w:p w14:paraId="56793468" w14:textId="77777777" w:rsidR="00560E3C" w:rsidRPr="009C0BB3" w:rsidRDefault="00560E3C" w:rsidP="009C0BB3">
            <w:pPr>
              <w:spacing w:after="160" w:line="360" w:lineRule="auto"/>
              <w:rPr>
                <w:rFonts w:ascii="Arial" w:hAnsi="Arial" w:cs="Arial"/>
              </w:rPr>
            </w:pPr>
            <w:r w:rsidRPr="009C0BB3">
              <w:rPr>
                <w:rFonts w:ascii="Arial" w:hAnsi="Arial" w:cs="Arial"/>
                <w:b/>
                <w:bCs/>
              </w:rPr>
              <w:t>Product</w:t>
            </w:r>
          </w:p>
        </w:tc>
        <w:tc>
          <w:tcPr>
            <w:tcW w:w="0" w:type="auto"/>
            <w:hideMark/>
          </w:tcPr>
          <w:p w14:paraId="02DC4F47" w14:textId="77777777" w:rsidR="00560E3C" w:rsidRPr="009C0BB3" w:rsidRDefault="00560E3C" w:rsidP="009C0BB3">
            <w:pPr>
              <w:spacing w:after="160" w:line="360" w:lineRule="auto"/>
              <w:rPr>
                <w:rFonts w:ascii="Arial" w:hAnsi="Arial" w:cs="Arial"/>
              </w:rPr>
            </w:pPr>
            <w:r w:rsidRPr="009C0BB3">
              <w:rPr>
                <w:rFonts w:ascii="Arial" w:hAnsi="Arial" w:cs="Arial"/>
              </w:rPr>
              <w:t>Cadbury focuses on product innovation, seasonal editions (Easter eggs, Christmas assortments), reduced-sugar variants and premium ranges such as Dairy Milk Velvet. Packaging increasingly incorporates recyclable materials in line with Mondelēz sustainability commitments.</w:t>
            </w:r>
          </w:p>
        </w:tc>
        <w:tc>
          <w:tcPr>
            <w:tcW w:w="0" w:type="auto"/>
            <w:hideMark/>
          </w:tcPr>
          <w:p w14:paraId="58DA13EF" w14:textId="77777777" w:rsidR="00560E3C" w:rsidRPr="009C0BB3" w:rsidRDefault="00560E3C" w:rsidP="009C0BB3">
            <w:pPr>
              <w:spacing w:after="160" w:line="360" w:lineRule="auto"/>
              <w:rPr>
                <w:rFonts w:ascii="Arial" w:hAnsi="Arial" w:cs="Arial"/>
              </w:rPr>
            </w:pPr>
            <w:r w:rsidRPr="009C0BB3">
              <w:rPr>
                <w:rFonts w:ascii="Arial" w:hAnsi="Arial" w:cs="Arial"/>
              </w:rPr>
              <w:t>Product adaptation is considerably greater. Cadbury offers smaller pack sizes (e.g., ₹10 Dairy Milk), locally relevant flavours, premium Silk variants, Celebration gift packs and festival-specific packaging.</w:t>
            </w:r>
          </w:p>
        </w:tc>
        <w:tc>
          <w:tcPr>
            <w:tcW w:w="0" w:type="auto"/>
            <w:hideMark/>
          </w:tcPr>
          <w:p w14:paraId="413B9A0F" w14:textId="77777777" w:rsidR="00560E3C" w:rsidRPr="009C0BB3" w:rsidRDefault="00560E3C" w:rsidP="009C0BB3">
            <w:pPr>
              <w:spacing w:after="160" w:line="360" w:lineRule="auto"/>
              <w:rPr>
                <w:rFonts w:ascii="Arial" w:hAnsi="Arial" w:cs="Arial"/>
              </w:rPr>
            </w:pPr>
            <w:r w:rsidRPr="009C0BB3">
              <w:rPr>
                <w:rFonts w:ascii="Arial" w:hAnsi="Arial" w:cs="Arial"/>
              </w:rPr>
              <w:t xml:space="preserve">Rather than standardising its portfolio, Cadbury follows a </w:t>
            </w:r>
            <w:r w:rsidRPr="009C0BB3">
              <w:rPr>
                <w:rFonts w:ascii="Arial" w:hAnsi="Arial" w:cs="Arial"/>
                <w:b/>
                <w:bCs/>
              </w:rPr>
              <w:t>glocalisation strategy</w:t>
            </w:r>
            <w:r w:rsidRPr="009C0BB3">
              <w:rPr>
                <w:rFonts w:ascii="Arial" w:hAnsi="Arial" w:cs="Arial"/>
              </w:rPr>
              <w:t>, maintaining a consistent core product while adapting formats and packaging to local purchasing patterns (Kotler et al., 2022).</w:t>
            </w:r>
          </w:p>
        </w:tc>
      </w:tr>
      <w:tr w:rsidR="00560E3C" w:rsidRPr="009C0BB3" w14:paraId="4206AF6C" w14:textId="77777777" w:rsidTr="00560E3C">
        <w:tc>
          <w:tcPr>
            <w:tcW w:w="0" w:type="auto"/>
            <w:hideMark/>
          </w:tcPr>
          <w:p w14:paraId="4A3B3967" w14:textId="77777777" w:rsidR="00560E3C" w:rsidRPr="009C0BB3" w:rsidRDefault="00560E3C" w:rsidP="009C0BB3">
            <w:pPr>
              <w:spacing w:after="160" w:line="360" w:lineRule="auto"/>
              <w:rPr>
                <w:rFonts w:ascii="Arial" w:hAnsi="Arial" w:cs="Arial"/>
              </w:rPr>
            </w:pPr>
            <w:r w:rsidRPr="009C0BB3">
              <w:rPr>
                <w:rFonts w:ascii="Arial" w:hAnsi="Arial" w:cs="Arial"/>
                <w:b/>
                <w:bCs/>
              </w:rPr>
              <w:t>Price</w:t>
            </w:r>
          </w:p>
        </w:tc>
        <w:tc>
          <w:tcPr>
            <w:tcW w:w="0" w:type="auto"/>
            <w:hideMark/>
          </w:tcPr>
          <w:p w14:paraId="5D15F710" w14:textId="77777777" w:rsidR="00560E3C" w:rsidRPr="009C0BB3" w:rsidRDefault="00560E3C" w:rsidP="009C0BB3">
            <w:pPr>
              <w:spacing w:after="160" w:line="360" w:lineRule="auto"/>
              <w:rPr>
                <w:rFonts w:ascii="Arial" w:hAnsi="Arial" w:cs="Arial"/>
              </w:rPr>
            </w:pPr>
            <w:r w:rsidRPr="009C0BB3">
              <w:rPr>
                <w:rFonts w:ascii="Arial" w:hAnsi="Arial" w:cs="Arial"/>
              </w:rPr>
              <w:t xml:space="preserve">A value-based pricing strategy supports a mature market where consumers place greater emphasis on quality, convenience and brand trust than on absolute price. Promotional discounts are common through supermarket </w:t>
            </w:r>
            <w:r w:rsidRPr="009C0BB3">
              <w:rPr>
                <w:rFonts w:ascii="Arial" w:hAnsi="Arial" w:cs="Arial"/>
              </w:rPr>
              <w:lastRenderedPageBreak/>
              <w:t>loyalty schemes such as Tesco Clubcard and Sainsbury's Nectar.</w:t>
            </w:r>
          </w:p>
        </w:tc>
        <w:tc>
          <w:tcPr>
            <w:tcW w:w="0" w:type="auto"/>
            <w:hideMark/>
          </w:tcPr>
          <w:p w14:paraId="2EB40811" w14:textId="77777777" w:rsidR="00560E3C" w:rsidRPr="009C0BB3" w:rsidRDefault="00560E3C" w:rsidP="009C0BB3">
            <w:pPr>
              <w:spacing w:after="160" w:line="360" w:lineRule="auto"/>
              <w:rPr>
                <w:rFonts w:ascii="Arial" w:hAnsi="Arial" w:cs="Arial"/>
              </w:rPr>
            </w:pPr>
            <w:r w:rsidRPr="009C0BB3">
              <w:rPr>
                <w:rFonts w:ascii="Arial" w:hAnsi="Arial" w:cs="Arial"/>
              </w:rPr>
              <w:lastRenderedPageBreak/>
              <w:t xml:space="preserve">Cadbury applies a multi-tier pricing strategy ranging from low-cost impulse purchases to premium gifting products. Smaller stock-keeping units (SKUs) improve affordability while </w:t>
            </w:r>
            <w:r w:rsidRPr="009C0BB3">
              <w:rPr>
                <w:rFonts w:ascii="Arial" w:hAnsi="Arial" w:cs="Arial"/>
              </w:rPr>
              <w:lastRenderedPageBreak/>
              <w:t>preserving market penetration.</w:t>
            </w:r>
          </w:p>
        </w:tc>
        <w:tc>
          <w:tcPr>
            <w:tcW w:w="0" w:type="auto"/>
            <w:hideMark/>
          </w:tcPr>
          <w:p w14:paraId="4BA63331" w14:textId="77777777" w:rsidR="00560E3C" w:rsidRPr="009C0BB3" w:rsidRDefault="00560E3C" w:rsidP="009C0BB3">
            <w:pPr>
              <w:spacing w:after="160" w:line="360" w:lineRule="auto"/>
              <w:rPr>
                <w:rFonts w:ascii="Arial" w:hAnsi="Arial" w:cs="Arial"/>
              </w:rPr>
            </w:pPr>
            <w:r w:rsidRPr="009C0BB3">
              <w:rPr>
                <w:rFonts w:ascii="Arial" w:hAnsi="Arial" w:cs="Arial"/>
              </w:rPr>
              <w:lastRenderedPageBreak/>
              <w:t xml:space="preserve">Price adaptation enables Cadbury to maximise accessibility without eroding its premium brand image. This demonstrates effective international price discrimination </w:t>
            </w:r>
            <w:r w:rsidRPr="009C0BB3">
              <w:rPr>
                <w:rFonts w:ascii="Arial" w:hAnsi="Arial" w:cs="Arial"/>
              </w:rPr>
              <w:lastRenderedPageBreak/>
              <w:t>based on purchasing power.</w:t>
            </w:r>
          </w:p>
        </w:tc>
      </w:tr>
      <w:tr w:rsidR="00560E3C" w:rsidRPr="009C0BB3" w14:paraId="47832F57" w14:textId="77777777" w:rsidTr="00560E3C">
        <w:tc>
          <w:tcPr>
            <w:tcW w:w="0" w:type="auto"/>
            <w:hideMark/>
          </w:tcPr>
          <w:p w14:paraId="1584AD29" w14:textId="77777777" w:rsidR="00560E3C" w:rsidRPr="009C0BB3" w:rsidRDefault="00560E3C" w:rsidP="009C0BB3">
            <w:pPr>
              <w:spacing w:after="160" w:line="360" w:lineRule="auto"/>
              <w:rPr>
                <w:rFonts w:ascii="Arial" w:hAnsi="Arial" w:cs="Arial"/>
              </w:rPr>
            </w:pPr>
            <w:r w:rsidRPr="009C0BB3">
              <w:rPr>
                <w:rFonts w:ascii="Arial" w:hAnsi="Arial" w:cs="Arial"/>
                <w:b/>
                <w:bCs/>
              </w:rPr>
              <w:lastRenderedPageBreak/>
              <w:t>Place</w:t>
            </w:r>
          </w:p>
        </w:tc>
        <w:tc>
          <w:tcPr>
            <w:tcW w:w="0" w:type="auto"/>
            <w:hideMark/>
          </w:tcPr>
          <w:p w14:paraId="1DF3B917" w14:textId="77777777" w:rsidR="00560E3C" w:rsidRPr="009C0BB3" w:rsidRDefault="00560E3C" w:rsidP="009C0BB3">
            <w:pPr>
              <w:spacing w:after="160" w:line="360" w:lineRule="auto"/>
              <w:rPr>
                <w:rFonts w:ascii="Arial" w:hAnsi="Arial" w:cs="Arial"/>
              </w:rPr>
            </w:pPr>
            <w:r w:rsidRPr="009C0BB3">
              <w:rPr>
                <w:rFonts w:ascii="Arial" w:hAnsi="Arial" w:cs="Arial"/>
              </w:rPr>
              <w:t>Distribution is dominated by organised retail including Tesco, Sainsbury's, Asda, Morrisons, convenience stores, Amazon UK and the Cadbury Gifts Direct platform. Online grocery sales continue to expand.</w:t>
            </w:r>
          </w:p>
        </w:tc>
        <w:tc>
          <w:tcPr>
            <w:tcW w:w="0" w:type="auto"/>
            <w:hideMark/>
          </w:tcPr>
          <w:p w14:paraId="2A106DDD" w14:textId="77777777" w:rsidR="00560E3C" w:rsidRPr="009C0BB3" w:rsidRDefault="00560E3C" w:rsidP="009C0BB3">
            <w:pPr>
              <w:spacing w:after="160" w:line="360" w:lineRule="auto"/>
              <w:rPr>
                <w:rFonts w:ascii="Arial" w:hAnsi="Arial" w:cs="Arial"/>
              </w:rPr>
            </w:pPr>
            <w:r w:rsidRPr="009C0BB3">
              <w:rPr>
                <w:rFonts w:ascii="Arial" w:hAnsi="Arial" w:cs="Arial"/>
              </w:rPr>
              <w:t xml:space="preserve">Cadbury combines modern retail with a vast traditional distribution network consisting of neighbourhood </w:t>
            </w:r>
            <w:r w:rsidRPr="009C0BB3">
              <w:rPr>
                <w:rFonts w:ascii="Arial" w:hAnsi="Arial" w:cs="Arial"/>
                <w:i/>
                <w:iCs/>
              </w:rPr>
              <w:t>kirana</w:t>
            </w:r>
            <w:r w:rsidRPr="009C0BB3">
              <w:rPr>
                <w:rFonts w:ascii="Arial" w:hAnsi="Arial" w:cs="Arial"/>
              </w:rPr>
              <w:t xml:space="preserve"> stores, wholesalers and emerging e-commerce platforms such as Blinkit, Zepto, BigBasket and Amazon India.</w:t>
            </w:r>
          </w:p>
        </w:tc>
        <w:tc>
          <w:tcPr>
            <w:tcW w:w="0" w:type="auto"/>
            <w:hideMark/>
          </w:tcPr>
          <w:p w14:paraId="53538E33" w14:textId="77777777" w:rsidR="00560E3C" w:rsidRPr="009C0BB3" w:rsidRDefault="00560E3C" w:rsidP="009C0BB3">
            <w:pPr>
              <w:spacing w:after="160" w:line="360" w:lineRule="auto"/>
              <w:rPr>
                <w:rFonts w:ascii="Arial" w:hAnsi="Arial" w:cs="Arial"/>
              </w:rPr>
            </w:pPr>
            <w:r w:rsidRPr="009C0BB3">
              <w:rPr>
                <w:rFonts w:ascii="Arial" w:hAnsi="Arial" w:cs="Arial"/>
              </w:rPr>
              <w:t>Distribution strategy reflects channel adaptation rather than product adaptation. India's fragmented retail environment requires significantly higher channel coverage than the UK.</w:t>
            </w:r>
          </w:p>
        </w:tc>
      </w:tr>
      <w:tr w:rsidR="00560E3C" w:rsidRPr="009C0BB3" w14:paraId="5A5CEE6C" w14:textId="77777777" w:rsidTr="00560E3C">
        <w:tc>
          <w:tcPr>
            <w:tcW w:w="0" w:type="auto"/>
            <w:hideMark/>
          </w:tcPr>
          <w:p w14:paraId="0EBBFD44" w14:textId="77777777" w:rsidR="00560E3C" w:rsidRPr="009C0BB3" w:rsidRDefault="00560E3C" w:rsidP="009C0BB3">
            <w:pPr>
              <w:spacing w:after="160" w:line="360" w:lineRule="auto"/>
              <w:rPr>
                <w:rFonts w:ascii="Arial" w:hAnsi="Arial" w:cs="Arial"/>
              </w:rPr>
            </w:pPr>
            <w:r w:rsidRPr="009C0BB3">
              <w:rPr>
                <w:rFonts w:ascii="Arial" w:hAnsi="Arial" w:cs="Arial"/>
                <w:b/>
                <w:bCs/>
              </w:rPr>
              <w:t>Promotion</w:t>
            </w:r>
          </w:p>
        </w:tc>
        <w:tc>
          <w:tcPr>
            <w:tcW w:w="0" w:type="auto"/>
            <w:hideMark/>
          </w:tcPr>
          <w:p w14:paraId="5CEFD951" w14:textId="77777777" w:rsidR="00560E3C" w:rsidRPr="009C0BB3" w:rsidRDefault="00560E3C" w:rsidP="009C0BB3">
            <w:pPr>
              <w:spacing w:after="160" w:line="360" w:lineRule="auto"/>
              <w:rPr>
                <w:rFonts w:ascii="Arial" w:hAnsi="Arial" w:cs="Arial"/>
              </w:rPr>
            </w:pPr>
            <w:r w:rsidRPr="009C0BB3">
              <w:rPr>
                <w:rFonts w:ascii="Arial" w:hAnsi="Arial" w:cs="Arial"/>
              </w:rPr>
              <w:t>Marketing communications focus on emotional storytelling, generosity, nostalgia and seasonal celebrations. Digital campaigns, television advertising and social media reinforce long-term brand equity.</w:t>
            </w:r>
          </w:p>
        </w:tc>
        <w:tc>
          <w:tcPr>
            <w:tcW w:w="0" w:type="auto"/>
            <w:hideMark/>
          </w:tcPr>
          <w:p w14:paraId="7870DA6E" w14:textId="77777777" w:rsidR="00560E3C" w:rsidRPr="009C0BB3" w:rsidRDefault="00560E3C" w:rsidP="009C0BB3">
            <w:pPr>
              <w:spacing w:after="160" w:line="360" w:lineRule="auto"/>
              <w:rPr>
                <w:rFonts w:ascii="Arial" w:hAnsi="Arial" w:cs="Arial"/>
              </w:rPr>
            </w:pPr>
            <w:r w:rsidRPr="009C0BB3">
              <w:rPr>
                <w:rFonts w:ascii="Arial" w:hAnsi="Arial" w:cs="Arial"/>
              </w:rPr>
              <w:t>Promotional activities combine digital marketing with culturally specific campaigns centred on festivals, gifting occasions and family celebrations. Celebrity endorsements and influencer collaborations increase campaign reach among younger consumers.</w:t>
            </w:r>
          </w:p>
        </w:tc>
        <w:tc>
          <w:tcPr>
            <w:tcW w:w="0" w:type="auto"/>
            <w:hideMark/>
          </w:tcPr>
          <w:p w14:paraId="1C789E48" w14:textId="77777777" w:rsidR="00560E3C" w:rsidRPr="009C0BB3" w:rsidRDefault="00560E3C" w:rsidP="009C0BB3">
            <w:pPr>
              <w:spacing w:after="160" w:line="360" w:lineRule="auto"/>
              <w:rPr>
                <w:rFonts w:ascii="Arial" w:hAnsi="Arial" w:cs="Arial"/>
              </w:rPr>
            </w:pPr>
            <w:r w:rsidRPr="009C0BB3">
              <w:rPr>
                <w:rFonts w:ascii="Arial" w:hAnsi="Arial" w:cs="Arial"/>
              </w:rPr>
              <w:t>Promotional adaptation represents Cadbury's greatest source of competitive advantage because emotional messages remain globally consistent while cultural execution differs substantially between markets (De Mooij, 2021).</w:t>
            </w:r>
          </w:p>
        </w:tc>
      </w:tr>
      <w:tr w:rsidR="00560E3C" w:rsidRPr="009C0BB3" w14:paraId="50274C82" w14:textId="77777777" w:rsidTr="00560E3C">
        <w:tc>
          <w:tcPr>
            <w:tcW w:w="0" w:type="auto"/>
            <w:hideMark/>
          </w:tcPr>
          <w:p w14:paraId="3A337CE7" w14:textId="77777777" w:rsidR="00560E3C" w:rsidRPr="009C0BB3" w:rsidRDefault="00560E3C" w:rsidP="009C0BB3">
            <w:pPr>
              <w:spacing w:after="160" w:line="360" w:lineRule="auto"/>
              <w:rPr>
                <w:rFonts w:ascii="Arial" w:hAnsi="Arial" w:cs="Arial"/>
              </w:rPr>
            </w:pPr>
            <w:r w:rsidRPr="009C0BB3">
              <w:rPr>
                <w:rFonts w:ascii="Arial" w:hAnsi="Arial" w:cs="Arial"/>
                <w:b/>
                <w:bCs/>
              </w:rPr>
              <w:t>People</w:t>
            </w:r>
          </w:p>
        </w:tc>
        <w:tc>
          <w:tcPr>
            <w:tcW w:w="0" w:type="auto"/>
            <w:hideMark/>
          </w:tcPr>
          <w:p w14:paraId="644B7153" w14:textId="77777777" w:rsidR="00560E3C" w:rsidRPr="009C0BB3" w:rsidRDefault="00560E3C" w:rsidP="009C0BB3">
            <w:pPr>
              <w:spacing w:after="160" w:line="360" w:lineRule="auto"/>
              <w:rPr>
                <w:rFonts w:ascii="Arial" w:hAnsi="Arial" w:cs="Arial"/>
              </w:rPr>
            </w:pPr>
            <w:r w:rsidRPr="009C0BB3">
              <w:rPr>
                <w:rFonts w:ascii="Arial" w:hAnsi="Arial" w:cs="Arial"/>
              </w:rPr>
              <w:t>Customer experience is largely delivered through organised retailers, supermarket staff and customer service channels, with limited direct interaction by Cadbury itself.</w:t>
            </w:r>
          </w:p>
        </w:tc>
        <w:tc>
          <w:tcPr>
            <w:tcW w:w="0" w:type="auto"/>
            <w:hideMark/>
          </w:tcPr>
          <w:p w14:paraId="3D475AF7" w14:textId="77777777" w:rsidR="00560E3C" w:rsidRPr="009C0BB3" w:rsidRDefault="00560E3C" w:rsidP="009C0BB3">
            <w:pPr>
              <w:spacing w:after="160" w:line="360" w:lineRule="auto"/>
              <w:rPr>
                <w:rFonts w:ascii="Arial" w:hAnsi="Arial" w:cs="Arial"/>
              </w:rPr>
            </w:pPr>
            <w:r w:rsidRPr="009C0BB3">
              <w:rPr>
                <w:rFonts w:ascii="Arial" w:hAnsi="Arial" w:cs="Arial"/>
              </w:rPr>
              <w:t>Cadbury collaborates extensively with distributors, retailers, wholesalers and merchandising partners to ensure availability across diverse retail environments.</w:t>
            </w:r>
          </w:p>
        </w:tc>
        <w:tc>
          <w:tcPr>
            <w:tcW w:w="0" w:type="auto"/>
            <w:hideMark/>
          </w:tcPr>
          <w:p w14:paraId="75797917" w14:textId="77777777" w:rsidR="00560E3C" w:rsidRPr="009C0BB3" w:rsidRDefault="00560E3C" w:rsidP="009C0BB3">
            <w:pPr>
              <w:spacing w:after="160" w:line="360" w:lineRule="auto"/>
              <w:rPr>
                <w:rFonts w:ascii="Arial" w:hAnsi="Arial" w:cs="Arial"/>
              </w:rPr>
            </w:pPr>
            <w:r w:rsidRPr="009C0BB3">
              <w:rPr>
                <w:rFonts w:ascii="Arial" w:hAnsi="Arial" w:cs="Arial"/>
              </w:rPr>
              <w:t>Human interaction within the marketing mix is more operationally significant in India because of greater distribution complexity and retailer dependence.</w:t>
            </w:r>
          </w:p>
        </w:tc>
      </w:tr>
      <w:tr w:rsidR="00560E3C" w:rsidRPr="009C0BB3" w14:paraId="29232DE8" w14:textId="77777777" w:rsidTr="00560E3C">
        <w:tc>
          <w:tcPr>
            <w:tcW w:w="0" w:type="auto"/>
            <w:hideMark/>
          </w:tcPr>
          <w:p w14:paraId="0EAEF976" w14:textId="77777777" w:rsidR="00560E3C" w:rsidRPr="009C0BB3" w:rsidRDefault="00560E3C" w:rsidP="009C0BB3">
            <w:pPr>
              <w:spacing w:after="160" w:line="360" w:lineRule="auto"/>
              <w:rPr>
                <w:rFonts w:ascii="Arial" w:hAnsi="Arial" w:cs="Arial"/>
              </w:rPr>
            </w:pPr>
            <w:r w:rsidRPr="009C0BB3">
              <w:rPr>
                <w:rFonts w:ascii="Arial" w:hAnsi="Arial" w:cs="Arial"/>
                <w:b/>
                <w:bCs/>
              </w:rPr>
              <w:t>Process</w:t>
            </w:r>
          </w:p>
        </w:tc>
        <w:tc>
          <w:tcPr>
            <w:tcW w:w="0" w:type="auto"/>
            <w:hideMark/>
          </w:tcPr>
          <w:p w14:paraId="69A4DC5C" w14:textId="77777777" w:rsidR="00560E3C" w:rsidRPr="009C0BB3" w:rsidRDefault="00560E3C" w:rsidP="009C0BB3">
            <w:pPr>
              <w:spacing w:after="160" w:line="360" w:lineRule="auto"/>
              <w:rPr>
                <w:rFonts w:ascii="Arial" w:hAnsi="Arial" w:cs="Arial"/>
              </w:rPr>
            </w:pPr>
            <w:r w:rsidRPr="009C0BB3">
              <w:rPr>
                <w:rFonts w:ascii="Arial" w:hAnsi="Arial" w:cs="Arial"/>
              </w:rPr>
              <w:t xml:space="preserve">Highly integrated supply chains, automated manufacturing and digital </w:t>
            </w:r>
            <w:r w:rsidRPr="009C0BB3">
              <w:rPr>
                <w:rFonts w:ascii="Arial" w:hAnsi="Arial" w:cs="Arial"/>
              </w:rPr>
              <w:lastRenderedPageBreak/>
              <w:t>inventory systems support efficient product availability and consistent service quality.</w:t>
            </w:r>
          </w:p>
        </w:tc>
        <w:tc>
          <w:tcPr>
            <w:tcW w:w="0" w:type="auto"/>
            <w:hideMark/>
          </w:tcPr>
          <w:p w14:paraId="74A6B3F9" w14:textId="77777777" w:rsidR="00560E3C" w:rsidRPr="009C0BB3" w:rsidRDefault="00560E3C" w:rsidP="009C0BB3">
            <w:pPr>
              <w:spacing w:after="160" w:line="360" w:lineRule="auto"/>
              <w:rPr>
                <w:rFonts w:ascii="Arial" w:hAnsi="Arial" w:cs="Arial"/>
              </w:rPr>
            </w:pPr>
            <w:r w:rsidRPr="009C0BB3">
              <w:rPr>
                <w:rFonts w:ascii="Arial" w:hAnsi="Arial" w:cs="Arial"/>
              </w:rPr>
              <w:lastRenderedPageBreak/>
              <w:t xml:space="preserve">Supply chain processes prioritise responsiveness, inventory flexibility and </w:t>
            </w:r>
            <w:r w:rsidRPr="009C0BB3">
              <w:rPr>
                <w:rFonts w:ascii="Arial" w:hAnsi="Arial" w:cs="Arial"/>
              </w:rPr>
              <w:lastRenderedPageBreak/>
              <w:t>regional logistics to accommodate climatic conditions, infrastructure differences and varying retail formats.</w:t>
            </w:r>
          </w:p>
        </w:tc>
        <w:tc>
          <w:tcPr>
            <w:tcW w:w="0" w:type="auto"/>
            <w:hideMark/>
          </w:tcPr>
          <w:p w14:paraId="3A534FA5" w14:textId="77777777" w:rsidR="00560E3C" w:rsidRPr="009C0BB3" w:rsidRDefault="00560E3C" w:rsidP="009C0BB3">
            <w:pPr>
              <w:spacing w:after="160" w:line="360" w:lineRule="auto"/>
              <w:rPr>
                <w:rFonts w:ascii="Arial" w:hAnsi="Arial" w:cs="Arial"/>
              </w:rPr>
            </w:pPr>
            <w:r w:rsidRPr="009C0BB3">
              <w:rPr>
                <w:rFonts w:ascii="Arial" w:hAnsi="Arial" w:cs="Arial"/>
              </w:rPr>
              <w:lastRenderedPageBreak/>
              <w:t xml:space="preserve">Operational processes are adapted to improve responsiveness while </w:t>
            </w:r>
            <w:r w:rsidRPr="009C0BB3">
              <w:rPr>
                <w:rFonts w:ascii="Arial" w:hAnsi="Arial" w:cs="Arial"/>
              </w:rPr>
              <w:lastRenderedPageBreak/>
              <w:t>maintaining global quality standards, illustrating international supply-chain flexibility.</w:t>
            </w:r>
          </w:p>
        </w:tc>
      </w:tr>
      <w:tr w:rsidR="00560E3C" w:rsidRPr="009C0BB3" w14:paraId="5A509739" w14:textId="77777777" w:rsidTr="00560E3C">
        <w:tc>
          <w:tcPr>
            <w:tcW w:w="0" w:type="auto"/>
            <w:hideMark/>
          </w:tcPr>
          <w:p w14:paraId="45A4E344" w14:textId="77777777" w:rsidR="00560E3C" w:rsidRPr="009C0BB3" w:rsidRDefault="00560E3C" w:rsidP="009C0BB3">
            <w:pPr>
              <w:spacing w:after="160" w:line="360" w:lineRule="auto"/>
              <w:rPr>
                <w:rFonts w:ascii="Arial" w:hAnsi="Arial" w:cs="Arial"/>
              </w:rPr>
            </w:pPr>
            <w:r w:rsidRPr="009C0BB3">
              <w:rPr>
                <w:rFonts w:ascii="Arial" w:hAnsi="Arial" w:cs="Arial"/>
                <w:b/>
                <w:bCs/>
              </w:rPr>
              <w:lastRenderedPageBreak/>
              <w:t>Physical Evidence</w:t>
            </w:r>
          </w:p>
        </w:tc>
        <w:tc>
          <w:tcPr>
            <w:tcW w:w="0" w:type="auto"/>
            <w:hideMark/>
          </w:tcPr>
          <w:p w14:paraId="61AF7434" w14:textId="77777777" w:rsidR="00560E3C" w:rsidRPr="009C0BB3" w:rsidRDefault="00560E3C" w:rsidP="009C0BB3">
            <w:pPr>
              <w:spacing w:after="160" w:line="360" w:lineRule="auto"/>
              <w:rPr>
                <w:rFonts w:ascii="Arial" w:hAnsi="Arial" w:cs="Arial"/>
              </w:rPr>
            </w:pPr>
            <w:r w:rsidRPr="009C0BB3">
              <w:rPr>
                <w:rFonts w:ascii="Arial" w:hAnsi="Arial" w:cs="Arial"/>
              </w:rPr>
              <w:t>Premium packaging, branded point-of-sale displays, seasonal merchandising and sustainable packaging reinforce Cadbury's heritage positioning.</w:t>
            </w:r>
          </w:p>
        </w:tc>
        <w:tc>
          <w:tcPr>
            <w:tcW w:w="0" w:type="auto"/>
            <w:hideMark/>
          </w:tcPr>
          <w:p w14:paraId="2309DA31" w14:textId="77777777" w:rsidR="00560E3C" w:rsidRPr="009C0BB3" w:rsidRDefault="00560E3C" w:rsidP="009C0BB3">
            <w:pPr>
              <w:spacing w:after="160" w:line="360" w:lineRule="auto"/>
              <w:rPr>
                <w:rFonts w:ascii="Arial" w:hAnsi="Arial" w:cs="Arial"/>
              </w:rPr>
            </w:pPr>
            <w:r w:rsidRPr="009C0BB3">
              <w:rPr>
                <w:rFonts w:ascii="Arial" w:hAnsi="Arial" w:cs="Arial"/>
              </w:rPr>
              <w:t>Attractive festive gift boxes, premium packaging for Dairy Milk Silk and branded retail displays enhance visibility during Diwali, Raksha Bandhan and other celebrations.</w:t>
            </w:r>
          </w:p>
        </w:tc>
        <w:tc>
          <w:tcPr>
            <w:tcW w:w="0" w:type="auto"/>
            <w:hideMark/>
          </w:tcPr>
          <w:p w14:paraId="4C044179" w14:textId="77777777" w:rsidR="00560E3C" w:rsidRPr="009C0BB3" w:rsidRDefault="00560E3C" w:rsidP="009C0BB3">
            <w:pPr>
              <w:spacing w:after="160" w:line="360" w:lineRule="auto"/>
              <w:rPr>
                <w:rFonts w:ascii="Arial" w:hAnsi="Arial" w:cs="Arial"/>
              </w:rPr>
            </w:pPr>
          </w:p>
        </w:tc>
      </w:tr>
    </w:tbl>
    <w:p w14:paraId="4B2180F1" w14:textId="77777777" w:rsidR="00560E3C" w:rsidRPr="009C0BB3" w:rsidRDefault="00560E3C" w:rsidP="009C0BB3">
      <w:pPr>
        <w:spacing w:line="360" w:lineRule="auto"/>
        <w:rPr>
          <w:rFonts w:ascii="Arial" w:hAnsi="Arial" w:cs="Arial"/>
        </w:rPr>
      </w:pPr>
    </w:p>
    <w:p w14:paraId="3F1F0FD0" w14:textId="77777777" w:rsidR="00C5112B" w:rsidRPr="009C0BB3" w:rsidRDefault="00C5112B" w:rsidP="009C0BB3">
      <w:pPr>
        <w:spacing w:line="360" w:lineRule="auto"/>
        <w:rPr>
          <w:rFonts w:ascii="Arial" w:hAnsi="Arial" w:cs="Arial"/>
        </w:rPr>
      </w:pPr>
    </w:p>
    <w:p w14:paraId="51E6CFD4" w14:textId="462407C8" w:rsidR="00560E3C" w:rsidRPr="009C0BB3" w:rsidRDefault="00560E3C" w:rsidP="009C0BB3">
      <w:pPr>
        <w:spacing w:line="360" w:lineRule="auto"/>
        <w:rPr>
          <w:rFonts w:ascii="Arial" w:hAnsi="Arial" w:cs="Arial"/>
          <w:b/>
          <w:bCs/>
        </w:rPr>
      </w:pPr>
      <w:r w:rsidRPr="009C0BB3">
        <w:rPr>
          <w:rFonts w:ascii="Arial" w:hAnsi="Arial" w:cs="Arial"/>
          <w:b/>
          <w:bCs/>
          <w:noProof/>
        </w:rPr>
        <w:drawing>
          <wp:inline distT="0" distB="0" distL="0" distR="0" wp14:anchorId="25C079F0" wp14:editId="0B707B30">
            <wp:extent cx="6598920" cy="4399280"/>
            <wp:effectExtent l="0" t="0" r="0" b="1270"/>
            <wp:docPr id="45583503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598920" cy="4399280"/>
                    </a:xfrm>
                    <a:prstGeom prst="rect">
                      <a:avLst/>
                    </a:prstGeom>
                    <a:noFill/>
                  </pic:spPr>
                </pic:pic>
              </a:graphicData>
            </a:graphic>
          </wp:inline>
        </w:drawing>
      </w:r>
    </w:p>
    <w:p w14:paraId="374A0FC7" w14:textId="77777777" w:rsidR="006621BC" w:rsidRDefault="006621BC" w:rsidP="009C0BB3">
      <w:pPr>
        <w:spacing w:line="360" w:lineRule="auto"/>
        <w:rPr>
          <w:rFonts w:ascii="Arial" w:hAnsi="Arial" w:cs="Arial"/>
          <w:b/>
          <w:bCs/>
        </w:rPr>
      </w:pPr>
    </w:p>
    <w:p w14:paraId="1281D8FF" w14:textId="77777777" w:rsidR="006621BC" w:rsidRDefault="006621BC" w:rsidP="009C0BB3">
      <w:pPr>
        <w:spacing w:line="360" w:lineRule="auto"/>
        <w:rPr>
          <w:rFonts w:ascii="Arial" w:hAnsi="Arial" w:cs="Arial"/>
          <w:b/>
          <w:bCs/>
        </w:rPr>
      </w:pPr>
    </w:p>
    <w:p w14:paraId="36DF9A31" w14:textId="2F4C05A8" w:rsidR="00560E3C" w:rsidRPr="009C0BB3" w:rsidRDefault="00560E3C" w:rsidP="009C0BB3">
      <w:pPr>
        <w:spacing w:line="360" w:lineRule="auto"/>
        <w:rPr>
          <w:rFonts w:ascii="Arial" w:hAnsi="Arial" w:cs="Arial"/>
          <w:b/>
          <w:bCs/>
        </w:rPr>
      </w:pPr>
      <w:r w:rsidRPr="009C0BB3">
        <w:rPr>
          <w:rFonts w:ascii="Arial" w:hAnsi="Arial" w:cs="Arial"/>
          <w:b/>
          <w:bCs/>
        </w:rPr>
        <w:lastRenderedPageBreak/>
        <w:t>Evaluation</w:t>
      </w:r>
    </w:p>
    <w:p w14:paraId="3B2B115C" w14:textId="77777777" w:rsidR="00560E3C" w:rsidRPr="009C0BB3" w:rsidRDefault="00560E3C" w:rsidP="009C0BB3">
      <w:pPr>
        <w:spacing w:line="360" w:lineRule="auto"/>
        <w:rPr>
          <w:rFonts w:ascii="Arial" w:hAnsi="Arial" w:cs="Arial"/>
        </w:rPr>
      </w:pPr>
      <w:r w:rsidRPr="009C0BB3">
        <w:rPr>
          <w:rFonts w:ascii="Arial" w:hAnsi="Arial" w:cs="Arial"/>
        </w:rPr>
        <w:t>The comparison indicates that Cadbury adopts a partially standardised marketing mix rather than complete global standardisation or full localisation. Product quality, visual identity and brand values remain globally consistent, preserving economies of scale and reinforcing worldwide brand recognition. However, pricing architecture, distribution channels, promotional execution and packaging are adapted to reflect differences in purchasing power, retail infrastructure and consumption contexts between the United Kingdom and India. This supports Levitt's (1983) argument that global brands benefit from standardisation, while also recognising that local market conditions frequently require strategic adaptation.</w:t>
      </w:r>
    </w:p>
    <w:p w14:paraId="7E45BBCD" w14:textId="39931701" w:rsidR="00560E3C" w:rsidRPr="009C0BB3" w:rsidRDefault="00560E3C" w:rsidP="009C0BB3">
      <w:pPr>
        <w:spacing w:line="360" w:lineRule="auto"/>
        <w:rPr>
          <w:rFonts w:ascii="Arial" w:hAnsi="Arial" w:cs="Arial"/>
        </w:rPr>
      </w:pPr>
      <w:r w:rsidRPr="009C0BB3">
        <w:rPr>
          <w:rFonts w:ascii="Arial" w:hAnsi="Arial" w:cs="Arial"/>
        </w:rPr>
        <w:t>Among the seven elements, promotion and place exhibit the highest degree of localisation. The UK relies on structured retail networks and relationship-based brand communication, whereas India requires extensive channel coverage alongside culturally relevant promotional activities to achieve market penetration. Conversely, people remain the least adapted element because Cadbury maintains consistent organisational values, quality standards and customer service principles across both markets.</w:t>
      </w:r>
    </w:p>
    <w:p w14:paraId="5442AF51" w14:textId="1A311FF2" w:rsidR="00560E3C" w:rsidRPr="009C0BB3" w:rsidRDefault="00560E3C" w:rsidP="009C0BB3">
      <w:pPr>
        <w:spacing w:line="360" w:lineRule="auto"/>
        <w:rPr>
          <w:rFonts w:ascii="Arial" w:hAnsi="Arial" w:cs="Arial"/>
        </w:rPr>
      </w:pPr>
      <w:r w:rsidRPr="009C0BB3">
        <w:rPr>
          <w:rFonts w:ascii="Arial" w:hAnsi="Arial" w:cs="Arial"/>
        </w:rPr>
        <w:t>Overall, Cadbury demonstrates a global marketing strategy, integrating global brand consistency with selective local adaptation. This balance enables the company to exploit international economies of scale while remaining responsive to diverse consumer and market conditions, thereby strengthening long-term competitive advantage in both mature and emerging markets.</w:t>
      </w:r>
    </w:p>
    <w:p w14:paraId="39CCD055" w14:textId="77777777" w:rsidR="007E472C" w:rsidRPr="009C0BB3" w:rsidRDefault="007E472C" w:rsidP="009C0BB3">
      <w:pPr>
        <w:pStyle w:val="Heading1"/>
        <w:spacing w:line="360" w:lineRule="auto"/>
        <w:jc w:val="center"/>
        <w:rPr>
          <w:rFonts w:ascii="Arial" w:hAnsi="Arial" w:cs="Arial"/>
          <w:sz w:val="24"/>
          <w:szCs w:val="24"/>
        </w:rPr>
      </w:pPr>
      <w:bookmarkStart w:id="5" w:name="_Toc236641015"/>
      <w:r w:rsidRPr="009C0BB3">
        <w:rPr>
          <w:rFonts w:ascii="Arial" w:hAnsi="Arial" w:cs="Arial"/>
          <w:sz w:val="24"/>
          <w:szCs w:val="24"/>
        </w:rPr>
        <w:t>6. Market Entry Strategy</w:t>
      </w:r>
      <w:bookmarkEnd w:id="5"/>
    </w:p>
    <w:p w14:paraId="01611BC8" w14:textId="77777777" w:rsidR="007E472C" w:rsidRPr="009C0BB3" w:rsidRDefault="007E472C" w:rsidP="009C0BB3">
      <w:pPr>
        <w:spacing w:line="360" w:lineRule="auto"/>
        <w:rPr>
          <w:rFonts w:ascii="Arial" w:hAnsi="Arial" w:cs="Arial"/>
        </w:rPr>
      </w:pPr>
      <w:r w:rsidRPr="009C0BB3">
        <w:rPr>
          <w:rFonts w:ascii="Arial" w:hAnsi="Arial" w:cs="Arial"/>
        </w:rPr>
        <w:t>Cadbury entered the Indian market in 1948 through the establishment of Cadbury Fry (India) Private Limited, a wholly owned subsidiary. Unlike licensing or joint ventures, this entry mode enabled the company to retain complete ownership and managerial control over manufacturing, distribution and brand management (Mondelēz International, 2024). Although this strategy required substantial capital investment, it provided Cadbury with greater strategic flexibility to develop long-term operations within one of the world's fastest-growing confectionery markets.</w:t>
      </w:r>
    </w:p>
    <w:p w14:paraId="05738567" w14:textId="77777777" w:rsidR="007E472C" w:rsidRPr="009C0BB3" w:rsidRDefault="007E472C" w:rsidP="009C0BB3">
      <w:pPr>
        <w:spacing w:line="360" w:lineRule="auto"/>
        <w:rPr>
          <w:rFonts w:ascii="Arial" w:hAnsi="Arial" w:cs="Arial"/>
        </w:rPr>
      </w:pPr>
      <w:r w:rsidRPr="009C0BB3">
        <w:rPr>
          <w:rFonts w:ascii="Arial" w:hAnsi="Arial" w:cs="Arial"/>
        </w:rPr>
        <w:t>The suitability of Cadbury's entry strategy can be explained using Dunning's Eclectic (OLI) Paradigm, which argues that firms undertake foreign direct investment when they possess ownership, location and internalisation advantages (Dunning, 1988).</w:t>
      </w:r>
    </w:p>
    <w:p w14:paraId="1AA7E254" w14:textId="77777777" w:rsidR="006621BC" w:rsidRDefault="006621BC" w:rsidP="009C0BB3">
      <w:pPr>
        <w:spacing w:line="360" w:lineRule="auto"/>
        <w:jc w:val="center"/>
        <w:rPr>
          <w:rFonts w:ascii="Arial" w:hAnsi="Arial" w:cs="Arial"/>
          <w:b/>
          <w:bCs/>
        </w:rPr>
      </w:pPr>
    </w:p>
    <w:p w14:paraId="30FCE34B" w14:textId="77777777" w:rsidR="006621BC" w:rsidRDefault="006621BC" w:rsidP="009C0BB3">
      <w:pPr>
        <w:spacing w:line="360" w:lineRule="auto"/>
        <w:jc w:val="center"/>
        <w:rPr>
          <w:rFonts w:ascii="Arial" w:hAnsi="Arial" w:cs="Arial"/>
          <w:b/>
          <w:bCs/>
        </w:rPr>
      </w:pPr>
    </w:p>
    <w:p w14:paraId="0AF88F58" w14:textId="77777777" w:rsidR="006621BC" w:rsidRDefault="006621BC" w:rsidP="009C0BB3">
      <w:pPr>
        <w:spacing w:line="360" w:lineRule="auto"/>
        <w:jc w:val="center"/>
        <w:rPr>
          <w:rFonts w:ascii="Arial" w:hAnsi="Arial" w:cs="Arial"/>
          <w:b/>
          <w:bCs/>
        </w:rPr>
      </w:pPr>
    </w:p>
    <w:p w14:paraId="1AD026A4" w14:textId="77777777" w:rsidR="006621BC" w:rsidRDefault="006621BC" w:rsidP="009C0BB3">
      <w:pPr>
        <w:spacing w:line="360" w:lineRule="auto"/>
        <w:jc w:val="center"/>
        <w:rPr>
          <w:rFonts w:ascii="Arial" w:hAnsi="Arial" w:cs="Arial"/>
          <w:b/>
          <w:bCs/>
        </w:rPr>
      </w:pPr>
    </w:p>
    <w:p w14:paraId="3BD1674F" w14:textId="7C9FD58B" w:rsidR="007E472C" w:rsidRPr="009C0BB3" w:rsidRDefault="007E472C" w:rsidP="009C0BB3">
      <w:pPr>
        <w:spacing w:line="360" w:lineRule="auto"/>
        <w:jc w:val="center"/>
        <w:rPr>
          <w:rFonts w:ascii="Arial" w:hAnsi="Arial" w:cs="Arial"/>
          <w:b/>
          <w:bCs/>
        </w:rPr>
      </w:pPr>
      <w:r w:rsidRPr="009C0BB3">
        <w:rPr>
          <w:rFonts w:ascii="Arial" w:hAnsi="Arial" w:cs="Arial"/>
          <w:b/>
          <w:bCs/>
        </w:rPr>
        <w:lastRenderedPageBreak/>
        <w:t>Table 5. Application of Dunning's OLI Paradigm to Cadbury's Entry into India</w:t>
      </w:r>
    </w:p>
    <w:tbl>
      <w:tblPr>
        <w:tblStyle w:val="TableGrid"/>
        <w:tblW w:w="0" w:type="auto"/>
        <w:tblLook w:val="04A0" w:firstRow="1" w:lastRow="0" w:firstColumn="1" w:lastColumn="0" w:noHBand="0" w:noVBand="1"/>
      </w:tblPr>
      <w:tblGrid>
        <w:gridCol w:w="1929"/>
        <w:gridCol w:w="4408"/>
        <w:gridCol w:w="4119"/>
      </w:tblGrid>
      <w:tr w:rsidR="007E472C" w:rsidRPr="009C0BB3" w14:paraId="3E0DECBD" w14:textId="77777777" w:rsidTr="007E472C">
        <w:tc>
          <w:tcPr>
            <w:tcW w:w="0" w:type="auto"/>
            <w:hideMark/>
          </w:tcPr>
          <w:p w14:paraId="6B750B16" w14:textId="77777777" w:rsidR="007E472C" w:rsidRPr="009C0BB3" w:rsidRDefault="007E472C" w:rsidP="009C0BB3">
            <w:pPr>
              <w:spacing w:after="160" w:line="360" w:lineRule="auto"/>
              <w:rPr>
                <w:rFonts w:ascii="Arial" w:hAnsi="Arial" w:cs="Arial"/>
                <w:b/>
                <w:bCs/>
              </w:rPr>
            </w:pPr>
            <w:r w:rsidRPr="009C0BB3">
              <w:rPr>
                <w:rFonts w:ascii="Arial" w:hAnsi="Arial" w:cs="Arial"/>
                <w:b/>
                <w:bCs/>
              </w:rPr>
              <w:t>OLI Dimension</w:t>
            </w:r>
          </w:p>
        </w:tc>
        <w:tc>
          <w:tcPr>
            <w:tcW w:w="0" w:type="auto"/>
            <w:hideMark/>
          </w:tcPr>
          <w:p w14:paraId="04372D3A" w14:textId="77777777" w:rsidR="007E472C" w:rsidRPr="009C0BB3" w:rsidRDefault="007E472C" w:rsidP="009C0BB3">
            <w:pPr>
              <w:spacing w:after="160" w:line="360" w:lineRule="auto"/>
              <w:rPr>
                <w:rFonts w:ascii="Arial" w:hAnsi="Arial" w:cs="Arial"/>
                <w:b/>
                <w:bCs/>
              </w:rPr>
            </w:pPr>
            <w:r w:rsidRPr="009C0BB3">
              <w:rPr>
                <w:rFonts w:ascii="Arial" w:hAnsi="Arial" w:cs="Arial"/>
                <w:b/>
                <w:bCs/>
              </w:rPr>
              <w:t>Application to Cadbury</w:t>
            </w:r>
          </w:p>
        </w:tc>
        <w:tc>
          <w:tcPr>
            <w:tcW w:w="0" w:type="auto"/>
            <w:hideMark/>
          </w:tcPr>
          <w:p w14:paraId="53CEC2A4" w14:textId="77777777" w:rsidR="007E472C" w:rsidRPr="009C0BB3" w:rsidRDefault="007E472C" w:rsidP="009C0BB3">
            <w:pPr>
              <w:spacing w:after="160" w:line="360" w:lineRule="auto"/>
              <w:rPr>
                <w:rFonts w:ascii="Arial" w:hAnsi="Arial" w:cs="Arial"/>
                <w:b/>
                <w:bCs/>
              </w:rPr>
            </w:pPr>
            <w:r w:rsidRPr="009C0BB3">
              <w:rPr>
                <w:rFonts w:ascii="Arial" w:hAnsi="Arial" w:cs="Arial"/>
                <w:b/>
                <w:bCs/>
              </w:rPr>
              <w:t>Strategic Implication</w:t>
            </w:r>
          </w:p>
        </w:tc>
      </w:tr>
      <w:tr w:rsidR="007E472C" w:rsidRPr="009C0BB3" w14:paraId="63460540" w14:textId="77777777" w:rsidTr="007E472C">
        <w:tc>
          <w:tcPr>
            <w:tcW w:w="0" w:type="auto"/>
            <w:hideMark/>
          </w:tcPr>
          <w:p w14:paraId="373FDC5D" w14:textId="77777777" w:rsidR="007E472C" w:rsidRPr="009C0BB3" w:rsidRDefault="007E472C" w:rsidP="009C0BB3">
            <w:pPr>
              <w:spacing w:after="160" w:line="360" w:lineRule="auto"/>
              <w:rPr>
                <w:rFonts w:ascii="Arial" w:hAnsi="Arial" w:cs="Arial"/>
              </w:rPr>
            </w:pPr>
            <w:r w:rsidRPr="009C0BB3">
              <w:rPr>
                <w:rFonts w:ascii="Arial" w:hAnsi="Arial" w:cs="Arial"/>
                <w:b/>
                <w:bCs/>
              </w:rPr>
              <w:t>Ownership (O)</w:t>
            </w:r>
          </w:p>
        </w:tc>
        <w:tc>
          <w:tcPr>
            <w:tcW w:w="0" w:type="auto"/>
            <w:hideMark/>
          </w:tcPr>
          <w:p w14:paraId="27F59D20" w14:textId="77777777" w:rsidR="007E472C" w:rsidRPr="009C0BB3" w:rsidRDefault="007E472C" w:rsidP="009C0BB3">
            <w:pPr>
              <w:spacing w:after="160" w:line="360" w:lineRule="auto"/>
              <w:rPr>
                <w:rFonts w:ascii="Arial" w:hAnsi="Arial" w:cs="Arial"/>
              </w:rPr>
            </w:pPr>
            <w:r w:rsidRPr="009C0BB3">
              <w:rPr>
                <w:rFonts w:ascii="Arial" w:hAnsi="Arial" w:cs="Arial"/>
              </w:rPr>
              <w:t>Strong global brand portfolio, proprietary manufacturing expertise and established marketing capabilities.</w:t>
            </w:r>
          </w:p>
        </w:tc>
        <w:tc>
          <w:tcPr>
            <w:tcW w:w="0" w:type="auto"/>
            <w:hideMark/>
          </w:tcPr>
          <w:p w14:paraId="14999717" w14:textId="77777777" w:rsidR="007E472C" w:rsidRPr="009C0BB3" w:rsidRDefault="007E472C" w:rsidP="009C0BB3">
            <w:pPr>
              <w:spacing w:after="160" w:line="360" w:lineRule="auto"/>
              <w:rPr>
                <w:rFonts w:ascii="Arial" w:hAnsi="Arial" w:cs="Arial"/>
              </w:rPr>
            </w:pPr>
            <w:r w:rsidRPr="009C0BB3">
              <w:rPr>
                <w:rFonts w:ascii="Arial" w:hAnsi="Arial" w:cs="Arial"/>
              </w:rPr>
              <w:t>Enabled Cadbury to transfer valuable intangible assets while differentiating itself from domestic competitors.</w:t>
            </w:r>
          </w:p>
        </w:tc>
      </w:tr>
      <w:tr w:rsidR="007E472C" w:rsidRPr="009C0BB3" w14:paraId="5B02525D" w14:textId="77777777" w:rsidTr="007E472C">
        <w:tc>
          <w:tcPr>
            <w:tcW w:w="0" w:type="auto"/>
            <w:hideMark/>
          </w:tcPr>
          <w:p w14:paraId="1044556C" w14:textId="77777777" w:rsidR="007E472C" w:rsidRPr="009C0BB3" w:rsidRDefault="007E472C" w:rsidP="009C0BB3">
            <w:pPr>
              <w:spacing w:after="160" w:line="360" w:lineRule="auto"/>
              <w:rPr>
                <w:rFonts w:ascii="Arial" w:hAnsi="Arial" w:cs="Arial"/>
              </w:rPr>
            </w:pPr>
            <w:r w:rsidRPr="009C0BB3">
              <w:rPr>
                <w:rFonts w:ascii="Arial" w:hAnsi="Arial" w:cs="Arial"/>
                <w:b/>
                <w:bCs/>
              </w:rPr>
              <w:t>Location (L)</w:t>
            </w:r>
          </w:p>
        </w:tc>
        <w:tc>
          <w:tcPr>
            <w:tcW w:w="0" w:type="auto"/>
            <w:hideMark/>
          </w:tcPr>
          <w:p w14:paraId="288DDCAA" w14:textId="77777777" w:rsidR="007E472C" w:rsidRPr="009C0BB3" w:rsidRDefault="007E472C" w:rsidP="009C0BB3">
            <w:pPr>
              <w:spacing w:after="160" w:line="360" w:lineRule="auto"/>
              <w:rPr>
                <w:rFonts w:ascii="Arial" w:hAnsi="Arial" w:cs="Arial"/>
              </w:rPr>
            </w:pPr>
            <w:r w:rsidRPr="009C0BB3">
              <w:rPr>
                <w:rFonts w:ascii="Arial" w:hAnsi="Arial" w:cs="Arial"/>
              </w:rPr>
              <w:t>Large consumer market, expanding middle class, rising disposable income and growing retail infrastructure.</w:t>
            </w:r>
          </w:p>
        </w:tc>
        <w:tc>
          <w:tcPr>
            <w:tcW w:w="0" w:type="auto"/>
            <w:hideMark/>
          </w:tcPr>
          <w:p w14:paraId="655723B9" w14:textId="77777777" w:rsidR="007E472C" w:rsidRPr="009C0BB3" w:rsidRDefault="007E472C" w:rsidP="009C0BB3">
            <w:pPr>
              <w:spacing w:after="160" w:line="360" w:lineRule="auto"/>
              <w:rPr>
                <w:rFonts w:ascii="Arial" w:hAnsi="Arial" w:cs="Arial"/>
              </w:rPr>
            </w:pPr>
            <w:r w:rsidRPr="009C0BB3">
              <w:rPr>
                <w:rFonts w:ascii="Arial" w:hAnsi="Arial" w:cs="Arial"/>
              </w:rPr>
              <w:t>Justified long-term investment through local production rather than reliance on exports.</w:t>
            </w:r>
          </w:p>
        </w:tc>
      </w:tr>
      <w:tr w:rsidR="007E472C" w:rsidRPr="009C0BB3" w14:paraId="203B0F75" w14:textId="77777777" w:rsidTr="007E472C">
        <w:tc>
          <w:tcPr>
            <w:tcW w:w="0" w:type="auto"/>
            <w:hideMark/>
          </w:tcPr>
          <w:p w14:paraId="031E91AE" w14:textId="77777777" w:rsidR="007E472C" w:rsidRPr="009C0BB3" w:rsidRDefault="007E472C" w:rsidP="009C0BB3">
            <w:pPr>
              <w:spacing w:after="160" w:line="360" w:lineRule="auto"/>
              <w:rPr>
                <w:rFonts w:ascii="Arial" w:hAnsi="Arial" w:cs="Arial"/>
              </w:rPr>
            </w:pPr>
            <w:r w:rsidRPr="009C0BB3">
              <w:rPr>
                <w:rFonts w:ascii="Arial" w:hAnsi="Arial" w:cs="Arial"/>
                <w:b/>
                <w:bCs/>
              </w:rPr>
              <w:t>Internalisation (I)</w:t>
            </w:r>
          </w:p>
        </w:tc>
        <w:tc>
          <w:tcPr>
            <w:tcW w:w="0" w:type="auto"/>
            <w:hideMark/>
          </w:tcPr>
          <w:p w14:paraId="46C77629" w14:textId="77777777" w:rsidR="007E472C" w:rsidRPr="009C0BB3" w:rsidRDefault="007E472C" w:rsidP="009C0BB3">
            <w:pPr>
              <w:spacing w:after="160" w:line="360" w:lineRule="auto"/>
              <w:rPr>
                <w:rFonts w:ascii="Arial" w:hAnsi="Arial" w:cs="Arial"/>
              </w:rPr>
            </w:pPr>
            <w:r w:rsidRPr="009C0BB3">
              <w:rPr>
                <w:rFonts w:ascii="Arial" w:hAnsi="Arial" w:cs="Arial"/>
              </w:rPr>
              <w:t>Wholly owned subsidiary provided full control over manufacturing, quality standards and strategic decision-making.</w:t>
            </w:r>
          </w:p>
        </w:tc>
        <w:tc>
          <w:tcPr>
            <w:tcW w:w="0" w:type="auto"/>
            <w:hideMark/>
          </w:tcPr>
          <w:p w14:paraId="6D0CD457" w14:textId="77777777" w:rsidR="007E472C" w:rsidRPr="009C0BB3" w:rsidRDefault="007E472C" w:rsidP="009C0BB3">
            <w:pPr>
              <w:spacing w:after="160" w:line="360" w:lineRule="auto"/>
              <w:rPr>
                <w:rFonts w:ascii="Arial" w:hAnsi="Arial" w:cs="Arial"/>
              </w:rPr>
            </w:pPr>
            <w:r w:rsidRPr="009C0BB3">
              <w:rPr>
                <w:rFonts w:ascii="Arial" w:hAnsi="Arial" w:cs="Arial"/>
              </w:rPr>
              <w:t>Reduced the risks associated with licensing, including quality inconsistency and knowledge leakage.</w:t>
            </w:r>
          </w:p>
        </w:tc>
      </w:tr>
    </w:tbl>
    <w:p w14:paraId="14CCCD1B" w14:textId="77777777" w:rsidR="007E472C" w:rsidRPr="009C0BB3" w:rsidRDefault="007E472C" w:rsidP="009C0BB3">
      <w:pPr>
        <w:spacing w:line="360" w:lineRule="auto"/>
        <w:rPr>
          <w:rFonts w:ascii="Arial" w:hAnsi="Arial" w:cs="Arial"/>
        </w:rPr>
      </w:pPr>
      <w:r w:rsidRPr="009C0BB3">
        <w:rPr>
          <w:rFonts w:ascii="Arial" w:hAnsi="Arial" w:cs="Arial"/>
          <w:i/>
          <w:iCs/>
        </w:rPr>
        <w:t>Source: Adapted from Dunning (1988).</w:t>
      </w:r>
    </w:p>
    <w:p w14:paraId="0FE530DF" w14:textId="77777777" w:rsidR="007E472C" w:rsidRPr="009C0BB3" w:rsidRDefault="007E472C" w:rsidP="009C0BB3">
      <w:pPr>
        <w:spacing w:line="360" w:lineRule="auto"/>
        <w:rPr>
          <w:rFonts w:ascii="Arial" w:hAnsi="Arial" w:cs="Arial"/>
        </w:rPr>
      </w:pPr>
      <w:r w:rsidRPr="009C0BB3">
        <w:rPr>
          <w:rFonts w:ascii="Arial" w:hAnsi="Arial" w:cs="Arial"/>
        </w:rPr>
        <w:t>The OLI framework suggests that Cadbury's investment was driven by the combined benefits of ownership-specific assets and India's favourable market conditions. However, the framework provides limited insight into how firms gradually strengthen their foreign market presence over time. This limitation is addressed by the Uppsala Internationalisation Model, which proposes that firms increase commitment as experiential knowledge accumulates (Johanson and Vahlne, 2009). Cadbury's continued investment in manufacturing facilities, supply chains and product development reflects this incremental learning process rather than a one-off market entry decision.</w:t>
      </w:r>
    </w:p>
    <w:p w14:paraId="669086FE" w14:textId="77777777" w:rsidR="007E472C" w:rsidRPr="009C0BB3" w:rsidRDefault="007E472C" w:rsidP="009C0BB3">
      <w:pPr>
        <w:spacing w:line="360" w:lineRule="auto"/>
        <w:rPr>
          <w:rFonts w:ascii="Arial" w:hAnsi="Arial" w:cs="Arial"/>
        </w:rPr>
      </w:pPr>
      <w:r w:rsidRPr="009C0BB3">
        <w:rPr>
          <w:rFonts w:ascii="Arial" w:hAnsi="Arial" w:cs="Arial"/>
        </w:rPr>
        <w:t>Despite its strategic benefits, a wholly owned subsidiary also involves disadvantages, including high capital requirements and full exposure to operational and regulatory risks. Unlike joint ventures, Cadbury could not share investment costs or benefit directly from a local partner's market knowledge. Nevertheless, maintaining complete ownership enabled the company to preserve global quality standards and exercise consistent strategic control. Consequently, Cadbury's market entry demonstrates an effective alignment between ownership advantages, location-specific opportunities and long-term internationalisation strategy, supporting sustainable competitive advantage in the Indian market.</w:t>
      </w:r>
    </w:p>
    <w:p w14:paraId="714A78D3" w14:textId="5DC6E7A7" w:rsidR="003D0536" w:rsidRPr="009C0BB3" w:rsidRDefault="007E472C" w:rsidP="009C0BB3">
      <w:pPr>
        <w:spacing w:line="360" w:lineRule="auto"/>
        <w:jc w:val="center"/>
        <w:rPr>
          <w:rFonts w:ascii="Arial" w:hAnsi="Arial" w:cs="Arial"/>
        </w:rPr>
      </w:pPr>
      <w:r w:rsidRPr="009C0BB3">
        <w:rPr>
          <w:rFonts w:ascii="Arial" w:hAnsi="Arial" w:cs="Arial"/>
          <w:noProof/>
        </w:rPr>
        <w:lastRenderedPageBreak/>
        <w:drawing>
          <wp:inline distT="0" distB="0" distL="0" distR="0" wp14:anchorId="3FA31998" wp14:editId="1F01120B">
            <wp:extent cx="5090160" cy="6786880"/>
            <wp:effectExtent l="0" t="0" r="0" b="0"/>
            <wp:docPr id="81304471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90160" cy="6786880"/>
                    </a:xfrm>
                    <a:prstGeom prst="rect">
                      <a:avLst/>
                    </a:prstGeom>
                    <a:noFill/>
                  </pic:spPr>
                </pic:pic>
              </a:graphicData>
            </a:graphic>
          </wp:inline>
        </w:drawing>
      </w:r>
    </w:p>
    <w:p w14:paraId="2E7E2E7B" w14:textId="77777777" w:rsidR="007E472C" w:rsidRPr="006F1EE4" w:rsidRDefault="007E472C" w:rsidP="006F1EE4">
      <w:pPr>
        <w:pStyle w:val="Heading1"/>
        <w:rPr>
          <w:rFonts w:ascii="Arial" w:hAnsi="Arial" w:cs="Arial"/>
          <w:sz w:val="24"/>
          <w:szCs w:val="24"/>
        </w:rPr>
      </w:pPr>
      <w:bookmarkStart w:id="6" w:name="_Toc236641016"/>
      <w:r w:rsidRPr="006F1EE4">
        <w:rPr>
          <w:rFonts w:ascii="Arial" w:hAnsi="Arial" w:cs="Arial"/>
          <w:sz w:val="24"/>
          <w:szCs w:val="24"/>
        </w:rPr>
        <w:t>7. Ethical Evaluation of the Marketing Mix</w:t>
      </w:r>
      <w:bookmarkEnd w:id="6"/>
    </w:p>
    <w:p w14:paraId="39C9E80B" w14:textId="77777777" w:rsidR="007E472C" w:rsidRPr="009C0BB3" w:rsidRDefault="007E472C" w:rsidP="009C0BB3">
      <w:pPr>
        <w:spacing w:line="360" w:lineRule="auto"/>
        <w:rPr>
          <w:rFonts w:ascii="Arial" w:hAnsi="Arial" w:cs="Arial"/>
        </w:rPr>
      </w:pPr>
      <w:r w:rsidRPr="009C0BB3">
        <w:rPr>
          <w:rFonts w:ascii="Arial" w:hAnsi="Arial" w:cs="Arial"/>
        </w:rPr>
        <w:t>Ethical considerations have become an integral component of international marketing as consumers, investors and regulators increasingly expect multinational organisations to demonstrate responsible business practices throughout their value chains (Crane and Matten, 2023). For Cadbury, ethical performance extends beyond product quality and promotional activities to include responsible cocoa sourcing, environmental sustainability and transparent stakeholder engagement. Consequently, evaluating the ethical dimensions of the marketing mix requires consideration of both the company's sustainability commitments and the criticisms associated with global cocoa supply chains.</w:t>
      </w:r>
    </w:p>
    <w:p w14:paraId="6805964A" w14:textId="77777777" w:rsidR="002F4D26" w:rsidRDefault="002F4D26" w:rsidP="009C0BB3">
      <w:pPr>
        <w:spacing w:line="360" w:lineRule="auto"/>
        <w:jc w:val="center"/>
        <w:rPr>
          <w:rFonts w:ascii="Arial" w:hAnsi="Arial" w:cs="Arial"/>
          <w:b/>
          <w:bCs/>
        </w:rPr>
      </w:pPr>
    </w:p>
    <w:p w14:paraId="11D7D327" w14:textId="4A1A24E1" w:rsidR="007E472C" w:rsidRPr="009C0BB3" w:rsidRDefault="007E472C" w:rsidP="009C0BB3">
      <w:pPr>
        <w:spacing w:line="360" w:lineRule="auto"/>
        <w:jc w:val="center"/>
        <w:rPr>
          <w:rFonts w:ascii="Arial" w:hAnsi="Arial" w:cs="Arial"/>
          <w:b/>
          <w:bCs/>
        </w:rPr>
      </w:pPr>
      <w:r w:rsidRPr="009C0BB3">
        <w:rPr>
          <w:rFonts w:ascii="Arial" w:hAnsi="Arial" w:cs="Arial"/>
          <w:b/>
          <w:bCs/>
        </w:rPr>
        <w:lastRenderedPageBreak/>
        <w:t>Table 6. Ethical Evaluation of Cadbury's International Marketing Mix</w:t>
      </w:r>
    </w:p>
    <w:tbl>
      <w:tblPr>
        <w:tblStyle w:val="TableGrid"/>
        <w:tblW w:w="0" w:type="auto"/>
        <w:tblLook w:val="04A0" w:firstRow="1" w:lastRow="0" w:firstColumn="1" w:lastColumn="0" w:noHBand="0" w:noVBand="1"/>
      </w:tblPr>
      <w:tblGrid>
        <w:gridCol w:w="1752"/>
        <w:gridCol w:w="3835"/>
        <w:gridCol w:w="4869"/>
      </w:tblGrid>
      <w:tr w:rsidR="007E472C" w:rsidRPr="009C0BB3" w14:paraId="61849733" w14:textId="77777777" w:rsidTr="007E472C">
        <w:tc>
          <w:tcPr>
            <w:tcW w:w="0" w:type="auto"/>
            <w:hideMark/>
          </w:tcPr>
          <w:p w14:paraId="1FCC3AE3" w14:textId="77777777" w:rsidR="007E472C" w:rsidRPr="009C0BB3" w:rsidRDefault="007E472C" w:rsidP="009C0BB3">
            <w:pPr>
              <w:spacing w:after="160" w:line="360" w:lineRule="auto"/>
              <w:rPr>
                <w:rFonts w:ascii="Arial" w:hAnsi="Arial" w:cs="Arial"/>
                <w:b/>
                <w:bCs/>
              </w:rPr>
            </w:pPr>
            <w:r w:rsidRPr="009C0BB3">
              <w:rPr>
                <w:rFonts w:ascii="Arial" w:hAnsi="Arial" w:cs="Arial"/>
                <w:b/>
                <w:bCs/>
              </w:rPr>
              <w:t>Marketing Mix Element</w:t>
            </w:r>
          </w:p>
        </w:tc>
        <w:tc>
          <w:tcPr>
            <w:tcW w:w="0" w:type="auto"/>
            <w:hideMark/>
          </w:tcPr>
          <w:p w14:paraId="78FBE762" w14:textId="77777777" w:rsidR="007E472C" w:rsidRPr="009C0BB3" w:rsidRDefault="007E472C" w:rsidP="009C0BB3">
            <w:pPr>
              <w:spacing w:after="160" w:line="360" w:lineRule="auto"/>
              <w:rPr>
                <w:rFonts w:ascii="Arial" w:hAnsi="Arial" w:cs="Arial"/>
                <w:b/>
                <w:bCs/>
              </w:rPr>
            </w:pPr>
            <w:r w:rsidRPr="009C0BB3">
              <w:rPr>
                <w:rFonts w:ascii="Arial" w:hAnsi="Arial" w:cs="Arial"/>
                <w:b/>
                <w:bCs/>
              </w:rPr>
              <w:t>Ethical Practice</w:t>
            </w:r>
          </w:p>
        </w:tc>
        <w:tc>
          <w:tcPr>
            <w:tcW w:w="0" w:type="auto"/>
            <w:hideMark/>
          </w:tcPr>
          <w:p w14:paraId="72E8A165" w14:textId="77777777" w:rsidR="007E472C" w:rsidRPr="009C0BB3" w:rsidRDefault="007E472C" w:rsidP="009C0BB3">
            <w:pPr>
              <w:spacing w:after="160" w:line="360" w:lineRule="auto"/>
              <w:rPr>
                <w:rFonts w:ascii="Arial" w:hAnsi="Arial" w:cs="Arial"/>
                <w:b/>
                <w:bCs/>
              </w:rPr>
            </w:pPr>
            <w:r w:rsidRPr="009C0BB3">
              <w:rPr>
                <w:rFonts w:ascii="Arial" w:hAnsi="Arial" w:cs="Arial"/>
                <w:b/>
                <w:bCs/>
              </w:rPr>
              <w:t>Critical Evaluation</w:t>
            </w:r>
          </w:p>
        </w:tc>
      </w:tr>
      <w:tr w:rsidR="007E472C" w:rsidRPr="009C0BB3" w14:paraId="037AB50F" w14:textId="77777777" w:rsidTr="007E472C">
        <w:tc>
          <w:tcPr>
            <w:tcW w:w="0" w:type="auto"/>
            <w:hideMark/>
          </w:tcPr>
          <w:p w14:paraId="36A974F1" w14:textId="77777777" w:rsidR="007E472C" w:rsidRPr="009C0BB3" w:rsidRDefault="007E472C" w:rsidP="009C0BB3">
            <w:pPr>
              <w:spacing w:after="160" w:line="360" w:lineRule="auto"/>
              <w:rPr>
                <w:rFonts w:ascii="Arial" w:hAnsi="Arial" w:cs="Arial"/>
              </w:rPr>
            </w:pPr>
            <w:r w:rsidRPr="009C0BB3">
              <w:rPr>
                <w:rFonts w:ascii="Arial" w:hAnsi="Arial" w:cs="Arial"/>
                <w:b/>
                <w:bCs/>
              </w:rPr>
              <w:t>Product</w:t>
            </w:r>
          </w:p>
        </w:tc>
        <w:tc>
          <w:tcPr>
            <w:tcW w:w="0" w:type="auto"/>
            <w:hideMark/>
          </w:tcPr>
          <w:p w14:paraId="1DF80D3B" w14:textId="77777777" w:rsidR="007E472C" w:rsidRPr="009C0BB3" w:rsidRDefault="007E472C" w:rsidP="009C0BB3">
            <w:pPr>
              <w:spacing w:after="160" w:line="360" w:lineRule="auto"/>
              <w:rPr>
                <w:rFonts w:ascii="Arial" w:hAnsi="Arial" w:cs="Arial"/>
              </w:rPr>
            </w:pPr>
            <w:r w:rsidRPr="009C0BB3">
              <w:rPr>
                <w:rFonts w:ascii="Arial" w:hAnsi="Arial" w:cs="Arial"/>
              </w:rPr>
              <w:t>Cadbury sources cocoa through the Cocoa Life programme, which aims to improve farmer livelihoods, promote sustainable agricultural practices and strengthen cocoa-producing communities.</w:t>
            </w:r>
          </w:p>
        </w:tc>
        <w:tc>
          <w:tcPr>
            <w:tcW w:w="0" w:type="auto"/>
            <w:hideMark/>
          </w:tcPr>
          <w:p w14:paraId="50205571" w14:textId="77777777" w:rsidR="007E472C" w:rsidRPr="009C0BB3" w:rsidRDefault="007E472C" w:rsidP="009C0BB3">
            <w:pPr>
              <w:spacing w:after="160" w:line="360" w:lineRule="auto"/>
              <w:rPr>
                <w:rFonts w:ascii="Arial" w:hAnsi="Arial" w:cs="Arial"/>
              </w:rPr>
            </w:pPr>
            <w:r w:rsidRPr="009C0BB3">
              <w:rPr>
                <w:rFonts w:ascii="Arial" w:hAnsi="Arial" w:cs="Arial"/>
              </w:rPr>
              <w:t>Cocoa Life demonstrates long-term investment in responsible sourcing; however, independent studies continue to identify risks relating to child labour and low farmer incomes across the West African cocoa sector, indicating that certification alone cannot eliminate systemic challenges (Fountain and Huetz-Adams, 2020).</w:t>
            </w:r>
          </w:p>
        </w:tc>
      </w:tr>
      <w:tr w:rsidR="007E472C" w:rsidRPr="009C0BB3" w14:paraId="3BF117D2" w14:textId="77777777" w:rsidTr="007E472C">
        <w:tc>
          <w:tcPr>
            <w:tcW w:w="0" w:type="auto"/>
            <w:hideMark/>
          </w:tcPr>
          <w:p w14:paraId="1580AE3C" w14:textId="77777777" w:rsidR="007E472C" w:rsidRPr="009C0BB3" w:rsidRDefault="007E472C" w:rsidP="009C0BB3">
            <w:pPr>
              <w:spacing w:after="160" w:line="360" w:lineRule="auto"/>
              <w:rPr>
                <w:rFonts w:ascii="Arial" w:hAnsi="Arial" w:cs="Arial"/>
              </w:rPr>
            </w:pPr>
            <w:r w:rsidRPr="009C0BB3">
              <w:rPr>
                <w:rFonts w:ascii="Arial" w:hAnsi="Arial" w:cs="Arial"/>
                <w:b/>
                <w:bCs/>
              </w:rPr>
              <w:t>Price</w:t>
            </w:r>
          </w:p>
        </w:tc>
        <w:tc>
          <w:tcPr>
            <w:tcW w:w="0" w:type="auto"/>
            <w:hideMark/>
          </w:tcPr>
          <w:p w14:paraId="04A8E69A" w14:textId="77777777" w:rsidR="007E472C" w:rsidRPr="009C0BB3" w:rsidRDefault="007E472C" w:rsidP="009C0BB3">
            <w:pPr>
              <w:spacing w:after="160" w:line="360" w:lineRule="auto"/>
              <w:rPr>
                <w:rFonts w:ascii="Arial" w:hAnsi="Arial" w:cs="Arial"/>
              </w:rPr>
            </w:pPr>
            <w:r w:rsidRPr="009C0BB3">
              <w:rPr>
                <w:rFonts w:ascii="Arial" w:hAnsi="Arial" w:cs="Arial"/>
              </w:rPr>
              <w:t>Cadbury seeks to balance affordability with sustainable sourcing investments.</w:t>
            </w:r>
          </w:p>
        </w:tc>
        <w:tc>
          <w:tcPr>
            <w:tcW w:w="0" w:type="auto"/>
            <w:hideMark/>
          </w:tcPr>
          <w:p w14:paraId="5EA35B44" w14:textId="77777777" w:rsidR="007E472C" w:rsidRPr="009C0BB3" w:rsidRDefault="007E472C" w:rsidP="009C0BB3">
            <w:pPr>
              <w:spacing w:after="160" w:line="360" w:lineRule="auto"/>
              <w:rPr>
                <w:rFonts w:ascii="Arial" w:hAnsi="Arial" w:cs="Arial"/>
              </w:rPr>
            </w:pPr>
            <w:r w:rsidRPr="009C0BB3">
              <w:rPr>
                <w:rFonts w:ascii="Arial" w:hAnsi="Arial" w:cs="Arial"/>
              </w:rPr>
              <w:t>Although sustainability initiatives increase production costs, criticism remains that cocoa farmers continue to receive a relatively small proportion of the final retail price, raising concerns regarding equitable value distribution within global supply chains (Neilson, 2020).</w:t>
            </w:r>
          </w:p>
        </w:tc>
      </w:tr>
      <w:tr w:rsidR="007E472C" w:rsidRPr="009C0BB3" w14:paraId="77DDBCB0" w14:textId="77777777" w:rsidTr="007E472C">
        <w:tc>
          <w:tcPr>
            <w:tcW w:w="0" w:type="auto"/>
            <w:hideMark/>
          </w:tcPr>
          <w:p w14:paraId="2B2B9E25" w14:textId="77777777" w:rsidR="007E472C" w:rsidRPr="009C0BB3" w:rsidRDefault="007E472C" w:rsidP="009C0BB3">
            <w:pPr>
              <w:spacing w:after="160" w:line="360" w:lineRule="auto"/>
              <w:rPr>
                <w:rFonts w:ascii="Arial" w:hAnsi="Arial" w:cs="Arial"/>
              </w:rPr>
            </w:pPr>
            <w:r w:rsidRPr="009C0BB3">
              <w:rPr>
                <w:rFonts w:ascii="Arial" w:hAnsi="Arial" w:cs="Arial"/>
                <w:b/>
                <w:bCs/>
              </w:rPr>
              <w:t>Place</w:t>
            </w:r>
          </w:p>
        </w:tc>
        <w:tc>
          <w:tcPr>
            <w:tcW w:w="0" w:type="auto"/>
            <w:hideMark/>
          </w:tcPr>
          <w:p w14:paraId="435EB687" w14:textId="77777777" w:rsidR="007E472C" w:rsidRPr="009C0BB3" w:rsidRDefault="007E472C" w:rsidP="009C0BB3">
            <w:pPr>
              <w:spacing w:after="160" w:line="360" w:lineRule="auto"/>
              <w:rPr>
                <w:rFonts w:ascii="Arial" w:hAnsi="Arial" w:cs="Arial"/>
              </w:rPr>
            </w:pPr>
            <w:r w:rsidRPr="009C0BB3">
              <w:rPr>
                <w:rFonts w:ascii="Arial" w:hAnsi="Arial" w:cs="Arial"/>
              </w:rPr>
              <w:t>Mondelēz has committed to increasing supply chain transparency and responsible sourcing through supplier monitoring and traceability programmes.</w:t>
            </w:r>
          </w:p>
        </w:tc>
        <w:tc>
          <w:tcPr>
            <w:tcW w:w="0" w:type="auto"/>
            <w:hideMark/>
          </w:tcPr>
          <w:p w14:paraId="238D1EA7" w14:textId="77777777" w:rsidR="007E472C" w:rsidRPr="009C0BB3" w:rsidRDefault="007E472C" w:rsidP="009C0BB3">
            <w:pPr>
              <w:spacing w:after="160" w:line="360" w:lineRule="auto"/>
              <w:rPr>
                <w:rFonts w:ascii="Arial" w:hAnsi="Arial" w:cs="Arial"/>
              </w:rPr>
            </w:pPr>
            <w:r w:rsidRPr="009C0BB3">
              <w:rPr>
                <w:rFonts w:ascii="Arial" w:hAnsi="Arial" w:cs="Arial"/>
              </w:rPr>
              <w:t>Greater traceability improves accountability; however, achieving full visibility across complex international supply chains remains challenging, particularly where multiple intermediaries operate.</w:t>
            </w:r>
          </w:p>
        </w:tc>
      </w:tr>
      <w:tr w:rsidR="007E472C" w:rsidRPr="009C0BB3" w14:paraId="0279E163" w14:textId="77777777" w:rsidTr="007E472C">
        <w:tc>
          <w:tcPr>
            <w:tcW w:w="0" w:type="auto"/>
            <w:hideMark/>
          </w:tcPr>
          <w:p w14:paraId="109CABD8" w14:textId="77777777" w:rsidR="007E472C" w:rsidRPr="009C0BB3" w:rsidRDefault="007E472C" w:rsidP="009C0BB3">
            <w:pPr>
              <w:spacing w:after="160" w:line="360" w:lineRule="auto"/>
              <w:rPr>
                <w:rFonts w:ascii="Arial" w:hAnsi="Arial" w:cs="Arial"/>
              </w:rPr>
            </w:pPr>
            <w:r w:rsidRPr="009C0BB3">
              <w:rPr>
                <w:rFonts w:ascii="Arial" w:hAnsi="Arial" w:cs="Arial"/>
                <w:b/>
                <w:bCs/>
              </w:rPr>
              <w:t>Promotion</w:t>
            </w:r>
          </w:p>
        </w:tc>
        <w:tc>
          <w:tcPr>
            <w:tcW w:w="0" w:type="auto"/>
            <w:hideMark/>
          </w:tcPr>
          <w:p w14:paraId="65793357" w14:textId="77777777" w:rsidR="007E472C" w:rsidRPr="009C0BB3" w:rsidRDefault="007E472C" w:rsidP="009C0BB3">
            <w:pPr>
              <w:spacing w:after="160" w:line="360" w:lineRule="auto"/>
              <w:rPr>
                <w:rFonts w:ascii="Arial" w:hAnsi="Arial" w:cs="Arial"/>
              </w:rPr>
            </w:pPr>
            <w:r w:rsidRPr="009C0BB3">
              <w:rPr>
                <w:rFonts w:ascii="Arial" w:hAnsi="Arial" w:cs="Arial"/>
              </w:rPr>
              <w:t>Marketing communications increasingly highlight sustainability commitments, responsible sourcing and community development initiatives.</w:t>
            </w:r>
          </w:p>
        </w:tc>
        <w:tc>
          <w:tcPr>
            <w:tcW w:w="0" w:type="auto"/>
            <w:hideMark/>
          </w:tcPr>
          <w:p w14:paraId="75B38172" w14:textId="77777777" w:rsidR="007E472C" w:rsidRPr="009C0BB3" w:rsidRDefault="007E472C" w:rsidP="009C0BB3">
            <w:pPr>
              <w:spacing w:after="160" w:line="360" w:lineRule="auto"/>
              <w:rPr>
                <w:rFonts w:ascii="Arial" w:hAnsi="Arial" w:cs="Arial"/>
              </w:rPr>
            </w:pPr>
            <w:r w:rsidRPr="009C0BB3">
              <w:rPr>
                <w:rFonts w:ascii="Arial" w:hAnsi="Arial" w:cs="Arial"/>
              </w:rPr>
              <w:t xml:space="preserve">Ethical marketing can strengthen stakeholder trust, but unsupported environmental or social claims may expose firms to accusations of </w:t>
            </w:r>
            <w:r w:rsidRPr="009C0BB3">
              <w:rPr>
                <w:rFonts w:ascii="Arial" w:hAnsi="Arial" w:cs="Arial"/>
                <w:b/>
                <w:bCs/>
              </w:rPr>
              <w:t>greenwashing</w:t>
            </w:r>
            <w:r w:rsidRPr="009C0BB3">
              <w:rPr>
                <w:rFonts w:ascii="Arial" w:hAnsi="Arial" w:cs="Arial"/>
              </w:rPr>
              <w:t xml:space="preserve"> if measurable outcomes are not transparently reported (Delmas and Burbano, 2011).</w:t>
            </w:r>
          </w:p>
        </w:tc>
      </w:tr>
      <w:tr w:rsidR="007E472C" w:rsidRPr="009C0BB3" w14:paraId="3B7E3D52" w14:textId="77777777" w:rsidTr="007E472C">
        <w:tc>
          <w:tcPr>
            <w:tcW w:w="0" w:type="auto"/>
            <w:hideMark/>
          </w:tcPr>
          <w:p w14:paraId="18C846E5" w14:textId="77777777" w:rsidR="007E472C" w:rsidRPr="009C0BB3" w:rsidRDefault="007E472C" w:rsidP="009C0BB3">
            <w:pPr>
              <w:spacing w:after="160" w:line="360" w:lineRule="auto"/>
              <w:rPr>
                <w:rFonts w:ascii="Arial" w:hAnsi="Arial" w:cs="Arial"/>
              </w:rPr>
            </w:pPr>
            <w:r w:rsidRPr="009C0BB3">
              <w:rPr>
                <w:rFonts w:ascii="Arial" w:hAnsi="Arial" w:cs="Arial"/>
                <w:b/>
                <w:bCs/>
              </w:rPr>
              <w:t>People, Process and Physical Evidence</w:t>
            </w:r>
          </w:p>
        </w:tc>
        <w:tc>
          <w:tcPr>
            <w:tcW w:w="0" w:type="auto"/>
            <w:hideMark/>
          </w:tcPr>
          <w:p w14:paraId="56546DF3" w14:textId="77777777" w:rsidR="007E472C" w:rsidRPr="009C0BB3" w:rsidRDefault="007E472C" w:rsidP="009C0BB3">
            <w:pPr>
              <w:spacing w:after="160" w:line="360" w:lineRule="auto"/>
              <w:rPr>
                <w:rFonts w:ascii="Arial" w:hAnsi="Arial" w:cs="Arial"/>
              </w:rPr>
            </w:pPr>
            <w:r w:rsidRPr="009C0BB3">
              <w:rPr>
                <w:rFonts w:ascii="Arial" w:hAnsi="Arial" w:cs="Arial"/>
              </w:rPr>
              <w:t xml:space="preserve">Employee wellbeing, supplier engagement, responsible manufacturing and recyclable packaging form part of </w:t>
            </w:r>
            <w:r w:rsidRPr="009C0BB3">
              <w:rPr>
                <w:rFonts w:ascii="Arial" w:hAnsi="Arial" w:cs="Arial"/>
              </w:rPr>
              <w:lastRenderedPageBreak/>
              <w:t>Mondelēz's wider Environmental, Social and Governance (ESG) strategy.</w:t>
            </w:r>
          </w:p>
        </w:tc>
        <w:tc>
          <w:tcPr>
            <w:tcW w:w="0" w:type="auto"/>
            <w:hideMark/>
          </w:tcPr>
          <w:p w14:paraId="000ADAF3" w14:textId="77777777" w:rsidR="007E472C" w:rsidRPr="009C0BB3" w:rsidRDefault="007E472C" w:rsidP="009C0BB3">
            <w:pPr>
              <w:spacing w:after="160" w:line="360" w:lineRule="auto"/>
              <w:rPr>
                <w:rFonts w:ascii="Arial" w:hAnsi="Arial" w:cs="Arial"/>
              </w:rPr>
            </w:pPr>
            <w:r w:rsidRPr="009C0BB3">
              <w:rPr>
                <w:rFonts w:ascii="Arial" w:hAnsi="Arial" w:cs="Arial"/>
              </w:rPr>
              <w:lastRenderedPageBreak/>
              <w:t xml:space="preserve">These initiatives support corporate reputation; however, sustained ethical performance depends upon measurable implementation rather than corporate </w:t>
            </w:r>
            <w:r w:rsidRPr="009C0BB3">
              <w:rPr>
                <w:rFonts w:ascii="Arial" w:hAnsi="Arial" w:cs="Arial"/>
              </w:rPr>
              <w:lastRenderedPageBreak/>
              <w:t>commitments alone, requiring continuous monitoring and independent verification.</w:t>
            </w:r>
          </w:p>
        </w:tc>
      </w:tr>
    </w:tbl>
    <w:p w14:paraId="10F16893" w14:textId="77777777" w:rsidR="007E472C" w:rsidRPr="009C0BB3" w:rsidRDefault="007E472C" w:rsidP="009C0BB3">
      <w:pPr>
        <w:spacing w:line="360" w:lineRule="auto"/>
        <w:rPr>
          <w:rFonts w:ascii="Arial" w:hAnsi="Arial" w:cs="Arial"/>
        </w:rPr>
      </w:pPr>
    </w:p>
    <w:p w14:paraId="1B37F4F2" w14:textId="1FB57FB8" w:rsidR="007E472C" w:rsidRPr="009C0BB3" w:rsidRDefault="007E472C" w:rsidP="009C0BB3">
      <w:pPr>
        <w:spacing w:line="360" w:lineRule="auto"/>
        <w:rPr>
          <w:rFonts w:ascii="Arial" w:hAnsi="Arial" w:cs="Arial"/>
          <w:b/>
          <w:bCs/>
        </w:rPr>
      </w:pPr>
      <w:r w:rsidRPr="009C0BB3">
        <w:rPr>
          <w:rFonts w:ascii="Arial" w:hAnsi="Arial" w:cs="Arial"/>
          <w:b/>
          <w:bCs/>
        </w:rPr>
        <w:t>Evaluation</w:t>
      </w:r>
    </w:p>
    <w:p w14:paraId="4CBCA907" w14:textId="77777777" w:rsidR="007E472C" w:rsidRPr="009C0BB3" w:rsidRDefault="007E472C" w:rsidP="009C0BB3">
      <w:pPr>
        <w:spacing w:line="360" w:lineRule="auto"/>
        <w:rPr>
          <w:rFonts w:ascii="Arial" w:hAnsi="Arial" w:cs="Arial"/>
        </w:rPr>
      </w:pPr>
      <w:r w:rsidRPr="009C0BB3">
        <w:rPr>
          <w:rFonts w:ascii="Arial" w:hAnsi="Arial" w:cs="Arial"/>
        </w:rPr>
        <w:t>Cadbury's ethical marketing strategy reflects a transition from traditional corporate social responsibility towards shared value creation, whereby social and commercial objectives are pursued simultaneously (Porter and Kramer, 2011). The Cocoa Life programme demonstrates a proactive approach to improving agricultural productivity, community resilience and environmental sustainability, while recyclable packaging and greenhouse gas reduction targets align with increasing stakeholder expectations regarding ESG performance (Mondelēz International, 2024).</w:t>
      </w:r>
    </w:p>
    <w:p w14:paraId="7CAD4576" w14:textId="77777777" w:rsidR="007E472C" w:rsidRPr="009C0BB3" w:rsidRDefault="007E472C" w:rsidP="009C0BB3">
      <w:pPr>
        <w:spacing w:line="360" w:lineRule="auto"/>
        <w:rPr>
          <w:rFonts w:ascii="Arial" w:hAnsi="Arial" w:cs="Arial"/>
        </w:rPr>
      </w:pPr>
      <w:r w:rsidRPr="009C0BB3">
        <w:rPr>
          <w:rFonts w:ascii="Arial" w:hAnsi="Arial" w:cs="Arial"/>
        </w:rPr>
        <w:t>Nevertheless, ethical performance should be evaluated based on outcomes rather than organisational commitments. Despite significant investment in sustainability programmes, academic research indicates that persistent challenges—including child labour, farmer poverty and income inequality within global cocoa supply chains—remain unresolved (Fountain and Huetz-Adams, 2020). Consequently, Cadbury's ethical reputation depends not only on communicating sustainability initiatives but also on demonstrating measurable improvements through transparent reporting and independent assessment.</w:t>
      </w:r>
    </w:p>
    <w:p w14:paraId="1E4EAA7E" w14:textId="77777777" w:rsidR="007E472C" w:rsidRPr="009C0BB3" w:rsidRDefault="007E472C" w:rsidP="009C0BB3">
      <w:pPr>
        <w:spacing w:line="360" w:lineRule="auto"/>
        <w:rPr>
          <w:rFonts w:ascii="Arial" w:hAnsi="Arial" w:cs="Arial"/>
        </w:rPr>
      </w:pPr>
      <w:r w:rsidRPr="009C0BB3">
        <w:rPr>
          <w:rFonts w:ascii="Arial" w:hAnsi="Arial" w:cs="Arial"/>
        </w:rPr>
        <w:t>Overall, Cadbury has integrated ethical considerations into its international marketing strategy more comprehensively than many competitors. However, sustaining stakeholder trust requires continuous improvement in supply chain governance, fair value distribution and impact measurement. This suggests that ethical marketing should be viewed as a dynamic strategic capability rather than a completed corporate initiative.</w:t>
      </w:r>
    </w:p>
    <w:p w14:paraId="4AEF6988" w14:textId="184581C2" w:rsidR="007E472C" w:rsidRPr="009C0BB3" w:rsidRDefault="007E472C" w:rsidP="009C0BB3">
      <w:pPr>
        <w:spacing w:line="360" w:lineRule="auto"/>
        <w:rPr>
          <w:rFonts w:ascii="Arial" w:hAnsi="Arial" w:cs="Arial"/>
        </w:rPr>
      </w:pPr>
    </w:p>
    <w:p w14:paraId="563EC7C6" w14:textId="0C71239B" w:rsidR="007E472C" w:rsidRPr="009C0BB3" w:rsidRDefault="007E472C" w:rsidP="009C0BB3">
      <w:pPr>
        <w:spacing w:line="360" w:lineRule="auto"/>
        <w:rPr>
          <w:rFonts w:ascii="Arial" w:hAnsi="Arial" w:cs="Arial"/>
        </w:rPr>
      </w:pPr>
      <w:r w:rsidRPr="009C0BB3">
        <w:rPr>
          <w:rFonts w:ascii="Arial" w:hAnsi="Arial" w:cs="Arial"/>
          <w:noProof/>
        </w:rPr>
        <w:lastRenderedPageBreak/>
        <w:drawing>
          <wp:inline distT="0" distB="0" distL="0" distR="0" wp14:anchorId="7FA681C0" wp14:editId="0129A479">
            <wp:extent cx="6736080" cy="4490720"/>
            <wp:effectExtent l="0" t="0" r="7620" b="5080"/>
            <wp:docPr id="158157786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736080" cy="4490720"/>
                    </a:xfrm>
                    <a:prstGeom prst="rect">
                      <a:avLst/>
                    </a:prstGeom>
                    <a:noFill/>
                  </pic:spPr>
                </pic:pic>
              </a:graphicData>
            </a:graphic>
          </wp:inline>
        </w:drawing>
      </w:r>
    </w:p>
    <w:p w14:paraId="797698D9" w14:textId="77777777" w:rsidR="007E472C" w:rsidRPr="009C0BB3" w:rsidRDefault="007E472C" w:rsidP="009C0BB3">
      <w:pPr>
        <w:pStyle w:val="Heading1"/>
        <w:spacing w:line="360" w:lineRule="auto"/>
        <w:jc w:val="center"/>
        <w:rPr>
          <w:rFonts w:ascii="Arial" w:hAnsi="Arial" w:cs="Arial"/>
          <w:sz w:val="24"/>
          <w:szCs w:val="24"/>
        </w:rPr>
      </w:pPr>
      <w:bookmarkStart w:id="7" w:name="_Toc236641017"/>
      <w:r w:rsidRPr="009C0BB3">
        <w:rPr>
          <w:rFonts w:ascii="Arial" w:hAnsi="Arial" w:cs="Arial"/>
          <w:sz w:val="24"/>
          <w:szCs w:val="24"/>
        </w:rPr>
        <w:t>8. Strategic Recommendations</w:t>
      </w:r>
      <w:bookmarkEnd w:id="7"/>
    </w:p>
    <w:p w14:paraId="55D2AD4C" w14:textId="77777777" w:rsidR="007E472C" w:rsidRPr="009C0BB3" w:rsidRDefault="007E472C" w:rsidP="009C0BB3">
      <w:pPr>
        <w:spacing w:line="360" w:lineRule="auto"/>
        <w:rPr>
          <w:rFonts w:ascii="Arial" w:hAnsi="Arial" w:cs="Arial"/>
        </w:rPr>
      </w:pPr>
      <w:r w:rsidRPr="009C0BB3">
        <w:rPr>
          <w:rFonts w:ascii="Arial" w:hAnsi="Arial" w:cs="Arial"/>
          <w:i/>
          <w:iCs/>
        </w:rPr>
        <w:t>The preceding analysis suggests that Cadbury has established a strong international presence through selective adaptation of its marketing strategy. However, evolving consumer expectations, technological developments and sustainability pressures require continuous strategic improvement. The following recommendations are prioritised according to their expected strategic impact and implementation feasibility.</w:t>
      </w:r>
    </w:p>
    <w:p w14:paraId="0E4F2F2E" w14:textId="77777777" w:rsidR="007E472C" w:rsidRPr="009C0BB3" w:rsidRDefault="007E472C" w:rsidP="009C0BB3">
      <w:pPr>
        <w:spacing w:line="360" w:lineRule="auto"/>
        <w:jc w:val="center"/>
        <w:rPr>
          <w:rFonts w:ascii="Arial" w:hAnsi="Arial" w:cs="Arial"/>
          <w:b/>
          <w:bCs/>
        </w:rPr>
      </w:pPr>
      <w:r w:rsidRPr="009C0BB3">
        <w:rPr>
          <w:rFonts w:ascii="Arial" w:hAnsi="Arial" w:cs="Arial"/>
          <w:b/>
          <w:bCs/>
        </w:rPr>
        <w:t>Table 7. Strategic Recommendations for Cadbury</w:t>
      </w:r>
    </w:p>
    <w:tbl>
      <w:tblPr>
        <w:tblStyle w:val="TableGrid"/>
        <w:tblW w:w="0" w:type="auto"/>
        <w:tblLook w:val="04A0" w:firstRow="1" w:lastRow="0" w:firstColumn="1" w:lastColumn="0" w:noHBand="0" w:noVBand="1"/>
      </w:tblPr>
      <w:tblGrid>
        <w:gridCol w:w="3072"/>
        <w:gridCol w:w="4369"/>
        <w:gridCol w:w="3015"/>
      </w:tblGrid>
      <w:tr w:rsidR="007E472C" w:rsidRPr="009C0BB3" w14:paraId="7C23875A" w14:textId="77777777" w:rsidTr="007E472C">
        <w:tc>
          <w:tcPr>
            <w:tcW w:w="0" w:type="auto"/>
            <w:hideMark/>
          </w:tcPr>
          <w:p w14:paraId="0ED1A0C6" w14:textId="77777777" w:rsidR="007E472C" w:rsidRPr="009C0BB3" w:rsidRDefault="007E472C" w:rsidP="009C0BB3">
            <w:pPr>
              <w:spacing w:after="160" w:line="360" w:lineRule="auto"/>
              <w:rPr>
                <w:rFonts w:ascii="Arial" w:hAnsi="Arial" w:cs="Arial"/>
                <w:b/>
                <w:bCs/>
              </w:rPr>
            </w:pPr>
            <w:r w:rsidRPr="009C0BB3">
              <w:rPr>
                <w:rFonts w:ascii="Arial" w:hAnsi="Arial" w:cs="Arial"/>
                <w:b/>
                <w:bCs/>
              </w:rPr>
              <w:t>Recommendation</w:t>
            </w:r>
          </w:p>
        </w:tc>
        <w:tc>
          <w:tcPr>
            <w:tcW w:w="0" w:type="auto"/>
            <w:hideMark/>
          </w:tcPr>
          <w:p w14:paraId="1B119417" w14:textId="77777777" w:rsidR="007E472C" w:rsidRPr="009C0BB3" w:rsidRDefault="007E472C" w:rsidP="009C0BB3">
            <w:pPr>
              <w:spacing w:after="160" w:line="360" w:lineRule="auto"/>
              <w:rPr>
                <w:rFonts w:ascii="Arial" w:hAnsi="Arial" w:cs="Arial"/>
                <w:b/>
                <w:bCs/>
              </w:rPr>
            </w:pPr>
            <w:r w:rsidRPr="009C0BB3">
              <w:rPr>
                <w:rFonts w:ascii="Arial" w:hAnsi="Arial" w:cs="Arial"/>
                <w:b/>
                <w:bCs/>
              </w:rPr>
              <w:t>Strategic Justification</w:t>
            </w:r>
          </w:p>
        </w:tc>
        <w:tc>
          <w:tcPr>
            <w:tcW w:w="0" w:type="auto"/>
            <w:hideMark/>
          </w:tcPr>
          <w:p w14:paraId="0C6AE6C3" w14:textId="77777777" w:rsidR="007E472C" w:rsidRPr="009C0BB3" w:rsidRDefault="007E472C" w:rsidP="009C0BB3">
            <w:pPr>
              <w:spacing w:after="160" w:line="360" w:lineRule="auto"/>
              <w:rPr>
                <w:rFonts w:ascii="Arial" w:hAnsi="Arial" w:cs="Arial"/>
                <w:b/>
                <w:bCs/>
              </w:rPr>
            </w:pPr>
            <w:r w:rsidRPr="009C0BB3">
              <w:rPr>
                <w:rFonts w:ascii="Arial" w:hAnsi="Arial" w:cs="Arial"/>
                <w:b/>
                <w:bCs/>
              </w:rPr>
              <w:t>Expected Impact</w:t>
            </w:r>
          </w:p>
        </w:tc>
      </w:tr>
      <w:tr w:rsidR="007E472C" w:rsidRPr="009C0BB3" w14:paraId="4B7703E7" w14:textId="77777777" w:rsidTr="007E472C">
        <w:tc>
          <w:tcPr>
            <w:tcW w:w="0" w:type="auto"/>
            <w:hideMark/>
          </w:tcPr>
          <w:p w14:paraId="7A0C7097" w14:textId="77777777" w:rsidR="007E472C" w:rsidRPr="009C0BB3" w:rsidRDefault="007E472C" w:rsidP="009C0BB3">
            <w:pPr>
              <w:spacing w:after="160" w:line="360" w:lineRule="auto"/>
              <w:rPr>
                <w:rFonts w:ascii="Arial" w:hAnsi="Arial" w:cs="Arial"/>
              </w:rPr>
            </w:pPr>
            <w:r w:rsidRPr="009C0BB3">
              <w:rPr>
                <w:rFonts w:ascii="Arial" w:hAnsi="Arial" w:cs="Arial"/>
                <w:b/>
                <w:bCs/>
              </w:rPr>
              <w:t>1. Accelerate AI-driven consumer personalisation</w:t>
            </w:r>
          </w:p>
        </w:tc>
        <w:tc>
          <w:tcPr>
            <w:tcW w:w="0" w:type="auto"/>
            <w:hideMark/>
          </w:tcPr>
          <w:p w14:paraId="4A485C72" w14:textId="77777777" w:rsidR="007E472C" w:rsidRPr="009C0BB3" w:rsidRDefault="007E472C" w:rsidP="009C0BB3">
            <w:pPr>
              <w:spacing w:after="160" w:line="360" w:lineRule="auto"/>
              <w:rPr>
                <w:rFonts w:ascii="Arial" w:hAnsi="Arial" w:cs="Arial"/>
              </w:rPr>
            </w:pPr>
            <w:r w:rsidRPr="009C0BB3">
              <w:rPr>
                <w:rFonts w:ascii="Arial" w:hAnsi="Arial" w:cs="Arial"/>
              </w:rPr>
              <w:t>AI-powered analytics can improve customer segmentation, demand forecasting and personalised digital engagement, strengthening customer loyalty and marketing efficiency (Wedel and Kannan, 2016).</w:t>
            </w:r>
          </w:p>
        </w:tc>
        <w:tc>
          <w:tcPr>
            <w:tcW w:w="0" w:type="auto"/>
            <w:hideMark/>
          </w:tcPr>
          <w:p w14:paraId="550F6A8A" w14:textId="77777777" w:rsidR="007E472C" w:rsidRPr="009C0BB3" w:rsidRDefault="007E472C" w:rsidP="009C0BB3">
            <w:pPr>
              <w:spacing w:after="160" w:line="360" w:lineRule="auto"/>
              <w:rPr>
                <w:rFonts w:ascii="Arial" w:hAnsi="Arial" w:cs="Arial"/>
              </w:rPr>
            </w:pPr>
            <w:r w:rsidRPr="009C0BB3">
              <w:rPr>
                <w:rFonts w:ascii="Arial" w:hAnsi="Arial" w:cs="Arial"/>
              </w:rPr>
              <w:t>Higher customer retention, improved campaign effectiveness and increased marketing ROI.</w:t>
            </w:r>
          </w:p>
        </w:tc>
      </w:tr>
      <w:tr w:rsidR="007E472C" w:rsidRPr="009C0BB3" w14:paraId="1C427D19" w14:textId="77777777" w:rsidTr="007E472C">
        <w:tc>
          <w:tcPr>
            <w:tcW w:w="0" w:type="auto"/>
            <w:hideMark/>
          </w:tcPr>
          <w:p w14:paraId="2FDD919B" w14:textId="77777777" w:rsidR="007E472C" w:rsidRPr="009C0BB3" w:rsidRDefault="007E472C" w:rsidP="009C0BB3">
            <w:pPr>
              <w:spacing w:after="160" w:line="360" w:lineRule="auto"/>
              <w:rPr>
                <w:rFonts w:ascii="Arial" w:hAnsi="Arial" w:cs="Arial"/>
              </w:rPr>
            </w:pPr>
            <w:r w:rsidRPr="009C0BB3">
              <w:rPr>
                <w:rFonts w:ascii="Arial" w:hAnsi="Arial" w:cs="Arial"/>
                <w:b/>
                <w:bCs/>
              </w:rPr>
              <w:t xml:space="preserve">2. Strengthen sustainable cocoa sourcing through </w:t>
            </w:r>
            <w:r w:rsidRPr="009C0BB3">
              <w:rPr>
                <w:rFonts w:ascii="Arial" w:hAnsi="Arial" w:cs="Arial"/>
                <w:b/>
                <w:bCs/>
              </w:rPr>
              <w:lastRenderedPageBreak/>
              <w:t>measurable impact reporting</w:t>
            </w:r>
          </w:p>
        </w:tc>
        <w:tc>
          <w:tcPr>
            <w:tcW w:w="0" w:type="auto"/>
            <w:hideMark/>
          </w:tcPr>
          <w:p w14:paraId="6227B53B" w14:textId="77777777" w:rsidR="007E472C" w:rsidRPr="009C0BB3" w:rsidRDefault="007E472C" w:rsidP="009C0BB3">
            <w:pPr>
              <w:spacing w:after="160" w:line="360" w:lineRule="auto"/>
              <w:rPr>
                <w:rFonts w:ascii="Arial" w:hAnsi="Arial" w:cs="Arial"/>
              </w:rPr>
            </w:pPr>
            <w:r w:rsidRPr="009C0BB3">
              <w:rPr>
                <w:rFonts w:ascii="Arial" w:hAnsi="Arial" w:cs="Arial"/>
              </w:rPr>
              <w:lastRenderedPageBreak/>
              <w:t xml:space="preserve">Moving beyond sustainability commitments towards independently verified impact reporting would </w:t>
            </w:r>
            <w:r w:rsidRPr="009C0BB3">
              <w:rPr>
                <w:rFonts w:ascii="Arial" w:hAnsi="Arial" w:cs="Arial"/>
              </w:rPr>
              <w:lastRenderedPageBreak/>
              <w:t>improve stakeholder trust and reduce reputational risk associated with ethical sourcing (Porter and Kramer, 2011).</w:t>
            </w:r>
          </w:p>
        </w:tc>
        <w:tc>
          <w:tcPr>
            <w:tcW w:w="0" w:type="auto"/>
            <w:hideMark/>
          </w:tcPr>
          <w:p w14:paraId="2860950B" w14:textId="77777777" w:rsidR="007E472C" w:rsidRPr="009C0BB3" w:rsidRDefault="007E472C" w:rsidP="009C0BB3">
            <w:pPr>
              <w:spacing w:after="160" w:line="360" w:lineRule="auto"/>
              <w:rPr>
                <w:rFonts w:ascii="Arial" w:hAnsi="Arial" w:cs="Arial"/>
              </w:rPr>
            </w:pPr>
            <w:r w:rsidRPr="009C0BB3">
              <w:rPr>
                <w:rFonts w:ascii="Arial" w:hAnsi="Arial" w:cs="Arial"/>
              </w:rPr>
              <w:lastRenderedPageBreak/>
              <w:t xml:space="preserve">Enhanced corporate reputation, stronger ESG performance and </w:t>
            </w:r>
            <w:r w:rsidRPr="009C0BB3">
              <w:rPr>
                <w:rFonts w:ascii="Arial" w:hAnsi="Arial" w:cs="Arial"/>
              </w:rPr>
              <w:lastRenderedPageBreak/>
              <w:t>increased consumer confidence.</w:t>
            </w:r>
          </w:p>
        </w:tc>
      </w:tr>
      <w:tr w:rsidR="007E472C" w:rsidRPr="009C0BB3" w14:paraId="3D7E6C79" w14:textId="77777777" w:rsidTr="007E472C">
        <w:tc>
          <w:tcPr>
            <w:tcW w:w="0" w:type="auto"/>
            <w:hideMark/>
          </w:tcPr>
          <w:p w14:paraId="3DC5E11A" w14:textId="77777777" w:rsidR="007E472C" w:rsidRPr="009C0BB3" w:rsidRDefault="007E472C" w:rsidP="009C0BB3">
            <w:pPr>
              <w:spacing w:after="160" w:line="360" w:lineRule="auto"/>
              <w:rPr>
                <w:rFonts w:ascii="Arial" w:hAnsi="Arial" w:cs="Arial"/>
              </w:rPr>
            </w:pPr>
            <w:r w:rsidRPr="009C0BB3">
              <w:rPr>
                <w:rFonts w:ascii="Arial" w:hAnsi="Arial" w:cs="Arial"/>
                <w:b/>
                <w:bCs/>
              </w:rPr>
              <w:lastRenderedPageBreak/>
              <w:t>3. Expand premium product innovation within emerging urban markets</w:t>
            </w:r>
          </w:p>
        </w:tc>
        <w:tc>
          <w:tcPr>
            <w:tcW w:w="0" w:type="auto"/>
            <w:hideMark/>
          </w:tcPr>
          <w:p w14:paraId="6B59850C" w14:textId="383B8414" w:rsidR="007E472C" w:rsidRPr="009C0BB3" w:rsidRDefault="007E472C" w:rsidP="009C0BB3">
            <w:pPr>
              <w:spacing w:after="160" w:line="360" w:lineRule="auto"/>
              <w:rPr>
                <w:rFonts w:ascii="Arial" w:hAnsi="Arial" w:cs="Arial"/>
              </w:rPr>
            </w:pPr>
            <w:r w:rsidRPr="009C0BB3">
              <w:rPr>
                <w:rFonts w:ascii="Arial" w:hAnsi="Arial" w:cs="Arial"/>
              </w:rPr>
              <w:t xml:space="preserve">Growing disposable incomes and premiumisation trends present opportunities to increase value creation without relying solely on volume growth </w:t>
            </w:r>
            <w:r w:rsidR="005B0D8A" w:rsidRPr="005B0D8A">
              <w:rPr>
                <w:rFonts w:ascii="Arial" w:hAnsi="Arial" w:cs="Arial"/>
              </w:rPr>
              <w:t>(Euromonitor International, 2024a)</w:t>
            </w:r>
          </w:p>
        </w:tc>
        <w:tc>
          <w:tcPr>
            <w:tcW w:w="0" w:type="auto"/>
            <w:hideMark/>
          </w:tcPr>
          <w:p w14:paraId="64521F0F" w14:textId="77777777" w:rsidR="007E472C" w:rsidRPr="009C0BB3" w:rsidRDefault="007E472C" w:rsidP="009C0BB3">
            <w:pPr>
              <w:spacing w:after="160" w:line="360" w:lineRule="auto"/>
              <w:rPr>
                <w:rFonts w:ascii="Arial" w:hAnsi="Arial" w:cs="Arial"/>
              </w:rPr>
            </w:pPr>
            <w:r w:rsidRPr="009C0BB3">
              <w:rPr>
                <w:rFonts w:ascii="Arial" w:hAnsi="Arial" w:cs="Arial"/>
              </w:rPr>
              <w:t>Higher profit margins and stronger competitive differentiation.</w:t>
            </w:r>
          </w:p>
        </w:tc>
      </w:tr>
      <w:tr w:rsidR="007E472C" w:rsidRPr="009C0BB3" w14:paraId="619524D0" w14:textId="77777777" w:rsidTr="007E472C">
        <w:tc>
          <w:tcPr>
            <w:tcW w:w="0" w:type="auto"/>
            <w:hideMark/>
          </w:tcPr>
          <w:p w14:paraId="3614389F" w14:textId="77777777" w:rsidR="007E472C" w:rsidRPr="009C0BB3" w:rsidRDefault="007E472C" w:rsidP="009C0BB3">
            <w:pPr>
              <w:spacing w:after="160" w:line="360" w:lineRule="auto"/>
              <w:rPr>
                <w:rFonts w:ascii="Arial" w:hAnsi="Arial" w:cs="Arial"/>
              </w:rPr>
            </w:pPr>
            <w:r w:rsidRPr="009C0BB3">
              <w:rPr>
                <w:rFonts w:ascii="Arial" w:hAnsi="Arial" w:cs="Arial"/>
                <w:b/>
                <w:bCs/>
              </w:rPr>
              <w:t>4. Develop an integrated omnichannel retail strategy</w:t>
            </w:r>
          </w:p>
        </w:tc>
        <w:tc>
          <w:tcPr>
            <w:tcW w:w="0" w:type="auto"/>
            <w:hideMark/>
          </w:tcPr>
          <w:p w14:paraId="40CCFD5C" w14:textId="77777777" w:rsidR="007E472C" w:rsidRPr="009C0BB3" w:rsidRDefault="007E472C" w:rsidP="009C0BB3">
            <w:pPr>
              <w:spacing w:after="160" w:line="360" w:lineRule="auto"/>
              <w:rPr>
                <w:rFonts w:ascii="Arial" w:hAnsi="Arial" w:cs="Arial"/>
              </w:rPr>
            </w:pPr>
            <w:r w:rsidRPr="009C0BB3">
              <w:rPr>
                <w:rFonts w:ascii="Arial" w:hAnsi="Arial" w:cs="Arial"/>
              </w:rPr>
              <w:t>Integrating physical retail with e-commerce platforms and data-driven customer engagement improves convenience and creates a consistent customer experience across markets (Verhoef, Kannan and Inman, 2015).</w:t>
            </w:r>
          </w:p>
        </w:tc>
        <w:tc>
          <w:tcPr>
            <w:tcW w:w="0" w:type="auto"/>
            <w:hideMark/>
          </w:tcPr>
          <w:p w14:paraId="132084D9" w14:textId="77777777" w:rsidR="007E472C" w:rsidRPr="009C0BB3" w:rsidRDefault="007E472C" w:rsidP="009C0BB3">
            <w:pPr>
              <w:spacing w:after="160" w:line="360" w:lineRule="auto"/>
              <w:rPr>
                <w:rFonts w:ascii="Arial" w:hAnsi="Arial" w:cs="Arial"/>
              </w:rPr>
            </w:pPr>
            <w:r w:rsidRPr="009C0BB3">
              <w:rPr>
                <w:rFonts w:ascii="Arial" w:hAnsi="Arial" w:cs="Arial"/>
              </w:rPr>
              <w:t>Increased market reach, improved customer experience and stronger digital competitiveness.</w:t>
            </w:r>
          </w:p>
        </w:tc>
      </w:tr>
    </w:tbl>
    <w:p w14:paraId="48B373A1" w14:textId="77777777" w:rsidR="009C0BB3" w:rsidRPr="009C0BB3" w:rsidRDefault="009C0BB3" w:rsidP="009C0BB3">
      <w:pPr>
        <w:spacing w:line="360" w:lineRule="auto"/>
        <w:rPr>
          <w:rFonts w:ascii="Arial" w:hAnsi="Arial" w:cs="Arial"/>
        </w:rPr>
      </w:pPr>
    </w:p>
    <w:p w14:paraId="0C49AAE6" w14:textId="1FE71FA4" w:rsidR="009C0BB3" w:rsidRPr="009C0BB3" w:rsidRDefault="009C0BB3" w:rsidP="009C0BB3">
      <w:pPr>
        <w:spacing w:line="360" w:lineRule="auto"/>
        <w:jc w:val="center"/>
        <w:rPr>
          <w:rFonts w:ascii="Arial" w:hAnsi="Arial" w:cs="Arial"/>
        </w:rPr>
      </w:pPr>
      <w:r w:rsidRPr="009C0BB3">
        <w:rPr>
          <w:rFonts w:ascii="Arial" w:hAnsi="Arial" w:cs="Arial"/>
          <w:b/>
          <w:bCs/>
        </w:rPr>
        <w:t>Figure 9. Strategic Implementation Priorities for Cadbury</w:t>
      </w:r>
    </w:p>
    <w:p w14:paraId="0B198B7F" w14:textId="32CB9F85" w:rsidR="007E472C" w:rsidRPr="009C0BB3" w:rsidRDefault="009C0BB3" w:rsidP="009C0BB3">
      <w:pPr>
        <w:spacing w:line="360" w:lineRule="auto"/>
        <w:rPr>
          <w:rFonts w:ascii="Arial" w:hAnsi="Arial" w:cs="Arial"/>
        </w:rPr>
      </w:pPr>
      <w:r w:rsidRPr="009C0BB3">
        <w:rPr>
          <w:rFonts w:ascii="Arial" w:hAnsi="Arial" w:cs="Arial"/>
          <w:noProof/>
        </w:rPr>
        <w:drawing>
          <wp:inline distT="0" distB="0" distL="0" distR="0" wp14:anchorId="01A9832E" wp14:editId="6197FB5D">
            <wp:extent cx="6629400" cy="4091940"/>
            <wp:effectExtent l="0" t="0" r="0" b="3810"/>
            <wp:docPr id="202823836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5">
                      <a:extLst>
                        <a:ext uri="{28A0092B-C50C-407E-A947-70E740481C1C}">
                          <a14:useLocalDpi xmlns:a14="http://schemas.microsoft.com/office/drawing/2010/main" val="0"/>
                        </a:ext>
                      </a:extLst>
                    </a:blip>
                    <a:srcRect t="7414"/>
                    <a:stretch>
                      <a:fillRect/>
                    </a:stretch>
                  </pic:blipFill>
                  <pic:spPr bwMode="auto">
                    <a:xfrm>
                      <a:off x="0" y="0"/>
                      <a:ext cx="6629400" cy="4091940"/>
                    </a:xfrm>
                    <a:prstGeom prst="rect">
                      <a:avLst/>
                    </a:prstGeom>
                    <a:noFill/>
                    <a:ln>
                      <a:noFill/>
                    </a:ln>
                    <a:extLst>
                      <a:ext uri="{53640926-AAD7-44D8-BBD7-CCE9431645EC}">
                        <a14:shadowObscured xmlns:a14="http://schemas.microsoft.com/office/drawing/2010/main"/>
                      </a:ext>
                    </a:extLst>
                  </pic:spPr>
                </pic:pic>
              </a:graphicData>
            </a:graphic>
          </wp:inline>
        </w:drawing>
      </w:r>
    </w:p>
    <w:p w14:paraId="4F3854D9" w14:textId="00B59599" w:rsidR="009C0BB3" w:rsidRPr="009C0BB3" w:rsidRDefault="009C0BB3" w:rsidP="009C0BB3">
      <w:pPr>
        <w:spacing w:line="360" w:lineRule="auto"/>
        <w:rPr>
          <w:rFonts w:ascii="Arial" w:hAnsi="Arial" w:cs="Arial"/>
        </w:rPr>
      </w:pPr>
      <w:r w:rsidRPr="009C0BB3">
        <w:rPr>
          <w:rFonts w:ascii="Arial" w:hAnsi="Arial" w:cs="Arial"/>
        </w:rPr>
        <w:lastRenderedPageBreak/>
        <w:t>Among the proposed initiatives, accelerating AI-driven personalisation and strengthening sustainable cocoa sourcing should be prioritised because they simultaneously improve customer value creation and long-term stakeholder trust. Product innovation and omnichannel expansion remain strategically important but are likely to generate greater returns once Cadbury has strengthened its digital capabilities and sustainability governance. This prioritisation reflects the growing importance of data-driven marketing and responsible business practices in sustaining international competitive advantage.</w:t>
      </w:r>
    </w:p>
    <w:p w14:paraId="7EC97092" w14:textId="77777777" w:rsidR="009C0BB3" w:rsidRPr="009C0BB3" w:rsidRDefault="009C0BB3" w:rsidP="009C0BB3">
      <w:pPr>
        <w:pStyle w:val="Heading1"/>
        <w:spacing w:line="360" w:lineRule="auto"/>
        <w:jc w:val="center"/>
        <w:rPr>
          <w:rFonts w:ascii="Arial" w:hAnsi="Arial" w:cs="Arial"/>
          <w:sz w:val="24"/>
          <w:szCs w:val="24"/>
        </w:rPr>
      </w:pPr>
      <w:bookmarkStart w:id="8" w:name="_Toc236641018"/>
      <w:r w:rsidRPr="009C0BB3">
        <w:rPr>
          <w:rFonts w:ascii="Arial" w:hAnsi="Arial" w:cs="Arial"/>
          <w:sz w:val="24"/>
          <w:szCs w:val="24"/>
        </w:rPr>
        <w:t>Section 2: Reflective Account (Gibbs' Reflective Cycle)</w:t>
      </w:r>
      <w:bookmarkEnd w:id="8"/>
    </w:p>
    <w:p w14:paraId="10F08F99" w14:textId="77777777" w:rsidR="009C0BB3" w:rsidRPr="009C0BB3" w:rsidRDefault="009C0BB3" w:rsidP="009C0BB3">
      <w:pPr>
        <w:spacing w:line="360" w:lineRule="auto"/>
        <w:rPr>
          <w:rFonts w:ascii="Arial" w:hAnsi="Arial" w:cs="Arial"/>
          <w:b/>
          <w:bCs/>
        </w:rPr>
      </w:pPr>
      <w:r w:rsidRPr="009C0BB3">
        <w:rPr>
          <w:rFonts w:ascii="Arial" w:hAnsi="Arial" w:cs="Arial"/>
          <w:b/>
          <w:bCs/>
        </w:rPr>
        <w:t>2.1 Introduction</w:t>
      </w:r>
    </w:p>
    <w:p w14:paraId="572922D4" w14:textId="1AFBB1B0" w:rsidR="009C0BB3" w:rsidRPr="009C0BB3" w:rsidRDefault="009C0BB3" w:rsidP="009C0BB3">
      <w:pPr>
        <w:spacing w:line="360" w:lineRule="auto"/>
        <w:rPr>
          <w:rFonts w:ascii="Arial" w:hAnsi="Arial" w:cs="Arial"/>
        </w:rPr>
      </w:pPr>
      <w:r w:rsidRPr="009C0BB3">
        <w:rPr>
          <w:rFonts w:ascii="Arial" w:hAnsi="Arial" w:cs="Arial"/>
        </w:rPr>
        <w:t>Reflective practice is an essential component of postgraduate learning as it enables students to critically evaluate their experiences, identify strengths and weaknesses, and enhance future academic and professional performance (Gibbs, 1988). This reflective account applies Gibbs' Reflective Cycle to evaluate the process undertaken in researching, analysing and preparing the international marketing strategy report on Cadbury in the United Kingdom and India. The reflection critically examines the challenges encountered, the skills developed throughout the research and writing process, and the lessons that will inform my future approach to academic research and professional decision-making.</w:t>
      </w:r>
    </w:p>
    <w:p w14:paraId="602A073D" w14:textId="77777777" w:rsidR="009C0BB3" w:rsidRPr="009C0BB3" w:rsidRDefault="009C0BB3" w:rsidP="009C0BB3">
      <w:pPr>
        <w:spacing w:line="360" w:lineRule="auto"/>
        <w:rPr>
          <w:rFonts w:ascii="Arial" w:hAnsi="Arial" w:cs="Arial"/>
          <w:b/>
          <w:bCs/>
        </w:rPr>
      </w:pPr>
      <w:r w:rsidRPr="009C0BB3">
        <w:rPr>
          <w:rFonts w:ascii="Arial" w:hAnsi="Arial" w:cs="Arial"/>
          <w:b/>
          <w:bCs/>
        </w:rPr>
        <w:t>2.2 Description</w:t>
      </w:r>
    </w:p>
    <w:p w14:paraId="4764A266" w14:textId="77777777" w:rsidR="009C0BB3" w:rsidRPr="009C0BB3" w:rsidRDefault="009C0BB3" w:rsidP="009C0BB3">
      <w:pPr>
        <w:spacing w:line="360" w:lineRule="auto"/>
        <w:rPr>
          <w:rFonts w:ascii="Arial" w:hAnsi="Arial" w:cs="Arial"/>
        </w:rPr>
      </w:pPr>
      <w:r w:rsidRPr="009C0BB3">
        <w:rPr>
          <w:rFonts w:ascii="Arial" w:hAnsi="Arial" w:cs="Arial"/>
        </w:rPr>
        <w:t>The preparation of the report required a systematic research process involving the identification, evaluation and synthesis of academic literature alongside contemporary industry evidence. Initially, I approached the assignment by collecting a substantial amount of information relating to Cadbury's international marketing activities. Although this enabled me to develop a broad understanding of the company, my first draft became overly descriptive and significantly exceeded the required word limit. Rather than demonstrating critical analysis, much of the discussion simply presented factual information without sufficiently evaluating its strategic implications.</w:t>
      </w:r>
    </w:p>
    <w:p w14:paraId="5B2756CF" w14:textId="718BCB1B" w:rsidR="009C0BB3" w:rsidRPr="009C0BB3" w:rsidRDefault="009C0BB3" w:rsidP="009C0BB3">
      <w:pPr>
        <w:spacing w:line="360" w:lineRule="auto"/>
        <w:rPr>
          <w:rFonts w:ascii="Arial" w:hAnsi="Arial" w:cs="Arial"/>
        </w:rPr>
      </w:pPr>
      <w:r w:rsidRPr="009C0BB3">
        <w:rPr>
          <w:rFonts w:ascii="Arial" w:hAnsi="Arial" w:cs="Arial"/>
        </w:rPr>
        <w:t>Recognising these limitations, I reconsidered my overall approach. Instead of attempting to reduce individual paragraphs, I decided to restructure the report entirely. Each section was rewritten to focus on comparative analysis between the United Kingdom and India, while ensuring that concepts were not unnecessarily repeated across PESTEL, Hofstede's framework, STP, the marketing mix and market entry strategy. Furthermore, I replaced lengthy narrative explanations with professionally designed tables, matrices and figures, enabling complex information to be communicated more concisely. Throughout this process, I also strengthened the academic quality of the report by incorporating peer-reviewed journal articles, recent industry reports and theoretical frameworks relevant to international marketing.</w:t>
      </w:r>
    </w:p>
    <w:p w14:paraId="0F3A1D57" w14:textId="77777777" w:rsidR="009C0BB3" w:rsidRPr="009C0BB3" w:rsidRDefault="009C0BB3" w:rsidP="009C0BB3">
      <w:pPr>
        <w:spacing w:line="360" w:lineRule="auto"/>
        <w:rPr>
          <w:rFonts w:ascii="Arial" w:hAnsi="Arial" w:cs="Arial"/>
          <w:b/>
          <w:bCs/>
        </w:rPr>
      </w:pPr>
      <w:r w:rsidRPr="009C0BB3">
        <w:rPr>
          <w:rFonts w:ascii="Arial" w:hAnsi="Arial" w:cs="Arial"/>
          <w:b/>
          <w:bCs/>
        </w:rPr>
        <w:lastRenderedPageBreak/>
        <w:t>2.3 Feelings</w:t>
      </w:r>
    </w:p>
    <w:p w14:paraId="438459CA" w14:textId="77777777" w:rsidR="009C0BB3" w:rsidRPr="009C0BB3" w:rsidRDefault="009C0BB3" w:rsidP="009C0BB3">
      <w:pPr>
        <w:spacing w:line="360" w:lineRule="auto"/>
        <w:rPr>
          <w:rFonts w:ascii="Arial" w:hAnsi="Arial" w:cs="Arial"/>
        </w:rPr>
      </w:pPr>
      <w:r w:rsidRPr="009C0BB3">
        <w:rPr>
          <w:rFonts w:ascii="Arial" w:hAnsi="Arial" w:cs="Arial"/>
        </w:rPr>
        <w:t>At the beginning of the assignment, I felt uncertain about my ability to produce work that met postgraduate expectations. Although I understood the marketing theories introduced during the module, I found it difficult to translate theoretical knowledge into critical academic analysis. I was particularly concerned about balancing depth of discussion with the strict word limit, as I believed that including more information would strengthen the quality of the report.</w:t>
      </w:r>
    </w:p>
    <w:p w14:paraId="7D6EDD9A" w14:textId="55E5F243" w:rsidR="009C0BB3" w:rsidRPr="009C0BB3" w:rsidRDefault="009C0BB3" w:rsidP="009C0BB3">
      <w:pPr>
        <w:spacing w:line="360" w:lineRule="auto"/>
        <w:rPr>
          <w:rFonts w:ascii="Arial" w:hAnsi="Arial" w:cs="Arial"/>
        </w:rPr>
      </w:pPr>
      <w:r w:rsidRPr="009C0BB3">
        <w:rPr>
          <w:rFonts w:ascii="Arial" w:hAnsi="Arial" w:cs="Arial"/>
        </w:rPr>
        <w:t>As the report developed, my perspective gradually changed. Through repeated revision, I recognised that postgraduate writing values critical evaluation rather than descriptive content. Although rewriting substantial sections of the report was time-consuming, it increased my confidence in applying academic theories more effectively and presenting arguments in a clearer, more structured manner. By the completion of the assignment, I felt significantly more confident in my academic writing and research abilities than I had at the outset.</w:t>
      </w:r>
    </w:p>
    <w:p w14:paraId="21386757" w14:textId="77777777" w:rsidR="009C0BB3" w:rsidRPr="009C0BB3" w:rsidRDefault="009C0BB3" w:rsidP="009C0BB3">
      <w:pPr>
        <w:spacing w:line="360" w:lineRule="auto"/>
        <w:rPr>
          <w:rFonts w:ascii="Arial" w:hAnsi="Arial" w:cs="Arial"/>
          <w:b/>
          <w:bCs/>
        </w:rPr>
      </w:pPr>
      <w:r w:rsidRPr="009C0BB3">
        <w:rPr>
          <w:rFonts w:ascii="Arial" w:hAnsi="Arial" w:cs="Arial"/>
          <w:b/>
          <w:bCs/>
        </w:rPr>
        <w:t>2.4 Evaluation</w:t>
      </w:r>
    </w:p>
    <w:p w14:paraId="0BE13AF7" w14:textId="77777777" w:rsidR="009C0BB3" w:rsidRPr="009C0BB3" w:rsidRDefault="009C0BB3" w:rsidP="009C0BB3">
      <w:pPr>
        <w:spacing w:line="360" w:lineRule="auto"/>
        <w:rPr>
          <w:rFonts w:ascii="Arial" w:hAnsi="Arial" w:cs="Arial"/>
        </w:rPr>
      </w:pPr>
      <w:r w:rsidRPr="009C0BB3">
        <w:rPr>
          <w:rFonts w:ascii="Arial" w:hAnsi="Arial" w:cs="Arial"/>
        </w:rPr>
        <w:t>Several aspects of the assignment were completed successfully. The final report adopted a more logical and professional structure through the use of comparative tables, strategic matrices and visual figures, which improved both readability and analytical clarity. Additionally, drawing upon recent academic literature and industry evidence strengthened the credibility of the analysis and enabled theoretical concepts to be applied directly to Cadbury's international marketing strategy.</w:t>
      </w:r>
    </w:p>
    <w:p w14:paraId="422FC2CF" w14:textId="0DE99AD7" w:rsidR="009C0BB3" w:rsidRPr="009C0BB3" w:rsidRDefault="009C0BB3" w:rsidP="009C0BB3">
      <w:pPr>
        <w:spacing w:line="360" w:lineRule="auto"/>
        <w:rPr>
          <w:rFonts w:ascii="Arial" w:hAnsi="Arial" w:cs="Arial"/>
        </w:rPr>
      </w:pPr>
      <w:r w:rsidRPr="009C0BB3">
        <w:rPr>
          <w:rFonts w:ascii="Arial" w:hAnsi="Arial" w:cs="Arial"/>
        </w:rPr>
        <w:t>However, the process also highlighted several weaknesses in my initial approach. My first instinct was to collect as much information as possible before considering the assignment requirements in sufficient detail. This resulted in unnecessary repetition and an excessive word count, making the report less focused. Furthermore, I initially relied too heavily on company information before recognising the importance of balancing corporate sources with peer-reviewed academic literature. Addressing these weaknesses required considerable editing and restructuring but ultimately improved the overall quality of the assignment.</w:t>
      </w:r>
    </w:p>
    <w:p w14:paraId="3D515F1C" w14:textId="77777777" w:rsidR="009C0BB3" w:rsidRPr="009C0BB3" w:rsidRDefault="009C0BB3" w:rsidP="009C0BB3">
      <w:pPr>
        <w:spacing w:line="360" w:lineRule="auto"/>
        <w:rPr>
          <w:rFonts w:ascii="Arial" w:hAnsi="Arial" w:cs="Arial"/>
          <w:b/>
          <w:bCs/>
        </w:rPr>
      </w:pPr>
      <w:r w:rsidRPr="009C0BB3">
        <w:rPr>
          <w:rFonts w:ascii="Arial" w:hAnsi="Arial" w:cs="Arial"/>
          <w:b/>
          <w:bCs/>
        </w:rPr>
        <w:t>2.5 Analysis</w:t>
      </w:r>
    </w:p>
    <w:p w14:paraId="75BA7BD4" w14:textId="77777777" w:rsidR="009C0BB3" w:rsidRPr="009C0BB3" w:rsidRDefault="009C0BB3" w:rsidP="009C0BB3">
      <w:pPr>
        <w:spacing w:line="360" w:lineRule="auto"/>
        <w:rPr>
          <w:rFonts w:ascii="Arial" w:hAnsi="Arial" w:cs="Arial"/>
        </w:rPr>
      </w:pPr>
      <w:r w:rsidRPr="009C0BB3">
        <w:rPr>
          <w:rFonts w:ascii="Arial" w:hAnsi="Arial" w:cs="Arial"/>
        </w:rPr>
        <w:t>The most significant learning outcome from this assignment was the development of a more critical approach to academic research and analysis. Gibbs (1988) argues that reflection facilitates continuous learning through the evaluation of experience, and this was evident throughout the preparation of the report. Initially, I viewed research primarily as the collection of information. However, I gradually recognised that postgraduate research requires the critical evaluation and synthesis of evidence rather than simply presenting factual knowledge.</w:t>
      </w:r>
    </w:p>
    <w:p w14:paraId="0E2D58DF" w14:textId="77777777" w:rsidR="009C0BB3" w:rsidRPr="009C0BB3" w:rsidRDefault="009C0BB3" w:rsidP="009C0BB3">
      <w:pPr>
        <w:spacing w:line="360" w:lineRule="auto"/>
        <w:rPr>
          <w:rFonts w:ascii="Arial" w:hAnsi="Arial" w:cs="Arial"/>
        </w:rPr>
      </w:pPr>
      <w:r w:rsidRPr="009C0BB3">
        <w:rPr>
          <w:rFonts w:ascii="Arial" w:hAnsi="Arial" w:cs="Arial"/>
        </w:rPr>
        <w:t xml:space="preserve">This shift was particularly evident when applying theoretical frameworks such as PESTEL, Hofstede's cultural dimensions and Dunning's Eclectic Paradigm. Rather than explaining each </w:t>
      </w:r>
      <w:r w:rsidRPr="009C0BB3">
        <w:rPr>
          <w:rFonts w:ascii="Arial" w:hAnsi="Arial" w:cs="Arial"/>
        </w:rPr>
        <w:lastRenderedPageBreak/>
        <w:t>framework independently, I learned to evaluate their relevance, identify their limitations and integrate multiple sources of evidence to support strategic conclusions. This approach produced a more balanced analysis while reducing unnecessary description.</w:t>
      </w:r>
    </w:p>
    <w:p w14:paraId="7CB7295E" w14:textId="77777777" w:rsidR="009C0BB3" w:rsidRPr="009C0BB3" w:rsidRDefault="009C0BB3" w:rsidP="009C0BB3">
      <w:pPr>
        <w:spacing w:line="360" w:lineRule="auto"/>
        <w:rPr>
          <w:rFonts w:ascii="Arial" w:hAnsi="Arial" w:cs="Arial"/>
        </w:rPr>
      </w:pPr>
      <w:r w:rsidRPr="009C0BB3">
        <w:rPr>
          <w:rFonts w:ascii="Arial" w:hAnsi="Arial" w:cs="Arial"/>
        </w:rPr>
        <w:t>The assignment also strengthened my information literacy. Evaluating the credibility of academic journals, industry reports and corporate publications required greater critical judgement than I had previously applied in academic work. I became increasingly aware that high-quality evidence should support analytical arguments rather than merely provide background information. Consequently, I developed a more disciplined research process by prioritising recent peer-reviewed literature and reputable industry sources.</w:t>
      </w:r>
    </w:p>
    <w:p w14:paraId="32C2BA9E" w14:textId="2F132E72" w:rsidR="009C0BB3" w:rsidRPr="009C0BB3" w:rsidRDefault="009C0BB3" w:rsidP="009C0BB3">
      <w:pPr>
        <w:spacing w:line="360" w:lineRule="auto"/>
        <w:rPr>
          <w:rFonts w:ascii="Arial" w:hAnsi="Arial" w:cs="Arial"/>
        </w:rPr>
      </w:pPr>
      <w:r w:rsidRPr="009C0BB3">
        <w:rPr>
          <w:rFonts w:ascii="Arial" w:hAnsi="Arial" w:cs="Arial"/>
        </w:rPr>
        <w:t>Finally, the experience reinforced the importance of planning and revision. Rewriting significant sections of the report demonstrated that producing high-quality academic work is an iterative process rather than a single drafting exercise. Each revision improved the coherence of the report, reduced repetition and strengthened the integration of theory with practical business analysis. These experiences enhanced not only my academic writing but also my ability to communicate complex strategic issues in a concise and professional manner.</w:t>
      </w:r>
    </w:p>
    <w:p w14:paraId="737E06E1" w14:textId="77777777" w:rsidR="009C0BB3" w:rsidRPr="009C0BB3" w:rsidRDefault="009C0BB3" w:rsidP="009C0BB3">
      <w:pPr>
        <w:spacing w:line="360" w:lineRule="auto"/>
        <w:rPr>
          <w:rFonts w:ascii="Arial" w:hAnsi="Arial" w:cs="Arial"/>
          <w:b/>
          <w:bCs/>
        </w:rPr>
      </w:pPr>
      <w:r w:rsidRPr="009C0BB3">
        <w:rPr>
          <w:rFonts w:ascii="Arial" w:hAnsi="Arial" w:cs="Arial"/>
          <w:b/>
          <w:bCs/>
        </w:rPr>
        <w:t>2.6 Conclusion</w:t>
      </w:r>
    </w:p>
    <w:p w14:paraId="18980FA2" w14:textId="1F698B56" w:rsidR="009C0BB3" w:rsidRPr="009C0BB3" w:rsidRDefault="009C0BB3" w:rsidP="009C0BB3">
      <w:pPr>
        <w:spacing w:line="360" w:lineRule="auto"/>
        <w:rPr>
          <w:rFonts w:ascii="Arial" w:hAnsi="Arial" w:cs="Arial"/>
        </w:rPr>
      </w:pPr>
      <w:r w:rsidRPr="009C0BB3">
        <w:rPr>
          <w:rFonts w:ascii="Arial" w:hAnsi="Arial" w:cs="Arial"/>
        </w:rPr>
        <w:t>Overall, preparing this assignment represented a significant learning experience that enhanced my academic research, analytical thinking and report-writing skills. Although the initial stages of the assignment were characterised by descriptive writing and ineffective time management, the process of continuous revision enabled me to develop a more critical and evidence-based approach. The assignment also increased my confidence in applying international marketing theories to practical business contexts and reinforced the importance of critical evaluation in postgraduate study.</w:t>
      </w:r>
    </w:p>
    <w:p w14:paraId="1C9C7FFD" w14:textId="77777777" w:rsidR="009C0BB3" w:rsidRPr="009C0BB3" w:rsidRDefault="009C0BB3" w:rsidP="009C0BB3">
      <w:pPr>
        <w:spacing w:line="360" w:lineRule="auto"/>
        <w:rPr>
          <w:rFonts w:ascii="Arial" w:hAnsi="Arial" w:cs="Arial"/>
          <w:b/>
          <w:bCs/>
        </w:rPr>
      </w:pPr>
      <w:r w:rsidRPr="009C0BB3">
        <w:rPr>
          <w:rFonts w:ascii="Arial" w:hAnsi="Arial" w:cs="Arial"/>
          <w:b/>
          <w:bCs/>
        </w:rPr>
        <w:t>2.7 Action Plan</w:t>
      </w:r>
    </w:p>
    <w:p w14:paraId="3AE6C0FC" w14:textId="77777777" w:rsidR="009C0BB3" w:rsidRDefault="009C0BB3" w:rsidP="009C0BB3">
      <w:pPr>
        <w:spacing w:line="360" w:lineRule="auto"/>
        <w:rPr>
          <w:rFonts w:ascii="Arial" w:hAnsi="Arial" w:cs="Arial"/>
        </w:rPr>
      </w:pPr>
      <w:r w:rsidRPr="009C0BB3">
        <w:rPr>
          <w:rFonts w:ascii="Arial" w:hAnsi="Arial" w:cs="Arial"/>
        </w:rPr>
        <w:t>This experience has identified several areas for future development. First, I will begin future assignments by developing a detailed structure linked directly to the marking criteria before undertaking extensive research. This should reduce unnecessary information gathering and improve the overall coherence of my work. Second, I will engage with peer-reviewed literature at an earlier stage to ensure that theoretical arguments remain central throughout the writing process. Finally, I intend to continue developing my critical writing skills by seeking regular feedback, reflecting on academic comments and allocating additional time for revision. By implementing these actions, I expect to produce more focused, analytical and academically rigorous work in future postgraduate assessments.</w:t>
      </w:r>
    </w:p>
    <w:p w14:paraId="57B03A0E" w14:textId="77777777" w:rsidR="009C0BB3" w:rsidRDefault="009C0BB3" w:rsidP="009C0BB3">
      <w:pPr>
        <w:spacing w:line="360" w:lineRule="auto"/>
        <w:rPr>
          <w:rFonts w:ascii="Arial" w:hAnsi="Arial" w:cs="Arial"/>
        </w:rPr>
      </w:pPr>
    </w:p>
    <w:p w14:paraId="1556FB46" w14:textId="77777777" w:rsidR="006F1EE4" w:rsidRPr="006F1EE4" w:rsidRDefault="006F1EE4" w:rsidP="006F1EE4">
      <w:pPr>
        <w:pStyle w:val="Heading1"/>
        <w:rPr>
          <w:rFonts w:ascii="Arial" w:hAnsi="Arial" w:cs="Arial"/>
          <w:sz w:val="24"/>
          <w:szCs w:val="24"/>
        </w:rPr>
      </w:pPr>
      <w:bookmarkStart w:id="9" w:name="_Toc236641019"/>
      <w:r w:rsidRPr="006F1EE4">
        <w:rPr>
          <w:rFonts w:ascii="Arial" w:hAnsi="Arial" w:cs="Arial"/>
          <w:sz w:val="24"/>
          <w:szCs w:val="24"/>
        </w:rPr>
        <w:lastRenderedPageBreak/>
        <w:t>References</w:t>
      </w:r>
      <w:bookmarkEnd w:id="9"/>
    </w:p>
    <w:p w14:paraId="7AE5B8C9" w14:textId="77777777" w:rsidR="00BB189C" w:rsidRPr="00BB189C" w:rsidRDefault="00BB189C" w:rsidP="00BB189C">
      <w:pPr>
        <w:spacing w:line="360" w:lineRule="auto"/>
        <w:rPr>
          <w:rFonts w:ascii="Arial" w:hAnsi="Arial" w:cs="Arial"/>
        </w:rPr>
      </w:pPr>
      <w:r w:rsidRPr="00BB189C">
        <w:rPr>
          <w:rFonts w:ascii="Arial" w:hAnsi="Arial" w:cs="Arial"/>
        </w:rPr>
        <w:t xml:space="preserve">Bartlett, C.A. and Ghoshal, S. (1989) </w:t>
      </w:r>
      <w:r w:rsidRPr="00BB189C">
        <w:rPr>
          <w:rFonts w:ascii="Arial" w:hAnsi="Arial" w:cs="Arial"/>
          <w:i/>
          <w:iCs/>
        </w:rPr>
        <w:t>Managing Across Borders: The Transnational Solution</w:t>
      </w:r>
      <w:r w:rsidRPr="00BB189C">
        <w:rPr>
          <w:rFonts w:ascii="Arial" w:hAnsi="Arial" w:cs="Arial"/>
        </w:rPr>
        <w:t>. Boston, MA: Harvard Business School Press.</w:t>
      </w:r>
    </w:p>
    <w:p w14:paraId="59EEF845" w14:textId="77777777" w:rsidR="00BB189C" w:rsidRPr="00BB189C" w:rsidRDefault="00BB189C" w:rsidP="00BB189C">
      <w:pPr>
        <w:spacing w:line="360" w:lineRule="auto"/>
        <w:rPr>
          <w:rFonts w:ascii="Arial" w:hAnsi="Arial" w:cs="Arial"/>
        </w:rPr>
      </w:pPr>
      <w:r w:rsidRPr="00BB189C">
        <w:rPr>
          <w:rFonts w:ascii="Arial" w:hAnsi="Arial" w:cs="Arial"/>
        </w:rPr>
        <w:t xml:space="preserve">Bearden, W.O., Money, R.B. and Nevins, J.L. (2006) ‘A measure of long-term orientation: Development and validation’, </w:t>
      </w:r>
      <w:r w:rsidRPr="00BB189C">
        <w:rPr>
          <w:rFonts w:ascii="Arial" w:hAnsi="Arial" w:cs="Arial"/>
          <w:i/>
          <w:iCs/>
        </w:rPr>
        <w:t>Journal of the Academy of Marketing Science</w:t>
      </w:r>
      <w:r w:rsidRPr="00BB189C">
        <w:rPr>
          <w:rFonts w:ascii="Arial" w:hAnsi="Arial" w:cs="Arial"/>
        </w:rPr>
        <w:t>, 34(3), pp. 456–467.</w:t>
      </w:r>
    </w:p>
    <w:p w14:paraId="3FB755A5" w14:textId="77777777" w:rsidR="00BB189C" w:rsidRPr="00BB189C" w:rsidRDefault="00BB189C" w:rsidP="00BB189C">
      <w:pPr>
        <w:spacing w:line="360" w:lineRule="auto"/>
        <w:rPr>
          <w:rFonts w:ascii="Arial" w:hAnsi="Arial" w:cs="Arial"/>
        </w:rPr>
      </w:pPr>
      <w:r w:rsidRPr="00BB189C">
        <w:rPr>
          <w:rFonts w:ascii="Arial" w:hAnsi="Arial" w:cs="Arial"/>
        </w:rPr>
        <w:t xml:space="preserve">Booms, B.H. and Bitner, M.J. (1981) ‘Marketing strategies and organisation structures for service firms’, in Donnelly, J.H. and George, W.R. (eds.) </w:t>
      </w:r>
      <w:r w:rsidRPr="00BB189C">
        <w:rPr>
          <w:rFonts w:ascii="Arial" w:hAnsi="Arial" w:cs="Arial"/>
          <w:i/>
          <w:iCs/>
        </w:rPr>
        <w:t>Marketing of Services</w:t>
      </w:r>
      <w:r w:rsidRPr="00BB189C">
        <w:rPr>
          <w:rFonts w:ascii="Arial" w:hAnsi="Arial" w:cs="Arial"/>
        </w:rPr>
        <w:t>. Chicago: American Marketing Association, pp. 47–51.</w:t>
      </w:r>
    </w:p>
    <w:p w14:paraId="775D67F7" w14:textId="77777777" w:rsidR="00BB189C" w:rsidRPr="00BB189C" w:rsidRDefault="00BB189C" w:rsidP="00BB189C">
      <w:pPr>
        <w:spacing w:line="360" w:lineRule="auto"/>
        <w:rPr>
          <w:rFonts w:ascii="Arial" w:hAnsi="Arial" w:cs="Arial"/>
        </w:rPr>
      </w:pPr>
      <w:r w:rsidRPr="00BB189C">
        <w:rPr>
          <w:rFonts w:ascii="Arial" w:hAnsi="Arial" w:cs="Arial"/>
        </w:rPr>
        <w:t xml:space="preserve">Crane, A. and Matten, D. (2023) </w:t>
      </w:r>
      <w:r w:rsidRPr="00BB189C">
        <w:rPr>
          <w:rFonts w:ascii="Arial" w:hAnsi="Arial" w:cs="Arial"/>
          <w:i/>
          <w:iCs/>
        </w:rPr>
        <w:t>Business Ethics: Managing Corporate Citizenship and Sustainability in the Age of Globalization</w:t>
      </w:r>
      <w:r w:rsidRPr="00BB189C">
        <w:rPr>
          <w:rFonts w:ascii="Arial" w:hAnsi="Arial" w:cs="Arial"/>
        </w:rPr>
        <w:t>. 6th edn. Oxford: Oxford University Press.</w:t>
      </w:r>
    </w:p>
    <w:p w14:paraId="556A6471" w14:textId="77777777" w:rsidR="00BB189C" w:rsidRPr="00BB189C" w:rsidRDefault="00BB189C" w:rsidP="00BB189C">
      <w:pPr>
        <w:spacing w:line="360" w:lineRule="auto"/>
        <w:rPr>
          <w:rFonts w:ascii="Arial" w:hAnsi="Arial" w:cs="Arial"/>
        </w:rPr>
      </w:pPr>
      <w:r w:rsidRPr="00BB189C">
        <w:rPr>
          <w:rFonts w:ascii="Arial" w:hAnsi="Arial" w:cs="Arial"/>
        </w:rPr>
        <w:t xml:space="preserve">Delmas, M.A. and Burbano, V.C. (2011) ‘The drivers of greenwashing’, </w:t>
      </w:r>
      <w:r w:rsidRPr="00BB189C">
        <w:rPr>
          <w:rFonts w:ascii="Arial" w:hAnsi="Arial" w:cs="Arial"/>
          <w:i/>
          <w:iCs/>
        </w:rPr>
        <w:t>California Management Review</w:t>
      </w:r>
      <w:r w:rsidRPr="00BB189C">
        <w:rPr>
          <w:rFonts w:ascii="Arial" w:hAnsi="Arial" w:cs="Arial"/>
        </w:rPr>
        <w:t>, 54(1), pp. 64–87.</w:t>
      </w:r>
    </w:p>
    <w:p w14:paraId="6D9C2AAD" w14:textId="77777777" w:rsidR="00BB189C" w:rsidRPr="00BB189C" w:rsidRDefault="00BB189C" w:rsidP="00BB189C">
      <w:pPr>
        <w:spacing w:line="360" w:lineRule="auto"/>
        <w:rPr>
          <w:rFonts w:ascii="Arial" w:hAnsi="Arial" w:cs="Arial"/>
        </w:rPr>
      </w:pPr>
      <w:r w:rsidRPr="00BB189C">
        <w:rPr>
          <w:rFonts w:ascii="Arial" w:hAnsi="Arial" w:cs="Arial"/>
        </w:rPr>
        <w:t xml:space="preserve">De Mooij, M. (2021) </w:t>
      </w:r>
      <w:r w:rsidRPr="00BB189C">
        <w:rPr>
          <w:rFonts w:ascii="Arial" w:hAnsi="Arial" w:cs="Arial"/>
          <w:i/>
          <w:iCs/>
        </w:rPr>
        <w:t>Consumer Behavior and Culture: Consequences for Global Marketing and Advertising</w:t>
      </w:r>
      <w:r w:rsidRPr="00BB189C">
        <w:rPr>
          <w:rFonts w:ascii="Arial" w:hAnsi="Arial" w:cs="Arial"/>
        </w:rPr>
        <w:t>. 3rd edn. Thousand Oaks, CA: Sage.</w:t>
      </w:r>
    </w:p>
    <w:p w14:paraId="1B1E10B5" w14:textId="77777777" w:rsidR="00BB189C" w:rsidRPr="00BB189C" w:rsidRDefault="00BB189C" w:rsidP="00BB189C">
      <w:pPr>
        <w:spacing w:line="360" w:lineRule="auto"/>
        <w:rPr>
          <w:rFonts w:ascii="Arial" w:hAnsi="Arial" w:cs="Arial"/>
        </w:rPr>
      </w:pPr>
      <w:r w:rsidRPr="00BB189C">
        <w:rPr>
          <w:rFonts w:ascii="Arial" w:hAnsi="Arial" w:cs="Arial"/>
        </w:rPr>
        <w:t xml:space="preserve">Dunning, J.H. (1988) ‘The eclectic paradigm of international production: A restatement and some possible extensions’, </w:t>
      </w:r>
      <w:r w:rsidRPr="00BB189C">
        <w:rPr>
          <w:rFonts w:ascii="Arial" w:hAnsi="Arial" w:cs="Arial"/>
          <w:i/>
          <w:iCs/>
        </w:rPr>
        <w:t>Journal of International Business Studies</w:t>
      </w:r>
      <w:r w:rsidRPr="00BB189C">
        <w:rPr>
          <w:rFonts w:ascii="Arial" w:hAnsi="Arial" w:cs="Arial"/>
        </w:rPr>
        <w:t>, 19(1), pp. 1–31.</w:t>
      </w:r>
    </w:p>
    <w:p w14:paraId="6B73ABEB" w14:textId="77777777" w:rsidR="00BB189C" w:rsidRPr="00BB189C" w:rsidRDefault="00BB189C" w:rsidP="00BB189C">
      <w:pPr>
        <w:spacing w:line="360" w:lineRule="auto"/>
        <w:rPr>
          <w:rFonts w:ascii="Arial" w:hAnsi="Arial" w:cs="Arial"/>
        </w:rPr>
      </w:pPr>
      <w:r w:rsidRPr="00BB189C">
        <w:rPr>
          <w:rFonts w:ascii="Arial" w:hAnsi="Arial" w:cs="Arial"/>
        </w:rPr>
        <w:t xml:space="preserve">Euromonitor International (2024a) </w:t>
      </w:r>
      <w:r w:rsidRPr="00BB189C">
        <w:rPr>
          <w:rFonts w:ascii="Arial" w:hAnsi="Arial" w:cs="Arial"/>
          <w:i/>
          <w:iCs/>
        </w:rPr>
        <w:t>Chocolate Confectionery in India</w:t>
      </w:r>
      <w:r w:rsidRPr="00BB189C">
        <w:rPr>
          <w:rFonts w:ascii="Arial" w:hAnsi="Arial" w:cs="Arial"/>
        </w:rPr>
        <w:t>. London: Euromonitor International.</w:t>
      </w:r>
    </w:p>
    <w:p w14:paraId="4F97511A" w14:textId="77777777" w:rsidR="00BB189C" w:rsidRPr="00BB189C" w:rsidRDefault="00BB189C" w:rsidP="00BB189C">
      <w:pPr>
        <w:spacing w:line="360" w:lineRule="auto"/>
        <w:rPr>
          <w:rFonts w:ascii="Arial" w:hAnsi="Arial" w:cs="Arial"/>
        </w:rPr>
      </w:pPr>
      <w:r w:rsidRPr="00BB189C">
        <w:rPr>
          <w:rFonts w:ascii="Arial" w:hAnsi="Arial" w:cs="Arial"/>
        </w:rPr>
        <w:t xml:space="preserve">Euromonitor International (2024b) </w:t>
      </w:r>
      <w:r w:rsidRPr="00BB189C">
        <w:rPr>
          <w:rFonts w:ascii="Arial" w:hAnsi="Arial" w:cs="Arial"/>
          <w:i/>
          <w:iCs/>
        </w:rPr>
        <w:t>Chocolate Confectionery in the United Kingdom</w:t>
      </w:r>
      <w:r w:rsidRPr="00BB189C">
        <w:rPr>
          <w:rFonts w:ascii="Arial" w:hAnsi="Arial" w:cs="Arial"/>
        </w:rPr>
        <w:t>. London: Euromonitor International.</w:t>
      </w:r>
    </w:p>
    <w:p w14:paraId="7B0F40A9" w14:textId="77777777" w:rsidR="00BB189C" w:rsidRPr="00BB189C" w:rsidRDefault="00BB189C" w:rsidP="00BB189C">
      <w:pPr>
        <w:spacing w:line="360" w:lineRule="auto"/>
        <w:rPr>
          <w:rFonts w:ascii="Arial" w:hAnsi="Arial" w:cs="Arial"/>
        </w:rPr>
      </w:pPr>
      <w:r w:rsidRPr="00BB189C">
        <w:rPr>
          <w:rFonts w:ascii="Arial" w:hAnsi="Arial" w:cs="Arial"/>
        </w:rPr>
        <w:t xml:space="preserve">Fountain, A.C. and Huetz-Adams, F. (2020) </w:t>
      </w:r>
      <w:r w:rsidRPr="00BB189C">
        <w:rPr>
          <w:rFonts w:ascii="Arial" w:hAnsi="Arial" w:cs="Arial"/>
          <w:i/>
          <w:iCs/>
        </w:rPr>
        <w:t>Cocoa Barometer 2020</w:t>
      </w:r>
      <w:r w:rsidRPr="00BB189C">
        <w:rPr>
          <w:rFonts w:ascii="Arial" w:hAnsi="Arial" w:cs="Arial"/>
        </w:rPr>
        <w:t>. Amsterdam: Voice Network.</w:t>
      </w:r>
    </w:p>
    <w:p w14:paraId="13309B05" w14:textId="77777777" w:rsidR="00BB189C" w:rsidRDefault="00BB189C" w:rsidP="00BB189C">
      <w:pPr>
        <w:spacing w:line="360" w:lineRule="auto"/>
        <w:rPr>
          <w:rFonts w:ascii="Arial" w:hAnsi="Arial" w:cs="Arial"/>
        </w:rPr>
      </w:pPr>
      <w:r w:rsidRPr="00BB189C">
        <w:rPr>
          <w:rFonts w:ascii="Arial" w:hAnsi="Arial" w:cs="Arial"/>
        </w:rPr>
        <w:t xml:space="preserve">Gibbs, G. (1988) </w:t>
      </w:r>
      <w:r w:rsidRPr="00BB189C">
        <w:rPr>
          <w:rFonts w:ascii="Arial" w:hAnsi="Arial" w:cs="Arial"/>
          <w:i/>
          <w:iCs/>
        </w:rPr>
        <w:t>Learning by Doing: A Guide to Teaching and Learning Methods</w:t>
      </w:r>
      <w:r w:rsidRPr="00BB189C">
        <w:rPr>
          <w:rFonts w:ascii="Arial" w:hAnsi="Arial" w:cs="Arial"/>
        </w:rPr>
        <w:t>. Oxford: Oxford Polytechnic.</w:t>
      </w:r>
    </w:p>
    <w:p w14:paraId="151D5278" w14:textId="7791E1B9" w:rsidR="004260E1" w:rsidRPr="00BB189C" w:rsidRDefault="004260E1" w:rsidP="00BB189C">
      <w:pPr>
        <w:spacing w:line="360" w:lineRule="auto"/>
        <w:rPr>
          <w:rFonts w:ascii="Arial" w:hAnsi="Arial" w:cs="Arial"/>
        </w:rPr>
      </w:pPr>
      <w:r w:rsidRPr="004260E1">
        <w:rPr>
          <w:rFonts w:ascii="Arial" w:hAnsi="Arial" w:cs="Arial"/>
        </w:rPr>
        <w:t xml:space="preserve">Hofstede Insights (2023) </w:t>
      </w:r>
      <w:r w:rsidRPr="004260E1">
        <w:rPr>
          <w:rFonts w:ascii="Arial" w:hAnsi="Arial" w:cs="Arial"/>
          <w:i/>
          <w:iCs/>
        </w:rPr>
        <w:t>Country Comparison: United Kingdom and India</w:t>
      </w:r>
      <w:r w:rsidRPr="004260E1">
        <w:rPr>
          <w:rFonts w:ascii="Arial" w:hAnsi="Arial" w:cs="Arial"/>
        </w:rPr>
        <w:t xml:space="preserve">. Available at: </w:t>
      </w:r>
      <w:hyperlink r:id="rId16" w:tgtFrame="_new" w:history="1">
        <w:r w:rsidRPr="004260E1">
          <w:rPr>
            <w:rStyle w:val="Hyperlink"/>
            <w:rFonts w:ascii="Arial" w:hAnsi="Arial" w:cs="Arial"/>
          </w:rPr>
          <w:t>https://www.hofstede-insights.com/country-comparison/</w:t>
        </w:r>
      </w:hyperlink>
      <w:r w:rsidRPr="004260E1">
        <w:rPr>
          <w:rFonts w:ascii="Arial" w:hAnsi="Arial" w:cs="Arial"/>
        </w:rPr>
        <w:t xml:space="preserve"> (Accessed: </w:t>
      </w:r>
      <w:r w:rsidR="00A76CD8">
        <w:rPr>
          <w:rFonts w:ascii="Arial" w:hAnsi="Arial" w:cs="Arial"/>
        </w:rPr>
        <w:t>19 July</w:t>
      </w:r>
      <w:r w:rsidRPr="004260E1">
        <w:rPr>
          <w:rFonts w:ascii="Arial" w:hAnsi="Arial" w:cs="Arial"/>
        </w:rPr>
        <w:t xml:space="preserve"> 2026).</w:t>
      </w:r>
    </w:p>
    <w:p w14:paraId="4AB7B99A" w14:textId="77777777" w:rsidR="00BB189C" w:rsidRPr="00BB189C" w:rsidRDefault="00BB189C" w:rsidP="00BB189C">
      <w:pPr>
        <w:spacing w:line="360" w:lineRule="auto"/>
        <w:rPr>
          <w:rFonts w:ascii="Arial" w:hAnsi="Arial" w:cs="Arial"/>
        </w:rPr>
      </w:pPr>
      <w:r w:rsidRPr="00BB189C">
        <w:rPr>
          <w:rFonts w:ascii="Arial" w:hAnsi="Arial" w:cs="Arial"/>
        </w:rPr>
        <w:t xml:space="preserve">Jain, P. (2020) ‘Indian culture and its reflection in advertising: A perceptual study of advertising practitioners’, </w:t>
      </w:r>
      <w:r w:rsidRPr="00BB189C">
        <w:rPr>
          <w:rFonts w:ascii="Arial" w:hAnsi="Arial" w:cs="Arial"/>
          <w:i/>
          <w:iCs/>
        </w:rPr>
        <w:t>Indian Journal of Marketing</w:t>
      </w:r>
      <w:r w:rsidRPr="00BB189C">
        <w:rPr>
          <w:rFonts w:ascii="Arial" w:hAnsi="Arial" w:cs="Arial"/>
        </w:rPr>
        <w:t>, 50(4), pp. 25–38.</w:t>
      </w:r>
    </w:p>
    <w:p w14:paraId="055817EC" w14:textId="77777777" w:rsidR="00BB189C" w:rsidRPr="00BB189C" w:rsidRDefault="00BB189C" w:rsidP="00BB189C">
      <w:pPr>
        <w:spacing w:line="360" w:lineRule="auto"/>
        <w:rPr>
          <w:rFonts w:ascii="Arial" w:hAnsi="Arial" w:cs="Arial"/>
        </w:rPr>
      </w:pPr>
      <w:r w:rsidRPr="00BB189C">
        <w:rPr>
          <w:rFonts w:ascii="Arial" w:hAnsi="Arial" w:cs="Arial"/>
        </w:rPr>
        <w:t xml:space="preserve">Johanson, J. and Vahlne, J.-E. (2009) ‘The Uppsala internationalization process model revisited: From liability of foreignness to liability of outsidership’, </w:t>
      </w:r>
      <w:r w:rsidRPr="00BB189C">
        <w:rPr>
          <w:rFonts w:ascii="Arial" w:hAnsi="Arial" w:cs="Arial"/>
          <w:i/>
          <w:iCs/>
        </w:rPr>
        <w:t>Journal of International Business Studies</w:t>
      </w:r>
      <w:r w:rsidRPr="00BB189C">
        <w:rPr>
          <w:rFonts w:ascii="Arial" w:hAnsi="Arial" w:cs="Arial"/>
        </w:rPr>
        <w:t>, 40(9), pp. 1411–1431.</w:t>
      </w:r>
    </w:p>
    <w:p w14:paraId="1F9A7D72" w14:textId="77777777" w:rsidR="00BB189C" w:rsidRPr="00BB189C" w:rsidRDefault="00BB189C" w:rsidP="00BB189C">
      <w:pPr>
        <w:spacing w:line="360" w:lineRule="auto"/>
        <w:rPr>
          <w:rFonts w:ascii="Arial" w:hAnsi="Arial" w:cs="Arial"/>
        </w:rPr>
      </w:pPr>
      <w:r w:rsidRPr="00BB189C">
        <w:rPr>
          <w:rFonts w:ascii="Arial" w:hAnsi="Arial" w:cs="Arial"/>
        </w:rPr>
        <w:t xml:space="preserve">Johnson, G., Scholes, K., Whittington, R. and Angwin, D. (2020) </w:t>
      </w:r>
      <w:r w:rsidRPr="00BB189C">
        <w:rPr>
          <w:rFonts w:ascii="Arial" w:hAnsi="Arial" w:cs="Arial"/>
          <w:i/>
          <w:iCs/>
        </w:rPr>
        <w:t>Exploring Strategy</w:t>
      </w:r>
      <w:r w:rsidRPr="00BB189C">
        <w:rPr>
          <w:rFonts w:ascii="Arial" w:hAnsi="Arial" w:cs="Arial"/>
        </w:rPr>
        <w:t>. 12th edn. Harlow: Pearson.</w:t>
      </w:r>
    </w:p>
    <w:p w14:paraId="04CB478C" w14:textId="77777777" w:rsidR="00BB189C" w:rsidRPr="00BB189C" w:rsidRDefault="00BB189C" w:rsidP="00BB189C">
      <w:pPr>
        <w:spacing w:line="360" w:lineRule="auto"/>
        <w:rPr>
          <w:rFonts w:ascii="Arial" w:hAnsi="Arial" w:cs="Arial"/>
        </w:rPr>
      </w:pPr>
      <w:r w:rsidRPr="00BB189C">
        <w:rPr>
          <w:rFonts w:ascii="Arial" w:hAnsi="Arial" w:cs="Arial"/>
        </w:rPr>
        <w:lastRenderedPageBreak/>
        <w:t xml:space="preserve">Keller, K.L. (2013) </w:t>
      </w:r>
      <w:r w:rsidRPr="00BB189C">
        <w:rPr>
          <w:rFonts w:ascii="Arial" w:hAnsi="Arial" w:cs="Arial"/>
          <w:i/>
          <w:iCs/>
        </w:rPr>
        <w:t>Strategic Brand Management: Building, Measuring and Managing Brand Equity</w:t>
      </w:r>
      <w:r w:rsidRPr="00BB189C">
        <w:rPr>
          <w:rFonts w:ascii="Arial" w:hAnsi="Arial" w:cs="Arial"/>
        </w:rPr>
        <w:t>. 4th edn. Harlow: Pearson.</w:t>
      </w:r>
    </w:p>
    <w:p w14:paraId="05848421" w14:textId="77777777" w:rsidR="00BB189C" w:rsidRPr="00BB189C" w:rsidRDefault="00BB189C" w:rsidP="00BB189C">
      <w:pPr>
        <w:spacing w:line="360" w:lineRule="auto"/>
        <w:rPr>
          <w:rFonts w:ascii="Arial" w:hAnsi="Arial" w:cs="Arial"/>
        </w:rPr>
      </w:pPr>
      <w:r w:rsidRPr="00BB189C">
        <w:rPr>
          <w:rFonts w:ascii="Arial" w:hAnsi="Arial" w:cs="Arial"/>
        </w:rPr>
        <w:t xml:space="preserve">Kotler, P., Keller, K.L. and Chernev, A. (2022) </w:t>
      </w:r>
      <w:r w:rsidRPr="00BB189C">
        <w:rPr>
          <w:rFonts w:ascii="Arial" w:hAnsi="Arial" w:cs="Arial"/>
          <w:i/>
          <w:iCs/>
        </w:rPr>
        <w:t>Marketing Management</w:t>
      </w:r>
      <w:r w:rsidRPr="00BB189C">
        <w:rPr>
          <w:rFonts w:ascii="Arial" w:hAnsi="Arial" w:cs="Arial"/>
        </w:rPr>
        <w:t>. 16th Global edn. Harlow: Pearson.</w:t>
      </w:r>
    </w:p>
    <w:p w14:paraId="47CD974A" w14:textId="77777777" w:rsidR="00BB189C" w:rsidRPr="00BB189C" w:rsidRDefault="00BB189C" w:rsidP="00BB189C">
      <w:pPr>
        <w:spacing w:line="360" w:lineRule="auto"/>
        <w:rPr>
          <w:rFonts w:ascii="Arial" w:hAnsi="Arial" w:cs="Arial"/>
        </w:rPr>
      </w:pPr>
      <w:r w:rsidRPr="00BB189C">
        <w:rPr>
          <w:rFonts w:ascii="Arial" w:hAnsi="Arial" w:cs="Arial"/>
        </w:rPr>
        <w:t xml:space="preserve">Levitt, T. (1983) ‘The globalization of markets’, </w:t>
      </w:r>
      <w:r w:rsidRPr="00BB189C">
        <w:rPr>
          <w:rFonts w:ascii="Arial" w:hAnsi="Arial" w:cs="Arial"/>
          <w:i/>
          <w:iCs/>
        </w:rPr>
        <w:t>Harvard Business Review</w:t>
      </w:r>
      <w:r w:rsidRPr="00BB189C">
        <w:rPr>
          <w:rFonts w:ascii="Arial" w:hAnsi="Arial" w:cs="Arial"/>
        </w:rPr>
        <w:t>, 61(3), pp. 92–102.</w:t>
      </w:r>
    </w:p>
    <w:p w14:paraId="3531DFA7" w14:textId="77777777" w:rsidR="00BB189C" w:rsidRPr="00BB189C" w:rsidRDefault="00BB189C" w:rsidP="00BB189C">
      <w:pPr>
        <w:spacing w:line="360" w:lineRule="auto"/>
        <w:rPr>
          <w:rFonts w:ascii="Arial" w:hAnsi="Arial" w:cs="Arial"/>
        </w:rPr>
      </w:pPr>
      <w:r w:rsidRPr="00BB189C">
        <w:rPr>
          <w:rFonts w:ascii="Arial" w:hAnsi="Arial" w:cs="Arial"/>
        </w:rPr>
        <w:t xml:space="preserve">Mintel (2024) </w:t>
      </w:r>
      <w:r w:rsidRPr="00BB189C">
        <w:rPr>
          <w:rFonts w:ascii="Arial" w:hAnsi="Arial" w:cs="Arial"/>
          <w:i/>
          <w:iCs/>
        </w:rPr>
        <w:t>Chocolate Confectionery – UK – Market Report</w:t>
      </w:r>
      <w:r w:rsidRPr="00BB189C">
        <w:rPr>
          <w:rFonts w:ascii="Arial" w:hAnsi="Arial" w:cs="Arial"/>
        </w:rPr>
        <w:t>. London: Mintel Group Ltd.</w:t>
      </w:r>
    </w:p>
    <w:p w14:paraId="555DE77A" w14:textId="77777777" w:rsidR="00BB189C" w:rsidRPr="00BB189C" w:rsidRDefault="00BB189C" w:rsidP="00BB189C">
      <w:pPr>
        <w:spacing w:line="360" w:lineRule="auto"/>
        <w:rPr>
          <w:rFonts w:ascii="Arial" w:hAnsi="Arial" w:cs="Arial"/>
        </w:rPr>
      </w:pPr>
      <w:r w:rsidRPr="00BB189C">
        <w:rPr>
          <w:rFonts w:ascii="Arial" w:hAnsi="Arial" w:cs="Arial"/>
        </w:rPr>
        <w:t xml:space="preserve">Mondelēz International (2024) </w:t>
      </w:r>
      <w:r w:rsidRPr="00BB189C">
        <w:rPr>
          <w:rFonts w:ascii="Arial" w:hAnsi="Arial" w:cs="Arial"/>
          <w:i/>
          <w:iCs/>
        </w:rPr>
        <w:t>Annual Report 2024</w:t>
      </w:r>
      <w:r w:rsidRPr="00BB189C">
        <w:rPr>
          <w:rFonts w:ascii="Arial" w:hAnsi="Arial" w:cs="Arial"/>
        </w:rPr>
        <w:t>. Chicago: Mondelēz International.</w:t>
      </w:r>
    </w:p>
    <w:p w14:paraId="0E861D0C" w14:textId="77777777" w:rsidR="00BB189C" w:rsidRPr="00BB189C" w:rsidRDefault="00BB189C" w:rsidP="00BB189C">
      <w:pPr>
        <w:spacing w:line="360" w:lineRule="auto"/>
        <w:rPr>
          <w:rFonts w:ascii="Arial" w:hAnsi="Arial" w:cs="Arial"/>
        </w:rPr>
      </w:pPr>
      <w:r w:rsidRPr="00BB189C">
        <w:rPr>
          <w:rFonts w:ascii="Arial" w:hAnsi="Arial" w:cs="Arial"/>
        </w:rPr>
        <w:t xml:space="preserve">Neilson, J. (2020) ‘Global value chains and smallholder livelihoods in the cocoa sector’, </w:t>
      </w:r>
      <w:r w:rsidRPr="00BB189C">
        <w:rPr>
          <w:rFonts w:ascii="Arial" w:hAnsi="Arial" w:cs="Arial"/>
          <w:i/>
          <w:iCs/>
        </w:rPr>
        <w:t>Journal of Agrarian Change</w:t>
      </w:r>
      <w:r w:rsidRPr="00BB189C">
        <w:rPr>
          <w:rFonts w:ascii="Arial" w:hAnsi="Arial" w:cs="Arial"/>
        </w:rPr>
        <w:t>, 20(2), pp. 248–267.</w:t>
      </w:r>
    </w:p>
    <w:p w14:paraId="4A151426" w14:textId="77777777" w:rsidR="00BB189C" w:rsidRPr="00BB189C" w:rsidRDefault="00BB189C" w:rsidP="00BB189C">
      <w:pPr>
        <w:spacing w:line="360" w:lineRule="auto"/>
        <w:rPr>
          <w:rFonts w:ascii="Arial" w:hAnsi="Arial" w:cs="Arial"/>
        </w:rPr>
      </w:pPr>
      <w:r w:rsidRPr="00BB189C">
        <w:rPr>
          <w:rFonts w:ascii="Arial" w:hAnsi="Arial" w:cs="Arial"/>
        </w:rPr>
        <w:t xml:space="preserve">Porter, M.E. and Kramer, M.R. (2011) ‘Creating shared value’, </w:t>
      </w:r>
      <w:r w:rsidRPr="00BB189C">
        <w:rPr>
          <w:rFonts w:ascii="Arial" w:hAnsi="Arial" w:cs="Arial"/>
          <w:i/>
          <w:iCs/>
        </w:rPr>
        <w:t>Harvard Business Review</w:t>
      </w:r>
      <w:r w:rsidRPr="00BB189C">
        <w:rPr>
          <w:rFonts w:ascii="Arial" w:hAnsi="Arial" w:cs="Arial"/>
        </w:rPr>
        <w:t>, 89(1–2), pp. 62–77.</w:t>
      </w:r>
    </w:p>
    <w:p w14:paraId="25B2D7E3" w14:textId="77777777" w:rsidR="00BB189C" w:rsidRPr="00BB189C" w:rsidRDefault="00BB189C" w:rsidP="00BB189C">
      <w:pPr>
        <w:spacing w:line="360" w:lineRule="auto"/>
        <w:rPr>
          <w:rFonts w:ascii="Arial" w:hAnsi="Arial" w:cs="Arial"/>
        </w:rPr>
      </w:pPr>
      <w:r w:rsidRPr="00BB189C">
        <w:rPr>
          <w:rFonts w:ascii="Arial" w:hAnsi="Arial" w:cs="Arial"/>
        </w:rPr>
        <w:t xml:space="preserve">Swaminathan, F. and Bansal, I. (2014) ‘Indian culture and its reflection on advertising: A perceptual study of advertising practitioners’, </w:t>
      </w:r>
      <w:r w:rsidRPr="00BB189C">
        <w:rPr>
          <w:rFonts w:ascii="Arial" w:hAnsi="Arial" w:cs="Arial"/>
          <w:i/>
          <w:iCs/>
        </w:rPr>
        <w:t>Indian Journal of Marketing</w:t>
      </w:r>
      <w:r w:rsidRPr="00BB189C">
        <w:rPr>
          <w:rFonts w:ascii="Arial" w:hAnsi="Arial" w:cs="Arial"/>
        </w:rPr>
        <w:t>, 44(12), pp. 7–18.</w:t>
      </w:r>
    </w:p>
    <w:p w14:paraId="5910F063" w14:textId="77777777" w:rsidR="00BB189C" w:rsidRPr="00BB189C" w:rsidRDefault="00BB189C" w:rsidP="00BB189C">
      <w:pPr>
        <w:spacing w:line="360" w:lineRule="auto"/>
        <w:rPr>
          <w:rFonts w:ascii="Arial" w:hAnsi="Arial" w:cs="Arial"/>
        </w:rPr>
      </w:pPr>
      <w:r w:rsidRPr="00BB189C">
        <w:rPr>
          <w:rFonts w:ascii="Arial" w:hAnsi="Arial" w:cs="Arial"/>
        </w:rPr>
        <w:t xml:space="preserve">Verhoef, P.C., Kannan, P.K. and Inman, J.J. (2015) ‘From multi-channel retailing to omni-channel retailing: Introduction to the special issue on multi-channel retailing’, </w:t>
      </w:r>
      <w:r w:rsidRPr="00BB189C">
        <w:rPr>
          <w:rFonts w:ascii="Arial" w:hAnsi="Arial" w:cs="Arial"/>
          <w:i/>
          <w:iCs/>
        </w:rPr>
        <w:t>Journal of Retailing</w:t>
      </w:r>
      <w:r w:rsidRPr="00BB189C">
        <w:rPr>
          <w:rFonts w:ascii="Arial" w:hAnsi="Arial" w:cs="Arial"/>
        </w:rPr>
        <w:t>, 91(2), pp. 174–181.</w:t>
      </w:r>
    </w:p>
    <w:p w14:paraId="79E2E665" w14:textId="77777777" w:rsidR="00BB189C" w:rsidRPr="00BB189C" w:rsidRDefault="00BB189C" w:rsidP="00BB189C">
      <w:pPr>
        <w:spacing w:line="360" w:lineRule="auto"/>
        <w:rPr>
          <w:rFonts w:ascii="Arial" w:hAnsi="Arial" w:cs="Arial"/>
        </w:rPr>
      </w:pPr>
      <w:r w:rsidRPr="00BB189C">
        <w:rPr>
          <w:rFonts w:ascii="Arial" w:hAnsi="Arial" w:cs="Arial"/>
        </w:rPr>
        <w:t xml:space="preserve">Wedel, M. and Kamakura, W.A. (2012) </w:t>
      </w:r>
      <w:r w:rsidRPr="00BB189C">
        <w:rPr>
          <w:rFonts w:ascii="Arial" w:hAnsi="Arial" w:cs="Arial"/>
          <w:i/>
          <w:iCs/>
        </w:rPr>
        <w:t>Market Segmentation: Conceptual and Methodological Foundations</w:t>
      </w:r>
      <w:r w:rsidRPr="00BB189C">
        <w:rPr>
          <w:rFonts w:ascii="Arial" w:hAnsi="Arial" w:cs="Arial"/>
        </w:rPr>
        <w:t>. 2nd edn. New York: Springer.</w:t>
      </w:r>
    </w:p>
    <w:p w14:paraId="10ADA821" w14:textId="77777777" w:rsidR="00BB189C" w:rsidRPr="00BB189C" w:rsidRDefault="00BB189C" w:rsidP="00BB189C">
      <w:pPr>
        <w:spacing w:line="360" w:lineRule="auto"/>
        <w:rPr>
          <w:rFonts w:ascii="Arial" w:hAnsi="Arial" w:cs="Arial"/>
        </w:rPr>
      </w:pPr>
      <w:r w:rsidRPr="00BB189C">
        <w:rPr>
          <w:rFonts w:ascii="Arial" w:hAnsi="Arial" w:cs="Arial"/>
        </w:rPr>
        <w:t xml:space="preserve">Wedel, M. and Kannan, P.K. (2016) ‘Marketing analytics for data-rich environments’, </w:t>
      </w:r>
      <w:r w:rsidRPr="00BB189C">
        <w:rPr>
          <w:rFonts w:ascii="Arial" w:hAnsi="Arial" w:cs="Arial"/>
          <w:i/>
          <w:iCs/>
        </w:rPr>
        <w:t>Journal of Marketing</w:t>
      </w:r>
      <w:r w:rsidRPr="00BB189C">
        <w:rPr>
          <w:rFonts w:ascii="Arial" w:hAnsi="Arial" w:cs="Arial"/>
        </w:rPr>
        <w:t>, 80(6), pp. 97–121.</w:t>
      </w:r>
    </w:p>
    <w:p w14:paraId="1B062891" w14:textId="77777777" w:rsidR="009C0BB3" w:rsidRPr="009C0BB3" w:rsidRDefault="009C0BB3" w:rsidP="00BB189C">
      <w:pPr>
        <w:spacing w:line="360" w:lineRule="auto"/>
        <w:rPr>
          <w:rFonts w:ascii="Arial" w:hAnsi="Arial" w:cs="Arial"/>
        </w:rPr>
      </w:pPr>
    </w:p>
    <w:sectPr w:rsidR="009C0BB3" w:rsidRPr="009C0BB3" w:rsidSect="009F663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A6B3A8" w14:textId="77777777" w:rsidR="009F3B0E" w:rsidRDefault="009F3B0E" w:rsidP="007E472C">
      <w:pPr>
        <w:spacing w:after="0" w:line="240" w:lineRule="auto"/>
      </w:pPr>
      <w:r>
        <w:separator/>
      </w:r>
    </w:p>
  </w:endnote>
  <w:endnote w:type="continuationSeparator" w:id="0">
    <w:p w14:paraId="6CB2A3C7" w14:textId="77777777" w:rsidR="009F3B0E" w:rsidRDefault="009F3B0E" w:rsidP="007E47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A0D8C3" w14:textId="77777777" w:rsidR="009F3B0E" w:rsidRDefault="009F3B0E" w:rsidP="007E472C">
      <w:pPr>
        <w:spacing w:after="0" w:line="240" w:lineRule="auto"/>
      </w:pPr>
      <w:r>
        <w:separator/>
      </w:r>
    </w:p>
  </w:footnote>
  <w:footnote w:type="continuationSeparator" w:id="0">
    <w:p w14:paraId="02E57AFD" w14:textId="77777777" w:rsidR="009F3B0E" w:rsidRDefault="009F3B0E" w:rsidP="007E47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9814F3"/>
    <w:multiLevelType w:val="hybridMultilevel"/>
    <w:tmpl w:val="CAA6CCF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8268192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635"/>
    <w:rsid w:val="000A675E"/>
    <w:rsid w:val="000B3C7F"/>
    <w:rsid w:val="001171BF"/>
    <w:rsid w:val="00292260"/>
    <w:rsid w:val="002F4D26"/>
    <w:rsid w:val="003A4CD0"/>
    <w:rsid w:val="003B5AE1"/>
    <w:rsid w:val="003D0536"/>
    <w:rsid w:val="00413B3D"/>
    <w:rsid w:val="004260E1"/>
    <w:rsid w:val="00492029"/>
    <w:rsid w:val="00501F16"/>
    <w:rsid w:val="005456E1"/>
    <w:rsid w:val="00556D81"/>
    <w:rsid w:val="00560E3C"/>
    <w:rsid w:val="005B0D8A"/>
    <w:rsid w:val="00640920"/>
    <w:rsid w:val="006621BC"/>
    <w:rsid w:val="006F1EE4"/>
    <w:rsid w:val="00712892"/>
    <w:rsid w:val="00715BA9"/>
    <w:rsid w:val="00767283"/>
    <w:rsid w:val="007E472C"/>
    <w:rsid w:val="00812959"/>
    <w:rsid w:val="00847B17"/>
    <w:rsid w:val="008553BB"/>
    <w:rsid w:val="008E6E22"/>
    <w:rsid w:val="00952F27"/>
    <w:rsid w:val="009C0BB3"/>
    <w:rsid w:val="009F3B0E"/>
    <w:rsid w:val="009F6635"/>
    <w:rsid w:val="00A11EC6"/>
    <w:rsid w:val="00A76CD8"/>
    <w:rsid w:val="00B13CDC"/>
    <w:rsid w:val="00B405F7"/>
    <w:rsid w:val="00BB189C"/>
    <w:rsid w:val="00C117D6"/>
    <w:rsid w:val="00C5112B"/>
    <w:rsid w:val="00C604CE"/>
    <w:rsid w:val="00D2619B"/>
    <w:rsid w:val="00D40EF5"/>
    <w:rsid w:val="00E04A48"/>
    <w:rsid w:val="00E75919"/>
    <w:rsid w:val="00F7387C"/>
    <w:rsid w:val="00FF39E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E34796"/>
  <w15:chartTrackingRefBased/>
  <w15:docId w15:val="{8B6CADF3-2043-46C0-845C-D36C0790D9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663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F663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F663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F663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F663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F66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66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66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66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663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F663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F663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F663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F663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F66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66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66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6635"/>
    <w:rPr>
      <w:rFonts w:eastAsiaTheme="majorEastAsia" w:cstheme="majorBidi"/>
      <w:color w:val="272727" w:themeColor="text1" w:themeTint="D8"/>
    </w:rPr>
  </w:style>
  <w:style w:type="paragraph" w:styleId="Title">
    <w:name w:val="Title"/>
    <w:basedOn w:val="Normal"/>
    <w:next w:val="Normal"/>
    <w:link w:val="TitleChar"/>
    <w:uiPriority w:val="10"/>
    <w:qFormat/>
    <w:rsid w:val="009F66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66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66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66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6635"/>
    <w:pPr>
      <w:spacing w:before="160"/>
      <w:jc w:val="center"/>
    </w:pPr>
    <w:rPr>
      <w:i/>
      <w:iCs/>
      <w:color w:val="404040" w:themeColor="text1" w:themeTint="BF"/>
    </w:rPr>
  </w:style>
  <w:style w:type="character" w:customStyle="1" w:styleId="QuoteChar">
    <w:name w:val="Quote Char"/>
    <w:basedOn w:val="DefaultParagraphFont"/>
    <w:link w:val="Quote"/>
    <w:uiPriority w:val="29"/>
    <w:rsid w:val="009F6635"/>
    <w:rPr>
      <w:i/>
      <w:iCs/>
      <w:color w:val="404040" w:themeColor="text1" w:themeTint="BF"/>
    </w:rPr>
  </w:style>
  <w:style w:type="paragraph" w:styleId="ListParagraph">
    <w:name w:val="List Paragraph"/>
    <w:basedOn w:val="Normal"/>
    <w:uiPriority w:val="34"/>
    <w:qFormat/>
    <w:rsid w:val="009F6635"/>
    <w:pPr>
      <w:ind w:left="720"/>
      <w:contextualSpacing/>
    </w:pPr>
  </w:style>
  <w:style w:type="character" w:styleId="IntenseEmphasis">
    <w:name w:val="Intense Emphasis"/>
    <w:basedOn w:val="DefaultParagraphFont"/>
    <w:uiPriority w:val="21"/>
    <w:qFormat/>
    <w:rsid w:val="009F6635"/>
    <w:rPr>
      <w:i/>
      <w:iCs/>
      <w:color w:val="2F5496" w:themeColor="accent1" w:themeShade="BF"/>
    </w:rPr>
  </w:style>
  <w:style w:type="paragraph" w:styleId="IntenseQuote">
    <w:name w:val="Intense Quote"/>
    <w:basedOn w:val="Normal"/>
    <w:next w:val="Normal"/>
    <w:link w:val="IntenseQuoteChar"/>
    <w:uiPriority w:val="30"/>
    <w:qFormat/>
    <w:rsid w:val="009F663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F6635"/>
    <w:rPr>
      <w:i/>
      <w:iCs/>
      <w:color w:val="2F5496" w:themeColor="accent1" w:themeShade="BF"/>
    </w:rPr>
  </w:style>
  <w:style w:type="character" w:styleId="IntenseReference">
    <w:name w:val="Intense Reference"/>
    <w:basedOn w:val="DefaultParagraphFont"/>
    <w:uiPriority w:val="32"/>
    <w:qFormat/>
    <w:rsid w:val="009F6635"/>
    <w:rPr>
      <w:b/>
      <w:bCs/>
      <w:smallCaps/>
      <w:color w:val="2F5496" w:themeColor="accent1" w:themeShade="BF"/>
      <w:spacing w:val="5"/>
    </w:rPr>
  </w:style>
  <w:style w:type="table" w:styleId="TableGrid">
    <w:name w:val="Table Grid"/>
    <w:basedOn w:val="TableNormal"/>
    <w:uiPriority w:val="39"/>
    <w:rsid w:val="009F66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E47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472C"/>
  </w:style>
  <w:style w:type="paragraph" w:styleId="Footer">
    <w:name w:val="footer"/>
    <w:basedOn w:val="Normal"/>
    <w:link w:val="FooterChar"/>
    <w:uiPriority w:val="99"/>
    <w:unhideWhenUsed/>
    <w:rsid w:val="007E47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472C"/>
  </w:style>
  <w:style w:type="paragraph" w:styleId="TOCHeading">
    <w:name w:val="TOC Heading"/>
    <w:basedOn w:val="Heading1"/>
    <w:next w:val="Normal"/>
    <w:uiPriority w:val="39"/>
    <w:unhideWhenUsed/>
    <w:qFormat/>
    <w:rsid w:val="006F1EE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F1EE4"/>
    <w:pPr>
      <w:spacing w:after="100"/>
    </w:pPr>
  </w:style>
  <w:style w:type="character" w:styleId="Hyperlink">
    <w:name w:val="Hyperlink"/>
    <w:basedOn w:val="DefaultParagraphFont"/>
    <w:uiPriority w:val="99"/>
    <w:unhideWhenUsed/>
    <w:rsid w:val="006F1EE4"/>
    <w:rPr>
      <w:color w:val="0563C1" w:themeColor="hyperlink"/>
      <w:u w:val="single"/>
    </w:rPr>
  </w:style>
  <w:style w:type="character" w:styleId="UnresolvedMention">
    <w:name w:val="Unresolved Mention"/>
    <w:basedOn w:val="DefaultParagraphFont"/>
    <w:uiPriority w:val="99"/>
    <w:semiHidden/>
    <w:unhideWhenUsed/>
    <w:rsid w:val="004260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hofstede-insights.com/country-comparis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94FAF0-0CD8-4ECB-ABA4-AA30B54A07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28</Pages>
  <Words>7180</Words>
  <Characters>40926</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Heer Soni</dc:creator>
  <cp:keywords/>
  <dc:description/>
  <cp:lastModifiedBy>shyam patel</cp:lastModifiedBy>
  <cp:revision>30</cp:revision>
  <dcterms:created xsi:type="dcterms:W3CDTF">2026-08-01T21:32:00Z</dcterms:created>
  <dcterms:modified xsi:type="dcterms:W3CDTF">2026-08-03T08:39:00Z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7b371ade-cff7-46cf-8483-cb4af9e31146</vt:lpwstr>
  </property>
</Properties>
</file>