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76ED11" w14:textId="52484FF1" w:rsidR="002906B1" w:rsidRPr="00650C77" w:rsidRDefault="00610101">
      <w:pPr>
        <w:rPr>
          <w:color w:val="000000" w:themeColor="text1"/>
          <w:lang w:val="en-US"/>
        </w:rPr>
      </w:pPr>
      <w:r w:rsidRPr="00650C77">
        <w:rPr>
          <w:rFonts w:ascii="Arial" w:eastAsia="Aptos" w:hAnsi="Arial" w:cs="Arial"/>
          <w:noProof/>
          <w:color w:val="000000" w:themeColor="text1"/>
          <w:sz w:val="24"/>
          <w:szCs w:val="24"/>
          <w:lang w:bidi="hi-IN"/>
        </w:rPr>
        <w:drawing>
          <wp:anchor distT="0" distB="0" distL="114300" distR="114300" simplePos="0" relativeHeight="251659264" behindDoc="0" locked="0" layoutInCell="1" allowOverlap="1" wp14:anchorId="28894B02" wp14:editId="5C2B4C5C">
            <wp:simplePos x="0" y="0"/>
            <wp:positionH relativeFrom="column">
              <wp:posOffset>-73573</wp:posOffset>
            </wp:positionH>
            <wp:positionV relativeFrom="paragraph">
              <wp:posOffset>0</wp:posOffset>
            </wp:positionV>
            <wp:extent cx="2411604" cy="713433"/>
            <wp:effectExtent l="0" t="0" r="8255" b="0"/>
            <wp:wrapSquare wrapText="bothSides"/>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2411604" cy="713433"/>
                    </a:xfrm>
                    <a:prstGeom prst="rect">
                      <a:avLst/>
                    </a:prstGeom>
                    <a:ln/>
                  </pic:spPr>
                </pic:pic>
              </a:graphicData>
            </a:graphic>
          </wp:anchor>
        </w:drawing>
      </w:r>
      <w:r w:rsidRPr="00650C77">
        <w:rPr>
          <w:color w:val="000000" w:themeColor="text1"/>
          <w:lang w:val="en-US"/>
        </w:rPr>
        <w:t xml:space="preserve">                                                                                                                                                                          </w:t>
      </w:r>
    </w:p>
    <w:p w14:paraId="3A9B8502" w14:textId="77777777" w:rsidR="006A6781" w:rsidRPr="00650C77" w:rsidRDefault="006A6781" w:rsidP="006A6781">
      <w:pPr>
        <w:rPr>
          <w:color w:val="000000" w:themeColor="text1"/>
          <w:lang w:val="en-US"/>
        </w:rPr>
      </w:pPr>
      <w:r w:rsidRPr="00650C77">
        <w:rPr>
          <w:rFonts w:ascii="Arial" w:eastAsia="Times New Roman" w:hAnsi="Arial" w:cs="Arial"/>
          <w:b/>
          <w:bCs/>
          <w:noProof/>
          <w:color w:val="000000" w:themeColor="text1"/>
          <w:kern w:val="0"/>
          <w:sz w:val="36"/>
          <w:szCs w:val="36"/>
          <w:lang w:eastAsia="en-GB"/>
        </w:rPr>
        <w:drawing>
          <wp:inline distT="0" distB="0" distL="0" distR="0" wp14:anchorId="4499B537" wp14:editId="482BB681">
            <wp:extent cx="5730875" cy="7947498"/>
            <wp:effectExtent l="0" t="0" r="3175" b="0"/>
            <wp:docPr id="202115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5006" name="Picture 202115006"/>
                    <pic:cNvPicPr/>
                  </pic:nvPicPr>
                  <pic:blipFill>
                    <a:blip r:embed="rId9">
                      <a:extLst>
                        <a:ext uri="{28A0092B-C50C-407E-A947-70E740481C1C}">
                          <a14:useLocalDpi xmlns:a14="http://schemas.microsoft.com/office/drawing/2010/main" val="0"/>
                        </a:ext>
                      </a:extLst>
                    </a:blip>
                    <a:stretch>
                      <a:fillRect/>
                    </a:stretch>
                  </pic:blipFill>
                  <pic:spPr>
                    <a:xfrm>
                      <a:off x="0" y="0"/>
                      <a:ext cx="5754438" cy="7980175"/>
                    </a:xfrm>
                    <a:prstGeom prst="rect">
                      <a:avLst/>
                    </a:prstGeom>
                  </pic:spPr>
                </pic:pic>
              </a:graphicData>
            </a:graphic>
          </wp:inline>
        </w:drawing>
      </w:r>
    </w:p>
    <w:p w14:paraId="50549BBE" w14:textId="77777777" w:rsidR="006A6781" w:rsidRPr="00650C77" w:rsidRDefault="006A6781" w:rsidP="00570282">
      <w:pPr>
        <w:spacing w:line="276" w:lineRule="auto"/>
        <w:jc w:val="center"/>
        <w:rPr>
          <w:rFonts w:ascii="Arial" w:eastAsiaTheme="minorEastAsia" w:hAnsi="Arial" w:cs="Arial"/>
          <w:b/>
          <w:bCs/>
          <w:color w:val="000000" w:themeColor="text1"/>
          <w:sz w:val="28"/>
          <w:szCs w:val="28"/>
          <w:lang w:eastAsia="zh-CN"/>
        </w:rPr>
      </w:pPr>
      <w:r w:rsidRPr="00650C77">
        <w:rPr>
          <w:rFonts w:ascii="Arial" w:eastAsiaTheme="minorEastAsia" w:hAnsi="Arial" w:cs="Arial"/>
          <w:b/>
          <w:bCs/>
          <w:color w:val="000000" w:themeColor="text1"/>
          <w:sz w:val="28"/>
          <w:szCs w:val="28"/>
          <w:lang w:eastAsia="zh-CN"/>
        </w:rPr>
        <w:lastRenderedPageBreak/>
        <w:t>Disclaimer</w:t>
      </w:r>
    </w:p>
    <w:tbl>
      <w:tblPr>
        <w:tblStyle w:val="TableGrid4"/>
        <w:tblpPr w:leftFromText="180" w:rightFromText="180" w:tblpY="595"/>
        <w:tblW w:w="0" w:type="auto"/>
        <w:tblLook w:val="04A0" w:firstRow="1" w:lastRow="0" w:firstColumn="1" w:lastColumn="0" w:noHBand="0" w:noVBand="1"/>
      </w:tblPr>
      <w:tblGrid>
        <w:gridCol w:w="9016"/>
      </w:tblGrid>
      <w:tr w:rsidR="00650C77" w:rsidRPr="00650C77" w14:paraId="682BB6DD" w14:textId="77777777" w:rsidTr="00881333">
        <w:trPr>
          <w:trHeight w:val="5235"/>
        </w:trPr>
        <w:tc>
          <w:tcPr>
            <w:tcW w:w="9016" w:type="dxa"/>
            <w:shd w:val="clear" w:color="auto" w:fill="DEEAF6" w:themeFill="accent5" w:themeFillTint="33"/>
          </w:tcPr>
          <w:p w14:paraId="663EEC25" w14:textId="77777777" w:rsidR="00570282" w:rsidRPr="00650C77" w:rsidRDefault="00570282" w:rsidP="00570282">
            <w:pPr>
              <w:spacing w:before="62" w:line="276" w:lineRule="auto"/>
              <w:ind w:right="96"/>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16F631EB" w14:textId="77777777" w:rsidR="00570282" w:rsidRPr="00650C77" w:rsidRDefault="00570282" w:rsidP="00570282">
            <w:pPr>
              <w:spacing w:line="276" w:lineRule="auto"/>
              <w:jc w:val="both"/>
              <w:rPr>
                <w:rFonts w:ascii="Arial" w:hAnsi="Arial" w:cs="Arial"/>
                <w:b/>
                <w:bCs/>
                <w:color w:val="000000" w:themeColor="text1"/>
                <w:sz w:val="20"/>
                <w:szCs w:val="20"/>
                <w:lang w:eastAsia="zh-CN"/>
              </w:rPr>
            </w:pPr>
            <w:r w:rsidRPr="00650C77">
              <w:rPr>
                <w:rFonts w:ascii="Arial" w:hAnsi="Arial" w:cs="Arial"/>
                <w:b/>
                <w:bCs/>
                <w:color w:val="000000" w:themeColor="text1"/>
                <w:sz w:val="20"/>
                <w:szCs w:val="20"/>
                <w:lang w:eastAsia="zh-CN"/>
              </w:rPr>
              <w:t>DECLARATION</w:t>
            </w:r>
          </w:p>
          <w:p w14:paraId="7DE5BC1D" w14:textId="77777777"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This work has not previously been accepted in substance for any degree and is not being concurrently submitted in candidature for any degree</w:t>
            </w:r>
          </w:p>
          <w:p w14:paraId="716EAA21" w14:textId="77777777"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Signed…</w:t>
            </w:r>
            <w:r w:rsidRPr="00650C77">
              <w:rPr>
                <w:rFonts w:ascii="Arial" w:hAnsi="Arial" w:cs="Arial"/>
                <w:i/>
                <w:iCs/>
                <w:color w:val="000000" w:themeColor="text1"/>
                <w:sz w:val="20"/>
                <w:szCs w:val="20"/>
                <w:lang w:eastAsia="zh-CN"/>
              </w:rPr>
              <w:t>A Ullah</w:t>
            </w:r>
          </w:p>
          <w:p w14:paraId="3D81AF19" w14:textId="443E6035"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Date…</w:t>
            </w:r>
            <w:r w:rsidR="00A126F2">
              <w:rPr>
                <w:rFonts w:ascii="Arial" w:hAnsi="Arial" w:cs="Arial"/>
                <w:color w:val="000000" w:themeColor="text1"/>
                <w:sz w:val="20"/>
                <w:szCs w:val="20"/>
                <w:lang w:eastAsia="zh-CN"/>
              </w:rPr>
              <w:t>05</w:t>
            </w:r>
            <w:r w:rsidRPr="00650C77">
              <w:rPr>
                <w:rFonts w:ascii="Arial" w:hAnsi="Arial" w:cs="Arial"/>
                <w:color w:val="000000" w:themeColor="text1"/>
                <w:sz w:val="20"/>
                <w:szCs w:val="20"/>
                <w:lang w:eastAsia="zh-CN"/>
              </w:rPr>
              <w:t>/0</w:t>
            </w:r>
            <w:r w:rsidR="00A126F2">
              <w:rPr>
                <w:rFonts w:ascii="Arial" w:hAnsi="Arial" w:cs="Arial"/>
                <w:color w:val="000000" w:themeColor="text1"/>
                <w:sz w:val="20"/>
                <w:szCs w:val="20"/>
                <w:lang w:eastAsia="zh-CN"/>
              </w:rPr>
              <w:t>4</w:t>
            </w:r>
            <w:r w:rsidRPr="00650C77">
              <w:rPr>
                <w:rFonts w:ascii="Arial" w:hAnsi="Arial" w:cs="Arial"/>
                <w:color w:val="000000" w:themeColor="text1"/>
                <w:sz w:val="20"/>
                <w:szCs w:val="20"/>
                <w:lang w:eastAsia="zh-CN"/>
              </w:rPr>
              <w:t>/2026</w:t>
            </w:r>
          </w:p>
          <w:p w14:paraId="33271658" w14:textId="77777777" w:rsidR="00570282" w:rsidRPr="00650C77" w:rsidRDefault="00570282" w:rsidP="00570282">
            <w:pPr>
              <w:spacing w:line="276" w:lineRule="auto"/>
              <w:jc w:val="both"/>
              <w:rPr>
                <w:rFonts w:ascii="Arial" w:hAnsi="Arial" w:cs="Arial"/>
                <w:b/>
                <w:bCs/>
                <w:color w:val="000000" w:themeColor="text1"/>
                <w:kern w:val="32"/>
                <w:sz w:val="20"/>
                <w:szCs w:val="20"/>
                <w:lang w:eastAsia="zh-CN"/>
              </w:rPr>
            </w:pPr>
            <w:r w:rsidRPr="00650C77">
              <w:rPr>
                <w:rFonts w:ascii="Arial" w:hAnsi="Arial" w:cs="Arial"/>
                <w:b/>
                <w:bCs/>
                <w:color w:val="000000" w:themeColor="text1"/>
                <w:sz w:val="20"/>
                <w:szCs w:val="20"/>
                <w:lang w:eastAsia="zh-CN"/>
              </w:rPr>
              <w:t xml:space="preserve">STATEMENT 1 </w:t>
            </w:r>
          </w:p>
          <w:p w14:paraId="7D90F3A6" w14:textId="77777777"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This dissertation is being submitted in partial fulfilment of the requirements for the degree of BSc.</w:t>
            </w:r>
          </w:p>
          <w:p w14:paraId="3CE024A9" w14:textId="77777777"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Signed…</w:t>
            </w:r>
            <w:r w:rsidRPr="00650C77">
              <w:rPr>
                <w:rFonts w:ascii="Arial" w:hAnsi="Arial" w:cs="Arial"/>
                <w:i/>
                <w:iCs/>
                <w:color w:val="000000" w:themeColor="text1"/>
                <w:sz w:val="20"/>
                <w:szCs w:val="20"/>
                <w:lang w:eastAsia="zh-CN"/>
              </w:rPr>
              <w:t>A Ullah</w:t>
            </w:r>
          </w:p>
          <w:p w14:paraId="7DEB3CE2" w14:textId="20B162A0"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Date…</w:t>
            </w:r>
            <w:r w:rsidR="00A126F2">
              <w:rPr>
                <w:rFonts w:ascii="Arial" w:hAnsi="Arial" w:cs="Arial"/>
                <w:color w:val="000000" w:themeColor="text1"/>
                <w:sz w:val="20"/>
                <w:szCs w:val="20"/>
                <w:lang w:eastAsia="zh-CN"/>
              </w:rPr>
              <w:t>05</w:t>
            </w:r>
            <w:r w:rsidRPr="00650C77">
              <w:rPr>
                <w:rFonts w:ascii="Arial" w:hAnsi="Arial" w:cs="Arial"/>
                <w:color w:val="000000" w:themeColor="text1"/>
                <w:sz w:val="20"/>
                <w:szCs w:val="20"/>
                <w:lang w:eastAsia="zh-CN"/>
              </w:rPr>
              <w:t>/0</w:t>
            </w:r>
            <w:r w:rsidR="00A126F2">
              <w:rPr>
                <w:rFonts w:ascii="Arial" w:hAnsi="Arial" w:cs="Arial"/>
                <w:color w:val="000000" w:themeColor="text1"/>
                <w:sz w:val="20"/>
                <w:szCs w:val="20"/>
                <w:lang w:eastAsia="zh-CN"/>
              </w:rPr>
              <w:t>4</w:t>
            </w:r>
            <w:r w:rsidRPr="00650C77">
              <w:rPr>
                <w:rFonts w:ascii="Arial" w:hAnsi="Arial" w:cs="Arial"/>
                <w:color w:val="000000" w:themeColor="text1"/>
                <w:sz w:val="20"/>
                <w:szCs w:val="20"/>
                <w:lang w:eastAsia="zh-CN"/>
              </w:rPr>
              <w:t>/2026</w:t>
            </w:r>
          </w:p>
          <w:p w14:paraId="448BB3F8" w14:textId="77777777" w:rsidR="00570282" w:rsidRPr="00650C77" w:rsidRDefault="00570282" w:rsidP="00570282">
            <w:pPr>
              <w:spacing w:line="276" w:lineRule="auto"/>
              <w:jc w:val="both"/>
              <w:rPr>
                <w:rFonts w:ascii="Arial" w:hAnsi="Arial" w:cs="Arial"/>
                <w:b/>
                <w:bCs/>
                <w:color w:val="000000" w:themeColor="text1"/>
                <w:sz w:val="20"/>
                <w:szCs w:val="20"/>
                <w:lang w:eastAsia="zh-CN"/>
              </w:rPr>
            </w:pPr>
            <w:r w:rsidRPr="00650C77">
              <w:rPr>
                <w:rFonts w:ascii="Arial" w:hAnsi="Arial" w:cs="Arial"/>
                <w:b/>
                <w:bCs/>
                <w:color w:val="000000" w:themeColor="text1"/>
                <w:sz w:val="20"/>
                <w:szCs w:val="20"/>
                <w:lang w:eastAsia="zh-CN"/>
              </w:rPr>
              <w:t>STATEMENT 2</w:t>
            </w:r>
          </w:p>
          <w:p w14:paraId="3E841353" w14:textId="77777777"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This dissertation is the result of my own independent work/investigation, except where otherwise stated. Other sources are acknowledged by footnotes giving explicit references.  A bibliography is appended.</w:t>
            </w:r>
          </w:p>
          <w:p w14:paraId="6BE63602" w14:textId="77777777"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Signed…</w:t>
            </w:r>
            <w:r w:rsidRPr="00650C77">
              <w:rPr>
                <w:rFonts w:ascii="Arial" w:hAnsi="Arial" w:cs="Arial"/>
                <w:i/>
                <w:iCs/>
                <w:color w:val="000000" w:themeColor="text1"/>
                <w:sz w:val="20"/>
                <w:szCs w:val="20"/>
                <w:lang w:eastAsia="zh-CN"/>
              </w:rPr>
              <w:t>A Ullah</w:t>
            </w:r>
          </w:p>
          <w:p w14:paraId="79B2E947" w14:textId="42283929"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Date…</w:t>
            </w:r>
            <w:r w:rsidR="00A126F2">
              <w:rPr>
                <w:rFonts w:ascii="Arial" w:hAnsi="Arial" w:cs="Arial"/>
                <w:color w:val="000000" w:themeColor="text1"/>
                <w:sz w:val="20"/>
                <w:szCs w:val="20"/>
                <w:lang w:eastAsia="zh-CN"/>
              </w:rPr>
              <w:t>05</w:t>
            </w:r>
            <w:r w:rsidRPr="00650C77">
              <w:rPr>
                <w:rFonts w:ascii="Arial" w:hAnsi="Arial" w:cs="Arial"/>
                <w:color w:val="000000" w:themeColor="text1"/>
                <w:sz w:val="20"/>
                <w:szCs w:val="20"/>
                <w:lang w:eastAsia="zh-CN"/>
              </w:rPr>
              <w:t>/0</w:t>
            </w:r>
            <w:r w:rsidR="00A126F2">
              <w:rPr>
                <w:rFonts w:ascii="Arial" w:hAnsi="Arial" w:cs="Arial"/>
                <w:color w:val="000000" w:themeColor="text1"/>
                <w:sz w:val="20"/>
                <w:szCs w:val="20"/>
                <w:lang w:eastAsia="zh-CN"/>
              </w:rPr>
              <w:t>4</w:t>
            </w:r>
            <w:r w:rsidRPr="00650C77">
              <w:rPr>
                <w:rFonts w:ascii="Arial" w:hAnsi="Arial" w:cs="Arial"/>
                <w:color w:val="000000" w:themeColor="text1"/>
                <w:sz w:val="20"/>
                <w:szCs w:val="20"/>
                <w:lang w:eastAsia="zh-CN"/>
              </w:rPr>
              <w:t>/2026</w:t>
            </w:r>
          </w:p>
          <w:p w14:paraId="5FAC410D" w14:textId="77777777" w:rsidR="00570282" w:rsidRPr="00650C77" w:rsidRDefault="00570282" w:rsidP="00570282">
            <w:pPr>
              <w:spacing w:line="276" w:lineRule="auto"/>
              <w:jc w:val="both"/>
              <w:rPr>
                <w:rFonts w:ascii="Arial" w:hAnsi="Arial" w:cs="Arial"/>
                <w:b/>
                <w:bCs/>
                <w:color w:val="000000" w:themeColor="text1"/>
                <w:sz w:val="20"/>
                <w:szCs w:val="20"/>
                <w:lang w:eastAsia="zh-CN"/>
              </w:rPr>
            </w:pPr>
            <w:r w:rsidRPr="00650C77">
              <w:rPr>
                <w:rFonts w:ascii="Arial" w:hAnsi="Arial" w:cs="Arial"/>
                <w:b/>
                <w:bCs/>
                <w:color w:val="000000" w:themeColor="text1"/>
                <w:sz w:val="20"/>
                <w:szCs w:val="20"/>
                <w:lang w:eastAsia="zh-CN"/>
              </w:rPr>
              <w:t>STATEMENT 3</w:t>
            </w:r>
          </w:p>
          <w:p w14:paraId="6E487E17" w14:textId="77777777"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I hereby give consent for my dissertation, if accepted, to be available for photocopying and for interlibrary loan, and for the title and summary to be made available to outside organisations.</w:t>
            </w:r>
          </w:p>
          <w:p w14:paraId="6E1A278C" w14:textId="77777777"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Signed…</w:t>
            </w:r>
            <w:r w:rsidRPr="00650C77">
              <w:rPr>
                <w:rFonts w:ascii="Arial" w:hAnsi="Arial" w:cs="Arial"/>
                <w:i/>
                <w:iCs/>
                <w:color w:val="000000" w:themeColor="text1"/>
                <w:sz w:val="20"/>
                <w:szCs w:val="20"/>
                <w:lang w:eastAsia="zh-CN"/>
              </w:rPr>
              <w:t>A Ullah</w:t>
            </w:r>
          </w:p>
          <w:p w14:paraId="7C6C14FA" w14:textId="4D12A535"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Date…</w:t>
            </w:r>
            <w:r w:rsidR="00A126F2">
              <w:rPr>
                <w:rFonts w:ascii="Arial" w:hAnsi="Arial" w:cs="Arial"/>
                <w:color w:val="000000" w:themeColor="text1"/>
                <w:sz w:val="20"/>
                <w:szCs w:val="20"/>
                <w:lang w:eastAsia="zh-CN"/>
              </w:rPr>
              <w:t>05</w:t>
            </w:r>
            <w:r w:rsidRPr="00650C77">
              <w:rPr>
                <w:rFonts w:ascii="Arial" w:hAnsi="Arial" w:cs="Arial"/>
                <w:color w:val="000000" w:themeColor="text1"/>
                <w:sz w:val="20"/>
                <w:szCs w:val="20"/>
                <w:lang w:eastAsia="zh-CN"/>
              </w:rPr>
              <w:t>/0</w:t>
            </w:r>
            <w:r w:rsidR="00A126F2">
              <w:rPr>
                <w:rFonts w:ascii="Arial" w:hAnsi="Arial" w:cs="Arial"/>
                <w:color w:val="000000" w:themeColor="text1"/>
                <w:sz w:val="20"/>
                <w:szCs w:val="20"/>
                <w:lang w:eastAsia="zh-CN"/>
              </w:rPr>
              <w:t>4</w:t>
            </w:r>
            <w:r w:rsidRPr="00650C77">
              <w:rPr>
                <w:rFonts w:ascii="Arial" w:hAnsi="Arial" w:cs="Arial"/>
                <w:color w:val="000000" w:themeColor="text1"/>
                <w:sz w:val="20"/>
                <w:szCs w:val="20"/>
                <w:lang w:eastAsia="zh-CN"/>
              </w:rPr>
              <w:t>/2026</w:t>
            </w:r>
          </w:p>
          <w:p w14:paraId="596DA30B" w14:textId="77777777" w:rsidR="00570282" w:rsidRPr="00650C77" w:rsidRDefault="00570282" w:rsidP="00570282">
            <w:pPr>
              <w:spacing w:line="276" w:lineRule="auto"/>
              <w:jc w:val="both"/>
              <w:rPr>
                <w:rFonts w:ascii="Arial" w:hAnsi="Arial" w:cs="Arial"/>
                <w:b/>
                <w:bCs/>
                <w:color w:val="000000" w:themeColor="text1"/>
                <w:sz w:val="20"/>
                <w:szCs w:val="20"/>
                <w:lang w:eastAsia="zh-CN"/>
              </w:rPr>
            </w:pPr>
            <w:r w:rsidRPr="00650C77">
              <w:rPr>
                <w:rFonts w:ascii="Arial" w:hAnsi="Arial" w:cs="Arial"/>
                <w:b/>
                <w:bCs/>
                <w:color w:val="000000" w:themeColor="text1"/>
                <w:sz w:val="20"/>
                <w:szCs w:val="20"/>
                <w:lang w:eastAsia="zh-CN"/>
              </w:rPr>
              <w:t>STATEMENT 4</w:t>
            </w:r>
          </w:p>
          <w:p w14:paraId="5E14D04F" w14:textId="77777777"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I hereby give consent for my dissertation, if accepted, to be available on the university’s IT system to those who have consent to use the system.</w:t>
            </w:r>
          </w:p>
          <w:p w14:paraId="5F885571" w14:textId="77777777"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Signed…</w:t>
            </w:r>
            <w:r w:rsidRPr="00650C77">
              <w:rPr>
                <w:rFonts w:ascii="Arial" w:hAnsi="Arial" w:cs="Arial"/>
                <w:i/>
                <w:iCs/>
                <w:color w:val="000000" w:themeColor="text1"/>
                <w:sz w:val="20"/>
                <w:szCs w:val="20"/>
                <w:lang w:eastAsia="zh-CN"/>
              </w:rPr>
              <w:t>A Ullah</w:t>
            </w:r>
          </w:p>
          <w:p w14:paraId="0C42BBBA" w14:textId="196EC62B" w:rsidR="00570282" w:rsidRPr="00650C77" w:rsidRDefault="00570282" w:rsidP="00570282">
            <w:pPr>
              <w:spacing w:line="276" w:lineRule="auto"/>
              <w:jc w:val="both"/>
              <w:rPr>
                <w:rFonts w:ascii="Arial" w:hAnsi="Arial" w:cs="Arial"/>
                <w:color w:val="000000" w:themeColor="text1"/>
                <w:sz w:val="20"/>
                <w:szCs w:val="20"/>
                <w:lang w:eastAsia="zh-CN"/>
              </w:rPr>
            </w:pPr>
            <w:r w:rsidRPr="00650C77">
              <w:rPr>
                <w:rFonts w:ascii="Arial" w:hAnsi="Arial" w:cs="Arial"/>
                <w:color w:val="000000" w:themeColor="text1"/>
                <w:sz w:val="20"/>
                <w:szCs w:val="20"/>
                <w:lang w:eastAsia="zh-CN"/>
              </w:rPr>
              <w:t>Date…</w:t>
            </w:r>
            <w:r w:rsidR="00A126F2">
              <w:rPr>
                <w:rFonts w:ascii="Arial" w:hAnsi="Arial" w:cs="Arial"/>
                <w:color w:val="000000" w:themeColor="text1"/>
                <w:sz w:val="20"/>
                <w:szCs w:val="20"/>
                <w:lang w:eastAsia="zh-CN"/>
              </w:rPr>
              <w:t>05</w:t>
            </w:r>
            <w:r w:rsidRPr="00650C77">
              <w:rPr>
                <w:rFonts w:ascii="Arial" w:hAnsi="Arial" w:cs="Arial"/>
                <w:color w:val="000000" w:themeColor="text1"/>
                <w:sz w:val="20"/>
                <w:szCs w:val="20"/>
                <w:lang w:eastAsia="zh-CN"/>
              </w:rPr>
              <w:t>/0</w:t>
            </w:r>
            <w:r w:rsidR="00A126F2">
              <w:rPr>
                <w:rFonts w:ascii="Arial" w:hAnsi="Arial" w:cs="Arial"/>
                <w:color w:val="000000" w:themeColor="text1"/>
                <w:sz w:val="20"/>
                <w:szCs w:val="20"/>
                <w:lang w:eastAsia="zh-CN"/>
              </w:rPr>
              <w:t>4</w:t>
            </w:r>
            <w:r w:rsidRPr="00650C77">
              <w:rPr>
                <w:rFonts w:ascii="Arial" w:hAnsi="Arial" w:cs="Arial"/>
                <w:color w:val="000000" w:themeColor="text1"/>
                <w:sz w:val="20"/>
                <w:szCs w:val="20"/>
                <w:lang w:eastAsia="zh-CN"/>
              </w:rPr>
              <w:t>/2026</w:t>
            </w:r>
          </w:p>
          <w:p w14:paraId="772882B8" w14:textId="77777777" w:rsidR="00570282" w:rsidRPr="00650C77" w:rsidRDefault="00570282" w:rsidP="00570282">
            <w:pPr>
              <w:spacing w:line="276" w:lineRule="auto"/>
              <w:jc w:val="both"/>
              <w:rPr>
                <w:rFonts w:ascii="Arial" w:hAnsi="Arial" w:cs="Arial"/>
                <w:color w:val="000000" w:themeColor="text1"/>
                <w:sz w:val="20"/>
                <w:szCs w:val="20"/>
              </w:rPr>
            </w:pPr>
          </w:p>
        </w:tc>
      </w:tr>
    </w:tbl>
    <w:p w14:paraId="70133D62" w14:textId="77777777" w:rsidR="00570282" w:rsidRPr="00650C77" w:rsidRDefault="00570282" w:rsidP="00570282">
      <w:pPr>
        <w:jc w:val="center"/>
        <w:rPr>
          <w:color w:val="000000" w:themeColor="text1"/>
        </w:rPr>
      </w:pPr>
    </w:p>
    <w:p w14:paraId="6D311A92" w14:textId="77777777" w:rsidR="006A6781" w:rsidRPr="00650C77" w:rsidRDefault="006A6781" w:rsidP="006A6781">
      <w:pPr>
        <w:jc w:val="both"/>
        <w:rPr>
          <w:rFonts w:ascii="Times New Roman" w:eastAsia="Times New Roman" w:hAnsi="Times New Roman" w:cs="Times New Roman"/>
          <w:b/>
          <w:bCs/>
          <w:color w:val="000000" w:themeColor="text1"/>
          <w:kern w:val="0"/>
          <w:lang w:eastAsia="en-GB"/>
          <w14:ligatures w14:val="none"/>
        </w:rPr>
      </w:pPr>
    </w:p>
    <w:p w14:paraId="00DF7D36" w14:textId="77777777" w:rsidR="006A6781" w:rsidRPr="00650C77" w:rsidRDefault="006A6781" w:rsidP="006A6781">
      <w:pPr>
        <w:rPr>
          <w:rFonts w:ascii="Arial" w:eastAsia="Times New Roman" w:hAnsi="Arial" w:cs="Arial"/>
          <w:b/>
          <w:bCs/>
          <w:color w:val="000000" w:themeColor="text1"/>
          <w:kern w:val="0"/>
          <w:sz w:val="36"/>
          <w:szCs w:val="36"/>
          <w:lang w:eastAsia="en-GB"/>
          <w14:ligatures w14:val="none"/>
        </w:rPr>
      </w:pPr>
    </w:p>
    <w:tbl>
      <w:tblPr>
        <w:tblStyle w:val="TableGrid1"/>
        <w:tblpPr w:leftFromText="180" w:rightFromText="180" w:vertAnchor="page" w:horzAnchor="margin" w:tblpY="2700"/>
        <w:tblW w:w="0" w:type="auto"/>
        <w:tblLook w:val="04A0" w:firstRow="1" w:lastRow="0" w:firstColumn="1" w:lastColumn="0" w:noHBand="0" w:noVBand="1"/>
      </w:tblPr>
      <w:tblGrid>
        <w:gridCol w:w="9016"/>
      </w:tblGrid>
      <w:tr w:rsidR="00650C77" w:rsidRPr="00650C77" w14:paraId="657BE857" w14:textId="77777777" w:rsidTr="007C740E">
        <w:trPr>
          <w:trHeight w:val="5235"/>
        </w:trPr>
        <w:tc>
          <w:tcPr>
            <w:tcW w:w="9016" w:type="dxa"/>
            <w:shd w:val="clear" w:color="auto" w:fill="DEEAF6" w:themeFill="accent5" w:themeFillTint="33"/>
          </w:tcPr>
          <w:p w14:paraId="20B00840" w14:textId="77777777" w:rsidR="00DB0EE4" w:rsidRPr="00650C77" w:rsidRDefault="00DB0EE4" w:rsidP="008D1837">
            <w:pPr>
              <w:spacing w:line="276" w:lineRule="auto"/>
              <w:jc w:val="both"/>
              <w:rPr>
                <w:rFonts w:ascii="Arial" w:hAnsi="Arial" w:cs="Arial"/>
                <w:color w:val="000000" w:themeColor="text1"/>
                <w:sz w:val="20"/>
                <w:szCs w:val="20"/>
              </w:rPr>
            </w:pPr>
          </w:p>
          <w:p w14:paraId="713349DC" w14:textId="252F3FD1" w:rsidR="008D1837" w:rsidRPr="00650C77" w:rsidRDefault="008D1837" w:rsidP="0065347C">
            <w:pPr>
              <w:spacing w:line="360" w:lineRule="auto"/>
              <w:jc w:val="both"/>
              <w:rPr>
                <w:rFonts w:ascii="Arial" w:hAnsi="Arial" w:cs="Arial"/>
                <w:color w:val="000000" w:themeColor="text1"/>
                <w:sz w:val="20"/>
                <w:szCs w:val="20"/>
              </w:rPr>
            </w:pPr>
            <w:r w:rsidRPr="00650C77">
              <w:rPr>
                <w:rFonts w:ascii="Arial" w:hAnsi="Arial" w:cs="Arial"/>
                <w:color w:val="000000" w:themeColor="text1"/>
                <w:sz w:val="20"/>
                <w:szCs w:val="20"/>
              </w:rPr>
              <w:t xml:space="preserve">I would like to express my sincere gratitude to my class teacher and module leader, </w:t>
            </w:r>
            <w:r w:rsidRPr="00650C77">
              <w:rPr>
                <w:rFonts w:ascii="Arial" w:hAnsi="Arial" w:cs="Arial"/>
                <w:b/>
                <w:bCs/>
                <w:color w:val="000000" w:themeColor="text1"/>
                <w:sz w:val="20"/>
                <w:szCs w:val="20"/>
              </w:rPr>
              <w:t>Chloe Harries</w:t>
            </w:r>
            <w:r w:rsidRPr="00650C77">
              <w:rPr>
                <w:rFonts w:ascii="Arial" w:hAnsi="Arial" w:cs="Arial"/>
                <w:color w:val="000000" w:themeColor="text1"/>
                <w:sz w:val="20"/>
                <w:szCs w:val="20"/>
              </w:rPr>
              <w:t>, for her invaluable guidance, encouragement, and continuous support throughout the completion of this dissertation. Her clear, structured, and supportive teaching significantly enhanced my understanding of secondary research, particularly in developing effective search strategies, identifying relevant academic articles, and applying thematic analysis. She explained complex areas of the dissertation process, especially the methodology section, in a way that was very easy to understand, which helped me feel more confident in structuring and justifying my research approach. Her teaching made the research process feel much more manageable and less overwhelming.</w:t>
            </w:r>
          </w:p>
          <w:p w14:paraId="57A5770E" w14:textId="77777777" w:rsidR="008D1837" w:rsidRPr="00650C77" w:rsidRDefault="008D1837" w:rsidP="0065347C">
            <w:pPr>
              <w:spacing w:line="360" w:lineRule="auto"/>
              <w:jc w:val="both"/>
              <w:rPr>
                <w:rFonts w:ascii="Arial" w:hAnsi="Arial" w:cs="Arial"/>
                <w:color w:val="000000" w:themeColor="text1"/>
                <w:sz w:val="20"/>
                <w:szCs w:val="20"/>
              </w:rPr>
            </w:pPr>
            <w:r w:rsidRPr="00650C77">
              <w:rPr>
                <w:rFonts w:ascii="Arial" w:hAnsi="Arial" w:cs="Arial"/>
                <w:color w:val="000000" w:themeColor="text1"/>
                <w:sz w:val="20"/>
                <w:szCs w:val="20"/>
              </w:rPr>
              <w:t xml:space="preserve">I am especially grateful for her explanations of </w:t>
            </w:r>
            <w:r w:rsidRPr="00650C77">
              <w:rPr>
                <w:rFonts w:ascii="Arial" w:hAnsi="Arial" w:cs="Arial"/>
                <w:b/>
                <w:bCs/>
                <w:color w:val="000000" w:themeColor="text1"/>
                <w:sz w:val="20"/>
                <w:szCs w:val="20"/>
              </w:rPr>
              <w:t>thematic analysis</w:t>
            </w:r>
            <w:r w:rsidRPr="00650C77">
              <w:rPr>
                <w:rFonts w:ascii="Arial" w:hAnsi="Arial" w:cs="Arial"/>
                <w:color w:val="000000" w:themeColor="text1"/>
                <w:sz w:val="20"/>
                <w:szCs w:val="20"/>
              </w:rPr>
              <w:t xml:space="preserve">, as she made each stage of the process clear and practical, helping me to better understand how to identify, organise, code, and interpret themes from the literature. Her guidance on referencing, coding, and data analysis made these academic processes more accessible and easier to apply within my own work. In addition, her </w:t>
            </w:r>
            <w:r w:rsidRPr="00650C77">
              <w:rPr>
                <w:rFonts w:ascii="Arial" w:hAnsi="Arial" w:cs="Arial"/>
                <w:b/>
                <w:bCs/>
                <w:color w:val="000000" w:themeColor="text1"/>
                <w:sz w:val="20"/>
                <w:szCs w:val="20"/>
              </w:rPr>
              <w:t>draft feedback</w:t>
            </w:r>
            <w:r w:rsidRPr="00650C77">
              <w:rPr>
                <w:rFonts w:ascii="Arial" w:hAnsi="Arial" w:cs="Arial"/>
                <w:color w:val="000000" w:themeColor="text1"/>
                <w:sz w:val="20"/>
                <w:szCs w:val="20"/>
              </w:rPr>
              <w:t xml:space="preserve"> was extremely valuable, as it helped me recognise areas for improvement and strengthen the clarity, structure, and academic quality of my dissertation. Having had the opportunity to attend most of her sessions was particularly beneficial, as her consistent feedback and encouragement greatly contributed to the development of this project.</w:t>
            </w:r>
          </w:p>
          <w:p w14:paraId="01D530ED" w14:textId="77777777" w:rsidR="008D1837" w:rsidRPr="00650C77" w:rsidRDefault="008D1837" w:rsidP="0065347C">
            <w:pPr>
              <w:spacing w:line="360" w:lineRule="auto"/>
              <w:jc w:val="both"/>
              <w:rPr>
                <w:rFonts w:ascii="Arial" w:hAnsi="Arial" w:cs="Arial"/>
                <w:color w:val="000000" w:themeColor="text1"/>
                <w:sz w:val="20"/>
                <w:szCs w:val="20"/>
              </w:rPr>
            </w:pPr>
            <w:r w:rsidRPr="00650C77">
              <w:rPr>
                <w:rFonts w:ascii="Arial" w:hAnsi="Arial" w:cs="Arial"/>
                <w:color w:val="000000" w:themeColor="text1"/>
                <w:sz w:val="20"/>
                <w:szCs w:val="20"/>
              </w:rPr>
              <w:t>I would also like to thank the university IT support team for their technical assistance and the university library support team for their help in accessing academic databases, journals, and relevant literature.</w:t>
            </w:r>
          </w:p>
          <w:p w14:paraId="6AC2A998" w14:textId="77777777" w:rsidR="008D1837" w:rsidRPr="00650C77" w:rsidRDefault="008D1837" w:rsidP="0065347C">
            <w:pPr>
              <w:spacing w:line="360" w:lineRule="auto"/>
              <w:jc w:val="both"/>
              <w:rPr>
                <w:rFonts w:ascii="Arial" w:hAnsi="Arial" w:cs="Arial"/>
                <w:color w:val="000000" w:themeColor="text1"/>
                <w:sz w:val="20"/>
                <w:szCs w:val="20"/>
              </w:rPr>
            </w:pPr>
            <w:r w:rsidRPr="00650C77">
              <w:rPr>
                <w:rFonts w:ascii="Arial" w:hAnsi="Arial" w:cs="Arial"/>
                <w:color w:val="000000" w:themeColor="text1"/>
                <w:sz w:val="20"/>
                <w:szCs w:val="20"/>
              </w:rPr>
              <w:t>Overall, the combined support, knowledge, and resources provided by these individuals and services have been instrumental in the successful completion of this project.</w:t>
            </w:r>
          </w:p>
          <w:p w14:paraId="48F12096" w14:textId="77777777" w:rsidR="008D1837" w:rsidRPr="00650C77" w:rsidRDefault="008D1837" w:rsidP="008D1837">
            <w:pPr>
              <w:spacing w:line="276" w:lineRule="auto"/>
              <w:jc w:val="both"/>
              <w:rPr>
                <w:color w:val="000000" w:themeColor="text1"/>
              </w:rPr>
            </w:pPr>
            <w:r w:rsidRPr="00650C77">
              <w:rPr>
                <w:rFonts w:ascii="Arial" w:hAnsi="Arial" w:cs="Arial"/>
                <w:color w:val="000000" w:themeColor="text1"/>
                <w:sz w:val="20"/>
                <w:szCs w:val="20"/>
              </w:rPr>
              <w:br/>
            </w:r>
          </w:p>
        </w:tc>
      </w:tr>
    </w:tbl>
    <w:p w14:paraId="12EF9DE1" w14:textId="1C393221" w:rsidR="008D1837" w:rsidRPr="00650C77" w:rsidRDefault="008D1837" w:rsidP="00DB0EE4">
      <w:pPr>
        <w:jc w:val="center"/>
        <w:rPr>
          <w:color w:val="000000" w:themeColor="text1"/>
        </w:rPr>
      </w:pPr>
      <w:r w:rsidRPr="00650C77">
        <w:rPr>
          <w:rFonts w:ascii="Arial" w:hAnsi="Arial" w:cs="Arial"/>
          <w:b/>
          <w:bCs/>
          <w:color w:val="000000" w:themeColor="text1"/>
          <w:sz w:val="28"/>
          <w:szCs w:val="28"/>
        </w:rPr>
        <w:t>Acknowledgement</w:t>
      </w:r>
    </w:p>
    <w:p w14:paraId="489F9F7A" w14:textId="77777777" w:rsidR="008D1837" w:rsidRPr="00650C77" w:rsidRDefault="008D1837" w:rsidP="006A6781">
      <w:pPr>
        <w:rPr>
          <w:rFonts w:ascii="Arial" w:eastAsia="Times New Roman" w:hAnsi="Arial" w:cs="Arial"/>
          <w:b/>
          <w:bCs/>
          <w:color w:val="000000" w:themeColor="text1"/>
          <w:kern w:val="0"/>
          <w:sz w:val="36"/>
          <w:szCs w:val="36"/>
          <w:lang w:eastAsia="en-GB"/>
          <w14:ligatures w14:val="none"/>
        </w:rPr>
      </w:pPr>
    </w:p>
    <w:p w14:paraId="1478584F" w14:textId="77777777" w:rsidR="008D1837" w:rsidRPr="00650C77" w:rsidRDefault="008D1837" w:rsidP="006A6781">
      <w:pPr>
        <w:rPr>
          <w:rFonts w:ascii="Arial" w:eastAsia="Times New Roman" w:hAnsi="Arial" w:cs="Arial"/>
          <w:b/>
          <w:bCs/>
          <w:color w:val="000000" w:themeColor="text1"/>
          <w:kern w:val="0"/>
          <w:sz w:val="36"/>
          <w:szCs w:val="36"/>
          <w:lang w:eastAsia="en-GB"/>
          <w14:ligatures w14:val="none"/>
        </w:rPr>
      </w:pPr>
    </w:p>
    <w:p w14:paraId="2CBAB554" w14:textId="77777777" w:rsidR="008D1837" w:rsidRPr="00650C77" w:rsidRDefault="008D1837" w:rsidP="006A6781">
      <w:pPr>
        <w:rPr>
          <w:rFonts w:ascii="Arial" w:eastAsia="Times New Roman" w:hAnsi="Arial" w:cs="Arial"/>
          <w:b/>
          <w:bCs/>
          <w:color w:val="000000" w:themeColor="text1"/>
          <w:kern w:val="0"/>
          <w:sz w:val="36"/>
          <w:szCs w:val="36"/>
          <w:lang w:eastAsia="en-GB"/>
          <w14:ligatures w14:val="none"/>
        </w:rPr>
      </w:pPr>
    </w:p>
    <w:p w14:paraId="3A0C0EEC" w14:textId="77777777" w:rsidR="008D1837" w:rsidRPr="00650C77" w:rsidRDefault="008D1837" w:rsidP="006A6781">
      <w:pPr>
        <w:rPr>
          <w:rFonts w:ascii="Arial" w:eastAsia="Times New Roman" w:hAnsi="Arial" w:cs="Arial"/>
          <w:b/>
          <w:bCs/>
          <w:color w:val="000000" w:themeColor="text1"/>
          <w:kern w:val="0"/>
          <w:sz w:val="36"/>
          <w:szCs w:val="36"/>
          <w:lang w:eastAsia="en-GB"/>
          <w14:ligatures w14:val="none"/>
        </w:rPr>
      </w:pPr>
    </w:p>
    <w:p w14:paraId="0F4D55B3" w14:textId="77777777" w:rsidR="008D1837" w:rsidRPr="00650C77" w:rsidRDefault="008D1837" w:rsidP="006A6781">
      <w:pPr>
        <w:rPr>
          <w:rFonts w:ascii="Arial" w:eastAsia="Times New Roman" w:hAnsi="Arial" w:cs="Arial"/>
          <w:b/>
          <w:bCs/>
          <w:color w:val="000000" w:themeColor="text1"/>
          <w:kern w:val="0"/>
          <w:sz w:val="36"/>
          <w:szCs w:val="36"/>
          <w:lang w:eastAsia="en-GB"/>
          <w14:ligatures w14:val="none"/>
        </w:rPr>
      </w:pPr>
    </w:p>
    <w:p w14:paraId="6720827E" w14:textId="77777777" w:rsidR="009661D6" w:rsidRPr="00650C77" w:rsidRDefault="009661D6" w:rsidP="006A6781">
      <w:pPr>
        <w:rPr>
          <w:rFonts w:ascii="Arial" w:eastAsia="Times New Roman" w:hAnsi="Arial" w:cs="Arial"/>
          <w:b/>
          <w:bCs/>
          <w:color w:val="000000" w:themeColor="text1"/>
          <w:kern w:val="0"/>
          <w:sz w:val="36"/>
          <w:szCs w:val="36"/>
          <w:lang w:eastAsia="en-GB"/>
          <w14:ligatures w14:val="none"/>
        </w:rPr>
      </w:pPr>
    </w:p>
    <w:p w14:paraId="262EC8B2" w14:textId="77777777" w:rsidR="009661D6" w:rsidRPr="00650C77" w:rsidRDefault="009661D6" w:rsidP="006A6781">
      <w:pPr>
        <w:rPr>
          <w:rFonts w:ascii="Arial" w:eastAsia="Times New Roman" w:hAnsi="Arial" w:cs="Arial"/>
          <w:b/>
          <w:bCs/>
          <w:color w:val="000000" w:themeColor="text1"/>
          <w:kern w:val="0"/>
          <w:sz w:val="36"/>
          <w:szCs w:val="36"/>
          <w:lang w:eastAsia="en-GB"/>
          <w14:ligatures w14:val="none"/>
        </w:rPr>
      </w:pPr>
    </w:p>
    <w:tbl>
      <w:tblPr>
        <w:tblStyle w:val="TableGrid2"/>
        <w:tblpPr w:leftFromText="180" w:rightFromText="180" w:tblpY="595"/>
        <w:tblW w:w="0" w:type="auto"/>
        <w:tblLook w:val="04A0" w:firstRow="1" w:lastRow="0" w:firstColumn="1" w:lastColumn="0" w:noHBand="0" w:noVBand="1"/>
      </w:tblPr>
      <w:tblGrid>
        <w:gridCol w:w="9016"/>
      </w:tblGrid>
      <w:tr w:rsidR="00650C77" w:rsidRPr="00650C77" w14:paraId="45FABB78" w14:textId="77777777" w:rsidTr="00881333">
        <w:trPr>
          <w:trHeight w:val="5235"/>
        </w:trPr>
        <w:tc>
          <w:tcPr>
            <w:tcW w:w="9016" w:type="dxa"/>
            <w:shd w:val="clear" w:color="auto" w:fill="DEEAF6" w:themeFill="accent5" w:themeFillTint="33"/>
          </w:tcPr>
          <w:p w14:paraId="19491ECC" w14:textId="77777777" w:rsidR="00DB0EE4" w:rsidRPr="00650C77" w:rsidRDefault="00DB0EE4" w:rsidP="00F8371C">
            <w:pPr>
              <w:spacing w:line="360" w:lineRule="auto"/>
              <w:jc w:val="both"/>
              <w:rPr>
                <w:rFonts w:ascii="Arial" w:hAnsi="Arial" w:cs="Arial"/>
                <w:color w:val="000000" w:themeColor="text1"/>
                <w:sz w:val="20"/>
                <w:szCs w:val="20"/>
              </w:rPr>
            </w:pPr>
          </w:p>
          <w:p w14:paraId="6BEE0C78" w14:textId="79966261" w:rsidR="00F8371C" w:rsidRPr="00650C77" w:rsidRDefault="00F8371C" w:rsidP="00F8371C">
            <w:pPr>
              <w:spacing w:line="360" w:lineRule="auto"/>
              <w:jc w:val="both"/>
              <w:rPr>
                <w:rFonts w:ascii="Arial" w:hAnsi="Arial" w:cs="Arial"/>
                <w:color w:val="000000" w:themeColor="text1"/>
                <w:sz w:val="20"/>
                <w:szCs w:val="20"/>
              </w:rPr>
            </w:pPr>
            <w:r w:rsidRPr="00650C77">
              <w:rPr>
                <w:rFonts w:ascii="Arial" w:hAnsi="Arial" w:cs="Arial"/>
                <w:color w:val="000000" w:themeColor="text1"/>
                <w:sz w:val="20"/>
                <w:szCs w:val="20"/>
              </w:rPr>
              <w:t>This dissertation critically evaluates treatment pathways and service delivery for schizophrenia in the United Kingdom, with particular focus on their effectiveness, accessibility, and areas for strategic improvement. Schizophrenia remains a major challenge for the UK healthcare system due to the complexity of long-term treatment, persistent service inequalities, and continuing pressures on mental health provision. This study adopted a secondary research design, drawing on peer-reviewed literature, policy documents, inspection reports, and service evaluations published between 2015 and 2025. A systematic search strategy was used to identify relevant evidence, which was then analysed using Braun and Clarke’s thematic analysis framework (Braun and Clarke, 2019). Three interrelated themes were identified: treatment pathways and clinical effectiveness; accessibility, inequalities, and service variation; and integrated care models and system coordination. The findings suggest that structured, multidisciplinary approaches to schizophrenia care, particularly Early Intervention in Psychosis services, can improve early engagement, relapse prevention, and longer-term recovery outcomes (Birchwood, Todd and Jackson, 2000; NICE, 2020). However, their overall effectiveness is often limited by restricted access to psychological therapies, fragmented continuity of care, workforce shortages, and inconsistent implementation of national guidance. The analysis also highlights significant inequalities in access and service experience, particularly among ethnic minority groups and people living in deprived or rural areas, who are more likely to encounter delayed support, crisis-led pathways, and poorer continuity of care (</w:t>
            </w:r>
            <w:proofErr w:type="spellStart"/>
            <w:r w:rsidRPr="00650C77">
              <w:rPr>
                <w:rFonts w:ascii="Arial" w:hAnsi="Arial" w:cs="Arial"/>
                <w:color w:val="000000" w:themeColor="text1"/>
                <w:sz w:val="20"/>
                <w:szCs w:val="20"/>
              </w:rPr>
              <w:t>Nazroo</w:t>
            </w:r>
            <w:proofErr w:type="spellEnd"/>
            <w:r w:rsidRPr="00650C77">
              <w:rPr>
                <w:rFonts w:ascii="Arial" w:hAnsi="Arial" w:cs="Arial"/>
                <w:color w:val="000000" w:themeColor="text1"/>
                <w:sz w:val="20"/>
                <w:szCs w:val="20"/>
              </w:rPr>
              <w:t xml:space="preserve"> et al., 2019; Care Quality Commission, 2023). Although integrated care models and system-wide coordination offer strong potential to improve service delivery, their implementation remains uneven across different regions. </w:t>
            </w:r>
          </w:p>
          <w:p w14:paraId="266144EB" w14:textId="77777777" w:rsidR="00F8371C" w:rsidRPr="00650C77" w:rsidRDefault="00F8371C" w:rsidP="00F8371C">
            <w:pPr>
              <w:spacing w:line="360" w:lineRule="auto"/>
              <w:jc w:val="both"/>
              <w:rPr>
                <w:rFonts w:ascii="Arial" w:hAnsi="Arial" w:cs="Arial"/>
                <w:b/>
                <w:bCs/>
                <w:color w:val="000000" w:themeColor="text1"/>
                <w:sz w:val="20"/>
                <w:szCs w:val="20"/>
              </w:rPr>
            </w:pPr>
            <w:r w:rsidRPr="00650C77">
              <w:rPr>
                <w:rFonts w:ascii="Arial" w:hAnsi="Arial" w:cs="Arial"/>
                <w:color w:val="000000" w:themeColor="text1"/>
                <w:sz w:val="20"/>
                <w:szCs w:val="20"/>
              </w:rPr>
              <w:t>Overall, the study argues that despite robust policy frameworks, a significant gap persists between theoretical models and real-world practice. Addressing this gap requires stronger service integration, more equitable access to evidence-based interventions, and sustained workforce investment to improve outcomes across the UK.</w:t>
            </w:r>
          </w:p>
          <w:p w14:paraId="7C9D9F71" w14:textId="77777777" w:rsidR="00F8371C" w:rsidRPr="00650C77" w:rsidRDefault="00F8371C" w:rsidP="00F8371C">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br/>
            </w:r>
          </w:p>
        </w:tc>
      </w:tr>
    </w:tbl>
    <w:p w14:paraId="3EF6C987" w14:textId="77777777" w:rsidR="00F8371C" w:rsidRPr="00650C77" w:rsidRDefault="00F8371C" w:rsidP="00F8371C">
      <w:pPr>
        <w:spacing w:before="100" w:beforeAutospacing="1" w:after="100" w:afterAutospacing="1" w:line="360" w:lineRule="auto"/>
        <w:jc w:val="center"/>
        <w:rPr>
          <w:rFonts w:ascii="Arial" w:eastAsia="Times New Roman" w:hAnsi="Arial" w:cs="Arial"/>
          <w:color w:val="000000" w:themeColor="text1"/>
          <w:kern w:val="0"/>
          <w:sz w:val="32"/>
          <w:szCs w:val="32"/>
          <w:lang w:eastAsia="en-GB"/>
          <w14:ligatures w14:val="none"/>
        </w:rPr>
      </w:pPr>
      <w:r w:rsidRPr="00650C77">
        <w:rPr>
          <w:rFonts w:ascii="Arial" w:eastAsiaTheme="majorEastAsia" w:hAnsi="Arial" w:cs="Arial"/>
          <w:b/>
          <w:bCs/>
          <w:color w:val="000000" w:themeColor="text1"/>
          <w:kern w:val="0"/>
          <w:sz w:val="32"/>
          <w:szCs w:val="32"/>
          <w:lang w:eastAsia="en-GB"/>
          <w14:ligatures w14:val="none"/>
        </w:rPr>
        <w:t>Abstract:</w:t>
      </w:r>
    </w:p>
    <w:p w14:paraId="1C9E1F34" w14:textId="77777777" w:rsidR="00F8371C" w:rsidRPr="00650C77" w:rsidRDefault="00F8371C" w:rsidP="00F8371C">
      <w:pPr>
        <w:jc w:val="center"/>
        <w:rPr>
          <w:color w:val="000000" w:themeColor="text1"/>
        </w:rPr>
      </w:pPr>
    </w:p>
    <w:p w14:paraId="05181DC0" w14:textId="77777777" w:rsidR="009661D6" w:rsidRPr="00650C77" w:rsidRDefault="009661D6" w:rsidP="006A6781">
      <w:pPr>
        <w:rPr>
          <w:rFonts w:ascii="Arial" w:eastAsia="Times New Roman" w:hAnsi="Arial" w:cs="Arial"/>
          <w:b/>
          <w:bCs/>
          <w:color w:val="000000" w:themeColor="text1"/>
          <w:kern w:val="0"/>
          <w:sz w:val="36"/>
          <w:szCs w:val="36"/>
          <w:lang w:eastAsia="en-GB"/>
          <w14:ligatures w14:val="none"/>
        </w:rPr>
      </w:pPr>
    </w:p>
    <w:p w14:paraId="7B461404" w14:textId="77777777" w:rsidR="00F8371C" w:rsidRPr="00650C77" w:rsidRDefault="00F8371C" w:rsidP="006A6781">
      <w:pPr>
        <w:rPr>
          <w:rFonts w:ascii="Arial" w:eastAsia="Times New Roman" w:hAnsi="Arial" w:cs="Arial"/>
          <w:b/>
          <w:bCs/>
          <w:color w:val="000000" w:themeColor="text1"/>
          <w:kern w:val="0"/>
          <w:sz w:val="36"/>
          <w:szCs w:val="36"/>
          <w:lang w:eastAsia="en-GB"/>
          <w14:ligatures w14:val="none"/>
        </w:rPr>
      </w:pPr>
    </w:p>
    <w:p w14:paraId="6596735C" w14:textId="77777777" w:rsidR="00F8371C" w:rsidRPr="00650C77" w:rsidRDefault="00F8371C" w:rsidP="006A6781">
      <w:pPr>
        <w:rPr>
          <w:rFonts w:ascii="Arial" w:eastAsia="Times New Roman" w:hAnsi="Arial" w:cs="Arial"/>
          <w:b/>
          <w:bCs/>
          <w:color w:val="000000" w:themeColor="text1"/>
          <w:kern w:val="0"/>
          <w:sz w:val="36"/>
          <w:szCs w:val="36"/>
          <w:lang w:eastAsia="en-GB"/>
          <w14:ligatures w14:val="none"/>
        </w:rPr>
      </w:pPr>
    </w:p>
    <w:p w14:paraId="103BC19F" w14:textId="77777777" w:rsidR="00F8371C" w:rsidRPr="00650C77" w:rsidRDefault="00F8371C" w:rsidP="006A6781">
      <w:pPr>
        <w:rPr>
          <w:rFonts w:ascii="Arial" w:eastAsia="Times New Roman" w:hAnsi="Arial" w:cs="Arial"/>
          <w:b/>
          <w:bCs/>
          <w:color w:val="000000" w:themeColor="text1"/>
          <w:kern w:val="0"/>
          <w:sz w:val="36"/>
          <w:szCs w:val="36"/>
          <w:lang w:eastAsia="en-GB"/>
          <w14:ligatures w14:val="none"/>
        </w:rPr>
      </w:pPr>
    </w:p>
    <w:p w14:paraId="3DC6F59A" w14:textId="77777777" w:rsidR="00F8371C" w:rsidRPr="00650C77" w:rsidRDefault="00F8371C" w:rsidP="006A6781">
      <w:pPr>
        <w:rPr>
          <w:rFonts w:ascii="Arial" w:eastAsia="Times New Roman" w:hAnsi="Arial" w:cs="Arial"/>
          <w:b/>
          <w:bCs/>
          <w:color w:val="000000" w:themeColor="text1"/>
          <w:kern w:val="0"/>
          <w:sz w:val="36"/>
          <w:szCs w:val="36"/>
          <w:lang w:eastAsia="en-GB"/>
          <w14:ligatures w14:val="none"/>
        </w:rPr>
      </w:pPr>
    </w:p>
    <w:p w14:paraId="41C363CA" w14:textId="77777777" w:rsidR="00DB0EE4" w:rsidRPr="00650C77" w:rsidRDefault="00DB0EE4" w:rsidP="00DB0EE4">
      <w:pPr>
        <w:spacing w:after="80" w:line="240" w:lineRule="auto"/>
        <w:contextualSpacing/>
        <w:rPr>
          <w:rFonts w:ascii="Arial" w:eastAsia="Times New Roman" w:hAnsi="Arial" w:cs="Arial"/>
          <w:b/>
          <w:bCs/>
          <w:color w:val="000000" w:themeColor="text1"/>
          <w:kern w:val="0"/>
          <w:sz w:val="36"/>
          <w:szCs w:val="36"/>
          <w:lang w:eastAsia="en-GB"/>
          <w14:ligatures w14:val="none"/>
        </w:rPr>
      </w:pPr>
    </w:p>
    <w:p w14:paraId="41BCEA4E" w14:textId="5944DC47" w:rsidR="00CE6BFE" w:rsidRPr="00650C77" w:rsidRDefault="00CE6BFE" w:rsidP="00DB0EE4">
      <w:pPr>
        <w:spacing w:after="80" w:line="240" w:lineRule="auto"/>
        <w:contextualSpacing/>
        <w:jc w:val="center"/>
        <w:rPr>
          <w:rFonts w:eastAsiaTheme="minorEastAsia"/>
          <w:color w:val="000000" w:themeColor="text1"/>
          <w:kern w:val="0"/>
          <w14:ligatures w14:val="none"/>
        </w:rPr>
      </w:pPr>
      <w:r w:rsidRPr="00650C77">
        <w:rPr>
          <w:rFonts w:ascii="Arial" w:eastAsiaTheme="majorEastAsia" w:hAnsi="Arial" w:cs="Arial"/>
          <w:b/>
          <w:bCs/>
          <w:color w:val="000000" w:themeColor="text1"/>
          <w:spacing w:val="-10"/>
          <w:kern w:val="28"/>
          <w:sz w:val="32"/>
          <w:szCs w:val="32"/>
        </w:rPr>
        <w:lastRenderedPageBreak/>
        <w:t>Table of Contents:</w:t>
      </w:r>
    </w:p>
    <w:tbl>
      <w:tblPr>
        <w:tblStyle w:val="TableGrid3"/>
        <w:tblpPr w:leftFromText="180" w:rightFromText="180" w:tblpY="595"/>
        <w:tblW w:w="0" w:type="auto"/>
        <w:tblLook w:val="04A0" w:firstRow="1" w:lastRow="0" w:firstColumn="1" w:lastColumn="0" w:noHBand="0" w:noVBand="1"/>
      </w:tblPr>
      <w:tblGrid>
        <w:gridCol w:w="9016"/>
      </w:tblGrid>
      <w:tr w:rsidR="00650C77" w:rsidRPr="00650C77" w14:paraId="701579EF" w14:textId="77777777" w:rsidTr="00881333">
        <w:trPr>
          <w:trHeight w:val="5235"/>
        </w:trPr>
        <w:tc>
          <w:tcPr>
            <w:tcW w:w="9016" w:type="dxa"/>
            <w:shd w:val="clear" w:color="auto" w:fill="DEEAF6" w:themeFill="accent5" w:themeFillTint="33"/>
          </w:tcPr>
          <w:p w14:paraId="18AC6B50" w14:textId="77777777" w:rsidR="00F8371C" w:rsidRPr="00650C77" w:rsidRDefault="00F8371C" w:rsidP="00F8371C">
            <w:pPr>
              <w:tabs>
                <w:tab w:val="right" w:leader="dot" w:pos="9360"/>
              </w:tabs>
              <w:spacing w:line="276" w:lineRule="auto"/>
              <w:rPr>
                <w:rFonts w:ascii="Arial" w:hAnsi="Arial" w:cs="Arial"/>
                <w:b/>
                <w:bCs/>
                <w:color w:val="000000" w:themeColor="text1"/>
                <w:lang w:val="en-US"/>
              </w:rPr>
            </w:pPr>
            <w:r w:rsidRPr="00650C77">
              <w:rPr>
                <w:rFonts w:ascii="Arial" w:hAnsi="Arial" w:cs="Arial"/>
                <w:b/>
                <w:bCs/>
                <w:color w:val="000000" w:themeColor="text1"/>
                <w:lang w:val="en-US"/>
              </w:rPr>
              <w:t>Chapter 1: Introduction</w:t>
            </w:r>
          </w:p>
          <w:p w14:paraId="299D8FEA" w14:textId="45D8EE6B"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1.1 Introduction</w:t>
            </w:r>
            <w:r w:rsidRPr="00650C77">
              <w:rPr>
                <w:rFonts w:ascii="Arial" w:hAnsi="Arial" w:cs="Arial"/>
                <w:b/>
                <w:bCs/>
                <w:color w:val="000000" w:themeColor="text1"/>
                <w:sz w:val="20"/>
                <w:szCs w:val="20"/>
                <w:lang w:val="en-US"/>
              </w:rPr>
              <w:tab/>
            </w:r>
            <w:r w:rsidR="00974AF9">
              <w:rPr>
                <w:rFonts w:ascii="Arial" w:hAnsi="Arial" w:cs="Arial"/>
                <w:b/>
                <w:bCs/>
                <w:color w:val="000000" w:themeColor="text1"/>
                <w:sz w:val="20"/>
                <w:szCs w:val="20"/>
                <w:lang w:val="en-US"/>
              </w:rPr>
              <w:t>7</w:t>
            </w:r>
          </w:p>
          <w:p w14:paraId="1CA6D229" w14:textId="057698A2"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1.2 Definitions and Terminology</w:t>
            </w:r>
            <w:r w:rsidRPr="00650C77">
              <w:rPr>
                <w:rFonts w:ascii="Arial" w:hAnsi="Arial" w:cs="Arial"/>
                <w:b/>
                <w:bCs/>
                <w:color w:val="000000" w:themeColor="text1"/>
                <w:sz w:val="20"/>
                <w:szCs w:val="20"/>
                <w:lang w:val="en-US"/>
              </w:rPr>
              <w:tab/>
            </w:r>
            <w:r w:rsidR="00974AF9">
              <w:rPr>
                <w:rFonts w:ascii="Arial" w:hAnsi="Arial" w:cs="Arial"/>
                <w:b/>
                <w:bCs/>
                <w:color w:val="000000" w:themeColor="text1"/>
                <w:sz w:val="20"/>
                <w:szCs w:val="20"/>
                <w:lang w:val="en-US"/>
              </w:rPr>
              <w:t>8</w:t>
            </w:r>
          </w:p>
          <w:p w14:paraId="46D933AE" w14:textId="2410DE24"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1.2.1 Key Definitions</w:t>
            </w:r>
            <w:r w:rsidRPr="00650C77">
              <w:rPr>
                <w:rFonts w:ascii="Arial" w:hAnsi="Arial" w:cs="Arial"/>
                <w:b/>
                <w:bCs/>
                <w:color w:val="000000" w:themeColor="text1"/>
                <w:sz w:val="20"/>
                <w:szCs w:val="20"/>
                <w:lang w:val="en-US"/>
              </w:rPr>
              <w:tab/>
            </w:r>
            <w:r w:rsidR="00A126F2">
              <w:rPr>
                <w:rFonts w:ascii="Arial" w:hAnsi="Arial" w:cs="Arial"/>
                <w:b/>
                <w:bCs/>
                <w:color w:val="000000" w:themeColor="text1"/>
                <w:sz w:val="20"/>
                <w:szCs w:val="20"/>
                <w:lang w:val="en-US"/>
              </w:rPr>
              <w:t>8</w:t>
            </w:r>
          </w:p>
          <w:p w14:paraId="15A06A50" w14:textId="07E1D9D4"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1.2.2 Acronyms and Abbreviations</w:t>
            </w:r>
            <w:r w:rsidRPr="00650C77">
              <w:rPr>
                <w:rFonts w:ascii="Arial" w:hAnsi="Arial" w:cs="Arial"/>
                <w:b/>
                <w:bCs/>
                <w:color w:val="000000" w:themeColor="text1"/>
                <w:sz w:val="20"/>
                <w:szCs w:val="20"/>
                <w:lang w:val="en-US"/>
              </w:rPr>
              <w:tab/>
            </w:r>
            <w:r w:rsidR="00A126F2">
              <w:rPr>
                <w:rFonts w:ascii="Arial" w:hAnsi="Arial" w:cs="Arial"/>
                <w:b/>
                <w:bCs/>
                <w:color w:val="000000" w:themeColor="text1"/>
                <w:sz w:val="20"/>
                <w:szCs w:val="20"/>
                <w:lang w:val="en-US"/>
              </w:rPr>
              <w:t>8</w:t>
            </w:r>
          </w:p>
          <w:p w14:paraId="461B3935" w14:textId="6B5D0CE3"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1.3 Background and Current Context</w:t>
            </w:r>
            <w:r w:rsidRPr="00650C77">
              <w:rPr>
                <w:rFonts w:ascii="Arial" w:hAnsi="Arial" w:cs="Arial"/>
                <w:b/>
                <w:bCs/>
                <w:color w:val="000000" w:themeColor="text1"/>
                <w:sz w:val="20"/>
                <w:szCs w:val="20"/>
                <w:lang w:val="en-US"/>
              </w:rPr>
              <w:tab/>
            </w:r>
            <w:r w:rsidR="00A126F2">
              <w:rPr>
                <w:rFonts w:ascii="Arial" w:hAnsi="Arial" w:cs="Arial"/>
                <w:b/>
                <w:bCs/>
                <w:color w:val="000000" w:themeColor="text1"/>
                <w:sz w:val="20"/>
                <w:szCs w:val="20"/>
                <w:lang w:val="en-US"/>
              </w:rPr>
              <w:t>9</w:t>
            </w:r>
          </w:p>
          <w:p w14:paraId="1D6E7E4C" w14:textId="667B605A"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1.3.1 Historical Background</w:t>
            </w:r>
            <w:r w:rsidRPr="00650C77">
              <w:rPr>
                <w:rFonts w:ascii="Arial" w:hAnsi="Arial" w:cs="Arial"/>
                <w:b/>
                <w:bCs/>
                <w:color w:val="000000" w:themeColor="text1"/>
                <w:sz w:val="20"/>
                <w:szCs w:val="20"/>
                <w:lang w:val="en-US"/>
              </w:rPr>
              <w:tab/>
            </w:r>
            <w:r w:rsidR="00A126F2">
              <w:rPr>
                <w:rFonts w:ascii="Arial" w:hAnsi="Arial" w:cs="Arial"/>
                <w:b/>
                <w:bCs/>
                <w:color w:val="000000" w:themeColor="text1"/>
                <w:sz w:val="20"/>
                <w:szCs w:val="20"/>
                <w:lang w:val="en-US"/>
              </w:rPr>
              <w:t>9</w:t>
            </w:r>
          </w:p>
          <w:p w14:paraId="32EFED7F" w14:textId="0A5FE9FF"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1.3.2 Current Context</w:t>
            </w:r>
            <w:r w:rsidRPr="00650C77">
              <w:rPr>
                <w:rFonts w:ascii="Arial" w:hAnsi="Arial" w:cs="Arial"/>
                <w:b/>
                <w:bCs/>
                <w:color w:val="000000" w:themeColor="text1"/>
                <w:sz w:val="20"/>
                <w:szCs w:val="20"/>
                <w:lang w:val="en-US"/>
              </w:rPr>
              <w:tab/>
            </w:r>
            <w:r w:rsidR="00A126F2">
              <w:rPr>
                <w:rFonts w:ascii="Arial" w:hAnsi="Arial" w:cs="Arial"/>
                <w:b/>
                <w:bCs/>
                <w:color w:val="000000" w:themeColor="text1"/>
                <w:sz w:val="20"/>
                <w:szCs w:val="20"/>
                <w:lang w:val="en-US"/>
              </w:rPr>
              <w:t>9</w:t>
            </w:r>
          </w:p>
          <w:p w14:paraId="3976EA58" w14:textId="5590E95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1.4 Rationale for Research</w:t>
            </w:r>
            <w:r w:rsidRPr="00650C77">
              <w:rPr>
                <w:rFonts w:ascii="Arial" w:hAnsi="Arial" w:cs="Arial"/>
                <w:b/>
                <w:bCs/>
                <w:color w:val="000000" w:themeColor="text1"/>
                <w:sz w:val="20"/>
                <w:szCs w:val="20"/>
                <w:lang w:val="en-US"/>
              </w:rPr>
              <w:tab/>
            </w:r>
            <w:r w:rsidR="00A126F2">
              <w:rPr>
                <w:rFonts w:ascii="Arial" w:hAnsi="Arial" w:cs="Arial"/>
                <w:b/>
                <w:bCs/>
                <w:color w:val="000000" w:themeColor="text1"/>
                <w:sz w:val="20"/>
                <w:szCs w:val="20"/>
                <w:lang w:val="en-US"/>
              </w:rPr>
              <w:t>9</w:t>
            </w:r>
          </w:p>
          <w:p w14:paraId="2208F734" w14:textId="540EBBB0"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1.5 Aim and Objectives</w:t>
            </w:r>
            <w:r w:rsidRPr="00650C77">
              <w:rPr>
                <w:rFonts w:ascii="Arial" w:hAnsi="Arial" w:cs="Arial"/>
                <w:b/>
                <w:bCs/>
                <w:color w:val="000000" w:themeColor="text1"/>
                <w:sz w:val="20"/>
                <w:szCs w:val="20"/>
                <w:lang w:val="en-US"/>
              </w:rPr>
              <w:tab/>
            </w:r>
            <w:r w:rsidR="00A126F2">
              <w:rPr>
                <w:rFonts w:ascii="Arial" w:hAnsi="Arial" w:cs="Arial"/>
                <w:b/>
                <w:bCs/>
                <w:color w:val="000000" w:themeColor="text1"/>
                <w:sz w:val="20"/>
                <w:szCs w:val="20"/>
                <w:lang w:val="en-US"/>
              </w:rPr>
              <w:t>10</w:t>
            </w:r>
          </w:p>
          <w:p w14:paraId="4D00596F" w14:textId="514AC8E7"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1.5.1 Research Aim</w:t>
            </w:r>
            <w:r w:rsidRPr="00650C77">
              <w:rPr>
                <w:rFonts w:ascii="Arial" w:hAnsi="Arial" w:cs="Arial"/>
                <w:b/>
                <w:bCs/>
                <w:color w:val="000000" w:themeColor="text1"/>
                <w:sz w:val="20"/>
                <w:szCs w:val="20"/>
                <w:lang w:val="en-US"/>
              </w:rPr>
              <w:tab/>
            </w:r>
            <w:r w:rsidR="00A126F2">
              <w:rPr>
                <w:rFonts w:ascii="Arial" w:hAnsi="Arial" w:cs="Arial"/>
                <w:b/>
                <w:bCs/>
                <w:color w:val="000000" w:themeColor="text1"/>
                <w:sz w:val="20"/>
                <w:szCs w:val="20"/>
                <w:lang w:val="en-US"/>
              </w:rPr>
              <w:t>10</w:t>
            </w:r>
          </w:p>
          <w:p w14:paraId="2173E579" w14:textId="1A1A1910"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1.5.2 Research Objectives</w:t>
            </w:r>
            <w:r w:rsidRPr="00650C77">
              <w:rPr>
                <w:rFonts w:ascii="Arial" w:hAnsi="Arial" w:cs="Arial"/>
                <w:b/>
                <w:bCs/>
                <w:color w:val="000000" w:themeColor="text1"/>
                <w:sz w:val="20"/>
                <w:szCs w:val="20"/>
                <w:lang w:val="en-US"/>
              </w:rPr>
              <w:tab/>
            </w:r>
            <w:r w:rsidR="00A126F2">
              <w:rPr>
                <w:rFonts w:ascii="Arial" w:hAnsi="Arial" w:cs="Arial"/>
                <w:b/>
                <w:bCs/>
                <w:color w:val="000000" w:themeColor="text1"/>
                <w:sz w:val="20"/>
                <w:szCs w:val="20"/>
                <w:lang w:val="en-US"/>
              </w:rPr>
              <w:t>10</w:t>
            </w:r>
          </w:p>
          <w:p w14:paraId="763706E1" w14:textId="4E7B3A93"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 xml:space="preserve">1.6 Chapter </w:t>
            </w:r>
            <w:r w:rsidR="00240CAF">
              <w:rPr>
                <w:rFonts w:ascii="Arial" w:hAnsi="Arial" w:cs="Arial"/>
                <w:b/>
                <w:bCs/>
                <w:color w:val="000000" w:themeColor="text1"/>
                <w:lang w:val="en-US"/>
              </w:rPr>
              <w:t>Conclusion</w:t>
            </w:r>
            <w:r w:rsidRPr="00650C77">
              <w:rPr>
                <w:rFonts w:ascii="Arial" w:hAnsi="Arial" w:cs="Arial"/>
                <w:b/>
                <w:bCs/>
                <w:color w:val="000000" w:themeColor="text1"/>
                <w:sz w:val="20"/>
                <w:szCs w:val="20"/>
                <w:lang w:val="en-US"/>
              </w:rPr>
              <w:tab/>
            </w:r>
            <w:r w:rsidR="00A126F2">
              <w:rPr>
                <w:rFonts w:ascii="Arial" w:hAnsi="Arial" w:cs="Arial"/>
                <w:b/>
                <w:bCs/>
                <w:color w:val="000000" w:themeColor="text1"/>
                <w:sz w:val="20"/>
                <w:szCs w:val="20"/>
                <w:lang w:val="en-US"/>
              </w:rPr>
              <w:t>1</w:t>
            </w:r>
            <w:r w:rsidR="00240CAF">
              <w:rPr>
                <w:rFonts w:ascii="Arial" w:hAnsi="Arial" w:cs="Arial"/>
                <w:b/>
                <w:bCs/>
                <w:color w:val="000000" w:themeColor="text1"/>
                <w:sz w:val="20"/>
                <w:szCs w:val="20"/>
                <w:lang w:val="en-US"/>
              </w:rPr>
              <w:t>0</w:t>
            </w:r>
          </w:p>
          <w:p w14:paraId="380FE139" w14:textId="77777777" w:rsidR="00F8371C" w:rsidRPr="00650C77" w:rsidRDefault="00F8371C" w:rsidP="00F8371C">
            <w:pPr>
              <w:spacing w:line="276" w:lineRule="auto"/>
              <w:rPr>
                <w:rFonts w:ascii="Arial" w:hAnsi="Arial" w:cs="Arial"/>
                <w:b/>
                <w:bCs/>
                <w:color w:val="000000" w:themeColor="text1"/>
                <w:sz w:val="20"/>
                <w:szCs w:val="20"/>
                <w:lang w:val="en-US"/>
              </w:rPr>
            </w:pPr>
          </w:p>
          <w:p w14:paraId="5440085F" w14:textId="77777777" w:rsidR="00F8371C" w:rsidRPr="00650C77" w:rsidRDefault="00F8371C" w:rsidP="00F8371C">
            <w:pPr>
              <w:tabs>
                <w:tab w:val="right" w:leader="dot" w:pos="9360"/>
              </w:tabs>
              <w:spacing w:line="276" w:lineRule="auto"/>
              <w:rPr>
                <w:rFonts w:ascii="Arial" w:hAnsi="Arial" w:cs="Arial"/>
                <w:b/>
                <w:bCs/>
                <w:color w:val="000000" w:themeColor="text1"/>
                <w:lang w:val="en-US"/>
              </w:rPr>
            </w:pPr>
            <w:r w:rsidRPr="00650C77">
              <w:rPr>
                <w:rFonts w:ascii="Arial" w:hAnsi="Arial" w:cs="Arial"/>
                <w:b/>
                <w:bCs/>
                <w:color w:val="000000" w:themeColor="text1"/>
                <w:lang w:val="en-US"/>
              </w:rPr>
              <w:t>Chapter 2: Background Information and Analysis</w:t>
            </w:r>
          </w:p>
          <w:p w14:paraId="378DF4FC" w14:textId="745DE22B"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2.1 Introduction</w:t>
            </w:r>
            <w:r w:rsidRPr="00650C77">
              <w:rPr>
                <w:rFonts w:ascii="Arial" w:hAnsi="Arial" w:cs="Arial"/>
                <w:b/>
                <w:bCs/>
                <w:color w:val="000000" w:themeColor="text1"/>
                <w:sz w:val="20"/>
                <w:szCs w:val="20"/>
                <w:lang w:val="en-US"/>
              </w:rPr>
              <w:tab/>
            </w:r>
            <w:r w:rsidR="00FE4501">
              <w:rPr>
                <w:rFonts w:ascii="Arial" w:hAnsi="Arial" w:cs="Arial"/>
                <w:b/>
                <w:bCs/>
                <w:color w:val="000000" w:themeColor="text1"/>
                <w:sz w:val="20"/>
                <w:szCs w:val="20"/>
                <w:lang w:val="en-US"/>
              </w:rPr>
              <w:t>11</w:t>
            </w:r>
          </w:p>
          <w:p w14:paraId="5BFC4488" w14:textId="1EFD7620"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2.2 Understanding Schizophrenia</w:t>
            </w:r>
            <w:r w:rsidRPr="00650C77">
              <w:rPr>
                <w:rFonts w:ascii="Arial" w:hAnsi="Arial" w:cs="Arial"/>
                <w:b/>
                <w:bCs/>
                <w:color w:val="000000" w:themeColor="text1"/>
                <w:sz w:val="20"/>
                <w:szCs w:val="20"/>
                <w:lang w:val="en-US"/>
              </w:rPr>
              <w:tab/>
              <w:t>1</w:t>
            </w:r>
            <w:r w:rsidR="00FE4501">
              <w:rPr>
                <w:rFonts w:ascii="Arial" w:hAnsi="Arial" w:cs="Arial"/>
                <w:b/>
                <w:bCs/>
                <w:color w:val="000000" w:themeColor="text1"/>
                <w:sz w:val="20"/>
                <w:szCs w:val="20"/>
                <w:lang w:val="en-US"/>
              </w:rPr>
              <w:t>2</w:t>
            </w:r>
          </w:p>
          <w:p w14:paraId="2DB8B1AE" w14:textId="0CBDEE12"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2.3 Historical Background</w:t>
            </w:r>
            <w:r w:rsidRPr="00650C77">
              <w:rPr>
                <w:rFonts w:ascii="Arial" w:hAnsi="Arial" w:cs="Arial"/>
                <w:b/>
                <w:bCs/>
                <w:color w:val="000000" w:themeColor="text1"/>
                <w:sz w:val="20"/>
                <w:szCs w:val="20"/>
                <w:lang w:val="en-US"/>
              </w:rPr>
              <w:tab/>
              <w:t>1</w:t>
            </w:r>
            <w:r w:rsidR="00FE4501">
              <w:rPr>
                <w:rFonts w:ascii="Arial" w:hAnsi="Arial" w:cs="Arial"/>
                <w:b/>
                <w:bCs/>
                <w:color w:val="000000" w:themeColor="text1"/>
                <w:sz w:val="20"/>
                <w:szCs w:val="20"/>
                <w:lang w:val="en-US"/>
              </w:rPr>
              <w:t>3</w:t>
            </w:r>
          </w:p>
          <w:p w14:paraId="21852D8A" w14:textId="7E15B311"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2.4 Theoretical Background</w:t>
            </w:r>
            <w:r w:rsidRPr="00650C77">
              <w:rPr>
                <w:rFonts w:ascii="Arial" w:hAnsi="Arial" w:cs="Arial"/>
                <w:b/>
                <w:bCs/>
                <w:color w:val="000000" w:themeColor="text1"/>
                <w:sz w:val="20"/>
                <w:szCs w:val="20"/>
                <w:lang w:val="en-US"/>
              </w:rPr>
              <w:tab/>
              <w:t>1</w:t>
            </w:r>
            <w:r w:rsidR="00FE4501">
              <w:rPr>
                <w:rFonts w:ascii="Arial" w:hAnsi="Arial" w:cs="Arial"/>
                <w:b/>
                <w:bCs/>
                <w:color w:val="000000" w:themeColor="text1"/>
                <w:sz w:val="20"/>
                <w:szCs w:val="20"/>
                <w:lang w:val="en-US"/>
              </w:rPr>
              <w:t>4</w:t>
            </w:r>
          </w:p>
          <w:p w14:paraId="0D30CBFF" w14:textId="07067B74"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2.4.1 Biopsychosocial Model</w:t>
            </w:r>
            <w:r w:rsidRPr="00650C77">
              <w:rPr>
                <w:rFonts w:ascii="Arial" w:hAnsi="Arial" w:cs="Arial"/>
                <w:b/>
                <w:bCs/>
                <w:color w:val="000000" w:themeColor="text1"/>
                <w:sz w:val="20"/>
                <w:szCs w:val="20"/>
                <w:lang w:val="en-US"/>
              </w:rPr>
              <w:tab/>
              <w:t>1</w:t>
            </w:r>
            <w:r w:rsidR="00FE4501">
              <w:rPr>
                <w:rFonts w:ascii="Arial" w:hAnsi="Arial" w:cs="Arial"/>
                <w:b/>
                <w:bCs/>
                <w:color w:val="000000" w:themeColor="text1"/>
                <w:sz w:val="20"/>
                <w:szCs w:val="20"/>
                <w:lang w:val="en-US"/>
              </w:rPr>
              <w:t>4</w:t>
            </w:r>
          </w:p>
          <w:p w14:paraId="240EA658" w14:textId="266FC5DA"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2.4.2 Recovery-Oriented Framework</w:t>
            </w:r>
            <w:r w:rsidRPr="00650C77">
              <w:rPr>
                <w:rFonts w:ascii="Arial" w:hAnsi="Arial" w:cs="Arial"/>
                <w:b/>
                <w:bCs/>
                <w:color w:val="000000" w:themeColor="text1"/>
                <w:sz w:val="20"/>
                <w:szCs w:val="20"/>
                <w:lang w:val="en-US"/>
              </w:rPr>
              <w:tab/>
              <w:t>1</w:t>
            </w:r>
            <w:r w:rsidR="00FE4501">
              <w:rPr>
                <w:rFonts w:ascii="Arial" w:hAnsi="Arial" w:cs="Arial"/>
                <w:b/>
                <w:bCs/>
                <w:color w:val="000000" w:themeColor="text1"/>
                <w:sz w:val="20"/>
                <w:szCs w:val="20"/>
                <w:lang w:val="en-US"/>
              </w:rPr>
              <w:t>4</w:t>
            </w:r>
          </w:p>
          <w:p w14:paraId="611033FE" w14:textId="258FE7B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2.4.3 Chronic Care Model</w:t>
            </w:r>
            <w:r w:rsidRPr="00650C77">
              <w:rPr>
                <w:rFonts w:ascii="Arial" w:hAnsi="Arial" w:cs="Arial"/>
                <w:b/>
                <w:bCs/>
                <w:color w:val="000000" w:themeColor="text1"/>
                <w:sz w:val="20"/>
                <w:szCs w:val="20"/>
                <w:lang w:val="en-US"/>
              </w:rPr>
              <w:tab/>
              <w:t>1</w:t>
            </w:r>
            <w:r w:rsidR="00FE4501">
              <w:rPr>
                <w:rFonts w:ascii="Arial" w:hAnsi="Arial" w:cs="Arial"/>
                <w:b/>
                <w:bCs/>
                <w:color w:val="000000" w:themeColor="text1"/>
                <w:sz w:val="20"/>
                <w:szCs w:val="20"/>
                <w:lang w:val="en-US"/>
              </w:rPr>
              <w:t>5</w:t>
            </w:r>
          </w:p>
          <w:p w14:paraId="45A76FB0" w14:textId="28526D2C"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2.4.4 Integrated Systems Theory</w:t>
            </w:r>
            <w:r w:rsidRPr="00650C77">
              <w:rPr>
                <w:rFonts w:ascii="Arial" w:hAnsi="Arial" w:cs="Arial"/>
                <w:b/>
                <w:bCs/>
                <w:color w:val="000000" w:themeColor="text1"/>
                <w:sz w:val="20"/>
                <w:szCs w:val="20"/>
                <w:lang w:val="en-US"/>
              </w:rPr>
              <w:tab/>
              <w:t>1</w:t>
            </w:r>
            <w:r w:rsidR="00FE4501">
              <w:rPr>
                <w:rFonts w:ascii="Arial" w:hAnsi="Arial" w:cs="Arial"/>
                <w:b/>
                <w:bCs/>
                <w:color w:val="000000" w:themeColor="text1"/>
                <w:sz w:val="20"/>
                <w:szCs w:val="20"/>
                <w:lang w:val="en-US"/>
              </w:rPr>
              <w:t>5</w:t>
            </w:r>
          </w:p>
          <w:p w14:paraId="437499AA" w14:textId="6356129E"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2.4.5 Intersectionality and Inequality</w:t>
            </w:r>
            <w:r w:rsidRPr="00650C77">
              <w:rPr>
                <w:rFonts w:ascii="Arial" w:hAnsi="Arial" w:cs="Arial"/>
                <w:b/>
                <w:bCs/>
                <w:color w:val="000000" w:themeColor="text1"/>
                <w:sz w:val="20"/>
                <w:szCs w:val="20"/>
                <w:lang w:val="en-US"/>
              </w:rPr>
              <w:tab/>
            </w:r>
            <w:r w:rsidR="00FE4501">
              <w:rPr>
                <w:rFonts w:ascii="Arial" w:hAnsi="Arial" w:cs="Arial"/>
                <w:b/>
                <w:bCs/>
                <w:color w:val="000000" w:themeColor="text1"/>
                <w:sz w:val="20"/>
                <w:szCs w:val="20"/>
                <w:lang w:val="en-US"/>
              </w:rPr>
              <w:t>1</w:t>
            </w:r>
            <w:r w:rsidR="002A42EA">
              <w:rPr>
                <w:rFonts w:ascii="Arial" w:hAnsi="Arial" w:cs="Arial"/>
                <w:b/>
                <w:bCs/>
                <w:color w:val="000000" w:themeColor="text1"/>
                <w:sz w:val="20"/>
                <w:szCs w:val="20"/>
                <w:lang w:val="en-US"/>
              </w:rPr>
              <w:t>5</w:t>
            </w:r>
          </w:p>
          <w:p w14:paraId="6B37E9B8" w14:textId="66D0CCB4"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2.5 International Context</w:t>
            </w:r>
            <w:r w:rsidRPr="00650C77">
              <w:rPr>
                <w:rFonts w:ascii="Arial" w:hAnsi="Arial" w:cs="Arial"/>
                <w:b/>
                <w:bCs/>
                <w:color w:val="000000" w:themeColor="text1"/>
                <w:sz w:val="20"/>
                <w:szCs w:val="20"/>
                <w:lang w:val="en-US"/>
              </w:rPr>
              <w:tab/>
            </w:r>
            <w:r w:rsidR="002A42EA">
              <w:rPr>
                <w:rFonts w:ascii="Arial" w:hAnsi="Arial" w:cs="Arial"/>
                <w:b/>
                <w:bCs/>
                <w:color w:val="000000" w:themeColor="text1"/>
                <w:sz w:val="20"/>
                <w:szCs w:val="20"/>
                <w:lang w:val="en-US"/>
              </w:rPr>
              <w:t>16</w:t>
            </w:r>
          </w:p>
          <w:p w14:paraId="5B0E2550" w14:textId="45D38EFB"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2.6 National and Local UK Context</w:t>
            </w:r>
            <w:r w:rsidRPr="00650C77">
              <w:rPr>
                <w:rFonts w:ascii="Arial" w:hAnsi="Arial" w:cs="Arial"/>
                <w:b/>
                <w:bCs/>
                <w:color w:val="000000" w:themeColor="text1"/>
                <w:sz w:val="20"/>
                <w:szCs w:val="20"/>
                <w:lang w:val="en-US"/>
              </w:rPr>
              <w:tab/>
            </w:r>
            <w:r w:rsidR="002A42EA">
              <w:rPr>
                <w:rFonts w:ascii="Arial" w:hAnsi="Arial" w:cs="Arial"/>
                <w:b/>
                <w:bCs/>
                <w:color w:val="000000" w:themeColor="text1"/>
                <w:sz w:val="20"/>
                <w:szCs w:val="20"/>
                <w:lang w:val="en-US"/>
              </w:rPr>
              <w:t>17</w:t>
            </w:r>
          </w:p>
          <w:p w14:paraId="48BA5670" w14:textId="1068B596"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2.6.1 National Policy Frameworks</w:t>
            </w:r>
            <w:r w:rsidRPr="00650C77">
              <w:rPr>
                <w:rFonts w:ascii="Arial" w:hAnsi="Arial" w:cs="Arial"/>
                <w:b/>
                <w:bCs/>
                <w:color w:val="000000" w:themeColor="text1"/>
                <w:sz w:val="20"/>
                <w:szCs w:val="20"/>
                <w:lang w:val="en-US"/>
              </w:rPr>
              <w:tab/>
            </w:r>
            <w:r w:rsidR="002A42EA">
              <w:rPr>
                <w:rFonts w:ascii="Arial" w:hAnsi="Arial" w:cs="Arial"/>
                <w:b/>
                <w:bCs/>
                <w:color w:val="000000" w:themeColor="text1"/>
                <w:sz w:val="20"/>
                <w:szCs w:val="20"/>
                <w:lang w:val="en-US"/>
              </w:rPr>
              <w:t>17</w:t>
            </w:r>
          </w:p>
          <w:p w14:paraId="2F92E180" w14:textId="51D9BAB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2.6.2 Local and Regional Implementation</w:t>
            </w:r>
            <w:r w:rsidRPr="00650C77">
              <w:rPr>
                <w:rFonts w:ascii="Arial" w:hAnsi="Arial" w:cs="Arial"/>
                <w:b/>
                <w:bCs/>
                <w:color w:val="000000" w:themeColor="text1"/>
                <w:sz w:val="20"/>
                <w:szCs w:val="20"/>
                <w:lang w:val="en-US"/>
              </w:rPr>
              <w:tab/>
            </w:r>
            <w:r w:rsidR="002A42EA">
              <w:rPr>
                <w:rFonts w:ascii="Arial" w:hAnsi="Arial" w:cs="Arial"/>
                <w:b/>
                <w:bCs/>
                <w:color w:val="000000" w:themeColor="text1"/>
                <w:sz w:val="20"/>
                <w:szCs w:val="20"/>
                <w:lang w:val="en-US"/>
              </w:rPr>
              <w:t>17</w:t>
            </w:r>
          </w:p>
          <w:p w14:paraId="30E1CB09" w14:textId="42D04583"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 xml:space="preserve">2.7 Chapter </w:t>
            </w:r>
            <w:r w:rsidR="002A42EA">
              <w:rPr>
                <w:rFonts w:ascii="Arial" w:hAnsi="Arial" w:cs="Arial"/>
                <w:b/>
                <w:bCs/>
                <w:color w:val="000000" w:themeColor="text1"/>
                <w:lang w:val="en-US"/>
              </w:rPr>
              <w:t>Conclusion</w:t>
            </w:r>
            <w:r w:rsidRPr="00650C77">
              <w:rPr>
                <w:rFonts w:ascii="Arial" w:hAnsi="Arial" w:cs="Arial"/>
                <w:b/>
                <w:bCs/>
                <w:color w:val="000000" w:themeColor="text1"/>
                <w:sz w:val="20"/>
                <w:szCs w:val="20"/>
                <w:lang w:val="en-US"/>
              </w:rPr>
              <w:tab/>
            </w:r>
            <w:r w:rsidR="002A42EA">
              <w:rPr>
                <w:rFonts w:ascii="Arial" w:hAnsi="Arial" w:cs="Arial"/>
                <w:b/>
                <w:bCs/>
                <w:color w:val="000000" w:themeColor="text1"/>
                <w:sz w:val="20"/>
                <w:szCs w:val="20"/>
                <w:lang w:val="en-US"/>
              </w:rPr>
              <w:t>18</w:t>
            </w:r>
          </w:p>
          <w:p w14:paraId="6136E272" w14:textId="77777777" w:rsidR="00F8371C" w:rsidRPr="00650C77" w:rsidRDefault="00F8371C" w:rsidP="00F8371C">
            <w:pPr>
              <w:spacing w:line="276" w:lineRule="auto"/>
              <w:rPr>
                <w:rFonts w:ascii="Arial" w:hAnsi="Arial" w:cs="Arial"/>
                <w:b/>
                <w:bCs/>
                <w:color w:val="000000" w:themeColor="text1"/>
                <w:sz w:val="20"/>
                <w:szCs w:val="20"/>
                <w:lang w:val="en-US"/>
              </w:rPr>
            </w:pPr>
          </w:p>
          <w:p w14:paraId="119A28E0" w14:textId="77777777" w:rsidR="00F8371C" w:rsidRPr="00650C77" w:rsidRDefault="00F8371C" w:rsidP="00F8371C">
            <w:pPr>
              <w:tabs>
                <w:tab w:val="right" w:leader="dot" w:pos="9360"/>
              </w:tabs>
              <w:spacing w:line="276" w:lineRule="auto"/>
              <w:rPr>
                <w:rFonts w:ascii="Arial" w:hAnsi="Arial" w:cs="Arial"/>
                <w:b/>
                <w:bCs/>
                <w:color w:val="000000" w:themeColor="text1"/>
                <w:lang w:val="en-US"/>
              </w:rPr>
            </w:pPr>
            <w:r w:rsidRPr="00650C77">
              <w:rPr>
                <w:rFonts w:ascii="Arial" w:hAnsi="Arial" w:cs="Arial"/>
                <w:b/>
                <w:bCs/>
                <w:color w:val="000000" w:themeColor="text1"/>
                <w:lang w:val="en-US"/>
              </w:rPr>
              <w:t>Chapter 3: Methods and Search Strategy</w:t>
            </w:r>
          </w:p>
          <w:p w14:paraId="621EDDB5" w14:textId="5264752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3.1 Introduction</w:t>
            </w:r>
            <w:r w:rsidRPr="00650C77">
              <w:rPr>
                <w:rFonts w:ascii="Arial" w:hAnsi="Arial" w:cs="Arial"/>
                <w:b/>
                <w:bCs/>
                <w:color w:val="000000" w:themeColor="text1"/>
                <w:sz w:val="20"/>
                <w:szCs w:val="20"/>
                <w:lang w:val="en-US"/>
              </w:rPr>
              <w:tab/>
            </w:r>
            <w:r w:rsidR="002A42EA">
              <w:rPr>
                <w:rFonts w:ascii="Arial" w:hAnsi="Arial" w:cs="Arial"/>
                <w:b/>
                <w:bCs/>
                <w:color w:val="000000" w:themeColor="text1"/>
                <w:sz w:val="20"/>
                <w:szCs w:val="20"/>
                <w:lang w:val="en-US"/>
              </w:rPr>
              <w:t>19</w:t>
            </w:r>
          </w:p>
          <w:p w14:paraId="552C5BC5" w14:textId="4C290EA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3.2 Search Strategy</w:t>
            </w:r>
            <w:r w:rsidRPr="00650C77">
              <w:rPr>
                <w:rFonts w:ascii="Arial" w:hAnsi="Arial" w:cs="Arial"/>
                <w:b/>
                <w:bCs/>
                <w:color w:val="000000" w:themeColor="text1"/>
                <w:sz w:val="20"/>
                <w:szCs w:val="20"/>
                <w:lang w:val="en-US"/>
              </w:rPr>
              <w:tab/>
            </w:r>
            <w:r w:rsidR="00F4458A">
              <w:rPr>
                <w:rFonts w:ascii="Arial" w:hAnsi="Arial" w:cs="Arial"/>
                <w:b/>
                <w:bCs/>
                <w:color w:val="000000" w:themeColor="text1"/>
                <w:sz w:val="20"/>
                <w:szCs w:val="20"/>
                <w:lang w:val="en-US"/>
              </w:rPr>
              <w:t>19</w:t>
            </w:r>
          </w:p>
          <w:p w14:paraId="21C96770" w14:textId="45F12C18"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3.3 Searching for Information</w:t>
            </w:r>
            <w:r w:rsidRPr="00650C77">
              <w:rPr>
                <w:rFonts w:ascii="Arial" w:hAnsi="Arial" w:cs="Arial"/>
                <w:b/>
                <w:bCs/>
                <w:color w:val="000000" w:themeColor="text1"/>
                <w:sz w:val="20"/>
                <w:szCs w:val="20"/>
                <w:lang w:val="en-US"/>
              </w:rPr>
              <w:tab/>
              <w:t>2</w:t>
            </w:r>
            <w:r w:rsidR="00F4458A">
              <w:rPr>
                <w:rFonts w:ascii="Arial" w:hAnsi="Arial" w:cs="Arial"/>
                <w:b/>
                <w:bCs/>
                <w:color w:val="000000" w:themeColor="text1"/>
                <w:sz w:val="20"/>
                <w:szCs w:val="20"/>
                <w:lang w:val="en-US"/>
              </w:rPr>
              <w:t>0</w:t>
            </w:r>
          </w:p>
          <w:p w14:paraId="4692097B" w14:textId="2CFBF454"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3.4 Research Validation</w:t>
            </w:r>
            <w:r w:rsidRPr="00650C77">
              <w:rPr>
                <w:rFonts w:ascii="Arial" w:hAnsi="Arial" w:cs="Arial"/>
                <w:b/>
                <w:bCs/>
                <w:color w:val="000000" w:themeColor="text1"/>
                <w:sz w:val="20"/>
                <w:szCs w:val="20"/>
                <w:lang w:val="en-US"/>
              </w:rPr>
              <w:tab/>
              <w:t>2</w:t>
            </w:r>
            <w:r w:rsidR="00F4458A">
              <w:rPr>
                <w:rFonts w:ascii="Arial" w:hAnsi="Arial" w:cs="Arial"/>
                <w:b/>
                <w:bCs/>
                <w:color w:val="000000" w:themeColor="text1"/>
                <w:sz w:val="20"/>
                <w:szCs w:val="20"/>
                <w:lang w:val="en-US"/>
              </w:rPr>
              <w:t>0</w:t>
            </w:r>
          </w:p>
          <w:p w14:paraId="6B828CB2" w14:textId="2434F075"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3.5 Inclusion and Exclusion Criteria</w:t>
            </w:r>
            <w:r w:rsidRPr="00650C77">
              <w:rPr>
                <w:rFonts w:ascii="Arial" w:hAnsi="Arial" w:cs="Arial"/>
                <w:b/>
                <w:bCs/>
                <w:color w:val="000000" w:themeColor="text1"/>
                <w:sz w:val="20"/>
                <w:szCs w:val="20"/>
                <w:lang w:val="en-US"/>
              </w:rPr>
              <w:tab/>
            </w:r>
            <w:r w:rsidR="00F4458A">
              <w:rPr>
                <w:rFonts w:ascii="Arial" w:hAnsi="Arial" w:cs="Arial"/>
                <w:b/>
                <w:bCs/>
                <w:color w:val="000000" w:themeColor="text1"/>
                <w:sz w:val="20"/>
                <w:szCs w:val="20"/>
                <w:lang w:val="en-US"/>
              </w:rPr>
              <w:t>21</w:t>
            </w:r>
          </w:p>
          <w:p w14:paraId="0A5C80C7" w14:textId="77812ABF"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3.6 Data Analysis (Thematic Analysis</w:t>
            </w:r>
            <w:r w:rsidRPr="00650C77">
              <w:rPr>
                <w:rFonts w:ascii="Arial" w:hAnsi="Arial" w:cs="Arial"/>
                <w:b/>
                <w:bCs/>
                <w:color w:val="000000" w:themeColor="text1"/>
                <w:sz w:val="20"/>
                <w:szCs w:val="20"/>
                <w:lang w:val="en-US"/>
              </w:rPr>
              <w:t>)</w:t>
            </w:r>
            <w:r w:rsidRPr="00650C77">
              <w:rPr>
                <w:rFonts w:ascii="Arial" w:hAnsi="Arial" w:cs="Arial"/>
                <w:b/>
                <w:bCs/>
                <w:color w:val="000000" w:themeColor="text1"/>
                <w:sz w:val="20"/>
                <w:szCs w:val="20"/>
                <w:lang w:val="en-US"/>
              </w:rPr>
              <w:tab/>
            </w:r>
            <w:r w:rsidR="000C6588">
              <w:rPr>
                <w:rFonts w:ascii="Arial" w:hAnsi="Arial" w:cs="Arial"/>
                <w:b/>
                <w:bCs/>
                <w:color w:val="000000" w:themeColor="text1"/>
                <w:sz w:val="20"/>
                <w:szCs w:val="20"/>
                <w:lang w:val="en-US"/>
              </w:rPr>
              <w:t>21</w:t>
            </w:r>
          </w:p>
          <w:p w14:paraId="19C50C5D" w14:textId="67C5F5A8"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3.6.1 Coding Process</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22</w:t>
            </w:r>
          </w:p>
          <w:p w14:paraId="37781CDC" w14:textId="148DA803"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3.6.2 Theme Development</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22</w:t>
            </w:r>
          </w:p>
          <w:p w14:paraId="15F7EBEE" w14:textId="179A4EEA"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3.7 Ethical Considerations</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22</w:t>
            </w:r>
          </w:p>
          <w:p w14:paraId="6322D24A" w14:textId="7E52C38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3.8 Chapter Summary</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w:t>
            </w:r>
            <w:r w:rsidRPr="00650C77">
              <w:rPr>
                <w:rFonts w:ascii="Arial" w:hAnsi="Arial" w:cs="Arial"/>
                <w:b/>
                <w:bCs/>
                <w:color w:val="000000" w:themeColor="text1"/>
                <w:sz w:val="20"/>
                <w:szCs w:val="20"/>
                <w:lang w:val="en-US"/>
              </w:rPr>
              <w:t>4</w:t>
            </w:r>
          </w:p>
          <w:p w14:paraId="6117D0E2" w14:textId="77777777" w:rsidR="0081298D" w:rsidRPr="00650C77" w:rsidRDefault="0081298D" w:rsidP="00F8371C">
            <w:pPr>
              <w:tabs>
                <w:tab w:val="right" w:leader="dot" w:pos="9360"/>
              </w:tabs>
              <w:spacing w:line="276" w:lineRule="auto"/>
              <w:rPr>
                <w:rFonts w:ascii="Arial" w:hAnsi="Arial" w:cs="Arial"/>
                <w:b/>
                <w:bCs/>
                <w:color w:val="000000" w:themeColor="text1"/>
                <w:lang w:val="en-US"/>
              </w:rPr>
            </w:pPr>
          </w:p>
          <w:p w14:paraId="49EA5000" w14:textId="6978F9E6" w:rsidR="00F8371C" w:rsidRPr="00650C77" w:rsidRDefault="00F8371C" w:rsidP="00F8371C">
            <w:pPr>
              <w:tabs>
                <w:tab w:val="right" w:leader="dot" w:pos="9360"/>
              </w:tabs>
              <w:spacing w:line="276" w:lineRule="auto"/>
              <w:rPr>
                <w:rFonts w:ascii="Arial" w:hAnsi="Arial" w:cs="Arial"/>
                <w:b/>
                <w:bCs/>
                <w:color w:val="000000" w:themeColor="text1"/>
                <w:lang w:val="en-US"/>
              </w:rPr>
            </w:pPr>
            <w:r w:rsidRPr="00650C77">
              <w:rPr>
                <w:rFonts w:ascii="Arial" w:hAnsi="Arial" w:cs="Arial"/>
                <w:b/>
                <w:bCs/>
                <w:color w:val="000000" w:themeColor="text1"/>
                <w:lang w:val="en-US"/>
              </w:rPr>
              <w:t>Chapter 4: Findings and Discussion</w:t>
            </w:r>
          </w:p>
          <w:p w14:paraId="3D0BF827" w14:textId="4C418C05"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4.1 Introduction</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w:t>
            </w:r>
            <w:r w:rsidRPr="00650C77">
              <w:rPr>
                <w:rFonts w:ascii="Arial" w:hAnsi="Arial" w:cs="Arial"/>
                <w:b/>
                <w:bCs/>
                <w:color w:val="000000" w:themeColor="text1"/>
                <w:sz w:val="20"/>
                <w:szCs w:val="20"/>
                <w:lang w:val="en-US"/>
              </w:rPr>
              <w:t>5</w:t>
            </w:r>
          </w:p>
          <w:p w14:paraId="0F3BB614" w14:textId="24973874"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4.2 Thematic Analysis Overview</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25</w:t>
            </w:r>
          </w:p>
          <w:p w14:paraId="00C4E2CE" w14:textId="3C43A857"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4.3 Theme 1: Treatment Pathways and Clinical Effectiveness</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27</w:t>
            </w:r>
          </w:p>
          <w:p w14:paraId="1C3D9B88" w14:textId="66C30D11"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4.3.1 Definition and Conceptual Framework</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27</w:t>
            </w:r>
          </w:p>
          <w:p w14:paraId="028467B5" w14:textId="2010F9E1"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lastRenderedPageBreak/>
              <w:t xml:space="preserve">    4.3.2 Historical and Policy Context</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27</w:t>
            </w:r>
          </w:p>
          <w:p w14:paraId="2C8B4BAE" w14:textId="1A3E31EA"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4.3.3 Statistical Overview</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28</w:t>
            </w:r>
          </w:p>
          <w:p w14:paraId="76E327E4" w14:textId="6C9789B1"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4.3.4 Impact on Research Question</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28</w:t>
            </w:r>
          </w:p>
          <w:p w14:paraId="037E4E94" w14:textId="6167B801"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4.3.5 Theories, Policies, and Legislation</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29</w:t>
            </w:r>
          </w:p>
          <w:p w14:paraId="1F993F7C" w14:textId="40A1F1D5"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4.3.6 Implications</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29</w:t>
            </w:r>
          </w:p>
          <w:p w14:paraId="552548F8" w14:textId="267FE7BA"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4.3.6.1 Positive Implications</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29</w:t>
            </w:r>
          </w:p>
          <w:p w14:paraId="126D3288" w14:textId="2CCDF18B"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4.3.6.2 Negative Implications</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30</w:t>
            </w:r>
          </w:p>
          <w:p w14:paraId="0238361F" w14:textId="1182751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4.3.7 </w:t>
            </w:r>
            <w:r w:rsidR="00592FFD" w:rsidRPr="00592FFD">
              <w:rPr>
                <w:rFonts w:ascii="Arial" w:eastAsia="Times New Roman" w:hAnsi="Arial" w:cs="Arial"/>
                <w:b/>
                <w:bCs/>
                <w:color w:val="000000" w:themeColor="text1"/>
                <w:kern w:val="0"/>
                <w:sz w:val="20"/>
                <w:szCs w:val="20"/>
                <w:lang w:eastAsia="en-GB"/>
                <w14:ligatures w14:val="none"/>
              </w:rPr>
              <w:t>Examples from the Literature</w:t>
            </w:r>
            <w:r w:rsidR="00592FFD" w:rsidRPr="00650C77">
              <w:rPr>
                <w:rFonts w:ascii="Arial" w:hAnsi="Arial" w:cs="Arial"/>
                <w:b/>
                <w:bCs/>
                <w:color w:val="000000" w:themeColor="text1"/>
                <w:sz w:val="20"/>
                <w:szCs w:val="20"/>
                <w:lang w:val="en-US"/>
              </w:rPr>
              <w:t xml:space="preserve"> </w:t>
            </w:r>
            <w:r w:rsidRPr="00650C77">
              <w:rPr>
                <w:rFonts w:ascii="Arial" w:hAnsi="Arial" w:cs="Arial"/>
                <w:b/>
                <w:bCs/>
                <w:color w:val="000000" w:themeColor="text1"/>
                <w:sz w:val="20"/>
                <w:szCs w:val="20"/>
                <w:lang w:val="en-US"/>
              </w:rPr>
              <w:tab/>
            </w:r>
            <w:r w:rsidR="002A4DB2">
              <w:rPr>
                <w:rFonts w:ascii="Arial" w:hAnsi="Arial" w:cs="Arial"/>
                <w:b/>
                <w:bCs/>
                <w:color w:val="000000" w:themeColor="text1"/>
                <w:sz w:val="20"/>
                <w:szCs w:val="20"/>
                <w:lang w:val="en-US"/>
              </w:rPr>
              <w:t>31</w:t>
            </w:r>
          </w:p>
          <w:p w14:paraId="4180E4E8" w14:textId="226753E8"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4.3.8 Links to Other Themes</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32</w:t>
            </w:r>
          </w:p>
          <w:p w14:paraId="08DA611E" w14:textId="6595EE9B"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4.4 Theme 2: Accessibility, Inequalities, and Service Variation</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33</w:t>
            </w:r>
          </w:p>
          <w:p w14:paraId="3CCC754B" w14:textId="48DAC39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4.4.1 Definition</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33</w:t>
            </w:r>
          </w:p>
          <w:p w14:paraId="0ABC9D55" w14:textId="20CFCC87"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4.4.2 Background</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33</w:t>
            </w:r>
          </w:p>
          <w:p w14:paraId="00EC8C9E" w14:textId="41D4C6C4"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4.4.3 Impact on Research Question</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34</w:t>
            </w:r>
          </w:p>
          <w:p w14:paraId="0DDB287F" w14:textId="467C56FF"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4.4.4 Statistical Overview</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34</w:t>
            </w:r>
          </w:p>
          <w:p w14:paraId="2BAD523A" w14:textId="0826FE7E"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4.4.5 Theories, Policies, and Legislation</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35</w:t>
            </w:r>
          </w:p>
          <w:p w14:paraId="333841FE" w14:textId="128DDB4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4.4.6 Implications</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36</w:t>
            </w:r>
          </w:p>
          <w:p w14:paraId="104870F9" w14:textId="6E9DF59C"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4.4.7 </w:t>
            </w:r>
            <w:r w:rsidR="00592FFD" w:rsidRPr="00592FFD">
              <w:rPr>
                <w:rFonts w:ascii="Arial" w:eastAsia="Times New Roman" w:hAnsi="Arial" w:cs="Arial"/>
                <w:b/>
                <w:bCs/>
                <w:color w:val="000000" w:themeColor="text1"/>
                <w:kern w:val="0"/>
                <w:sz w:val="20"/>
                <w:szCs w:val="20"/>
                <w:lang w:eastAsia="en-GB"/>
                <w14:ligatures w14:val="none"/>
              </w:rPr>
              <w:t>Examples from the Literature</w:t>
            </w:r>
            <w:r w:rsidR="00592FFD" w:rsidRPr="00650C77">
              <w:rPr>
                <w:rFonts w:ascii="Arial" w:hAnsi="Arial" w:cs="Arial"/>
                <w:b/>
                <w:bCs/>
                <w:color w:val="000000" w:themeColor="text1"/>
                <w:sz w:val="20"/>
                <w:szCs w:val="20"/>
                <w:lang w:val="en-US"/>
              </w:rPr>
              <w:t xml:space="preserve"> </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37</w:t>
            </w:r>
          </w:p>
          <w:p w14:paraId="4622CB6C" w14:textId="60549B46"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4.4.8 Links to Other Themes</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38</w:t>
            </w:r>
          </w:p>
          <w:p w14:paraId="3FE2D0F4" w14:textId="52E35B08"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4.5 Theme 3: Integrated Care Models and System Coordination</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39</w:t>
            </w:r>
          </w:p>
          <w:p w14:paraId="7B76F335" w14:textId="1BB3C44C"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4.5.1 Definition and Concepts</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39</w:t>
            </w:r>
          </w:p>
          <w:p w14:paraId="1D5D3EE7" w14:textId="7BFB71F1"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4.5.2 Background and Context</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40</w:t>
            </w:r>
          </w:p>
          <w:p w14:paraId="1D42E722" w14:textId="7043D1D4"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4.5.3 Relevance to Research Question</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40</w:t>
            </w:r>
          </w:p>
          <w:p w14:paraId="2AA9B435" w14:textId="7E094BB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4.5.4 Statistical Evidence</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41</w:t>
            </w:r>
          </w:p>
          <w:p w14:paraId="4B731937" w14:textId="39508667"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4.5.5 Theories, Policies, and Legislation</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41</w:t>
            </w:r>
          </w:p>
          <w:p w14:paraId="199B2328" w14:textId="6FEFD5E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4.5.6 Implications</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43</w:t>
            </w:r>
          </w:p>
          <w:p w14:paraId="6FA076A4" w14:textId="4945D81B"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4.5.7 Literature Examples</w:t>
            </w:r>
            <w:r w:rsidRPr="00650C77">
              <w:rPr>
                <w:rFonts w:ascii="Arial" w:hAnsi="Arial" w:cs="Arial"/>
                <w:b/>
                <w:bCs/>
                <w:color w:val="000000" w:themeColor="text1"/>
                <w:sz w:val="20"/>
                <w:szCs w:val="20"/>
                <w:lang w:val="en-US"/>
              </w:rPr>
              <w:tab/>
            </w:r>
            <w:r w:rsidR="00592FFD">
              <w:rPr>
                <w:rFonts w:ascii="Arial" w:hAnsi="Arial" w:cs="Arial"/>
                <w:b/>
                <w:bCs/>
                <w:color w:val="000000" w:themeColor="text1"/>
                <w:sz w:val="20"/>
                <w:szCs w:val="20"/>
                <w:lang w:val="en-US"/>
              </w:rPr>
              <w:t>44</w:t>
            </w:r>
          </w:p>
          <w:p w14:paraId="79F46BDC" w14:textId="728A39B5" w:rsidR="00F8371C" w:rsidRPr="00650C77" w:rsidRDefault="00592FFD" w:rsidP="00F8371C">
            <w:pPr>
              <w:tabs>
                <w:tab w:val="right" w:leader="dot" w:pos="9360"/>
              </w:tabs>
              <w:spacing w:line="276" w:lineRule="auto"/>
              <w:rPr>
                <w:rFonts w:ascii="Arial" w:hAnsi="Arial" w:cs="Arial"/>
                <w:b/>
                <w:bCs/>
                <w:color w:val="000000" w:themeColor="text1"/>
                <w:sz w:val="20"/>
                <w:szCs w:val="20"/>
                <w:lang w:val="en-US"/>
              </w:rPr>
            </w:pPr>
            <w:r>
              <w:rPr>
                <w:rFonts w:ascii="Arial" w:hAnsi="Arial" w:cs="Arial"/>
                <w:b/>
                <w:bCs/>
                <w:color w:val="000000" w:themeColor="text1"/>
                <w:lang w:val="en-US"/>
              </w:rPr>
              <w:t xml:space="preserve">   </w:t>
            </w:r>
            <w:r w:rsidR="00F8371C" w:rsidRPr="00650C77">
              <w:rPr>
                <w:rFonts w:ascii="Arial" w:hAnsi="Arial" w:cs="Arial"/>
                <w:b/>
                <w:bCs/>
                <w:color w:val="000000" w:themeColor="text1"/>
                <w:lang w:val="en-US"/>
              </w:rPr>
              <w:t xml:space="preserve">4.6 Chapter </w:t>
            </w:r>
            <w:r w:rsidR="00F248CA">
              <w:rPr>
                <w:rFonts w:ascii="Arial" w:hAnsi="Arial" w:cs="Arial"/>
                <w:b/>
                <w:bCs/>
                <w:color w:val="000000" w:themeColor="text1"/>
                <w:lang w:val="en-US"/>
              </w:rPr>
              <w:t>C</w:t>
            </w:r>
            <w:r>
              <w:rPr>
                <w:rFonts w:ascii="Arial" w:hAnsi="Arial" w:cs="Arial"/>
                <w:b/>
                <w:bCs/>
                <w:color w:val="000000" w:themeColor="text1"/>
                <w:lang w:val="en-US"/>
              </w:rPr>
              <w:t>onclusion</w:t>
            </w:r>
            <w:r w:rsidR="00F8371C" w:rsidRPr="00650C77">
              <w:rPr>
                <w:rFonts w:ascii="Arial" w:hAnsi="Arial" w:cs="Arial"/>
                <w:b/>
                <w:bCs/>
                <w:color w:val="000000" w:themeColor="text1"/>
                <w:sz w:val="20"/>
                <w:szCs w:val="20"/>
                <w:lang w:val="en-US"/>
              </w:rPr>
              <w:tab/>
            </w:r>
            <w:r>
              <w:rPr>
                <w:rFonts w:ascii="Arial" w:hAnsi="Arial" w:cs="Arial"/>
                <w:b/>
                <w:bCs/>
                <w:color w:val="000000" w:themeColor="text1"/>
                <w:sz w:val="20"/>
                <w:szCs w:val="20"/>
                <w:lang w:val="en-US"/>
              </w:rPr>
              <w:t>4</w:t>
            </w:r>
            <w:r w:rsidR="00F248CA">
              <w:rPr>
                <w:rFonts w:ascii="Arial" w:hAnsi="Arial" w:cs="Arial"/>
                <w:b/>
                <w:bCs/>
                <w:color w:val="000000" w:themeColor="text1"/>
                <w:sz w:val="20"/>
                <w:szCs w:val="20"/>
                <w:lang w:val="en-US"/>
              </w:rPr>
              <w:t>8</w:t>
            </w:r>
          </w:p>
          <w:p w14:paraId="30DAC18C" w14:textId="77777777" w:rsidR="00F8371C" w:rsidRPr="00650C77" w:rsidRDefault="00F8371C" w:rsidP="00F8371C">
            <w:pPr>
              <w:spacing w:line="276" w:lineRule="auto"/>
              <w:rPr>
                <w:rFonts w:ascii="Arial" w:hAnsi="Arial" w:cs="Arial"/>
                <w:b/>
                <w:bCs/>
                <w:color w:val="000000" w:themeColor="text1"/>
                <w:lang w:val="en-US"/>
              </w:rPr>
            </w:pPr>
          </w:p>
          <w:p w14:paraId="533FDD9E" w14:textId="77777777" w:rsidR="00F8371C" w:rsidRPr="00650C77" w:rsidRDefault="00F8371C" w:rsidP="00F8371C">
            <w:pPr>
              <w:tabs>
                <w:tab w:val="right" w:leader="dot" w:pos="9360"/>
              </w:tabs>
              <w:spacing w:line="276" w:lineRule="auto"/>
              <w:rPr>
                <w:rFonts w:ascii="Arial" w:hAnsi="Arial" w:cs="Arial"/>
                <w:b/>
                <w:bCs/>
                <w:color w:val="000000" w:themeColor="text1"/>
                <w:lang w:val="en-US"/>
              </w:rPr>
            </w:pPr>
            <w:r w:rsidRPr="00650C77">
              <w:rPr>
                <w:rFonts w:ascii="Arial" w:hAnsi="Arial" w:cs="Arial"/>
                <w:b/>
                <w:bCs/>
                <w:color w:val="000000" w:themeColor="text1"/>
                <w:lang w:val="en-US"/>
              </w:rPr>
              <w:t>Chapter 5: Conclusion and Recommendations</w:t>
            </w:r>
          </w:p>
          <w:p w14:paraId="5425D45C" w14:textId="17458594"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5.1 Conclusion</w:t>
            </w:r>
            <w:r w:rsidRPr="00650C77">
              <w:rPr>
                <w:rFonts w:ascii="Arial" w:hAnsi="Arial" w:cs="Arial"/>
                <w:b/>
                <w:bCs/>
                <w:color w:val="000000" w:themeColor="text1"/>
                <w:sz w:val="20"/>
                <w:szCs w:val="20"/>
                <w:lang w:val="en-US"/>
              </w:rPr>
              <w:tab/>
            </w:r>
            <w:r w:rsidR="00F248CA">
              <w:rPr>
                <w:rFonts w:ascii="Arial" w:hAnsi="Arial" w:cs="Arial"/>
                <w:b/>
                <w:bCs/>
                <w:color w:val="000000" w:themeColor="text1"/>
                <w:sz w:val="20"/>
                <w:szCs w:val="20"/>
                <w:lang w:val="en-US"/>
              </w:rPr>
              <w:t>49</w:t>
            </w:r>
          </w:p>
          <w:p w14:paraId="4A509EB8" w14:textId="70532943"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5.2 Recommendations</w:t>
            </w:r>
            <w:r w:rsidRPr="00650C77">
              <w:rPr>
                <w:rFonts w:ascii="Arial" w:hAnsi="Arial" w:cs="Arial"/>
                <w:b/>
                <w:bCs/>
                <w:color w:val="000000" w:themeColor="text1"/>
                <w:sz w:val="20"/>
                <w:szCs w:val="20"/>
                <w:lang w:val="en-US"/>
              </w:rPr>
              <w:tab/>
            </w:r>
            <w:r w:rsidR="00F248CA">
              <w:rPr>
                <w:rFonts w:ascii="Arial" w:hAnsi="Arial" w:cs="Arial"/>
                <w:b/>
                <w:bCs/>
                <w:color w:val="000000" w:themeColor="text1"/>
                <w:sz w:val="20"/>
                <w:szCs w:val="20"/>
                <w:lang w:val="en-US"/>
              </w:rPr>
              <w:t>50</w:t>
            </w:r>
          </w:p>
          <w:p w14:paraId="11E5D5C2" w14:textId="7CD20C1C"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5.2.1 Recommendation</w:t>
            </w:r>
            <w:r w:rsidR="00F248CA">
              <w:rPr>
                <w:rFonts w:ascii="Arial" w:hAnsi="Arial" w:cs="Arial"/>
                <w:b/>
                <w:bCs/>
                <w:color w:val="000000" w:themeColor="text1"/>
                <w:sz w:val="20"/>
                <w:szCs w:val="20"/>
                <w:lang w:val="en-US"/>
              </w:rPr>
              <w:t>-1</w:t>
            </w:r>
            <w:r w:rsidRPr="00650C77">
              <w:rPr>
                <w:rFonts w:ascii="Arial" w:hAnsi="Arial" w:cs="Arial"/>
                <w:b/>
                <w:bCs/>
                <w:color w:val="000000" w:themeColor="text1"/>
                <w:sz w:val="20"/>
                <w:szCs w:val="20"/>
                <w:lang w:val="en-US"/>
              </w:rPr>
              <w:tab/>
            </w:r>
            <w:r w:rsidR="00F248CA">
              <w:rPr>
                <w:rFonts w:ascii="Arial" w:hAnsi="Arial" w:cs="Arial"/>
                <w:b/>
                <w:bCs/>
                <w:color w:val="000000" w:themeColor="text1"/>
                <w:sz w:val="20"/>
                <w:szCs w:val="20"/>
                <w:lang w:val="en-US"/>
              </w:rPr>
              <w:t>50</w:t>
            </w:r>
          </w:p>
          <w:p w14:paraId="39462FF2" w14:textId="0DBD6AC6"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5.2.2 Recommendation</w:t>
            </w:r>
            <w:r w:rsidR="00F248CA">
              <w:rPr>
                <w:rFonts w:ascii="Arial" w:hAnsi="Arial" w:cs="Arial"/>
                <w:b/>
                <w:bCs/>
                <w:color w:val="000000" w:themeColor="text1"/>
                <w:sz w:val="20"/>
                <w:szCs w:val="20"/>
                <w:lang w:val="en-US"/>
              </w:rPr>
              <w:t>-2</w:t>
            </w:r>
            <w:r w:rsidRPr="00650C77">
              <w:rPr>
                <w:rFonts w:ascii="Arial" w:hAnsi="Arial" w:cs="Arial"/>
                <w:b/>
                <w:bCs/>
                <w:color w:val="000000" w:themeColor="text1"/>
                <w:sz w:val="20"/>
                <w:szCs w:val="20"/>
                <w:lang w:val="en-US"/>
              </w:rPr>
              <w:tab/>
            </w:r>
            <w:r w:rsidR="00F248CA">
              <w:rPr>
                <w:rFonts w:ascii="Arial" w:hAnsi="Arial" w:cs="Arial"/>
                <w:b/>
                <w:bCs/>
                <w:color w:val="000000" w:themeColor="text1"/>
                <w:sz w:val="20"/>
                <w:szCs w:val="20"/>
                <w:lang w:val="en-US"/>
              </w:rPr>
              <w:t>51</w:t>
            </w:r>
          </w:p>
          <w:p w14:paraId="139D8276" w14:textId="3F84023C" w:rsidR="00F248CA"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sz w:val="20"/>
                <w:szCs w:val="20"/>
                <w:lang w:val="en-US"/>
              </w:rPr>
              <w:t xml:space="preserve">    5.2.3 </w:t>
            </w:r>
            <w:r w:rsidR="00F248CA">
              <w:rPr>
                <w:rFonts w:ascii="Arial" w:hAnsi="Arial" w:cs="Arial"/>
                <w:b/>
                <w:bCs/>
                <w:color w:val="000000" w:themeColor="text1"/>
                <w:sz w:val="20"/>
                <w:szCs w:val="20"/>
                <w:lang w:val="en-US"/>
              </w:rPr>
              <w:t>Recommendation-3</w:t>
            </w:r>
            <w:r w:rsidRPr="00650C77">
              <w:rPr>
                <w:rFonts w:ascii="Arial" w:hAnsi="Arial" w:cs="Arial"/>
                <w:b/>
                <w:bCs/>
                <w:color w:val="000000" w:themeColor="text1"/>
                <w:sz w:val="20"/>
                <w:szCs w:val="20"/>
                <w:lang w:val="en-US"/>
              </w:rPr>
              <w:tab/>
            </w:r>
            <w:r w:rsidR="00F248CA">
              <w:rPr>
                <w:rFonts w:ascii="Arial" w:hAnsi="Arial" w:cs="Arial"/>
                <w:b/>
                <w:bCs/>
                <w:color w:val="000000" w:themeColor="text1"/>
                <w:sz w:val="20"/>
                <w:szCs w:val="20"/>
                <w:lang w:val="en-US"/>
              </w:rPr>
              <w:t>52</w:t>
            </w:r>
          </w:p>
          <w:p w14:paraId="1DB8E955" w14:textId="088DCDD8" w:rsidR="00F8371C" w:rsidRPr="00F248CA" w:rsidRDefault="00F248CA" w:rsidP="00F248CA">
            <w:pPr>
              <w:spacing w:before="100" w:beforeAutospacing="1" w:after="100" w:afterAutospacing="1" w:line="360" w:lineRule="auto"/>
              <w:jc w:val="both"/>
              <w:outlineLvl w:val="2"/>
              <w:rPr>
                <w:rFonts w:ascii="Arial" w:eastAsia="Times New Roman" w:hAnsi="Arial" w:cs="Arial"/>
                <w:b/>
                <w:bCs/>
                <w:color w:val="000000" w:themeColor="text1"/>
                <w:kern w:val="0"/>
                <w:sz w:val="28"/>
                <w:szCs w:val="28"/>
                <w:lang w:eastAsia="en-GB"/>
                <w14:ligatures w14:val="none"/>
              </w:rPr>
            </w:pPr>
            <w:r w:rsidRPr="00F248CA">
              <w:rPr>
                <w:rFonts w:ascii="Arial" w:eastAsia="Times New Roman" w:hAnsi="Arial" w:cs="Arial"/>
                <w:b/>
                <w:bCs/>
                <w:color w:val="000000" w:themeColor="text1"/>
                <w:kern w:val="0"/>
                <w:lang w:eastAsia="en-GB"/>
                <w14:ligatures w14:val="none"/>
              </w:rPr>
              <w:t>5.3 Final Reflection</w:t>
            </w:r>
            <w:r>
              <w:rPr>
                <w:rFonts w:ascii="Arial" w:eastAsia="Times New Roman" w:hAnsi="Arial" w:cs="Arial"/>
                <w:b/>
                <w:bCs/>
                <w:color w:val="000000" w:themeColor="text1"/>
                <w:kern w:val="0"/>
                <w:lang w:eastAsia="en-GB"/>
                <w14:ligatures w14:val="none"/>
              </w:rPr>
              <w:t>……………………………………………………………………………...53</w:t>
            </w:r>
          </w:p>
          <w:p w14:paraId="59DC36B2" w14:textId="0F8BBEDD"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Chapter 6: References</w:t>
            </w:r>
            <w:r w:rsidRPr="00650C77">
              <w:rPr>
                <w:rFonts w:ascii="Arial" w:hAnsi="Arial" w:cs="Arial"/>
                <w:b/>
                <w:bCs/>
                <w:color w:val="000000" w:themeColor="text1"/>
                <w:sz w:val="20"/>
                <w:szCs w:val="20"/>
                <w:lang w:val="en-US"/>
              </w:rPr>
              <w:tab/>
            </w:r>
            <w:r w:rsidR="00F248CA">
              <w:rPr>
                <w:rFonts w:ascii="Arial" w:hAnsi="Arial" w:cs="Arial"/>
                <w:b/>
                <w:bCs/>
                <w:color w:val="000000" w:themeColor="text1"/>
                <w:sz w:val="20"/>
                <w:szCs w:val="20"/>
                <w:lang w:val="en-US"/>
              </w:rPr>
              <w:t>54</w:t>
            </w:r>
          </w:p>
          <w:p w14:paraId="702B3C2E" w14:textId="77777777" w:rsidR="00F8371C" w:rsidRPr="00650C77" w:rsidRDefault="00F8371C" w:rsidP="00F8371C">
            <w:pPr>
              <w:spacing w:line="276" w:lineRule="auto"/>
              <w:rPr>
                <w:rFonts w:ascii="Arial" w:hAnsi="Arial" w:cs="Arial"/>
                <w:b/>
                <w:bCs/>
                <w:color w:val="000000" w:themeColor="text1"/>
                <w:sz w:val="20"/>
                <w:szCs w:val="20"/>
                <w:lang w:val="en-US"/>
              </w:rPr>
            </w:pPr>
          </w:p>
          <w:p w14:paraId="45B091AB" w14:textId="654D4A85" w:rsidR="00F8371C" w:rsidRPr="00650C77" w:rsidRDefault="00F8371C" w:rsidP="00F8371C">
            <w:pPr>
              <w:tabs>
                <w:tab w:val="right" w:leader="dot" w:pos="9360"/>
              </w:tabs>
              <w:spacing w:line="276" w:lineRule="auto"/>
              <w:rPr>
                <w:rFonts w:ascii="Arial" w:hAnsi="Arial" w:cs="Arial"/>
                <w:b/>
                <w:bCs/>
                <w:color w:val="000000" w:themeColor="text1"/>
                <w:sz w:val="20"/>
                <w:szCs w:val="20"/>
                <w:lang w:val="en-US"/>
              </w:rPr>
            </w:pPr>
            <w:r w:rsidRPr="00650C77">
              <w:rPr>
                <w:rFonts w:ascii="Arial" w:hAnsi="Arial" w:cs="Arial"/>
                <w:b/>
                <w:bCs/>
                <w:color w:val="000000" w:themeColor="text1"/>
                <w:lang w:val="en-US"/>
              </w:rPr>
              <w:t>Chapter 7: Appendices</w:t>
            </w:r>
            <w:r w:rsidRPr="00650C77">
              <w:rPr>
                <w:rFonts w:ascii="Arial" w:hAnsi="Arial" w:cs="Arial"/>
                <w:b/>
                <w:bCs/>
                <w:color w:val="000000" w:themeColor="text1"/>
                <w:sz w:val="20"/>
                <w:szCs w:val="20"/>
                <w:lang w:val="en-US"/>
              </w:rPr>
              <w:tab/>
            </w:r>
            <w:r w:rsidR="00F248CA">
              <w:rPr>
                <w:rFonts w:ascii="Arial" w:hAnsi="Arial" w:cs="Arial"/>
                <w:b/>
                <w:bCs/>
                <w:color w:val="000000" w:themeColor="text1"/>
                <w:sz w:val="20"/>
                <w:szCs w:val="20"/>
                <w:lang w:val="en-US"/>
              </w:rPr>
              <w:t>60</w:t>
            </w:r>
          </w:p>
          <w:p w14:paraId="21D128C3" w14:textId="77777777" w:rsidR="00F8371C" w:rsidRPr="00650C77" w:rsidRDefault="00F8371C" w:rsidP="00F8371C">
            <w:pPr>
              <w:spacing w:line="276" w:lineRule="auto"/>
              <w:jc w:val="both"/>
              <w:rPr>
                <w:rFonts w:ascii="Arial" w:hAnsi="Arial" w:cs="Arial"/>
                <w:color w:val="000000" w:themeColor="text1"/>
                <w:sz w:val="20"/>
                <w:szCs w:val="20"/>
              </w:rPr>
            </w:pPr>
          </w:p>
        </w:tc>
      </w:tr>
    </w:tbl>
    <w:p w14:paraId="02F3AF67" w14:textId="77777777" w:rsidR="00F8371C" w:rsidRPr="00650C77" w:rsidRDefault="00F8371C" w:rsidP="00F8371C">
      <w:pPr>
        <w:jc w:val="center"/>
        <w:rPr>
          <w:color w:val="000000" w:themeColor="text1"/>
        </w:rPr>
      </w:pPr>
    </w:p>
    <w:p w14:paraId="4AD3FD20" w14:textId="77777777" w:rsidR="00F8371C" w:rsidRPr="00650C77" w:rsidRDefault="00F8371C" w:rsidP="006A6781">
      <w:pPr>
        <w:rPr>
          <w:rFonts w:ascii="Arial" w:eastAsia="Times New Roman" w:hAnsi="Arial" w:cs="Arial"/>
          <w:b/>
          <w:bCs/>
          <w:color w:val="000000" w:themeColor="text1"/>
          <w:kern w:val="0"/>
          <w:sz w:val="36"/>
          <w:szCs w:val="36"/>
          <w:lang w:eastAsia="en-GB"/>
          <w14:ligatures w14:val="none"/>
        </w:rPr>
      </w:pPr>
    </w:p>
    <w:p w14:paraId="6BD4CBDD" w14:textId="77777777" w:rsidR="0081298D" w:rsidRPr="00650C77" w:rsidRDefault="0081298D" w:rsidP="006A6781">
      <w:pPr>
        <w:rPr>
          <w:rFonts w:ascii="Arial" w:eastAsia="Times New Roman" w:hAnsi="Arial" w:cs="Arial"/>
          <w:b/>
          <w:bCs/>
          <w:color w:val="000000" w:themeColor="text1"/>
          <w:kern w:val="0"/>
          <w:sz w:val="36"/>
          <w:szCs w:val="36"/>
          <w:lang w:eastAsia="en-GB"/>
          <w14:ligatures w14:val="none"/>
        </w:rPr>
      </w:pPr>
    </w:p>
    <w:p w14:paraId="48963B2C" w14:textId="77777777" w:rsidR="007176B5" w:rsidRPr="00650C77" w:rsidRDefault="007176B5" w:rsidP="006A6781">
      <w:pPr>
        <w:rPr>
          <w:rFonts w:ascii="Arial" w:eastAsia="Times New Roman" w:hAnsi="Arial" w:cs="Arial"/>
          <w:b/>
          <w:bCs/>
          <w:color w:val="000000" w:themeColor="text1"/>
          <w:kern w:val="0"/>
          <w:sz w:val="36"/>
          <w:szCs w:val="36"/>
          <w:lang w:eastAsia="en-GB"/>
          <w14:ligatures w14:val="none"/>
        </w:rPr>
      </w:pPr>
    </w:p>
    <w:p w14:paraId="7AEDC636" w14:textId="77777777" w:rsidR="00F248CA" w:rsidRDefault="00F248CA" w:rsidP="006A6781">
      <w:pPr>
        <w:rPr>
          <w:rFonts w:ascii="Arial" w:eastAsia="Times New Roman" w:hAnsi="Arial" w:cs="Arial"/>
          <w:b/>
          <w:bCs/>
          <w:color w:val="000000" w:themeColor="text1"/>
          <w:kern w:val="0"/>
          <w:sz w:val="36"/>
          <w:szCs w:val="36"/>
          <w:lang w:eastAsia="en-GB"/>
          <w14:ligatures w14:val="none"/>
        </w:rPr>
      </w:pPr>
    </w:p>
    <w:p w14:paraId="49D426A3" w14:textId="5FAFEB96" w:rsidR="00610101" w:rsidRPr="00240CAF" w:rsidRDefault="00610101" w:rsidP="006A6781">
      <w:pPr>
        <w:rPr>
          <w:color w:val="000000" w:themeColor="text1"/>
          <w:sz w:val="32"/>
          <w:szCs w:val="32"/>
          <w:lang w:val="en-US"/>
        </w:rPr>
      </w:pPr>
      <w:r w:rsidRPr="00240CAF">
        <w:rPr>
          <w:rFonts w:ascii="Arial" w:eastAsia="Times New Roman" w:hAnsi="Arial" w:cs="Arial"/>
          <w:b/>
          <w:bCs/>
          <w:color w:val="000000" w:themeColor="text1"/>
          <w:kern w:val="0"/>
          <w:sz w:val="32"/>
          <w:szCs w:val="32"/>
          <w:lang w:eastAsia="en-GB"/>
          <w14:ligatures w14:val="none"/>
        </w:rPr>
        <w:lastRenderedPageBreak/>
        <w:t>Chapter One: Introduction</w:t>
      </w:r>
    </w:p>
    <w:p w14:paraId="224B075F" w14:textId="4D75DA53" w:rsidR="00610101" w:rsidRPr="00650C77" w:rsidRDefault="00610101" w:rsidP="00610101">
      <w:pPr>
        <w:spacing w:before="100" w:beforeAutospacing="1" w:after="100" w:afterAutospacing="1" w:line="360" w:lineRule="auto"/>
        <w:jc w:val="both"/>
        <w:outlineLvl w:val="1"/>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1.1 Introduction:</w:t>
      </w:r>
    </w:p>
    <w:p w14:paraId="5C5C652A" w14:textId="77777777" w:rsidR="00F93140" w:rsidRPr="00650C77" w:rsidRDefault="00F93140" w:rsidP="00F9314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Schizophrenia is a chronic and severe mental health disorder that affects cognition, emotions, and perception of reality. It is one of the most complex psychiatric conditions and contributes significantly to the global burden of disease (World Health Organization, 2023). In the United Kingdom (UK), it is a major public health concern, with around 220,000 people diagnosed and many more experiencing early psychotic symptoms (NHS England, 2022). Treatment approaches have improved over time, including developments in medication, psychological therapies, and community-based care.</w:t>
      </w:r>
    </w:p>
    <w:p w14:paraId="5FA1D246" w14:textId="77777777" w:rsidR="00F93140" w:rsidRPr="00650C77" w:rsidRDefault="00F93140" w:rsidP="00F9314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However, challenges remain in providing timely, continuous, and equitable care. Issues such as regional variation, workforce shortages, and limited resources continue to affect service quality (Care Quality Commission, 2023). Schizophrenia affects approximately 1 in 100 adults in the UK and often requires long-term support (Jovanović et al., 2025). Although initiatives like Early Intervention in Psychosis and Integrated Care Systems aim to improve coordination, their implementation is inconsistent (Ratcliffe, 2025; </w:t>
      </w:r>
      <w:proofErr w:type="spellStart"/>
      <w:r w:rsidRPr="00650C77">
        <w:rPr>
          <w:rFonts w:ascii="Arial" w:hAnsi="Arial" w:cs="Arial"/>
          <w:color w:val="000000" w:themeColor="text1"/>
          <w:sz w:val="22"/>
          <w:szCs w:val="22"/>
        </w:rPr>
        <w:t>Amanawa</w:t>
      </w:r>
      <w:proofErr w:type="spellEnd"/>
      <w:r w:rsidRPr="00650C77">
        <w:rPr>
          <w:rFonts w:ascii="Arial" w:hAnsi="Arial" w:cs="Arial"/>
          <w:color w:val="000000" w:themeColor="text1"/>
          <w:sz w:val="22"/>
          <w:szCs w:val="22"/>
        </w:rPr>
        <w:t xml:space="preserve"> &amp; </w:t>
      </w:r>
      <w:proofErr w:type="spellStart"/>
      <w:r w:rsidRPr="00650C77">
        <w:rPr>
          <w:rFonts w:ascii="Arial" w:hAnsi="Arial" w:cs="Arial"/>
          <w:color w:val="000000" w:themeColor="text1"/>
          <w:sz w:val="22"/>
          <w:szCs w:val="22"/>
        </w:rPr>
        <w:t>Amabebe</w:t>
      </w:r>
      <w:proofErr w:type="spellEnd"/>
      <w:r w:rsidRPr="00650C77">
        <w:rPr>
          <w:rFonts w:ascii="Arial" w:hAnsi="Arial" w:cs="Arial"/>
          <w:color w:val="000000" w:themeColor="text1"/>
          <w:sz w:val="22"/>
          <w:szCs w:val="22"/>
        </w:rPr>
        <w:t>, 2024). Inequalities related to ethnicity, socioeconomic status, and location also impact access and outcomes (Phillips et al., 2025).</w:t>
      </w:r>
    </w:p>
    <w:p w14:paraId="5E0CC0D0" w14:textId="77777777" w:rsidR="00F93140" w:rsidRPr="00650C77" w:rsidRDefault="00F93140" w:rsidP="00F9314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This dissertation critically evaluates schizophrenia treatment pathways in the UK, focusing on effectiveness and accessibility, using secondary research and thematic analysis to identify areas for improvement.</w:t>
      </w:r>
    </w:p>
    <w:p w14:paraId="4A2751F5" w14:textId="597E04F5" w:rsidR="00610101" w:rsidRPr="00650C77" w:rsidRDefault="00610101" w:rsidP="00610101">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This chapter introduces the topic, establishes its relevance, and outlines key definitions, background context, rationale, aims, and objectives. It concludes with a signpost to the subsequent literature review.</w:t>
      </w:r>
    </w:p>
    <w:p w14:paraId="2D0FCFD7" w14:textId="77777777" w:rsidR="00F93140" w:rsidRPr="00650C77" w:rsidRDefault="00F93140" w:rsidP="00610101">
      <w:pPr>
        <w:pStyle w:val="NormalWeb"/>
        <w:spacing w:line="360" w:lineRule="auto"/>
        <w:jc w:val="both"/>
        <w:rPr>
          <w:rFonts w:ascii="Arial" w:hAnsi="Arial" w:cs="Arial"/>
          <w:color w:val="000000" w:themeColor="text1"/>
          <w:sz w:val="22"/>
          <w:szCs w:val="22"/>
        </w:rPr>
      </w:pPr>
    </w:p>
    <w:p w14:paraId="26396D48" w14:textId="77777777" w:rsidR="00F93140" w:rsidRPr="00650C77" w:rsidRDefault="00F93140" w:rsidP="00610101">
      <w:pPr>
        <w:pStyle w:val="NormalWeb"/>
        <w:spacing w:line="360" w:lineRule="auto"/>
        <w:jc w:val="both"/>
        <w:rPr>
          <w:rFonts w:ascii="Arial" w:hAnsi="Arial" w:cs="Arial"/>
          <w:color w:val="000000" w:themeColor="text1"/>
          <w:sz w:val="22"/>
          <w:szCs w:val="22"/>
        </w:rPr>
      </w:pPr>
    </w:p>
    <w:p w14:paraId="2E742C5D" w14:textId="77777777" w:rsidR="00F93140" w:rsidRPr="00650C77" w:rsidRDefault="00F93140" w:rsidP="00610101">
      <w:pPr>
        <w:pStyle w:val="NormalWeb"/>
        <w:spacing w:line="360" w:lineRule="auto"/>
        <w:jc w:val="both"/>
        <w:rPr>
          <w:rFonts w:ascii="Arial" w:hAnsi="Arial" w:cs="Arial"/>
          <w:color w:val="000000" w:themeColor="text1"/>
          <w:sz w:val="22"/>
          <w:szCs w:val="22"/>
        </w:rPr>
      </w:pPr>
    </w:p>
    <w:p w14:paraId="7F3A5EDD" w14:textId="77777777" w:rsidR="00F93140" w:rsidRPr="00650C77" w:rsidRDefault="00F93140" w:rsidP="00610101">
      <w:pPr>
        <w:pStyle w:val="NormalWeb"/>
        <w:spacing w:line="360" w:lineRule="auto"/>
        <w:jc w:val="both"/>
        <w:rPr>
          <w:rFonts w:ascii="Arial" w:hAnsi="Arial" w:cs="Arial"/>
          <w:color w:val="000000" w:themeColor="text1"/>
          <w:sz w:val="22"/>
          <w:szCs w:val="22"/>
        </w:rPr>
      </w:pPr>
    </w:p>
    <w:p w14:paraId="23C67DDD" w14:textId="77777777" w:rsidR="00F93140" w:rsidRPr="00650C77" w:rsidRDefault="00F93140" w:rsidP="00610101">
      <w:pPr>
        <w:pStyle w:val="NormalWeb"/>
        <w:spacing w:line="360" w:lineRule="auto"/>
        <w:jc w:val="both"/>
        <w:rPr>
          <w:rFonts w:ascii="Arial" w:hAnsi="Arial" w:cs="Arial"/>
          <w:color w:val="000000" w:themeColor="text1"/>
          <w:sz w:val="22"/>
          <w:szCs w:val="22"/>
        </w:rPr>
      </w:pPr>
    </w:p>
    <w:p w14:paraId="617FFC45" w14:textId="77777777" w:rsidR="00610101" w:rsidRDefault="00610101" w:rsidP="00610101">
      <w:pPr>
        <w:spacing w:before="100" w:beforeAutospacing="1" w:after="100" w:afterAutospacing="1" w:line="360" w:lineRule="auto"/>
        <w:jc w:val="both"/>
        <w:outlineLvl w:val="1"/>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lastRenderedPageBreak/>
        <w:t>1.2 Definitions and Terminology:</w:t>
      </w:r>
    </w:p>
    <w:p w14:paraId="48E6B1BC" w14:textId="004CC8BC" w:rsidR="00A126F2" w:rsidRPr="00A126F2" w:rsidRDefault="00A126F2" w:rsidP="00610101">
      <w:pPr>
        <w:spacing w:before="100" w:beforeAutospacing="1" w:after="100" w:afterAutospacing="1" w:line="360" w:lineRule="auto"/>
        <w:jc w:val="both"/>
        <w:outlineLvl w:val="1"/>
        <w:rPr>
          <w:rFonts w:ascii="Arial" w:eastAsia="Times New Roman" w:hAnsi="Arial" w:cs="Arial"/>
          <w:b/>
          <w:bCs/>
          <w:color w:val="000000" w:themeColor="text1"/>
          <w:kern w:val="0"/>
          <w:sz w:val="24"/>
          <w:szCs w:val="24"/>
          <w:lang w:eastAsia="en-GB"/>
          <w14:ligatures w14:val="none"/>
        </w:rPr>
      </w:pPr>
      <w:r w:rsidRPr="00A126F2">
        <w:rPr>
          <w:rFonts w:ascii="Arial" w:eastAsia="Times New Roman" w:hAnsi="Arial" w:cs="Arial"/>
          <w:b/>
          <w:bCs/>
          <w:color w:val="000000" w:themeColor="text1"/>
          <w:kern w:val="0"/>
          <w:sz w:val="24"/>
          <w:szCs w:val="24"/>
          <w:lang w:eastAsia="en-GB"/>
          <w14:ligatures w14:val="none"/>
        </w:rPr>
        <w:t>1.2.1 key definition:</w:t>
      </w:r>
    </w:p>
    <w:p w14:paraId="25F4C7BC" w14:textId="77777777" w:rsidR="000F0F63" w:rsidRPr="00650C77" w:rsidRDefault="000F0F63" w:rsidP="000F0F63">
      <w:pPr>
        <w:pStyle w:val="NormalWeb"/>
        <w:numPr>
          <w:ilvl w:val="0"/>
          <w:numId w:val="28"/>
        </w:numPr>
        <w:spacing w:line="360" w:lineRule="auto"/>
        <w:jc w:val="both"/>
        <w:rPr>
          <w:rFonts w:ascii="Arial" w:hAnsi="Arial" w:cs="Arial"/>
          <w:color w:val="000000" w:themeColor="text1"/>
          <w:sz w:val="22"/>
          <w:szCs w:val="22"/>
        </w:rPr>
      </w:pPr>
      <w:r w:rsidRPr="00650C77">
        <w:rPr>
          <w:rStyle w:val="Strong"/>
          <w:rFonts w:ascii="Arial" w:eastAsiaTheme="majorEastAsia" w:hAnsi="Arial" w:cs="Arial"/>
          <w:color w:val="000000" w:themeColor="text1"/>
          <w:sz w:val="22"/>
          <w:szCs w:val="22"/>
        </w:rPr>
        <w:t>Schizophrenia:</w:t>
      </w:r>
      <w:r w:rsidRPr="00650C77">
        <w:rPr>
          <w:rFonts w:ascii="Arial" w:hAnsi="Arial" w:cs="Arial"/>
          <w:color w:val="000000" w:themeColor="text1"/>
          <w:sz w:val="22"/>
          <w:szCs w:val="22"/>
        </w:rPr>
        <w:t xml:space="preserve"> A severe and enduring mental disorder affecting thinking, perception, emotions, and behaviour, often involving hallucinations, delusions, and impaired functioning (WHO, 2023).</w:t>
      </w:r>
    </w:p>
    <w:p w14:paraId="25B16EF5" w14:textId="77777777" w:rsidR="000F0F63" w:rsidRPr="00650C77" w:rsidRDefault="000F0F63" w:rsidP="000F0F63">
      <w:pPr>
        <w:pStyle w:val="NormalWeb"/>
        <w:numPr>
          <w:ilvl w:val="0"/>
          <w:numId w:val="28"/>
        </w:numPr>
        <w:spacing w:line="360" w:lineRule="auto"/>
        <w:jc w:val="both"/>
        <w:rPr>
          <w:rFonts w:ascii="Arial" w:hAnsi="Arial" w:cs="Arial"/>
          <w:color w:val="000000" w:themeColor="text1"/>
          <w:sz w:val="22"/>
          <w:szCs w:val="22"/>
        </w:rPr>
      </w:pPr>
      <w:r w:rsidRPr="00650C77">
        <w:rPr>
          <w:rStyle w:val="Strong"/>
          <w:rFonts w:ascii="Arial" w:eastAsiaTheme="majorEastAsia" w:hAnsi="Arial" w:cs="Arial"/>
          <w:color w:val="000000" w:themeColor="text1"/>
          <w:sz w:val="22"/>
          <w:szCs w:val="22"/>
        </w:rPr>
        <w:t>Treatment Pathways:</w:t>
      </w:r>
      <w:r w:rsidRPr="00650C77">
        <w:rPr>
          <w:rFonts w:ascii="Arial" w:hAnsi="Arial" w:cs="Arial"/>
          <w:color w:val="000000" w:themeColor="text1"/>
          <w:sz w:val="22"/>
          <w:szCs w:val="22"/>
        </w:rPr>
        <w:t xml:space="preserve"> Structured, evidence-based processes guiding assessment, intervention, treatment, and follow-up for specific conditions (NICE, 2020).</w:t>
      </w:r>
    </w:p>
    <w:p w14:paraId="33EF6F8E" w14:textId="77777777" w:rsidR="000F0F63" w:rsidRPr="00650C77" w:rsidRDefault="000F0F63" w:rsidP="000F0F63">
      <w:pPr>
        <w:pStyle w:val="NormalWeb"/>
        <w:numPr>
          <w:ilvl w:val="0"/>
          <w:numId w:val="28"/>
        </w:numPr>
        <w:spacing w:line="360" w:lineRule="auto"/>
        <w:jc w:val="both"/>
        <w:rPr>
          <w:rFonts w:ascii="Arial" w:hAnsi="Arial" w:cs="Arial"/>
          <w:color w:val="000000" w:themeColor="text1"/>
          <w:sz w:val="22"/>
          <w:szCs w:val="22"/>
        </w:rPr>
      </w:pPr>
      <w:r w:rsidRPr="00650C77">
        <w:rPr>
          <w:rStyle w:val="Strong"/>
          <w:rFonts w:ascii="Arial" w:eastAsiaTheme="majorEastAsia" w:hAnsi="Arial" w:cs="Arial"/>
          <w:color w:val="000000" w:themeColor="text1"/>
          <w:sz w:val="22"/>
          <w:szCs w:val="22"/>
        </w:rPr>
        <w:t>Service Delivery:</w:t>
      </w:r>
      <w:r w:rsidRPr="00650C77">
        <w:rPr>
          <w:rFonts w:ascii="Arial" w:hAnsi="Arial" w:cs="Arial"/>
          <w:color w:val="000000" w:themeColor="text1"/>
          <w:sz w:val="22"/>
          <w:szCs w:val="22"/>
        </w:rPr>
        <w:t xml:space="preserve"> The organisation and provision of health and social care services, including resources, staffing, accessibility, and quality (NHS England, 2022).</w:t>
      </w:r>
    </w:p>
    <w:p w14:paraId="5DD53CF2" w14:textId="77777777" w:rsidR="000F0F63" w:rsidRPr="00650C77" w:rsidRDefault="000F0F63" w:rsidP="000F0F63">
      <w:pPr>
        <w:pStyle w:val="NormalWeb"/>
        <w:numPr>
          <w:ilvl w:val="0"/>
          <w:numId w:val="28"/>
        </w:numPr>
        <w:spacing w:line="360" w:lineRule="auto"/>
        <w:jc w:val="both"/>
        <w:rPr>
          <w:rFonts w:ascii="Arial" w:hAnsi="Arial" w:cs="Arial"/>
          <w:color w:val="000000" w:themeColor="text1"/>
          <w:sz w:val="22"/>
          <w:szCs w:val="22"/>
        </w:rPr>
      </w:pPr>
      <w:r w:rsidRPr="00650C77">
        <w:rPr>
          <w:rStyle w:val="Strong"/>
          <w:rFonts w:ascii="Arial" w:eastAsiaTheme="majorEastAsia" w:hAnsi="Arial" w:cs="Arial"/>
          <w:color w:val="000000" w:themeColor="text1"/>
          <w:sz w:val="22"/>
          <w:szCs w:val="22"/>
        </w:rPr>
        <w:t>Effectiveness:</w:t>
      </w:r>
      <w:r w:rsidRPr="00650C77">
        <w:rPr>
          <w:rFonts w:ascii="Arial" w:hAnsi="Arial" w:cs="Arial"/>
          <w:color w:val="000000" w:themeColor="text1"/>
          <w:sz w:val="22"/>
          <w:szCs w:val="22"/>
        </w:rPr>
        <w:t xml:space="preserve"> The degree to which interventions achieve intended outcomes in real-world settings, including clinical improvement and quality of life (Thornicroft et al., 2022).</w:t>
      </w:r>
    </w:p>
    <w:p w14:paraId="56CCACDB" w14:textId="77777777" w:rsidR="000F0F63" w:rsidRPr="00650C77" w:rsidRDefault="000F0F63" w:rsidP="000F0F63">
      <w:pPr>
        <w:pStyle w:val="NormalWeb"/>
        <w:numPr>
          <w:ilvl w:val="0"/>
          <w:numId w:val="28"/>
        </w:numPr>
        <w:spacing w:line="360" w:lineRule="auto"/>
        <w:jc w:val="both"/>
        <w:rPr>
          <w:rFonts w:ascii="Arial" w:hAnsi="Arial" w:cs="Arial"/>
          <w:color w:val="000000" w:themeColor="text1"/>
          <w:sz w:val="22"/>
          <w:szCs w:val="22"/>
        </w:rPr>
      </w:pPr>
      <w:r w:rsidRPr="00650C77">
        <w:rPr>
          <w:rStyle w:val="Strong"/>
          <w:rFonts w:ascii="Arial" w:eastAsiaTheme="majorEastAsia" w:hAnsi="Arial" w:cs="Arial"/>
          <w:color w:val="000000" w:themeColor="text1"/>
          <w:sz w:val="22"/>
          <w:szCs w:val="22"/>
        </w:rPr>
        <w:t>Accessibility:</w:t>
      </w:r>
      <w:r w:rsidRPr="00650C77">
        <w:rPr>
          <w:rFonts w:ascii="Arial" w:hAnsi="Arial" w:cs="Arial"/>
          <w:color w:val="000000" w:themeColor="text1"/>
          <w:sz w:val="22"/>
          <w:szCs w:val="22"/>
        </w:rPr>
        <w:t xml:space="preserve"> The ease of obtaining appropriate healthcare without barriers such as geographical, financial, or cultural limitations (Care Quality Commission, 2023).</w:t>
      </w:r>
    </w:p>
    <w:p w14:paraId="60AED48C" w14:textId="77777777" w:rsidR="000F0F63" w:rsidRPr="00650C77" w:rsidRDefault="000F0F63" w:rsidP="000F0F63">
      <w:pPr>
        <w:pStyle w:val="NormalWeb"/>
        <w:numPr>
          <w:ilvl w:val="0"/>
          <w:numId w:val="28"/>
        </w:numPr>
        <w:spacing w:line="360" w:lineRule="auto"/>
        <w:jc w:val="both"/>
        <w:rPr>
          <w:rFonts w:ascii="Arial" w:hAnsi="Arial" w:cs="Arial"/>
          <w:color w:val="000000" w:themeColor="text1"/>
          <w:sz w:val="22"/>
          <w:szCs w:val="22"/>
        </w:rPr>
      </w:pPr>
      <w:r w:rsidRPr="00650C77">
        <w:rPr>
          <w:rStyle w:val="Strong"/>
          <w:rFonts w:ascii="Arial" w:eastAsiaTheme="majorEastAsia" w:hAnsi="Arial" w:cs="Arial"/>
          <w:color w:val="000000" w:themeColor="text1"/>
          <w:sz w:val="22"/>
          <w:szCs w:val="22"/>
        </w:rPr>
        <w:t>National Health Service (NHS):</w:t>
      </w:r>
      <w:r w:rsidRPr="00650C77">
        <w:rPr>
          <w:rFonts w:ascii="Arial" w:hAnsi="Arial" w:cs="Arial"/>
          <w:color w:val="000000" w:themeColor="text1"/>
          <w:sz w:val="22"/>
          <w:szCs w:val="22"/>
        </w:rPr>
        <w:t xml:space="preserve"> The publicly funded healthcare system in the UK responsible for delivering health and mental health services (NHS England, 2023).</w:t>
      </w:r>
    </w:p>
    <w:p w14:paraId="5A301116" w14:textId="77777777" w:rsidR="000F0F63" w:rsidRPr="00650C77" w:rsidRDefault="000F0F63" w:rsidP="000F0F63">
      <w:pPr>
        <w:pStyle w:val="NormalWeb"/>
        <w:numPr>
          <w:ilvl w:val="0"/>
          <w:numId w:val="28"/>
        </w:numPr>
        <w:spacing w:line="360" w:lineRule="auto"/>
        <w:jc w:val="both"/>
        <w:rPr>
          <w:rFonts w:ascii="Arial" w:hAnsi="Arial" w:cs="Arial"/>
          <w:color w:val="000000" w:themeColor="text1"/>
          <w:sz w:val="22"/>
          <w:szCs w:val="22"/>
        </w:rPr>
      </w:pPr>
      <w:r w:rsidRPr="00650C77">
        <w:rPr>
          <w:rStyle w:val="Strong"/>
          <w:rFonts w:ascii="Arial" w:eastAsiaTheme="majorEastAsia" w:hAnsi="Arial" w:cs="Arial"/>
          <w:color w:val="000000" w:themeColor="text1"/>
          <w:sz w:val="22"/>
          <w:szCs w:val="22"/>
        </w:rPr>
        <w:t>Early Intervention in Psychosis (EIP):</w:t>
      </w:r>
      <w:r w:rsidRPr="00650C77">
        <w:rPr>
          <w:rFonts w:ascii="Arial" w:hAnsi="Arial" w:cs="Arial"/>
          <w:color w:val="000000" w:themeColor="text1"/>
          <w:sz w:val="22"/>
          <w:szCs w:val="22"/>
        </w:rPr>
        <w:t xml:space="preserve"> A specialised NHS service providing early assessment and intensive support for first-episode psychosis to improve long-term outcomes (NICE, 2020).</w:t>
      </w:r>
    </w:p>
    <w:p w14:paraId="049FBAA2" w14:textId="77777777" w:rsidR="000F0F63" w:rsidRPr="00650C77" w:rsidRDefault="000F0F63" w:rsidP="000F0F63">
      <w:pPr>
        <w:pStyle w:val="NormalWeb"/>
        <w:numPr>
          <w:ilvl w:val="0"/>
          <w:numId w:val="28"/>
        </w:numPr>
        <w:spacing w:line="360" w:lineRule="auto"/>
        <w:jc w:val="both"/>
        <w:rPr>
          <w:rFonts w:ascii="Arial" w:hAnsi="Arial" w:cs="Arial"/>
          <w:color w:val="000000" w:themeColor="text1"/>
          <w:sz w:val="22"/>
          <w:szCs w:val="22"/>
        </w:rPr>
      </w:pPr>
      <w:r w:rsidRPr="00650C77">
        <w:rPr>
          <w:rStyle w:val="Strong"/>
          <w:rFonts w:ascii="Arial" w:eastAsiaTheme="majorEastAsia" w:hAnsi="Arial" w:cs="Arial"/>
          <w:color w:val="000000" w:themeColor="text1"/>
          <w:sz w:val="22"/>
          <w:szCs w:val="22"/>
        </w:rPr>
        <w:t>Integrated Care Systems (ICS):</w:t>
      </w:r>
      <w:r w:rsidRPr="00650C77">
        <w:rPr>
          <w:rFonts w:ascii="Arial" w:hAnsi="Arial" w:cs="Arial"/>
          <w:color w:val="000000" w:themeColor="text1"/>
          <w:sz w:val="22"/>
          <w:szCs w:val="22"/>
        </w:rPr>
        <w:t xml:space="preserve"> Partnerships between NHS organisations, local authorities, and voluntary sectors to deliver coordinated care (NHS England, 2023).</w:t>
      </w:r>
    </w:p>
    <w:p w14:paraId="01FC0412" w14:textId="6C223FAD" w:rsidR="00610101" w:rsidRPr="00650C77" w:rsidRDefault="00610101" w:rsidP="00A126F2">
      <w:pPr>
        <w:pStyle w:val="NormalWeb"/>
        <w:numPr>
          <w:ilvl w:val="2"/>
          <w:numId w:val="34"/>
        </w:numPr>
        <w:spacing w:line="360" w:lineRule="auto"/>
        <w:jc w:val="both"/>
        <w:rPr>
          <w:rFonts w:ascii="Arial" w:hAnsi="Arial" w:cs="Arial"/>
          <w:color w:val="000000" w:themeColor="text1"/>
          <w:sz w:val="22"/>
          <w:szCs w:val="22"/>
        </w:rPr>
      </w:pPr>
      <w:r w:rsidRPr="00650C77">
        <w:rPr>
          <w:rFonts w:ascii="Arial" w:hAnsi="Arial" w:cs="Arial"/>
          <w:b/>
          <w:bCs/>
          <w:color w:val="000000" w:themeColor="text1"/>
        </w:rPr>
        <w:t>Acronyms and Abbreviations:</w:t>
      </w:r>
    </w:p>
    <w:tbl>
      <w:tblPr>
        <w:tblStyle w:val="TableGrid5"/>
        <w:tblW w:w="0" w:type="auto"/>
        <w:tblInd w:w="-5" w:type="dxa"/>
        <w:tblLook w:val="04A0" w:firstRow="1" w:lastRow="0" w:firstColumn="1" w:lastColumn="0" w:noHBand="0" w:noVBand="1"/>
      </w:tblPr>
      <w:tblGrid>
        <w:gridCol w:w="8931"/>
      </w:tblGrid>
      <w:tr w:rsidR="00706D9B" w:rsidRPr="00650C77" w14:paraId="380BA162" w14:textId="77777777" w:rsidTr="00FE4501">
        <w:trPr>
          <w:trHeight w:val="2400"/>
        </w:trPr>
        <w:tc>
          <w:tcPr>
            <w:tcW w:w="8931" w:type="dxa"/>
            <w:shd w:val="clear" w:color="auto" w:fill="5B9BD5" w:themeFill="accent5"/>
          </w:tcPr>
          <w:p w14:paraId="464DFE30" w14:textId="77777777" w:rsidR="002246C8" w:rsidRPr="00650C77" w:rsidRDefault="002246C8" w:rsidP="002246C8">
            <w:pPr>
              <w:numPr>
                <w:ilvl w:val="0"/>
                <w:numId w:val="1"/>
              </w:numPr>
              <w:spacing w:line="360" w:lineRule="auto"/>
              <w:ind w:left="0"/>
              <w:jc w:val="both"/>
              <w:rPr>
                <w:rFonts w:ascii="Arial" w:hAnsi="Arial" w:cs="Arial"/>
                <w:color w:val="000000" w:themeColor="text1"/>
                <w:sz w:val="20"/>
                <w:szCs w:val="20"/>
              </w:rPr>
            </w:pPr>
            <w:r w:rsidRPr="00650C77">
              <w:rPr>
                <w:rFonts w:ascii="Arial" w:hAnsi="Arial" w:cs="Arial"/>
                <w:b/>
                <w:bCs/>
                <w:color w:val="000000" w:themeColor="text1"/>
                <w:sz w:val="20"/>
                <w:szCs w:val="20"/>
              </w:rPr>
              <w:t>NHS</w:t>
            </w:r>
            <w:r w:rsidRPr="00650C77">
              <w:rPr>
                <w:rFonts w:ascii="Arial" w:hAnsi="Arial" w:cs="Arial"/>
                <w:color w:val="000000" w:themeColor="text1"/>
                <w:sz w:val="20"/>
                <w:szCs w:val="20"/>
              </w:rPr>
              <w:t>: National Health Service</w:t>
            </w:r>
          </w:p>
          <w:p w14:paraId="391D4DFB" w14:textId="77777777" w:rsidR="002246C8" w:rsidRPr="00650C77" w:rsidRDefault="002246C8" w:rsidP="002246C8">
            <w:pPr>
              <w:numPr>
                <w:ilvl w:val="0"/>
                <w:numId w:val="1"/>
              </w:numPr>
              <w:spacing w:line="360" w:lineRule="auto"/>
              <w:ind w:left="0"/>
              <w:jc w:val="both"/>
              <w:rPr>
                <w:rFonts w:ascii="Arial" w:hAnsi="Arial" w:cs="Arial"/>
                <w:color w:val="000000" w:themeColor="text1"/>
                <w:sz w:val="20"/>
                <w:szCs w:val="20"/>
              </w:rPr>
            </w:pPr>
            <w:r w:rsidRPr="00650C77">
              <w:rPr>
                <w:rFonts w:ascii="Arial" w:hAnsi="Arial" w:cs="Arial"/>
                <w:b/>
                <w:bCs/>
                <w:color w:val="000000" w:themeColor="text1"/>
                <w:sz w:val="20"/>
                <w:szCs w:val="20"/>
              </w:rPr>
              <w:t>EIP</w:t>
            </w:r>
            <w:r w:rsidRPr="00650C77">
              <w:rPr>
                <w:rFonts w:ascii="Arial" w:hAnsi="Arial" w:cs="Arial"/>
                <w:color w:val="000000" w:themeColor="text1"/>
                <w:sz w:val="20"/>
                <w:szCs w:val="20"/>
              </w:rPr>
              <w:t>: Early Intervention in Psychosis</w:t>
            </w:r>
          </w:p>
          <w:p w14:paraId="34456828" w14:textId="77777777" w:rsidR="002246C8" w:rsidRPr="00650C77" w:rsidRDefault="002246C8" w:rsidP="002246C8">
            <w:pPr>
              <w:numPr>
                <w:ilvl w:val="0"/>
                <w:numId w:val="1"/>
              </w:numPr>
              <w:spacing w:line="360" w:lineRule="auto"/>
              <w:ind w:left="0"/>
              <w:jc w:val="both"/>
              <w:rPr>
                <w:rFonts w:ascii="Arial" w:hAnsi="Arial" w:cs="Arial"/>
                <w:color w:val="000000" w:themeColor="text1"/>
                <w:sz w:val="20"/>
                <w:szCs w:val="20"/>
              </w:rPr>
            </w:pPr>
            <w:r w:rsidRPr="00650C77">
              <w:rPr>
                <w:rFonts w:ascii="Arial" w:hAnsi="Arial" w:cs="Arial"/>
                <w:b/>
                <w:bCs/>
                <w:color w:val="000000" w:themeColor="text1"/>
                <w:sz w:val="20"/>
                <w:szCs w:val="20"/>
              </w:rPr>
              <w:t>ICS</w:t>
            </w:r>
            <w:r w:rsidRPr="00650C77">
              <w:rPr>
                <w:rFonts w:ascii="Arial" w:hAnsi="Arial" w:cs="Arial"/>
                <w:color w:val="000000" w:themeColor="text1"/>
                <w:sz w:val="20"/>
                <w:szCs w:val="20"/>
              </w:rPr>
              <w:t>: Integrated Care Systems</w:t>
            </w:r>
          </w:p>
          <w:p w14:paraId="65B9956E" w14:textId="77777777" w:rsidR="002246C8" w:rsidRPr="00650C77" w:rsidRDefault="002246C8" w:rsidP="002246C8">
            <w:pPr>
              <w:numPr>
                <w:ilvl w:val="0"/>
                <w:numId w:val="1"/>
              </w:numPr>
              <w:spacing w:line="360" w:lineRule="auto"/>
              <w:ind w:left="0"/>
              <w:jc w:val="both"/>
              <w:rPr>
                <w:rFonts w:ascii="Arial" w:hAnsi="Arial" w:cs="Arial"/>
                <w:color w:val="000000" w:themeColor="text1"/>
                <w:sz w:val="20"/>
                <w:szCs w:val="20"/>
              </w:rPr>
            </w:pPr>
            <w:r w:rsidRPr="00650C77">
              <w:rPr>
                <w:rFonts w:ascii="Arial" w:hAnsi="Arial" w:cs="Arial"/>
                <w:b/>
                <w:bCs/>
                <w:color w:val="000000" w:themeColor="text1"/>
                <w:sz w:val="20"/>
                <w:szCs w:val="20"/>
              </w:rPr>
              <w:t>CBT</w:t>
            </w:r>
            <w:r w:rsidRPr="00650C77">
              <w:rPr>
                <w:rFonts w:ascii="Arial" w:hAnsi="Arial" w:cs="Arial"/>
                <w:color w:val="000000" w:themeColor="text1"/>
                <w:sz w:val="20"/>
                <w:szCs w:val="20"/>
              </w:rPr>
              <w:t>: Cognitive Behavioural Therapy</w:t>
            </w:r>
          </w:p>
          <w:p w14:paraId="1BA68111" w14:textId="77777777" w:rsidR="002246C8" w:rsidRPr="00650C77" w:rsidRDefault="002246C8" w:rsidP="002246C8">
            <w:pPr>
              <w:numPr>
                <w:ilvl w:val="0"/>
                <w:numId w:val="1"/>
              </w:numPr>
              <w:spacing w:line="360" w:lineRule="auto"/>
              <w:ind w:left="0"/>
              <w:jc w:val="both"/>
              <w:rPr>
                <w:rFonts w:ascii="Arial" w:hAnsi="Arial" w:cs="Arial"/>
                <w:color w:val="000000" w:themeColor="text1"/>
                <w:sz w:val="20"/>
                <w:szCs w:val="20"/>
              </w:rPr>
            </w:pPr>
            <w:r w:rsidRPr="00650C77">
              <w:rPr>
                <w:rFonts w:ascii="Arial" w:hAnsi="Arial" w:cs="Arial"/>
                <w:b/>
                <w:bCs/>
                <w:color w:val="000000" w:themeColor="text1"/>
                <w:sz w:val="20"/>
                <w:szCs w:val="20"/>
              </w:rPr>
              <w:t>SMI</w:t>
            </w:r>
            <w:r w:rsidRPr="00650C77">
              <w:rPr>
                <w:rFonts w:ascii="Arial" w:hAnsi="Arial" w:cs="Arial"/>
                <w:color w:val="000000" w:themeColor="text1"/>
                <w:sz w:val="20"/>
                <w:szCs w:val="20"/>
              </w:rPr>
              <w:t>: Severe Mental Illness</w:t>
            </w:r>
          </w:p>
          <w:p w14:paraId="5DB2366D" w14:textId="77777777" w:rsidR="002246C8" w:rsidRPr="00650C77" w:rsidRDefault="002246C8" w:rsidP="002246C8">
            <w:pPr>
              <w:numPr>
                <w:ilvl w:val="0"/>
                <w:numId w:val="1"/>
              </w:numPr>
              <w:spacing w:line="360" w:lineRule="auto"/>
              <w:ind w:left="0"/>
              <w:jc w:val="both"/>
              <w:rPr>
                <w:rFonts w:ascii="Arial" w:hAnsi="Arial" w:cs="Arial"/>
                <w:color w:val="000000" w:themeColor="text1"/>
                <w:sz w:val="20"/>
                <w:szCs w:val="20"/>
              </w:rPr>
            </w:pPr>
            <w:r w:rsidRPr="00650C77">
              <w:rPr>
                <w:rFonts w:ascii="Arial" w:hAnsi="Arial" w:cs="Arial"/>
                <w:b/>
                <w:bCs/>
                <w:color w:val="000000" w:themeColor="text1"/>
                <w:sz w:val="20"/>
                <w:szCs w:val="20"/>
              </w:rPr>
              <w:t>NIHR</w:t>
            </w:r>
            <w:r w:rsidRPr="00650C77">
              <w:rPr>
                <w:rFonts w:ascii="Arial" w:hAnsi="Arial" w:cs="Arial"/>
                <w:color w:val="000000" w:themeColor="text1"/>
                <w:sz w:val="20"/>
                <w:szCs w:val="20"/>
              </w:rPr>
              <w:t>: National Institute for Health and Care Research</w:t>
            </w:r>
          </w:p>
          <w:p w14:paraId="18DED7DB" w14:textId="77777777" w:rsidR="002246C8" w:rsidRPr="00650C77" w:rsidRDefault="002246C8" w:rsidP="002246C8">
            <w:pPr>
              <w:rPr>
                <w:color w:val="000000" w:themeColor="text1"/>
              </w:rPr>
            </w:pPr>
          </w:p>
        </w:tc>
      </w:tr>
    </w:tbl>
    <w:p w14:paraId="313B089D" w14:textId="77777777" w:rsidR="002246C8" w:rsidRPr="00650C77" w:rsidRDefault="002246C8" w:rsidP="002246C8">
      <w:pPr>
        <w:rPr>
          <w:color w:val="000000" w:themeColor="text1"/>
        </w:rPr>
      </w:pPr>
    </w:p>
    <w:p w14:paraId="530A0DC2" w14:textId="74226610" w:rsidR="00DB7007" w:rsidRPr="00650C77" w:rsidRDefault="00610101" w:rsidP="0061010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The proper understanding of these terms is essential for evaluating care models, comparing studies, and critically interpreting outcomes.</w:t>
      </w:r>
    </w:p>
    <w:p w14:paraId="42A0D812" w14:textId="77777777" w:rsidR="000F0F63" w:rsidRPr="00650C77" w:rsidRDefault="000F0F63" w:rsidP="0061010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03E6A454" w14:textId="77777777" w:rsidR="00610101" w:rsidRPr="00240CAF" w:rsidRDefault="00610101" w:rsidP="00610101">
      <w:pPr>
        <w:spacing w:before="100" w:beforeAutospacing="1" w:after="100" w:afterAutospacing="1" w:line="360" w:lineRule="auto"/>
        <w:jc w:val="both"/>
        <w:outlineLvl w:val="1"/>
        <w:rPr>
          <w:rFonts w:ascii="Arial" w:eastAsia="Times New Roman" w:hAnsi="Arial" w:cs="Arial"/>
          <w:b/>
          <w:bCs/>
          <w:color w:val="000000" w:themeColor="text1"/>
          <w:kern w:val="0"/>
          <w:sz w:val="28"/>
          <w:szCs w:val="28"/>
          <w:lang w:eastAsia="en-GB"/>
          <w14:ligatures w14:val="none"/>
        </w:rPr>
      </w:pPr>
      <w:r w:rsidRPr="00240CAF">
        <w:rPr>
          <w:rFonts w:ascii="Arial" w:eastAsia="Times New Roman" w:hAnsi="Arial" w:cs="Arial"/>
          <w:b/>
          <w:bCs/>
          <w:color w:val="000000" w:themeColor="text1"/>
          <w:kern w:val="0"/>
          <w:sz w:val="28"/>
          <w:szCs w:val="28"/>
          <w:lang w:eastAsia="en-GB"/>
          <w14:ligatures w14:val="none"/>
        </w:rPr>
        <w:lastRenderedPageBreak/>
        <w:t>1.3 Background and Current Context:</w:t>
      </w:r>
    </w:p>
    <w:p w14:paraId="423ACAF6" w14:textId="66B26FD1" w:rsidR="00610101" w:rsidRPr="00650C77"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7"/>
          <w:szCs w:val="27"/>
          <w:lang w:eastAsia="en-GB"/>
          <w14:ligatures w14:val="none"/>
        </w:rPr>
      </w:pPr>
      <w:r w:rsidRPr="00650C77">
        <w:rPr>
          <w:rFonts w:ascii="Arial" w:eastAsia="Times New Roman" w:hAnsi="Arial" w:cs="Arial"/>
          <w:b/>
          <w:bCs/>
          <w:color w:val="000000" w:themeColor="text1"/>
          <w:kern w:val="0"/>
          <w:sz w:val="27"/>
          <w:szCs w:val="27"/>
          <w:lang w:eastAsia="en-GB"/>
          <w14:ligatures w14:val="none"/>
        </w:rPr>
        <w:t>1.3.1 Background</w:t>
      </w:r>
      <w:r w:rsidR="00CE6BFE" w:rsidRPr="00650C77">
        <w:rPr>
          <w:rFonts w:ascii="Arial" w:eastAsia="Times New Roman" w:hAnsi="Arial" w:cs="Arial"/>
          <w:b/>
          <w:bCs/>
          <w:color w:val="000000" w:themeColor="text1"/>
          <w:kern w:val="0"/>
          <w:sz w:val="27"/>
          <w:szCs w:val="27"/>
          <w:lang w:eastAsia="en-GB"/>
          <w14:ligatures w14:val="none"/>
        </w:rPr>
        <w:t>:</w:t>
      </w:r>
    </w:p>
    <w:p w14:paraId="64890BCB" w14:textId="77777777" w:rsidR="00610101" w:rsidRPr="00650C77" w:rsidRDefault="00610101" w:rsidP="0061010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Understanding of schizophrenia has progressed significantly since the early 20th century when Kraepelin and Bleuler first characterised the disorder. Historically, treatment was dominated by institutionalisation; however, deinstitutionalisation in the UK during the 1960s–1980s shifted care towards community-based services (Rogers and Pilgrim, 2020). The introduction of antipsychotic medication, particularly atypical antipsychotics in the 1990s, further transformed management by reducing hospitalisation rates and improving symptom control (Leucht et al., 2019). Policy initiatives such as the National Service Framework for Mental Health (1999) and the development of EIP services have shaped modern care pathways.</w:t>
      </w:r>
    </w:p>
    <w:p w14:paraId="78964F12" w14:textId="77777777" w:rsidR="00610101" w:rsidRPr="00650C77"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7"/>
          <w:szCs w:val="27"/>
          <w:lang w:eastAsia="en-GB"/>
          <w14:ligatures w14:val="none"/>
        </w:rPr>
      </w:pPr>
      <w:r w:rsidRPr="00650C77">
        <w:rPr>
          <w:rFonts w:ascii="Arial" w:eastAsia="Times New Roman" w:hAnsi="Arial" w:cs="Arial"/>
          <w:b/>
          <w:bCs/>
          <w:color w:val="000000" w:themeColor="text1"/>
          <w:kern w:val="0"/>
          <w:sz w:val="27"/>
          <w:szCs w:val="27"/>
          <w:lang w:eastAsia="en-GB"/>
          <w14:ligatures w14:val="none"/>
        </w:rPr>
        <w:t>1.3.2 Current Context</w:t>
      </w:r>
    </w:p>
    <w:p w14:paraId="4CC6EA4E" w14:textId="305626FC" w:rsidR="00DB7007" w:rsidRPr="00650C77" w:rsidRDefault="00610101" w:rsidP="0061010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Today, schizophrenia treatment in the UK includes pharmacological interventions, psychological therapies, social support, and community mental health services. However, significant pressures affect service delivery. Recent reports highlight rising demand, workforce shortages, and variability in mental health provision across regions (CQC, 2023). While EIP services have improved early outcomes, continued concerns exist regarding long waiting times, inconsistent implementation of NICE guidelines, and limited access to high-quality psychosocial interventions (NHS England, 2022). Additionally, socioeconomic inequalities and stigma continue to influence help-seeking behaviours and engagement with services. These factors underscore the urgent    for a comprehensive evaluation of current treatment pathways to identify strengths, limitations, and opportunities for improvement.</w:t>
      </w:r>
    </w:p>
    <w:p w14:paraId="5CDF0D7D" w14:textId="77777777" w:rsidR="00610101" w:rsidRPr="00650C77" w:rsidRDefault="00610101" w:rsidP="00610101">
      <w:pPr>
        <w:spacing w:line="360" w:lineRule="auto"/>
        <w:jc w:val="both"/>
        <w:rPr>
          <w:rFonts w:ascii="Arial" w:hAnsi="Arial" w:cs="Arial"/>
          <w:b/>
          <w:bCs/>
          <w:color w:val="000000" w:themeColor="text1"/>
          <w:sz w:val="28"/>
          <w:szCs w:val="28"/>
        </w:rPr>
      </w:pPr>
      <w:r w:rsidRPr="00650C77">
        <w:rPr>
          <w:rFonts w:ascii="Arial" w:hAnsi="Arial" w:cs="Arial"/>
          <w:b/>
          <w:bCs/>
          <w:color w:val="000000" w:themeColor="text1"/>
          <w:sz w:val="28"/>
          <w:szCs w:val="28"/>
        </w:rPr>
        <w:t>1.4 Rationale for Research:</w:t>
      </w:r>
    </w:p>
    <w:p w14:paraId="1B4B11F0" w14:textId="77777777" w:rsidR="007176B5" w:rsidRPr="00650C77" w:rsidRDefault="007176B5" w:rsidP="007176B5">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Despite policy progress, major gaps remain in UK schizophrenia care. Inequalities affect ethnic minorities, people in deprived areas, and perinatal women (Jovanović et al., 2025). EIP services improve short-term outcomes but do not address long-term issues such as unemployment, poor housing, social exclusion, and physical health problems. Demand has increased since COVID-19, placing additional pressure on services (Phillips et al., 2025).</w:t>
      </w:r>
    </w:p>
    <w:p w14:paraId="29FBE587" w14:textId="77777777" w:rsidR="007176B5" w:rsidRPr="00650C77" w:rsidRDefault="007176B5" w:rsidP="007176B5">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Inconsistent NICE implementation and uneven funding limit access to psychological and social support, creating gaps after discharge. Limited research on treatment pathways, unclear </w:t>
      </w:r>
      <w:r w:rsidRPr="00650C77">
        <w:rPr>
          <w:rFonts w:ascii="Arial" w:hAnsi="Arial" w:cs="Arial"/>
          <w:color w:val="000000" w:themeColor="text1"/>
          <w:sz w:val="22"/>
          <w:szCs w:val="22"/>
        </w:rPr>
        <w:lastRenderedPageBreak/>
        <w:t>definitions of recovery, and poor outcome data restrict evaluation (Pagdon, 2025). Many service users report that care does not reflect their recovery goals, reducing engagement (Uehling, 2025). This dissertation addresses these gaps to inform policy, service design, and more equitable care.</w:t>
      </w:r>
    </w:p>
    <w:p w14:paraId="4B1A5CDC" w14:textId="6578AB88" w:rsidR="00610101" w:rsidRPr="00650C77" w:rsidRDefault="00610101" w:rsidP="00610101">
      <w:pPr>
        <w:spacing w:before="100" w:beforeAutospacing="1" w:after="100" w:afterAutospacing="1" w:line="360" w:lineRule="auto"/>
        <w:jc w:val="both"/>
        <w:outlineLvl w:val="1"/>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 xml:space="preserve">1.5 </w:t>
      </w:r>
      <w:r w:rsidR="000F0F63" w:rsidRPr="00650C77">
        <w:rPr>
          <w:rFonts w:ascii="Arial" w:eastAsia="Times New Roman" w:hAnsi="Arial" w:cs="Arial"/>
          <w:b/>
          <w:bCs/>
          <w:color w:val="000000" w:themeColor="text1"/>
          <w:kern w:val="0"/>
          <w:sz w:val="28"/>
          <w:szCs w:val="28"/>
          <w:lang w:eastAsia="en-GB"/>
          <w14:ligatures w14:val="none"/>
        </w:rPr>
        <w:t xml:space="preserve">Research </w:t>
      </w:r>
      <w:r w:rsidRPr="00650C77">
        <w:rPr>
          <w:rFonts w:ascii="Arial" w:eastAsia="Times New Roman" w:hAnsi="Arial" w:cs="Arial"/>
          <w:b/>
          <w:bCs/>
          <w:color w:val="000000" w:themeColor="text1"/>
          <w:kern w:val="0"/>
          <w:sz w:val="28"/>
          <w:szCs w:val="28"/>
          <w:lang w:eastAsia="en-GB"/>
          <w14:ligatures w14:val="none"/>
        </w:rPr>
        <w:t>Aim and Objectives:</w:t>
      </w:r>
    </w:p>
    <w:p w14:paraId="4D6935F8" w14:textId="6F39534C" w:rsidR="00610101" w:rsidRPr="00650C77"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1.5.1 Research Aim</w:t>
      </w:r>
      <w:r w:rsidR="000F0F63" w:rsidRPr="00650C77">
        <w:rPr>
          <w:rFonts w:ascii="Arial" w:eastAsia="Times New Roman" w:hAnsi="Arial" w:cs="Arial"/>
          <w:b/>
          <w:bCs/>
          <w:color w:val="000000" w:themeColor="text1"/>
          <w:kern w:val="0"/>
          <w:sz w:val="24"/>
          <w:szCs w:val="24"/>
          <w:lang w:eastAsia="en-GB"/>
          <w14:ligatures w14:val="none"/>
        </w:rPr>
        <w:t>:</w:t>
      </w:r>
    </w:p>
    <w:p w14:paraId="3DFEB382" w14:textId="7E9D4689" w:rsidR="000F0F63" w:rsidRPr="00650C77" w:rsidRDefault="00610101" w:rsidP="0061010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The aim of this dissertation is to conduct a comprehensive evaluation of treatment pathways and service delivery for schizophrenia in the United Kingdom, with a focus on their effectiveness, accessibility, and potential strategic directions for future improvement.</w:t>
      </w:r>
    </w:p>
    <w:p w14:paraId="66F0FD59" w14:textId="053D78FC" w:rsidR="00610101" w:rsidRPr="00650C77"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1.5.2 Research Objectives</w:t>
      </w:r>
      <w:r w:rsidR="000F0F63" w:rsidRPr="00650C77">
        <w:rPr>
          <w:rFonts w:ascii="Arial" w:eastAsia="Times New Roman" w:hAnsi="Arial" w:cs="Arial"/>
          <w:b/>
          <w:bCs/>
          <w:color w:val="000000" w:themeColor="text1"/>
          <w:kern w:val="0"/>
          <w:sz w:val="24"/>
          <w:szCs w:val="24"/>
          <w:lang w:eastAsia="en-GB"/>
          <w14:ligatures w14:val="none"/>
        </w:rPr>
        <w:t>:</w:t>
      </w:r>
    </w:p>
    <w:p w14:paraId="46343352" w14:textId="77777777" w:rsidR="00610101" w:rsidRPr="00650C77" w:rsidRDefault="00610101" w:rsidP="00610101">
      <w:pPr>
        <w:pStyle w:val="ListParagraph"/>
        <w:numPr>
          <w:ilvl w:val="0"/>
          <w:numId w:val="2"/>
        </w:numPr>
        <w:spacing w:before="100" w:beforeAutospacing="1" w:after="100" w:afterAutospacing="1" w:line="360" w:lineRule="auto"/>
        <w:ind w:left="0"/>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To examine current treatment pathways for schizophrenia within the UK, including pharmacological, psychological, and community-based interventions.</w:t>
      </w:r>
    </w:p>
    <w:p w14:paraId="5BA1B185" w14:textId="77777777" w:rsidR="00610101" w:rsidRPr="00650C77" w:rsidRDefault="00610101" w:rsidP="00610101">
      <w:pPr>
        <w:pStyle w:val="ListParagraph"/>
        <w:numPr>
          <w:ilvl w:val="0"/>
          <w:numId w:val="2"/>
        </w:numPr>
        <w:spacing w:before="100" w:beforeAutospacing="1" w:after="100" w:afterAutospacing="1" w:line="360" w:lineRule="auto"/>
        <w:ind w:left="0"/>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To assess the accessibility and quality of schizophrenia services across different regions of the UK.</w:t>
      </w:r>
    </w:p>
    <w:p w14:paraId="65242843" w14:textId="77777777" w:rsidR="00610101" w:rsidRPr="00650C77" w:rsidRDefault="00610101" w:rsidP="00610101">
      <w:pPr>
        <w:pStyle w:val="ListParagraph"/>
        <w:numPr>
          <w:ilvl w:val="0"/>
          <w:numId w:val="2"/>
        </w:numPr>
        <w:spacing w:before="100" w:beforeAutospacing="1" w:after="100" w:afterAutospacing="1" w:line="360" w:lineRule="auto"/>
        <w:ind w:left="0"/>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To evaluate the effectiveness of current service delivery models, including early intervention and integrated care approaches.</w:t>
      </w:r>
    </w:p>
    <w:p w14:paraId="51AB7A85" w14:textId="5512FD6D" w:rsidR="002246C8" w:rsidRPr="00650C77" w:rsidRDefault="00610101" w:rsidP="002246C8">
      <w:pPr>
        <w:pStyle w:val="ListParagraph"/>
        <w:numPr>
          <w:ilvl w:val="0"/>
          <w:numId w:val="2"/>
        </w:numPr>
        <w:spacing w:before="100" w:beforeAutospacing="1" w:after="100" w:afterAutospacing="1" w:line="360" w:lineRule="auto"/>
        <w:ind w:left="0"/>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To identify gaps, challenges, and opportunities for enhancing future schizophrenia treatment and service provision.</w:t>
      </w:r>
    </w:p>
    <w:p w14:paraId="1964C917" w14:textId="70DCB421" w:rsidR="00610101" w:rsidRPr="00650C77"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 xml:space="preserve">1.6 </w:t>
      </w:r>
      <w:r w:rsidR="0044725C">
        <w:rPr>
          <w:rFonts w:ascii="Arial" w:eastAsia="Times New Roman" w:hAnsi="Arial" w:cs="Arial"/>
          <w:b/>
          <w:bCs/>
          <w:color w:val="000000" w:themeColor="text1"/>
          <w:kern w:val="0"/>
          <w:sz w:val="28"/>
          <w:szCs w:val="28"/>
          <w:lang w:eastAsia="en-GB"/>
          <w14:ligatures w14:val="none"/>
        </w:rPr>
        <w:t xml:space="preserve">Chapter </w:t>
      </w:r>
      <w:r w:rsidRPr="00650C77">
        <w:rPr>
          <w:rFonts w:ascii="Arial" w:eastAsia="Times New Roman" w:hAnsi="Arial" w:cs="Arial"/>
          <w:b/>
          <w:bCs/>
          <w:color w:val="000000" w:themeColor="text1"/>
          <w:kern w:val="0"/>
          <w:sz w:val="28"/>
          <w:szCs w:val="28"/>
          <w:lang w:eastAsia="en-GB"/>
          <w14:ligatures w14:val="none"/>
        </w:rPr>
        <w:t>Conclusion:</w:t>
      </w:r>
    </w:p>
    <w:p w14:paraId="2FFB57CF" w14:textId="22C78A9E" w:rsidR="0044725C" w:rsidRPr="0044725C" w:rsidRDefault="0044725C" w:rsidP="0044725C">
      <w:pPr>
        <w:pStyle w:val="NormalWeb"/>
        <w:spacing w:line="360" w:lineRule="auto"/>
        <w:jc w:val="both"/>
        <w:rPr>
          <w:rFonts w:ascii="Arial" w:hAnsi="Arial" w:cs="Arial"/>
          <w:sz w:val="22"/>
          <w:szCs w:val="22"/>
        </w:rPr>
      </w:pPr>
      <w:r w:rsidRPr="0044725C">
        <w:rPr>
          <w:rFonts w:ascii="Arial" w:hAnsi="Arial" w:cs="Arial"/>
          <w:sz w:val="22"/>
          <w:szCs w:val="22"/>
        </w:rPr>
        <w:t>This chapter introduced the study by outlining the background, key definitions, and current context of schizophrenia care in the UK. It highlighted the importance of evaluating treatment pathways and service delivery, particularly in relation to effectiveness, accessibility, and ongoing inequalities. The research aim and objectives were clearly established to guide the investigation.</w:t>
      </w:r>
      <w:r w:rsidR="0065347C">
        <w:rPr>
          <w:rFonts w:ascii="Arial" w:hAnsi="Arial" w:cs="Arial"/>
          <w:sz w:val="22"/>
          <w:szCs w:val="22"/>
        </w:rPr>
        <w:t xml:space="preserve"> </w:t>
      </w:r>
      <w:r w:rsidRPr="0044725C">
        <w:rPr>
          <w:rFonts w:ascii="Arial" w:hAnsi="Arial" w:cs="Arial"/>
          <w:sz w:val="22"/>
          <w:szCs w:val="22"/>
        </w:rPr>
        <w:t>Overall, this chapter sets the foundation for the dissertation by identifying key issues and areas for improvement in schizophrenia care. The next chapter will present a detailed review of the literature, exploring theoretical frameworks, historical developments, and policy contexts that shape current service provision.</w:t>
      </w:r>
    </w:p>
    <w:p w14:paraId="723EA4EE" w14:textId="77777777" w:rsidR="0044725C" w:rsidRDefault="0044725C" w:rsidP="00DB7007">
      <w:pPr>
        <w:pStyle w:val="NormalWeb"/>
        <w:spacing w:line="360" w:lineRule="auto"/>
        <w:jc w:val="both"/>
        <w:rPr>
          <w:rFonts w:ascii="Arial" w:hAnsi="Arial" w:cs="Arial"/>
          <w:b/>
          <w:bCs/>
          <w:color w:val="000000" w:themeColor="text1"/>
          <w:sz w:val="36"/>
          <w:szCs w:val="36"/>
        </w:rPr>
      </w:pPr>
    </w:p>
    <w:p w14:paraId="70803638" w14:textId="54D10877" w:rsidR="00610101" w:rsidRPr="00650C77" w:rsidRDefault="00610101" w:rsidP="00DB7007">
      <w:pPr>
        <w:pStyle w:val="NormalWeb"/>
        <w:spacing w:line="360" w:lineRule="auto"/>
        <w:jc w:val="both"/>
        <w:rPr>
          <w:rFonts w:ascii="Arial" w:hAnsi="Arial" w:cs="Arial"/>
          <w:color w:val="000000" w:themeColor="text1"/>
          <w:sz w:val="22"/>
          <w:szCs w:val="22"/>
        </w:rPr>
      </w:pPr>
      <w:r w:rsidRPr="00650C77">
        <w:rPr>
          <w:rFonts w:ascii="Arial" w:hAnsi="Arial" w:cs="Arial"/>
          <w:b/>
          <w:bCs/>
          <w:color w:val="000000" w:themeColor="text1"/>
          <w:sz w:val="36"/>
          <w:szCs w:val="36"/>
        </w:rPr>
        <w:lastRenderedPageBreak/>
        <w:t>Chapter 2 – Background Information and Analysis</w:t>
      </w:r>
    </w:p>
    <w:p w14:paraId="01ACECF9" w14:textId="77777777" w:rsidR="00610101" w:rsidRPr="00650C77"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2.1 Introduction:</w:t>
      </w:r>
    </w:p>
    <w:p w14:paraId="4F1473C4" w14:textId="77777777" w:rsidR="00F93140" w:rsidRPr="00650C77" w:rsidRDefault="00F93140" w:rsidP="00F9314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The treatment and service delivery of schizophrenia in the United Kingdom have evolved significantly, moving from institutional asylum care to community-based and recovery-focused models (Rogers and Pilgrim, 2014; NHS England, 2019). Schizophrenia is a severe and chronic mental disorder affecting cognition, perception, and social functioning, and remains a major challenge for global mental health systems (World Health Organization, 2022; Owen et al., 2016). In the UK, it is a key focus of NHS policy and reform due to its economic impact, social consequences, and links to health inequalities (NHS England, 2019; Public Health England, 2020).</w:t>
      </w:r>
    </w:p>
    <w:p w14:paraId="5EAA1339" w14:textId="77777777" w:rsidR="00F93140" w:rsidRPr="00650C77" w:rsidRDefault="00F93140" w:rsidP="00F9314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This chapter provides a foundation for the dissertation by critically examining the historical development, theoretical frameworks, and policy approaches influencing schizophrenia care. It draws on academic literature, NHS strategies, and global data to explore key structural changes, particularly following post-2015 mental health reforms (NHS England, 2016). It also identifies ongoing challenges, including barriers to access, cultural appropriateness, and unequal outcomes (Public Health England, 2020; </w:t>
      </w:r>
      <w:proofErr w:type="spellStart"/>
      <w:r w:rsidRPr="00650C77">
        <w:rPr>
          <w:rFonts w:ascii="Arial" w:hAnsi="Arial" w:cs="Arial"/>
          <w:color w:val="000000" w:themeColor="text1"/>
          <w:sz w:val="22"/>
          <w:szCs w:val="22"/>
        </w:rPr>
        <w:t>Bhui</w:t>
      </w:r>
      <w:proofErr w:type="spellEnd"/>
      <w:r w:rsidRPr="00650C77">
        <w:rPr>
          <w:rFonts w:ascii="Arial" w:hAnsi="Arial" w:cs="Arial"/>
          <w:color w:val="000000" w:themeColor="text1"/>
          <w:sz w:val="22"/>
          <w:szCs w:val="22"/>
        </w:rPr>
        <w:t xml:space="preserve"> et al., 2018).</w:t>
      </w:r>
    </w:p>
    <w:p w14:paraId="0CA5B1D1" w14:textId="2296A93C" w:rsidR="0081298D" w:rsidRPr="00650C77" w:rsidRDefault="00F93140" w:rsidP="00F9314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Understanding this context is essential for evaluating treatment effectiveness and service delivery in the UK.</w:t>
      </w:r>
    </w:p>
    <w:p w14:paraId="2875DD41" w14:textId="77777777" w:rsidR="00F93140" w:rsidRPr="00650C77" w:rsidRDefault="00F93140" w:rsidP="00F93140">
      <w:pPr>
        <w:pStyle w:val="NormalWeb"/>
        <w:spacing w:line="360" w:lineRule="auto"/>
        <w:jc w:val="both"/>
        <w:rPr>
          <w:rFonts w:ascii="Arial" w:hAnsi="Arial" w:cs="Arial"/>
          <w:color w:val="000000" w:themeColor="text1"/>
          <w:sz w:val="22"/>
          <w:szCs w:val="22"/>
        </w:rPr>
      </w:pPr>
    </w:p>
    <w:p w14:paraId="741545FD" w14:textId="77777777" w:rsidR="00F93140" w:rsidRPr="00650C77" w:rsidRDefault="00F93140" w:rsidP="00F93140">
      <w:pPr>
        <w:pStyle w:val="NormalWeb"/>
        <w:spacing w:line="360" w:lineRule="auto"/>
        <w:jc w:val="both"/>
        <w:rPr>
          <w:rFonts w:ascii="Arial" w:hAnsi="Arial" w:cs="Arial"/>
          <w:color w:val="000000" w:themeColor="text1"/>
          <w:sz w:val="22"/>
          <w:szCs w:val="22"/>
        </w:rPr>
      </w:pPr>
    </w:p>
    <w:p w14:paraId="5D07AF44" w14:textId="77777777" w:rsidR="00F93140" w:rsidRPr="00650C77" w:rsidRDefault="00F93140" w:rsidP="00F93140">
      <w:pPr>
        <w:pStyle w:val="NormalWeb"/>
        <w:spacing w:line="360" w:lineRule="auto"/>
        <w:jc w:val="both"/>
        <w:rPr>
          <w:rFonts w:ascii="Arial" w:hAnsi="Arial" w:cs="Arial"/>
          <w:color w:val="000000" w:themeColor="text1"/>
          <w:sz w:val="22"/>
          <w:szCs w:val="22"/>
        </w:rPr>
      </w:pPr>
    </w:p>
    <w:p w14:paraId="28B5D276" w14:textId="77777777" w:rsidR="00F93140" w:rsidRPr="00650C77" w:rsidRDefault="00F93140" w:rsidP="00F93140">
      <w:pPr>
        <w:pStyle w:val="NormalWeb"/>
        <w:spacing w:line="360" w:lineRule="auto"/>
        <w:jc w:val="both"/>
        <w:rPr>
          <w:rFonts w:ascii="Arial" w:hAnsi="Arial" w:cs="Arial"/>
          <w:color w:val="000000" w:themeColor="text1"/>
          <w:sz w:val="22"/>
          <w:szCs w:val="22"/>
        </w:rPr>
      </w:pPr>
    </w:p>
    <w:p w14:paraId="594A7454" w14:textId="77777777" w:rsidR="00F93140" w:rsidRPr="00650C77" w:rsidRDefault="00F93140" w:rsidP="00F93140">
      <w:pPr>
        <w:pStyle w:val="NormalWeb"/>
        <w:spacing w:line="360" w:lineRule="auto"/>
        <w:jc w:val="both"/>
        <w:rPr>
          <w:rFonts w:ascii="Arial" w:hAnsi="Arial" w:cs="Arial"/>
          <w:color w:val="000000" w:themeColor="text1"/>
          <w:sz w:val="22"/>
          <w:szCs w:val="22"/>
        </w:rPr>
      </w:pPr>
    </w:p>
    <w:p w14:paraId="5A86E7EB" w14:textId="77777777" w:rsidR="00F93140" w:rsidRPr="00650C77" w:rsidRDefault="00F93140" w:rsidP="00F93140">
      <w:pPr>
        <w:pStyle w:val="NormalWeb"/>
        <w:spacing w:line="360" w:lineRule="auto"/>
        <w:jc w:val="both"/>
        <w:rPr>
          <w:rFonts w:ascii="Arial" w:hAnsi="Arial" w:cs="Arial"/>
          <w:color w:val="000000" w:themeColor="text1"/>
          <w:sz w:val="22"/>
          <w:szCs w:val="22"/>
        </w:rPr>
      </w:pPr>
    </w:p>
    <w:p w14:paraId="59B91B16" w14:textId="77777777" w:rsidR="00F93140" w:rsidRPr="00650C77" w:rsidRDefault="00F93140" w:rsidP="00F93140">
      <w:pPr>
        <w:pStyle w:val="NormalWeb"/>
        <w:spacing w:line="360" w:lineRule="auto"/>
        <w:jc w:val="both"/>
        <w:rPr>
          <w:rFonts w:ascii="Arial" w:hAnsi="Arial" w:cs="Arial"/>
          <w:color w:val="000000" w:themeColor="text1"/>
          <w:sz w:val="22"/>
          <w:szCs w:val="22"/>
        </w:rPr>
      </w:pPr>
    </w:p>
    <w:p w14:paraId="18DB3DE0" w14:textId="77777777" w:rsidR="00F93140" w:rsidRPr="00650C77" w:rsidRDefault="00F93140" w:rsidP="00F93140">
      <w:pPr>
        <w:pStyle w:val="NormalWeb"/>
        <w:spacing w:line="360" w:lineRule="auto"/>
        <w:jc w:val="both"/>
        <w:rPr>
          <w:rFonts w:ascii="Arial" w:hAnsi="Arial" w:cs="Arial"/>
          <w:color w:val="000000" w:themeColor="text1"/>
          <w:sz w:val="22"/>
          <w:szCs w:val="22"/>
        </w:rPr>
      </w:pPr>
    </w:p>
    <w:p w14:paraId="63E63539" w14:textId="686EF3AA" w:rsidR="00610101" w:rsidRPr="0044725C" w:rsidRDefault="00610101" w:rsidP="00610101">
      <w:pPr>
        <w:spacing w:before="100" w:beforeAutospacing="1" w:after="100" w:afterAutospacing="1" w:line="360" w:lineRule="auto"/>
        <w:jc w:val="both"/>
        <w:rPr>
          <w:rFonts w:ascii="Arial" w:eastAsia="Times New Roman" w:hAnsi="Arial" w:cs="Arial"/>
          <w:b/>
          <w:bCs/>
          <w:color w:val="000000" w:themeColor="text1"/>
          <w:kern w:val="0"/>
          <w:sz w:val="28"/>
          <w:szCs w:val="28"/>
          <w:lang w:eastAsia="en-GB"/>
          <w14:ligatures w14:val="none"/>
        </w:rPr>
      </w:pPr>
      <w:r w:rsidRPr="0044725C">
        <w:rPr>
          <w:rFonts w:ascii="Arial" w:eastAsia="Times New Roman" w:hAnsi="Arial" w:cs="Arial"/>
          <w:b/>
          <w:bCs/>
          <w:color w:val="000000" w:themeColor="text1"/>
          <w:kern w:val="0"/>
          <w:sz w:val="28"/>
          <w:szCs w:val="28"/>
          <w:lang w:eastAsia="en-GB"/>
          <w14:ligatures w14:val="none"/>
        </w:rPr>
        <w:lastRenderedPageBreak/>
        <w:t xml:space="preserve">2.2 </w:t>
      </w:r>
      <w:r w:rsidR="00DB7007" w:rsidRPr="0044725C">
        <w:rPr>
          <w:rFonts w:ascii="Arial" w:eastAsia="Times New Roman" w:hAnsi="Arial" w:cs="Arial"/>
          <w:b/>
          <w:bCs/>
          <w:color w:val="000000" w:themeColor="text1"/>
          <w:kern w:val="0"/>
          <w:sz w:val="28"/>
          <w:szCs w:val="28"/>
          <w:lang w:eastAsia="en-GB"/>
          <w14:ligatures w14:val="none"/>
        </w:rPr>
        <w:t>Understanding</w:t>
      </w:r>
      <w:r w:rsidRPr="0044725C">
        <w:rPr>
          <w:rFonts w:ascii="Arial" w:eastAsia="Times New Roman" w:hAnsi="Arial" w:cs="Arial"/>
          <w:b/>
          <w:bCs/>
          <w:color w:val="000000" w:themeColor="text1"/>
          <w:kern w:val="0"/>
          <w:sz w:val="28"/>
          <w:szCs w:val="28"/>
          <w:lang w:eastAsia="en-GB"/>
          <w14:ligatures w14:val="none"/>
        </w:rPr>
        <w:t xml:space="preserve"> </w:t>
      </w:r>
      <w:r w:rsidR="00DB7007" w:rsidRPr="0044725C">
        <w:rPr>
          <w:rFonts w:ascii="Arial" w:eastAsia="Times New Roman" w:hAnsi="Arial" w:cs="Arial"/>
          <w:b/>
          <w:bCs/>
          <w:color w:val="000000" w:themeColor="text1"/>
          <w:kern w:val="0"/>
          <w:sz w:val="28"/>
          <w:szCs w:val="28"/>
          <w:lang w:eastAsia="en-GB"/>
          <w14:ligatures w14:val="none"/>
        </w:rPr>
        <w:t>Schizophrenia at a glance</w:t>
      </w:r>
      <w:r w:rsidRPr="0044725C">
        <w:rPr>
          <w:rFonts w:ascii="Arial" w:eastAsia="Times New Roman" w:hAnsi="Arial" w:cs="Arial"/>
          <w:b/>
          <w:bCs/>
          <w:color w:val="000000" w:themeColor="text1"/>
          <w:kern w:val="0"/>
          <w:sz w:val="28"/>
          <w:szCs w:val="28"/>
          <w:lang w:eastAsia="en-GB"/>
          <w14:ligatures w14:val="none"/>
        </w:rPr>
        <w:t>:</w:t>
      </w:r>
    </w:p>
    <w:p w14:paraId="56D4C819" w14:textId="1DAFDD4E" w:rsidR="000C69F6" w:rsidRPr="00650C77" w:rsidRDefault="000C69F6" w:rsidP="000C69F6">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Schizophrenia involves positive symptoms such as hallucinations and delusions. It also includes negative symptoms like social withdrawal, as well as cognitive difficulties (NHS, 2023; APA, 2022). These features are shown in the diagram. The condition is linked to both genetic and environmental factors. It is commonly treated with medication and cognitive behavioural therapy (CBT). Support from family and stress reduction strategies are also important. Early intervention can improve outcomes (NICE, 2020; WHO, 2022).</w:t>
      </w:r>
    </w:p>
    <w:p w14:paraId="2734A8F1" w14:textId="42F5E6BF" w:rsidR="00023FAB" w:rsidRPr="00650C77" w:rsidRDefault="00E07EA3" w:rsidP="002A4D2B">
      <w:pPr>
        <w:spacing w:before="100" w:beforeAutospacing="1" w:after="100" w:afterAutospacing="1" w:line="360" w:lineRule="auto"/>
        <w:jc w:val="both"/>
        <w:rPr>
          <w:rFonts w:ascii="Arial" w:hAnsi="Arial" w:cs="Arial"/>
          <w:color w:val="000000" w:themeColor="text1"/>
        </w:rPr>
      </w:pPr>
      <w:r w:rsidRPr="00650C77">
        <w:rPr>
          <w:rFonts w:ascii="Arial" w:hAnsi="Arial" w:cs="Arial"/>
          <w:noProof/>
          <w:color w:val="000000" w:themeColor="text1"/>
        </w:rPr>
        <w:drawing>
          <wp:inline distT="0" distB="0" distL="0" distR="0" wp14:anchorId="5AE815A8" wp14:editId="60D12ED2">
            <wp:extent cx="5693434" cy="5416846"/>
            <wp:effectExtent l="0" t="0" r="2540" b="0"/>
            <wp:docPr id="632951411" name="Picture 632951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_infographic_titled_&quot;Understanding_Schizophrenia.png"/>
                    <pic:cNvPicPr/>
                  </pic:nvPicPr>
                  <pic:blipFill>
                    <a:blip r:embed="rId10"/>
                    <a:stretch>
                      <a:fillRect/>
                    </a:stretch>
                  </pic:blipFill>
                  <pic:spPr>
                    <a:xfrm>
                      <a:off x="0" y="0"/>
                      <a:ext cx="5775518" cy="5494942"/>
                    </a:xfrm>
                    <a:prstGeom prst="rect">
                      <a:avLst/>
                    </a:prstGeom>
                  </pic:spPr>
                </pic:pic>
              </a:graphicData>
            </a:graphic>
          </wp:inline>
        </w:drawing>
      </w:r>
      <w:r w:rsidR="00CE6BFE" w:rsidRPr="00650C77">
        <w:rPr>
          <w:rStyle w:val="Strong"/>
          <w:rFonts w:ascii="Arial" w:hAnsi="Arial" w:cs="Arial"/>
          <w:color w:val="000000" w:themeColor="text1"/>
        </w:rPr>
        <w:t>Source:</w:t>
      </w:r>
      <w:r w:rsidR="00CE6BFE" w:rsidRPr="00650C77">
        <w:rPr>
          <w:rFonts w:ascii="Arial" w:hAnsi="Arial" w:cs="Arial"/>
          <w:color w:val="000000" w:themeColor="text1"/>
        </w:rPr>
        <w:t xml:space="preserve"> NICE (2014); NHS England (2016; 2019); WHO (2022); Owen et al. (2016</w:t>
      </w:r>
    </w:p>
    <w:p w14:paraId="3E2F6358" w14:textId="77777777" w:rsidR="002A4D2B" w:rsidRPr="00650C77" w:rsidRDefault="002A4D2B" w:rsidP="002A4D2B">
      <w:pPr>
        <w:spacing w:before="100" w:beforeAutospacing="1" w:after="100" w:afterAutospacing="1" w:line="360" w:lineRule="auto"/>
        <w:jc w:val="both"/>
        <w:rPr>
          <w:rFonts w:ascii="Arial" w:hAnsi="Arial" w:cs="Arial"/>
          <w:color w:val="000000" w:themeColor="text1"/>
        </w:rPr>
      </w:pPr>
    </w:p>
    <w:p w14:paraId="7FD1F9DA" w14:textId="77777777" w:rsidR="0044725C" w:rsidRDefault="0044725C" w:rsidP="00610101">
      <w:pPr>
        <w:spacing w:before="100" w:beforeAutospacing="1" w:after="100" w:afterAutospacing="1" w:line="360" w:lineRule="auto"/>
        <w:jc w:val="both"/>
        <w:outlineLvl w:val="1"/>
        <w:rPr>
          <w:rFonts w:ascii="Arial" w:hAnsi="Arial" w:cs="Arial"/>
          <w:color w:val="000000" w:themeColor="text1"/>
        </w:rPr>
      </w:pPr>
    </w:p>
    <w:p w14:paraId="0F3F137A" w14:textId="684A2749" w:rsidR="00610101" w:rsidRPr="00650C77" w:rsidRDefault="00610101" w:rsidP="00610101">
      <w:pPr>
        <w:spacing w:before="100" w:beforeAutospacing="1" w:after="100" w:afterAutospacing="1" w:line="360" w:lineRule="auto"/>
        <w:jc w:val="both"/>
        <w:outlineLvl w:val="1"/>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lastRenderedPageBreak/>
        <w:t>2.3 Historical Background:</w:t>
      </w:r>
    </w:p>
    <w:p w14:paraId="653D9803" w14:textId="39951832" w:rsidR="00023FAB" w:rsidRPr="00650C77" w:rsidRDefault="00023FAB" w:rsidP="00023FAB">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Schizophrenia care in the UK has shifted from asylum-based care (1800s–1950s) to community approaches. Early care under the Lunacy Acts was custodial with poor conditions (Scull, 2015; Bartlett &amp; Wright, 2018). Reforms began with deinstitutionalisation (1959–1980s) through the Mental Health Act 1959 and strengthened rights (Jones, 2010; Rogers &amp; Pilgrim, 2014). Community care expanded in the 1990s with the NHS and Community Care Act and CPA, though inconsistently applied (Godin, 2006; Department of Health, 1999). Modern reforms (2000s–present) introduced Early Intervention and integrated care, but inequalities and workforce pressures remain (Birchwood et al., 2000; McGorry et al., 2002; Mental Health Foundation, 2020; </w:t>
      </w:r>
      <w:proofErr w:type="spellStart"/>
      <w:r w:rsidRPr="00650C77">
        <w:rPr>
          <w:rFonts w:ascii="Arial" w:hAnsi="Arial" w:cs="Arial"/>
          <w:color w:val="000000" w:themeColor="text1"/>
          <w:sz w:val="22"/>
          <w:szCs w:val="22"/>
        </w:rPr>
        <w:t>RCPsych</w:t>
      </w:r>
      <w:proofErr w:type="spellEnd"/>
      <w:r w:rsidRPr="00650C77">
        <w:rPr>
          <w:rFonts w:ascii="Arial" w:hAnsi="Arial" w:cs="Arial"/>
          <w:color w:val="000000" w:themeColor="text1"/>
          <w:sz w:val="22"/>
          <w:szCs w:val="22"/>
        </w:rPr>
        <w:t xml:space="preserve">, 2024; </w:t>
      </w:r>
      <w:proofErr w:type="spellStart"/>
      <w:r w:rsidRPr="00650C77">
        <w:rPr>
          <w:rFonts w:ascii="Arial" w:hAnsi="Arial" w:cs="Arial"/>
          <w:color w:val="000000" w:themeColor="text1"/>
          <w:sz w:val="22"/>
          <w:szCs w:val="22"/>
        </w:rPr>
        <w:t>DoHSC</w:t>
      </w:r>
      <w:proofErr w:type="spellEnd"/>
      <w:r w:rsidRPr="00650C77">
        <w:rPr>
          <w:rFonts w:ascii="Arial" w:hAnsi="Arial" w:cs="Arial"/>
          <w:color w:val="000000" w:themeColor="text1"/>
          <w:sz w:val="22"/>
          <w:szCs w:val="22"/>
        </w:rPr>
        <w:t>, 2023; CQC, 2023).</w:t>
      </w:r>
    </w:p>
    <w:p w14:paraId="2CA06252" w14:textId="77777777" w:rsidR="0022214D" w:rsidRPr="00650C77" w:rsidRDefault="009A405C" w:rsidP="00CE6BFE">
      <w:pPr>
        <w:spacing w:before="100" w:beforeAutospacing="1" w:after="100" w:afterAutospacing="1" w:line="360" w:lineRule="auto"/>
        <w:jc w:val="both"/>
        <w:rPr>
          <w:rFonts w:ascii="Arial" w:eastAsiaTheme="majorEastAsia" w:hAnsi="Arial" w:cs="Arial"/>
          <w:b/>
          <w:bCs/>
          <w:color w:val="000000" w:themeColor="text1"/>
        </w:rPr>
      </w:pPr>
      <w:r w:rsidRPr="00650C77">
        <w:rPr>
          <w:noProof/>
          <w:color w:val="000000" w:themeColor="text1"/>
        </w:rPr>
        <w:drawing>
          <wp:inline distT="0" distB="0" distL="0" distR="0" wp14:anchorId="75177F25" wp14:editId="0DC8057C">
            <wp:extent cx="6953256" cy="4124528"/>
            <wp:effectExtent l="0" t="0" r="0" b="9525"/>
            <wp:docPr id="2016941592" name="Picture 2016941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_infographic-style_circular_diagram_illustrates_.png"/>
                    <pic:cNvPicPr/>
                  </pic:nvPicPr>
                  <pic:blipFill>
                    <a:blip r:embed="rId11"/>
                    <a:stretch>
                      <a:fillRect/>
                    </a:stretch>
                  </pic:blipFill>
                  <pic:spPr>
                    <a:xfrm>
                      <a:off x="0" y="0"/>
                      <a:ext cx="7052199" cy="4183219"/>
                    </a:xfrm>
                    <a:prstGeom prst="rect">
                      <a:avLst/>
                    </a:prstGeom>
                  </pic:spPr>
                </pic:pic>
              </a:graphicData>
            </a:graphic>
          </wp:inline>
        </w:drawing>
      </w:r>
    </w:p>
    <w:p w14:paraId="08499F65" w14:textId="4D87182C" w:rsidR="00F93140" w:rsidRPr="00650C77" w:rsidRDefault="0022214D" w:rsidP="00610101">
      <w:pPr>
        <w:spacing w:before="100" w:beforeAutospacing="1" w:after="100" w:afterAutospacing="1" w:line="360" w:lineRule="auto"/>
        <w:jc w:val="both"/>
        <w:rPr>
          <w:rFonts w:ascii="Arial" w:eastAsiaTheme="majorEastAsia" w:hAnsi="Arial" w:cs="Arial"/>
          <w:b/>
          <w:bCs/>
          <w:color w:val="000000" w:themeColor="text1"/>
          <w:sz w:val="18"/>
          <w:szCs w:val="18"/>
        </w:rPr>
      </w:pPr>
      <w:r w:rsidRPr="00650C77">
        <w:rPr>
          <w:rStyle w:val="Strong"/>
          <w:rFonts w:ascii="Arial" w:hAnsi="Arial" w:cs="Arial"/>
          <w:color w:val="000000" w:themeColor="text1"/>
          <w:sz w:val="18"/>
          <w:szCs w:val="18"/>
        </w:rPr>
        <w:t>Source:</w:t>
      </w:r>
      <w:r w:rsidRPr="00650C77">
        <w:rPr>
          <w:rFonts w:ascii="Arial" w:hAnsi="Arial" w:cs="Arial"/>
          <w:color w:val="000000" w:themeColor="text1"/>
          <w:sz w:val="18"/>
          <w:szCs w:val="18"/>
        </w:rPr>
        <w:t xml:space="preserve"> NICE (2014/2023); NHS England (2019); Department of Health (1990); Rogers and Pilgrim (2014)</w:t>
      </w:r>
    </w:p>
    <w:p w14:paraId="429DDAB8" w14:textId="77777777" w:rsidR="0065347C" w:rsidRDefault="0065347C" w:rsidP="0065347C">
      <w:pPr>
        <w:spacing w:line="360" w:lineRule="auto"/>
        <w:jc w:val="both"/>
        <w:rPr>
          <w:rFonts w:ascii="Arial" w:hAnsi="Arial" w:cs="Arial"/>
          <w:color w:val="000000" w:themeColor="text1"/>
        </w:rPr>
      </w:pPr>
      <w:r w:rsidRPr="00650C77">
        <w:rPr>
          <w:rFonts w:ascii="Arial" w:hAnsi="Arial" w:cs="Arial"/>
          <w:color w:val="000000" w:themeColor="text1"/>
        </w:rPr>
        <w:t xml:space="preserve">This diagram illustrates the key historical phases in the development of schizophrenia treatment in the UK, from asylum-based care to modern integrated and person-centred systems. A summary of the key stages in the development of schizophrenia care in the United Kingdom is presented in </w:t>
      </w:r>
      <w:r w:rsidRPr="00650C77">
        <w:rPr>
          <w:rStyle w:val="Strong"/>
          <w:rFonts w:ascii="Arial" w:hAnsi="Arial" w:cs="Arial"/>
          <w:color w:val="000000" w:themeColor="text1"/>
        </w:rPr>
        <w:t>Appendix 7.4</w:t>
      </w:r>
      <w:r w:rsidRPr="00650C77">
        <w:rPr>
          <w:rFonts w:ascii="Arial" w:hAnsi="Arial" w:cs="Arial"/>
          <w:color w:val="000000" w:themeColor="text1"/>
        </w:rPr>
        <w:t>.</w:t>
      </w:r>
    </w:p>
    <w:p w14:paraId="3803FA69" w14:textId="6A29047B" w:rsidR="00610101" w:rsidRPr="0065347C" w:rsidRDefault="00610101" w:rsidP="0065347C">
      <w:pPr>
        <w:spacing w:line="360" w:lineRule="auto"/>
        <w:jc w:val="both"/>
        <w:rPr>
          <w:rFonts w:ascii="Arial" w:hAnsi="Arial" w:cs="Arial"/>
          <w:color w:val="000000" w:themeColor="text1"/>
        </w:rPr>
      </w:pPr>
      <w:r w:rsidRPr="0044725C">
        <w:rPr>
          <w:rFonts w:ascii="Arial" w:eastAsia="Times New Roman" w:hAnsi="Arial" w:cs="Arial"/>
          <w:b/>
          <w:bCs/>
          <w:color w:val="000000" w:themeColor="text1"/>
          <w:kern w:val="0"/>
          <w:sz w:val="28"/>
          <w:szCs w:val="28"/>
          <w:lang w:eastAsia="en-GB"/>
          <w14:ligatures w14:val="none"/>
        </w:rPr>
        <w:lastRenderedPageBreak/>
        <w:t>2.4 Theoretical Background:</w:t>
      </w:r>
    </w:p>
    <w:p w14:paraId="0BAA5A33" w14:textId="77777777" w:rsidR="00610101" w:rsidRPr="00650C77" w:rsidRDefault="00610101" w:rsidP="00610101">
      <w:pPr>
        <w:spacing w:before="100" w:beforeAutospacing="1" w:after="100" w:afterAutospacing="1" w:line="360" w:lineRule="auto"/>
        <w:jc w:val="both"/>
        <w:outlineLvl w:val="3"/>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2.4.1 Biopsychosocial Model:</w:t>
      </w:r>
    </w:p>
    <w:p w14:paraId="2DEB929B" w14:textId="77777777" w:rsidR="00BB468F" w:rsidRPr="00650C77" w:rsidRDefault="00BB468F" w:rsidP="00AF053F">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The biopsychosocial model explains schizophrenia through biological, psychological, and social factors (Engel, 1977). UK guidance supports combined care (NICE, 2020), but practice often focuses on medication (Moncrieff &amp; </w:t>
      </w:r>
      <w:proofErr w:type="spellStart"/>
      <w:r w:rsidRPr="00650C77">
        <w:rPr>
          <w:rFonts w:ascii="Arial" w:hAnsi="Arial" w:cs="Arial"/>
          <w:color w:val="000000" w:themeColor="text1"/>
          <w:sz w:val="22"/>
          <w:szCs w:val="22"/>
        </w:rPr>
        <w:t>Timimi</w:t>
      </w:r>
      <w:proofErr w:type="spellEnd"/>
      <w:r w:rsidRPr="00650C77">
        <w:rPr>
          <w:rFonts w:ascii="Arial" w:hAnsi="Arial" w:cs="Arial"/>
          <w:color w:val="000000" w:themeColor="text1"/>
          <w:sz w:val="22"/>
          <w:szCs w:val="22"/>
        </w:rPr>
        <w:t>, 2020). The model promotes holistic support, including therapy, relapse prevention, and community reintegration.</w:t>
      </w:r>
    </w:p>
    <w:p w14:paraId="57987E36" w14:textId="092C06E1" w:rsidR="00610101" w:rsidRPr="00650C77" w:rsidRDefault="00610101" w:rsidP="00AF053F">
      <w:pPr>
        <w:pStyle w:val="NormalWeb"/>
        <w:spacing w:line="360" w:lineRule="auto"/>
        <w:jc w:val="both"/>
        <w:rPr>
          <w:rFonts w:ascii="Arial" w:hAnsi="Arial" w:cs="Arial"/>
          <w:color w:val="000000" w:themeColor="text1"/>
          <w:sz w:val="22"/>
          <w:szCs w:val="22"/>
        </w:rPr>
      </w:pPr>
      <w:r w:rsidRPr="00650C77">
        <w:rPr>
          <w:rFonts w:ascii="Arial" w:eastAsiaTheme="majorEastAsia" w:hAnsi="Arial" w:cs="Arial"/>
          <w:b/>
          <w:bCs/>
          <w:color w:val="000000" w:themeColor="text1"/>
          <w:sz w:val="22"/>
          <w:szCs w:val="22"/>
        </w:rPr>
        <w:t>Table</w:t>
      </w:r>
      <w:r w:rsidR="00F93140" w:rsidRPr="00650C77">
        <w:rPr>
          <w:rFonts w:ascii="Arial" w:eastAsiaTheme="majorEastAsia" w:hAnsi="Arial" w:cs="Arial"/>
          <w:b/>
          <w:bCs/>
          <w:color w:val="000000" w:themeColor="text1"/>
          <w:sz w:val="22"/>
          <w:szCs w:val="22"/>
        </w:rPr>
        <w:t>2.4.1</w:t>
      </w:r>
      <w:r w:rsidR="0065347C">
        <w:rPr>
          <w:rFonts w:ascii="Arial" w:eastAsiaTheme="majorEastAsia" w:hAnsi="Arial" w:cs="Arial"/>
          <w:b/>
          <w:bCs/>
          <w:color w:val="000000" w:themeColor="text1"/>
          <w:sz w:val="22"/>
          <w:szCs w:val="22"/>
        </w:rPr>
        <w:t>.</w:t>
      </w:r>
      <w:proofErr w:type="gramStart"/>
      <w:r w:rsidR="0065347C">
        <w:rPr>
          <w:rFonts w:ascii="Arial" w:eastAsiaTheme="majorEastAsia" w:hAnsi="Arial" w:cs="Arial"/>
          <w:b/>
          <w:bCs/>
          <w:color w:val="000000" w:themeColor="text1"/>
          <w:sz w:val="22"/>
          <w:szCs w:val="22"/>
        </w:rPr>
        <w:t xml:space="preserve">1 </w:t>
      </w:r>
      <w:r w:rsidR="0022214D" w:rsidRPr="00650C77">
        <w:rPr>
          <w:rFonts w:ascii="Arial" w:eastAsiaTheme="majorEastAsia" w:hAnsi="Arial" w:cs="Arial"/>
          <w:b/>
          <w:bCs/>
          <w:color w:val="000000" w:themeColor="text1"/>
          <w:sz w:val="22"/>
          <w:szCs w:val="22"/>
        </w:rPr>
        <w:t>:</w:t>
      </w:r>
      <w:proofErr w:type="gramEnd"/>
      <w:r w:rsidR="0022214D" w:rsidRPr="00650C77">
        <w:rPr>
          <w:rFonts w:ascii="Arial" w:eastAsiaTheme="majorEastAsia" w:hAnsi="Arial" w:cs="Arial"/>
          <w:b/>
          <w:bCs/>
          <w:color w:val="000000" w:themeColor="text1"/>
          <w:sz w:val="22"/>
          <w:szCs w:val="22"/>
        </w:rPr>
        <w:t xml:space="preserve"> </w:t>
      </w:r>
      <w:r w:rsidRPr="00650C77">
        <w:rPr>
          <w:rFonts w:ascii="Arial" w:eastAsiaTheme="majorEastAsia" w:hAnsi="Arial" w:cs="Arial"/>
          <w:b/>
          <w:bCs/>
          <w:color w:val="000000" w:themeColor="text1"/>
          <w:sz w:val="22"/>
          <w:szCs w:val="22"/>
        </w:rPr>
        <w:t>Biopsychosocial Model Applied to Schizophrenia</w:t>
      </w:r>
    </w:p>
    <w:tbl>
      <w:tblPr>
        <w:tblStyle w:val="TableGrid"/>
        <w:tblW w:w="0" w:type="auto"/>
        <w:tblInd w:w="-113" w:type="dxa"/>
        <w:tblLook w:val="04A0" w:firstRow="1" w:lastRow="0" w:firstColumn="1" w:lastColumn="0" w:noHBand="0" w:noVBand="1"/>
      </w:tblPr>
      <w:tblGrid>
        <w:gridCol w:w="4320"/>
        <w:gridCol w:w="4320"/>
      </w:tblGrid>
      <w:tr w:rsidR="00650C77" w:rsidRPr="00650C77" w14:paraId="22F5D370" w14:textId="77777777" w:rsidTr="00FE4501">
        <w:tc>
          <w:tcPr>
            <w:tcW w:w="4320" w:type="dxa"/>
            <w:shd w:val="clear" w:color="auto" w:fill="5B9BD5" w:themeFill="accent5"/>
          </w:tcPr>
          <w:p w14:paraId="102ECB8A"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Component</w:t>
            </w:r>
          </w:p>
        </w:tc>
        <w:tc>
          <w:tcPr>
            <w:tcW w:w="4320" w:type="dxa"/>
            <w:shd w:val="clear" w:color="auto" w:fill="5B9BD5" w:themeFill="accent5"/>
          </w:tcPr>
          <w:p w14:paraId="6E433284"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Application</w:t>
            </w:r>
          </w:p>
        </w:tc>
      </w:tr>
      <w:tr w:rsidR="00650C77" w:rsidRPr="00650C77" w14:paraId="47302D23" w14:textId="77777777" w:rsidTr="00FE4501">
        <w:tc>
          <w:tcPr>
            <w:tcW w:w="4320" w:type="dxa"/>
            <w:shd w:val="clear" w:color="auto" w:fill="5B9BD5" w:themeFill="accent5"/>
          </w:tcPr>
          <w:p w14:paraId="4BBD2F4D"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Biological</w:t>
            </w:r>
          </w:p>
        </w:tc>
        <w:tc>
          <w:tcPr>
            <w:tcW w:w="4320" w:type="dxa"/>
            <w:shd w:val="clear" w:color="auto" w:fill="5B9BD5" w:themeFill="accent5"/>
          </w:tcPr>
          <w:p w14:paraId="33CC7EFB"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Medication use, genetic risk, neurochemical factors</w:t>
            </w:r>
          </w:p>
        </w:tc>
      </w:tr>
      <w:tr w:rsidR="00650C77" w:rsidRPr="00650C77" w14:paraId="428AB1BB" w14:textId="77777777" w:rsidTr="00FE4501">
        <w:tc>
          <w:tcPr>
            <w:tcW w:w="4320" w:type="dxa"/>
            <w:shd w:val="clear" w:color="auto" w:fill="5B9BD5" w:themeFill="accent5"/>
          </w:tcPr>
          <w:p w14:paraId="1E407C45"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Psychological</w:t>
            </w:r>
          </w:p>
        </w:tc>
        <w:tc>
          <w:tcPr>
            <w:tcW w:w="4320" w:type="dxa"/>
            <w:shd w:val="clear" w:color="auto" w:fill="5B9BD5" w:themeFill="accent5"/>
          </w:tcPr>
          <w:p w14:paraId="2AEC33C4"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CBT, trauma-informed therapy, coping skills</w:t>
            </w:r>
          </w:p>
        </w:tc>
      </w:tr>
      <w:tr w:rsidR="00650C77" w:rsidRPr="00650C77" w14:paraId="600CBD16" w14:textId="77777777" w:rsidTr="00FE4501">
        <w:tc>
          <w:tcPr>
            <w:tcW w:w="4320" w:type="dxa"/>
            <w:shd w:val="clear" w:color="auto" w:fill="5B9BD5" w:themeFill="accent5"/>
          </w:tcPr>
          <w:p w14:paraId="5DD1305E"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Social</w:t>
            </w:r>
          </w:p>
        </w:tc>
        <w:tc>
          <w:tcPr>
            <w:tcW w:w="4320" w:type="dxa"/>
            <w:shd w:val="clear" w:color="auto" w:fill="5B9BD5" w:themeFill="accent5"/>
          </w:tcPr>
          <w:p w14:paraId="3D397365"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Housing, employment, family and community support</w:t>
            </w:r>
          </w:p>
        </w:tc>
      </w:tr>
      <w:tr w:rsidR="00650C77" w:rsidRPr="00650C77" w14:paraId="1CA45BD2" w14:textId="77777777" w:rsidTr="00FE4501">
        <w:tc>
          <w:tcPr>
            <w:tcW w:w="4320" w:type="dxa"/>
            <w:shd w:val="clear" w:color="auto" w:fill="5B9BD5" w:themeFill="accent5"/>
          </w:tcPr>
          <w:p w14:paraId="63BED533"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Service Delivery</w:t>
            </w:r>
          </w:p>
        </w:tc>
        <w:tc>
          <w:tcPr>
            <w:tcW w:w="4320" w:type="dxa"/>
            <w:shd w:val="clear" w:color="auto" w:fill="5B9BD5" w:themeFill="accent5"/>
          </w:tcPr>
          <w:p w14:paraId="2B05E80F"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Multidisciplinary and holistic care</w:t>
            </w:r>
          </w:p>
        </w:tc>
      </w:tr>
      <w:tr w:rsidR="00650C77" w:rsidRPr="00650C77" w14:paraId="08A0133F" w14:textId="77777777" w:rsidTr="00FE4501">
        <w:tc>
          <w:tcPr>
            <w:tcW w:w="4320" w:type="dxa"/>
            <w:shd w:val="clear" w:color="auto" w:fill="5B9BD5" w:themeFill="accent5"/>
          </w:tcPr>
          <w:p w14:paraId="68634EFE"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Policy Link</w:t>
            </w:r>
          </w:p>
        </w:tc>
        <w:tc>
          <w:tcPr>
            <w:tcW w:w="4320" w:type="dxa"/>
            <w:shd w:val="clear" w:color="auto" w:fill="5B9BD5" w:themeFill="accent5"/>
          </w:tcPr>
          <w:p w14:paraId="44DA5FF5"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NICE guidance on integrated treatment</w:t>
            </w:r>
          </w:p>
        </w:tc>
      </w:tr>
    </w:tbl>
    <w:p w14:paraId="2A3EF22A" w14:textId="5D4ECB49" w:rsidR="0022214D" w:rsidRPr="00650C77" w:rsidRDefault="00610101" w:rsidP="00610101">
      <w:pPr>
        <w:spacing w:before="100" w:beforeAutospacing="1" w:after="100" w:afterAutospacing="1" w:line="360" w:lineRule="auto"/>
        <w:jc w:val="both"/>
        <w:rPr>
          <w:rFonts w:ascii="Arial" w:hAnsi="Arial" w:cs="Arial"/>
          <w:color w:val="000000" w:themeColor="text1"/>
          <w:sz w:val="20"/>
          <w:szCs w:val="20"/>
        </w:rPr>
      </w:pPr>
      <w:r w:rsidRPr="00650C77">
        <w:rPr>
          <w:rFonts w:ascii="Arial" w:hAnsi="Arial" w:cs="Arial"/>
          <w:color w:val="000000" w:themeColor="text1"/>
          <w:sz w:val="20"/>
          <w:szCs w:val="20"/>
        </w:rPr>
        <w:t>(Adapted from Engel, 1977; NICE, 2020; Moncrieff and Timimi, 2020)</w:t>
      </w:r>
    </w:p>
    <w:p w14:paraId="7173DD32" w14:textId="6A31FA79" w:rsidR="00610101" w:rsidRPr="00650C77" w:rsidRDefault="00610101" w:rsidP="00610101">
      <w:pPr>
        <w:spacing w:before="100" w:beforeAutospacing="1" w:after="100" w:afterAutospacing="1" w:line="360" w:lineRule="auto"/>
        <w:jc w:val="both"/>
        <w:outlineLvl w:val="3"/>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2.4.2 Recovery-Oriented Framework:</w:t>
      </w:r>
    </w:p>
    <w:p w14:paraId="3A9D7A68" w14:textId="77777777" w:rsidR="00F93140" w:rsidRPr="00650C77" w:rsidRDefault="00885DAC" w:rsidP="00F9314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Recovery in mental health focuses on independence, meaning, and social inclusion, not just symptoms (Burbach, 2018; Slade, 2009). UK policies support this (NHS England, 2019), but practice is inconsistent, despite evidence of better engagement and satisfaction (Leamy et al., 2011; Repper and Perkins, 2021).</w:t>
      </w:r>
    </w:p>
    <w:p w14:paraId="7BCA0542" w14:textId="17C570E3" w:rsidR="00610101" w:rsidRPr="00650C77" w:rsidRDefault="00610101" w:rsidP="00F93140">
      <w:pPr>
        <w:pStyle w:val="NormalWeb"/>
        <w:spacing w:line="360" w:lineRule="auto"/>
        <w:jc w:val="both"/>
        <w:rPr>
          <w:rFonts w:ascii="Arial" w:hAnsi="Arial" w:cs="Arial"/>
          <w:color w:val="000000" w:themeColor="text1"/>
          <w:sz w:val="22"/>
          <w:szCs w:val="22"/>
        </w:rPr>
      </w:pPr>
      <w:r w:rsidRPr="00650C77">
        <w:rPr>
          <w:rFonts w:ascii="Arial" w:eastAsiaTheme="majorEastAsia" w:hAnsi="Arial" w:cs="Arial"/>
          <w:b/>
          <w:bCs/>
          <w:color w:val="000000" w:themeColor="text1"/>
        </w:rPr>
        <w:t>Table</w:t>
      </w:r>
      <w:r w:rsidR="0065347C">
        <w:rPr>
          <w:rFonts w:ascii="Arial" w:eastAsiaTheme="majorEastAsia" w:hAnsi="Arial" w:cs="Arial"/>
          <w:b/>
          <w:bCs/>
          <w:color w:val="000000" w:themeColor="text1"/>
        </w:rPr>
        <w:t xml:space="preserve"> 2.4.2.1</w:t>
      </w:r>
      <w:r w:rsidRPr="00650C77">
        <w:rPr>
          <w:rFonts w:ascii="Arial" w:eastAsiaTheme="majorEastAsia" w:hAnsi="Arial" w:cs="Arial"/>
          <w:b/>
          <w:bCs/>
          <w:color w:val="000000" w:themeColor="text1"/>
        </w:rPr>
        <w:t xml:space="preserve"> Recovery-Oriented Framework Applied to Schizophrenia</w:t>
      </w:r>
    </w:p>
    <w:tbl>
      <w:tblPr>
        <w:tblStyle w:val="TableGrid"/>
        <w:tblW w:w="0" w:type="auto"/>
        <w:tblInd w:w="-113" w:type="dxa"/>
        <w:tblLook w:val="04A0" w:firstRow="1" w:lastRow="0" w:firstColumn="1" w:lastColumn="0" w:noHBand="0" w:noVBand="1"/>
      </w:tblPr>
      <w:tblGrid>
        <w:gridCol w:w="4320"/>
        <w:gridCol w:w="4320"/>
      </w:tblGrid>
      <w:tr w:rsidR="00650C77" w:rsidRPr="00650C77" w14:paraId="704BBE3E" w14:textId="77777777" w:rsidTr="00FE4501">
        <w:tc>
          <w:tcPr>
            <w:tcW w:w="4320" w:type="dxa"/>
            <w:shd w:val="clear" w:color="auto" w:fill="5B9BD5" w:themeFill="accent5"/>
          </w:tcPr>
          <w:p w14:paraId="10389F14"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Element</w:t>
            </w:r>
          </w:p>
        </w:tc>
        <w:tc>
          <w:tcPr>
            <w:tcW w:w="4320" w:type="dxa"/>
            <w:shd w:val="clear" w:color="auto" w:fill="5B9BD5" w:themeFill="accent5"/>
          </w:tcPr>
          <w:p w14:paraId="673B7D88"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Application</w:t>
            </w:r>
          </w:p>
        </w:tc>
      </w:tr>
      <w:tr w:rsidR="00650C77" w:rsidRPr="00650C77" w14:paraId="6C593F0F" w14:textId="77777777" w:rsidTr="00FE4501">
        <w:tc>
          <w:tcPr>
            <w:tcW w:w="4320" w:type="dxa"/>
            <w:shd w:val="clear" w:color="auto" w:fill="5B9BD5" w:themeFill="accent5"/>
          </w:tcPr>
          <w:p w14:paraId="24CE49AF"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Recovery Concept</w:t>
            </w:r>
          </w:p>
        </w:tc>
        <w:tc>
          <w:tcPr>
            <w:tcW w:w="4320" w:type="dxa"/>
            <w:shd w:val="clear" w:color="auto" w:fill="5B9BD5" w:themeFill="accent5"/>
          </w:tcPr>
          <w:p w14:paraId="18ED8D7A"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Meaningful life beyond symptom control</w:t>
            </w:r>
          </w:p>
        </w:tc>
      </w:tr>
      <w:tr w:rsidR="00650C77" w:rsidRPr="00650C77" w14:paraId="7D286F3B" w14:textId="77777777" w:rsidTr="00FE4501">
        <w:tc>
          <w:tcPr>
            <w:tcW w:w="4320" w:type="dxa"/>
            <w:shd w:val="clear" w:color="auto" w:fill="5B9BD5" w:themeFill="accent5"/>
          </w:tcPr>
          <w:p w14:paraId="36D51611"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Service User Role</w:t>
            </w:r>
          </w:p>
        </w:tc>
        <w:tc>
          <w:tcPr>
            <w:tcW w:w="4320" w:type="dxa"/>
            <w:shd w:val="clear" w:color="auto" w:fill="5B9BD5" w:themeFill="accent5"/>
          </w:tcPr>
          <w:p w14:paraId="27BC4825"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Shared decision-making and co-production</w:t>
            </w:r>
          </w:p>
        </w:tc>
      </w:tr>
      <w:tr w:rsidR="00650C77" w:rsidRPr="00650C77" w14:paraId="1E297C92" w14:textId="77777777" w:rsidTr="00FE4501">
        <w:tc>
          <w:tcPr>
            <w:tcW w:w="4320" w:type="dxa"/>
            <w:shd w:val="clear" w:color="auto" w:fill="5B9BD5" w:themeFill="accent5"/>
          </w:tcPr>
          <w:p w14:paraId="134028B1"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Key Practices</w:t>
            </w:r>
          </w:p>
        </w:tc>
        <w:tc>
          <w:tcPr>
            <w:tcW w:w="4320" w:type="dxa"/>
            <w:shd w:val="clear" w:color="auto" w:fill="5B9BD5" w:themeFill="accent5"/>
          </w:tcPr>
          <w:p w14:paraId="1F65C454"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Peer support and strengths-based care</w:t>
            </w:r>
          </w:p>
        </w:tc>
      </w:tr>
      <w:tr w:rsidR="00650C77" w:rsidRPr="00650C77" w14:paraId="591B2DB5" w14:textId="77777777" w:rsidTr="00FE4501">
        <w:tc>
          <w:tcPr>
            <w:tcW w:w="4320" w:type="dxa"/>
            <w:shd w:val="clear" w:color="auto" w:fill="5B9BD5" w:themeFill="accent5"/>
          </w:tcPr>
          <w:p w14:paraId="389CAD67"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Desired Outcomes</w:t>
            </w:r>
          </w:p>
        </w:tc>
        <w:tc>
          <w:tcPr>
            <w:tcW w:w="4320" w:type="dxa"/>
            <w:shd w:val="clear" w:color="auto" w:fill="5B9BD5" w:themeFill="accent5"/>
          </w:tcPr>
          <w:p w14:paraId="6DB52361"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Hope, empowerment, inclusion</w:t>
            </w:r>
          </w:p>
        </w:tc>
      </w:tr>
      <w:tr w:rsidR="00650C77" w:rsidRPr="00650C77" w14:paraId="7CF0DD01" w14:textId="77777777" w:rsidTr="00FE4501">
        <w:tc>
          <w:tcPr>
            <w:tcW w:w="4320" w:type="dxa"/>
            <w:shd w:val="clear" w:color="auto" w:fill="5B9BD5" w:themeFill="accent5"/>
          </w:tcPr>
          <w:p w14:paraId="02B56122"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Policy Link</w:t>
            </w:r>
          </w:p>
        </w:tc>
        <w:tc>
          <w:tcPr>
            <w:tcW w:w="4320" w:type="dxa"/>
            <w:shd w:val="clear" w:color="auto" w:fill="5B9BD5" w:themeFill="accent5"/>
          </w:tcPr>
          <w:p w14:paraId="035C09CE"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Community Mental Health Framework</w:t>
            </w:r>
          </w:p>
        </w:tc>
      </w:tr>
    </w:tbl>
    <w:p w14:paraId="32FCD8A5" w14:textId="51901C5F" w:rsidR="005E45D3" w:rsidRPr="00650C77" w:rsidRDefault="00610101" w:rsidP="00610101">
      <w:pPr>
        <w:spacing w:before="100" w:beforeAutospacing="1" w:after="100" w:afterAutospacing="1" w:line="360" w:lineRule="auto"/>
        <w:jc w:val="both"/>
        <w:rPr>
          <w:rFonts w:ascii="Arial" w:hAnsi="Arial" w:cs="Arial"/>
          <w:color w:val="000000" w:themeColor="text1"/>
          <w:sz w:val="20"/>
          <w:szCs w:val="20"/>
        </w:rPr>
      </w:pPr>
      <w:r w:rsidRPr="00650C77">
        <w:rPr>
          <w:rFonts w:ascii="Arial" w:hAnsi="Arial" w:cs="Arial"/>
          <w:color w:val="000000" w:themeColor="text1"/>
          <w:sz w:val="20"/>
          <w:szCs w:val="20"/>
        </w:rPr>
        <w:t>Adapted from Slade, 2009; Burbach, 2018; NHS England, 2019</w:t>
      </w:r>
    </w:p>
    <w:p w14:paraId="76FE4465" w14:textId="77777777" w:rsidR="00F93140" w:rsidRPr="00650C77" w:rsidRDefault="00F93140" w:rsidP="00610101">
      <w:pPr>
        <w:spacing w:before="100" w:beforeAutospacing="1" w:after="100" w:afterAutospacing="1" w:line="360" w:lineRule="auto"/>
        <w:jc w:val="both"/>
        <w:rPr>
          <w:rFonts w:ascii="Arial" w:hAnsi="Arial" w:cs="Arial"/>
          <w:color w:val="000000" w:themeColor="text1"/>
          <w:sz w:val="20"/>
          <w:szCs w:val="20"/>
        </w:rPr>
      </w:pPr>
    </w:p>
    <w:p w14:paraId="00CCBDA7" w14:textId="77777777" w:rsidR="00F93140" w:rsidRPr="00650C77" w:rsidRDefault="00F93140" w:rsidP="00610101">
      <w:pPr>
        <w:spacing w:before="100" w:beforeAutospacing="1" w:after="100" w:afterAutospacing="1" w:line="360" w:lineRule="auto"/>
        <w:jc w:val="both"/>
        <w:rPr>
          <w:rFonts w:ascii="Arial" w:hAnsi="Arial" w:cs="Arial"/>
          <w:color w:val="000000" w:themeColor="text1"/>
          <w:sz w:val="20"/>
          <w:szCs w:val="20"/>
        </w:rPr>
      </w:pPr>
    </w:p>
    <w:p w14:paraId="0F060B4F" w14:textId="77777777" w:rsidR="0065347C" w:rsidRDefault="0065347C" w:rsidP="00610101">
      <w:pPr>
        <w:spacing w:before="100" w:beforeAutospacing="1" w:after="100" w:afterAutospacing="1" w:line="360" w:lineRule="auto"/>
        <w:jc w:val="both"/>
        <w:rPr>
          <w:rFonts w:ascii="Arial" w:eastAsia="Times New Roman" w:hAnsi="Arial" w:cs="Arial"/>
          <w:color w:val="000000" w:themeColor="text1"/>
          <w:kern w:val="0"/>
          <w:sz w:val="20"/>
          <w:szCs w:val="20"/>
          <w:lang w:eastAsia="en-GB"/>
          <w14:ligatures w14:val="none"/>
        </w:rPr>
      </w:pPr>
    </w:p>
    <w:p w14:paraId="32ED36BD" w14:textId="7910A7E6" w:rsidR="00610101" w:rsidRPr="00650C77" w:rsidRDefault="00610101" w:rsidP="00610101">
      <w:pPr>
        <w:spacing w:before="100" w:beforeAutospacing="1" w:after="100" w:afterAutospacing="1" w:line="360" w:lineRule="auto"/>
        <w:jc w:val="both"/>
        <w:rPr>
          <w:rFonts w:ascii="Arial" w:eastAsia="Times New Roman" w:hAnsi="Arial" w:cs="Arial"/>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lastRenderedPageBreak/>
        <w:t>2.4.3 Chronic Care Model (CCM):</w:t>
      </w:r>
      <w:r w:rsidRPr="00650C77">
        <w:rPr>
          <w:rFonts w:ascii="Arial" w:eastAsia="Times New Roman" w:hAnsi="Arial" w:cs="Arial"/>
          <w:color w:val="000000" w:themeColor="text1"/>
          <w:kern w:val="0"/>
          <w:sz w:val="24"/>
          <w:szCs w:val="24"/>
          <w:lang w:eastAsia="en-GB"/>
          <w14:ligatures w14:val="none"/>
        </w:rPr>
        <w:t xml:space="preserve"> </w:t>
      </w:r>
    </w:p>
    <w:p w14:paraId="41524F83" w14:textId="4120B317" w:rsidR="00885DAC" w:rsidRPr="00650C77" w:rsidRDefault="00885DAC" w:rsidP="00885DAC">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Wagner et al. (1996) emphasise proactive, integrated care systems, supporting coordinated schizophrenia pathways (Baker et al., 2019). It highlights planned, continuous care instead of reactive, fragmented services.</w:t>
      </w:r>
    </w:p>
    <w:p w14:paraId="7A5BDD75" w14:textId="55134EC0" w:rsidR="00610101" w:rsidRPr="00650C77" w:rsidRDefault="00610101" w:rsidP="00497FD0">
      <w:pPr>
        <w:spacing w:before="100" w:beforeAutospacing="1" w:after="100" w:afterAutospacing="1" w:line="360" w:lineRule="auto"/>
        <w:jc w:val="both"/>
        <w:rPr>
          <w:rFonts w:ascii="Arial" w:eastAsia="Times New Roman" w:hAnsi="Arial" w:cs="Arial"/>
          <w:b/>
          <w:bCs/>
          <w:color w:val="000000" w:themeColor="text1"/>
          <w:kern w:val="0"/>
          <w:lang w:eastAsia="en-GB"/>
          <w14:ligatures w14:val="none"/>
        </w:rPr>
      </w:pPr>
      <w:r w:rsidRPr="00650C77">
        <w:rPr>
          <w:rFonts w:ascii="Arial" w:eastAsiaTheme="majorEastAsia" w:hAnsi="Arial" w:cs="Arial"/>
          <w:b/>
          <w:bCs/>
          <w:color w:val="000000" w:themeColor="text1"/>
        </w:rPr>
        <w:t>Table</w:t>
      </w:r>
      <w:r w:rsidR="0065347C">
        <w:rPr>
          <w:rFonts w:ascii="Arial" w:eastAsiaTheme="majorEastAsia" w:hAnsi="Arial" w:cs="Arial"/>
          <w:b/>
          <w:bCs/>
          <w:color w:val="000000" w:themeColor="text1"/>
        </w:rPr>
        <w:t>2.4.3.1</w:t>
      </w:r>
      <w:r w:rsidR="0022214D" w:rsidRPr="00650C77">
        <w:rPr>
          <w:rFonts w:ascii="Arial" w:eastAsiaTheme="majorEastAsia" w:hAnsi="Arial" w:cs="Arial"/>
          <w:b/>
          <w:bCs/>
          <w:color w:val="000000" w:themeColor="text1"/>
        </w:rPr>
        <w:t xml:space="preserve">: </w:t>
      </w:r>
      <w:r w:rsidRPr="00650C77">
        <w:rPr>
          <w:rFonts w:ascii="Arial" w:eastAsiaTheme="majorEastAsia" w:hAnsi="Arial" w:cs="Arial"/>
          <w:b/>
          <w:bCs/>
          <w:color w:val="000000" w:themeColor="text1"/>
        </w:rPr>
        <w:t>Chronic Care Model Applied to Schizophrenia</w:t>
      </w:r>
    </w:p>
    <w:tbl>
      <w:tblPr>
        <w:tblStyle w:val="TableGrid"/>
        <w:tblW w:w="0" w:type="auto"/>
        <w:tblInd w:w="-113" w:type="dxa"/>
        <w:tblLook w:val="04A0" w:firstRow="1" w:lastRow="0" w:firstColumn="1" w:lastColumn="0" w:noHBand="0" w:noVBand="1"/>
      </w:tblPr>
      <w:tblGrid>
        <w:gridCol w:w="4320"/>
        <w:gridCol w:w="4320"/>
      </w:tblGrid>
      <w:tr w:rsidR="00650C77" w:rsidRPr="00650C77" w14:paraId="44905E15" w14:textId="77777777" w:rsidTr="00FE4501">
        <w:tc>
          <w:tcPr>
            <w:tcW w:w="4320" w:type="dxa"/>
            <w:shd w:val="clear" w:color="auto" w:fill="5B9BD5" w:themeFill="accent5"/>
          </w:tcPr>
          <w:p w14:paraId="314BC472"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CCM Element</w:t>
            </w:r>
          </w:p>
        </w:tc>
        <w:tc>
          <w:tcPr>
            <w:tcW w:w="4320" w:type="dxa"/>
            <w:shd w:val="clear" w:color="auto" w:fill="5B9BD5" w:themeFill="accent5"/>
          </w:tcPr>
          <w:p w14:paraId="42BC1577"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Application</w:t>
            </w:r>
          </w:p>
        </w:tc>
      </w:tr>
      <w:tr w:rsidR="00650C77" w:rsidRPr="00650C77" w14:paraId="2B2171DF" w14:textId="77777777" w:rsidTr="00FE4501">
        <w:tc>
          <w:tcPr>
            <w:tcW w:w="4320" w:type="dxa"/>
            <w:shd w:val="clear" w:color="auto" w:fill="5B9BD5" w:themeFill="accent5"/>
          </w:tcPr>
          <w:p w14:paraId="71761C06"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Self-management</w:t>
            </w:r>
          </w:p>
        </w:tc>
        <w:tc>
          <w:tcPr>
            <w:tcW w:w="4320" w:type="dxa"/>
            <w:shd w:val="clear" w:color="auto" w:fill="5B9BD5" w:themeFill="accent5"/>
          </w:tcPr>
          <w:p w14:paraId="5B1E0E8F"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Relapse prevention and medication adherence</w:t>
            </w:r>
          </w:p>
        </w:tc>
      </w:tr>
      <w:tr w:rsidR="00650C77" w:rsidRPr="00650C77" w14:paraId="787BD6E2" w14:textId="77777777" w:rsidTr="00FE4501">
        <w:tc>
          <w:tcPr>
            <w:tcW w:w="4320" w:type="dxa"/>
            <w:shd w:val="clear" w:color="auto" w:fill="5B9BD5" w:themeFill="accent5"/>
          </w:tcPr>
          <w:p w14:paraId="3D1A3D65"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System Design</w:t>
            </w:r>
          </w:p>
        </w:tc>
        <w:tc>
          <w:tcPr>
            <w:tcW w:w="4320" w:type="dxa"/>
            <w:shd w:val="clear" w:color="auto" w:fill="5B9BD5" w:themeFill="accent5"/>
          </w:tcPr>
          <w:p w14:paraId="32B22D2D"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Planned reviews and MDT coordination</w:t>
            </w:r>
          </w:p>
        </w:tc>
      </w:tr>
      <w:tr w:rsidR="00650C77" w:rsidRPr="00650C77" w14:paraId="09F75A3E" w14:textId="77777777" w:rsidTr="00FE4501">
        <w:tc>
          <w:tcPr>
            <w:tcW w:w="4320" w:type="dxa"/>
            <w:shd w:val="clear" w:color="auto" w:fill="5B9BD5" w:themeFill="accent5"/>
          </w:tcPr>
          <w:p w14:paraId="41EF9D81"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Decision Support</w:t>
            </w:r>
          </w:p>
        </w:tc>
        <w:tc>
          <w:tcPr>
            <w:tcW w:w="4320" w:type="dxa"/>
            <w:shd w:val="clear" w:color="auto" w:fill="5B9BD5" w:themeFill="accent5"/>
          </w:tcPr>
          <w:p w14:paraId="207A2C04"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Evidence-based practice</w:t>
            </w:r>
          </w:p>
        </w:tc>
      </w:tr>
      <w:tr w:rsidR="00650C77" w:rsidRPr="00650C77" w14:paraId="7701F716" w14:textId="77777777" w:rsidTr="00FE4501">
        <w:tc>
          <w:tcPr>
            <w:tcW w:w="4320" w:type="dxa"/>
            <w:shd w:val="clear" w:color="auto" w:fill="5B9BD5" w:themeFill="accent5"/>
          </w:tcPr>
          <w:p w14:paraId="714DA641"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Community Resources</w:t>
            </w:r>
          </w:p>
        </w:tc>
        <w:tc>
          <w:tcPr>
            <w:tcW w:w="4320" w:type="dxa"/>
            <w:shd w:val="clear" w:color="auto" w:fill="5B9BD5" w:themeFill="accent5"/>
          </w:tcPr>
          <w:p w14:paraId="4AF0127C"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Voluntary and social care links</w:t>
            </w:r>
          </w:p>
        </w:tc>
      </w:tr>
      <w:tr w:rsidR="00650C77" w:rsidRPr="00650C77" w14:paraId="2B9FAAE9" w14:textId="77777777" w:rsidTr="00FE4501">
        <w:tc>
          <w:tcPr>
            <w:tcW w:w="4320" w:type="dxa"/>
            <w:shd w:val="clear" w:color="auto" w:fill="5B9BD5" w:themeFill="accent5"/>
          </w:tcPr>
          <w:p w14:paraId="2170F13E"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Overall Aim</w:t>
            </w:r>
          </w:p>
        </w:tc>
        <w:tc>
          <w:tcPr>
            <w:tcW w:w="4320" w:type="dxa"/>
            <w:shd w:val="clear" w:color="auto" w:fill="5B9BD5" w:themeFill="accent5"/>
          </w:tcPr>
          <w:p w14:paraId="04E3A0E2"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Proactive long-term care</w:t>
            </w:r>
          </w:p>
        </w:tc>
      </w:tr>
    </w:tbl>
    <w:p w14:paraId="166CF213" w14:textId="612C303E" w:rsidR="004777A2" w:rsidRPr="00650C77" w:rsidRDefault="00610101" w:rsidP="00610101">
      <w:pPr>
        <w:spacing w:before="100" w:beforeAutospacing="1" w:after="100" w:afterAutospacing="1" w:line="360" w:lineRule="auto"/>
        <w:jc w:val="both"/>
        <w:rPr>
          <w:rFonts w:ascii="Arial" w:hAnsi="Arial" w:cs="Arial"/>
          <w:color w:val="000000" w:themeColor="text1"/>
          <w:sz w:val="20"/>
          <w:szCs w:val="20"/>
        </w:rPr>
      </w:pPr>
      <w:r w:rsidRPr="00650C77">
        <w:rPr>
          <w:rFonts w:ascii="Arial" w:hAnsi="Arial" w:cs="Arial"/>
          <w:color w:val="000000" w:themeColor="text1"/>
          <w:sz w:val="20"/>
          <w:szCs w:val="20"/>
        </w:rPr>
        <w:t>Adapted from Wagner et al</w:t>
      </w:r>
      <w:r w:rsidR="00712DEE" w:rsidRPr="00650C77">
        <w:rPr>
          <w:rFonts w:ascii="Arial" w:hAnsi="Arial" w:cs="Arial"/>
          <w:color w:val="000000" w:themeColor="text1"/>
          <w:sz w:val="20"/>
          <w:szCs w:val="20"/>
        </w:rPr>
        <w:t xml:space="preserve"> </w:t>
      </w:r>
      <w:r w:rsidR="00712DEE" w:rsidRPr="00650C77">
        <w:rPr>
          <w:rFonts w:ascii="Arial" w:hAnsi="Arial" w:cs="Arial"/>
          <w:color w:val="000000" w:themeColor="text1"/>
        </w:rPr>
        <w:t>(1996</w:t>
      </w:r>
      <w:proofErr w:type="gramStart"/>
      <w:r w:rsidR="00712DEE" w:rsidRPr="00650C77">
        <w:rPr>
          <w:rFonts w:ascii="Arial" w:hAnsi="Arial" w:cs="Arial"/>
          <w:color w:val="000000" w:themeColor="text1"/>
        </w:rPr>
        <w:t>)</w:t>
      </w:r>
      <w:r w:rsidR="00712DEE" w:rsidRPr="00650C77">
        <w:rPr>
          <w:rFonts w:ascii="Arial" w:hAnsi="Arial" w:cs="Arial"/>
          <w:color w:val="000000" w:themeColor="text1"/>
          <w:sz w:val="20"/>
          <w:szCs w:val="20"/>
        </w:rPr>
        <w:t xml:space="preserve"> </w:t>
      </w:r>
      <w:r w:rsidRPr="00650C77">
        <w:rPr>
          <w:rFonts w:ascii="Arial" w:hAnsi="Arial" w:cs="Arial"/>
          <w:color w:val="000000" w:themeColor="text1"/>
          <w:sz w:val="20"/>
          <w:szCs w:val="20"/>
        </w:rPr>
        <w:t>;</w:t>
      </w:r>
      <w:proofErr w:type="gramEnd"/>
      <w:r w:rsidRPr="00650C77">
        <w:rPr>
          <w:rFonts w:ascii="Arial" w:hAnsi="Arial" w:cs="Arial"/>
          <w:color w:val="000000" w:themeColor="text1"/>
          <w:sz w:val="20"/>
          <w:szCs w:val="20"/>
        </w:rPr>
        <w:t xml:space="preserve"> Baker et al., 2019)</w:t>
      </w:r>
    </w:p>
    <w:p w14:paraId="1A7B7172" w14:textId="77777777" w:rsidR="00610101" w:rsidRPr="00650C77" w:rsidRDefault="00610101" w:rsidP="00610101">
      <w:pPr>
        <w:spacing w:before="100" w:beforeAutospacing="1" w:after="100" w:afterAutospacing="1" w:line="360" w:lineRule="auto"/>
        <w:jc w:val="both"/>
        <w:outlineLvl w:val="3"/>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2.4.4 Integrated Systems Theory:</w:t>
      </w:r>
    </w:p>
    <w:p w14:paraId="2A8CD63B" w14:textId="77777777" w:rsidR="00706D9B" w:rsidRPr="00650C77" w:rsidRDefault="00706D9B" w:rsidP="00706D9B">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Integrated Care Systems (ICS) were introduced in 2021 to bring together NHS services, local authorities, and voluntary organisations and improve coordination (King’s Fund, 2022). However, challenges remain, including siloed funding, poor data sharing, and workforce shortages, which continue to limit effective integrated care (Asthana et al., 2020; NHS Confederation, 2023).</w:t>
      </w:r>
    </w:p>
    <w:p w14:paraId="1660D1F4" w14:textId="77777777" w:rsidR="00610101" w:rsidRPr="00650C77" w:rsidRDefault="00610101" w:rsidP="00610101">
      <w:pPr>
        <w:spacing w:before="100" w:beforeAutospacing="1" w:after="100" w:afterAutospacing="1" w:line="360" w:lineRule="auto"/>
        <w:jc w:val="both"/>
        <w:outlineLvl w:val="3"/>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2.4.5 Intersectionality and Inequity:</w:t>
      </w:r>
    </w:p>
    <w:p w14:paraId="6E442F8E" w14:textId="68558325" w:rsidR="00706D9B" w:rsidRPr="00650C77" w:rsidRDefault="00023FAB" w:rsidP="000F4753">
      <w:pPr>
        <w:spacing w:before="100" w:beforeAutospacing="1" w:after="100" w:afterAutospacing="1" w:line="360" w:lineRule="auto"/>
        <w:jc w:val="both"/>
        <w:rPr>
          <w:rFonts w:ascii="Arial" w:hAnsi="Arial" w:cs="Arial"/>
          <w:color w:val="000000" w:themeColor="text1"/>
        </w:rPr>
      </w:pPr>
      <w:r w:rsidRPr="00650C77">
        <w:rPr>
          <w:rFonts w:ascii="Arial" w:hAnsi="Arial" w:cs="Arial"/>
          <w:color w:val="000000" w:themeColor="text1"/>
        </w:rPr>
        <w:t>Intersectional approaches show how race, gender, and poverty shape inequalities in schizophrenia care (</w:t>
      </w:r>
      <w:proofErr w:type="spellStart"/>
      <w:r w:rsidRPr="00650C77">
        <w:rPr>
          <w:rFonts w:ascii="Arial" w:hAnsi="Arial" w:cs="Arial"/>
          <w:color w:val="000000" w:themeColor="text1"/>
        </w:rPr>
        <w:t>Nazroo</w:t>
      </w:r>
      <w:proofErr w:type="spellEnd"/>
      <w:r w:rsidRPr="00650C77">
        <w:rPr>
          <w:rFonts w:ascii="Arial" w:hAnsi="Arial" w:cs="Arial"/>
          <w:color w:val="000000" w:themeColor="text1"/>
        </w:rPr>
        <w:t xml:space="preserve"> et al., 2019; Keating, 2023). Black men face higher detention rates, while women face underdiagnosis (</w:t>
      </w:r>
      <w:proofErr w:type="spellStart"/>
      <w:r w:rsidRPr="00650C77">
        <w:rPr>
          <w:rFonts w:ascii="Arial" w:hAnsi="Arial" w:cs="Arial"/>
          <w:color w:val="000000" w:themeColor="text1"/>
        </w:rPr>
        <w:t>DoHSC</w:t>
      </w:r>
      <w:proofErr w:type="spellEnd"/>
      <w:r w:rsidRPr="00650C77">
        <w:rPr>
          <w:rFonts w:ascii="Arial" w:hAnsi="Arial" w:cs="Arial"/>
          <w:color w:val="000000" w:themeColor="text1"/>
        </w:rPr>
        <w:t xml:space="preserve">, 2023; Jovanović et al., 2025). New guidance promotes trauma-informed care (NICE, 2021). </w:t>
      </w:r>
      <w:r w:rsidR="00706D9B" w:rsidRPr="00650C77">
        <w:rPr>
          <w:rFonts w:ascii="Arial" w:hAnsi="Arial" w:cs="Arial"/>
          <w:color w:val="000000" w:themeColor="text1"/>
        </w:rPr>
        <w:t xml:space="preserve">A theoretical comparison of models Informing Schizophrenia Care is presented in </w:t>
      </w:r>
      <w:r w:rsidR="00706D9B" w:rsidRPr="00650C77">
        <w:rPr>
          <w:rStyle w:val="Strong"/>
          <w:rFonts w:ascii="Arial" w:hAnsi="Arial" w:cs="Arial"/>
          <w:color w:val="000000" w:themeColor="text1"/>
        </w:rPr>
        <w:t>Appendix 7.5</w:t>
      </w:r>
      <w:r w:rsidR="00706D9B" w:rsidRPr="00650C77">
        <w:rPr>
          <w:rFonts w:ascii="Arial" w:hAnsi="Arial" w:cs="Arial"/>
          <w:color w:val="000000" w:themeColor="text1"/>
        </w:rPr>
        <w:t>.</w:t>
      </w:r>
      <w:r w:rsidR="000F4753" w:rsidRPr="00650C77">
        <w:rPr>
          <w:rFonts w:ascii="Arial" w:eastAsia="Times New Roman" w:hAnsi="Arial" w:cs="Arial"/>
          <w:vanish/>
          <w:color w:val="000000" w:themeColor="text1"/>
          <w:kern w:val="0"/>
          <w:lang w:eastAsia="en-GB"/>
          <w14:ligatures w14:val="none"/>
        </w:rPr>
        <w:t>Top of Form</w:t>
      </w:r>
    </w:p>
    <w:p w14:paraId="51443CB0" w14:textId="77777777" w:rsidR="000F4753" w:rsidRPr="00650C77" w:rsidRDefault="000F4753" w:rsidP="000F4753">
      <w:pPr>
        <w:pBdr>
          <w:top w:val="single" w:sz="6" w:space="1" w:color="auto"/>
        </w:pBdr>
        <w:spacing w:after="0" w:line="240" w:lineRule="auto"/>
        <w:rPr>
          <w:rFonts w:ascii="Arial" w:eastAsia="Times New Roman" w:hAnsi="Arial" w:cs="Arial"/>
          <w:b/>
          <w:bCs/>
          <w:vanish/>
          <w:color w:val="000000" w:themeColor="text1"/>
          <w:kern w:val="0"/>
          <w:lang w:eastAsia="en-GB"/>
          <w14:ligatures w14:val="none"/>
        </w:rPr>
      </w:pPr>
      <w:r w:rsidRPr="00650C77">
        <w:rPr>
          <w:rFonts w:ascii="Arial" w:eastAsia="Times New Roman" w:hAnsi="Arial" w:cs="Arial"/>
          <w:b/>
          <w:bCs/>
          <w:vanish/>
          <w:color w:val="000000" w:themeColor="text1"/>
          <w:kern w:val="0"/>
          <w:lang w:eastAsia="en-GB"/>
          <w14:ligatures w14:val="none"/>
        </w:rPr>
        <w:t>Bottom of Form</w:t>
      </w:r>
    </w:p>
    <w:p w14:paraId="020D97CD" w14:textId="1F0D7101" w:rsidR="00610101" w:rsidRPr="00650C77" w:rsidRDefault="00610101" w:rsidP="00610101">
      <w:pPr>
        <w:keepNext/>
        <w:keepLines/>
        <w:spacing w:before="160" w:after="80"/>
        <w:outlineLvl w:val="1"/>
        <w:rPr>
          <w:rFonts w:ascii="Arial" w:eastAsiaTheme="majorEastAsia" w:hAnsi="Arial" w:cs="Arial"/>
          <w:b/>
          <w:bCs/>
          <w:color w:val="000000" w:themeColor="text1"/>
        </w:rPr>
      </w:pPr>
      <w:r w:rsidRPr="00650C77">
        <w:rPr>
          <w:rFonts w:ascii="Arial" w:eastAsiaTheme="majorEastAsia" w:hAnsi="Arial" w:cs="Arial"/>
          <w:b/>
          <w:bCs/>
          <w:color w:val="000000" w:themeColor="text1"/>
        </w:rPr>
        <w:t>Table</w:t>
      </w:r>
      <w:r w:rsidR="00F93140" w:rsidRPr="00650C77">
        <w:rPr>
          <w:rFonts w:ascii="Arial" w:eastAsiaTheme="majorEastAsia" w:hAnsi="Arial" w:cs="Arial"/>
          <w:b/>
          <w:bCs/>
          <w:color w:val="000000" w:themeColor="text1"/>
        </w:rPr>
        <w:t xml:space="preserve"> 2.4.5</w:t>
      </w:r>
      <w:r w:rsidR="0065347C">
        <w:rPr>
          <w:rFonts w:ascii="Arial" w:eastAsiaTheme="majorEastAsia" w:hAnsi="Arial" w:cs="Arial"/>
          <w:b/>
          <w:bCs/>
          <w:color w:val="000000" w:themeColor="text1"/>
        </w:rPr>
        <w:t>.1</w:t>
      </w:r>
      <w:r w:rsidR="0022214D" w:rsidRPr="00650C77">
        <w:rPr>
          <w:rFonts w:ascii="Arial" w:eastAsiaTheme="majorEastAsia" w:hAnsi="Arial" w:cs="Arial"/>
          <w:b/>
          <w:bCs/>
          <w:color w:val="000000" w:themeColor="text1"/>
        </w:rPr>
        <w:t>:</w:t>
      </w:r>
      <w:r w:rsidRPr="00650C77">
        <w:rPr>
          <w:rFonts w:ascii="Arial" w:eastAsiaTheme="majorEastAsia" w:hAnsi="Arial" w:cs="Arial"/>
          <w:b/>
          <w:bCs/>
          <w:color w:val="000000" w:themeColor="text1"/>
        </w:rPr>
        <w:t xml:space="preserve"> Intersectionality and Inequality in Schizophrenia Care</w:t>
      </w:r>
    </w:p>
    <w:tbl>
      <w:tblPr>
        <w:tblStyle w:val="TableGrid"/>
        <w:tblW w:w="0" w:type="auto"/>
        <w:tblInd w:w="-113" w:type="dxa"/>
        <w:tblLook w:val="04A0" w:firstRow="1" w:lastRow="0" w:firstColumn="1" w:lastColumn="0" w:noHBand="0" w:noVBand="1"/>
      </w:tblPr>
      <w:tblGrid>
        <w:gridCol w:w="4320"/>
        <w:gridCol w:w="4320"/>
      </w:tblGrid>
      <w:tr w:rsidR="00650C77" w:rsidRPr="00650C77" w14:paraId="35AF1DE8" w14:textId="77777777" w:rsidTr="00FE4501">
        <w:tc>
          <w:tcPr>
            <w:tcW w:w="4320" w:type="dxa"/>
            <w:shd w:val="clear" w:color="auto" w:fill="5B9BD5" w:themeFill="accent5"/>
          </w:tcPr>
          <w:p w14:paraId="5E854C44" w14:textId="77777777" w:rsidR="00610101" w:rsidRPr="00650C77" w:rsidRDefault="00610101" w:rsidP="00610101">
            <w:pPr>
              <w:rPr>
                <w:rFonts w:ascii="Arial" w:hAnsi="Arial" w:cs="Arial"/>
                <w:color w:val="000000" w:themeColor="text1"/>
              </w:rPr>
            </w:pPr>
            <w:r w:rsidRPr="00650C77">
              <w:rPr>
                <w:rFonts w:ascii="Arial" w:hAnsi="Arial" w:cs="Arial"/>
                <w:color w:val="000000" w:themeColor="text1"/>
              </w:rPr>
              <w:t>Factor</w:t>
            </w:r>
          </w:p>
        </w:tc>
        <w:tc>
          <w:tcPr>
            <w:tcW w:w="4320" w:type="dxa"/>
            <w:shd w:val="clear" w:color="auto" w:fill="5B9BD5" w:themeFill="accent5"/>
          </w:tcPr>
          <w:p w14:paraId="3ACBC0C5" w14:textId="77777777" w:rsidR="00610101" w:rsidRPr="00650C77" w:rsidRDefault="00610101" w:rsidP="00610101">
            <w:pPr>
              <w:rPr>
                <w:rFonts w:ascii="Arial" w:hAnsi="Arial" w:cs="Arial"/>
                <w:color w:val="000000" w:themeColor="text1"/>
              </w:rPr>
            </w:pPr>
            <w:r w:rsidRPr="00650C77">
              <w:rPr>
                <w:rFonts w:ascii="Arial" w:hAnsi="Arial" w:cs="Arial"/>
                <w:color w:val="000000" w:themeColor="text1"/>
              </w:rPr>
              <w:t>Impact</w:t>
            </w:r>
          </w:p>
        </w:tc>
      </w:tr>
      <w:tr w:rsidR="00650C77" w:rsidRPr="00650C77" w14:paraId="33E3D494" w14:textId="77777777" w:rsidTr="00FE4501">
        <w:tc>
          <w:tcPr>
            <w:tcW w:w="4320" w:type="dxa"/>
            <w:shd w:val="clear" w:color="auto" w:fill="5B9BD5" w:themeFill="accent5"/>
          </w:tcPr>
          <w:p w14:paraId="1A1B2D0B"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Ethnicity</w:t>
            </w:r>
          </w:p>
        </w:tc>
        <w:tc>
          <w:tcPr>
            <w:tcW w:w="4320" w:type="dxa"/>
            <w:shd w:val="clear" w:color="auto" w:fill="5B9BD5" w:themeFill="accent5"/>
          </w:tcPr>
          <w:p w14:paraId="1F9BB7B8"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Higher detention rates for Black service users</w:t>
            </w:r>
          </w:p>
        </w:tc>
      </w:tr>
      <w:tr w:rsidR="00650C77" w:rsidRPr="00650C77" w14:paraId="46DA9650" w14:textId="77777777" w:rsidTr="00FE4501">
        <w:tc>
          <w:tcPr>
            <w:tcW w:w="4320" w:type="dxa"/>
            <w:shd w:val="clear" w:color="auto" w:fill="5B9BD5" w:themeFill="accent5"/>
          </w:tcPr>
          <w:p w14:paraId="465EF739"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Gender</w:t>
            </w:r>
          </w:p>
        </w:tc>
        <w:tc>
          <w:tcPr>
            <w:tcW w:w="4320" w:type="dxa"/>
            <w:shd w:val="clear" w:color="auto" w:fill="5B9BD5" w:themeFill="accent5"/>
          </w:tcPr>
          <w:p w14:paraId="443F2E28"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Underdiagnosis and perinatal care gaps</w:t>
            </w:r>
          </w:p>
        </w:tc>
      </w:tr>
      <w:tr w:rsidR="00650C77" w:rsidRPr="00650C77" w14:paraId="219270F3" w14:textId="77777777" w:rsidTr="00FE4501">
        <w:tc>
          <w:tcPr>
            <w:tcW w:w="4320" w:type="dxa"/>
            <w:shd w:val="clear" w:color="auto" w:fill="5B9BD5" w:themeFill="accent5"/>
          </w:tcPr>
          <w:p w14:paraId="4AC5567A"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Socioeconomic Status</w:t>
            </w:r>
          </w:p>
        </w:tc>
        <w:tc>
          <w:tcPr>
            <w:tcW w:w="4320" w:type="dxa"/>
            <w:shd w:val="clear" w:color="auto" w:fill="5B9BD5" w:themeFill="accent5"/>
          </w:tcPr>
          <w:p w14:paraId="0F9350E1"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Barriers to housing and employment</w:t>
            </w:r>
          </w:p>
        </w:tc>
      </w:tr>
      <w:tr w:rsidR="00650C77" w:rsidRPr="00650C77" w14:paraId="4CCAAFE5" w14:textId="77777777" w:rsidTr="00FE4501">
        <w:tc>
          <w:tcPr>
            <w:tcW w:w="4320" w:type="dxa"/>
            <w:shd w:val="clear" w:color="auto" w:fill="5B9BD5" w:themeFill="accent5"/>
          </w:tcPr>
          <w:p w14:paraId="0A03F060"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Practice Response</w:t>
            </w:r>
          </w:p>
        </w:tc>
        <w:tc>
          <w:tcPr>
            <w:tcW w:w="4320" w:type="dxa"/>
            <w:shd w:val="clear" w:color="auto" w:fill="5B9BD5" w:themeFill="accent5"/>
          </w:tcPr>
          <w:p w14:paraId="54293B09"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Trauma-informed and culturally competent care</w:t>
            </w:r>
          </w:p>
        </w:tc>
      </w:tr>
      <w:tr w:rsidR="00650C77" w:rsidRPr="00650C77" w14:paraId="70B5EB74" w14:textId="77777777" w:rsidTr="00FE4501">
        <w:tc>
          <w:tcPr>
            <w:tcW w:w="4320" w:type="dxa"/>
            <w:shd w:val="clear" w:color="auto" w:fill="5B9BD5" w:themeFill="accent5"/>
          </w:tcPr>
          <w:p w14:paraId="16CAC60D"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Policy Context</w:t>
            </w:r>
          </w:p>
        </w:tc>
        <w:tc>
          <w:tcPr>
            <w:tcW w:w="4320" w:type="dxa"/>
            <w:shd w:val="clear" w:color="auto" w:fill="5B9BD5" w:themeFill="accent5"/>
          </w:tcPr>
          <w:p w14:paraId="7C1C9CBD"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Mental Health Act reform</w:t>
            </w:r>
          </w:p>
        </w:tc>
      </w:tr>
    </w:tbl>
    <w:p w14:paraId="0E16B775" w14:textId="77777777" w:rsidR="00610101" w:rsidRPr="00650C77" w:rsidRDefault="00610101" w:rsidP="00610101">
      <w:pPr>
        <w:rPr>
          <w:rFonts w:ascii="Arial" w:hAnsi="Arial" w:cs="Arial"/>
          <w:color w:val="000000" w:themeColor="text1"/>
        </w:rPr>
      </w:pPr>
    </w:p>
    <w:p w14:paraId="6C9921C5" w14:textId="52B73DAE" w:rsidR="00B713F6" w:rsidRPr="00650C77" w:rsidRDefault="00610101" w:rsidP="00B713F6">
      <w:pPr>
        <w:rPr>
          <w:rFonts w:ascii="Arial" w:hAnsi="Arial" w:cs="Arial"/>
          <w:color w:val="000000" w:themeColor="text1"/>
          <w:sz w:val="18"/>
          <w:szCs w:val="18"/>
        </w:rPr>
      </w:pPr>
      <w:r w:rsidRPr="00650C77">
        <w:rPr>
          <w:rFonts w:ascii="Arial" w:hAnsi="Arial" w:cs="Arial"/>
          <w:color w:val="000000" w:themeColor="text1"/>
          <w:sz w:val="18"/>
          <w:szCs w:val="18"/>
        </w:rPr>
        <w:t xml:space="preserve">(Adapted from </w:t>
      </w:r>
      <w:proofErr w:type="spellStart"/>
      <w:r w:rsidRPr="00650C77">
        <w:rPr>
          <w:rFonts w:ascii="Arial" w:hAnsi="Arial" w:cs="Arial"/>
          <w:color w:val="000000" w:themeColor="text1"/>
          <w:sz w:val="18"/>
          <w:szCs w:val="18"/>
        </w:rPr>
        <w:t>Nazroo</w:t>
      </w:r>
      <w:proofErr w:type="spellEnd"/>
      <w:r w:rsidRPr="00650C77">
        <w:rPr>
          <w:rFonts w:ascii="Arial" w:hAnsi="Arial" w:cs="Arial"/>
          <w:color w:val="000000" w:themeColor="text1"/>
          <w:sz w:val="18"/>
          <w:szCs w:val="18"/>
        </w:rPr>
        <w:t xml:space="preserve"> et al., 2019; </w:t>
      </w:r>
      <w:proofErr w:type="spellStart"/>
      <w:r w:rsidRPr="00650C77">
        <w:rPr>
          <w:rFonts w:ascii="Arial" w:hAnsi="Arial" w:cs="Arial"/>
          <w:color w:val="000000" w:themeColor="text1"/>
          <w:sz w:val="18"/>
          <w:szCs w:val="18"/>
        </w:rPr>
        <w:t>DoHSC</w:t>
      </w:r>
      <w:proofErr w:type="spellEnd"/>
      <w:r w:rsidRPr="00650C77">
        <w:rPr>
          <w:rFonts w:ascii="Arial" w:hAnsi="Arial" w:cs="Arial"/>
          <w:color w:val="000000" w:themeColor="text1"/>
          <w:sz w:val="18"/>
          <w:szCs w:val="18"/>
        </w:rPr>
        <w:t>, 2023; Jovanović et al., 2025)</w:t>
      </w:r>
      <w:bookmarkStart w:id="0" w:name="_Hlk219219040"/>
    </w:p>
    <w:p w14:paraId="24FFAFFC" w14:textId="153BC0DC" w:rsidR="00610101" w:rsidRPr="002A42EA" w:rsidRDefault="00610101" w:rsidP="00610101">
      <w:pPr>
        <w:spacing w:before="100" w:beforeAutospacing="1" w:after="100" w:afterAutospacing="1" w:line="360" w:lineRule="auto"/>
        <w:jc w:val="both"/>
        <w:outlineLvl w:val="1"/>
        <w:rPr>
          <w:rFonts w:ascii="Arial" w:eastAsia="Times New Roman" w:hAnsi="Arial" w:cs="Arial"/>
          <w:b/>
          <w:bCs/>
          <w:color w:val="000000" w:themeColor="text1"/>
          <w:kern w:val="0"/>
          <w:sz w:val="28"/>
          <w:szCs w:val="28"/>
          <w:lang w:eastAsia="en-GB"/>
          <w14:ligatures w14:val="none"/>
        </w:rPr>
      </w:pPr>
      <w:bookmarkStart w:id="1" w:name="_Hlk220405857"/>
      <w:r w:rsidRPr="002A42EA">
        <w:rPr>
          <w:rFonts w:ascii="Arial" w:eastAsia="Times New Roman" w:hAnsi="Arial" w:cs="Arial"/>
          <w:b/>
          <w:bCs/>
          <w:color w:val="000000" w:themeColor="text1"/>
          <w:kern w:val="0"/>
          <w:sz w:val="28"/>
          <w:szCs w:val="28"/>
          <w:lang w:eastAsia="en-GB"/>
          <w14:ligatures w14:val="none"/>
        </w:rPr>
        <w:lastRenderedPageBreak/>
        <w:t>2.</w:t>
      </w:r>
      <w:r w:rsidR="002A42EA" w:rsidRPr="002A42EA">
        <w:rPr>
          <w:rFonts w:ascii="Arial" w:eastAsia="Times New Roman" w:hAnsi="Arial" w:cs="Arial"/>
          <w:b/>
          <w:bCs/>
          <w:color w:val="000000" w:themeColor="text1"/>
          <w:kern w:val="0"/>
          <w:sz w:val="28"/>
          <w:szCs w:val="28"/>
          <w:lang w:eastAsia="en-GB"/>
          <w14:ligatures w14:val="none"/>
        </w:rPr>
        <w:t>5</w:t>
      </w:r>
      <w:r w:rsidRPr="002A42EA">
        <w:rPr>
          <w:rFonts w:ascii="Arial" w:eastAsia="Times New Roman" w:hAnsi="Arial" w:cs="Arial"/>
          <w:b/>
          <w:bCs/>
          <w:color w:val="000000" w:themeColor="text1"/>
          <w:kern w:val="0"/>
          <w:sz w:val="28"/>
          <w:szCs w:val="28"/>
          <w:lang w:eastAsia="en-GB"/>
          <w14:ligatures w14:val="none"/>
        </w:rPr>
        <w:t xml:space="preserve"> International Context:</w:t>
      </w:r>
    </w:p>
    <w:bookmarkEnd w:id="0"/>
    <w:p w14:paraId="3D4C25B8" w14:textId="77777777" w:rsidR="00BB468F" w:rsidRPr="00650C77" w:rsidRDefault="00BB468F" w:rsidP="00BB468F">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International comparisons show how schizophrenia care can improve. Many countries focus on community care, early intervention, recovery, and social support rather than long hospital stays. Examples from Australia, the Netherlands, Finland, and Canada highlight effective approaches.</w:t>
      </w:r>
    </w:p>
    <w:p w14:paraId="2D4FC69B" w14:textId="618E4BB7" w:rsidR="00BB468F" w:rsidRPr="00650C77" w:rsidRDefault="00BB468F" w:rsidP="00BB468F">
      <w:pPr>
        <w:pStyle w:val="NormalWeb"/>
        <w:spacing w:line="360" w:lineRule="auto"/>
        <w:jc w:val="both"/>
        <w:rPr>
          <w:rFonts w:ascii="Arial" w:hAnsi="Arial" w:cs="Arial"/>
          <w:color w:val="000000" w:themeColor="text1"/>
          <w:sz w:val="22"/>
          <w:szCs w:val="22"/>
        </w:rPr>
      </w:pPr>
      <w:r w:rsidRPr="00650C77">
        <w:rPr>
          <w:rFonts w:ascii="Arial" w:hAnsi="Arial" w:cs="Arial"/>
          <w:b/>
          <w:bCs/>
          <w:color w:val="000000" w:themeColor="text1"/>
          <w:sz w:val="22"/>
          <w:szCs w:val="22"/>
        </w:rPr>
        <w:t>Australia’s</w:t>
      </w:r>
      <w:r w:rsidRPr="00650C77">
        <w:rPr>
          <w:rFonts w:ascii="Arial" w:hAnsi="Arial" w:cs="Arial"/>
          <w:color w:val="000000" w:themeColor="text1"/>
          <w:sz w:val="22"/>
          <w:szCs w:val="22"/>
        </w:rPr>
        <w:t xml:space="preserve"> Headspace model provides integrated, youth-friendly services, improving outcomes and reducing hospital use (Rickwood et al., 2019). However, UK expansion is limited by staffing and funding (</w:t>
      </w:r>
      <w:proofErr w:type="spellStart"/>
      <w:r w:rsidRPr="00650C77">
        <w:rPr>
          <w:rFonts w:ascii="Arial" w:hAnsi="Arial" w:cs="Arial"/>
          <w:color w:val="000000" w:themeColor="text1"/>
          <w:sz w:val="22"/>
          <w:szCs w:val="22"/>
        </w:rPr>
        <w:t>O’Herlihy</w:t>
      </w:r>
      <w:proofErr w:type="spellEnd"/>
      <w:r w:rsidRPr="00650C77">
        <w:rPr>
          <w:rFonts w:ascii="Arial" w:hAnsi="Arial" w:cs="Arial"/>
          <w:color w:val="000000" w:themeColor="text1"/>
          <w:sz w:val="22"/>
          <w:szCs w:val="22"/>
        </w:rPr>
        <w:t xml:space="preserve"> et al., 2021).  </w:t>
      </w:r>
      <w:r w:rsidRPr="00650C77">
        <w:rPr>
          <w:rFonts w:ascii="Arial" w:hAnsi="Arial" w:cs="Arial"/>
          <w:b/>
          <w:bCs/>
          <w:color w:val="000000" w:themeColor="text1"/>
          <w:sz w:val="22"/>
          <w:szCs w:val="22"/>
        </w:rPr>
        <w:t>The Netherlands’</w:t>
      </w:r>
      <w:r w:rsidRPr="00650C77">
        <w:rPr>
          <w:rFonts w:ascii="Arial" w:hAnsi="Arial" w:cs="Arial"/>
          <w:color w:val="000000" w:themeColor="text1"/>
          <w:sz w:val="22"/>
          <w:szCs w:val="22"/>
        </w:rPr>
        <w:t xml:space="preserve"> FACT model offers flexible, long-term support, reducing relapse and admissions (van Veldhuizen, 2007; </w:t>
      </w:r>
      <w:proofErr w:type="spellStart"/>
      <w:r w:rsidRPr="00650C77">
        <w:rPr>
          <w:rFonts w:ascii="Arial" w:hAnsi="Arial" w:cs="Arial"/>
          <w:color w:val="000000" w:themeColor="text1"/>
          <w:sz w:val="22"/>
          <w:szCs w:val="22"/>
        </w:rPr>
        <w:t>Delespaul</w:t>
      </w:r>
      <w:proofErr w:type="spellEnd"/>
      <w:r w:rsidRPr="00650C77">
        <w:rPr>
          <w:rFonts w:ascii="Arial" w:hAnsi="Arial" w:cs="Arial"/>
          <w:color w:val="000000" w:themeColor="text1"/>
          <w:sz w:val="22"/>
          <w:szCs w:val="22"/>
        </w:rPr>
        <w:t xml:space="preserve"> et al., 2021), but UK use remains inconsistent (CQC, 2023).</w:t>
      </w:r>
    </w:p>
    <w:p w14:paraId="040D67F5" w14:textId="0F69FEA0" w:rsidR="00BB468F" w:rsidRPr="00650C77" w:rsidRDefault="00BB468F" w:rsidP="00BB468F">
      <w:pPr>
        <w:pStyle w:val="NormalWeb"/>
        <w:spacing w:line="360" w:lineRule="auto"/>
        <w:jc w:val="both"/>
        <w:rPr>
          <w:rFonts w:ascii="Arial" w:hAnsi="Arial" w:cs="Arial"/>
          <w:color w:val="000000" w:themeColor="text1"/>
          <w:sz w:val="22"/>
          <w:szCs w:val="22"/>
        </w:rPr>
      </w:pPr>
      <w:r w:rsidRPr="00650C77">
        <w:rPr>
          <w:rFonts w:ascii="Arial" w:hAnsi="Arial" w:cs="Arial"/>
          <w:b/>
          <w:bCs/>
          <w:color w:val="000000" w:themeColor="text1"/>
          <w:sz w:val="22"/>
          <w:szCs w:val="22"/>
        </w:rPr>
        <w:t>Finland’s</w:t>
      </w:r>
      <w:r w:rsidRPr="00650C77">
        <w:rPr>
          <w:rFonts w:ascii="Arial" w:hAnsi="Arial" w:cs="Arial"/>
          <w:color w:val="000000" w:themeColor="text1"/>
          <w:sz w:val="22"/>
          <w:szCs w:val="22"/>
        </w:rPr>
        <w:t xml:space="preserve"> Open Dialogue improves outcomes through early, family-centred care (</w:t>
      </w:r>
      <w:proofErr w:type="spellStart"/>
      <w:r w:rsidRPr="00650C77">
        <w:rPr>
          <w:rFonts w:ascii="Arial" w:hAnsi="Arial" w:cs="Arial"/>
          <w:color w:val="000000" w:themeColor="text1"/>
          <w:sz w:val="22"/>
          <w:szCs w:val="22"/>
        </w:rPr>
        <w:t>Seikkula</w:t>
      </w:r>
      <w:proofErr w:type="spellEnd"/>
      <w:r w:rsidRPr="00650C77">
        <w:rPr>
          <w:rFonts w:ascii="Arial" w:hAnsi="Arial" w:cs="Arial"/>
          <w:color w:val="000000" w:themeColor="text1"/>
          <w:sz w:val="22"/>
          <w:szCs w:val="22"/>
        </w:rPr>
        <w:t xml:space="preserve"> et al., 2011), though limited in the UK (Parachute Project, 2023). </w:t>
      </w:r>
      <w:r w:rsidRPr="00650C77">
        <w:rPr>
          <w:rFonts w:ascii="Arial" w:hAnsi="Arial" w:cs="Arial"/>
          <w:b/>
          <w:bCs/>
          <w:color w:val="000000" w:themeColor="text1"/>
          <w:sz w:val="22"/>
          <w:szCs w:val="22"/>
        </w:rPr>
        <w:t xml:space="preserve">Canada’s </w:t>
      </w:r>
      <w:r w:rsidRPr="00650C77">
        <w:rPr>
          <w:rFonts w:ascii="Arial" w:hAnsi="Arial" w:cs="Arial"/>
          <w:color w:val="000000" w:themeColor="text1"/>
          <w:sz w:val="22"/>
          <w:szCs w:val="22"/>
        </w:rPr>
        <w:t>Housing First improves quality of life (Goering et al., 2014), but is not widely implemented in the UK (</w:t>
      </w:r>
      <w:proofErr w:type="spellStart"/>
      <w:r w:rsidRPr="00650C77">
        <w:rPr>
          <w:rFonts w:ascii="Arial" w:hAnsi="Arial" w:cs="Arial"/>
          <w:color w:val="000000" w:themeColor="text1"/>
          <w:sz w:val="22"/>
          <w:szCs w:val="22"/>
        </w:rPr>
        <w:t>Pleace</w:t>
      </w:r>
      <w:proofErr w:type="spellEnd"/>
      <w:r w:rsidRPr="00650C77">
        <w:rPr>
          <w:rFonts w:ascii="Arial" w:hAnsi="Arial" w:cs="Arial"/>
          <w:color w:val="000000" w:themeColor="text1"/>
          <w:sz w:val="22"/>
          <w:szCs w:val="22"/>
        </w:rPr>
        <w:t xml:space="preserve"> et al., 2021). Overall, effective care requires early intervention, continuity, social support, and funding (OECD, 2022; WHO, 2021).</w:t>
      </w:r>
    </w:p>
    <w:p w14:paraId="360478A3" w14:textId="72E7AFB2" w:rsidR="00067E5A" w:rsidRPr="00650C77" w:rsidRDefault="00712FB5" w:rsidP="00BB468F">
      <w:pPr>
        <w:spacing w:before="100" w:beforeAutospacing="1" w:after="100" w:afterAutospacing="1" w:line="360" w:lineRule="auto"/>
        <w:jc w:val="both"/>
        <w:rPr>
          <w:rFonts w:ascii="Arial" w:hAnsi="Arial" w:cs="Arial"/>
          <w:b/>
          <w:bCs/>
          <w:color w:val="000000" w:themeColor="text1"/>
        </w:rPr>
      </w:pPr>
      <w:r w:rsidRPr="00650C77">
        <w:rPr>
          <w:rFonts w:ascii="Arial" w:hAnsi="Arial" w:cs="Arial"/>
          <w:color w:val="000000" w:themeColor="text1"/>
        </w:rPr>
        <w:t>These lessons suggest that UK reforms should focus on long-term integration and equality rather than short-term pilot programmes.</w:t>
      </w:r>
      <w:r w:rsidR="00344A6B" w:rsidRPr="00650C77">
        <w:rPr>
          <w:rFonts w:ascii="Arial" w:eastAsiaTheme="majorEastAsia" w:hAnsi="Arial" w:cs="Arial"/>
          <w:b/>
          <w:bCs/>
          <w:color w:val="000000" w:themeColor="text1"/>
        </w:rPr>
        <w:t xml:space="preserve"> </w:t>
      </w:r>
      <w:r w:rsidR="00344A6B" w:rsidRPr="00650C77">
        <w:rPr>
          <w:rFonts w:ascii="Arial" w:hAnsi="Arial" w:cs="Arial"/>
          <w:color w:val="000000" w:themeColor="text1"/>
        </w:rPr>
        <w:t xml:space="preserve">A summary table of international schizophrenia care models is provided in </w:t>
      </w:r>
      <w:r w:rsidR="00344A6B" w:rsidRPr="00650C77">
        <w:rPr>
          <w:rFonts w:ascii="Arial" w:hAnsi="Arial" w:cs="Arial"/>
          <w:b/>
          <w:bCs/>
          <w:color w:val="000000" w:themeColor="text1"/>
        </w:rPr>
        <w:t>Appendix 7.6.</w:t>
      </w:r>
    </w:p>
    <w:bookmarkEnd w:id="1"/>
    <w:p w14:paraId="6DD73D36" w14:textId="678FF46B" w:rsidR="00610101" w:rsidRDefault="00F4458A" w:rsidP="00942661">
      <w:pPr>
        <w:keepNext/>
        <w:keepLines/>
        <w:spacing w:before="360" w:after="80"/>
        <w:outlineLvl w:val="0"/>
        <w:rPr>
          <w:rFonts w:ascii="Arial" w:eastAsiaTheme="majorEastAsia" w:hAnsi="Arial" w:cs="Arial"/>
          <w:b/>
          <w:bCs/>
          <w:color w:val="000000" w:themeColor="text1"/>
          <w:sz w:val="24"/>
          <w:szCs w:val="24"/>
        </w:rPr>
      </w:pPr>
      <w:r>
        <w:rPr>
          <w:rFonts w:ascii="Arial" w:eastAsiaTheme="majorEastAsia" w:hAnsi="Arial" w:cs="Arial"/>
          <w:b/>
          <w:bCs/>
          <w:color w:val="000000" w:themeColor="text1"/>
          <w:sz w:val="24"/>
          <w:szCs w:val="24"/>
        </w:rPr>
        <w:t xml:space="preserve">Table </w:t>
      </w:r>
      <w:r w:rsidR="00F93140" w:rsidRPr="00650C77">
        <w:rPr>
          <w:rFonts w:ascii="Arial" w:eastAsiaTheme="majorEastAsia" w:hAnsi="Arial" w:cs="Arial"/>
          <w:b/>
          <w:bCs/>
          <w:color w:val="000000" w:themeColor="text1"/>
          <w:sz w:val="24"/>
          <w:szCs w:val="24"/>
        </w:rPr>
        <w:t>2.</w:t>
      </w:r>
      <w:r w:rsidR="002A42EA">
        <w:rPr>
          <w:rFonts w:ascii="Arial" w:eastAsiaTheme="majorEastAsia" w:hAnsi="Arial" w:cs="Arial"/>
          <w:b/>
          <w:bCs/>
          <w:color w:val="000000" w:themeColor="text1"/>
          <w:sz w:val="24"/>
          <w:szCs w:val="24"/>
        </w:rPr>
        <w:t>5.1</w:t>
      </w:r>
      <w:r w:rsidR="00F93140" w:rsidRPr="00650C77">
        <w:rPr>
          <w:rFonts w:ascii="Arial" w:eastAsiaTheme="majorEastAsia" w:hAnsi="Arial" w:cs="Arial"/>
          <w:b/>
          <w:bCs/>
          <w:color w:val="000000" w:themeColor="text1"/>
          <w:sz w:val="24"/>
          <w:szCs w:val="24"/>
        </w:rPr>
        <w:t xml:space="preserve"> </w:t>
      </w:r>
      <w:r w:rsidR="00610101" w:rsidRPr="00650C77">
        <w:rPr>
          <w:rFonts w:ascii="Arial" w:eastAsiaTheme="majorEastAsia" w:hAnsi="Arial" w:cs="Arial"/>
          <w:b/>
          <w:bCs/>
          <w:color w:val="000000" w:themeColor="text1"/>
          <w:sz w:val="24"/>
          <w:szCs w:val="24"/>
        </w:rPr>
        <w:t xml:space="preserve">International Models of Schizophrenia Care: Clear comparison. </w:t>
      </w:r>
    </w:p>
    <w:tbl>
      <w:tblPr>
        <w:tblStyle w:val="TableGrid"/>
        <w:tblW w:w="0" w:type="auto"/>
        <w:tblInd w:w="-5" w:type="dxa"/>
        <w:tblLook w:val="04A0" w:firstRow="1" w:lastRow="0" w:firstColumn="1" w:lastColumn="0" w:noHBand="0" w:noVBand="1"/>
      </w:tblPr>
      <w:tblGrid>
        <w:gridCol w:w="2552"/>
        <w:gridCol w:w="1984"/>
        <w:gridCol w:w="4253"/>
      </w:tblGrid>
      <w:tr w:rsidR="00F4458A" w:rsidRPr="001D3D66" w14:paraId="75503609" w14:textId="77777777" w:rsidTr="00F4458A">
        <w:tc>
          <w:tcPr>
            <w:tcW w:w="2552" w:type="dxa"/>
            <w:shd w:val="clear" w:color="auto" w:fill="FFC000" w:themeFill="accent4"/>
          </w:tcPr>
          <w:p w14:paraId="23A0D8CB" w14:textId="77777777" w:rsidR="00F4458A" w:rsidRPr="001D3D66" w:rsidRDefault="00F4458A" w:rsidP="001C788F">
            <w:pPr>
              <w:rPr>
                <w:rFonts w:ascii="Arial" w:hAnsi="Arial" w:cs="Arial"/>
                <w:b/>
                <w:bCs/>
              </w:rPr>
            </w:pPr>
            <w:r w:rsidRPr="001D3D66">
              <w:rPr>
                <w:rFonts w:ascii="Arial" w:hAnsi="Arial" w:cs="Arial"/>
                <w:b/>
                <w:bCs/>
              </w:rPr>
              <w:t>Country / Section</w:t>
            </w:r>
          </w:p>
        </w:tc>
        <w:tc>
          <w:tcPr>
            <w:tcW w:w="1984" w:type="dxa"/>
            <w:shd w:val="clear" w:color="auto" w:fill="FFC000" w:themeFill="accent4"/>
          </w:tcPr>
          <w:p w14:paraId="6CA99F29" w14:textId="77777777" w:rsidR="00F4458A" w:rsidRPr="001D3D66" w:rsidRDefault="00F4458A" w:rsidP="001C788F">
            <w:pPr>
              <w:rPr>
                <w:rFonts w:ascii="Arial" w:hAnsi="Arial" w:cs="Arial"/>
                <w:b/>
                <w:bCs/>
              </w:rPr>
            </w:pPr>
            <w:r w:rsidRPr="001D3D66">
              <w:rPr>
                <w:rFonts w:ascii="Arial" w:hAnsi="Arial" w:cs="Arial"/>
                <w:b/>
                <w:bCs/>
              </w:rPr>
              <w:t>Model/Approach</w:t>
            </w:r>
          </w:p>
        </w:tc>
        <w:tc>
          <w:tcPr>
            <w:tcW w:w="4253" w:type="dxa"/>
            <w:shd w:val="clear" w:color="auto" w:fill="FFC000" w:themeFill="accent4"/>
          </w:tcPr>
          <w:p w14:paraId="424BE9AC" w14:textId="77777777" w:rsidR="00F4458A" w:rsidRPr="001D3D66" w:rsidRDefault="00F4458A" w:rsidP="001C788F">
            <w:pPr>
              <w:rPr>
                <w:rFonts w:ascii="Arial" w:hAnsi="Arial" w:cs="Arial"/>
                <w:b/>
                <w:bCs/>
              </w:rPr>
            </w:pPr>
            <w:r w:rsidRPr="001D3D66">
              <w:rPr>
                <w:rFonts w:ascii="Arial" w:hAnsi="Arial" w:cs="Arial"/>
                <w:b/>
                <w:bCs/>
              </w:rPr>
              <w:t>Key Features</w:t>
            </w:r>
          </w:p>
        </w:tc>
      </w:tr>
      <w:tr w:rsidR="00F4458A" w:rsidRPr="001D3D66" w14:paraId="630280F7" w14:textId="77777777" w:rsidTr="00F4458A">
        <w:tc>
          <w:tcPr>
            <w:tcW w:w="2552" w:type="dxa"/>
            <w:shd w:val="clear" w:color="auto" w:fill="9CC2E5" w:themeFill="accent5" w:themeFillTint="99"/>
          </w:tcPr>
          <w:p w14:paraId="2135ED35" w14:textId="77777777" w:rsidR="00F4458A" w:rsidRPr="001D3D66" w:rsidRDefault="00F4458A" w:rsidP="001C788F">
            <w:pPr>
              <w:rPr>
                <w:rFonts w:ascii="Arial" w:hAnsi="Arial" w:cs="Arial"/>
                <w:sz w:val="20"/>
                <w:szCs w:val="20"/>
              </w:rPr>
            </w:pPr>
            <w:r w:rsidRPr="001D3D66">
              <w:rPr>
                <w:rFonts w:ascii="Arial" w:hAnsi="Arial" w:cs="Arial"/>
                <w:sz w:val="20"/>
                <w:szCs w:val="20"/>
              </w:rPr>
              <w:t>Australia</w:t>
            </w:r>
          </w:p>
        </w:tc>
        <w:tc>
          <w:tcPr>
            <w:tcW w:w="1984" w:type="dxa"/>
            <w:shd w:val="clear" w:color="auto" w:fill="9CC2E5" w:themeFill="accent5" w:themeFillTint="99"/>
          </w:tcPr>
          <w:p w14:paraId="2CD9E07F" w14:textId="77777777" w:rsidR="00F4458A" w:rsidRPr="001D3D66" w:rsidRDefault="00F4458A" w:rsidP="001C788F">
            <w:pPr>
              <w:rPr>
                <w:rFonts w:ascii="Arial" w:hAnsi="Arial" w:cs="Arial"/>
                <w:sz w:val="20"/>
                <w:szCs w:val="20"/>
              </w:rPr>
            </w:pPr>
            <w:r w:rsidRPr="001D3D66">
              <w:rPr>
                <w:rFonts w:ascii="Arial" w:hAnsi="Arial" w:cs="Arial"/>
                <w:sz w:val="20"/>
                <w:szCs w:val="20"/>
              </w:rPr>
              <w:t>Headspace</w:t>
            </w:r>
          </w:p>
        </w:tc>
        <w:tc>
          <w:tcPr>
            <w:tcW w:w="4253" w:type="dxa"/>
            <w:shd w:val="clear" w:color="auto" w:fill="9CC2E5" w:themeFill="accent5" w:themeFillTint="99"/>
          </w:tcPr>
          <w:p w14:paraId="3D864499" w14:textId="77777777" w:rsidR="00F4458A" w:rsidRPr="001D3D66" w:rsidRDefault="00F4458A" w:rsidP="001C788F">
            <w:pPr>
              <w:rPr>
                <w:rFonts w:ascii="Arial" w:hAnsi="Arial" w:cs="Arial"/>
                <w:sz w:val="20"/>
                <w:szCs w:val="20"/>
              </w:rPr>
            </w:pPr>
            <w:r w:rsidRPr="001D3D66">
              <w:rPr>
                <w:rFonts w:ascii="Arial" w:hAnsi="Arial" w:cs="Arial"/>
                <w:sz w:val="20"/>
                <w:szCs w:val="20"/>
              </w:rPr>
              <w:t>Early intervention; Youth-friendly hubs</w:t>
            </w:r>
          </w:p>
        </w:tc>
      </w:tr>
      <w:tr w:rsidR="00F4458A" w:rsidRPr="001D3D66" w14:paraId="2304A720" w14:textId="77777777" w:rsidTr="00F4458A">
        <w:tc>
          <w:tcPr>
            <w:tcW w:w="2552" w:type="dxa"/>
            <w:shd w:val="clear" w:color="auto" w:fill="9CC2E5" w:themeFill="accent5" w:themeFillTint="99"/>
          </w:tcPr>
          <w:p w14:paraId="721A6655" w14:textId="77777777" w:rsidR="00F4458A" w:rsidRPr="001D3D66" w:rsidRDefault="00F4458A" w:rsidP="001C788F">
            <w:pPr>
              <w:rPr>
                <w:rFonts w:ascii="Arial" w:hAnsi="Arial" w:cs="Arial"/>
                <w:sz w:val="20"/>
                <w:szCs w:val="20"/>
              </w:rPr>
            </w:pPr>
            <w:r w:rsidRPr="001D3D66">
              <w:rPr>
                <w:rFonts w:ascii="Arial" w:hAnsi="Arial" w:cs="Arial"/>
                <w:sz w:val="20"/>
                <w:szCs w:val="20"/>
              </w:rPr>
              <w:t>Finland</w:t>
            </w:r>
          </w:p>
        </w:tc>
        <w:tc>
          <w:tcPr>
            <w:tcW w:w="1984" w:type="dxa"/>
            <w:shd w:val="clear" w:color="auto" w:fill="9CC2E5" w:themeFill="accent5" w:themeFillTint="99"/>
          </w:tcPr>
          <w:p w14:paraId="79D4CC94" w14:textId="77777777" w:rsidR="00F4458A" w:rsidRPr="001D3D66" w:rsidRDefault="00F4458A" w:rsidP="001C788F">
            <w:pPr>
              <w:rPr>
                <w:rFonts w:ascii="Arial" w:hAnsi="Arial" w:cs="Arial"/>
                <w:sz w:val="20"/>
                <w:szCs w:val="20"/>
              </w:rPr>
            </w:pPr>
            <w:r w:rsidRPr="001D3D66">
              <w:rPr>
                <w:rFonts w:ascii="Arial" w:hAnsi="Arial" w:cs="Arial"/>
                <w:sz w:val="20"/>
                <w:szCs w:val="20"/>
              </w:rPr>
              <w:t>Open Dialogue</w:t>
            </w:r>
          </w:p>
        </w:tc>
        <w:tc>
          <w:tcPr>
            <w:tcW w:w="4253" w:type="dxa"/>
            <w:shd w:val="clear" w:color="auto" w:fill="9CC2E5" w:themeFill="accent5" w:themeFillTint="99"/>
          </w:tcPr>
          <w:p w14:paraId="73B933C9" w14:textId="77777777" w:rsidR="00F4458A" w:rsidRPr="001D3D66" w:rsidRDefault="00F4458A" w:rsidP="001C788F">
            <w:pPr>
              <w:rPr>
                <w:rFonts w:ascii="Arial" w:hAnsi="Arial" w:cs="Arial"/>
                <w:sz w:val="20"/>
                <w:szCs w:val="20"/>
              </w:rPr>
            </w:pPr>
            <w:r w:rsidRPr="001D3D66">
              <w:rPr>
                <w:rFonts w:ascii="Arial" w:hAnsi="Arial" w:cs="Arial"/>
                <w:sz w:val="20"/>
                <w:szCs w:val="20"/>
              </w:rPr>
              <w:t>Family involvement; Shared decision-making</w:t>
            </w:r>
          </w:p>
        </w:tc>
      </w:tr>
      <w:tr w:rsidR="00F4458A" w:rsidRPr="001D3D66" w14:paraId="24775ADE" w14:textId="77777777" w:rsidTr="00F4458A">
        <w:tc>
          <w:tcPr>
            <w:tcW w:w="2552" w:type="dxa"/>
            <w:shd w:val="clear" w:color="auto" w:fill="9CC2E5" w:themeFill="accent5" w:themeFillTint="99"/>
          </w:tcPr>
          <w:p w14:paraId="048C28E8" w14:textId="77777777" w:rsidR="00F4458A" w:rsidRPr="001D3D66" w:rsidRDefault="00F4458A" w:rsidP="001C788F">
            <w:pPr>
              <w:rPr>
                <w:rFonts w:ascii="Arial" w:hAnsi="Arial" w:cs="Arial"/>
                <w:sz w:val="20"/>
                <w:szCs w:val="20"/>
              </w:rPr>
            </w:pPr>
            <w:r w:rsidRPr="001D3D66">
              <w:rPr>
                <w:rFonts w:ascii="Arial" w:hAnsi="Arial" w:cs="Arial"/>
                <w:sz w:val="20"/>
                <w:szCs w:val="20"/>
              </w:rPr>
              <w:t>Netherlands</w:t>
            </w:r>
          </w:p>
        </w:tc>
        <w:tc>
          <w:tcPr>
            <w:tcW w:w="1984" w:type="dxa"/>
            <w:shd w:val="clear" w:color="auto" w:fill="9CC2E5" w:themeFill="accent5" w:themeFillTint="99"/>
          </w:tcPr>
          <w:p w14:paraId="1009FB31" w14:textId="77777777" w:rsidR="00F4458A" w:rsidRPr="001D3D66" w:rsidRDefault="00F4458A" w:rsidP="001C788F">
            <w:pPr>
              <w:rPr>
                <w:rFonts w:ascii="Arial" w:hAnsi="Arial" w:cs="Arial"/>
                <w:sz w:val="20"/>
                <w:szCs w:val="20"/>
              </w:rPr>
            </w:pPr>
            <w:r w:rsidRPr="001D3D66">
              <w:rPr>
                <w:rFonts w:ascii="Arial" w:hAnsi="Arial" w:cs="Arial"/>
                <w:sz w:val="20"/>
                <w:szCs w:val="20"/>
              </w:rPr>
              <w:t>FACT</w:t>
            </w:r>
          </w:p>
        </w:tc>
        <w:tc>
          <w:tcPr>
            <w:tcW w:w="4253" w:type="dxa"/>
            <w:shd w:val="clear" w:color="auto" w:fill="9CC2E5" w:themeFill="accent5" w:themeFillTint="99"/>
          </w:tcPr>
          <w:p w14:paraId="69F62F09" w14:textId="77777777" w:rsidR="00F4458A" w:rsidRPr="001D3D66" w:rsidRDefault="00F4458A" w:rsidP="001C788F">
            <w:pPr>
              <w:rPr>
                <w:rFonts w:ascii="Arial" w:hAnsi="Arial" w:cs="Arial"/>
                <w:sz w:val="20"/>
                <w:szCs w:val="20"/>
              </w:rPr>
            </w:pPr>
            <w:r w:rsidRPr="001D3D66">
              <w:rPr>
                <w:rFonts w:ascii="Arial" w:hAnsi="Arial" w:cs="Arial"/>
                <w:sz w:val="20"/>
                <w:szCs w:val="20"/>
              </w:rPr>
              <w:t>Flexible intensity care; Continuity</w:t>
            </w:r>
          </w:p>
        </w:tc>
      </w:tr>
      <w:tr w:rsidR="00F4458A" w:rsidRPr="001D3D66" w14:paraId="0072D8C6" w14:textId="77777777" w:rsidTr="00F4458A">
        <w:tc>
          <w:tcPr>
            <w:tcW w:w="2552" w:type="dxa"/>
            <w:shd w:val="clear" w:color="auto" w:fill="9CC2E5" w:themeFill="accent5" w:themeFillTint="99"/>
          </w:tcPr>
          <w:p w14:paraId="11E5AE06" w14:textId="77777777" w:rsidR="00F4458A" w:rsidRPr="001D3D66" w:rsidRDefault="00F4458A" w:rsidP="001C788F">
            <w:pPr>
              <w:rPr>
                <w:rFonts w:ascii="Arial" w:hAnsi="Arial" w:cs="Arial"/>
                <w:sz w:val="20"/>
                <w:szCs w:val="20"/>
              </w:rPr>
            </w:pPr>
            <w:r w:rsidRPr="001D3D66">
              <w:rPr>
                <w:rFonts w:ascii="Arial" w:hAnsi="Arial" w:cs="Arial"/>
                <w:sz w:val="20"/>
                <w:szCs w:val="20"/>
              </w:rPr>
              <w:t>Canada</w:t>
            </w:r>
          </w:p>
        </w:tc>
        <w:tc>
          <w:tcPr>
            <w:tcW w:w="1984" w:type="dxa"/>
            <w:shd w:val="clear" w:color="auto" w:fill="9CC2E5" w:themeFill="accent5" w:themeFillTint="99"/>
          </w:tcPr>
          <w:p w14:paraId="3351D893" w14:textId="77777777" w:rsidR="00F4458A" w:rsidRPr="001D3D66" w:rsidRDefault="00F4458A" w:rsidP="001C788F">
            <w:pPr>
              <w:rPr>
                <w:rFonts w:ascii="Arial" w:hAnsi="Arial" w:cs="Arial"/>
                <w:sz w:val="20"/>
                <w:szCs w:val="20"/>
              </w:rPr>
            </w:pPr>
            <w:r w:rsidRPr="001D3D66">
              <w:rPr>
                <w:rFonts w:ascii="Arial" w:hAnsi="Arial" w:cs="Arial"/>
                <w:sz w:val="20"/>
                <w:szCs w:val="20"/>
              </w:rPr>
              <w:t>Housing First</w:t>
            </w:r>
          </w:p>
        </w:tc>
        <w:tc>
          <w:tcPr>
            <w:tcW w:w="4253" w:type="dxa"/>
            <w:shd w:val="clear" w:color="auto" w:fill="9CC2E5" w:themeFill="accent5" w:themeFillTint="99"/>
          </w:tcPr>
          <w:p w14:paraId="65EE4250" w14:textId="77777777" w:rsidR="00F4458A" w:rsidRPr="001D3D66" w:rsidRDefault="00F4458A" w:rsidP="001C788F">
            <w:pPr>
              <w:rPr>
                <w:rFonts w:ascii="Arial" w:hAnsi="Arial" w:cs="Arial"/>
                <w:sz w:val="20"/>
                <w:szCs w:val="20"/>
              </w:rPr>
            </w:pPr>
            <w:r w:rsidRPr="001D3D66">
              <w:rPr>
                <w:rFonts w:ascii="Arial" w:hAnsi="Arial" w:cs="Arial"/>
                <w:sz w:val="20"/>
                <w:szCs w:val="20"/>
              </w:rPr>
              <w:t>Housing + mental health; Social recovery</w:t>
            </w:r>
          </w:p>
        </w:tc>
      </w:tr>
      <w:tr w:rsidR="00F4458A" w:rsidRPr="001D3D66" w14:paraId="0E6F8BC5" w14:textId="77777777" w:rsidTr="00F4458A">
        <w:tc>
          <w:tcPr>
            <w:tcW w:w="8789" w:type="dxa"/>
            <w:gridSpan w:val="3"/>
            <w:shd w:val="clear" w:color="auto" w:fill="FFC000" w:themeFill="accent4"/>
          </w:tcPr>
          <w:p w14:paraId="50F2D203" w14:textId="77777777" w:rsidR="00F4458A" w:rsidRPr="001D3D66" w:rsidRDefault="00F4458A" w:rsidP="001C788F">
            <w:pPr>
              <w:rPr>
                <w:rFonts w:ascii="Arial" w:hAnsi="Arial" w:cs="Arial"/>
                <w:b/>
                <w:bCs/>
              </w:rPr>
            </w:pPr>
            <w:r w:rsidRPr="001D3D66">
              <w:rPr>
                <w:rFonts w:ascii="Arial" w:hAnsi="Arial" w:cs="Arial"/>
                <w:b/>
                <w:bCs/>
              </w:rPr>
              <w:t>Key Lessons for the UK</w:t>
            </w:r>
          </w:p>
        </w:tc>
      </w:tr>
      <w:tr w:rsidR="00F4458A" w:rsidRPr="001D3D66" w14:paraId="10E6DE0C" w14:textId="77777777" w:rsidTr="00F4458A">
        <w:tc>
          <w:tcPr>
            <w:tcW w:w="2552" w:type="dxa"/>
            <w:shd w:val="clear" w:color="auto" w:fill="9CC2E5" w:themeFill="accent5" w:themeFillTint="99"/>
          </w:tcPr>
          <w:p w14:paraId="6851B8DD" w14:textId="77777777" w:rsidR="00F4458A" w:rsidRPr="001D3D66" w:rsidRDefault="00F4458A" w:rsidP="001C788F">
            <w:pPr>
              <w:rPr>
                <w:rFonts w:ascii="Arial" w:hAnsi="Arial" w:cs="Arial"/>
                <w:sz w:val="20"/>
                <w:szCs w:val="20"/>
              </w:rPr>
            </w:pPr>
            <w:r w:rsidRPr="001D3D66">
              <w:rPr>
                <w:rFonts w:ascii="Arial" w:hAnsi="Arial" w:cs="Arial"/>
                <w:sz w:val="20"/>
                <w:szCs w:val="20"/>
              </w:rPr>
              <w:t>Early Access</w:t>
            </w:r>
          </w:p>
        </w:tc>
        <w:tc>
          <w:tcPr>
            <w:tcW w:w="1984" w:type="dxa"/>
            <w:shd w:val="clear" w:color="auto" w:fill="9CC2E5" w:themeFill="accent5" w:themeFillTint="99"/>
          </w:tcPr>
          <w:p w14:paraId="222DEE3F" w14:textId="77777777" w:rsidR="00F4458A" w:rsidRPr="001D3D66" w:rsidRDefault="00F4458A" w:rsidP="001C788F">
            <w:pPr>
              <w:rPr>
                <w:rFonts w:ascii="Arial" w:hAnsi="Arial" w:cs="Arial"/>
                <w:sz w:val="20"/>
                <w:szCs w:val="20"/>
              </w:rPr>
            </w:pPr>
          </w:p>
        </w:tc>
        <w:tc>
          <w:tcPr>
            <w:tcW w:w="4253" w:type="dxa"/>
            <w:shd w:val="clear" w:color="auto" w:fill="9CC2E5" w:themeFill="accent5" w:themeFillTint="99"/>
          </w:tcPr>
          <w:p w14:paraId="5719B94F" w14:textId="77777777" w:rsidR="00F4458A" w:rsidRPr="001D3D66" w:rsidRDefault="00F4458A" w:rsidP="001C788F">
            <w:pPr>
              <w:rPr>
                <w:rFonts w:ascii="Arial" w:hAnsi="Arial" w:cs="Arial"/>
                <w:sz w:val="20"/>
                <w:szCs w:val="20"/>
              </w:rPr>
            </w:pPr>
            <w:r w:rsidRPr="001D3D66">
              <w:rPr>
                <w:rFonts w:ascii="Arial" w:hAnsi="Arial" w:cs="Arial"/>
                <w:sz w:val="20"/>
                <w:szCs w:val="20"/>
              </w:rPr>
              <w:t>Importance of timely support</w:t>
            </w:r>
          </w:p>
        </w:tc>
      </w:tr>
      <w:tr w:rsidR="00F4458A" w:rsidRPr="001D3D66" w14:paraId="229C1977" w14:textId="77777777" w:rsidTr="00F4458A">
        <w:tc>
          <w:tcPr>
            <w:tcW w:w="2552" w:type="dxa"/>
            <w:shd w:val="clear" w:color="auto" w:fill="9CC2E5" w:themeFill="accent5" w:themeFillTint="99"/>
          </w:tcPr>
          <w:p w14:paraId="03E13DBE" w14:textId="77777777" w:rsidR="00F4458A" w:rsidRPr="001D3D66" w:rsidRDefault="00F4458A" w:rsidP="001C788F">
            <w:pPr>
              <w:rPr>
                <w:rFonts w:ascii="Arial" w:hAnsi="Arial" w:cs="Arial"/>
                <w:sz w:val="20"/>
                <w:szCs w:val="20"/>
              </w:rPr>
            </w:pPr>
            <w:r w:rsidRPr="001D3D66">
              <w:rPr>
                <w:rFonts w:ascii="Arial" w:hAnsi="Arial" w:cs="Arial"/>
                <w:sz w:val="20"/>
                <w:szCs w:val="20"/>
              </w:rPr>
              <w:t>Continuity</w:t>
            </w:r>
          </w:p>
        </w:tc>
        <w:tc>
          <w:tcPr>
            <w:tcW w:w="1984" w:type="dxa"/>
            <w:shd w:val="clear" w:color="auto" w:fill="9CC2E5" w:themeFill="accent5" w:themeFillTint="99"/>
          </w:tcPr>
          <w:p w14:paraId="730A4B28" w14:textId="77777777" w:rsidR="00F4458A" w:rsidRPr="001D3D66" w:rsidRDefault="00F4458A" w:rsidP="001C788F">
            <w:pPr>
              <w:rPr>
                <w:rFonts w:ascii="Arial" w:hAnsi="Arial" w:cs="Arial"/>
                <w:sz w:val="20"/>
                <w:szCs w:val="20"/>
              </w:rPr>
            </w:pPr>
          </w:p>
        </w:tc>
        <w:tc>
          <w:tcPr>
            <w:tcW w:w="4253" w:type="dxa"/>
            <w:shd w:val="clear" w:color="auto" w:fill="9CC2E5" w:themeFill="accent5" w:themeFillTint="99"/>
          </w:tcPr>
          <w:p w14:paraId="6CF23304" w14:textId="77777777" w:rsidR="00F4458A" w:rsidRPr="001D3D66" w:rsidRDefault="00F4458A" w:rsidP="001C788F">
            <w:pPr>
              <w:rPr>
                <w:rFonts w:ascii="Arial" w:hAnsi="Arial" w:cs="Arial"/>
                <w:sz w:val="20"/>
                <w:szCs w:val="20"/>
              </w:rPr>
            </w:pPr>
            <w:r w:rsidRPr="001D3D66">
              <w:rPr>
                <w:rFonts w:ascii="Arial" w:hAnsi="Arial" w:cs="Arial"/>
                <w:sz w:val="20"/>
                <w:szCs w:val="20"/>
              </w:rPr>
              <w:t>Ongoing, consistent care</w:t>
            </w:r>
          </w:p>
        </w:tc>
      </w:tr>
      <w:tr w:rsidR="00F4458A" w:rsidRPr="001D3D66" w14:paraId="62EA1CA2" w14:textId="77777777" w:rsidTr="00F4458A">
        <w:tc>
          <w:tcPr>
            <w:tcW w:w="2552" w:type="dxa"/>
            <w:shd w:val="clear" w:color="auto" w:fill="9CC2E5" w:themeFill="accent5" w:themeFillTint="99"/>
          </w:tcPr>
          <w:p w14:paraId="5989AB31" w14:textId="77777777" w:rsidR="00F4458A" w:rsidRPr="001D3D66" w:rsidRDefault="00F4458A" w:rsidP="001C788F">
            <w:pPr>
              <w:rPr>
                <w:rFonts w:ascii="Arial" w:hAnsi="Arial" w:cs="Arial"/>
                <w:sz w:val="20"/>
                <w:szCs w:val="20"/>
              </w:rPr>
            </w:pPr>
            <w:r w:rsidRPr="001D3D66">
              <w:rPr>
                <w:rFonts w:ascii="Arial" w:hAnsi="Arial" w:cs="Arial"/>
                <w:sz w:val="20"/>
                <w:szCs w:val="20"/>
              </w:rPr>
              <w:t>Social Support</w:t>
            </w:r>
          </w:p>
        </w:tc>
        <w:tc>
          <w:tcPr>
            <w:tcW w:w="1984" w:type="dxa"/>
            <w:shd w:val="clear" w:color="auto" w:fill="9CC2E5" w:themeFill="accent5" w:themeFillTint="99"/>
          </w:tcPr>
          <w:p w14:paraId="11796326" w14:textId="77777777" w:rsidR="00F4458A" w:rsidRPr="001D3D66" w:rsidRDefault="00F4458A" w:rsidP="001C788F">
            <w:pPr>
              <w:rPr>
                <w:rFonts w:ascii="Arial" w:hAnsi="Arial" w:cs="Arial"/>
                <w:sz w:val="20"/>
                <w:szCs w:val="20"/>
              </w:rPr>
            </w:pPr>
          </w:p>
        </w:tc>
        <w:tc>
          <w:tcPr>
            <w:tcW w:w="4253" w:type="dxa"/>
            <w:shd w:val="clear" w:color="auto" w:fill="9CC2E5" w:themeFill="accent5" w:themeFillTint="99"/>
          </w:tcPr>
          <w:p w14:paraId="78DD754E" w14:textId="77777777" w:rsidR="00F4458A" w:rsidRPr="001D3D66" w:rsidRDefault="00F4458A" w:rsidP="001C788F">
            <w:pPr>
              <w:rPr>
                <w:rFonts w:ascii="Arial" w:hAnsi="Arial" w:cs="Arial"/>
                <w:sz w:val="20"/>
                <w:szCs w:val="20"/>
              </w:rPr>
            </w:pPr>
            <w:r w:rsidRPr="001D3D66">
              <w:rPr>
                <w:rFonts w:ascii="Arial" w:hAnsi="Arial" w:cs="Arial"/>
                <w:sz w:val="20"/>
                <w:szCs w:val="20"/>
              </w:rPr>
              <w:t>Integration of social services</w:t>
            </w:r>
          </w:p>
        </w:tc>
      </w:tr>
      <w:tr w:rsidR="00F4458A" w:rsidRPr="001D3D66" w14:paraId="486A8E69" w14:textId="77777777" w:rsidTr="00F4458A">
        <w:tc>
          <w:tcPr>
            <w:tcW w:w="2552" w:type="dxa"/>
            <w:shd w:val="clear" w:color="auto" w:fill="9CC2E5" w:themeFill="accent5" w:themeFillTint="99"/>
          </w:tcPr>
          <w:p w14:paraId="4A5950E3" w14:textId="77777777" w:rsidR="00F4458A" w:rsidRPr="001D3D66" w:rsidRDefault="00F4458A" w:rsidP="001C788F">
            <w:pPr>
              <w:rPr>
                <w:rFonts w:ascii="Arial" w:hAnsi="Arial" w:cs="Arial"/>
                <w:sz w:val="20"/>
                <w:szCs w:val="20"/>
              </w:rPr>
            </w:pPr>
            <w:r w:rsidRPr="001D3D66">
              <w:rPr>
                <w:rFonts w:ascii="Arial" w:hAnsi="Arial" w:cs="Arial"/>
                <w:sz w:val="20"/>
                <w:szCs w:val="20"/>
              </w:rPr>
              <w:t>Cultural Responsiveness</w:t>
            </w:r>
          </w:p>
        </w:tc>
        <w:tc>
          <w:tcPr>
            <w:tcW w:w="1984" w:type="dxa"/>
            <w:shd w:val="clear" w:color="auto" w:fill="9CC2E5" w:themeFill="accent5" w:themeFillTint="99"/>
          </w:tcPr>
          <w:p w14:paraId="5F80ECBB" w14:textId="77777777" w:rsidR="00F4458A" w:rsidRPr="001D3D66" w:rsidRDefault="00F4458A" w:rsidP="001C788F">
            <w:pPr>
              <w:rPr>
                <w:rFonts w:ascii="Arial" w:hAnsi="Arial" w:cs="Arial"/>
                <w:sz w:val="20"/>
                <w:szCs w:val="20"/>
              </w:rPr>
            </w:pPr>
          </w:p>
        </w:tc>
        <w:tc>
          <w:tcPr>
            <w:tcW w:w="4253" w:type="dxa"/>
            <w:shd w:val="clear" w:color="auto" w:fill="9CC2E5" w:themeFill="accent5" w:themeFillTint="99"/>
          </w:tcPr>
          <w:p w14:paraId="70069AB9" w14:textId="77777777" w:rsidR="00F4458A" w:rsidRPr="001D3D66" w:rsidRDefault="00F4458A" w:rsidP="001C788F">
            <w:pPr>
              <w:rPr>
                <w:rFonts w:ascii="Arial" w:hAnsi="Arial" w:cs="Arial"/>
                <w:sz w:val="20"/>
                <w:szCs w:val="20"/>
              </w:rPr>
            </w:pPr>
            <w:r w:rsidRPr="001D3D66">
              <w:rPr>
                <w:rFonts w:ascii="Arial" w:hAnsi="Arial" w:cs="Arial"/>
                <w:sz w:val="20"/>
                <w:szCs w:val="20"/>
              </w:rPr>
              <w:t>Services tailored to diverse populations</w:t>
            </w:r>
          </w:p>
        </w:tc>
      </w:tr>
    </w:tbl>
    <w:p w14:paraId="31206AFF" w14:textId="6BE40393" w:rsidR="00610101" w:rsidRDefault="00F4458A" w:rsidP="00610101">
      <w:pPr>
        <w:spacing w:before="100" w:beforeAutospacing="1" w:after="100" w:afterAutospacing="1" w:line="240" w:lineRule="auto"/>
        <w:rPr>
          <w:rFonts w:ascii="Arial" w:hAnsi="Arial" w:cs="Arial"/>
          <w:color w:val="000000" w:themeColor="text1"/>
          <w:sz w:val="18"/>
          <w:szCs w:val="18"/>
        </w:rPr>
      </w:pPr>
      <w:r w:rsidRPr="00650C77">
        <w:rPr>
          <w:rFonts w:ascii="Arial" w:hAnsi="Arial" w:cs="Arial"/>
          <w:color w:val="000000" w:themeColor="text1"/>
          <w:sz w:val="18"/>
          <w:szCs w:val="18"/>
        </w:rPr>
        <w:t xml:space="preserve">Sources: Rickwood et al., 2019; van Veldhuizen, 2007; </w:t>
      </w:r>
      <w:proofErr w:type="spellStart"/>
      <w:r w:rsidRPr="00650C77">
        <w:rPr>
          <w:rFonts w:ascii="Arial" w:hAnsi="Arial" w:cs="Arial"/>
          <w:color w:val="000000" w:themeColor="text1"/>
          <w:sz w:val="18"/>
          <w:szCs w:val="18"/>
        </w:rPr>
        <w:t>Seikkula</w:t>
      </w:r>
      <w:proofErr w:type="spellEnd"/>
      <w:r w:rsidRPr="00650C77">
        <w:rPr>
          <w:rFonts w:ascii="Arial" w:hAnsi="Arial" w:cs="Arial"/>
          <w:color w:val="000000" w:themeColor="text1"/>
          <w:sz w:val="18"/>
          <w:szCs w:val="18"/>
        </w:rPr>
        <w:t xml:space="preserve"> et al., 2011; Goering et al., 2014; OECD, 2022; WHO, 2021).</w:t>
      </w:r>
    </w:p>
    <w:p w14:paraId="360921FD" w14:textId="77777777" w:rsidR="00F4458A" w:rsidRDefault="00F4458A" w:rsidP="00610101">
      <w:pPr>
        <w:spacing w:before="100" w:beforeAutospacing="1" w:after="100" w:afterAutospacing="1" w:line="240" w:lineRule="auto"/>
        <w:rPr>
          <w:rFonts w:ascii="Arial" w:hAnsi="Arial" w:cs="Arial"/>
          <w:color w:val="000000" w:themeColor="text1"/>
          <w:sz w:val="18"/>
          <w:szCs w:val="18"/>
        </w:rPr>
      </w:pPr>
    </w:p>
    <w:p w14:paraId="4BAD5E9B" w14:textId="77777777" w:rsidR="00F4458A" w:rsidRPr="00650C77" w:rsidRDefault="00F4458A" w:rsidP="00610101">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6F64DD3F" w14:textId="77777777" w:rsidR="00F4458A" w:rsidRDefault="00F4458A" w:rsidP="00610101">
      <w:pPr>
        <w:spacing w:before="100" w:beforeAutospacing="1" w:after="100" w:afterAutospacing="1" w:line="360" w:lineRule="auto"/>
        <w:jc w:val="both"/>
        <w:outlineLvl w:val="1"/>
        <w:rPr>
          <w:rFonts w:ascii="Arial" w:eastAsia="Times New Roman" w:hAnsi="Arial" w:cs="Arial"/>
          <w:b/>
          <w:bCs/>
          <w:color w:val="000000" w:themeColor="text1"/>
          <w:kern w:val="0"/>
          <w:sz w:val="28"/>
          <w:szCs w:val="28"/>
          <w:lang w:eastAsia="en-GB"/>
          <w14:ligatures w14:val="none"/>
        </w:rPr>
      </w:pPr>
    </w:p>
    <w:p w14:paraId="28BE189D" w14:textId="256A0595" w:rsidR="00610101" w:rsidRPr="00650C77" w:rsidRDefault="00610101" w:rsidP="00610101">
      <w:pPr>
        <w:spacing w:before="100" w:beforeAutospacing="1" w:after="100" w:afterAutospacing="1" w:line="360" w:lineRule="auto"/>
        <w:jc w:val="both"/>
        <w:outlineLvl w:val="1"/>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lastRenderedPageBreak/>
        <w:t>2.</w:t>
      </w:r>
      <w:r w:rsidR="002A42EA">
        <w:rPr>
          <w:rFonts w:ascii="Arial" w:eastAsia="Times New Roman" w:hAnsi="Arial" w:cs="Arial"/>
          <w:b/>
          <w:bCs/>
          <w:color w:val="000000" w:themeColor="text1"/>
          <w:kern w:val="0"/>
          <w:sz w:val="28"/>
          <w:szCs w:val="28"/>
          <w:lang w:eastAsia="en-GB"/>
          <w14:ligatures w14:val="none"/>
        </w:rPr>
        <w:t>6</w:t>
      </w:r>
      <w:r w:rsidRPr="00650C77">
        <w:rPr>
          <w:rFonts w:ascii="Arial" w:eastAsia="Times New Roman" w:hAnsi="Arial" w:cs="Arial"/>
          <w:b/>
          <w:bCs/>
          <w:color w:val="000000" w:themeColor="text1"/>
          <w:kern w:val="0"/>
          <w:sz w:val="28"/>
          <w:szCs w:val="28"/>
          <w:lang w:eastAsia="en-GB"/>
          <w14:ligatures w14:val="none"/>
        </w:rPr>
        <w:t xml:space="preserve"> National and Local UK Context:</w:t>
      </w:r>
    </w:p>
    <w:p w14:paraId="1FC3070B" w14:textId="77777777" w:rsidR="00610101" w:rsidRPr="00650C77" w:rsidRDefault="00610101" w:rsidP="0061010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The UK’s approach to schizophrenia care is shaped by national policy frameworks, regional implementation strategies, and local service-level innovations — all of which must be analysed to assess effectiveness and accessibility.</w:t>
      </w:r>
    </w:p>
    <w:p w14:paraId="17F1F9D4" w14:textId="31C5D6C2" w:rsidR="00610101" w:rsidRPr="00650C77"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7"/>
          <w:szCs w:val="27"/>
          <w:lang w:eastAsia="en-GB"/>
          <w14:ligatures w14:val="none"/>
        </w:rPr>
      </w:pPr>
      <w:r w:rsidRPr="00650C77">
        <w:rPr>
          <w:rFonts w:ascii="Arial" w:eastAsia="Times New Roman" w:hAnsi="Arial" w:cs="Arial"/>
          <w:b/>
          <w:bCs/>
          <w:color w:val="000000" w:themeColor="text1"/>
          <w:kern w:val="0"/>
          <w:sz w:val="27"/>
          <w:szCs w:val="27"/>
          <w:lang w:eastAsia="en-GB"/>
          <w14:ligatures w14:val="none"/>
        </w:rPr>
        <w:t>2.</w:t>
      </w:r>
      <w:r w:rsidR="002A42EA">
        <w:rPr>
          <w:rFonts w:ascii="Arial" w:eastAsia="Times New Roman" w:hAnsi="Arial" w:cs="Arial"/>
          <w:b/>
          <w:bCs/>
          <w:color w:val="000000" w:themeColor="text1"/>
          <w:kern w:val="0"/>
          <w:sz w:val="27"/>
          <w:szCs w:val="27"/>
          <w:lang w:eastAsia="en-GB"/>
          <w14:ligatures w14:val="none"/>
        </w:rPr>
        <w:t>6</w:t>
      </w:r>
      <w:r w:rsidRPr="00650C77">
        <w:rPr>
          <w:rFonts w:ascii="Arial" w:eastAsia="Times New Roman" w:hAnsi="Arial" w:cs="Arial"/>
          <w:b/>
          <w:bCs/>
          <w:color w:val="000000" w:themeColor="text1"/>
          <w:kern w:val="0"/>
          <w:sz w:val="27"/>
          <w:szCs w:val="27"/>
          <w:lang w:eastAsia="en-GB"/>
          <w14:ligatures w14:val="none"/>
        </w:rPr>
        <w:t>.1 National Policy Frameworks:</w:t>
      </w:r>
    </w:p>
    <w:p w14:paraId="71649DCB" w14:textId="32F8CFE8" w:rsidR="002E1BA2" w:rsidRPr="00650C77" w:rsidRDefault="0081298D" w:rsidP="00610101">
      <w:pPr>
        <w:spacing w:before="100" w:beforeAutospacing="1" w:after="100" w:afterAutospacing="1" w:line="360" w:lineRule="auto"/>
        <w:jc w:val="both"/>
        <w:outlineLvl w:val="2"/>
        <w:rPr>
          <w:rFonts w:ascii="Arial" w:hAnsi="Arial" w:cs="Arial"/>
          <w:color w:val="000000" w:themeColor="text1"/>
        </w:rPr>
      </w:pPr>
      <w:r w:rsidRPr="00650C77">
        <w:rPr>
          <w:rFonts w:ascii="Arial" w:hAnsi="Arial" w:cs="Arial"/>
          <w:color w:val="000000" w:themeColor="text1"/>
        </w:rPr>
        <w:t xml:space="preserve">The </w:t>
      </w:r>
      <w:r w:rsidRPr="00650C77">
        <w:rPr>
          <w:rStyle w:val="whitespace-normal"/>
          <w:rFonts w:ascii="Arial" w:hAnsi="Arial" w:cs="Arial"/>
          <w:color w:val="000000" w:themeColor="text1"/>
        </w:rPr>
        <w:t>NHS</w:t>
      </w:r>
      <w:r w:rsidRPr="00650C77">
        <w:rPr>
          <w:rFonts w:ascii="Arial" w:hAnsi="Arial" w:cs="Arial"/>
          <w:color w:val="000000" w:themeColor="text1"/>
        </w:rPr>
        <w:t xml:space="preserve"> Long Term Plan committed £2.3 billion annually to improve mental health services like EIP and CBT, aiming for 60% of psychosis patients to be treated within two weeks. However, only 43% of Trusts meet this target (NHS England, 2019; </w:t>
      </w:r>
      <w:proofErr w:type="spellStart"/>
      <w:r w:rsidRPr="00650C77">
        <w:rPr>
          <w:rFonts w:ascii="Arial" w:hAnsi="Arial" w:cs="Arial"/>
          <w:color w:val="000000" w:themeColor="text1"/>
        </w:rPr>
        <w:t>RCPsych</w:t>
      </w:r>
      <w:proofErr w:type="spellEnd"/>
      <w:r w:rsidRPr="00650C77">
        <w:rPr>
          <w:rFonts w:ascii="Arial" w:hAnsi="Arial" w:cs="Arial"/>
          <w:color w:val="000000" w:themeColor="text1"/>
        </w:rPr>
        <w:t>, 2024). The Mental Health Act Reform White Paper aimed to reduce inequalities, but was not fully implemented by 2025 (</w:t>
      </w:r>
      <w:proofErr w:type="spellStart"/>
      <w:r w:rsidRPr="00650C77">
        <w:rPr>
          <w:rFonts w:ascii="Arial" w:hAnsi="Arial" w:cs="Arial"/>
          <w:color w:val="000000" w:themeColor="text1"/>
        </w:rPr>
        <w:t>DoHSC</w:t>
      </w:r>
      <w:proofErr w:type="spellEnd"/>
      <w:r w:rsidRPr="00650C77">
        <w:rPr>
          <w:rFonts w:ascii="Arial" w:hAnsi="Arial" w:cs="Arial"/>
          <w:color w:val="000000" w:themeColor="text1"/>
        </w:rPr>
        <w:t>, 2025). Inequalities remain, with Black men over four times more likely to be detained (</w:t>
      </w:r>
      <w:proofErr w:type="spellStart"/>
      <w:r w:rsidRPr="00650C77">
        <w:rPr>
          <w:rFonts w:ascii="Arial" w:hAnsi="Arial" w:cs="Arial"/>
          <w:color w:val="000000" w:themeColor="text1"/>
        </w:rPr>
        <w:t>Bhui</w:t>
      </w:r>
      <w:proofErr w:type="spellEnd"/>
      <w:r w:rsidRPr="00650C77">
        <w:rPr>
          <w:rFonts w:ascii="Arial" w:hAnsi="Arial" w:cs="Arial"/>
          <w:color w:val="000000" w:themeColor="text1"/>
        </w:rPr>
        <w:t xml:space="preserve"> et al., 2022). Integrated Care Systems aim to improve coordination, but face funding and leadership challenges (NHS Confederation, 2023).</w:t>
      </w:r>
    </w:p>
    <w:p w14:paraId="310B9415" w14:textId="7DF12B24" w:rsidR="00610101" w:rsidRPr="00650C77"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7"/>
          <w:szCs w:val="27"/>
          <w:lang w:eastAsia="en-GB"/>
          <w14:ligatures w14:val="none"/>
        </w:rPr>
      </w:pPr>
      <w:r w:rsidRPr="00650C77">
        <w:rPr>
          <w:rFonts w:ascii="Arial" w:eastAsia="Times New Roman" w:hAnsi="Arial" w:cs="Arial"/>
          <w:b/>
          <w:bCs/>
          <w:color w:val="000000" w:themeColor="text1"/>
          <w:kern w:val="0"/>
          <w:sz w:val="27"/>
          <w:szCs w:val="27"/>
          <w:lang w:eastAsia="en-GB"/>
          <w14:ligatures w14:val="none"/>
        </w:rPr>
        <w:t>2.</w:t>
      </w:r>
      <w:r w:rsidR="002A42EA">
        <w:rPr>
          <w:rFonts w:ascii="Arial" w:eastAsia="Times New Roman" w:hAnsi="Arial" w:cs="Arial"/>
          <w:b/>
          <w:bCs/>
          <w:color w:val="000000" w:themeColor="text1"/>
          <w:kern w:val="0"/>
          <w:sz w:val="27"/>
          <w:szCs w:val="27"/>
          <w:lang w:eastAsia="en-GB"/>
          <w14:ligatures w14:val="none"/>
        </w:rPr>
        <w:t>6</w:t>
      </w:r>
      <w:r w:rsidRPr="00650C77">
        <w:rPr>
          <w:rFonts w:ascii="Arial" w:eastAsia="Times New Roman" w:hAnsi="Arial" w:cs="Arial"/>
          <w:b/>
          <w:bCs/>
          <w:color w:val="000000" w:themeColor="text1"/>
          <w:kern w:val="0"/>
          <w:sz w:val="27"/>
          <w:szCs w:val="27"/>
          <w:lang w:eastAsia="en-GB"/>
          <w14:ligatures w14:val="none"/>
        </w:rPr>
        <w:t>.2 Local and Regional Implementation</w:t>
      </w:r>
    </w:p>
    <w:p w14:paraId="6376B11A" w14:textId="77777777" w:rsidR="00894180" w:rsidRPr="00650C77" w:rsidRDefault="00894180" w:rsidP="0089418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There is variation in service quality across UK regions:</w:t>
      </w:r>
    </w:p>
    <w:p w14:paraId="0BC432C5" w14:textId="77777777" w:rsidR="00894180" w:rsidRPr="00650C77" w:rsidRDefault="00894180" w:rsidP="00894180">
      <w:pPr>
        <w:pStyle w:val="NormalWeb"/>
        <w:numPr>
          <w:ilvl w:val="0"/>
          <w:numId w:val="2"/>
        </w:numPr>
        <w:spacing w:line="360" w:lineRule="auto"/>
        <w:jc w:val="both"/>
        <w:rPr>
          <w:rFonts w:ascii="Arial" w:hAnsi="Arial" w:cs="Arial"/>
          <w:color w:val="000000" w:themeColor="text1"/>
          <w:sz w:val="22"/>
          <w:szCs w:val="22"/>
        </w:rPr>
      </w:pPr>
      <w:r w:rsidRPr="00650C77">
        <w:rPr>
          <w:rFonts w:ascii="Arial" w:hAnsi="Arial" w:cs="Arial"/>
          <w:b/>
          <w:bCs/>
          <w:color w:val="000000" w:themeColor="text1"/>
          <w:sz w:val="22"/>
          <w:szCs w:val="22"/>
        </w:rPr>
        <w:t>South London and Maudsley</w:t>
      </w:r>
      <w:r w:rsidRPr="00650C77">
        <w:rPr>
          <w:rFonts w:ascii="Arial" w:hAnsi="Arial" w:cs="Arial"/>
          <w:color w:val="000000" w:themeColor="text1"/>
          <w:sz w:val="22"/>
          <w:szCs w:val="22"/>
        </w:rPr>
        <w:t xml:space="preserve"> NHS Trust (</w:t>
      </w:r>
      <w:proofErr w:type="spellStart"/>
      <w:r w:rsidRPr="00650C77">
        <w:rPr>
          <w:rFonts w:ascii="Arial" w:hAnsi="Arial" w:cs="Arial"/>
          <w:color w:val="000000" w:themeColor="text1"/>
          <w:sz w:val="22"/>
          <w:szCs w:val="22"/>
        </w:rPr>
        <w:t>SLaM</w:t>
      </w:r>
      <w:proofErr w:type="spellEnd"/>
      <w:r w:rsidRPr="00650C77">
        <w:rPr>
          <w:rFonts w:ascii="Arial" w:hAnsi="Arial" w:cs="Arial"/>
          <w:color w:val="000000" w:themeColor="text1"/>
          <w:sz w:val="22"/>
          <w:szCs w:val="22"/>
        </w:rPr>
        <w:t>) leads in culturally adapted CBT and recovery programmes, including peer support workers, though staff burnout and inconsistent delivery remain issues (Pagdon, 2024).</w:t>
      </w:r>
    </w:p>
    <w:p w14:paraId="76263DF8" w14:textId="77777777" w:rsidR="00894180" w:rsidRPr="00650C77" w:rsidRDefault="00894180" w:rsidP="00894180">
      <w:pPr>
        <w:pStyle w:val="NormalWeb"/>
        <w:numPr>
          <w:ilvl w:val="0"/>
          <w:numId w:val="2"/>
        </w:numPr>
        <w:spacing w:line="360" w:lineRule="auto"/>
        <w:jc w:val="both"/>
        <w:rPr>
          <w:rFonts w:ascii="Arial" w:hAnsi="Arial" w:cs="Arial"/>
          <w:color w:val="000000" w:themeColor="text1"/>
          <w:sz w:val="22"/>
          <w:szCs w:val="22"/>
        </w:rPr>
      </w:pPr>
      <w:r w:rsidRPr="00650C77">
        <w:rPr>
          <w:rFonts w:ascii="Arial" w:hAnsi="Arial" w:cs="Arial"/>
          <w:b/>
          <w:bCs/>
          <w:color w:val="000000" w:themeColor="text1"/>
          <w:sz w:val="22"/>
          <w:szCs w:val="22"/>
        </w:rPr>
        <w:t>Cumbria, Cornwall, and rural Wales</w:t>
      </w:r>
      <w:r w:rsidRPr="00650C77">
        <w:rPr>
          <w:rFonts w:ascii="Arial" w:hAnsi="Arial" w:cs="Arial"/>
          <w:color w:val="000000" w:themeColor="text1"/>
          <w:sz w:val="22"/>
          <w:szCs w:val="22"/>
        </w:rPr>
        <w:t xml:space="preserve"> face workforce shortages, causing long waits and gaps in crisis care (</w:t>
      </w:r>
      <w:proofErr w:type="spellStart"/>
      <w:r w:rsidRPr="00650C77">
        <w:rPr>
          <w:rFonts w:ascii="Arial" w:hAnsi="Arial" w:cs="Arial"/>
          <w:color w:val="000000" w:themeColor="text1"/>
          <w:sz w:val="22"/>
          <w:szCs w:val="22"/>
        </w:rPr>
        <w:t>RCPsych</w:t>
      </w:r>
      <w:proofErr w:type="spellEnd"/>
      <w:r w:rsidRPr="00650C77">
        <w:rPr>
          <w:rFonts w:ascii="Arial" w:hAnsi="Arial" w:cs="Arial"/>
          <w:color w:val="000000" w:themeColor="text1"/>
          <w:sz w:val="22"/>
          <w:szCs w:val="22"/>
        </w:rPr>
        <w:t>, 2023).</w:t>
      </w:r>
    </w:p>
    <w:p w14:paraId="5D8FF0C8" w14:textId="77777777" w:rsidR="00894180" w:rsidRPr="00650C77" w:rsidRDefault="00894180" w:rsidP="00894180">
      <w:pPr>
        <w:pStyle w:val="NormalWeb"/>
        <w:numPr>
          <w:ilvl w:val="0"/>
          <w:numId w:val="2"/>
        </w:numPr>
        <w:spacing w:line="360" w:lineRule="auto"/>
        <w:jc w:val="both"/>
        <w:rPr>
          <w:rFonts w:ascii="Arial" w:hAnsi="Arial" w:cs="Arial"/>
          <w:color w:val="000000" w:themeColor="text1"/>
          <w:sz w:val="22"/>
          <w:szCs w:val="22"/>
        </w:rPr>
      </w:pPr>
      <w:r w:rsidRPr="00650C77">
        <w:rPr>
          <w:rFonts w:ascii="Arial" w:hAnsi="Arial" w:cs="Arial"/>
          <w:b/>
          <w:bCs/>
          <w:color w:val="000000" w:themeColor="text1"/>
          <w:sz w:val="22"/>
          <w:szCs w:val="22"/>
        </w:rPr>
        <w:t>Greater Manchester ICS</w:t>
      </w:r>
      <w:r w:rsidRPr="00650C77">
        <w:rPr>
          <w:rFonts w:ascii="Arial" w:hAnsi="Arial" w:cs="Arial"/>
          <w:color w:val="000000" w:themeColor="text1"/>
          <w:sz w:val="22"/>
          <w:szCs w:val="22"/>
        </w:rPr>
        <w:t xml:space="preserve"> has introduced digital self-referral and employment support, improving engagement for younger users (Proctor, 2024).</w:t>
      </w:r>
    </w:p>
    <w:p w14:paraId="4208FA35" w14:textId="081D0D32" w:rsidR="00894180" w:rsidRPr="00650C77" w:rsidRDefault="00894180" w:rsidP="00894180">
      <w:pPr>
        <w:pStyle w:val="NormalWeb"/>
        <w:numPr>
          <w:ilvl w:val="0"/>
          <w:numId w:val="2"/>
        </w:numPr>
        <w:spacing w:line="360" w:lineRule="auto"/>
        <w:jc w:val="both"/>
        <w:rPr>
          <w:rFonts w:ascii="Arial" w:hAnsi="Arial" w:cs="Arial"/>
          <w:color w:val="000000" w:themeColor="text1"/>
          <w:sz w:val="22"/>
          <w:szCs w:val="22"/>
        </w:rPr>
      </w:pPr>
      <w:r w:rsidRPr="00650C77">
        <w:rPr>
          <w:rFonts w:ascii="Arial" w:hAnsi="Arial" w:cs="Arial"/>
          <w:b/>
          <w:bCs/>
          <w:color w:val="000000" w:themeColor="text1"/>
          <w:sz w:val="22"/>
          <w:szCs w:val="22"/>
        </w:rPr>
        <w:t>Scotland and Wales have devolved systems:</w:t>
      </w:r>
    </w:p>
    <w:p w14:paraId="291EC9CE" w14:textId="77777777" w:rsidR="00894180" w:rsidRPr="00650C77" w:rsidRDefault="00894180" w:rsidP="00894180">
      <w:pPr>
        <w:pStyle w:val="NormalWeb"/>
        <w:numPr>
          <w:ilvl w:val="0"/>
          <w:numId w:val="30"/>
        </w:numPr>
        <w:spacing w:line="360" w:lineRule="auto"/>
        <w:jc w:val="both"/>
        <w:rPr>
          <w:rFonts w:ascii="Arial" w:hAnsi="Arial" w:cs="Arial"/>
          <w:color w:val="000000" w:themeColor="text1"/>
          <w:sz w:val="22"/>
          <w:szCs w:val="22"/>
        </w:rPr>
      </w:pPr>
      <w:r w:rsidRPr="00650C77">
        <w:rPr>
          <w:rFonts w:ascii="Arial" w:hAnsi="Arial" w:cs="Arial"/>
          <w:b/>
          <w:bCs/>
          <w:color w:val="000000" w:themeColor="text1"/>
          <w:sz w:val="22"/>
          <w:szCs w:val="22"/>
        </w:rPr>
        <w:t>Scotland’s</w:t>
      </w:r>
      <w:r w:rsidRPr="00650C77">
        <w:rPr>
          <w:rFonts w:ascii="Arial" w:hAnsi="Arial" w:cs="Arial"/>
          <w:color w:val="000000" w:themeColor="text1"/>
          <w:sz w:val="22"/>
          <w:szCs w:val="22"/>
        </w:rPr>
        <w:t xml:space="preserve"> Mental Health Strategy (2017–2027) focuses on integration and suicide prevention, with reduced inpatient admissions (Scottish Government, 2022).</w:t>
      </w:r>
    </w:p>
    <w:p w14:paraId="3BD5BA7E" w14:textId="192E87DC" w:rsidR="00894180" w:rsidRPr="00650C77" w:rsidRDefault="00894180" w:rsidP="00894180">
      <w:pPr>
        <w:pStyle w:val="NormalWeb"/>
        <w:numPr>
          <w:ilvl w:val="0"/>
          <w:numId w:val="30"/>
        </w:numPr>
        <w:spacing w:line="360" w:lineRule="auto"/>
        <w:jc w:val="both"/>
        <w:rPr>
          <w:rFonts w:ascii="Arial" w:hAnsi="Arial" w:cs="Arial"/>
          <w:color w:val="000000" w:themeColor="text1"/>
          <w:sz w:val="22"/>
          <w:szCs w:val="22"/>
        </w:rPr>
      </w:pPr>
      <w:proofErr w:type="spellStart"/>
      <w:r w:rsidRPr="00650C77">
        <w:rPr>
          <w:rFonts w:ascii="Arial" w:hAnsi="Arial" w:cs="Arial"/>
          <w:b/>
          <w:bCs/>
          <w:color w:val="000000" w:themeColor="text1"/>
          <w:sz w:val="22"/>
          <w:szCs w:val="22"/>
        </w:rPr>
        <w:t>Wales’</w:t>
      </w:r>
      <w:proofErr w:type="spellEnd"/>
      <w:r w:rsidRPr="00650C77">
        <w:rPr>
          <w:rFonts w:ascii="Arial" w:hAnsi="Arial" w:cs="Arial"/>
          <w:b/>
          <w:bCs/>
          <w:color w:val="000000" w:themeColor="text1"/>
          <w:sz w:val="22"/>
          <w:szCs w:val="22"/>
        </w:rPr>
        <w:t xml:space="preserve"> </w:t>
      </w:r>
      <w:r w:rsidRPr="00650C77">
        <w:rPr>
          <w:rFonts w:ascii="Arial" w:hAnsi="Arial" w:cs="Arial"/>
          <w:color w:val="000000" w:themeColor="text1"/>
          <w:sz w:val="22"/>
          <w:szCs w:val="22"/>
        </w:rPr>
        <w:t>“Together for Mental Health” promotes trauma-informed care, with early intervention teams in all health boards (Welsh Government, 2022).</w:t>
      </w:r>
    </w:p>
    <w:p w14:paraId="116043A6" w14:textId="2DDA1021" w:rsidR="00894180" w:rsidRDefault="00894180" w:rsidP="0089418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However, </w:t>
      </w:r>
      <w:r w:rsidR="0081298D" w:rsidRPr="00650C77">
        <w:rPr>
          <w:rFonts w:ascii="Arial" w:hAnsi="Arial" w:cs="Arial"/>
          <w:color w:val="000000" w:themeColor="text1"/>
          <w:sz w:val="22"/>
          <w:szCs w:val="22"/>
        </w:rPr>
        <w:t xml:space="preserve">a 2024 </w:t>
      </w:r>
      <w:r w:rsidR="0081298D" w:rsidRPr="00650C77">
        <w:rPr>
          <w:rStyle w:val="whitespace-normal"/>
          <w:rFonts w:ascii="Arial" w:eastAsiaTheme="majorEastAsia" w:hAnsi="Arial" w:cs="Arial"/>
          <w:color w:val="000000" w:themeColor="text1"/>
          <w:sz w:val="22"/>
          <w:szCs w:val="22"/>
        </w:rPr>
        <w:t>Care Quality Commission</w:t>
      </w:r>
      <w:r w:rsidR="0081298D" w:rsidRPr="00650C77">
        <w:rPr>
          <w:rFonts w:ascii="Arial" w:hAnsi="Arial" w:cs="Arial"/>
          <w:color w:val="000000" w:themeColor="text1"/>
          <w:sz w:val="22"/>
          <w:szCs w:val="22"/>
        </w:rPr>
        <w:t xml:space="preserve"> report shows uneven care, with inequalities across regions and groups despite strong guidelines (CQC, 2024).</w:t>
      </w:r>
    </w:p>
    <w:p w14:paraId="69D902A4" w14:textId="77777777" w:rsidR="00F4458A" w:rsidRPr="00650C77" w:rsidRDefault="00F4458A" w:rsidP="00894180">
      <w:pPr>
        <w:pStyle w:val="NormalWeb"/>
        <w:spacing w:line="360" w:lineRule="auto"/>
        <w:jc w:val="both"/>
        <w:rPr>
          <w:rFonts w:ascii="Arial" w:hAnsi="Arial" w:cs="Arial"/>
          <w:color w:val="000000" w:themeColor="text1"/>
          <w:sz w:val="22"/>
          <w:szCs w:val="22"/>
        </w:rPr>
      </w:pPr>
    </w:p>
    <w:p w14:paraId="0A357085" w14:textId="3D65ABDA" w:rsidR="002F1D23" w:rsidRPr="00650C77" w:rsidRDefault="002F1D23" w:rsidP="00894180">
      <w:pPr>
        <w:pStyle w:val="NormalWeb"/>
        <w:spacing w:line="360" w:lineRule="auto"/>
        <w:jc w:val="both"/>
        <w:rPr>
          <w:rFonts w:ascii="Arial" w:hAnsi="Arial" w:cs="Arial"/>
          <w:b/>
          <w:bCs/>
          <w:color w:val="000000" w:themeColor="text1"/>
          <w:sz w:val="22"/>
          <w:szCs w:val="22"/>
        </w:rPr>
      </w:pPr>
      <w:r w:rsidRPr="00650C77">
        <w:rPr>
          <w:rFonts w:ascii="Arial" w:hAnsi="Arial" w:cs="Arial"/>
          <w:b/>
          <w:bCs/>
          <w:color w:val="000000" w:themeColor="text1"/>
          <w:sz w:val="22"/>
          <w:szCs w:val="22"/>
        </w:rPr>
        <w:lastRenderedPageBreak/>
        <w:t>Table 4.5.2:</w:t>
      </w:r>
      <w:r w:rsidR="007F2AF0" w:rsidRPr="00650C77">
        <w:rPr>
          <w:rFonts w:ascii="Arial" w:hAnsi="Arial" w:cs="Arial"/>
          <w:b/>
          <w:bCs/>
          <w:color w:val="000000" w:themeColor="text1"/>
          <w:sz w:val="22"/>
          <w:szCs w:val="22"/>
        </w:rPr>
        <w:t xml:space="preserve"> UK Schizophrenia Care: National policy and local implementations</w:t>
      </w:r>
    </w:p>
    <w:p w14:paraId="735649A2" w14:textId="5F507680" w:rsidR="00610101" w:rsidRPr="0044725C" w:rsidRDefault="00915C50" w:rsidP="00610101">
      <w:pPr>
        <w:jc w:val="center"/>
        <w:rPr>
          <w:rFonts w:ascii="Arial" w:hAnsi="Arial" w:cs="Arial"/>
          <w:b/>
          <w:bCs/>
          <w:color w:val="000000" w:themeColor="text1"/>
          <w:sz w:val="16"/>
          <w:szCs w:val="16"/>
        </w:rPr>
      </w:pPr>
      <w:r w:rsidRPr="00650C77">
        <w:rPr>
          <w:noProof/>
          <w:color w:val="000000" w:themeColor="text1"/>
        </w:rPr>
        <w:drawing>
          <wp:inline distT="0" distB="0" distL="0" distR="0" wp14:anchorId="11A7B8F9" wp14:editId="2A9DC3CD">
            <wp:extent cx="5723968" cy="3558209"/>
            <wp:effectExtent l="0" t="0" r="0" b="4445"/>
            <wp:docPr id="6195580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558037"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64022" cy="3583108"/>
                    </a:xfrm>
                    <a:prstGeom prst="rect">
                      <a:avLst/>
                    </a:prstGeom>
                  </pic:spPr>
                </pic:pic>
              </a:graphicData>
            </a:graphic>
          </wp:inline>
        </w:drawing>
      </w:r>
      <w:r w:rsidR="00610101" w:rsidRPr="0044725C">
        <w:rPr>
          <w:rFonts w:ascii="Arial" w:hAnsi="Arial" w:cs="Arial"/>
          <w:b/>
          <w:bCs/>
          <w:color w:val="000000" w:themeColor="text1"/>
          <w:sz w:val="16"/>
          <w:szCs w:val="16"/>
        </w:rPr>
        <w:t>-</w:t>
      </w:r>
    </w:p>
    <w:p w14:paraId="5053CAA1" w14:textId="408A6EA3" w:rsidR="00610101" w:rsidRPr="0044725C" w:rsidRDefault="00ED7A93" w:rsidP="00610101">
      <w:pPr>
        <w:jc w:val="center"/>
        <w:rPr>
          <w:rFonts w:ascii="Arial" w:hAnsi="Arial" w:cs="Arial"/>
          <w:b/>
          <w:bCs/>
          <w:color w:val="000000" w:themeColor="text1"/>
          <w:sz w:val="16"/>
          <w:szCs w:val="16"/>
        </w:rPr>
      </w:pPr>
      <w:r w:rsidRPr="0044725C">
        <w:rPr>
          <w:rFonts w:ascii="Arial" w:hAnsi="Arial" w:cs="Arial"/>
          <w:b/>
          <w:bCs/>
          <w:color w:val="000000" w:themeColor="text1"/>
          <w:sz w:val="16"/>
          <w:szCs w:val="16"/>
        </w:rPr>
        <w:t>(Sources:</w:t>
      </w:r>
      <w:r w:rsidR="00610101" w:rsidRPr="0044725C">
        <w:rPr>
          <w:rFonts w:ascii="Arial" w:hAnsi="Arial" w:cs="Arial"/>
          <w:b/>
          <w:bCs/>
          <w:color w:val="000000" w:themeColor="text1"/>
          <w:sz w:val="16"/>
          <w:szCs w:val="16"/>
        </w:rPr>
        <w:t xml:space="preserve"> NHS England, 2019; </w:t>
      </w:r>
      <w:proofErr w:type="spellStart"/>
      <w:r w:rsidR="00610101" w:rsidRPr="0044725C">
        <w:rPr>
          <w:rFonts w:ascii="Arial" w:hAnsi="Arial" w:cs="Arial"/>
          <w:b/>
          <w:bCs/>
          <w:color w:val="000000" w:themeColor="text1"/>
          <w:sz w:val="16"/>
          <w:szCs w:val="16"/>
        </w:rPr>
        <w:t>RCPsych</w:t>
      </w:r>
      <w:proofErr w:type="spellEnd"/>
      <w:r w:rsidR="00610101" w:rsidRPr="0044725C">
        <w:rPr>
          <w:rFonts w:ascii="Arial" w:hAnsi="Arial" w:cs="Arial"/>
          <w:b/>
          <w:bCs/>
          <w:color w:val="000000" w:themeColor="text1"/>
          <w:sz w:val="16"/>
          <w:szCs w:val="16"/>
        </w:rPr>
        <w:t xml:space="preserve">, 2024; </w:t>
      </w:r>
      <w:proofErr w:type="spellStart"/>
      <w:r w:rsidR="00610101" w:rsidRPr="0044725C">
        <w:rPr>
          <w:rFonts w:ascii="Arial" w:hAnsi="Arial" w:cs="Arial"/>
          <w:b/>
          <w:bCs/>
          <w:color w:val="000000" w:themeColor="text1"/>
          <w:sz w:val="16"/>
          <w:szCs w:val="16"/>
        </w:rPr>
        <w:t>DoHSC</w:t>
      </w:r>
      <w:proofErr w:type="spellEnd"/>
      <w:r w:rsidR="00610101" w:rsidRPr="0044725C">
        <w:rPr>
          <w:rFonts w:ascii="Arial" w:hAnsi="Arial" w:cs="Arial"/>
          <w:b/>
          <w:bCs/>
          <w:color w:val="000000" w:themeColor="text1"/>
          <w:sz w:val="16"/>
          <w:szCs w:val="16"/>
        </w:rPr>
        <w:t xml:space="preserve">, 2025; </w:t>
      </w:r>
      <w:proofErr w:type="spellStart"/>
      <w:r w:rsidR="00610101" w:rsidRPr="0044725C">
        <w:rPr>
          <w:rFonts w:ascii="Arial" w:hAnsi="Arial" w:cs="Arial"/>
          <w:b/>
          <w:bCs/>
          <w:color w:val="000000" w:themeColor="text1"/>
          <w:sz w:val="16"/>
          <w:szCs w:val="16"/>
        </w:rPr>
        <w:t>Bhui</w:t>
      </w:r>
      <w:proofErr w:type="spellEnd"/>
      <w:r w:rsidR="00610101" w:rsidRPr="0044725C">
        <w:rPr>
          <w:rFonts w:ascii="Arial" w:hAnsi="Arial" w:cs="Arial"/>
          <w:b/>
          <w:bCs/>
          <w:color w:val="000000" w:themeColor="text1"/>
          <w:sz w:val="16"/>
          <w:szCs w:val="16"/>
        </w:rPr>
        <w:t xml:space="preserve"> et al., 2022; NHS Confederation, 2023; CQC, 2024).</w:t>
      </w:r>
    </w:p>
    <w:p w14:paraId="39916937" w14:textId="77777777" w:rsidR="00610101" w:rsidRPr="00650C77" w:rsidRDefault="00610101" w:rsidP="00610101">
      <w:pPr>
        <w:spacing w:after="0" w:line="360" w:lineRule="auto"/>
        <w:jc w:val="both"/>
        <w:rPr>
          <w:rFonts w:ascii="Arial" w:eastAsia="Times New Roman" w:hAnsi="Arial" w:cs="Arial"/>
          <w:color w:val="000000" w:themeColor="text1"/>
          <w:kern w:val="0"/>
          <w:sz w:val="24"/>
          <w:szCs w:val="24"/>
          <w:lang w:eastAsia="en-GB"/>
          <w14:ligatures w14:val="none"/>
        </w:rPr>
      </w:pPr>
    </w:p>
    <w:p w14:paraId="1A7E3DF2" w14:textId="2DCA47E8" w:rsidR="00610101" w:rsidRPr="00650C77"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2.</w:t>
      </w:r>
      <w:r w:rsidR="002A42EA">
        <w:rPr>
          <w:rFonts w:ascii="Arial" w:eastAsia="Times New Roman" w:hAnsi="Arial" w:cs="Arial"/>
          <w:b/>
          <w:bCs/>
          <w:color w:val="000000" w:themeColor="text1"/>
          <w:kern w:val="0"/>
          <w:sz w:val="28"/>
          <w:szCs w:val="28"/>
          <w:lang w:eastAsia="en-GB"/>
          <w14:ligatures w14:val="none"/>
        </w:rPr>
        <w:t>7</w:t>
      </w:r>
      <w:r w:rsidRPr="00650C77">
        <w:rPr>
          <w:rFonts w:ascii="Arial" w:eastAsia="Times New Roman" w:hAnsi="Arial" w:cs="Arial"/>
          <w:b/>
          <w:bCs/>
          <w:color w:val="000000" w:themeColor="text1"/>
          <w:kern w:val="0"/>
          <w:sz w:val="28"/>
          <w:szCs w:val="28"/>
          <w:lang w:eastAsia="en-GB"/>
          <w14:ligatures w14:val="none"/>
        </w:rPr>
        <w:t xml:space="preserve"> </w:t>
      </w:r>
      <w:r w:rsidR="0044725C">
        <w:rPr>
          <w:rFonts w:ascii="Arial" w:eastAsia="Times New Roman" w:hAnsi="Arial" w:cs="Arial"/>
          <w:b/>
          <w:bCs/>
          <w:color w:val="000000" w:themeColor="text1"/>
          <w:kern w:val="0"/>
          <w:sz w:val="28"/>
          <w:szCs w:val="28"/>
          <w:lang w:eastAsia="en-GB"/>
          <w14:ligatures w14:val="none"/>
        </w:rPr>
        <w:t xml:space="preserve">Chapter </w:t>
      </w:r>
      <w:r w:rsidRPr="00650C77">
        <w:rPr>
          <w:rFonts w:ascii="Arial" w:eastAsia="Times New Roman" w:hAnsi="Arial" w:cs="Arial"/>
          <w:b/>
          <w:bCs/>
          <w:color w:val="000000" w:themeColor="text1"/>
          <w:kern w:val="0"/>
          <w:sz w:val="28"/>
          <w:szCs w:val="28"/>
          <w:lang w:eastAsia="en-GB"/>
          <w14:ligatures w14:val="none"/>
        </w:rPr>
        <w:t>Conclusion</w:t>
      </w:r>
      <w:r w:rsidR="0022214D" w:rsidRPr="00650C77">
        <w:rPr>
          <w:rFonts w:ascii="Arial" w:eastAsia="Times New Roman" w:hAnsi="Arial" w:cs="Arial"/>
          <w:b/>
          <w:bCs/>
          <w:color w:val="000000" w:themeColor="text1"/>
          <w:kern w:val="0"/>
          <w:sz w:val="28"/>
          <w:szCs w:val="28"/>
          <w:lang w:eastAsia="en-GB"/>
          <w14:ligatures w14:val="none"/>
        </w:rPr>
        <w:t>:</w:t>
      </w:r>
    </w:p>
    <w:p w14:paraId="62AE93C1" w14:textId="77777777" w:rsidR="0044725C" w:rsidRPr="0044725C" w:rsidRDefault="0044725C" w:rsidP="0044725C">
      <w:pPr>
        <w:pStyle w:val="NormalWeb"/>
        <w:spacing w:line="360" w:lineRule="auto"/>
        <w:jc w:val="both"/>
        <w:rPr>
          <w:rFonts w:ascii="Arial" w:hAnsi="Arial" w:cs="Arial"/>
          <w:sz w:val="22"/>
          <w:szCs w:val="22"/>
        </w:rPr>
      </w:pPr>
      <w:r w:rsidRPr="0044725C">
        <w:rPr>
          <w:rFonts w:ascii="Arial" w:hAnsi="Arial" w:cs="Arial"/>
          <w:sz w:val="22"/>
          <w:szCs w:val="22"/>
        </w:rPr>
        <w:t>This chapter has critically explored the historical, theoretical, and policy context of schizophrenia care in the United Kingdom. It demonstrated how care has evolved from institutional models to community-based and recovery-oriented approaches, supported by frameworks such as the biopsychosocial model and integrated care systems. Despite these developments, significant challenges remain, particularly in relation to inequalities, service fragmentation, and inconsistent implementation of national policies.</w:t>
      </w:r>
    </w:p>
    <w:p w14:paraId="51770B4F" w14:textId="77777777" w:rsidR="0044725C" w:rsidRDefault="0044725C" w:rsidP="0044725C">
      <w:pPr>
        <w:pStyle w:val="NormalWeb"/>
        <w:spacing w:line="360" w:lineRule="auto"/>
        <w:jc w:val="both"/>
        <w:rPr>
          <w:rFonts w:ascii="Arial" w:hAnsi="Arial" w:cs="Arial"/>
          <w:sz w:val="22"/>
          <w:szCs w:val="22"/>
        </w:rPr>
      </w:pPr>
      <w:r w:rsidRPr="0044725C">
        <w:rPr>
          <w:rFonts w:ascii="Arial" w:hAnsi="Arial" w:cs="Arial"/>
          <w:sz w:val="22"/>
          <w:szCs w:val="22"/>
        </w:rPr>
        <w:t>The analysis also highlighted that no single model is sufficient on its own. Effective schizophrenia care requires a combination of clinical effectiveness, equitable access, and coordinated service delivery. International comparisons further emphasised the importance of early intervention, continuity of care, and social support in improving outcomes.</w:t>
      </w:r>
      <w:r>
        <w:rPr>
          <w:rFonts w:ascii="Arial" w:hAnsi="Arial" w:cs="Arial"/>
          <w:sz w:val="22"/>
          <w:szCs w:val="22"/>
        </w:rPr>
        <w:t xml:space="preserve"> </w:t>
      </w:r>
      <w:r w:rsidRPr="0044725C">
        <w:rPr>
          <w:rFonts w:ascii="Arial" w:hAnsi="Arial" w:cs="Arial"/>
          <w:sz w:val="22"/>
          <w:szCs w:val="22"/>
        </w:rPr>
        <w:t>Overall, this chapter establishes a strong conceptual foundation for the study and highlights key gaps between policy and practice. The next chapter will outline the research methodology, including the search strategy, inclusion criteria, and thematic analysis process used to investigate schizophrenia treatment pathways and service delivery in the UK.</w:t>
      </w:r>
    </w:p>
    <w:p w14:paraId="458CFF77" w14:textId="7A094A5F" w:rsidR="00610101" w:rsidRPr="0044725C" w:rsidRDefault="00610101" w:rsidP="0044725C">
      <w:pPr>
        <w:pStyle w:val="NormalWeb"/>
        <w:spacing w:line="360" w:lineRule="auto"/>
        <w:jc w:val="both"/>
        <w:rPr>
          <w:rFonts w:ascii="Arial" w:hAnsi="Arial" w:cs="Arial"/>
          <w:sz w:val="22"/>
          <w:szCs w:val="22"/>
        </w:rPr>
      </w:pPr>
      <w:r w:rsidRPr="00650C77">
        <w:rPr>
          <w:rFonts w:ascii="Arial" w:hAnsi="Arial" w:cs="Arial"/>
          <w:b/>
          <w:bCs/>
          <w:color w:val="000000" w:themeColor="text1"/>
          <w:kern w:val="36"/>
          <w:sz w:val="36"/>
          <w:szCs w:val="36"/>
        </w:rPr>
        <w:lastRenderedPageBreak/>
        <w:t>CHAPTER 3: Methods and Search Strategy</w:t>
      </w:r>
    </w:p>
    <w:p w14:paraId="4D316088" w14:textId="77777777" w:rsidR="00610101" w:rsidRPr="00650C77" w:rsidRDefault="00610101" w:rsidP="00610101">
      <w:pPr>
        <w:spacing w:before="100" w:beforeAutospacing="1" w:after="100" w:afterAutospacing="1" w:line="240" w:lineRule="auto"/>
        <w:outlineLvl w:val="2"/>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3.1 – Introduction:</w:t>
      </w:r>
    </w:p>
    <w:p w14:paraId="7A51153F" w14:textId="77777777" w:rsidR="00610101" w:rsidRPr="00650C77" w:rsidRDefault="00610101" w:rsidP="0061010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This chapter outlines the desk-based research approach used to investigate treatment pathways and service delivery for schizophrenia in the UK. It builds on the academic methodology poster created earlier in the project, expanding on the systematic processes applied to identify, assess, and analyse secondary sources. Given the complexity of the topic, a literature-based methodology was appropriate to synthesise high-quality peer-reviewed evidence, policy documents, and grey literature. This chapter discusses the key elements of the method, including keyword selection, search strategies, inclusion and exclusion criteria, validation procedures, and thematic analysis. These processes collectively formed the foundation for the findings presented in Chapter 4.</w:t>
      </w:r>
    </w:p>
    <w:p w14:paraId="59A05D3C" w14:textId="23B1BAB9" w:rsidR="00610101" w:rsidRPr="00650C77" w:rsidRDefault="00610101" w:rsidP="00610101">
      <w:pPr>
        <w:spacing w:before="100" w:beforeAutospacing="1" w:after="100" w:afterAutospacing="1" w:line="240" w:lineRule="auto"/>
        <w:outlineLvl w:val="2"/>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3.2 Search Strategy</w:t>
      </w:r>
      <w:r w:rsidR="00ED7A93" w:rsidRPr="00650C77">
        <w:rPr>
          <w:rFonts w:ascii="Arial" w:eastAsia="Times New Roman" w:hAnsi="Arial" w:cs="Arial"/>
          <w:b/>
          <w:bCs/>
          <w:color w:val="000000" w:themeColor="text1"/>
          <w:kern w:val="0"/>
          <w:sz w:val="28"/>
          <w:szCs w:val="28"/>
          <w:lang w:eastAsia="en-GB"/>
          <w14:ligatures w14:val="none"/>
        </w:rPr>
        <w:t>:</w:t>
      </w:r>
    </w:p>
    <w:p w14:paraId="4FC8E6EB" w14:textId="77777777" w:rsidR="002F4328" w:rsidRPr="00650C77" w:rsidRDefault="002F4328" w:rsidP="002F4328">
      <w:pPr>
        <w:spacing w:before="100" w:beforeAutospacing="1" w:after="100" w:afterAutospacing="1" w:line="360" w:lineRule="auto"/>
        <w:jc w:val="both"/>
        <w:rPr>
          <w:rFonts w:ascii="Arial" w:eastAsia="Times New Roman" w:hAnsi="Arial" w:cs="Arial"/>
          <w:b/>
          <w:bCs/>
          <w:color w:val="000000" w:themeColor="text1"/>
          <w:kern w:val="0"/>
          <w:lang w:eastAsia="en-GB"/>
          <w14:ligatures w14:val="none"/>
        </w:rPr>
      </w:pPr>
      <w:r w:rsidRPr="00650C77">
        <w:rPr>
          <w:rFonts w:ascii="Arial" w:hAnsi="Arial" w:cs="Arial"/>
          <w:color w:val="000000" w:themeColor="text1"/>
        </w:rPr>
        <w:t xml:space="preserve">The search strategy was guided by the dissertation aim and objectives, focusing on schizophrenia treatment pathways and service delivery in the UK. Keywords were developed by breaking the research question into core concepts, including the condition, treatments, services, and outcomes. Both clinical and policy-related terms were used to ensure comprehensive coverage. Boolean operators (AND, OR, NOT) were applied to refine searches and improve relevance. </w:t>
      </w:r>
      <w:r w:rsidRPr="00650C77">
        <w:rPr>
          <w:rFonts w:ascii="Arial" w:eastAsia="Times New Roman" w:hAnsi="Arial" w:cs="Arial"/>
          <w:color w:val="000000" w:themeColor="text1"/>
          <w:kern w:val="0"/>
          <w:lang w:eastAsia="en-GB"/>
          <w14:ligatures w14:val="none"/>
        </w:rPr>
        <w:t>An example final search string was</w:t>
      </w:r>
      <w:r w:rsidRPr="00650C77">
        <w:rPr>
          <w:rFonts w:ascii="Arial" w:eastAsia="Times New Roman" w:hAnsi="Arial" w:cs="Arial"/>
          <w:b/>
          <w:bCs/>
          <w:color w:val="000000" w:themeColor="text1"/>
          <w:kern w:val="0"/>
          <w:lang w:eastAsia="en-GB"/>
          <w14:ligatures w14:val="none"/>
        </w:rPr>
        <w:t xml:space="preserve">: </w:t>
      </w:r>
      <w:r w:rsidRPr="00650C77">
        <w:rPr>
          <w:rFonts w:ascii="Arial" w:eastAsiaTheme="majorEastAsia" w:hAnsi="Arial" w:cs="Arial"/>
          <w:i/>
          <w:iCs/>
          <w:color w:val="000000" w:themeColor="text1"/>
          <w:kern w:val="0"/>
          <w:lang w:eastAsia="en-GB"/>
          <w14:ligatures w14:val="none"/>
        </w:rPr>
        <w:t>“schizophrenia” AND (“treatment pathways” OR “service delivery”) AND (“effectiveness” OR “accessibility”) AND (“United Kingdom” OR “NHS”)</w:t>
      </w:r>
      <w:r w:rsidRPr="00650C77">
        <w:rPr>
          <w:rFonts w:ascii="Arial" w:eastAsia="Times New Roman" w:hAnsi="Arial" w:cs="Arial"/>
          <w:b/>
          <w:bCs/>
          <w:color w:val="000000" w:themeColor="text1"/>
          <w:kern w:val="0"/>
          <w:lang w:eastAsia="en-GB"/>
          <w14:ligatures w14:val="none"/>
        </w:rPr>
        <w:t xml:space="preserve"> </w:t>
      </w:r>
      <w:r w:rsidRPr="00650C77">
        <w:rPr>
          <w:rFonts w:ascii="Arial" w:eastAsia="Times New Roman" w:hAnsi="Arial" w:cs="Arial"/>
          <w:color w:val="000000" w:themeColor="text1"/>
          <w:kern w:val="0"/>
          <w:lang w:eastAsia="en-GB"/>
          <w14:ligatures w14:val="none"/>
        </w:rPr>
        <w:t>Searches were iterative, with refinements made when results were too broad, too narrow, or insufficiently relevant.</w:t>
      </w:r>
    </w:p>
    <w:p w14:paraId="410C65C9" w14:textId="694F9937" w:rsidR="002F4328" w:rsidRPr="00650C77" w:rsidRDefault="002F4328" w:rsidP="002F4328">
      <w:pPr>
        <w:keepNext/>
        <w:keepLines/>
        <w:shd w:val="clear" w:color="auto" w:fill="FFFFFF" w:themeFill="background1"/>
        <w:spacing w:before="160" w:after="80" w:line="360" w:lineRule="auto"/>
        <w:jc w:val="both"/>
        <w:outlineLvl w:val="1"/>
        <w:rPr>
          <w:rFonts w:ascii="Arial" w:hAnsi="Arial" w:cs="Arial"/>
          <w:color w:val="000000" w:themeColor="text1"/>
        </w:rPr>
      </w:pPr>
      <w:r w:rsidRPr="00650C77">
        <w:rPr>
          <w:rFonts w:ascii="Arial" w:hAnsi="Arial" w:cs="Arial"/>
          <w:color w:val="000000" w:themeColor="text1"/>
        </w:rPr>
        <w:t>Searches were planned systematically and refined iteratively, with useful keyword combinations recorded in a tracking sheet (Appendix A) to support transparency and replicability.</w:t>
      </w:r>
    </w:p>
    <w:p w14:paraId="6286EC93" w14:textId="37BE2BFF" w:rsidR="00610101" w:rsidRPr="007C740E" w:rsidRDefault="00610101" w:rsidP="00610101">
      <w:pPr>
        <w:keepNext/>
        <w:keepLines/>
        <w:shd w:val="clear" w:color="auto" w:fill="FFFFFF" w:themeFill="background1"/>
        <w:spacing w:before="160" w:after="80"/>
        <w:outlineLvl w:val="1"/>
        <w:rPr>
          <w:rFonts w:ascii="Arial" w:eastAsiaTheme="majorEastAsia" w:hAnsi="Arial" w:cs="Arial"/>
          <w:b/>
          <w:bCs/>
          <w:color w:val="000000" w:themeColor="text1"/>
          <w:sz w:val="24"/>
          <w:szCs w:val="24"/>
        </w:rPr>
      </w:pPr>
      <w:r w:rsidRPr="007C740E">
        <w:rPr>
          <w:rFonts w:ascii="Arial" w:eastAsiaTheme="majorEastAsia" w:hAnsi="Arial" w:cs="Arial"/>
          <w:b/>
          <w:bCs/>
          <w:color w:val="000000" w:themeColor="text1"/>
          <w:sz w:val="24"/>
          <w:szCs w:val="24"/>
        </w:rPr>
        <w:t>Table</w:t>
      </w:r>
      <w:r w:rsidR="007C740E" w:rsidRPr="007C740E">
        <w:rPr>
          <w:rFonts w:ascii="Arial" w:eastAsiaTheme="majorEastAsia" w:hAnsi="Arial" w:cs="Arial"/>
          <w:b/>
          <w:bCs/>
          <w:color w:val="000000" w:themeColor="text1"/>
          <w:sz w:val="24"/>
          <w:szCs w:val="24"/>
        </w:rPr>
        <w:t xml:space="preserve"> 3.2.1</w:t>
      </w:r>
      <w:r w:rsidRPr="007C740E">
        <w:rPr>
          <w:rFonts w:ascii="Arial" w:eastAsiaTheme="majorEastAsia" w:hAnsi="Arial" w:cs="Arial"/>
          <w:b/>
          <w:bCs/>
          <w:color w:val="000000" w:themeColor="text1"/>
          <w:sz w:val="24"/>
          <w:szCs w:val="24"/>
        </w:rPr>
        <w:t>: Key Search Terms and Synonyms</w:t>
      </w:r>
    </w:p>
    <w:tbl>
      <w:tblPr>
        <w:tblStyle w:val="TableGrid"/>
        <w:tblW w:w="0" w:type="auto"/>
        <w:tblInd w:w="0" w:type="dxa"/>
        <w:tblLook w:val="04A0" w:firstRow="1" w:lastRow="0" w:firstColumn="1" w:lastColumn="0" w:noHBand="0" w:noVBand="1"/>
      </w:tblPr>
      <w:tblGrid>
        <w:gridCol w:w="2405"/>
        <w:gridCol w:w="6235"/>
      </w:tblGrid>
      <w:tr w:rsidR="00650C77" w:rsidRPr="00650C77" w14:paraId="07C6C75A" w14:textId="77777777" w:rsidTr="00BF0846">
        <w:tc>
          <w:tcPr>
            <w:tcW w:w="2405" w:type="dxa"/>
            <w:shd w:val="clear" w:color="auto" w:fill="E7E6E6" w:themeFill="background2"/>
          </w:tcPr>
          <w:p w14:paraId="6D2EC061" w14:textId="77777777" w:rsidR="00610101" w:rsidRPr="00FE4501" w:rsidRDefault="00610101" w:rsidP="00610101">
            <w:pPr>
              <w:shd w:val="clear" w:color="auto" w:fill="E2EFD9" w:themeFill="accent6" w:themeFillTint="33"/>
              <w:jc w:val="both"/>
              <w:rPr>
                <w:rFonts w:ascii="Arial" w:hAnsi="Arial" w:cs="Arial"/>
                <w:b/>
                <w:bCs/>
                <w:color w:val="000000" w:themeColor="text1"/>
              </w:rPr>
            </w:pPr>
            <w:r w:rsidRPr="00FE4501">
              <w:rPr>
                <w:rFonts w:ascii="Arial" w:hAnsi="Arial" w:cs="Arial"/>
                <w:b/>
                <w:bCs/>
                <w:color w:val="000000" w:themeColor="text1"/>
              </w:rPr>
              <w:t>Concept Area</w:t>
            </w:r>
          </w:p>
        </w:tc>
        <w:tc>
          <w:tcPr>
            <w:tcW w:w="6235" w:type="dxa"/>
            <w:shd w:val="clear" w:color="auto" w:fill="A5A5A5" w:themeFill="accent3"/>
          </w:tcPr>
          <w:p w14:paraId="3597488B" w14:textId="77777777" w:rsidR="00610101" w:rsidRPr="00FE4501" w:rsidRDefault="00610101" w:rsidP="00610101">
            <w:pPr>
              <w:shd w:val="clear" w:color="auto" w:fill="E2EFD9" w:themeFill="accent6" w:themeFillTint="33"/>
              <w:jc w:val="both"/>
              <w:rPr>
                <w:rFonts w:ascii="Arial" w:hAnsi="Arial" w:cs="Arial"/>
                <w:b/>
                <w:bCs/>
                <w:color w:val="000000" w:themeColor="text1"/>
              </w:rPr>
            </w:pPr>
            <w:r w:rsidRPr="00FE4501">
              <w:rPr>
                <w:rFonts w:ascii="Arial" w:hAnsi="Arial" w:cs="Arial"/>
                <w:b/>
                <w:bCs/>
                <w:color w:val="000000" w:themeColor="text1"/>
              </w:rPr>
              <w:t>Keywords and Synonyms</w:t>
            </w:r>
          </w:p>
        </w:tc>
      </w:tr>
      <w:tr w:rsidR="00650C77" w:rsidRPr="00650C77" w14:paraId="71C5F2CC" w14:textId="77777777" w:rsidTr="00BF0846">
        <w:tc>
          <w:tcPr>
            <w:tcW w:w="2405" w:type="dxa"/>
            <w:shd w:val="clear" w:color="auto" w:fill="E7E6E6" w:themeFill="background2"/>
          </w:tcPr>
          <w:p w14:paraId="6FDA8CC7" w14:textId="77777777" w:rsidR="00610101" w:rsidRPr="00FE4501" w:rsidRDefault="00610101" w:rsidP="00610101">
            <w:pPr>
              <w:shd w:val="clear" w:color="auto" w:fill="E2EFD9" w:themeFill="accent6" w:themeFillTint="33"/>
              <w:jc w:val="both"/>
              <w:rPr>
                <w:rFonts w:ascii="Arial" w:hAnsi="Arial" w:cs="Arial"/>
                <w:b/>
                <w:bCs/>
                <w:color w:val="000000" w:themeColor="text1"/>
              </w:rPr>
            </w:pPr>
            <w:r w:rsidRPr="00FE4501">
              <w:rPr>
                <w:rFonts w:ascii="Arial" w:hAnsi="Arial" w:cs="Arial"/>
                <w:b/>
                <w:bCs/>
                <w:color w:val="000000" w:themeColor="text1"/>
              </w:rPr>
              <w:t>Condition</w:t>
            </w:r>
          </w:p>
        </w:tc>
        <w:tc>
          <w:tcPr>
            <w:tcW w:w="6235" w:type="dxa"/>
            <w:shd w:val="clear" w:color="auto" w:fill="A5A5A5" w:themeFill="accent3"/>
          </w:tcPr>
          <w:p w14:paraId="2E579A44" w14:textId="77777777" w:rsidR="00610101" w:rsidRPr="00650C77" w:rsidRDefault="00610101" w:rsidP="00610101">
            <w:pPr>
              <w:shd w:val="clear" w:color="auto" w:fill="E2EFD9" w:themeFill="accent6" w:themeFillTint="33"/>
              <w:jc w:val="both"/>
              <w:rPr>
                <w:rFonts w:ascii="Arial" w:hAnsi="Arial" w:cs="Arial"/>
                <w:color w:val="000000" w:themeColor="text1"/>
              </w:rPr>
            </w:pPr>
            <w:r w:rsidRPr="00650C77">
              <w:rPr>
                <w:rFonts w:ascii="Arial" w:hAnsi="Arial" w:cs="Arial"/>
                <w:color w:val="000000" w:themeColor="text1"/>
              </w:rPr>
              <w:t>Schizophrenia, psychosis, severe mental illness (SMI)</w:t>
            </w:r>
          </w:p>
        </w:tc>
      </w:tr>
      <w:tr w:rsidR="00650C77" w:rsidRPr="00650C77" w14:paraId="3A2807F5" w14:textId="77777777" w:rsidTr="00BF0846">
        <w:tc>
          <w:tcPr>
            <w:tcW w:w="2405" w:type="dxa"/>
            <w:shd w:val="clear" w:color="auto" w:fill="E7E6E6" w:themeFill="background2"/>
          </w:tcPr>
          <w:p w14:paraId="520082FB" w14:textId="77777777" w:rsidR="00610101" w:rsidRPr="00FE4501" w:rsidRDefault="00610101" w:rsidP="00610101">
            <w:pPr>
              <w:shd w:val="clear" w:color="auto" w:fill="E2EFD9" w:themeFill="accent6" w:themeFillTint="33"/>
              <w:jc w:val="both"/>
              <w:rPr>
                <w:rFonts w:ascii="Arial" w:hAnsi="Arial" w:cs="Arial"/>
                <w:b/>
                <w:bCs/>
                <w:color w:val="000000" w:themeColor="text1"/>
              </w:rPr>
            </w:pPr>
            <w:r w:rsidRPr="00FE4501">
              <w:rPr>
                <w:rFonts w:ascii="Arial" w:hAnsi="Arial" w:cs="Arial"/>
                <w:b/>
                <w:bCs/>
                <w:color w:val="000000" w:themeColor="text1"/>
              </w:rPr>
              <w:t>Treatment</w:t>
            </w:r>
          </w:p>
        </w:tc>
        <w:tc>
          <w:tcPr>
            <w:tcW w:w="6235" w:type="dxa"/>
            <w:shd w:val="clear" w:color="auto" w:fill="A5A5A5" w:themeFill="accent3"/>
          </w:tcPr>
          <w:p w14:paraId="78ADAF39" w14:textId="77777777" w:rsidR="00610101" w:rsidRPr="00650C77" w:rsidRDefault="00610101" w:rsidP="00610101">
            <w:pPr>
              <w:shd w:val="clear" w:color="auto" w:fill="E2EFD9" w:themeFill="accent6" w:themeFillTint="33"/>
              <w:jc w:val="both"/>
              <w:rPr>
                <w:rFonts w:ascii="Arial" w:hAnsi="Arial" w:cs="Arial"/>
                <w:color w:val="000000" w:themeColor="text1"/>
              </w:rPr>
            </w:pPr>
            <w:r w:rsidRPr="00650C77">
              <w:rPr>
                <w:rFonts w:ascii="Arial" w:hAnsi="Arial" w:cs="Arial"/>
                <w:color w:val="000000" w:themeColor="text1"/>
              </w:rPr>
              <w:t xml:space="preserve">Treatment pathways, clinical pathways, antipsychotics, </w:t>
            </w:r>
            <w:proofErr w:type="spellStart"/>
            <w:r w:rsidRPr="00650C77">
              <w:rPr>
                <w:rFonts w:ascii="Arial" w:hAnsi="Arial" w:cs="Arial"/>
                <w:color w:val="000000" w:themeColor="text1"/>
              </w:rPr>
              <w:t>CBTp</w:t>
            </w:r>
            <w:proofErr w:type="spellEnd"/>
            <w:r w:rsidRPr="00650C77">
              <w:rPr>
                <w:rFonts w:ascii="Arial" w:hAnsi="Arial" w:cs="Arial"/>
                <w:color w:val="000000" w:themeColor="text1"/>
              </w:rPr>
              <w:t>, psychological therapies</w:t>
            </w:r>
          </w:p>
        </w:tc>
      </w:tr>
      <w:tr w:rsidR="00650C77" w:rsidRPr="00650C77" w14:paraId="7993E185" w14:textId="77777777" w:rsidTr="00BF0846">
        <w:tc>
          <w:tcPr>
            <w:tcW w:w="2405" w:type="dxa"/>
            <w:shd w:val="clear" w:color="auto" w:fill="E7E6E6" w:themeFill="background2"/>
          </w:tcPr>
          <w:p w14:paraId="2CC60B5C" w14:textId="77777777" w:rsidR="00610101" w:rsidRPr="00FE4501" w:rsidRDefault="00610101" w:rsidP="00610101">
            <w:pPr>
              <w:shd w:val="clear" w:color="auto" w:fill="E2EFD9" w:themeFill="accent6" w:themeFillTint="33"/>
              <w:jc w:val="both"/>
              <w:rPr>
                <w:rFonts w:ascii="Arial" w:hAnsi="Arial" w:cs="Arial"/>
                <w:b/>
                <w:bCs/>
                <w:color w:val="000000" w:themeColor="text1"/>
              </w:rPr>
            </w:pPr>
            <w:r w:rsidRPr="00FE4501">
              <w:rPr>
                <w:rFonts w:ascii="Arial" w:hAnsi="Arial" w:cs="Arial"/>
                <w:b/>
                <w:bCs/>
                <w:color w:val="000000" w:themeColor="text1"/>
              </w:rPr>
              <w:t>Services</w:t>
            </w:r>
          </w:p>
        </w:tc>
        <w:tc>
          <w:tcPr>
            <w:tcW w:w="6235" w:type="dxa"/>
            <w:shd w:val="clear" w:color="auto" w:fill="A5A5A5" w:themeFill="accent3"/>
          </w:tcPr>
          <w:p w14:paraId="44AE9B98" w14:textId="77777777" w:rsidR="00610101" w:rsidRPr="00650C77" w:rsidRDefault="00610101" w:rsidP="00610101">
            <w:pPr>
              <w:shd w:val="clear" w:color="auto" w:fill="E2EFD9" w:themeFill="accent6" w:themeFillTint="33"/>
              <w:jc w:val="both"/>
              <w:rPr>
                <w:rFonts w:ascii="Arial" w:hAnsi="Arial" w:cs="Arial"/>
                <w:color w:val="000000" w:themeColor="text1"/>
              </w:rPr>
            </w:pPr>
            <w:r w:rsidRPr="00650C77">
              <w:rPr>
                <w:rFonts w:ascii="Arial" w:hAnsi="Arial" w:cs="Arial"/>
                <w:color w:val="000000" w:themeColor="text1"/>
              </w:rPr>
              <w:t>Mental health services, community mental health, Early Intervention in Psychosis (EIP), Integrated Care Systems (ICS)</w:t>
            </w:r>
          </w:p>
        </w:tc>
      </w:tr>
      <w:tr w:rsidR="00610101" w:rsidRPr="00650C77" w14:paraId="5A24DC8E" w14:textId="77777777" w:rsidTr="00BF0846">
        <w:tc>
          <w:tcPr>
            <w:tcW w:w="2405" w:type="dxa"/>
            <w:shd w:val="clear" w:color="auto" w:fill="E7E6E6" w:themeFill="background2"/>
          </w:tcPr>
          <w:p w14:paraId="393F9A36" w14:textId="77777777" w:rsidR="00610101" w:rsidRPr="00FE4501" w:rsidRDefault="00610101" w:rsidP="00610101">
            <w:pPr>
              <w:shd w:val="clear" w:color="auto" w:fill="E2EFD9" w:themeFill="accent6" w:themeFillTint="33"/>
              <w:jc w:val="both"/>
              <w:rPr>
                <w:rFonts w:ascii="Arial" w:hAnsi="Arial" w:cs="Arial"/>
                <w:b/>
                <w:bCs/>
                <w:color w:val="000000" w:themeColor="text1"/>
              </w:rPr>
            </w:pPr>
            <w:r w:rsidRPr="00FE4501">
              <w:rPr>
                <w:rFonts w:ascii="Arial" w:hAnsi="Arial" w:cs="Arial"/>
                <w:b/>
                <w:bCs/>
                <w:color w:val="000000" w:themeColor="text1"/>
              </w:rPr>
              <w:t>Evaluation</w:t>
            </w:r>
          </w:p>
        </w:tc>
        <w:tc>
          <w:tcPr>
            <w:tcW w:w="6235" w:type="dxa"/>
            <w:shd w:val="clear" w:color="auto" w:fill="A5A5A5" w:themeFill="accent3"/>
          </w:tcPr>
          <w:p w14:paraId="580BDCDD" w14:textId="77777777" w:rsidR="00610101" w:rsidRPr="00650C77" w:rsidRDefault="00610101" w:rsidP="00610101">
            <w:pPr>
              <w:shd w:val="clear" w:color="auto" w:fill="E2EFD9" w:themeFill="accent6" w:themeFillTint="33"/>
              <w:jc w:val="both"/>
              <w:rPr>
                <w:rFonts w:ascii="Arial" w:hAnsi="Arial" w:cs="Arial"/>
                <w:color w:val="000000" w:themeColor="text1"/>
              </w:rPr>
            </w:pPr>
            <w:r w:rsidRPr="00650C77">
              <w:rPr>
                <w:rFonts w:ascii="Arial" w:hAnsi="Arial" w:cs="Arial"/>
                <w:color w:val="000000" w:themeColor="text1"/>
              </w:rPr>
              <w:t>Effectiveness, outcomes, accessibility, inequalities, service user experience</w:t>
            </w:r>
          </w:p>
        </w:tc>
      </w:tr>
    </w:tbl>
    <w:p w14:paraId="1212A5B9" w14:textId="77777777" w:rsidR="008E4810" w:rsidRPr="00650C77" w:rsidRDefault="008E4810" w:rsidP="00610101">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bookmarkStart w:id="2" w:name="_Hlk220410694"/>
    </w:p>
    <w:p w14:paraId="607CA396" w14:textId="5EEF0153" w:rsidR="00610101" w:rsidRPr="0044725C" w:rsidRDefault="00610101" w:rsidP="00610101">
      <w:pPr>
        <w:spacing w:before="100" w:beforeAutospacing="1" w:after="100" w:afterAutospacing="1" w:line="240" w:lineRule="auto"/>
        <w:outlineLvl w:val="2"/>
        <w:rPr>
          <w:rFonts w:ascii="Arial" w:eastAsia="Times New Roman" w:hAnsi="Arial" w:cs="Arial"/>
          <w:b/>
          <w:bCs/>
          <w:color w:val="000000" w:themeColor="text1"/>
          <w:kern w:val="0"/>
          <w:sz w:val="28"/>
          <w:szCs w:val="28"/>
          <w:lang w:eastAsia="en-GB"/>
          <w14:ligatures w14:val="none"/>
        </w:rPr>
      </w:pPr>
      <w:r w:rsidRPr="0044725C">
        <w:rPr>
          <w:rFonts w:ascii="Arial" w:eastAsia="Times New Roman" w:hAnsi="Arial" w:cs="Arial"/>
          <w:b/>
          <w:bCs/>
          <w:color w:val="000000" w:themeColor="text1"/>
          <w:kern w:val="0"/>
          <w:sz w:val="28"/>
          <w:szCs w:val="28"/>
          <w:lang w:eastAsia="en-GB"/>
          <w14:ligatures w14:val="none"/>
        </w:rPr>
        <w:lastRenderedPageBreak/>
        <w:t>3.3 – Searching for Information:</w:t>
      </w:r>
    </w:p>
    <w:bookmarkEnd w:id="2"/>
    <w:p w14:paraId="580A9528" w14:textId="77777777" w:rsidR="002F1D23" w:rsidRPr="00650C77" w:rsidRDefault="002F1D23" w:rsidP="002F1D23">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A range of academic databases was used to access relevant literature, including PubMed, PsycINFO, ScienceDirect, and the UWTSD Library Database. PubMed and PsycINFO were prioritised for psychiatry and psychology, while other sources supported broader health research. Google Scholar and platforms such as NICE Evidence Search, NHS England, CQC, and GOV.UK provided grey literature.</w:t>
      </w:r>
    </w:p>
    <w:p w14:paraId="2909104D" w14:textId="77777777" w:rsidR="002F1D23" w:rsidRPr="00650C77" w:rsidRDefault="002F1D23" w:rsidP="002F1D23">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Search filters included publications from 2015–2025, English language, peer-reviewed status, and a UK focus, with some international studies also included.</w:t>
      </w:r>
    </w:p>
    <w:p w14:paraId="73A34E7A" w14:textId="4BB76285" w:rsidR="002F4328" w:rsidRPr="00650C77" w:rsidRDefault="002F4328" w:rsidP="002F4328">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The search process was iterative. Initial searches produced broad results, which were refined by adding terms such as “UK” and “policy.” </w:t>
      </w:r>
      <w:r w:rsidR="00E1360C" w:rsidRPr="00650C77">
        <w:rPr>
          <w:rFonts w:ascii="Arial" w:hAnsi="Arial" w:cs="Arial"/>
          <w:color w:val="000000" w:themeColor="text1"/>
          <w:sz w:val="22"/>
          <w:szCs w:val="22"/>
        </w:rPr>
        <w:t xml:space="preserve">A source tracking table was used to systematically record search strings, results, and relevance, enhancing transparency and replicability </w:t>
      </w:r>
      <w:r w:rsidR="00E1360C" w:rsidRPr="00650C77">
        <w:rPr>
          <w:rFonts w:ascii="Arial" w:hAnsi="Arial" w:cs="Arial"/>
          <w:b/>
          <w:bCs/>
          <w:color w:val="000000" w:themeColor="text1"/>
          <w:sz w:val="22"/>
          <w:szCs w:val="22"/>
        </w:rPr>
        <w:t>(see Appendix 7.1).</w:t>
      </w:r>
      <w:r w:rsidR="00E1360C" w:rsidRPr="00650C77">
        <w:rPr>
          <w:rFonts w:ascii="Arial" w:hAnsi="Arial" w:cs="Arial"/>
          <w:color w:val="000000" w:themeColor="text1"/>
          <w:sz w:val="22"/>
          <w:szCs w:val="22"/>
        </w:rPr>
        <w:t xml:space="preserve"> </w:t>
      </w:r>
      <w:r w:rsidRPr="00650C77">
        <w:rPr>
          <w:rFonts w:ascii="Arial" w:hAnsi="Arial" w:cs="Arial"/>
          <w:color w:val="000000" w:themeColor="text1"/>
          <w:sz w:val="22"/>
          <w:szCs w:val="22"/>
        </w:rPr>
        <w:t>Where gaps were identified, backward and forward citation chaining was used to locate additional sources (Booth et al., 2021).</w:t>
      </w:r>
    </w:p>
    <w:p w14:paraId="5AE7A5F9" w14:textId="1CBEF1B3" w:rsidR="00610101" w:rsidRPr="00650C77" w:rsidRDefault="00610101" w:rsidP="00610101">
      <w:pPr>
        <w:keepNext/>
        <w:keepLines/>
        <w:spacing w:before="160" w:after="80"/>
        <w:outlineLvl w:val="1"/>
        <w:rPr>
          <w:rFonts w:ascii="Arial" w:eastAsiaTheme="majorEastAsia" w:hAnsi="Arial" w:cs="Arial"/>
          <w:b/>
          <w:bCs/>
          <w:color w:val="000000" w:themeColor="text1"/>
          <w:sz w:val="24"/>
          <w:szCs w:val="24"/>
        </w:rPr>
      </w:pPr>
      <w:r w:rsidRPr="00650C77">
        <w:rPr>
          <w:rFonts w:ascii="Arial" w:eastAsiaTheme="majorEastAsia" w:hAnsi="Arial" w:cs="Arial"/>
          <w:b/>
          <w:bCs/>
          <w:color w:val="000000" w:themeColor="text1"/>
          <w:sz w:val="24"/>
          <w:szCs w:val="24"/>
        </w:rPr>
        <w:t>Table</w:t>
      </w:r>
      <w:r w:rsidR="00511C3C" w:rsidRPr="00650C77">
        <w:rPr>
          <w:rFonts w:ascii="Arial" w:eastAsiaTheme="majorEastAsia" w:hAnsi="Arial" w:cs="Arial"/>
          <w:b/>
          <w:bCs/>
          <w:color w:val="000000" w:themeColor="text1"/>
          <w:sz w:val="24"/>
          <w:szCs w:val="24"/>
        </w:rPr>
        <w:t xml:space="preserve"> </w:t>
      </w:r>
      <w:r w:rsidR="002F1D23" w:rsidRPr="00650C77">
        <w:rPr>
          <w:rFonts w:ascii="Arial" w:eastAsiaTheme="majorEastAsia" w:hAnsi="Arial" w:cs="Arial"/>
          <w:b/>
          <w:bCs/>
          <w:color w:val="000000" w:themeColor="text1"/>
          <w:sz w:val="24"/>
          <w:szCs w:val="24"/>
        </w:rPr>
        <w:t>3.3.1:</w:t>
      </w:r>
      <w:r w:rsidRPr="00650C77">
        <w:rPr>
          <w:rFonts w:ascii="Arial" w:eastAsiaTheme="majorEastAsia" w:hAnsi="Arial" w:cs="Arial"/>
          <w:b/>
          <w:bCs/>
          <w:color w:val="000000" w:themeColor="text1"/>
          <w:sz w:val="24"/>
          <w:szCs w:val="24"/>
        </w:rPr>
        <w:t xml:space="preserve"> Databases and Information Sources Used</w:t>
      </w:r>
    </w:p>
    <w:tbl>
      <w:tblPr>
        <w:tblStyle w:val="TableGrid"/>
        <w:tblW w:w="0" w:type="auto"/>
        <w:tblInd w:w="0" w:type="dxa"/>
        <w:tblLook w:val="04A0" w:firstRow="1" w:lastRow="0" w:firstColumn="1" w:lastColumn="0" w:noHBand="0" w:noVBand="1"/>
      </w:tblPr>
      <w:tblGrid>
        <w:gridCol w:w="4320"/>
        <w:gridCol w:w="4320"/>
      </w:tblGrid>
      <w:tr w:rsidR="00650C77" w:rsidRPr="00650C77" w14:paraId="0BF76EC3" w14:textId="77777777" w:rsidTr="00F3236A">
        <w:tc>
          <w:tcPr>
            <w:tcW w:w="4320" w:type="dxa"/>
            <w:shd w:val="clear" w:color="auto" w:fill="DBDBDB" w:themeFill="accent3" w:themeFillTint="66"/>
          </w:tcPr>
          <w:p w14:paraId="03D72DA8" w14:textId="77777777" w:rsidR="00610101" w:rsidRPr="00650C77" w:rsidRDefault="00610101" w:rsidP="00610101">
            <w:pPr>
              <w:rPr>
                <w:rFonts w:ascii="Arial" w:hAnsi="Arial" w:cs="Arial"/>
                <w:b/>
                <w:bCs/>
                <w:color w:val="000000" w:themeColor="text1"/>
              </w:rPr>
            </w:pPr>
            <w:r w:rsidRPr="00650C77">
              <w:rPr>
                <w:rFonts w:ascii="Arial" w:hAnsi="Arial" w:cs="Arial"/>
                <w:b/>
                <w:bCs/>
                <w:color w:val="000000" w:themeColor="text1"/>
              </w:rPr>
              <w:t>Source</w:t>
            </w:r>
          </w:p>
        </w:tc>
        <w:tc>
          <w:tcPr>
            <w:tcW w:w="4320" w:type="dxa"/>
            <w:shd w:val="clear" w:color="auto" w:fill="DBDBDB" w:themeFill="accent3" w:themeFillTint="66"/>
          </w:tcPr>
          <w:p w14:paraId="70FF4498" w14:textId="77777777" w:rsidR="00610101" w:rsidRPr="00650C77" w:rsidRDefault="00610101" w:rsidP="00610101">
            <w:pPr>
              <w:rPr>
                <w:rFonts w:ascii="Arial" w:hAnsi="Arial" w:cs="Arial"/>
                <w:b/>
                <w:bCs/>
                <w:color w:val="000000" w:themeColor="text1"/>
              </w:rPr>
            </w:pPr>
            <w:r w:rsidRPr="00650C77">
              <w:rPr>
                <w:rFonts w:ascii="Arial" w:hAnsi="Arial" w:cs="Arial"/>
                <w:b/>
                <w:bCs/>
                <w:color w:val="000000" w:themeColor="text1"/>
              </w:rPr>
              <w:t>Rationale</w:t>
            </w:r>
          </w:p>
        </w:tc>
      </w:tr>
      <w:tr w:rsidR="00650C77" w:rsidRPr="00650C77" w14:paraId="639EE639" w14:textId="77777777" w:rsidTr="00F3236A">
        <w:tc>
          <w:tcPr>
            <w:tcW w:w="4320" w:type="dxa"/>
            <w:shd w:val="clear" w:color="auto" w:fill="DBDBDB" w:themeFill="accent3" w:themeFillTint="66"/>
          </w:tcPr>
          <w:p w14:paraId="2E60E5EA"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PubMed</w:t>
            </w:r>
          </w:p>
        </w:tc>
        <w:tc>
          <w:tcPr>
            <w:tcW w:w="4320" w:type="dxa"/>
            <w:shd w:val="clear" w:color="auto" w:fill="DBDBDB" w:themeFill="accent3" w:themeFillTint="66"/>
          </w:tcPr>
          <w:p w14:paraId="566108E4"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Clinical psychiatry and medical research</w:t>
            </w:r>
          </w:p>
        </w:tc>
      </w:tr>
      <w:tr w:rsidR="00650C77" w:rsidRPr="00650C77" w14:paraId="6A7B8180" w14:textId="77777777" w:rsidTr="00F3236A">
        <w:tc>
          <w:tcPr>
            <w:tcW w:w="4320" w:type="dxa"/>
            <w:shd w:val="clear" w:color="auto" w:fill="DBDBDB" w:themeFill="accent3" w:themeFillTint="66"/>
          </w:tcPr>
          <w:p w14:paraId="61F2F8EA"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PsycINFO</w:t>
            </w:r>
          </w:p>
        </w:tc>
        <w:tc>
          <w:tcPr>
            <w:tcW w:w="4320" w:type="dxa"/>
            <w:shd w:val="clear" w:color="auto" w:fill="DBDBDB" w:themeFill="accent3" w:themeFillTint="66"/>
          </w:tcPr>
          <w:p w14:paraId="41440B8A"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 xml:space="preserve">Psychological and </w:t>
            </w:r>
            <w:proofErr w:type="spellStart"/>
            <w:r w:rsidRPr="00650C77">
              <w:rPr>
                <w:rFonts w:ascii="Arial" w:hAnsi="Arial" w:cs="Arial"/>
                <w:color w:val="000000" w:themeColor="text1"/>
                <w:sz w:val="20"/>
                <w:szCs w:val="20"/>
              </w:rPr>
              <w:t>behavioural</w:t>
            </w:r>
            <w:proofErr w:type="spellEnd"/>
            <w:r w:rsidRPr="00650C77">
              <w:rPr>
                <w:rFonts w:ascii="Arial" w:hAnsi="Arial" w:cs="Arial"/>
                <w:color w:val="000000" w:themeColor="text1"/>
                <w:sz w:val="20"/>
                <w:szCs w:val="20"/>
              </w:rPr>
              <w:t xml:space="preserve"> health literature</w:t>
            </w:r>
          </w:p>
        </w:tc>
      </w:tr>
      <w:tr w:rsidR="00650C77" w:rsidRPr="00650C77" w14:paraId="668187A9" w14:textId="77777777" w:rsidTr="00F3236A">
        <w:tc>
          <w:tcPr>
            <w:tcW w:w="4320" w:type="dxa"/>
            <w:shd w:val="clear" w:color="auto" w:fill="DBDBDB" w:themeFill="accent3" w:themeFillTint="66"/>
          </w:tcPr>
          <w:p w14:paraId="1F23F992"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ScienceDirect</w:t>
            </w:r>
          </w:p>
        </w:tc>
        <w:tc>
          <w:tcPr>
            <w:tcW w:w="4320" w:type="dxa"/>
            <w:shd w:val="clear" w:color="auto" w:fill="DBDBDB" w:themeFill="accent3" w:themeFillTint="66"/>
          </w:tcPr>
          <w:p w14:paraId="422A295C"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Health services and policy research</w:t>
            </w:r>
          </w:p>
        </w:tc>
      </w:tr>
      <w:tr w:rsidR="00650C77" w:rsidRPr="00650C77" w14:paraId="61FFBB49" w14:textId="77777777" w:rsidTr="00F3236A">
        <w:tc>
          <w:tcPr>
            <w:tcW w:w="4320" w:type="dxa"/>
            <w:shd w:val="clear" w:color="auto" w:fill="DBDBDB" w:themeFill="accent3" w:themeFillTint="66"/>
          </w:tcPr>
          <w:p w14:paraId="123E450D"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UWTSD Library Discover</w:t>
            </w:r>
          </w:p>
        </w:tc>
        <w:tc>
          <w:tcPr>
            <w:tcW w:w="4320" w:type="dxa"/>
            <w:shd w:val="clear" w:color="auto" w:fill="DBDBDB" w:themeFill="accent3" w:themeFillTint="66"/>
          </w:tcPr>
          <w:p w14:paraId="79EBB15A"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Broad academic and interdisciplinary access</w:t>
            </w:r>
          </w:p>
        </w:tc>
      </w:tr>
      <w:tr w:rsidR="00650C77" w:rsidRPr="00650C77" w14:paraId="4358C58E" w14:textId="77777777" w:rsidTr="00F3236A">
        <w:tc>
          <w:tcPr>
            <w:tcW w:w="4320" w:type="dxa"/>
            <w:shd w:val="clear" w:color="auto" w:fill="DBDBDB" w:themeFill="accent3" w:themeFillTint="66"/>
          </w:tcPr>
          <w:p w14:paraId="2AC0C772"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Google Scholar</w:t>
            </w:r>
          </w:p>
        </w:tc>
        <w:tc>
          <w:tcPr>
            <w:tcW w:w="4320" w:type="dxa"/>
            <w:shd w:val="clear" w:color="auto" w:fill="DBDBDB" w:themeFill="accent3" w:themeFillTint="66"/>
          </w:tcPr>
          <w:p w14:paraId="40B037C8"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Grey literature and institutional reports</w:t>
            </w:r>
          </w:p>
        </w:tc>
      </w:tr>
      <w:tr w:rsidR="00650C77" w:rsidRPr="00650C77" w14:paraId="7D884195" w14:textId="77777777" w:rsidTr="00F3236A">
        <w:tc>
          <w:tcPr>
            <w:tcW w:w="4320" w:type="dxa"/>
            <w:shd w:val="clear" w:color="auto" w:fill="DBDBDB" w:themeFill="accent3" w:themeFillTint="66"/>
          </w:tcPr>
          <w:p w14:paraId="3F9FA084"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NICE Evidence Search</w:t>
            </w:r>
          </w:p>
        </w:tc>
        <w:tc>
          <w:tcPr>
            <w:tcW w:w="4320" w:type="dxa"/>
            <w:shd w:val="clear" w:color="auto" w:fill="DBDBDB" w:themeFill="accent3" w:themeFillTint="66"/>
          </w:tcPr>
          <w:p w14:paraId="69DDD02D"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National clinical guidance</w:t>
            </w:r>
          </w:p>
        </w:tc>
      </w:tr>
      <w:tr w:rsidR="00610101" w:rsidRPr="00650C77" w14:paraId="66DC9938" w14:textId="77777777" w:rsidTr="00F3236A">
        <w:tc>
          <w:tcPr>
            <w:tcW w:w="4320" w:type="dxa"/>
            <w:shd w:val="clear" w:color="auto" w:fill="DBDBDB" w:themeFill="accent3" w:themeFillTint="66"/>
          </w:tcPr>
          <w:p w14:paraId="6F48FF44" w14:textId="77777777" w:rsidR="00610101" w:rsidRPr="00FE4501" w:rsidRDefault="00610101" w:rsidP="00610101">
            <w:pPr>
              <w:rPr>
                <w:rFonts w:ascii="Arial" w:hAnsi="Arial" w:cs="Arial"/>
                <w:b/>
                <w:bCs/>
                <w:color w:val="000000" w:themeColor="text1"/>
                <w:sz w:val="20"/>
                <w:szCs w:val="20"/>
              </w:rPr>
            </w:pPr>
            <w:r w:rsidRPr="00FE4501">
              <w:rPr>
                <w:rFonts w:ascii="Arial" w:hAnsi="Arial" w:cs="Arial"/>
                <w:b/>
                <w:bCs/>
                <w:color w:val="000000" w:themeColor="text1"/>
                <w:sz w:val="20"/>
                <w:szCs w:val="20"/>
              </w:rPr>
              <w:t>NHS England / CQC / GOV.UK</w:t>
            </w:r>
          </w:p>
        </w:tc>
        <w:tc>
          <w:tcPr>
            <w:tcW w:w="4320" w:type="dxa"/>
            <w:shd w:val="clear" w:color="auto" w:fill="DBDBDB" w:themeFill="accent3" w:themeFillTint="66"/>
          </w:tcPr>
          <w:p w14:paraId="5E75C392" w14:textId="77777777" w:rsidR="00610101" w:rsidRPr="00650C77" w:rsidRDefault="00610101" w:rsidP="00610101">
            <w:pPr>
              <w:rPr>
                <w:rFonts w:ascii="Arial" w:hAnsi="Arial" w:cs="Arial"/>
                <w:color w:val="000000" w:themeColor="text1"/>
                <w:sz w:val="20"/>
                <w:szCs w:val="20"/>
              </w:rPr>
            </w:pPr>
            <w:r w:rsidRPr="00650C77">
              <w:rPr>
                <w:rFonts w:ascii="Arial" w:hAnsi="Arial" w:cs="Arial"/>
                <w:color w:val="000000" w:themeColor="text1"/>
                <w:sz w:val="20"/>
                <w:szCs w:val="20"/>
              </w:rPr>
              <w:t>Policy, inspection, and service delivery reports</w:t>
            </w:r>
          </w:p>
        </w:tc>
      </w:tr>
    </w:tbl>
    <w:p w14:paraId="361D90DE" w14:textId="77777777" w:rsidR="00610101" w:rsidRPr="00650C77" w:rsidRDefault="00610101" w:rsidP="00610101">
      <w:pPr>
        <w:spacing w:after="0" w:line="240" w:lineRule="auto"/>
        <w:rPr>
          <w:rFonts w:ascii="Arial" w:eastAsia="Times New Roman" w:hAnsi="Arial" w:cs="Arial"/>
          <w:color w:val="000000" w:themeColor="text1"/>
          <w:kern w:val="0"/>
          <w:sz w:val="24"/>
          <w:szCs w:val="24"/>
          <w:lang w:eastAsia="en-GB"/>
          <w14:ligatures w14:val="none"/>
        </w:rPr>
      </w:pPr>
    </w:p>
    <w:p w14:paraId="430566C7" w14:textId="77777777" w:rsidR="005E25B8" w:rsidRPr="0044725C" w:rsidRDefault="005E25B8" w:rsidP="005E25B8">
      <w:pPr>
        <w:spacing w:before="100" w:beforeAutospacing="1" w:after="100" w:afterAutospacing="1" w:line="240" w:lineRule="auto"/>
        <w:outlineLvl w:val="2"/>
        <w:rPr>
          <w:rFonts w:ascii="Arial" w:eastAsia="Times New Roman" w:hAnsi="Arial" w:cs="Arial"/>
          <w:b/>
          <w:bCs/>
          <w:color w:val="000000" w:themeColor="text1"/>
          <w:kern w:val="0"/>
          <w:sz w:val="28"/>
          <w:szCs w:val="28"/>
          <w:lang w:eastAsia="en-GB"/>
          <w14:ligatures w14:val="none"/>
        </w:rPr>
      </w:pPr>
      <w:r w:rsidRPr="0044725C">
        <w:rPr>
          <w:rFonts w:ascii="Arial" w:eastAsia="Times New Roman" w:hAnsi="Arial" w:cs="Arial"/>
          <w:b/>
          <w:bCs/>
          <w:color w:val="000000" w:themeColor="text1"/>
          <w:kern w:val="0"/>
          <w:sz w:val="28"/>
          <w:szCs w:val="28"/>
          <w:lang w:eastAsia="en-GB"/>
          <w14:ligatures w14:val="none"/>
        </w:rPr>
        <w:t>3.4 – Research Validation:</w:t>
      </w:r>
    </w:p>
    <w:p w14:paraId="4A1798BF" w14:textId="7EC9BE1E" w:rsidR="005E25B8" w:rsidRDefault="005E25B8" w:rsidP="005E25B8">
      <w:pPr>
        <w:spacing w:line="360" w:lineRule="auto"/>
        <w:jc w:val="both"/>
        <w:rPr>
          <w:rFonts w:ascii="Arial" w:hAnsi="Arial" w:cs="Arial"/>
          <w:color w:val="000000" w:themeColor="text1"/>
        </w:rPr>
      </w:pPr>
      <w:r w:rsidRPr="00650C77">
        <w:rPr>
          <w:rFonts w:ascii="Arial" w:hAnsi="Arial" w:cs="Arial"/>
          <w:color w:val="000000" w:themeColor="text1"/>
        </w:rPr>
        <w:t>To ensure reliability and credibility, all sources were evaluated using the CRAAP test (Currency, Relevance, Authority, Accuracy, and Purpose) (Blakeslee, 2018). For instance, a 2024 Care Quality Commission (CQC) report was included due to its relevance, authority, and evidence-based content. Older studies published before 2010 were excluded as they did not reflect recent NHS reforms. Skimming techniques were used to assess relevance through titles and abstracts. Greater importance was given to recent and relevant sources, while non-peer-reviewed and anecdotal evidence was excluded to maintain academic quality (Blakeslee, 2018).</w:t>
      </w:r>
    </w:p>
    <w:p w14:paraId="2A54A3E1" w14:textId="77777777" w:rsidR="0044725C" w:rsidRPr="00650C77" w:rsidRDefault="0044725C" w:rsidP="005E25B8">
      <w:pPr>
        <w:spacing w:line="360" w:lineRule="auto"/>
        <w:jc w:val="both"/>
        <w:rPr>
          <w:rFonts w:ascii="Arial" w:hAnsi="Arial" w:cs="Arial"/>
          <w:color w:val="000000" w:themeColor="text1"/>
        </w:rPr>
      </w:pPr>
    </w:p>
    <w:p w14:paraId="04AB3BC5" w14:textId="77777777" w:rsidR="005E25B8" w:rsidRPr="00650C77" w:rsidRDefault="005E25B8" w:rsidP="005E25B8">
      <w:pPr>
        <w:keepNext/>
        <w:keepLines/>
        <w:spacing w:before="160" w:after="80"/>
        <w:outlineLvl w:val="1"/>
        <w:rPr>
          <w:rFonts w:ascii="Arial" w:eastAsiaTheme="majorEastAsia" w:hAnsi="Arial" w:cs="Arial"/>
          <w:b/>
          <w:bCs/>
          <w:color w:val="000000" w:themeColor="text1"/>
          <w:sz w:val="24"/>
          <w:szCs w:val="24"/>
        </w:rPr>
      </w:pPr>
      <w:proofErr w:type="spellStart"/>
      <w:r w:rsidRPr="00650C77">
        <w:rPr>
          <w:rFonts w:ascii="Arial" w:eastAsiaTheme="majorEastAsia" w:hAnsi="Arial" w:cs="Arial"/>
          <w:b/>
          <w:bCs/>
          <w:color w:val="000000" w:themeColor="text1"/>
          <w:sz w:val="24"/>
          <w:szCs w:val="24"/>
        </w:rPr>
        <w:lastRenderedPageBreak/>
        <w:t>Tabble</w:t>
      </w:r>
      <w:proofErr w:type="spellEnd"/>
      <w:r w:rsidRPr="00650C77">
        <w:rPr>
          <w:rFonts w:ascii="Arial" w:eastAsiaTheme="majorEastAsia" w:hAnsi="Arial" w:cs="Arial"/>
          <w:b/>
          <w:bCs/>
          <w:color w:val="000000" w:themeColor="text1"/>
          <w:sz w:val="24"/>
          <w:szCs w:val="24"/>
        </w:rPr>
        <w:t xml:space="preserve"> 3.4.1 Application of the CRAAP Test</w:t>
      </w:r>
    </w:p>
    <w:tbl>
      <w:tblPr>
        <w:tblStyle w:val="TableGrid"/>
        <w:tblW w:w="0" w:type="auto"/>
        <w:tblInd w:w="0" w:type="dxa"/>
        <w:tblLook w:val="04A0" w:firstRow="1" w:lastRow="0" w:firstColumn="1" w:lastColumn="0" w:noHBand="0" w:noVBand="1"/>
      </w:tblPr>
      <w:tblGrid>
        <w:gridCol w:w="3256"/>
        <w:gridCol w:w="5384"/>
      </w:tblGrid>
      <w:tr w:rsidR="00650C77" w:rsidRPr="00650C77" w14:paraId="22D5A132" w14:textId="77777777" w:rsidTr="00F16622">
        <w:tc>
          <w:tcPr>
            <w:tcW w:w="3256" w:type="dxa"/>
            <w:shd w:val="clear" w:color="auto" w:fill="A5A5A5" w:themeFill="accent3"/>
          </w:tcPr>
          <w:p w14:paraId="38209F5A" w14:textId="77777777" w:rsidR="005E25B8" w:rsidRPr="00FE4501" w:rsidRDefault="005E25B8" w:rsidP="00F16622">
            <w:pPr>
              <w:rPr>
                <w:rFonts w:ascii="Arial" w:hAnsi="Arial" w:cs="Arial"/>
                <w:b/>
                <w:bCs/>
                <w:color w:val="000000" w:themeColor="text1"/>
              </w:rPr>
            </w:pPr>
            <w:r w:rsidRPr="00FE4501">
              <w:rPr>
                <w:rFonts w:ascii="Arial" w:hAnsi="Arial" w:cs="Arial"/>
                <w:b/>
                <w:bCs/>
                <w:color w:val="000000" w:themeColor="text1"/>
              </w:rPr>
              <w:t>Criterion</w:t>
            </w:r>
          </w:p>
        </w:tc>
        <w:tc>
          <w:tcPr>
            <w:tcW w:w="5384" w:type="dxa"/>
            <w:shd w:val="clear" w:color="auto" w:fill="A5A5A5" w:themeFill="accent3"/>
          </w:tcPr>
          <w:p w14:paraId="568E0EAB" w14:textId="77777777" w:rsidR="005E25B8" w:rsidRPr="00FE4501" w:rsidRDefault="005E25B8" w:rsidP="00F16622">
            <w:pPr>
              <w:rPr>
                <w:rFonts w:ascii="Arial" w:hAnsi="Arial" w:cs="Arial"/>
                <w:b/>
                <w:bCs/>
                <w:color w:val="000000" w:themeColor="text1"/>
              </w:rPr>
            </w:pPr>
            <w:r w:rsidRPr="00FE4501">
              <w:rPr>
                <w:rFonts w:ascii="Arial" w:hAnsi="Arial" w:cs="Arial"/>
                <w:b/>
                <w:bCs/>
                <w:color w:val="000000" w:themeColor="text1"/>
              </w:rPr>
              <w:t>Application</w:t>
            </w:r>
          </w:p>
        </w:tc>
      </w:tr>
      <w:tr w:rsidR="00650C77" w:rsidRPr="00650C77" w14:paraId="03234A1F" w14:textId="77777777" w:rsidTr="00F16622">
        <w:tc>
          <w:tcPr>
            <w:tcW w:w="3256" w:type="dxa"/>
            <w:shd w:val="clear" w:color="auto" w:fill="A5A5A5" w:themeFill="accent3"/>
          </w:tcPr>
          <w:p w14:paraId="7895C44A" w14:textId="77777777" w:rsidR="005E25B8" w:rsidRPr="00FE4501" w:rsidRDefault="005E25B8" w:rsidP="00F16622">
            <w:pPr>
              <w:rPr>
                <w:rFonts w:ascii="Arial" w:hAnsi="Arial" w:cs="Arial"/>
                <w:b/>
                <w:bCs/>
                <w:color w:val="000000" w:themeColor="text1"/>
              </w:rPr>
            </w:pPr>
            <w:r w:rsidRPr="00FE4501">
              <w:rPr>
                <w:rFonts w:ascii="Arial" w:hAnsi="Arial" w:cs="Arial"/>
                <w:b/>
                <w:bCs/>
                <w:color w:val="000000" w:themeColor="text1"/>
              </w:rPr>
              <w:t>Currency</w:t>
            </w:r>
          </w:p>
        </w:tc>
        <w:tc>
          <w:tcPr>
            <w:tcW w:w="5384" w:type="dxa"/>
            <w:shd w:val="clear" w:color="auto" w:fill="A5A5A5" w:themeFill="accent3"/>
          </w:tcPr>
          <w:p w14:paraId="249855E0" w14:textId="77777777" w:rsidR="005E25B8" w:rsidRPr="00650C77" w:rsidRDefault="005E25B8" w:rsidP="00F16622">
            <w:pPr>
              <w:rPr>
                <w:rFonts w:ascii="Arial" w:hAnsi="Arial" w:cs="Arial"/>
                <w:color w:val="000000" w:themeColor="text1"/>
              </w:rPr>
            </w:pPr>
            <w:r w:rsidRPr="00650C77">
              <w:rPr>
                <w:rFonts w:ascii="Arial" w:hAnsi="Arial" w:cs="Arial"/>
                <w:color w:val="000000" w:themeColor="text1"/>
              </w:rPr>
              <w:t>Post-2015 publications reflecting current NHS reforms</w:t>
            </w:r>
          </w:p>
        </w:tc>
      </w:tr>
      <w:tr w:rsidR="00650C77" w:rsidRPr="00650C77" w14:paraId="02650201" w14:textId="77777777" w:rsidTr="00F16622">
        <w:tc>
          <w:tcPr>
            <w:tcW w:w="3256" w:type="dxa"/>
            <w:shd w:val="clear" w:color="auto" w:fill="A5A5A5" w:themeFill="accent3"/>
          </w:tcPr>
          <w:p w14:paraId="7BDF2F45" w14:textId="77777777" w:rsidR="005E25B8" w:rsidRPr="00FE4501" w:rsidRDefault="005E25B8" w:rsidP="00F16622">
            <w:pPr>
              <w:rPr>
                <w:rFonts w:ascii="Arial" w:hAnsi="Arial" w:cs="Arial"/>
                <w:b/>
                <w:bCs/>
                <w:color w:val="000000" w:themeColor="text1"/>
              </w:rPr>
            </w:pPr>
            <w:r w:rsidRPr="00FE4501">
              <w:rPr>
                <w:rFonts w:ascii="Arial" w:hAnsi="Arial" w:cs="Arial"/>
                <w:b/>
                <w:bCs/>
                <w:color w:val="000000" w:themeColor="text1"/>
              </w:rPr>
              <w:t>Relevance</w:t>
            </w:r>
          </w:p>
        </w:tc>
        <w:tc>
          <w:tcPr>
            <w:tcW w:w="5384" w:type="dxa"/>
            <w:shd w:val="clear" w:color="auto" w:fill="A5A5A5" w:themeFill="accent3"/>
          </w:tcPr>
          <w:p w14:paraId="3C256A1F" w14:textId="77777777" w:rsidR="005E25B8" w:rsidRPr="00650C77" w:rsidRDefault="005E25B8" w:rsidP="00F16622">
            <w:pPr>
              <w:rPr>
                <w:rFonts w:ascii="Arial" w:hAnsi="Arial" w:cs="Arial"/>
                <w:color w:val="000000" w:themeColor="text1"/>
              </w:rPr>
            </w:pPr>
            <w:r w:rsidRPr="00650C77">
              <w:rPr>
                <w:rFonts w:ascii="Arial" w:hAnsi="Arial" w:cs="Arial"/>
                <w:color w:val="000000" w:themeColor="text1"/>
              </w:rPr>
              <w:t>Direct focus on schizophrenia treatment or service delivery</w:t>
            </w:r>
          </w:p>
        </w:tc>
      </w:tr>
      <w:tr w:rsidR="00650C77" w:rsidRPr="00650C77" w14:paraId="13046A8C" w14:textId="77777777" w:rsidTr="00F16622">
        <w:tc>
          <w:tcPr>
            <w:tcW w:w="3256" w:type="dxa"/>
            <w:shd w:val="clear" w:color="auto" w:fill="A5A5A5" w:themeFill="accent3"/>
          </w:tcPr>
          <w:p w14:paraId="780A9290" w14:textId="77777777" w:rsidR="005E25B8" w:rsidRPr="00FE4501" w:rsidRDefault="005E25B8" w:rsidP="00F16622">
            <w:pPr>
              <w:rPr>
                <w:rFonts w:ascii="Arial" w:hAnsi="Arial" w:cs="Arial"/>
                <w:b/>
                <w:bCs/>
                <w:color w:val="000000" w:themeColor="text1"/>
              </w:rPr>
            </w:pPr>
            <w:r w:rsidRPr="00FE4501">
              <w:rPr>
                <w:rFonts w:ascii="Arial" w:hAnsi="Arial" w:cs="Arial"/>
                <w:b/>
                <w:bCs/>
                <w:color w:val="000000" w:themeColor="text1"/>
              </w:rPr>
              <w:t>Authority</w:t>
            </w:r>
          </w:p>
        </w:tc>
        <w:tc>
          <w:tcPr>
            <w:tcW w:w="5384" w:type="dxa"/>
            <w:shd w:val="clear" w:color="auto" w:fill="A5A5A5" w:themeFill="accent3"/>
          </w:tcPr>
          <w:p w14:paraId="48A592FA" w14:textId="77777777" w:rsidR="005E25B8" w:rsidRPr="00650C77" w:rsidRDefault="005E25B8" w:rsidP="00F16622">
            <w:pPr>
              <w:rPr>
                <w:rFonts w:ascii="Arial" w:hAnsi="Arial" w:cs="Arial"/>
                <w:color w:val="000000" w:themeColor="text1"/>
              </w:rPr>
            </w:pPr>
            <w:r w:rsidRPr="00650C77">
              <w:rPr>
                <w:rFonts w:ascii="Arial" w:hAnsi="Arial" w:cs="Arial"/>
                <w:color w:val="000000" w:themeColor="text1"/>
              </w:rPr>
              <w:t>NHS England, NICE, CQC, peer-reviewed journals</w:t>
            </w:r>
          </w:p>
        </w:tc>
      </w:tr>
      <w:tr w:rsidR="00650C77" w:rsidRPr="00650C77" w14:paraId="7C9473E2" w14:textId="77777777" w:rsidTr="00F16622">
        <w:tc>
          <w:tcPr>
            <w:tcW w:w="3256" w:type="dxa"/>
            <w:shd w:val="clear" w:color="auto" w:fill="A5A5A5" w:themeFill="accent3"/>
          </w:tcPr>
          <w:p w14:paraId="2B783BA7" w14:textId="77777777" w:rsidR="005E25B8" w:rsidRPr="00FE4501" w:rsidRDefault="005E25B8" w:rsidP="00F16622">
            <w:pPr>
              <w:rPr>
                <w:rFonts w:ascii="Arial" w:hAnsi="Arial" w:cs="Arial"/>
                <w:b/>
                <w:bCs/>
                <w:color w:val="000000" w:themeColor="text1"/>
              </w:rPr>
            </w:pPr>
            <w:r w:rsidRPr="00FE4501">
              <w:rPr>
                <w:rFonts w:ascii="Arial" w:hAnsi="Arial" w:cs="Arial"/>
                <w:b/>
                <w:bCs/>
                <w:color w:val="000000" w:themeColor="text1"/>
              </w:rPr>
              <w:t>Accuracy</w:t>
            </w:r>
          </w:p>
        </w:tc>
        <w:tc>
          <w:tcPr>
            <w:tcW w:w="5384" w:type="dxa"/>
            <w:shd w:val="clear" w:color="auto" w:fill="A5A5A5" w:themeFill="accent3"/>
          </w:tcPr>
          <w:p w14:paraId="3E953163" w14:textId="77777777" w:rsidR="005E25B8" w:rsidRPr="00650C77" w:rsidRDefault="005E25B8" w:rsidP="00F16622">
            <w:pPr>
              <w:rPr>
                <w:rFonts w:ascii="Arial" w:hAnsi="Arial" w:cs="Arial"/>
                <w:color w:val="000000" w:themeColor="text1"/>
              </w:rPr>
            </w:pPr>
            <w:r w:rsidRPr="00650C77">
              <w:rPr>
                <w:rFonts w:ascii="Arial" w:hAnsi="Arial" w:cs="Arial"/>
                <w:color w:val="000000" w:themeColor="text1"/>
              </w:rPr>
              <w:t>Evidence-based findings with transparent methodology</w:t>
            </w:r>
          </w:p>
        </w:tc>
      </w:tr>
      <w:tr w:rsidR="00650C77" w:rsidRPr="00650C77" w14:paraId="43E8335D" w14:textId="77777777" w:rsidTr="00F16622">
        <w:tc>
          <w:tcPr>
            <w:tcW w:w="3256" w:type="dxa"/>
            <w:shd w:val="clear" w:color="auto" w:fill="A5A5A5" w:themeFill="accent3"/>
          </w:tcPr>
          <w:p w14:paraId="662EABE5" w14:textId="77777777" w:rsidR="005E25B8" w:rsidRPr="00FE4501" w:rsidRDefault="005E25B8" w:rsidP="00F16622">
            <w:pPr>
              <w:rPr>
                <w:rFonts w:ascii="Arial" w:hAnsi="Arial" w:cs="Arial"/>
                <w:b/>
                <w:bCs/>
                <w:color w:val="000000" w:themeColor="text1"/>
              </w:rPr>
            </w:pPr>
            <w:r w:rsidRPr="00FE4501">
              <w:rPr>
                <w:rFonts w:ascii="Arial" w:hAnsi="Arial" w:cs="Arial"/>
                <w:b/>
                <w:bCs/>
                <w:color w:val="000000" w:themeColor="text1"/>
              </w:rPr>
              <w:t>Purpose</w:t>
            </w:r>
          </w:p>
        </w:tc>
        <w:tc>
          <w:tcPr>
            <w:tcW w:w="5384" w:type="dxa"/>
            <w:shd w:val="clear" w:color="auto" w:fill="A5A5A5" w:themeFill="accent3"/>
          </w:tcPr>
          <w:p w14:paraId="278567B4" w14:textId="77777777" w:rsidR="005E25B8" w:rsidRPr="00650C77" w:rsidRDefault="005E25B8" w:rsidP="00F16622">
            <w:pPr>
              <w:rPr>
                <w:rFonts w:ascii="Arial" w:hAnsi="Arial" w:cs="Arial"/>
                <w:color w:val="000000" w:themeColor="text1"/>
              </w:rPr>
            </w:pPr>
            <w:r w:rsidRPr="00650C77">
              <w:rPr>
                <w:rFonts w:ascii="Arial" w:hAnsi="Arial" w:cs="Arial"/>
                <w:color w:val="000000" w:themeColor="text1"/>
              </w:rPr>
              <w:t>Informative and evaluative rather than persuasive</w:t>
            </w:r>
          </w:p>
        </w:tc>
      </w:tr>
    </w:tbl>
    <w:p w14:paraId="006059AF" w14:textId="77777777" w:rsidR="000C6588" w:rsidRDefault="000C6588" w:rsidP="00610101">
      <w:pPr>
        <w:spacing w:before="100" w:beforeAutospacing="1" w:after="100" w:afterAutospacing="1" w:line="360" w:lineRule="auto"/>
        <w:jc w:val="both"/>
        <w:outlineLvl w:val="2"/>
        <w:rPr>
          <w:rFonts w:ascii="Arial" w:eastAsia="Times New Roman" w:hAnsi="Arial" w:cs="Arial"/>
          <w:b/>
          <w:bCs/>
          <w:color w:val="000000" w:themeColor="text1"/>
          <w:kern w:val="0"/>
          <w:sz w:val="28"/>
          <w:szCs w:val="28"/>
          <w:lang w:eastAsia="en-GB"/>
          <w14:ligatures w14:val="none"/>
        </w:rPr>
      </w:pPr>
    </w:p>
    <w:p w14:paraId="0C1933F7" w14:textId="4ACEF380" w:rsidR="00610101" w:rsidRPr="00650C77"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 xml:space="preserve">3.5 – Inclusion and Exclusion Criteria </w:t>
      </w:r>
    </w:p>
    <w:p w14:paraId="3AE36DB5" w14:textId="77777777" w:rsidR="00AF06CF" w:rsidRPr="00650C77" w:rsidRDefault="00AF06CF" w:rsidP="00AF06CF">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Sources were included if published between 2015 and 2025, and if they were peer-reviewed or from reputable organisations such as NHS England, NICE, or the CQC. Priority was given to studies on schizophrenia, psychosis, and UK service delivery, with relevant international research included where applicable.</w:t>
      </w:r>
    </w:p>
    <w:p w14:paraId="41F47F43" w14:textId="77777777" w:rsidR="00AF06CF" w:rsidRPr="00650C77" w:rsidRDefault="00AF06CF" w:rsidP="00AF06CF">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Sources were excluded if outdated, non-English, non-peer-reviewed, or not specific to schizophrenia. Opinion-based and non-empirical sources were also excluded to ensure academic quality and relevance (Aveyard, 2019).</w:t>
      </w:r>
    </w:p>
    <w:p w14:paraId="332CD580" w14:textId="397F04D5" w:rsidR="00610101" w:rsidRPr="00650C77" w:rsidRDefault="00610101" w:rsidP="00610101">
      <w:pPr>
        <w:keepNext/>
        <w:keepLines/>
        <w:spacing w:before="160" w:after="80"/>
        <w:jc w:val="both"/>
        <w:outlineLvl w:val="1"/>
        <w:rPr>
          <w:rFonts w:ascii="Arial" w:eastAsiaTheme="majorEastAsia" w:hAnsi="Arial" w:cs="Arial"/>
          <w:b/>
          <w:bCs/>
          <w:color w:val="000000" w:themeColor="text1"/>
        </w:rPr>
      </w:pPr>
      <w:r w:rsidRPr="00650C77">
        <w:rPr>
          <w:rFonts w:ascii="Arial" w:eastAsiaTheme="majorEastAsia" w:hAnsi="Arial" w:cs="Arial"/>
          <w:b/>
          <w:bCs/>
          <w:color w:val="000000" w:themeColor="text1"/>
        </w:rPr>
        <w:t>Table</w:t>
      </w:r>
      <w:r w:rsidR="00AF06CF" w:rsidRPr="00650C77">
        <w:rPr>
          <w:rFonts w:ascii="Arial" w:eastAsiaTheme="majorEastAsia" w:hAnsi="Arial" w:cs="Arial"/>
          <w:b/>
          <w:bCs/>
          <w:color w:val="000000" w:themeColor="text1"/>
        </w:rPr>
        <w:t>3.5.1</w:t>
      </w:r>
      <w:r w:rsidRPr="00650C77">
        <w:rPr>
          <w:rFonts w:ascii="Arial" w:eastAsiaTheme="majorEastAsia" w:hAnsi="Arial" w:cs="Arial"/>
          <w:b/>
          <w:bCs/>
          <w:color w:val="000000" w:themeColor="text1"/>
        </w:rPr>
        <w:t>: Inclusion and Exclusion Criteria</w:t>
      </w:r>
    </w:p>
    <w:tbl>
      <w:tblPr>
        <w:tblStyle w:val="TableGrid"/>
        <w:tblW w:w="0" w:type="auto"/>
        <w:tblInd w:w="0" w:type="dxa"/>
        <w:tblLook w:val="04A0" w:firstRow="1" w:lastRow="0" w:firstColumn="1" w:lastColumn="0" w:noHBand="0" w:noVBand="1"/>
      </w:tblPr>
      <w:tblGrid>
        <w:gridCol w:w="4320"/>
        <w:gridCol w:w="4320"/>
      </w:tblGrid>
      <w:tr w:rsidR="00650C77" w:rsidRPr="00650C77" w14:paraId="7B10CEB3" w14:textId="77777777" w:rsidTr="005010BF">
        <w:tc>
          <w:tcPr>
            <w:tcW w:w="4320" w:type="dxa"/>
            <w:shd w:val="clear" w:color="auto" w:fill="A5A5A5" w:themeFill="accent3"/>
          </w:tcPr>
          <w:p w14:paraId="5A07551B" w14:textId="77777777" w:rsidR="00610101" w:rsidRPr="00650C77" w:rsidRDefault="00610101" w:rsidP="00610101">
            <w:pPr>
              <w:jc w:val="both"/>
              <w:rPr>
                <w:rFonts w:ascii="Arial" w:hAnsi="Arial" w:cs="Arial"/>
                <w:b/>
                <w:bCs/>
                <w:color w:val="000000" w:themeColor="text1"/>
              </w:rPr>
            </w:pPr>
            <w:r w:rsidRPr="00650C77">
              <w:rPr>
                <w:rFonts w:ascii="Arial" w:hAnsi="Arial" w:cs="Arial"/>
                <w:b/>
                <w:bCs/>
                <w:color w:val="000000" w:themeColor="text1"/>
              </w:rPr>
              <w:t>Inclusion Criteria</w:t>
            </w:r>
          </w:p>
        </w:tc>
        <w:tc>
          <w:tcPr>
            <w:tcW w:w="4320" w:type="dxa"/>
            <w:shd w:val="clear" w:color="auto" w:fill="A5A5A5" w:themeFill="accent3"/>
          </w:tcPr>
          <w:p w14:paraId="6658E331" w14:textId="77777777" w:rsidR="00610101" w:rsidRPr="00650C77" w:rsidRDefault="00610101" w:rsidP="00610101">
            <w:pPr>
              <w:jc w:val="both"/>
              <w:rPr>
                <w:rFonts w:ascii="Arial" w:hAnsi="Arial" w:cs="Arial"/>
                <w:b/>
                <w:bCs/>
                <w:color w:val="000000" w:themeColor="text1"/>
              </w:rPr>
            </w:pPr>
            <w:r w:rsidRPr="00650C77">
              <w:rPr>
                <w:rFonts w:ascii="Arial" w:hAnsi="Arial" w:cs="Arial"/>
                <w:b/>
                <w:bCs/>
                <w:color w:val="000000" w:themeColor="text1"/>
              </w:rPr>
              <w:t>Exclusion Criteria</w:t>
            </w:r>
          </w:p>
        </w:tc>
      </w:tr>
      <w:tr w:rsidR="00650C77" w:rsidRPr="00650C77" w14:paraId="7BE18D8C" w14:textId="77777777" w:rsidTr="005010BF">
        <w:tc>
          <w:tcPr>
            <w:tcW w:w="4320" w:type="dxa"/>
            <w:shd w:val="clear" w:color="auto" w:fill="A5A5A5" w:themeFill="accent3"/>
          </w:tcPr>
          <w:p w14:paraId="4ED6AB8D" w14:textId="77777777" w:rsidR="00610101" w:rsidRPr="00650C77" w:rsidRDefault="00610101" w:rsidP="00610101">
            <w:pPr>
              <w:jc w:val="both"/>
              <w:rPr>
                <w:rFonts w:ascii="Arial" w:hAnsi="Arial" w:cs="Arial"/>
                <w:color w:val="000000" w:themeColor="text1"/>
              </w:rPr>
            </w:pPr>
            <w:r w:rsidRPr="00650C77">
              <w:rPr>
                <w:rFonts w:ascii="Arial" w:hAnsi="Arial" w:cs="Arial"/>
                <w:color w:val="000000" w:themeColor="text1"/>
              </w:rPr>
              <w:t>Published 2015–2025</w:t>
            </w:r>
          </w:p>
        </w:tc>
        <w:tc>
          <w:tcPr>
            <w:tcW w:w="4320" w:type="dxa"/>
            <w:shd w:val="clear" w:color="auto" w:fill="A5A5A5" w:themeFill="accent3"/>
          </w:tcPr>
          <w:p w14:paraId="1C802A40" w14:textId="77777777" w:rsidR="00610101" w:rsidRPr="00650C77" w:rsidRDefault="00610101" w:rsidP="00610101">
            <w:pPr>
              <w:jc w:val="both"/>
              <w:rPr>
                <w:rFonts w:ascii="Arial" w:hAnsi="Arial" w:cs="Arial"/>
                <w:color w:val="000000" w:themeColor="text1"/>
              </w:rPr>
            </w:pPr>
            <w:r w:rsidRPr="00650C77">
              <w:rPr>
                <w:rFonts w:ascii="Arial" w:hAnsi="Arial" w:cs="Arial"/>
                <w:color w:val="000000" w:themeColor="text1"/>
              </w:rPr>
              <w:t>Published before 2015 unless seminal</w:t>
            </w:r>
          </w:p>
        </w:tc>
      </w:tr>
      <w:tr w:rsidR="00650C77" w:rsidRPr="00650C77" w14:paraId="511E9D55" w14:textId="77777777" w:rsidTr="005010BF">
        <w:tc>
          <w:tcPr>
            <w:tcW w:w="4320" w:type="dxa"/>
            <w:shd w:val="clear" w:color="auto" w:fill="A5A5A5" w:themeFill="accent3"/>
          </w:tcPr>
          <w:p w14:paraId="17002BD3" w14:textId="77777777" w:rsidR="00610101" w:rsidRPr="00650C77" w:rsidRDefault="00610101" w:rsidP="00610101">
            <w:pPr>
              <w:jc w:val="both"/>
              <w:rPr>
                <w:rFonts w:ascii="Arial" w:hAnsi="Arial" w:cs="Arial"/>
                <w:color w:val="000000" w:themeColor="text1"/>
              </w:rPr>
            </w:pPr>
            <w:r w:rsidRPr="00650C77">
              <w:rPr>
                <w:rFonts w:ascii="Arial" w:hAnsi="Arial" w:cs="Arial"/>
                <w:color w:val="000000" w:themeColor="text1"/>
              </w:rPr>
              <w:t>Peer-reviewed or official reports</w:t>
            </w:r>
          </w:p>
        </w:tc>
        <w:tc>
          <w:tcPr>
            <w:tcW w:w="4320" w:type="dxa"/>
            <w:shd w:val="clear" w:color="auto" w:fill="A5A5A5" w:themeFill="accent3"/>
          </w:tcPr>
          <w:p w14:paraId="7C9DE9C8" w14:textId="77777777" w:rsidR="00610101" w:rsidRPr="00650C77" w:rsidRDefault="00610101" w:rsidP="00610101">
            <w:pPr>
              <w:jc w:val="both"/>
              <w:rPr>
                <w:rFonts w:ascii="Arial" w:hAnsi="Arial" w:cs="Arial"/>
                <w:color w:val="000000" w:themeColor="text1"/>
              </w:rPr>
            </w:pPr>
            <w:r w:rsidRPr="00650C77">
              <w:rPr>
                <w:rFonts w:ascii="Arial" w:hAnsi="Arial" w:cs="Arial"/>
                <w:color w:val="000000" w:themeColor="text1"/>
              </w:rPr>
              <w:t>Blogs, opinion pieces, media articles</w:t>
            </w:r>
          </w:p>
        </w:tc>
      </w:tr>
      <w:tr w:rsidR="00650C77" w:rsidRPr="00650C77" w14:paraId="2C57FF7B" w14:textId="77777777" w:rsidTr="005010BF">
        <w:tc>
          <w:tcPr>
            <w:tcW w:w="4320" w:type="dxa"/>
            <w:shd w:val="clear" w:color="auto" w:fill="A5A5A5" w:themeFill="accent3"/>
          </w:tcPr>
          <w:p w14:paraId="1E86B380" w14:textId="77777777" w:rsidR="00610101" w:rsidRPr="00650C77" w:rsidRDefault="00610101" w:rsidP="00610101">
            <w:pPr>
              <w:jc w:val="both"/>
              <w:rPr>
                <w:rFonts w:ascii="Arial" w:hAnsi="Arial" w:cs="Arial"/>
                <w:color w:val="000000" w:themeColor="text1"/>
              </w:rPr>
            </w:pPr>
            <w:r w:rsidRPr="00650C77">
              <w:rPr>
                <w:rFonts w:ascii="Arial" w:hAnsi="Arial" w:cs="Arial"/>
                <w:color w:val="000000" w:themeColor="text1"/>
              </w:rPr>
              <w:t>UK-based or UK-relevant studies</w:t>
            </w:r>
          </w:p>
        </w:tc>
        <w:tc>
          <w:tcPr>
            <w:tcW w:w="4320" w:type="dxa"/>
            <w:shd w:val="clear" w:color="auto" w:fill="A5A5A5" w:themeFill="accent3"/>
          </w:tcPr>
          <w:p w14:paraId="30A10560" w14:textId="77777777" w:rsidR="00610101" w:rsidRPr="00650C77" w:rsidRDefault="00610101" w:rsidP="00610101">
            <w:pPr>
              <w:jc w:val="both"/>
              <w:rPr>
                <w:rFonts w:ascii="Arial" w:hAnsi="Arial" w:cs="Arial"/>
                <w:color w:val="000000" w:themeColor="text1"/>
              </w:rPr>
            </w:pPr>
            <w:r w:rsidRPr="00650C77">
              <w:rPr>
                <w:rFonts w:ascii="Arial" w:hAnsi="Arial" w:cs="Arial"/>
                <w:color w:val="000000" w:themeColor="text1"/>
              </w:rPr>
              <w:t>Non-transferable international systems</w:t>
            </w:r>
          </w:p>
        </w:tc>
      </w:tr>
      <w:tr w:rsidR="00650C77" w:rsidRPr="00650C77" w14:paraId="6DCDF1A5" w14:textId="77777777" w:rsidTr="005010BF">
        <w:tc>
          <w:tcPr>
            <w:tcW w:w="4320" w:type="dxa"/>
            <w:shd w:val="clear" w:color="auto" w:fill="A5A5A5" w:themeFill="accent3"/>
          </w:tcPr>
          <w:p w14:paraId="46F0CFB9" w14:textId="77777777" w:rsidR="00610101" w:rsidRPr="00650C77" w:rsidRDefault="00610101" w:rsidP="00610101">
            <w:pPr>
              <w:jc w:val="both"/>
              <w:rPr>
                <w:rFonts w:ascii="Arial" w:hAnsi="Arial" w:cs="Arial"/>
                <w:color w:val="000000" w:themeColor="text1"/>
              </w:rPr>
            </w:pPr>
            <w:r w:rsidRPr="00650C77">
              <w:rPr>
                <w:rFonts w:ascii="Arial" w:hAnsi="Arial" w:cs="Arial"/>
                <w:color w:val="000000" w:themeColor="text1"/>
              </w:rPr>
              <w:t>Focus on schizophrenia/psychosis</w:t>
            </w:r>
          </w:p>
        </w:tc>
        <w:tc>
          <w:tcPr>
            <w:tcW w:w="4320" w:type="dxa"/>
            <w:shd w:val="clear" w:color="auto" w:fill="A5A5A5" w:themeFill="accent3"/>
          </w:tcPr>
          <w:p w14:paraId="1F5DD555" w14:textId="77777777" w:rsidR="00610101" w:rsidRPr="00650C77" w:rsidRDefault="00610101" w:rsidP="00610101">
            <w:pPr>
              <w:jc w:val="both"/>
              <w:rPr>
                <w:rFonts w:ascii="Arial" w:hAnsi="Arial" w:cs="Arial"/>
                <w:color w:val="000000" w:themeColor="text1"/>
              </w:rPr>
            </w:pPr>
            <w:r w:rsidRPr="00650C77">
              <w:rPr>
                <w:rFonts w:ascii="Arial" w:hAnsi="Arial" w:cs="Arial"/>
                <w:color w:val="000000" w:themeColor="text1"/>
              </w:rPr>
              <w:t>General mental health without relevance</w:t>
            </w:r>
          </w:p>
        </w:tc>
      </w:tr>
      <w:tr w:rsidR="00610101" w:rsidRPr="00650C77" w14:paraId="264051A4" w14:textId="77777777" w:rsidTr="005010BF">
        <w:tc>
          <w:tcPr>
            <w:tcW w:w="4320" w:type="dxa"/>
            <w:shd w:val="clear" w:color="auto" w:fill="A5A5A5" w:themeFill="accent3"/>
          </w:tcPr>
          <w:p w14:paraId="10BC49FF" w14:textId="77777777" w:rsidR="00610101" w:rsidRPr="00650C77" w:rsidRDefault="00610101" w:rsidP="00610101">
            <w:pPr>
              <w:jc w:val="both"/>
              <w:rPr>
                <w:rFonts w:ascii="Arial" w:hAnsi="Arial" w:cs="Arial"/>
                <w:color w:val="000000" w:themeColor="text1"/>
              </w:rPr>
            </w:pPr>
            <w:r w:rsidRPr="00650C77">
              <w:rPr>
                <w:rFonts w:ascii="Arial" w:hAnsi="Arial" w:cs="Arial"/>
                <w:color w:val="000000" w:themeColor="text1"/>
              </w:rPr>
              <w:t>Treatment pathways or service delivery focus</w:t>
            </w:r>
          </w:p>
        </w:tc>
        <w:tc>
          <w:tcPr>
            <w:tcW w:w="4320" w:type="dxa"/>
            <w:shd w:val="clear" w:color="auto" w:fill="A5A5A5" w:themeFill="accent3"/>
          </w:tcPr>
          <w:p w14:paraId="226F6347" w14:textId="77777777" w:rsidR="00610101" w:rsidRPr="00650C77" w:rsidRDefault="00610101" w:rsidP="00610101">
            <w:pPr>
              <w:jc w:val="both"/>
              <w:rPr>
                <w:rFonts w:ascii="Arial" w:hAnsi="Arial" w:cs="Arial"/>
                <w:color w:val="000000" w:themeColor="text1"/>
              </w:rPr>
            </w:pPr>
            <w:r w:rsidRPr="00650C77">
              <w:rPr>
                <w:rFonts w:ascii="Arial" w:hAnsi="Arial" w:cs="Arial"/>
                <w:color w:val="000000" w:themeColor="text1"/>
              </w:rPr>
              <w:t>Non-empirical commentary</w:t>
            </w:r>
          </w:p>
        </w:tc>
      </w:tr>
    </w:tbl>
    <w:p w14:paraId="7E9B1B5E" w14:textId="77777777" w:rsidR="002E387E" w:rsidRPr="00650C77" w:rsidRDefault="002E387E" w:rsidP="00610101">
      <w:pPr>
        <w:spacing w:after="0" w:line="240" w:lineRule="auto"/>
        <w:rPr>
          <w:rFonts w:ascii="Arial" w:eastAsia="Times New Roman" w:hAnsi="Arial" w:cs="Arial"/>
          <w:color w:val="000000" w:themeColor="text1"/>
          <w:kern w:val="0"/>
          <w:sz w:val="24"/>
          <w:szCs w:val="24"/>
          <w:lang w:eastAsia="en-GB"/>
          <w14:ligatures w14:val="none"/>
        </w:rPr>
      </w:pPr>
    </w:p>
    <w:p w14:paraId="43517E22" w14:textId="77777777" w:rsidR="000C6588" w:rsidRPr="000C6588" w:rsidRDefault="000C6588" w:rsidP="000C6588">
      <w:pPr>
        <w:spacing w:before="100" w:beforeAutospacing="1" w:after="100" w:afterAutospacing="1" w:line="360" w:lineRule="auto"/>
        <w:jc w:val="both"/>
        <w:outlineLvl w:val="2"/>
        <w:rPr>
          <w:rFonts w:ascii="Arial" w:eastAsia="Times New Roman" w:hAnsi="Arial" w:cs="Arial"/>
          <w:b/>
          <w:bCs/>
          <w:kern w:val="0"/>
          <w:sz w:val="28"/>
          <w:szCs w:val="28"/>
          <w:lang w:eastAsia="en-GB"/>
          <w14:ligatures w14:val="none"/>
        </w:rPr>
      </w:pPr>
      <w:r w:rsidRPr="000C6588">
        <w:rPr>
          <w:rFonts w:ascii="Arial" w:eastAsia="Times New Roman" w:hAnsi="Arial" w:cs="Arial"/>
          <w:b/>
          <w:bCs/>
          <w:kern w:val="0"/>
          <w:sz w:val="28"/>
          <w:szCs w:val="28"/>
          <w:lang w:eastAsia="en-GB"/>
          <w14:ligatures w14:val="none"/>
        </w:rPr>
        <w:t>3.6 Data Analysis (Thematic Analysis)</w:t>
      </w:r>
    </w:p>
    <w:p w14:paraId="2244B8F0" w14:textId="44917431" w:rsidR="000C6588" w:rsidRDefault="000C6588" w:rsidP="000C6588">
      <w:pPr>
        <w:spacing w:before="100" w:beforeAutospacing="1" w:after="100" w:afterAutospacing="1" w:line="360" w:lineRule="auto"/>
        <w:jc w:val="both"/>
        <w:rPr>
          <w:rFonts w:ascii="Arial" w:eastAsia="Times New Roman" w:hAnsi="Arial" w:cs="Arial"/>
          <w:kern w:val="0"/>
          <w:lang w:eastAsia="en-GB"/>
          <w14:ligatures w14:val="none"/>
        </w:rPr>
      </w:pPr>
      <w:r w:rsidRPr="000C6588">
        <w:rPr>
          <w:rFonts w:ascii="Arial" w:eastAsia="Times New Roman" w:hAnsi="Arial" w:cs="Arial"/>
          <w:kern w:val="0"/>
          <w:lang w:eastAsia="en-GB"/>
          <w14:ligatures w14:val="none"/>
        </w:rPr>
        <w:t>The data were analysed using thematic analysis, following the framework by Braun and Clarke (2019). This method was chosen as it allows patterns to be identified across different sources, including academic literature and policy documents. The analysis involved two main stages: coding and theme development.</w:t>
      </w:r>
    </w:p>
    <w:p w14:paraId="7D50B70C" w14:textId="77777777" w:rsidR="000C6588" w:rsidRDefault="000C6588" w:rsidP="000C6588">
      <w:pPr>
        <w:spacing w:before="100" w:beforeAutospacing="1" w:after="100" w:afterAutospacing="1" w:line="360" w:lineRule="auto"/>
        <w:jc w:val="both"/>
        <w:rPr>
          <w:rFonts w:ascii="Arial" w:eastAsia="Times New Roman" w:hAnsi="Arial" w:cs="Arial"/>
          <w:kern w:val="0"/>
          <w:lang w:eastAsia="en-GB"/>
          <w14:ligatures w14:val="none"/>
        </w:rPr>
      </w:pPr>
    </w:p>
    <w:p w14:paraId="24BB62DB" w14:textId="77777777" w:rsidR="000C6588" w:rsidRPr="000C6588" w:rsidRDefault="000C6588" w:rsidP="000C6588">
      <w:pPr>
        <w:spacing w:before="100" w:beforeAutospacing="1" w:after="100" w:afterAutospacing="1" w:line="360" w:lineRule="auto"/>
        <w:jc w:val="both"/>
        <w:rPr>
          <w:rFonts w:ascii="Arial" w:eastAsia="Times New Roman" w:hAnsi="Arial" w:cs="Arial"/>
          <w:kern w:val="0"/>
          <w:lang w:eastAsia="en-GB"/>
          <w14:ligatures w14:val="none"/>
        </w:rPr>
      </w:pPr>
    </w:p>
    <w:p w14:paraId="4177A521" w14:textId="1B235D96" w:rsidR="000C6588" w:rsidRPr="000C6588" w:rsidRDefault="000C6588" w:rsidP="000C6588">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0C6588">
        <w:rPr>
          <w:rFonts w:ascii="Arial" w:eastAsia="Times New Roman" w:hAnsi="Arial" w:cs="Arial"/>
          <w:b/>
          <w:bCs/>
          <w:kern w:val="0"/>
          <w:sz w:val="24"/>
          <w:szCs w:val="24"/>
          <w:lang w:eastAsia="en-GB"/>
          <w14:ligatures w14:val="none"/>
        </w:rPr>
        <w:t>3.6.1 Coding Process</w:t>
      </w:r>
      <w:r w:rsidRPr="000C6588">
        <w:rPr>
          <w:rFonts w:ascii="Arial" w:eastAsia="Times New Roman" w:hAnsi="Arial" w:cs="Arial"/>
          <w:b/>
          <w:bCs/>
          <w:kern w:val="0"/>
          <w:sz w:val="24"/>
          <w:szCs w:val="24"/>
          <w:lang w:eastAsia="en-GB"/>
          <w14:ligatures w14:val="none"/>
        </w:rPr>
        <w:t>:</w:t>
      </w:r>
    </w:p>
    <w:p w14:paraId="2606C9F1" w14:textId="77777777" w:rsidR="000C6588" w:rsidRPr="000C6588" w:rsidRDefault="000C6588" w:rsidP="000C6588">
      <w:pPr>
        <w:spacing w:before="100" w:beforeAutospacing="1" w:after="100" w:afterAutospacing="1" w:line="360" w:lineRule="auto"/>
        <w:jc w:val="both"/>
        <w:rPr>
          <w:rFonts w:ascii="Arial" w:eastAsia="Times New Roman" w:hAnsi="Arial" w:cs="Arial"/>
          <w:kern w:val="0"/>
          <w:lang w:eastAsia="en-GB"/>
          <w14:ligatures w14:val="none"/>
        </w:rPr>
      </w:pPr>
      <w:r w:rsidRPr="000C6588">
        <w:rPr>
          <w:rFonts w:ascii="Arial" w:eastAsia="Times New Roman" w:hAnsi="Arial" w:cs="Arial"/>
          <w:kern w:val="0"/>
          <w:lang w:eastAsia="en-GB"/>
          <w14:ligatures w14:val="none"/>
        </w:rPr>
        <w:t xml:space="preserve">All selected sources were read carefully to identify key ideas related to schizophrenia treatment pathways and service delivery. Initial codes were created to capture important concepts, such as “EIP wait times,” “service fragmentation,” and “access to </w:t>
      </w:r>
      <w:proofErr w:type="spellStart"/>
      <w:r w:rsidRPr="000C6588">
        <w:rPr>
          <w:rFonts w:ascii="Arial" w:eastAsia="Times New Roman" w:hAnsi="Arial" w:cs="Arial"/>
          <w:kern w:val="0"/>
          <w:lang w:eastAsia="en-GB"/>
          <w14:ligatures w14:val="none"/>
        </w:rPr>
        <w:t>CBTp</w:t>
      </w:r>
      <w:proofErr w:type="spellEnd"/>
      <w:r w:rsidRPr="000C6588">
        <w:rPr>
          <w:rFonts w:ascii="Arial" w:eastAsia="Times New Roman" w:hAnsi="Arial" w:cs="Arial"/>
          <w:kern w:val="0"/>
          <w:lang w:eastAsia="en-GB"/>
          <w14:ligatures w14:val="none"/>
        </w:rPr>
        <w:t>.”</w:t>
      </w:r>
    </w:p>
    <w:p w14:paraId="7511CCD4" w14:textId="77777777" w:rsidR="000C6588" w:rsidRPr="000C6588" w:rsidRDefault="000C6588" w:rsidP="000C6588">
      <w:pPr>
        <w:spacing w:before="100" w:beforeAutospacing="1" w:after="100" w:afterAutospacing="1" w:line="360" w:lineRule="auto"/>
        <w:jc w:val="both"/>
        <w:rPr>
          <w:rFonts w:ascii="Arial" w:eastAsia="Times New Roman" w:hAnsi="Arial" w:cs="Arial"/>
          <w:kern w:val="0"/>
          <w:lang w:eastAsia="en-GB"/>
          <w14:ligatures w14:val="none"/>
        </w:rPr>
      </w:pPr>
      <w:r w:rsidRPr="000C6588">
        <w:rPr>
          <w:rFonts w:ascii="Arial" w:eastAsia="Times New Roman" w:hAnsi="Arial" w:cs="Arial"/>
          <w:kern w:val="0"/>
          <w:lang w:eastAsia="en-GB"/>
          <w14:ligatures w14:val="none"/>
        </w:rPr>
        <w:t>These codes were organised using a structured data extraction table (</w:t>
      </w:r>
      <w:r w:rsidRPr="000C6588">
        <w:rPr>
          <w:rFonts w:ascii="Arial" w:eastAsia="Times New Roman" w:hAnsi="Arial" w:cs="Arial"/>
          <w:b/>
          <w:bCs/>
          <w:kern w:val="0"/>
          <w:lang w:eastAsia="en-GB"/>
          <w14:ligatures w14:val="none"/>
        </w:rPr>
        <w:t>Appendix 7.2</w:t>
      </w:r>
      <w:r w:rsidRPr="000C6588">
        <w:rPr>
          <w:rFonts w:ascii="Arial" w:eastAsia="Times New Roman" w:hAnsi="Arial" w:cs="Arial"/>
          <w:kern w:val="0"/>
          <w:lang w:eastAsia="en-GB"/>
          <w14:ligatures w14:val="none"/>
        </w:rPr>
        <w:t xml:space="preserve">) and further supported by a coding framework presented in </w:t>
      </w:r>
      <w:r w:rsidRPr="000C6588">
        <w:rPr>
          <w:rFonts w:ascii="Arial" w:eastAsia="Times New Roman" w:hAnsi="Arial" w:cs="Arial"/>
          <w:b/>
          <w:bCs/>
          <w:kern w:val="0"/>
          <w:lang w:eastAsia="en-GB"/>
          <w14:ligatures w14:val="none"/>
        </w:rPr>
        <w:t>Appendix 7.3</w:t>
      </w:r>
      <w:r w:rsidRPr="000C6588">
        <w:rPr>
          <w:rFonts w:ascii="Arial" w:eastAsia="Times New Roman" w:hAnsi="Arial" w:cs="Arial"/>
          <w:kern w:val="0"/>
          <w:lang w:eastAsia="en-GB"/>
          <w14:ligatures w14:val="none"/>
        </w:rPr>
        <w:t>. This process helped ensure consistency, clarity, and transparency in linking evidence to the analysis (Braun and Clarke, 2019).</w:t>
      </w:r>
    </w:p>
    <w:p w14:paraId="2BBB5F3A" w14:textId="7EB130E0" w:rsidR="000C6588" w:rsidRPr="000C6588" w:rsidRDefault="000C6588" w:rsidP="000C658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C6588">
        <w:rPr>
          <w:rFonts w:ascii="Arial" w:eastAsia="Times New Roman" w:hAnsi="Arial" w:cs="Arial"/>
          <w:b/>
          <w:bCs/>
          <w:kern w:val="0"/>
          <w:sz w:val="24"/>
          <w:szCs w:val="24"/>
          <w:lang w:eastAsia="en-GB"/>
          <w14:ligatures w14:val="none"/>
        </w:rPr>
        <w:t>3.6.2 Theme Development</w:t>
      </w:r>
      <w:r>
        <w:rPr>
          <w:rFonts w:ascii="Arial" w:eastAsia="Times New Roman" w:hAnsi="Arial" w:cs="Arial"/>
          <w:b/>
          <w:bCs/>
          <w:kern w:val="0"/>
          <w:sz w:val="24"/>
          <w:szCs w:val="24"/>
          <w:lang w:eastAsia="en-GB"/>
          <w14:ligatures w14:val="none"/>
        </w:rPr>
        <w:t>:</w:t>
      </w:r>
    </w:p>
    <w:p w14:paraId="5E9F9BF5" w14:textId="74673065" w:rsidR="000C6588" w:rsidRPr="000C6588" w:rsidRDefault="000C6588" w:rsidP="002A4DB2">
      <w:pPr>
        <w:spacing w:before="100" w:beforeAutospacing="1" w:after="100" w:afterAutospacing="1" w:line="360" w:lineRule="auto"/>
        <w:jc w:val="both"/>
        <w:rPr>
          <w:rFonts w:ascii="Arial" w:eastAsia="Times New Roman" w:hAnsi="Arial" w:cs="Arial"/>
          <w:kern w:val="0"/>
          <w:lang w:eastAsia="en-GB"/>
          <w14:ligatures w14:val="none"/>
        </w:rPr>
      </w:pPr>
      <w:r w:rsidRPr="000C6588">
        <w:rPr>
          <w:rFonts w:ascii="Arial" w:eastAsia="Times New Roman" w:hAnsi="Arial" w:cs="Arial"/>
          <w:kern w:val="0"/>
          <w:lang w:eastAsia="en-GB"/>
          <w14:ligatures w14:val="none"/>
        </w:rPr>
        <w:t>The codes were then grouped into broader categories to identify key patterns. These categories were refined into three main themes: treatment effectiveness, access and inequalities, and integrated care.</w:t>
      </w:r>
      <w:r>
        <w:rPr>
          <w:rFonts w:ascii="Arial" w:eastAsia="Times New Roman" w:hAnsi="Arial" w:cs="Arial"/>
          <w:kern w:val="0"/>
          <w:lang w:eastAsia="en-GB"/>
          <w14:ligatures w14:val="none"/>
        </w:rPr>
        <w:t xml:space="preserve"> </w:t>
      </w:r>
      <w:r w:rsidRPr="000C6588">
        <w:rPr>
          <w:rFonts w:ascii="Arial" w:eastAsia="Times New Roman" w:hAnsi="Arial" w:cs="Arial"/>
          <w:kern w:val="0"/>
          <w:lang w:eastAsia="en-GB"/>
          <w14:ligatures w14:val="none"/>
        </w:rPr>
        <w:t>Themes were selected based on their relevance to the research question and frequency in the literature, ensuring a clear and structured analysis (Braun and Clarke, 2019).</w:t>
      </w:r>
    </w:p>
    <w:p w14:paraId="03E3AFAF" w14:textId="77777777" w:rsidR="00610101" w:rsidRPr="0044725C" w:rsidRDefault="00610101" w:rsidP="00610101">
      <w:pPr>
        <w:spacing w:before="100" w:beforeAutospacing="1" w:after="100" w:afterAutospacing="1" w:line="360" w:lineRule="auto"/>
        <w:jc w:val="both"/>
        <w:outlineLvl w:val="2"/>
        <w:rPr>
          <w:rFonts w:ascii="Arial" w:eastAsia="Times New Roman" w:hAnsi="Arial" w:cs="Arial"/>
          <w:b/>
          <w:bCs/>
          <w:color w:val="000000" w:themeColor="text1"/>
          <w:kern w:val="0"/>
          <w:sz w:val="28"/>
          <w:szCs w:val="28"/>
          <w:lang w:eastAsia="en-GB"/>
          <w14:ligatures w14:val="none"/>
        </w:rPr>
      </w:pPr>
      <w:r w:rsidRPr="0044725C">
        <w:rPr>
          <w:rFonts w:ascii="Arial" w:eastAsia="Times New Roman" w:hAnsi="Arial" w:cs="Arial"/>
          <w:b/>
          <w:bCs/>
          <w:color w:val="000000" w:themeColor="text1"/>
          <w:kern w:val="0"/>
          <w:sz w:val="28"/>
          <w:szCs w:val="28"/>
          <w:lang w:eastAsia="en-GB"/>
          <w14:ligatures w14:val="none"/>
        </w:rPr>
        <w:t>3.7 – Ethical Considerations:</w:t>
      </w:r>
    </w:p>
    <w:p w14:paraId="50D78AD7" w14:textId="77777777" w:rsidR="00610101" w:rsidRPr="00650C77" w:rsidRDefault="00610101" w:rsidP="0061010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As this dissertation is based entirely on secondary sources, no primary data collection or contact with human participants was involved. Therefore, it did not require ethical approval from the university ethics committee. Nonetheless, ethical principles remained central to the research process.</w:t>
      </w:r>
    </w:p>
    <w:p w14:paraId="77F631C5" w14:textId="77777777" w:rsidR="00610101" w:rsidRPr="00650C77" w:rsidRDefault="00610101" w:rsidP="0061010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Academic integrity</w:t>
      </w:r>
      <w:r w:rsidRPr="00650C77">
        <w:rPr>
          <w:rFonts w:ascii="Arial" w:eastAsia="Times New Roman" w:hAnsi="Arial" w:cs="Arial"/>
          <w:color w:val="000000" w:themeColor="text1"/>
          <w:kern w:val="0"/>
          <w:lang w:eastAsia="en-GB"/>
          <w14:ligatures w14:val="none"/>
        </w:rPr>
        <w:t xml:space="preserve"> was upheld by accurately citing all sources using the </w:t>
      </w:r>
      <w:r w:rsidRPr="00650C77">
        <w:rPr>
          <w:rFonts w:ascii="Arial" w:eastAsia="Times New Roman" w:hAnsi="Arial" w:cs="Arial"/>
          <w:b/>
          <w:bCs/>
          <w:color w:val="000000" w:themeColor="text1"/>
          <w:kern w:val="0"/>
          <w:lang w:eastAsia="en-GB"/>
          <w14:ligatures w14:val="none"/>
        </w:rPr>
        <w:t>UWTSD Harvard referencing style</w:t>
      </w:r>
      <w:r w:rsidRPr="00650C77">
        <w:rPr>
          <w:rFonts w:ascii="Arial" w:eastAsia="Times New Roman" w:hAnsi="Arial" w:cs="Arial"/>
          <w:color w:val="000000" w:themeColor="text1"/>
          <w:kern w:val="0"/>
          <w:lang w:eastAsia="en-GB"/>
          <w14:ligatures w14:val="none"/>
        </w:rPr>
        <w:t>, avoiding plagiarism, and ensuring proper attribution for direct and indirect quotations. Efforts were made to avoid selection bias by applying consistent inclusion criteria and transparently justifying exclusions.</w:t>
      </w:r>
    </w:p>
    <w:p w14:paraId="3D6A86CB" w14:textId="77777777" w:rsidR="00DE4CD2" w:rsidRPr="00650C77" w:rsidRDefault="00610101" w:rsidP="00DE4CD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This ethical rigour reinforces the credibility of the findings and supports responsible academic practice (Resnik, 2015).</w:t>
      </w:r>
    </w:p>
    <w:p w14:paraId="53420A0B" w14:textId="21510CF3" w:rsidR="00B7187C" w:rsidRPr="00650C77" w:rsidRDefault="001B1C43" w:rsidP="00DE4CD2">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650C77">
        <w:rPr>
          <w:rFonts w:ascii="Arial" w:hAnsi="Arial" w:cs="Arial"/>
          <w:b/>
          <w:bCs/>
          <w:color w:val="000000" w:themeColor="text1"/>
          <w:sz w:val="24"/>
          <w:szCs w:val="24"/>
        </w:rPr>
        <w:lastRenderedPageBreak/>
        <w:t>Overview of Chapter-3 – Visual Summary</w:t>
      </w:r>
      <w:r w:rsidRPr="00650C77">
        <w:rPr>
          <w:noProof/>
          <w:color w:val="000000" w:themeColor="text1"/>
        </w:rPr>
        <w:t xml:space="preserve"> </w:t>
      </w:r>
      <w:r w:rsidR="00B7187C" w:rsidRPr="00650C77">
        <w:rPr>
          <w:noProof/>
          <w:color w:val="000000" w:themeColor="text1"/>
        </w:rPr>
        <w:drawing>
          <wp:inline distT="0" distB="0" distL="0" distR="0" wp14:anchorId="0199B227" wp14:editId="4A852C7D">
            <wp:extent cx="5731510" cy="7339965"/>
            <wp:effectExtent l="0" t="0" r="2540" b="0"/>
            <wp:docPr id="1332163178" name="Picture 1332163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digital_infographic_poster_presents_Chapter_3:_M.png"/>
                    <pic:cNvPicPr/>
                  </pic:nvPicPr>
                  <pic:blipFill>
                    <a:blip r:embed="rId14"/>
                    <a:stretch>
                      <a:fillRect/>
                    </a:stretch>
                  </pic:blipFill>
                  <pic:spPr>
                    <a:xfrm>
                      <a:off x="0" y="0"/>
                      <a:ext cx="5731510" cy="7339965"/>
                    </a:xfrm>
                    <a:prstGeom prst="rect">
                      <a:avLst/>
                    </a:prstGeom>
                  </pic:spPr>
                </pic:pic>
              </a:graphicData>
            </a:graphic>
          </wp:inline>
        </w:drawing>
      </w:r>
    </w:p>
    <w:p w14:paraId="05867DED" w14:textId="77777777" w:rsidR="001B1C43" w:rsidRPr="00650C77" w:rsidRDefault="001B1C43" w:rsidP="00610101">
      <w:pPr>
        <w:spacing w:before="100" w:beforeAutospacing="1" w:after="100" w:afterAutospacing="1" w:line="240" w:lineRule="auto"/>
        <w:outlineLvl w:val="2"/>
        <w:rPr>
          <w:rFonts w:ascii="Arial" w:eastAsia="Times New Roman" w:hAnsi="Arial" w:cs="Arial"/>
          <w:b/>
          <w:bCs/>
          <w:color w:val="000000" w:themeColor="text1"/>
          <w:kern w:val="0"/>
          <w:sz w:val="28"/>
          <w:szCs w:val="28"/>
          <w:lang w:eastAsia="en-GB"/>
          <w14:ligatures w14:val="none"/>
        </w:rPr>
      </w:pPr>
    </w:p>
    <w:p w14:paraId="75D00AAC" w14:textId="77777777" w:rsidR="005010BF" w:rsidRPr="00650C77" w:rsidRDefault="005010BF" w:rsidP="00610101">
      <w:pPr>
        <w:spacing w:before="100" w:beforeAutospacing="1" w:after="100" w:afterAutospacing="1" w:line="240" w:lineRule="auto"/>
        <w:outlineLvl w:val="2"/>
        <w:rPr>
          <w:rFonts w:ascii="Arial" w:eastAsia="Times New Roman" w:hAnsi="Arial" w:cs="Arial"/>
          <w:b/>
          <w:bCs/>
          <w:color w:val="000000" w:themeColor="text1"/>
          <w:kern w:val="0"/>
          <w:sz w:val="28"/>
          <w:szCs w:val="28"/>
          <w:lang w:eastAsia="en-GB"/>
          <w14:ligatures w14:val="none"/>
        </w:rPr>
      </w:pPr>
    </w:p>
    <w:p w14:paraId="43CEA28D" w14:textId="77777777" w:rsidR="005010BF" w:rsidRPr="00650C77" w:rsidRDefault="005010BF" w:rsidP="00610101">
      <w:pPr>
        <w:spacing w:before="100" w:beforeAutospacing="1" w:after="100" w:afterAutospacing="1" w:line="240" w:lineRule="auto"/>
        <w:outlineLvl w:val="2"/>
        <w:rPr>
          <w:rFonts w:ascii="Arial" w:eastAsia="Times New Roman" w:hAnsi="Arial" w:cs="Arial"/>
          <w:b/>
          <w:bCs/>
          <w:color w:val="000000" w:themeColor="text1"/>
          <w:kern w:val="0"/>
          <w:sz w:val="28"/>
          <w:szCs w:val="28"/>
          <w:lang w:eastAsia="en-GB"/>
          <w14:ligatures w14:val="none"/>
        </w:rPr>
      </w:pPr>
    </w:p>
    <w:p w14:paraId="4F651951" w14:textId="15C900F6" w:rsidR="00610101" w:rsidRPr="00650C77" w:rsidRDefault="001B1C43" w:rsidP="00610101">
      <w:pPr>
        <w:spacing w:before="100" w:beforeAutospacing="1" w:after="100" w:afterAutospacing="1" w:line="240" w:lineRule="auto"/>
        <w:outlineLvl w:val="2"/>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lastRenderedPageBreak/>
        <w:t xml:space="preserve">3.8 </w:t>
      </w:r>
      <w:r w:rsidR="002A4DB2">
        <w:rPr>
          <w:rFonts w:ascii="Arial" w:eastAsia="Times New Roman" w:hAnsi="Arial" w:cs="Arial"/>
          <w:b/>
          <w:bCs/>
          <w:color w:val="000000" w:themeColor="text1"/>
          <w:kern w:val="0"/>
          <w:sz w:val="28"/>
          <w:szCs w:val="28"/>
          <w:lang w:eastAsia="en-GB"/>
          <w14:ligatures w14:val="none"/>
        </w:rPr>
        <w:t>Chapter c</w:t>
      </w:r>
      <w:r w:rsidRPr="00650C77">
        <w:rPr>
          <w:rFonts w:ascii="Arial" w:eastAsia="Times New Roman" w:hAnsi="Arial" w:cs="Arial"/>
          <w:b/>
          <w:bCs/>
          <w:color w:val="000000" w:themeColor="text1"/>
          <w:kern w:val="0"/>
          <w:sz w:val="28"/>
          <w:szCs w:val="28"/>
          <w:lang w:eastAsia="en-GB"/>
          <w14:ligatures w14:val="none"/>
        </w:rPr>
        <w:t>onclusion</w:t>
      </w:r>
      <w:r w:rsidR="000C6B50" w:rsidRPr="00650C77">
        <w:rPr>
          <w:rFonts w:ascii="Arial" w:eastAsia="Times New Roman" w:hAnsi="Arial" w:cs="Arial"/>
          <w:b/>
          <w:bCs/>
          <w:color w:val="000000" w:themeColor="text1"/>
          <w:kern w:val="0"/>
          <w:sz w:val="28"/>
          <w:szCs w:val="28"/>
          <w:lang w:eastAsia="en-GB"/>
          <w14:ligatures w14:val="none"/>
        </w:rPr>
        <w:t>:</w:t>
      </w:r>
    </w:p>
    <w:p w14:paraId="74891974" w14:textId="77777777" w:rsidR="00610101" w:rsidRPr="00650C77" w:rsidRDefault="00610101" w:rsidP="00FA485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This chapter outlined the systematic desk-based research strategy employed to build the evidence base for this dissertation. Through the careful use of keywords, Boolean operators, trusted databases, and validation methods such as the CRAAP test, high-quality and relevant literature was identified.</w:t>
      </w:r>
    </w:p>
    <w:p w14:paraId="4AA27FF6" w14:textId="77777777" w:rsidR="00610101" w:rsidRPr="00650C77" w:rsidRDefault="00610101" w:rsidP="00FA485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The adoption of a thematic coding framework enabled the data to be meaningfully organised and aligned with the research objectives. Ethical considerations ensured transparency, academic honesty, and research integrity.</w:t>
      </w:r>
    </w:p>
    <w:p w14:paraId="5713CDEB" w14:textId="2D6A378E" w:rsidR="00610101" w:rsidRPr="00650C77" w:rsidRDefault="00610101" w:rsidP="00FA4851">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The next chapter</w:t>
      </w:r>
      <w:r w:rsidR="002A4DB2">
        <w:rPr>
          <w:rFonts w:ascii="Arial" w:eastAsia="Times New Roman" w:hAnsi="Arial" w:cs="Arial"/>
          <w:color w:val="000000" w:themeColor="text1"/>
          <w:kern w:val="0"/>
          <w:lang w:eastAsia="en-GB"/>
          <w14:ligatures w14:val="none"/>
        </w:rPr>
        <w:t xml:space="preserve"> (chapter-4)</w:t>
      </w:r>
      <w:r w:rsidRPr="00650C77">
        <w:rPr>
          <w:rFonts w:ascii="Arial" w:eastAsia="Times New Roman" w:hAnsi="Arial" w:cs="Arial"/>
          <w:color w:val="000000" w:themeColor="text1"/>
          <w:kern w:val="0"/>
          <w:lang w:eastAsia="en-GB"/>
          <w14:ligatures w14:val="none"/>
        </w:rPr>
        <w:t xml:space="preserve"> will present the findings, structured around the key themes identified during this analysis, and will link the literature directly to the research question and objectives.</w:t>
      </w:r>
    </w:p>
    <w:p w14:paraId="2DCF8A23" w14:textId="77777777" w:rsidR="00610101" w:rsidRPr="00650C77" w:rsidRDefault="00610101" w:rsidP="00610101">
      <w:pPr>
        <w:rPr>
          <w:rFonts w:ascii="Arial" w:hAnsi="Arial" w:cs="Arial"/>
          <w:color w:val="000000" w:themeColor="text1"/>
        </w:rPr>
      </w:pPr>
    </w:p>
    <w:p w14:paraId="4875E7EA"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bookmarkStart w:id="3" w:name="_Hlk220232648"/>
    </w:p>
    <w:p w14:paraId="6071C2E2"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606E1EBC"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7752EB89"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2B4EC3DD"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6E801188"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6671C31D"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685A0AAC"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159B71CC"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6F02311E"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5E034070" w14:textId="77777777" w:rsidR="00247F79" w:rsidRPr="00650C77" w:rsidRDefault="00247F79"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1AE6E925" w14:textId="77777777" w:rsidR="009C13C7" w:rsidRPr="00650C77" w:rsidRDefault="009C13C7"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p>
    <w:p w14:paraId="29410B6D" w14:textId="2E555692" w:rsidR="008366F7" w:rsidRPr="00650C77" w:rsidRDefault="008366F7" w:rsidP="008366F7">
      <w:pPr>
        <w:spacing w:before="100" w:beforeAutospacing="1" w:after="100" w:afterAutospacing="1" w:line="240" w:lineRule="auto"/>
        <w:outlineLvl w:val="0"/>
        <w:rPr>
          <w:rFonts w:ascii="Arial" w:eastAsia="Times New Roman" w:hAnsi="Arial" w:cs="Arial"/>
          <w:b/>
          <w:bCs/>
          <w:color w:val="000000" w:themeColor="text1"/>
          <w:kern w:val="36"/>
          <w:sz w:val="36"/>
          <w:szCs w:val="36"/>
          <w:lang w:eastAsia="en-GB"/>
          <w14:ligatures w14:val="none"/>
        </w:rPr>
      </w:pPr>
      <w:r w:rsidRPr="00650C77">
        <w:rPr>
          <w:rFonts w:ascii="Arial" w:eastAsia="Times New Roman" w:hAnsi="Arial" w:cs="Arial"/>
          <w:b/>
          <w:bCs/>
          <w:color w:val="000000" w:themeColor="text1"/>
          <w:kern w:val="36"/>
          <w:sz w:val="36"/>
          <w:szCs w:val="36"/>
          <w:lang w:eastAsia="en-GB"/>
          <w14:ligatures w14:val="none"/>
        </w:rPr>
        <w:lastRenderedPageBreak/>
        <w:t>CHAPTER 4 – Findings and Discussion</w:t>
      </w:r>
    </w:p>
    <w:p w14:paraId="3F600E5E" w14:textId="2637EF9F" w:rsidR="008366F7" w:rsidRPr="00650C77" w:rsidRDefault="008366F7" w:rsidP="008366F7">
      <w:pPr>
        <w:spacing w:before="100" w:beforeAutospacing="1" w:after="100" w:afterAutospacing="1" w:line="240" w:lineRule="auto"/>
        <w:outlineLvl w:val="1"/>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4.1 – Introduction</w:t>
      </w:r>
      <w:r w:rsidR="00D32967" w:rsidRPr="00650C77">
        <w:rPr>
          <w:rFonts w:ascii="Arial" w:eastAsia="Times New Roman" w:hAnsi="Arial" w:cs="Arial"/>
          <w:b/>
          <w:bCs/>
          <w:color w:val="000000" w:themeColor="text1"/>
          <w:kern w:val="0"/>
          <w:sz w:val="28"/>
          <w:szCs w:val="28"/>
          <w:lang w:eastAsia="en-GB"/>
          <w14:ligatures w14:val="none"/>
        </w:rPr>
        <w:t>:</w:t>
      </w:r>
    </w:p>
    <w:p w14:paraId="4097C653" w14:textId="77777777" w:rsidR="00CD51B8" w:rsidRPr="00650C77" w:rsidRDefault="00CD51B8" w:rsidP="00CD51B8">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This chapter presents and critically evaluates the findings of the secondary research conducted for this dissertation. It applies the thematic analysis developed in Chapter 3 to assess schizophrenia treatment pathways and service delivery in the United Kingdom. The analysis focuses on identifying not only key strengths, but also inconsistencies and limitations in real-world practice.</w:t>
      </w:r>
    </w:p>
    <w:p w14:paraId="19A03599" w14:textId="77777777" w:rsidR="00CD51B8" w:rsidRPr="00650C77" w:rsidRDefault="00CD51B8" w:rsidP="00CD51B8">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Three overarching themes were identified: (1) Treatment Pathways and Clinical Effectiveness, (2) Accessibility, Inequalities, and Service Variation, and (3) Integrated Care Models and Future System Improvements. While these themes reflect the structure of current policy and service design, the evidence suggests that their implementation is uneven across regions and populations. This is important because it indicates that differences in outcomes are not solely due to the effectiveness of interventions themselves, but also how consistently they are delivered.</w:t>
      </w:r>
    </w:p>
    <w:p w14:paraId="3234E116" w14:textId="77777777" w:rsidR="00CD51B8" w:rsidRPr="00650C77" w:rsidRDefault="00CD51B8" w:rsidP="00CD51B8">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Each theme is examined through comparison of academic studies, policy reports, and service evaluations. Where findings differ, this chapter explores possible reasons, including variation in service provision, population groups, and research design. This approach strengthens the analysis by moving beyond description to evaluate what the evidence means for real-world service delivery and future improvement.</w:t>
      </w:r>
    </w:p>
    <w:p w14:paraId="3A0F8D01" w14:textId="44803643" w:rsidR="008366F7" w:rsidRPr="00650C77" w:rsidRDefault="008366F7" w:rsidP="008366F7">
      <w:pPr>
        <w:spacing w:before="100" w:beforeAutospacing="1" w:after="100" w:afterAutospacing="1" w:line="240" w:lineRule="auto"/>
        <w:outlineLvl w:val="1"/>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4.2 – Thematic Analysis</w:t>
      </w:r>
      <w:r w:rsidR="00D32967" w:rsidRPr="00650C77">
        <w:rPr>
          <w:rFonts w:ascii="Arial" w:eastAsia="Times New Roman" w:hAnsi="Arial" w:cs="Arial"/>
          <w:b/>
          <w:bCs/>
          <w:color w:val="000000" w:themeColor="text1"/>
          <w:kern w:val="0"/>
          <w:sz w:val="28"/>
          <w:szCs w:val="28"/>
          <w:lang w:eastAsia="en-GB"/>
          <w14:ligatures w14:val="none"/>
        </w:rPr>
        <w:t>:</w:t>
      </w:r>
    </w:p>
    <w:p w14:paraId="01A13636" w14:textId="77777777" w:rsidR="008366F7" w:rsidRPr="00650C77" w:rsidRDefault="008366F7" w:rsidP="00990440">
      <w:pPr>
        <w:spacing w:before="100" w:beforeAutospacing="1" w:after="100" w:afterAutospacing="1" w:line="360" w:lineRule="auto"/>
        <w:jc w:val="both"/>
        <w:rPr>
          <w:rFonts w:ascii="Arial" w:hAnsi="Arial" w:cs="Arial"/>
          <w:color w:val="000000" w:themeColor="text1"/>
        </w:rPr>
      </w:pPr>
      <w:r w:rsidRPr="00650C77">
        <w:rPr>
          <w:rFonts w:ascii="Arial" w:hAnsi="Arial" w:cs="Arial"/>
          <w:color w:val="000000" w:themeColor="text1"/>
        </w:rPr>
        <w:t>Thematic analysis is a systematic method for identifying, organising, and interpreting patterns of meaning across a data set (Braun and Clarke, 2019). In secondary research, this approach supports the synthesis of diverse bodies of literature by enabling researchers to categorise findings into coherent themes that reflect broader concepts and recurring issues. It is particularly appropriate for health service research, where multiple sources of evidence—including qualitative accounts, policy frameworks, and quantitative outcomes—must be integrated in order to understand complex service systems (Nowell et al., 2017). In the context of this dissertation, thematic analysis was applied to a substantial body of secondary literature to distil recurring concepts and concerns relating to schizophrenia service delivery in the UK.</w:t>
      </w:r>
    </w:p>
    <w:p w14:paraId="20A956BD" w14:textId="2B4C6848" w:rsidR="008366F7" w:rsidRPr="00650C77" w:rsidRDefault="008366F7" w:rsidP="0099044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 xml:space="preserve">Following Braun and Clarke’s six-phase framework—familiarisation, coding, theme identification, reviewing themes, defining/naming themes, and producing the report—the analysis involved systematically categorising the literature into meaningful themes. </w:t>
      </w:r>
      <w:r w:rsidRPr="00650C77">
        <w:rPr>
          <w:rFonts w:ascii="Arial" w:hAnsi="Arial" w:cs="Arial"/>
          <w:color w:val="000000" w:themeColor="text1"/>
        </w:rPr>
        <w:t xml:space="preserve">Data were </w:t>
      </w:r>
      <w:r w:rsidRPr="00650C77">
        <w:rPr>
          <w:rFonts w:ascii="Arial" w:hAnsi="Arial" w:cs="Arial"/>
          <w:color w:val="000000" w:themeColor="text1"/>
        </w:rPr>
        <w:lastRenderedPageBreak/>
        <w:t>extracted and coded using a spreadsheet, with each entry including key topics, policy references, population focus (e.g., BAME groups, youth), and outcomes. The analysis followed the structured process outlined in Chapter 3, beginning with initial coding of each source, where repeated concepts such as “treatment effectiveness,” “service inequalities,” “early intervention outcomes,” and “integration challenges” emerged. Codes such as “early access,” “racial disparity,” and “multi-agency care” appeared frequently and informed the development of the thematic structure. These codes were subsequently grouped into broader categories and refined into three major themes for in-depth exploration in this chapter.</w:t>
      </w:r>
      <w:r w:rsidR="00E1360C" w:rsidRPr="00650C77">
        <w:rPr>
          <w:rFonts w:ascii="Arial" w:hAnsi="Arial" w:cs="Arial"/>
          <w:color w:val="000000" w:themeColor="text1"/>
        </w:rPr>
        <w:t xml:space="preserve"> The full coding and theme development process is presented in </w:t>
      </w:r>
      <w:r w:rsidR="00E1360C" w:rsidRPr="00650C77">
        <w:rPr>
          <w:rFonts w:ascii="Arial" w:hAnsi="Arial" w:cs="Arial"/>
          <w:b/>
          <w:bCs/>
          <w:color w:val="000000" w:themeColor="text1"/>
        </w:rPr>
        <w:t xml:space="preserve">Appendix </w:t>
      </w:r>
      <w:r w:rsidR="00990440" w:rsidRPr="00650C77">
        <w:rPr>
          <w:rFonts w:ascii="Arial" w:hAnsi="Arial" w:cs="Arial"/>
          <w:b/>
          <w:bCs/>
          <w:color w:val="000000" w:themeColor="text1"/>
        </w:rPr>
        <w:t>7.3.</w:t>
      </w:r>
    </w:p>
    <w:p w14:paraId="64DCB517" w14:textId="44242ED4" w:rsidR="00DE00AD" w:rsidRPr="00650C77" w:rsidRDefault="008366F7" w:rsidP="0099044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The themes reflect intersecting aspects of schizophrenia care relating to clinical practice, systemic organisation, and patient experience. The coding and results table included in </w:t>
      </w:r>
      <w:r w:rsidRPr="00650C77">
        <w:rPr>
          <w:rFonts w:ascii="Arial" w:hAnsi="Arial" w:cs="Arial"/>
          <w:b/>
          <w:bCs/>
          <w:color w:val="000000" w:themeColor="text1"/>
          <w:sz w:val="22"/>
          <w:szCs w:val="22"/>
        </w:rPr>
        <w:t xml:space="preserve">Appendix </w:t>
      </w:r>
      <w:r w:rsidR="00990440" w:rsidRPr="00650C77">
        <w:rPr>
          <w:rFonts w:ascii="Arial" w:hAnsi="Arial" w:cs="Arial"/>
          <w:b/>
          <w:bCs/>
          <w:color w:val="000000" w:themeColor="text1"/>
          <w:sz w:val="22"/>
          <w:szCs w:val="22"/>
        </w:rPr>
        <w:t>7.2</w:t>
      </w:r>
      <w:r w:rsidR="00990440" w:rsidRPr="00650C77">
        <w:rPr>
          <w:rFonts w:ascii="Arial" w:hAnsi="Arial" w:cs="Arial"/>
          <w:color w:val="000000" w:themeColor="text1"/>
          <w:sz w:val="22"/>
          <w:szCs w:val="22"/>
        </w:rPr>
        <w:t xml:space="preserve"> demonstrates</w:t>
      </w:r>
      <w:r w:rsidRPr="00650C77">
        <w:rPr>
          <w:rFonts w:ascii="Arial" w:hAnsi="Arial" w:cs="Arial"/>
          <w:color w:val="000000" w:themeColor="text1"/>
          <w:sz w:val="22"/>
          <w:szCs w:val="22"/>
        </w:rPr>
        <w:t xml:space="preserve"> the rigorous and transparent process used to generate and refine these themes.</w:t>
      </w:r>
      <w:r w:rsidR="00DE00AD" w:rsidRPr="00650C77">
        <w:rPr>
          <w:rFonts w:ascii="Arial" w:hAnsi="Arial" w:cs="Arial"/>
          <w:color w:val="000000" w:themeColor="text1"/>
          <w:sz w:val="22"/>
          <w:szCs w:val="22"/>
        </w:rPr>
        <w:t xml:space="preserve"> The final themes were selected not only based on frequency, but also on their relevance to the research question and UK policy context. This strengthens the analysis, as it ensures the themes reflect both the evidence base and the practical realities of schizophrenia service delivery.</w:t>
      </w:r>
    </w:p>
    <w:p w14:paraId="4DF1AB4B" w14:textId="021C2B65" w:rsidR="00E809ED" w:rsidRPr="00650C77" w:rsidRDefault="00E809ED" w:rsidP="00DE00AD">
      <w:pPr>
        <w:pStyle w:val="NormalWeb"/>
        <w:spacing w:line="360" w:lineRule="auto"/>
        <w:jc w:val="both"/>
        <w:rPr>
          <w:rFonts w:ascii="Arial" w:hAnsi="Arial" w:cs="Arial"/>
          <w:b/>
          <w:bCs/>
          <w:color w:val="000000" w:themeColor="text1"/>
          <w:kern w:val="36"/>
          <w:sz w:val="32"/>
          <w:szCs w:val="32"/>
        </w:rPr>
      </w:pPr>
    </w:p>
    <w:p w14:paraId="290D4202" w14:textId="77777777" w:rsidR="00355E71" w:rsidRPr="00650C77" w:rsidRDefault="00355E71" w:rsidP="00DE00AD">
      <w:pPr>
        <w:pStyle w:val="NormalWeb"/>
        <w:spacing w:line="360" w:lineRule="auto"/>
        <w:jc w:val="both"/>
        <w:rPr>
          <w:rFonts w:ascii="Arial" w:hAnsi="Arial" w:cs="Arial"/>
          <w:b/>
          <w:bCs/>
          <w:color w:val="000000" w:themeColor="text1"/>
          <w:kern w:val="36"/>
          <w:sz w:val="32"/>
          <w:szCs w:val="32"/>
        </w:rPr>
      </w:pPr>
    </w:p>
    <w:p w14:paraId="207D483A" w14:textId="77777777" w:rsidR="00355E71" w:rsidRPr="00650C77" w:rsidRDefault="00355E71" w:rsidP="00DE00AD">
      <w:pPr>
        <w:pStyle w:val="NormalWeb"/>
        <w:spacing w:line="360" w:lineRule="auto"/>
        <w:jc w:val="both"/>
        <w:rPr>
          <w:rFonts w:ascii="Arial" w:hAnsi="Arial" w:cs="Arial"/>
          <w:b/>
          <w:bCs/>
          <w:color w:val="000000" w:themeColor="text1"/>
          <w:kern w:val="36"/>
          <w:sz w:val="32"/>
          <w:szCs w:val="32"/>
        </w:rPr>
      </w:pPr>
    </w:p>
    <w:p w14:paraId="5B71F86C" w14:textId="77777777" w:rsidR="00355E71" w:rsidRPr="00650C77" w:rsidRDefault="00355E71" w:rsidP="00DE00AD">
      <w:pPr>
        <w:pStyle w:val="NormalWeb"/>
        <w:spacing w:line="360" w:lineRule="auto"/>
        <w:jc w:val="both"/>
        <w:rPr>
          <w:rFonts w:ascii="Arial" w:hAnsi="Arial" w:cs="Arial"/>
          <w:b/>
          <w:bCs/>
          <w:color w:val="000000" w:themeColor="text1"/>
          <w:kern w:val="36"/>
          <w:sz w:val="32"/>
          <w:szCs w:val="32"/>
        </w:rPr>
      </w:pPr>
    </w:p>
    <w:p w14:paraId="3CADF13A" w14:textId="77777777" w:rsidR="00355E71" w:rsidRPr="00650C77" w:rsidRDefault="00355E71" w:rsidP="00DE00AD">
      <w:pPr>
        <w:pStyle w:val="NormalWeb"/>
        <w:spacing w:line="360" w:lineRule="auto"/>
        <w:jc w:val="both"/>
        <w:rPr>
          <w:rFonts w:ascii="Arial" w:hAnsi="Arial" w:cs="Arial"/>
          <w:b/>
          <w:bCs/>
          <w:color w:val="000000" w:themeColor="text1"/>
          <w:kern w:val="36"/>
          <w:sz w:val="32"/>
          <w:szCs w:val="32"/>
        </w:rPr>
      </w:pPr>
    </w:p>
    <w:p w14:paraId="04936516" w14:textId="77777777" w:rsidR="00355E71" w:rsidRPr="00650C77" w:rsidRDefault="00355E71" w:rsidP="00DE00AD">
      <w:pPr>
        <w:pStyle w:val="NormalWeb"/>
        <w:spacing w:line="360" w:lineRule="auto"/>
        <w:jc w:val="both"/>
        <w:rPr>
          <w:rFonts w:ascii="Arial" w:hAnsi="Arial" w:cs="Arial"/>
          <w:b/>
          <w:bCs/>
          <w:color w:val="000000" w:themeColor="text1"/>
          <w:kern w:val="36"/>
          <w:sz w:val="32"/>
          <w:szCs w:val="32"/>
        </w:rPr>
      </w:pPr>
    </w:p>
    <w:p w14:paraId="53D78B95" w14:textId="77777777" w:rsidR="00355E71" w:rsidRPr="00650C77" w:rsidRDefault="00355E71" w:rsidP="00DE00AD">
      <w:pPr>
        <w:pStyle w:val="NormalWeb"/>
        <w:spacing w:line="360" w:lineRule="auto"/>
        <w:jc w:val="both"/>
        <w:rPr>
          <w:rFonts w:ascii="Arial" w:hAnsi="Arial" w:cs="Arial"/>
          <w:b/>
          <w:bCs/>
          <w:color w:val="000000" w:themeColor="text1"/>
          <w:kern w:val="36"/>
          <w:sz w:val="32"/>
          <w:szCs w:val="32"/>
        </w:rPr>
      </w:pPr>
    </w:p>
    <w:p w14:paraId="5C1AA566" w14:textId="77777777" w:rsidR="00355E71" w:rsidRPr="00650C77" w:rsidRDefault="00355E71" w:rsidP="00DE00AD">
      <w:pPr>
        <w:pStyle w:val="NormalWeb"/>
        <w:spacing w:line="360" w:lineRule="auto"/>
        <w:jc w:val="both"/>
        <w:rPr>
          <w:rFonts w:ascii="Arial" w:hAnsi="Arial" w:cs="Arial"/>
          <w:b/>
          <w:bCs/>
          <w:color w:val="000000" w:themeColor="text1"/>
          <w:kern w:val="36"/>
          <w:sz w:val="32"/>
          <w:szCs w:val="32"/>
        </w:rPr>
      </w:pPr>
    </w:p>
    <w:p w14:paraId="083AFC9C" w14:textId="5CAF58E2" w:rsidR="008366F7" w:rsidRPr="00650C77" w:rsidRDefault="008366F7" w:rsidP="008366F7">
      <w:pPr>
        <w:spacing w:before="100" w:beforeAutospacing="1" w:after="100" w:afterAutospacing="1" w:line="360" w:lineRule="auto"/>
        <w:jc w:val="both"/>
        <w:rPr>
          <w:rFonts w:ascii="Arial" w:eastAsia="Times New Roman" w:hAnsi="Arial" w:cs="Arial"/>
          <w:color w:val="000000" w:themeColor="text1"/>
          <w:kern w:val="0"/>
          <w:sz w:val="32"/>
          <w:szCs w:val="32"/>
          <w:lang w:eastAsia="en-GB"/>
          <w14:ligatures w14:val="none"/>
        </w:rPr>
      </w:pPr>
      <w:r w:rsidRPr="00650C77">
        <w:rPr>
          <w:rFonts w:ascii="Arial" w:eastAsia="Times New Roman" w:hAnsi="Arial" w:cs="Arial"/>
          <w:b/>
          <w:bCs/>
          <w:color w:val="000000" w:themeColor="text1"/>
          <w:kern w:val="36"/>
          <w:sz w:val="32"/>
          <w:szCs w:val="32"/>
          <w:lang w:eastAsia="en-GB"/>
          <w14:ligatures w14:val="none"/>
        </w:rPr>
        <w:lastRenderedPageBreak/>
        <w:t>4.3 Theme-1: Treatment Pathways and Clinical Effectiveness</w:t>
      </w:r>
    </w:p>
    <w:p w14:paraId="59F9932F" w14:textId="77777777" w:rsidR="008366F7" w:rsidRPr="00650C77" w:rsidRDefault="008366F7" w:rsidP="008366F7">
      <w:pPr>
        <w:spacing w:before="100" w:beforeAutospacing="1" w:after="100" w:afterAutospacing="1" w:line="360" w:lineRule="auto"/>
        <w:jc w:val="both"/>
        <w:outlineLvl w:val="1"/>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4.3.1 Definition and Conceptual Framework:</w:t>
      </w:r>
    </w:p>
    <w:p w14:paraId="718AAB9C" w14:textId="77777777" w:rsidR="00355E71" w:rsidRPr="00650C77" w:rsidRDefault="00355E71" w:rsidP="00355E71">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Treatment pathways for schizophrenia provide structured, coordinated care from diagnosis to long-term management and recovery. In the UK, they include early detection, medication, psychological therapies, community support, crisis care, and rehabilitation (NICE, 2020). Effectiveness is measured through symptom reduction, relapse prevention, functional recovery, quality of life, and service user satisfaction (Leucht et al., 2019). These pathways follow the bio-psycho-social model, recognising biological, psychological, and social influences (Engel, 1977). NICE therefore promotes multidisciplinary, individualised care rather than single interventions (NICE, 2020).</w:t>
      </w:r>
    </w:p>
    <w:p w14:paraId="6FE67A07" w14:textId="77777777" w:rsidR="00355E71" w:rsidRPr="00650C77" w:rsidRDefault="00355E71" w:rsidP="00355E71">
      <w:pPr>
        <w:pStyle w:val="NormalWeb"/>
        <w:spacing w:line="360" w:lineRule="auto"/>
        <w:jc w:val="both"/>
        <w:rPr>
          <w:color w:val="000000" w:themeColor="text1"/>
        </w:rPr>
      </w:pPr>
      <w:r w:rsidRPr="00650C77">
        <w:rPr>
          <w:rFonts w:ascii="Arial" w:hAnsi="Arial" w:cs="Arial"/>
          <w:color w:val="000000" w:themeColor="text1"/>
          <w:sz w:val="22"/>
          <w:szCs w:val="22"/>
        </w:rPr>
        <w:t>This framework shows that effectiveness depends not only on individual treatments, but on how well services are coordinated and delivered together. In schizophrenia care, outcomes are shaped by continuity, timing, and long-term support. Therefore, service organisation plays a key role in achieving effective real-world outcomes alongside treatment quality</w:t>
      </w:r>
      <w:r w:rsidRPr="00650C77">
        <w:rPr>
          <w:color w:val="000000" w:themeColor="text1"/>
        </w:rPr>
        <w:t>.</w:t>
      </w:r>
    </w:p>
    <w:p w14:paraId="29EAD944" w14:textId="2F02DE76" w:rsidR="008366F7" w:rsidRPr="00650C77" w:rsidRDefault="008366F7" w:rsidP="00247F7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b/>
          <w:bCs/>
          <w:color w:val="000000" w:themeColor="text1"/>
          <w:kern w:val="0"/>
          <w:sz w:val="24"/>
          <w:szCs w:val="24"/>
          <w:lang w:eastAsia="en-GB"/>
          <w14:ligatures w14:val="none"/>
        </w:rPr>
        <w:t>4.3.2 Historical and Policy Background:</w:t>
      </w:r>
    </w:p>
    <w:p w14:paraId="62D059CB" w14:textId="77777777" w:rsidR="00F54C3E" w:rsidRPr="00650C77" w:rsidRDefault="00F54C3E" w:rsidP="00C57C72">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Historically, schizophrenia care in the UK was dominated by institutionalisation and crisis-led treatment, with limited continuity following hospital discharge (Bartlett and Wright, 2018). The closure of long-stay psychiatric hospitals in the late twentieth century marked a shift towards community care; however, this transition was not always matched by adequate investment, resulting in fragmented and inconsistent pathways (Mental Health Foundation, 2020).</w:t>
      </w:r>
    </w:p>
    <w:p w14:paraId="6E119F4E" w14:textId="77777777" w:rsidR="00F54C3E" w:rsidRPr="00650C77" w:rsidRDefault="00F54C3E" w:rsidP="00C57C72">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Over time, national policy increasingly promoted earlier intervention, multidisciplinary support, and recovery-oriented practice. NICE guidance recommends antipsychotic medication alongside family intervention and CBT for psychosis (</w:t>
      </w:r>
      <w:proofErr w:type="spellStart"/>
      <w:r w:rsidRPr="00650C77">
        <w:rPr>
          <w:rFonts w:ascii="Arial" w:hAnsi="Arial" w:cs="Arial"/>
          <w:color w:val="000000" w:themeColor="text1"/>
          <w:sz w:val="22"/>
          <w:szCs w:val="22"/>
        </w:rPr>
        <w:t>CBTp</w:t>
      </w:r>
      <w:proofErr w:type="spellEnd"/>
      <w:r w:rsidRPr="00650C77">
        <w:rPr>
          <w:rFonts w:ascii="Arial" w:hAnsi="Arial" w:cs="Arial"/>
          <w:color w:val="000000" w:themeColor="text1"/>
          <w:sz w:val="22"/>
          <w:szCs w:val="22"/>
        </w:rPr>
        <w:t>), while the NHS Long Term Plan emphasises timely access, continuity of care, and expansion of mental health services (NICE, 2020; NHS England, 2019). These developments suggest a clear policy commitment to structured and evidence-based treatment pathways.</w:t>
      </w:r>
    </w:p>
    <w:p w14:paraId="50A31308" w14:textId="6D93A15D" w:rsidR="003C634B" w:rsidRPr="00650C77" w:rsidRDefault="00F54C3E" w:rsidP="003C634B">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However, the evidence indicates that implementation remains inconsistent across services. While policy frameworks present a clear model of best practice, service delivery does not always reflect this consistently in routine care. This inconsistency is important because it </w:t>
      </w:r>
      <w:r w:rsidRPr="00650C77">
        <w:rPr>
          <w:rFonts w:ascii="Arial" w:hAnsi="Arial" w:cs="Arial"/>
          <w:color w:val="000000" w:themeColor="text1"/>
          <w:sz w:val="22"/>
          <w:szCs w:val="22"/>
        </w:rPr>
        <w:lastRenderedPageBreak/>
        <w:t>suggests that the gap lies less in policy design and more in implementation. Differences in local resources, staffing, and service configuration may explain why some areas are more successful than others in delivering recommended interventions. Therefore, although the historical shift away from institutional care has improved the principles of treatment, the benefits are reduced when community pathways remain fragmented or unevenly resourced.</w:t>
      </w:r>
    </w:p>
    <w:p w14:paraId="368A7F08" w14:textId="77777777" w:rsidR="008366F7" w:rsidRPr="00650C77" w:rsidRDefault="008366F7" w:rsidP="008366F7">
      <w:pPr>
        <w:spacing w:before="100" w:beforeAutospacing="1" w:after="100" w:afterAutospacing="1" w:line="360" w:lineRule="auto"/>
        <w:jc w:val="both"/>
        <w:outlineLvl w:val="1"/>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4.3.3 Statistical Overview of Clinical Effectiveness:</w:t>
      </w:r>
    </w:p>
    <w:p w14:paraId="1629B0FA" w14:textId="77777777" w:rsidR="00990440" w:rsidRPr="00650C77" w:rsidRDefault="00990440" w:rsidP="00247F79">
      <w:pPr>
        <w:spacing w:before="100" w:beforeAutospacing="1" w:after="100" w:afterAutospacing="1" w:line="360" w:lineRule="auto"/>
        <w:jc w:val="both"/>
        <w:rPr>
          <w:rFonts w:ascii="Arial" w:hAnsi="Arial" w:cs="Arial"/>
          <w:color w:val="000000" w:themeColor="text1"/>
        </w:rPr>
      </w:pPr>
      <w:r w:rsidRPr="00650C77">
        <w:rPr>
          <w:rFonts w:ascii="Arial" w:hAnsi="Arial" w:cs="Arial"/>
          <w:color w:val="000000" w:themeColor="text1"/>
        </w:rPr>
        <w:t xml:space="preserve">Empirical evidence shows that structured treatment pathways can improve outcomes when implemented effectively. However, there is variation in how consistently these outcomes are achieved. For example, antipsychotic medication is widely recognised as effective in reducing relapse and symptom severity (Leucht et al., 2019). In contrast, studies by Kane et al. (2019) and </w:t>
      </w:r>
      <w:proofErr w:type="spellStart"/>
      <w:r w:rsidRPr="00650C77">
        <w:rPr>
          <w:rFonts w:ascii="Arial" w:hAnsi="Arial" w:cs="Arial"/>
          <w:color w:val="000000" w:themeColor="text1"/>
        </w:rPr>
        <w:t>Barkhof</w:t>
      </w:r>
      <w:proofErr w:type="spellEnd"/>
      <w:r w:rsidRPr="00650C77">
        <w:rPr>
          <w:rFonts w:ascii="Arial" w:hAnsi="Arial" w:cs="Arial"/>
          <w:color w:val="000000" w:themeColor="text1"/>
        </w:rPr>
        <w:t xml:space="preserve"> et al. (2021) highlight that adherence drops to 50–60% within one year, limiting long-term effectiveness. This suggests that while clinical efficacy is strong, real-world effectiveness is reduced by behavioural and service-related factors.</w:t>
      </w:r>
    </w:p>
    <w:p w14:paraId="55172BE4" w14:textId="7E214E64" w:rsidR="008366F7" w:rsidRPr="00650C77" w:rsidRDefault="008366F7" w:rsidP="00247F79">
      <w:pPr>
        <w:spacing w:before="100" w:beforeAutospacing="1" w:after="100" w:afterAutospacing="1" w:line="360" w:lineRule="auto"/>
        <w:jc w:val="both"/>
        <w:rPr>
          <w:rFonts w:ascii="Arial" w:eastAsia="Times New Roman" w:hAnsi="Arial" w:cs="Arial"/>
          <w:color w:val="000000" w:themeColor="text1"/>
          <w:kern w:val="0"/>
          <w:sz w:val="24"/>
          <w:szCs w:val="24"/>
          <w:lang w:eastAsia="en-GB"/>
          <w14:ligatures w14:val="none"/>
        </w:rPr>
      </w:pPr>
      <w:r w:rsidRPr="00650C77">
        <w:rPr>
          <w:rFonts w:ascii="Arial" w:eastAsiaTheme="majorEastAsia" w:hAnsi="Arial" w:cs="Arial"/>
          <w:b/>
          <w:bCs/>
          <w:color w:val="000000" w:themeColor="text1"/>
        </w:rPr>
        <w:t>Table</w:t>
      </w:r>
      <w:r w:rsidR="00990440" w:rsidRPr="00650C77">
        <w:rPr>
          <w:rFonts w:ascii="Arial" w:eastAsiaTheme="majorEastAsia" w:hAnsi="Arial" w:cs="Arial"/>
          <w:b/>
          <w:bCs/>
          <w:color w:val="000000" w:themeColor="text1"/>
        </w:rPr>
        <w:t xml:space="preserve"> 4.3.3.1:</w:t>
      </w:r>
      <w:r w:rsidRPr="00650C77">
        <w:rPr>
          <w:rFonts w:ascii="Arial" w:eastAsiaTheme="majorEastAsia" w:hAnsi="Arial" w:cs="Arial"/>
          <w:b/>
          <w:bCs/>
          <w:color w:val="000000" w:themeColor="text1"/>
        </w:rPr>
        <w:t xml:space="preserve"> Key Statistics on Schizophrenia Treatment Outcomes in the UK</w:t>
      </w:r>
    </w:p>
    <w:tbl>
      <w:tblPr>
        <w:tblStyle w:val="TableGrid"/>
        <w:tblW w:w="0" w:type="auto"/>
        <w:tblInd w:w="0" w:type="dxa"/>
        <w:tblLook w:val="04A0" w:firstRow="1" w:lastRow="0" w:firstColumn="1" w:lastColumn="0" w:noHBand="0" w:noVBand="1"/>
      </w:tblPr>
      <w:tblGrid>
        <w:gridCol w:w="2880"/>
        <w:gridCol w:w="2880"/>
        <w:gridCol w:w="2880"/>
      </w:tblGrid>
      <w:tr w:rsidR="00650C77" w:rsidRPr="00650C77" w14:paraId="24D84DDE" w14:textId="77777777" w:rsidTr="00650C77">
        <w:tc>
          <w:tcPr>
            <w:tcW w:w="2880" w:type="dxa"/>
            <w:shd w:val="clear" w:color="auto" w:fill="B4C6E7" w:themeFill="accent1" w:themeFillTint="66"/>
          </w:tcPr>
          <w:p w14:paraId="74FBA6A9" w14:textId="77777777" w:rsidR="008366F7" w:rsidRPr="00650C77" w:rsidRDefault="008366F7" w:rsidP="00BF0846">
            <w:pPr>
              <w:rPr>
                <w:rFonts w:ascii="Arial" w:hAnsi="Arial" w:cs="Arial"/>
                <w:b/>
                <w:bCs/>
                <w:color w:val="000000" w:themeColor="text1"/>
                <w:sz w:val="20"/>
                <w:szCs w:val="20"/>
              </w:rPr>
            </w:pPr>
            <w:r w:rsidRPr="00650C77">
              <w:rPr>
                <w:rFonts w:ascii="Arial" w:hAnsi="Arial" w:cs="Arial"/>
                <w:b/>
                <w:bCs/>
                <w:color w:val="000000" w:themeColor="text1"/>
                <w:sz w:val="20"/>
                <w:szCs w:val="20"/>
              </w:rPr>
              <w:t>Indicator</w:t>
            </w:r>
          </w:p>
        </w:tc>
        <w:tc>
          <w:tcPr>
            <w:tcW w:w="2880" w:type="dxa"/>
            <w:shd w:val="clear" w:color="auto" w:fill="B4C6E7" w:themeFill="accent1" w:themeFillTint="66"/>
          </w:tcPr>
          <w:p w14:paraId="7535A39E" w14:textId="77777777" w:rsidR="008366F7" w:rsidRPr="00650C77" w:rsidRDefault="008366F7" w:rsidP="00BF0846">
            <w:pPr>
              <w:rPr>
                <w:rFonts w:ascii="Arial" w:hAnsi="Arial" w:cs="Arial"/>
                <w:b/>
                <w:bCs/>
                <w:color w:val="000000" w:themeColor="text1"/>
                <w:sz w:val="20"/>
                <w:szCs w:val="20"/>
              </w:rPr>
            </w:pPr>
            <w:r w:rsidRPr="00650C77">
              <w:rPr>
                <w:rFonts w:ascii="Arial" w:hAnsi="Arial" w:cs="Arial"/>
                <w:b/>
                <w:bCs/>
                <w:color w:val="000000" w:themeColor="text1"/>
                <w:sz w:val="20"/>
                <w:szCs w:val="20"/>
              </w:rPr>
              <w:t>UK Findings</w:t>
            </w:r>
          </w:p>
        </w:tc>
        <w:tc>
          <w:tcPr>
            <w:tcW w:w="2880" w:type="dxa"/>
            <w:shd w:val="clear" w:color="auto" w:fill="B4C6E7" w:themeFill="accent1" w:themeFillTint="66"/>
          </w:tcPr>
          <w:p w14:paraId="25D2D8EA" w14:textId="77777777" w:rsidR="008366F7" w:rsidRPr="00650C77" w:rsidRDefault="008366F7" w:rsidP="00BF0846">
            <w:pPr>
              <w:rPr>
                <w:rFonts w:ascii="Arial" w:hAnsi="Arial" w:cs="Arial"/>
                <w:b/>
                <w:bCs/>
                <w:color w:val="000000" w:themeColor="text1"/>
                <w:sz w:val="20"/>
                <w:szCs w:val="20"/>
              </w:rPr>
            </w:pPr>
            <w:r w:rsidRPr="00650C77">
              <w:rPr>
                <w:rFonts w:ascii="Arial" w:hAnsi="Arial" w:cs="Arial"/>
                <w:b/>
                <w:bCs/>
                <w:color w:val="000000" w:themeColor="text1"/>
                <w:sz w:val="20"/>
                <w:szCs w:val="20"/>
              </w:rPr>
              <w:t>Source</w:t>
            </w:r>
          </w:p>
        </w:tc>
      </w:tr>
      <w:tr w:rsidR="00650C77" w:rsidRPr="00650C77" w14:paraId="2476C18B" w14:textId="77777777" w:rsidTr="00650C77">
        <w:tc>
          <w:tcPr>
            <w:tcW w:w="2880" w:type="dxa"/>
            <w:shd w:val="clear" w:color="auto" w:fill="B4C6E7" w:themeFill="accent1" w:themeFillTint="66"/>
          </w:tcPr>
          <w:p w14:paraId="193014B8"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Reduction in relapse rates among EIP service users</w:t>
            </w:r>
          </w:p>
        </w:tc>
        <w:tc>
          <w:tcPr>
            <w:tcW w:w="2880" w:type="dxa"/>
            <w:shd w:val="clear" w:color="auto" w:fill="B4C6E7" w:themeFill="accent1" w:themeFillTint="66"/>
          </w:tcPr>
          <w:p w14:paraId="64978CDD"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20–40% reduction compared to standard care</w:t>
            </w:r>
          </w:p>
        </w:tc>
        <w:tc>
          <w:tcPr>
            <w:tcW w:w="2880" w:type="dxa"/>
            <w:shd w:val="clear" w:color="auto" w:fill="B4C6E7" w:themeFill="accent1" w:themeFillTint="66"/>
          </w:tcPr>
          <w:p w14:paraId="2503F911"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Birchwood et al., 2018; NHS England, 2022</w:t>
            </w:r>
          </w:p>
        </w:tc>
      </w:tr>
      <w:tr w:rsidR="00650C77" w:rsidRPr="00650C77" w14:paraId="2C608F61" w14:textId="77777777" w:rsidTr="00650C77">
        <w:tc>
          <w:tcPr>
            <w:tcW w:w="2880" w:type="dxa"/>
            <w:shd w:val="clear" w:color="auto" w:fill="B4C6E7" w:themeFill="accent1" w:themeFillTint="66"/>
          </w:tcPr>
          <w:p w14:paraId="7AEBA618"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 xml:space="preserve">Access to </w:t>
            </w:r>
            <w:proofErr w:type="spellStart"/>
            <w:r w:rsidRPr="00650C77">
              <w:rPr>
                <w:rFonts w:ascii="Arial" w:hAnsi="Arial" w:cs="Arial"/>
                <w:color w:val="000000" w:themeColor="text1"/>
                <w:sz w:val="20"/>
                <w:szCs w:val="20"/>
              </w:rPr>
              <w:t>CBTp</w:t>
            </w:r>
            <w:proofErr w:type="spellEnd"/>
          </w:p>
        </w:tc>
        <w:tc>
          <w:tcPr>
            <w:tcW w:w="2880" w:type="dxa"/>
            <w:shd w:val="clear" w:color="auto" w:fill="B4C6E7" w:themeFill="accent1" w:themeFillTint="66"/>
          </w:tcPr>
          <w:p w14:paraId="3D4FD431"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 xml:space="preserve">Only 26–32% of eligible patients receive </w:t>
            </w:r>
            <w:proofErr w:type="spellStart"/>
            <w:r w:rsidRPr="00650C77">
              <w:rPr>
                <w:rFonts w:ascii="Arial" w:hAnsi="Arial" w:cs="Arial"/>
                <w:color w:val="000000" w:themeColor="text1"/>
                <w:sz w:val="20"/>
                <w:szCs w:val="20"/>
              </w:rPr>
              <w:t>CBTp</w:t>
            </w:r>
            <w:proofErr w:type="spellEnd"/>
          </w:p>
        </w:tc>
        <w:tc>
          <w:tcPr>
            <w:tcW w:w="2880" w:type="dxa"/>
            <w:shd w:val="clear" w:color="auto" w:fill="B4C6E7" w:themeFill="accent1" w:themeFillTint="66"/>
          </w:tcPr>
          <w:p w14:paraId="3A8C1DD0"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CQC, 2023; Haddock et al., 2020</w:t>
            </w:r>
          </w:p>
        </w:tc>
      </w:tr>
      <w:tr w:rsidR="00650C77" w:rsidRPr="00650C77" w14:paraId="32FEF196" w14:textId="77777777" w:rsidTr="00650C77">
        <w:tc>
          <w:tcPr>
            <w:tcW w:w="2880" w:type="dxa"/>
            <w:shd w:val="clear" w:color="auto" w:fill="B4C6E7" w:themeFill="accent1" w:themeFillTint="66"/>
          </w:tcPr>
          <w:p w14:paraId="0F693569"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Antipsychotic adherence rates</w:t>
            </w:r>
          </w:p>
        </w:tc>
        <w:tc>
          <w:tcPr>
            <w:tcW w:w="2880" w:type="dxa"/>
            <w:shd w:val="clear" w:color="auto" w:fill="B4C6E7" w:themeFill="accent1" w:themeFillTint="66"/>
          </w:tcPr>
          <w:p w14:paraId="5232C753"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Approx. 50–60% adherence at one year</w:t>
            </w:r>
          </w:p>
        </w:tc>
        <w:tc>
          <w:tcPr>
            <w:tcW w:w="2880" w:type="dxa"/>
            <w:shd w:val="clear" w:color="auto" w:fill="B4C6E7" w:themeFill="accent1" w:themeFillTint="66"/>
          </w:tcPr>
          <w:p w14:paraId="01158E41"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 xml:space="preserve">Kane et al., 2019; </w:t>
            </w:r>
            <w:proofErr w:type="spellStart"/>
            <w:r w:rsidRPr="00650C77">
              <w:rPr>
                <w:rFonts w:ascii="Arial" w:hAnsi="Arial" w:cs="Arial"/>
                <w:color w:val="000000" w:themeColor="text1"/>
                <w:sz w:val="20"/>
                <w:szCs w:val="20"/>
              </w:rPr>
              <w:t>Barkhof</w:t>
            </w:r>
            <w:proofErr w:type="spellEnd"/>
            <w:r w:rsidRPr="00650C77">
              <w:rPr>
                <w:rFonts w:ascii="Arial" w:hAnsi="Arial" w:cs="Arial"/>
                <w:color w:val="000000" w:themeColor="text1"/>
                <w:sz w:val="20"/>
                <w:szCs w:val="20"/>
              </w:rPr>
              <w:t xml:space="preserve"> et al., 2021</w:t>
            </w:r>
          </w:p>
        </w:tc>
      </w:tr>
      <w:tr w:rsidR="00650C77" w:rsidRPr="00650C77" w14:paraId="25ABD4BA" w14:textId="77777777" w:rsidTr="00650C77">
        <w:tc>
          <w:tcPr>
            <w:tcW w:w="2880" w:type="dxa"/>
            <w:shd w:val="clear" w:color="auto" w:fill="B4C6E7" w:themeFill="accent1" w:themeFillTint="66"/>
          </w:tcPr>
          <w:p w14:paraId="7986D424"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Hospital readmission within one year</w:t>
            </w:r>
          </w:p>
        </w:tc>
        <w:tc>
          <w:tcPr>
            <w:tcW w:w="2880" w:type="dxa"/>
            <w:shd w:val="clear" w:color="auto" w:fill="B4C6E7" w:themeFill="accent1" w:themeFillTint="66"/>
          </w:tcPr>
          <w:p w14:paraId="44856DD0"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30–45%</w:t>
            </w:r>
          </w:p>
        </w:tc>
        <w:tc>
          <w:tcPr>
            <w:tcW w:w="2880" w:type="dxa"/>
            <w:shd w:val="clear" w:color="auto" w:fill="B4C6E7" w:themeFill="accent1" w:themeFillTint="66"/>
          </w:tcPr>
          <w:p w14:paraId="4DD2A90A"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Jauhar et al., 2019</w:t>
            </w:r>
          </w:p>
        </w:tc>
      </w:tr>
      <w:tr w:rsidR="00650C77" w:rsidRPr="00650C77" w14:paraId="0F675B14" w14:textId="77777777" w:rsidTr="00650C77">
        <w:tc>
          <w:tcPr>
            <w:tcW w:w="2880" w:type="dxa"/>
            <w:shd w:val="clear" w:color="auto" w:fill="B4C6E7" w:themeFill="accent1" w:themeFillTint="66"/>
          </w:tcPr>
          <w:p w14:paraId="4C0CB338"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Treatment within 2-week EIP standard</w:t>
            </w:r>
          </w:p>
        </w:tc>
        <w:tc>
          <w:tcPr>
            <w:tcW w:w="2880" w:type="dxa"/>
            <w:shd w:val="clear" w:color="auto" w:fill="B4C6E7" w:themeFill="accent1" w:themeFillTint="66"/>
          </w:tcPr>
          <w:p w14:paraId="1E444868" w14:textId="77777777" w:rsidR="008366F7" w:rsidRPr="00650C77" w:rsidRDefault="008366F7" w:rsidP="00BF0846">
            <w:pPr>
              <w:rPr>
                <w:rFonts w:ascii="Arial" w:hAnsi="Arial" w:cs="Arial"/>
                <w:color w:val="000000" w:themeColor="text1"/>
                <w:sz w:val="20"/>
                <w:szCs w:val="20"/>
              </w:rPr>
            </w:pPr>
            <w:r w:rsidRPr="00650C77">
              <w:rPr>
                <w:rFonts w:ascii="Arial" w:hAnsi="Arial" w:cs="Arial"/>
                <w:color w:val="000000" w:themeColor="text1"/>
                <w:sz w:val="20"/>
                <w:szCs w:val="20"/>
              </w:rPr>
              <w:t>43–55% nationally</w:t>
            </w:r>
          </w:p>
        </w:tc>
        <w:tc>
          <w:tcPr>
            <w:tcW w:w="2880" w:type="dxa"/>
            <w:shd w:val="clear" w:color="auto" w:fill="B4C6E7" w:themeFill="accent1" w:themeFillTint="66"/>
          </w:tcPr>
          <w:p w14:paraId="3C9A8830" w14:textId="77777777" w:rsidR="008366F7" w:rsidRPr="00650C77" w:rsidRDefault="008366F7" w:rsidP="00BF0846">
            <w:pPr>
              <w:rPr>
                <w:rFonts w:ascii="Arial" w:hAnsi="Arial" w:cs="Arial"/>
                <w:color w:val="000000" w:themeColor="text1"/>
                <w:sz w:val="20"/>
                <w:szCs w:val="20"/>
              </w:rPr>
            </w:pPr>
            <w:proofErr w:type="spellStart"/>
            <w:r w:rsidRPr="00650C77">
              <w:rPr>
                <w:rFonts w:ascii="Arial" w:hAnsi="Arial" w:cs="Arial"/>
                <w:color w:val="000000" w:themeColor="text1"/>
                <w:sz w:val="20"/>
                <w:szCs w:val="20"/>
              </w:rPr>
              <w:t>RCPsych</w:t>
            </w:r>
            <w:proofErr w:type="spellEnd"/>
            <w:r w:rsidRPr="00650C77">
              <w:rPr>
                <w:rFonts w:ascii="Arial" w:hAnsi="Arial" w:cs="Arial"/>
                <w:color w:val="000000" w:themeColor="text1"/>
                <w:sz w:val="20"/>
                <w:szCs w:val="20"/>
              </w:rPr>
              <w:t>, 2024</w:t>
            </w:r>
          </w:p>
        </w:tc>
      </w:tr>
    </w:tbl>
    <w:p w14:paraId="3D68D93D" w14:textId="53A24F2A" w:rsidR="00355E71" w:rsidRPr="0044725C" w:rsidRDefault="003C634B" w:rsidP="003C634B">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The data in Table 4.3.3.1 highlights a gap between evidence and practice. Although EIP services reduce relapse by 20–40%, only 43–55% of patients receive timely treatment (</w:t>
      </w:r>
      <w:proofErr w:type="spellStart"/>
      <w:r w:rsidRPr="00650C77">
        <w:rPr>
          <w:rFonts w:ascii="Arial" w:eastAsia="Times New Roman" w:hAnsi="Arial" w:cs="Arial"/>
          <w:color w:val="000000" w:themeColor="text1"/>
          <w:kern w:val="0"/>
          <w:lang w:eastAsia="en-GB"/>
          <w14:ligatures w14:val="none"/>
        </w:rPr>
        <w:t>RCPsych</w:t>
      </w:r>
      <w:proofErr w:type="spellEnd"/>
      <w:r w:rsidRPr="00650C77">
        <w:rPr>
          <w:rFonts w:ascii="Arial" w:eastAsia="Times New Roman" w:hAnsi="Arial" w:cs="Arial"/>
          <w:color w:val="000000" w:themeColor="text1"/>
          <w:kern w:val="0"/>
          <w:lang w:eastAsia="en-GB"/>
          <w14:ligatures w14:val="none"/>
        </w:rPr>
        <w:t xml:space="preserve">, 2024). Access to </w:t>
      </w:r>
      <w:proofErr w:type="spellStart"/>
      <w:r w:rsidRPr="00650C77">
        <w:rPr>
          <w:rFonts w:ascii="Arial" w:eastAsia="Times New Roman" w:hAnsi="Arial" w:cs="Arial"/>
          <w:color w:val="000000" w:themeColor="text1"/>
          <w:kern w:val="0"/>
          <w:lang w:eastAsia="en-GB"/>
          <w14:ligatures w14:val="none"/>
        </w:rPr>
        <w:t>CBTp</w:t>
      </w:r>
      <w:proofErr w:type="spellEnd"/>
      <w:r w:rsidRPr="00650C77">
        <w:rPr>
          <w:rFonts w:ascii="Arial" w:eastAsia="Times New Roman" w:hAnsi="Arial" w:cs="Arial"/>
          <w:color w:val="000000" w:themeColor="text1"/>
          <w:kern w:val="0"/>
          <w:lang w:eastAsia="en-GB"/>
          <w14:ligatures w14:val="none"/>
        </w:rPr>
        <w:t xml:space="preserve"> is also limited at 26–32% (CQC, 2023; Haddock et al., 2020). Clinical trials report stronger outcomes than service-level studies (Leucht et al., 2019; CQC, 2023), indicating effectiveness depends on implementation. Overall, improving outcomes requires better delivery of existing treatments across services and settings consistently.</w:t>
      </w:r>
      <w:r w:rsidRPr="00650C77">
        <w:rPr>
          <w:rFonts w:ascii="Arial" w:eastAsia="Times New Roman" w:hAnsi="Arial" w:cs="Arial"/>
          <w:vanish/>
          <w:color w:val="000000" w:themeColor="text1"/>
          <w:kern w:val="0"/>
          <w:sz w:val="16"/>
          <w:szCs w:val="16"/>
          <w:lang w:eastAsia="en-GB"/>
          <w14:ligatures w14:val="none"/>
        </w:rPr>
        <w:t>Top of FormBottom of Form</w:t>
      </w:r>
    </w:p>
    <w:p w14:paraId="26ACEF26" w14:textId="47465A6B" w:rsidR="00991FE8" w:rsidRPr="00650C77" w:rsidRDefault="00991FE8" w:rsidP="00991FE8">
      <w:pPr>
        <w:spacing w:before="100" w:beforeAutospacing="1" w:after="100" w:afterAutospacing="1" w:line="360" w:lineRule="auto"/>
        <w:jc w:val="both"/>
        <w:outlineLvl w:val="2"/>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4.3.</w:t>
      </w:r>
      <w:r w:rsidR="00A3689C" w:rsidRPr="00650C77">
        <w:rPr>
          <w:rFonts w:ascii="Arial" w:eastAsia="Times New Roman" w:hAnsi="Arial" w:cs="Arial"/>
          <w:b/>
          <w:bCs/>
          <w:color w:val="000000" w:themeColor="text1"/>
          <w:kern w:val="0"/>
          <w:sz w:val="24"/>
          <w:szCs w:val="24"/>
          <w:lang w:eastAsia="en-GB"/>
          <w14:ligatures w14:val="none"/>
        </w:rPr>
        <w:t>4</w:t>
      </w:r>
      <w:r w:rsidRPr="00650C77">
        <w:rPr>
          <w:rFonts w:ascii="Arial" w:eastAsia="Times New Roman" w:hAnsi="Arial" w:cs="Arial"/>
          <w:b/>
          <w:bCs/>
          <w:color w:val="000000" w:themeColor="text1"/>
          <w:kern w:val="0"/>
          <w:sz w:val="24"/>
          <w:szCs w:val="24"/>
          <w:lang w:eastAsia="en-GB"/>
          <w14:ligatures w14:val="none"/>
        </w:rPr>
        <w:t xml:space="preserve"> Impact on Research Question:</w:t>
      </w:r>
    </w:p>
    <w:p w14:paraId="6EB54383" w14:textId="77777777" w:rsidR="00915C50" w:rsidRPr="00650C77" w:rsidRDefault="00A3689C" w:rsidP="00915C5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This theme is directly relevant to the research question because it examines whether current schizophrenia treatment pathways in the UK are effective in practice, rather than only in </w:t>
      </w:r>
      <w:r w:rsidRPr="00650C77">
        <w:rPr>
          <w:rFonts w:ascii="Arial" w:hAnsi="Arial" w:cs="Arial"/>
          <w:color w:val="000000" w:themeColor="text1"/>
          <w:sz w:val="22"/>
          <w:szCs w:val="22"/>
        </w:rPr>
        <w:lastRenderedPageBreak/>
        <w:t xml:space="preserve">principle. </w:t>
      </w:r>
      <w:r w:rsidR="00915C50" w:rsidRPr="00650C77">
        <w:rPr>
          <w:rFonts w:ascii="Arial" w:hAnsi="Arial" w:cs="Arial"/>
          <w:color w:val="000000" w:themeColor="text1"/>
          <w:sz w:val="22"/>
          <w:szCs w:val="22"/>
        </w:rPr>
        <w:t xml:space="preserve">Measures such as relapse rates, treatment adherence, access to therapy, and hospital readmission are key indicators of how effectively care pathways support service users. Evidence shows that while evidence-based interventions can improve outcomes, their impact is often reduced by low adherence, unequal access, and poor continuity of care (Leucht et al., 2019; Kane et al., 2019; </w:t>
      </w:r>
      <w:proofErr w:type="spellStart"/>
      <w:r w:rsidR="00915C50" w:rsidRPr="00650C77">
        <w:rPr>
          <w:rFonts w:ascii="Arial" w:hAnsi="Arial" w:cs="Arial"/>
          <w:color w:val="000000" w:themeColor="text1"/>
          <w:sz w:val="22"/>
          <w:szCs w:val="22"/>
        </w:rPr>
        <w:t>Barkhof</w:t>
      </w:r>
      <w:proofErr w:type="spellEnd"/>
      <w:r w:rsidR="00915C50" w:rsidRPr="00650C77">
        <w:rPr>
          <w:rFonts w:ascii="Arial" w:hAnsi="Arial" w:cs="Arial"/>
          <w:color w:val="000000" w:themeColor="text1"/>
          <w:sz w:val="22"/>
          <w:szCs w:val="22"/>
        </w:rPr>
        <w:t xml:space="preserve"> et al., 2021).</w:t>
      </w:r>
    </w:p>
    <w:p w14:paraId="3AEBEC21" w14:textId="293D581E" w:rsidR="00915C50" w:rsidRPr="00650C77" w:rsidRDefault="00915C50" w:rsidP="00915C5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Notably, effectiveness should be assessed across the entire care pathway rather than focusing only on individual treatments. Service users require long-term, coordinated support, and gaps at any stage can weaken overall outcomes. For example, effective initial treatment may be undermined by inadequate follow-up or limited community support.</w:t>
      </w:r>
    </w:p>
    <w:p w14:paraId="4682F728" w14:textId="07CE8B6D" w:rsidR="008C5086" w:rsidRPr="00650C77" w:rsidRDefault="00990440" w:rsidP="00915C5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Therefore, the findings indicate that the main challenge is not whether treatments are effective, but whether the system can deliver them consistently. This shifts the focus of the research question towards service organisation and implementation, rather than clinical evidence alone.</w:t>
      </w:r>
    </w:p>
    <w:p w14:paraId="2F1532AD" w14:textId="46EEFF4E" w:rsidR="008366F7" w:rsidRPr="00650C77" w:rsidRDefault="008366F7" w:rsidP="008366F7">
      <w:pPr>
        <w:spacing w:before="100" w:beforeAutospacing="1" w:after="100" w:afterAutospacing="1" w:line="360" w:lineRule="auto"/>
        <w:jc w:val="both"/>
        <w:outlineLvl w:val="1"/>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4.3.</w:t>
      </w:r>
      <w:r w:rsidR="0073622E" w:rsidRPr="00650C77">
        <w:rPr>
          <w:rFonts w:ascii="Arial" w:eastAsia="Times New Roman" w:hAnsi="Arial" w:cs="Arial"/>
          <w:b/>
          <w:bCs/>
          <w:color w:val="000000" w:themeColor="text1"/>
          <w:kern w:val="0"/>
          <w:sz w:val="24"/>
          <w:szCs w:val="24"/>
          <w:lang w:eastAsia="en-GB"/>
          <w14:ligatures w14:val="none"/>
        </w:rPr>
        <w:t>5</w:t>
      </w:r>
      <w:r w:rsidRPr="00650C77">
        <w:rPr>
          <w:rFonts w:ascii="Arial" w:eastAsia="Times New Roman" w:hAnsi="Arial" w:cs="Arial"/>
          <w:b/>
          <w:bCs/>
          <w:color w:val="000000" w:themeColor="text1"/>
          <w:kern w:val="0"/>
          <w:sz w:val="24"/>
          <w:szCs w:val="24"/>
          <w:lang w:eastAsia="en-GB"/>
          <w14:ligatures w14:val="none"/>
        </w:rPr>
        <w:t xml:space="preserve"> Theories, Policies, and Legislation:</w:t>
      </w:r>
    </w:p>
    <w:p w14:paraId="5E7C9475" w14:textId="77777777" w:rsidR="0027100E" w:rsidRPr="00650C77" w:rsidRDefault="0027100E" w:rsidP="0027100E">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Beyond the bio-psycho-social model, systems theory explains schizophrenia care as an interconnected network, where outcomes depend on coordination across services rather than isolated interventions (</w:t>
      </w:r>
      <w:proofErr w:type="spellStart"/>
      <w:r w:rsidRPr="00650C77">
        <w:rPr>
          <w:rFonts w:ascii="Arial" w:hAnsi="Arial" w:cs="Arial"/>
          <w:color w:val="000000" w:themeColor="text1"/>
          <w:sz w:val="22"/>
          <w:szCs w:val="22"/>
        </w:rPr>
        <w:t>Checkland</w:t>
      </w:r>
      <w:proofErr w:type="spellEnd"/>
      <w:r w:rsidRPr="00650C77">
        <w:rPr>
          <w:rFonts w:ascii="Arial" w:hAnsi="Arial" w:cs="Arial"/>
          <w:color w:val="000000" w:themeColor="text1"/>
          <w:sz w:val="22"/>
          <w:szCs w:val="22"/>
        </w:rPr>
        <w:t>, 1981). Clinical effectiveness is influenced by service transitions, information sharing, and organisational alignment.</w:t>
      </w:r>
    </w:p>
    <w:p w14:paraId="6C583C5F" w14:textId="77777777" w:rsidR="0027100E" w:rsidRPr="00650C77" w:rsidRDefault="0027100E" w:rsidP="0027100E">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Policy initiatives such as the Community Mental Health Framework for Adults and Older Adults (NHS England, 2021) promote integrated, locality-based care. However, fragmented pathways persist, indicating that structural reform alone is insufficient without sustained investment, workforce capacity, and accountability.</w:t>
      </w:r>
    </w:p>
    <w:p w14:paraId="193A79D1" w14:textId="7C6B8983" w:rsidR="008C5086" w:rsidRPr="00650C77" w:rsidRDefault="0027100E" w:rsidP="0027100E">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The Mental Health Act 1983 (amended 2007) governs compulsory treatment and access, particularly in crisis (Department of Health and Social Care, 2007). The Equality Act 2010 mandates equitable access and non-discrimination (Government Equalities Office, 2010), yet implementation remains inconsistent (</w:t>
      </w:r>
      <w:proofErr w:type="spellStart"/>
      <w:r w:rsidRPr="00650C77">
        <w:rPr>
          <w:rFonts w:ascii="Arial" w:hAnsi="Arial" w:cs="Arial"/>
          <w:color w:val="000000" w:themeColor="text1"/>
          <w:sz w:val="22"/>
          <w:szCs w:val="22"/>
        </w:rPr>
        <w:t>Nazroo</w:t>
      </w:r>
      <w:proofErr w:type="spellEnd"/>
      <w:r w:rsidRPr="00650C77">
        <w:rPr>
          <w:rFonts w:ascii="Arial" w:hAnsi="Arial" w:cs="Arial"/>
          <w:color w:val="000000" w:themeColor="text1"/>
          <w:sz w:val="22"/>
          <w:szCs w:val="22"/>
        </w:rPr>
        <w:t xml:space="preserve"> et al., 2019; CQC, 2023).</w:t>
      </w:r>
    </w:p>
    <w:p w14:paraId="4BB45EBB" w14:textId="6C5637E1" w:rsidR="00317D0B" w:rsidRPr="00650C77" w:rsidRDefault="00317D0B" w:rsidP="001B6210">
      <w:pPr>
        <w:pStyle w:val="Heading3"/>
        <w:numPr>
          <w:ilvl w:val="2"/>
          <w:numId w:val="31"/>
        </w:numPr>
        <w:spacing w:line="360" w:lineRule="auto"/>
        <w:jc w:val="both"/>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Implications: Treatment Pathways and Clinical Effectiveness</w:t>
      </w:r>
      <w:r w:rsidR="00DA74E4" w:rsidRPr="00650C77">
        <w:rPr>
          <w:rFonts w:ascii="Arial" w:eastAsia="Times New Roman" w:hAnsi="Arial" w:cs="Arial"/>
          <w:b/>
          <w:bCs/>
          <w:color w:val="000000" w:themeColor="text1"/>
          <w:kern w:val="0"/>
          <w:sz w:val="24"/>
          <w:szCs w:val="24"/>
          <w:lang w:eastAsia="en-GB"/>
          <w14:ligatures w14:val="none"/>
        </w:rPr>
        <w:t>:</w:t>
      </w:r>
    </w:p>
    <w:p w14:paraId="3E6E22F1" w14:textId="721535D3" w:rsidR="00915C50" w:rsidRPr="00650C77" w:rsidRDefault="001B6210" w:rsidP="001B6210">
      <w:pPr>
        <w:spacing w:before="100" w:beforeAutospacing="1" w:after="100" w:afterAutospacing="1" w:line="360" w:lineRule="auto"/>
        <w:jc w:val="both"/>
        <w:outlineLvl w:val="3"/>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 xml:space="preserve">4.3.6.1 </w:t>
      </w:r>
      <w:r w:rsidR="00317D0B" w:rsidRPr="00650C77">
        <w:rPr>
          <w:rFonts w:ascii="Arial" w:eastAsia="Times New Roman" w:hAnsi="Arial" w:cs="Arial"/>
          <w:b/>
          <w:bCs/>
          <w:color w:val="000000" w:themeColor="text1"/>
          <w:kern w:val="0"/>
          <w:lang w:eastAsia="en-GB"/>
          <w14:ligatures w14:val="none"/>
        </w:rPr>
        <w:t>Positive Implications</w:t>
      </w:r>
      <w:r w:rsidR="00DA74E4" w:rsidRPr="00650C77">
        <w:rPr>
          <w:rFonts w:ascii="Arial" w:eastAsia="Times New Roman" w:hAnsi="Arial" w:cs="Arial"/>
          <w:b/>
          <w:bCs/>
          <w:color w:val="000000" w:themeColor="text1"/>
          <w:kern w:val="0"/>
          <w:lang w:eastAsia="en-GB"/>
          <w14:ligatures w14:val="none"/>
        </w:rPr>
        <w:t>:</w:t>
      </w:r>
      <w:r w:rsidR="0027100E" w:rsidRPr="00650C77">
        <w:rPr>
          <w:rFonts w:ascii="Arial" w:eastAsia="Times New Roman" w:hAnsi="Arial" w:cs="Arial"/>
          <w:b/>
          <w:bCs/>
          <w:color w:val="000000" w:themeColor="text1"/>
          <w:kern w:val="0"/>
          <w:lang w:eastAsia="en-GB"/>
          <w14:ligatures w14:val="none"/>
        </w:rPr>
        <w:t xml:space="preserve"> </w:t>
      </w:r>
      <w:r w:rsidR="00670383" w:rsidRPr="00650C77">
        <w:rPr>
          <w:rFonts w:ascii="Arial" w:hAnsi="Arial" w:cs="Arial"/>
          <w:color w:val="000000" w:themeColor="text1"/>
        </w:rPr>
        <w:t>Evidence consistently shows that structured, multidisciplinary treatment pathways improve outcomes in schizophrenia care. Early Intervention in Psychosis (EIP), alongside combined pharmacological and psychosocial approaches, is particularly effective when delivered in a coordinated and timely manner (Leucht et al., 2019; Birchwood et al., 2018; Morrison et al., 2018; Lobban et al., 2020; Repper and Perkins, 2021).</w:t>
      </w:r>
    </w:p>
    <w:p w14:paraId="5DEB97C4" w14:textId="223F585C" w:rsidR="008C5086" w:rsidRPr="00650C77" w:rsidRDefault="008C5086" w:rsidP="00915C50">
      <w:pPr>
        <w:spacing w:before="100" w:beforeAutospacing="1" w:after="100" w:afterAutospacing="1" w:line="360" w:lineRule="auto"/>
        <w:jc w:val="both"/>
        <w:outlineLvl w:val="3"/>
        <w:rPr>
          <w:rFonts w:ascii="Arial" w:eastAsia="Times New Roman" w:hAnsi="Arial" w:cs="Arial"/>
          <w:b/>
          <w:bCs/>
          <w:color w:val="000000" w:themeColor="text1"/>
          <w:kern w:val="0"/>
          <w:lang w:eastAsia="en-GB"/>
          <w14:ligatures w14:val="none"/>
        </w:rPr>
      </w:pPr>
      <w:r w:rsidRPr="00650C77">
        <w:rPr>
          <w:rFonts w:ascii="Arial" w:eastAsiaTheme="majorEastAsia" w:hAnsi="Arial" w:cs="Arial"/>
          <w:b/>
          <w:bCs/>
          <w:color w:val="000000" w:themeColor="text1"/>
        </w:rPr>
        <w:lastRenderedPageBreak/>
        <w:t>Table</w:t>
      </w:r>
      <w:r w:rsidR="00247F79" w:rsidRPr="00650C77">
        <w:rPr>
          <w:rFonts w:ascii="Arial" w:eastAsiaTheme="majorEastAsia" w:hAnsi="Arial" w:cs="Arial"/>
          <w:b/>
          <w:bCs/>
          <w:color w:val="000000" w:themeColor="text1"/>
        </w:rPr>
        <w:t>:</w:t>
      </w:r>
      <w:r w:rsidR="0027100E" w:rsidRPr="00650C77">
        <w:rPr>
          <w:rFonts w:ascii="Arial" w:eastAsiaTheme="majorEastAsia" w:hAnsi="Arial" w:cs="Arial"/>
          <w:b/>
          <w:bCs/>
          <w:color w:val="000000" w:themeColor="text1"/>
        </w:rPr>
        <w:t xml:space="preserve"> 4.3.6.1</w:t>
      </w:r>
      <w:r w:rsidRPr="00650C77">
        <w:rPr>
          <w:rFonts w:ascii="Arial" w:eastAsiaTheme="majorEastAsia" w:hAnsi="Arial" w:cs="Arial"/>
          <w:b/>
          <w:bCs/>
          <w:color w:val="000000" w:themeColor="text1"/>
        </w:rPr>
        <w:t xml:space="preserve"> Summary of Treatment Components and Evidence Strength</w:t>
      </w:r>
    </w:p>
    <w:tbl>
      <w:tblPr>
        <w:tblStyle w:val="TableGrid"/>
        <w:tblW w:w="0" w:type="auto"/>
        <w:tblInd w:w="0" w:type="dxa"/>
        <w:tblLook w:val="04A0" w:firstRow="1" w:lastRow="0" w:firstColumn="1" w:lastColumn="0" w:noHBand="0" w:noVBand="1"/>
      </w:tblPr>
      <w:tblGrid>
        <w:gridCol w:w="1980"/>
        <w:gridCol w:w="1417"/>
        <w:gridCol w:w="3083"/>
        <w:gridCol w:w="2160"/>
      </w:tblGrid>
      <w:tr w:rsidR="00650C77" w:rsidRPr="00650C77" w14:paraId="547C42CA" w14:textId="77777777" w:rsidTr="00650C77">
        <w:tc>
          <w:tcPr>
            <w:tcW w:w="1980" w:type="dxa"/>
            <w:shd w:val="clear" w:color="auto" w:fill="B4C6E7" w:themeFill="accent1" w:themeFillTint="66"/>
          </w:tcPr>
          <w:p w14:paraId="322A304B" w14:textId="77777777" w:rsidR="008C5086" w:rsidRPr="00650C77" w:rsidRDefault="008C5086" w:rsidP="001C7715">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Treatment Component</w:t>
            </w:r>
          </w:p>
        </w:tc>
        <w:tc>
          <w:tcPr>
            <w:tcW w:w="1417" w:type="dxa"/>
            <w:shd w:val="clear" w:color="auto" w:fill="B4C6E7" w:themeFill="accent1" w:themeFillTint="66"/>
          </w:tcPr>
          <w:p w14:paraId="178B6AEA" w14:textId="77777777" w:rsidR="008C5086" w:rsidRPr="00650C77" w:rsidRDefault="008C5086" w:rsidP="001C7715">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Evidence Strength</w:t>
            </w:r>
          </w:p>
        </w:tc>
        <w:tc>
          <w:tcPr>
            <w:tcW w:w="3083" w:type="dxa"/>
            <w:shd w:val="clear" w:color="auto" w:fill="B4C6E7" w:themeFill="accent1" w:themeFillTint="66"/>
          </w:tcPr>
          <w:p w14:paraId="5A91594A" w14:textId="77777777" w:rsidR="008C5086" w:rsidRPr="00650C77" w:rsidRDefault="008C5086" w:rsidP="001C7715">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Key Findings</w:t>
            </w:r>
          </w:p>
        </w:tc>
        <w:tc>
          <w:tcPr>
            <w:tcW w:w="2160" w:type="dxa"/>
            <w:shd w:val="clear" w:color="auto" w:fill="B4C6E7" w:themeFill="accent1" w:themeFillTint="66"/>
          </w:tcPr>
          <w:p w14:paraId="151B5443" w14:textId="77777777" w:rsidR="008C5086" w:rsidRPr="00650C77" w:rsidRDefault="008C5086" w:rsidP="001C7715">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References</w:t>
            </w:r>
          </w:p>
        </w:tc>
      </w:tr>
      <w:tr w:rsidR="00650C77" w:rsidRPr="00650C77" w14:paraId="4EF9C547" w14:textId="77777777" w:rsidTr="00650C77">
        <w:tc>
          <w:tcPr>
            <w:tcW w:w="1980" w:type="dxa"/>
            <w:shd w:val="clear" w:color="auto" w:fill="B4C6E7" w:themeFill="accent1" w:themeFillTint="66"/>
          </w:tcPr>
          <w:p w14:paraId="3E1B1EEB"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Antipsychotics</w:t>
            </w:r>
          </w:p>
        </w:tc>
        <w:tc>
          <w:tcPr>
            <w:tcW w:w="1417" w:type="dxa"/>
            <w:shd w:val="clear" w:color="auto" w:fill="B4C6E7" w:themeFill="accent1" w:themeFillTint="66"/>
          </w:tcPr>
          <w:p w14:paraId="317DE78D"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Strong</w:t>
            </w:r>
          </w:p>
        </w:tc>
        <w:tc>
          <w:tcPr>
            <w:tcW w:w="3083" w:type="dxa"/>
            <w:shd w:val="clear" w:color="auto" w:fill="B4C6E7" w:themeFill="accent1" w:themeFillTint="66"/>
          </w:tcPr>
          <w:p w14:paraId="4628DF51"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Effective for positive symptoms; adherence issues significant</w:t>
            </w:r>
          </w:p>
        </w:tc>
        <w:tc>
          <w:tcPr>
            <w:tcW w:w="2160" w:type="dxa"/>
            <w:shd w:val="clear" w:color="auto" w:fill="B4C6E7" w:themeFill="accent1" w:themeFillTint="66"/>
          </w:tcPr>
          <w:p w14:paraId="290C1120"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 xml:space="preserve">Leucht et al., 2019; </w:t>
            </w:r>
            <w:proofErr w:type="spellStart"/>
            <w:r w:rsidRPr="00650C77">
              <w:rPr>
                <w:rFonts w:ascii="Arial" w:hAnsi="Arial" w:cs="Arial"/>
                <w:color w:val="000000" w:themeColor="text1"/>
                <w:sz w:val="20"/>
                <w:szCs w:val="20"/>
              </w:rPr>
              <w:t>Barkhof</w:t>
            </w:r>
            <w:proofErr w:type="spellEnd"/>
            <w:r w:rsidRPr="00650C77">
              <w:rPr>
                <w:rFonts w:ascii="Arial" w:hAnsi="Arial" w:cs="Arial"/>
                <w:color w:val="000000" w:themeColor="text1"/>
                <w:sz w:val="20"/>
                <w:szCs w:val="20"/>
              </w:rPr>
              <w:t xml:space="preserve"> et al., 2021</w:t>
            </w:r>
          </w:p>
        </w:tc>
      </w:tr>
      <w:tr w:rsidR="00650C77" w:rsidRPr="00650C77" w14:paraId="6EC731A3" w14:textId="77777777" w:rsidTr="00650C77">
        <w:tc>
          <w:tcPr>
            <w:tcW w:w="1980" w:type="dxa"/>
            <w:shd w:val="clear" w:color="auto" w:fill="B4C6E7" w:themeFill="accent1" w:themeFillTint="66"/>
          </w:tcPr>
          <w:p w14:paraId="5F1207A9"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Clozapine</w:t>
            </w:r>
          </w:p>
        </w:tc>
        <w:tc>
          <w:tcPr>
            <w:tcW w:w="1417" w:type="dxa"/>
            <w:shd w:val="clear" w:color="auto" w:fill="B4C6E7" w:themeFill="accent1" w:themeFillTint="66"/>
          </w:tcPr>
          <w:p w14:paraId="51BCDA8D"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Very strong</w:t>
            </w:r>
          </w:p>
        </w:tc>
        <w:tc>
          <w:tcPr>
            <w:tcW w:w="3083" w:type="dxa"/>
            <w:shd w:val="clear" w:color="auto" w:fill="B4C6E7" w:themeFill="accent1" w:themeFillTint="66"/>
          </w:tcPr>
          <w:p w14:paraId="55192C3D"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 xml:space="preserve">Effective for treatment-resistant cases; </w:t>
            </w:r>
            <w:proofErr w:type="spellStart"/>
            <w:r w:rsidRPr="00650C77">
              <w:rPr>
                <w:rFonts w:ascii="Arial" w:hAnsi="Arial" w:cs="Arial"/>
                <w:color w:val="000000" w:themeColor="text1"/>
                <w:sz w:val="20"/>
                <w:szCs w:val="20"/>
              </w:rPr>
              <w:t>underutilised</w:t>
            </w:r>
            <w:proofErr w:type="spellEnd"/>
          </w:p>
        </w:tc>
        <w:tc>
          <w:tcPr>
            <w:tcW w:w="2160" w:type="dxa"/>
            <w:shd w:val="clear" w:color="auto" w:fill="B4C6E7" w:themeFill="accent1" w:themeFillTint="66"/>
          </w:tcPr>
          <w:p w14:paraId="41C2F1E8"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Kane et al., 2019; Whiskey et al., 2022</w:t>
            </w:r>
          </w:p>
        </w:tc>
      </w:tr>
      <w:tr w:rsidR="00650C77" w:rsidRPr="00650C77" w14:paraId="69CF1BA8" w14:textId="77777777" w:rsidTr="00650C77">
        <w:tc>
          <w:tcPr>
            <w:tcW w:w="1980" w:type="dxa"/>
            <w:shd w:val="clear" w:color="auto" w:fill="B4C6E7" w:themeFill="accent1" w:themeFillTint="66"/>
          </w:tcPr>
          <w:p w14:paraId="6AC82AAE" w14:textId="77777777" w:rsidR="008C5086" w:rsidRPr="00650C77" w:rsidRDefault="008C5086" w:rsidP="001C7715">
            <w:pPr>
              <w:jc w:val="both"/>
              <w:rPr>
                <w:rFonts w:ascii="Arial" w:hAnsi="Arial" w:cs="Arial"/>
                <w:color w:val="000000" w:themeColor="text1"/>
                <w:sz w:val="20"/>
                <w:szCs w:val="20"/>
              </w:rPr>
            </w:pPr>
            <w:proofErr w:type="spellStart"/>
            <w:r w:rsidRPr="00650C77">
              <w:rPr>
                <w:rFonts w:ascii="Arial" w:hAnsi="Arial" w:cs="Arial"/>
                <w:color w:val="000000" w:themeColor="text1"/>
                <w:sz w:val="20"/>
                <w:szCs w:val="20"/>
              </w:rPr>
              <w:t>CBTp</w:t>
            </w:r>
            <w:proofErr w:type="spellEnd"/>
          </w:p>
        </w:tc>
        <w:tc>
          <w:tcPr>
            <w:tcW w:w="1417" w:type="dxa"/>
            <w:shd w:val="clear" w:color="auto" w:fill="B4C6E7" w:themeFill="accent1" w:themeFillTint="66"/>
          </w:tcPr>
          <w:p w14:paraId="1C1A47C7"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Moderate</w:t>
            </w:r>
          </w:p>
        </w:tc>
        <w:tc>
          <w:tcPr>
            <w:tcW w:w="3083" w:type="dxa"/>
            <w:shd w:val="clear" w:color="auto" w:fill="B4C6E7" w:themeFill="accent1" w:themeFillTint="66"/>
          </w:tcPr>
          <w:p w14:paraId="37406CCB"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Improves coping; limited access</w:t>
            </w:r>
          </w:p>
        </w:tc>
        <w:tc>
          <w:tcPr>
            <w:tcW w:w="2160" w:type="dxa"/>
            <w:shd w:val="clear" w:color="auto" w:fill="B4C6E7" w:themeFill="accent1" w:themeFillTint="66"/>
          </w:tcPr>
          <w:p w14:paraId="3D9A76DF"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Morrison et al., 2018; Haddock et al., 2020</w:t>
            </w:r>
          </w:p>
        </w:tc>
      </w:tr>
      <w:tr w:rsidR="00650C77" w:rsidRPr="00650C77" w14:paraId="538A39E1" w14:textId="77777777" w:rsidTr="00650C77">
        <w:tc>
          <w:tcPr>
            <w:tcW w:w="1980" w:type="dxa"/>
            <w:shd w:val="clear" w:color="auto" w:fill="B4C6E7" w:themeFill="accent1" w:themeFillTint="66"/>
          </w:tcPr>
          <w:p w14:paraId="4964E348"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Family Interventions</w:t>
            </w:r>
          </w:p>
        </w:tc>
        <w:tc>
          <w:tcPr>
            <w:tcW w:w="1417" w:type="dxa"/>
            <w:shd w:val="clear" w:color="auto" w:fill="B4C6E7" w:themeFill="accent1" w:themeFillTint="66"/>
          </w:tcPr>
          <w:p w14:paraId="3E702689"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Strong</w:t>
            </w:r>
          </w:p>
        </w:tc>
        <w:tc>
          <w:tcPr>
            <w:tcW w:w="3083" w:type="dxa"/>
            <w:shd w:val="clear" w:color="auto" w:fill="B4C6E7" w:themeFill="accent1" w:themeFillTint="66"/>
          </w:tcPr>
          <w:p w14:paraId="6F832664"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Reduces relapse; limited trained staff</w:t>
            </w:r>
          </w:p>
        </w:tc>
        <w:tc>
          <w:tcPr>
            <w:tcW w:w="2160" w:type="dxa"/>
            <w:shd w:val="clear" w:color="auto" w:fill="B4C6E7" w:themeFill="accent1" w:themeFillTint="66"/>
          </w:tcPr>
          <w:p w14:paraId="1564B541"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Lobban et al., 2020</w:t>
            </w:r>
          </w:p>
        </w:tc>
      </w:tr>
      <w:tr w:rsidR="00650C77" w:rsidRPr="00650C77" w14:paraId="6B88D075" w14:textId="77777777" w:rsidTr="00650C77">
        <w:tc>
          <w:tcPr>
            <w:tcW w:w="1980" w:type="dxa"/>
            <w:shd w:val="clear" w:color="auto" w:fill="B4C6E7" w:themeFill="accent1" w:themeFillTint="66"/>
          </w:tcPr>
          <w:p w14:paraId="78DB6093"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EIP Model</w:t>
            </w:r>
          </w:p>
        </w:tc>
        <w:tc>
          <w:tcPr>
            <w:tcW w:w="1417" w:type="dxa"/>
            <w:shd w:val="clear" w:color="auto" w:fill="B4C6E7" w:themeFill="accent1" w:themeFillTint="66"/>
          </w:tcPr>
          <w:p w14:paraId="1314E091"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Strong</w:t>
            </w:r>
          </w:p>
        </w:tc>
        <w:tc>
          <w:tcPr>
            <w:tcW w:w="3083" w:type="dxa"/>
            <w:shd w:val="clear" w:color="auto" w:fill="B4C6E7" w:themeFill="accent1" w:themeFillTint="66"/>
          </w:tcPr>
          <w:p w14:paraId="22F7C337"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Improves long-term outcomes</w:t>
            </w:r>
          </w:p>
        </w:tc>
        <w:tc>
          <w:tcPr>
            <w:tcW w:w="2160" w:type="dxa"/>
            <w:shd w:val="clear" w:color="auto" w:fill="B4C6E7" w:themeFill="accent1" w:themeFillTint="66"/>
          </w:tcPr>
          <w:p w14:paraId="1608D2B9"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Birchwood et al., 2018</w:t>
            </w:r>
          </w:p>
        </w:tc>
      </w:tr>
    </w:tbl>
    <w:p w14:paraId="6780A530" w14:textId="77777777" w:rsidR="001B6210" w:rsidRPr="00650C77" w:rsidRDefault="0027100E" w:rsidP="001B6210">
      <w:pPr>
        <w:spacing w:before="100" w:beforeAutospacing="1" w:after="100" w:afterAutospacing="1" w:line="360" w:lineRule="auto"/>
        <w:outlineLvl w:val="3"/>
        <w:rPr>
          <w:rFonts w:ascii="Arial" w:hAnsi="Arial" w:cs="Arial"/>
          <w:color w:val="000000" w:themeColor="text1"/>
        </w:rPr>
      </w:pPr>
      <w:r w:rsidRPr="00650C77">
        <w:rPr>
          <w:rFonts w:ascii="Arial" w:hAnsi="Arial" w:cs="Arial"/>
          <w:color w:val="000000" w:themeColor="text1"/>
        </w:rPr>
        <w:t xml:space="preserve">Table </w:t>
      </w:r>
      <w:r w:rsidRPr="00650C77">
        <w:rPr>
          <w:rFonts w:ascii="Arial" w:eastAsiaTheme="majorEastAsia" w:hAnsi="Arial" w:cs="Arial"/>
          <w:b/>
          <w:bCs/>
          <w:color w:val="000000" w:themeColor="text1"/>
        </w:rPr>
        <w:t xml:space="preserve">4.3.6.1 </w:t>
      </w:r>
      <w:r w:rsidRPr="00650C77">
        <w:rPr>
          <w:rFonts w:ascii="Arial" w:hAnsi="Arial" w:cs="Arial"/>
          <w:color w:val="000000" w:themeColor="text1"/>
        </w:rPr>
        <w:t xml:space="preserve">shows strong agreement on effectiveness. Antipsychotics and EIP reduce symptoms and relapse, while clozapine is highly effective in resistant cases (Leucht et al., 2019; Kane et al., 2019; Whiskey et al., 2022). </w:t>
      </w:r>
      <w:proofErr w:type="spellStart"/>
      <w:r w:rsidRPr="00650C77">
        <w:rPr>
          <w:rFonts w:ascii="Arial" w:hAnsi="Arial" w:cs="Arial"/>
          <w:color w:val="000000" w:themeColor="text1"/>
        </w:rPr>
        <w:t>CBTp</w:t>
      </w:r>
      <w:proofErr w:type="spellEnd"/>
      <w:r w:rsidRPr="00650C77">
        <w:rPr>
          <w:rFonts w:ascii="Arial" w:hAnsi="Arial" w:cs="Arial"/>
          <w:color w:val="000000" w:themeColor="text1"/>
        </w:rPr>
        <w:t xml:space="preserve"> and family therapy improve coping and relapse but depend on access (Morrison et al., 2018; Haddock et al., 2020). Effectiveness is multidimensional across outcomes.</w:t>
      </w:r>
    </w:p>
    <w:p w14:paraId="1A9C8459" w14:textId="3521A9EC" w:rsidR="00670383" w:rsidRPr="00650C77" w:rsidRDefault="001B6210" w:rsidP="001B6210">
      <w:pPr>
        <w:spacing w:before="100" w:beforeAutospacing="1" w:after="100" w:afterAutospacing="1" w:line="360" w:lineRule="auto"/>
        <w:outlineLvl w:val="3"/>
        <w:rPr>
          <w:rFonts w:ascii="Arial" w:hAnsi="Arial" w:cs="Arial"/>
          <w:color w:val="000000" w:themeColor="text1"/>
        </w:rPr>
      </w:pPr>
      <w:r w:rsidRPr="00650C77">
        <w:rPr>
          <w:rFonts w:ascii="Arial" w:eastAsia="Times New Roman" w:hAnsi="Arial" w:cs="Arial"/>
          <w:b/>
          <w:bCs/>
          <w:color w:val="000000" w:themeColor="text1"/>
          <w:kern w:val="0"/>
          <w:lang w:eastAsia="en-GB"/>
          <w14:ligatures w14:val="none"/>
        </w:rPr>
        <w:t xml:space="preserve">4.3.6.1 </w:t>
      </w:r>
      <w:r w:rsidR="00317D0B" w:rsidRPr="00650C77">
        <w:rPr>
          <w:rFonts w:ascii="Arial" w:eastAsia="Times New Roman" w:hAnsi="Arial" w:cs="Arial"/>
          <w:b/>
          <w:bCs/>
          <w:color w:val="000000" w:themeColor="text1"/>
          <w:kern w:val="0"/>
          <w:lang w:eastAsia="en-GB"/>
          <w14:ligatures w14:val="none"/>
        </w:rPr>
        <w:t>Negative Implications</w:t>
      </w:r>
      <w:r w:rsidR="00DA74E4" w:rsidRPr="00650C77">
        <w:rPr>
          <w:rFonts w:ascii="Arial" w:eastAsia="Times New Roman" w:hAnsi="Arial" w:cs="Arial"/>
          <w:b/>
          <w:bCs/>
          <w:color w:val="000000" w:themeColor="text1"/>
          <w:kern w:val="0"/>
          <w:lang w:eastAsia="en-GB"/>
          <w14:ligatures w14:val="none"/>
        </w:rPr>
        <w:t>:</w:t>
      </w:r>
      <w:r w:rsidR="0027100E" w:rsidRPr="00650C77">
        <w:rPr>
          <w:rFonts w:ascii="Arial" w:eastAsia="Times New Roman" w:hAnsi="Arial" w:cs="Arial"/>
          <w:b/>
          <w:bCs/>
          <w:color w:val="000000" w:themeColor="text1"/>
          <w:kern w:val="0"/>
          <w:lang w:eastAsia="en-GB"/>
          <w14:ligatures w14:val="none"/>
        </w:rPr>
        <w:t xml:space="preserve"> </w:t>
      </w:r>
      <w:r w:rsidR="00670383" w:rsidRPr="00650C77">
        <w:rPr>
          <w:rFonts w:ascii="Arial" w:hAnsi="Arial" w:cs="Arial"/>
          <w:color w:val="000000" w:themeColor="text1"/>
        </w:rPr>
        <w:t xml:space="preserve">Despite strong evidence, treatment pathways are not implemented consistently, limiting their real-world effectiveness. Key components of care remain under-delivered, and outcomes are often not sustained over time (CQC, 2023; Kane et al., 2019; </w:t>
      </w:r>
      <w:proofErr w:type="spellStart"/>
      <w:r w:rsidR="00670383" w:rsidRPr="00650C77">
        <w:rPr>
          <w:rFonts w:ascii="Arial" w:hAnsi="Arial" w:cs="Arial"/>
          <w:color w:val="000000" w:themeColor="text1"/>
        </w:rPr>
        <w:t>Barkhof</w:t>
      </w:r>
      <w:proofErr w:type="spellEnd"/>
      <w:r w:rsidR="00670383" w:rsidRPr="00650C77">
        <w:rPr>
          <w:rFonts w:ascii="Arial" w:hAnsi="Arial" w:cs="Arial"/>
          <w:color w:val="000000" w:themeColor="text1"/>
        </w:rPr>
        <w:t xml:space="preserve"> et al., 2021; Jauhar et al., 2019).</w:t>
      </w:r>
    </w:p>
    <w:p w14:paraId="706D4747" w14:textId="1104612E" w:rsidR="008C5086" w:rsidRPr="00294876" w:rsidRDefault="008C5086" w:rsidP="008C5086">
      <w:pPr>
        <w:keepNext/>
        <w:keepLines/>
        <w:spacing w:before="360" w:after="80"/>
        <w:outlineLvl w:val="0"/>
        <w:rPr>
          <w:rFonts w:ascii="Arial" w:eastAsiaTheme="majorEastAsia" w:hAnsi="Arial" w:cs="Arial"/>
          <w:b/>
          <w:bCs/>
          <w:color w:val="000000" w:themeColor="text1"/>
        </w:rPr>
      </w:pPr>
      <w:r w:rsidRPr="00294876">
        <w:rPr>
          <w:rFonts w:ascii="Arial" w:eastAsiaTheme="majorEastAsia" w:hAnsi="Arial" w:cs="Arial"/>
          <w:b/>
          <w:bCs/>
          <w:color w:val="000000" w:themeColor="text1"/>
        </w:rPr>
        <w:t>Table</w:t>
      </w:r>
      <w:r w:rsidR="0027100E" w:rsidRPr="00294876">
        <w:rPr>
          <w:rFonts w:ascii="Arial" w:eastAsiaTheme="majorEastAsia" w:hAnsi="Arial" w:cs="Arial"/>
          <w:b/>
          <w:bCs/>
          <w:color w:val="000000" w:themeColor="text1"/>
        </w:rPr>
        <w:t xml:space="preserve"> 4.3.6.2 </w:t>
      </w:r>
      <w:r w:rsidR="0027100E" w:rsidRPr="00294876">
        <w:rPr>
          <w:rFonts w:ascii="Arial" w:hAnsi="Arial" w:cs="Arial"/>
          <w:b/>
          <w:bCs/>
          <w:color w:val="000000" w:themeColor="text1"/>
        </w:rPr>
        <w:t>Pharmacological</w:t>
      </w:r>
      <w:r w:rsidRPr="00294876">
        <w:rPr>
          <w:rFonts w:ascii="Arial" w:eastAsiaTheme="majorEastAsia" w:hAnsi="Arial" w:cs="Arial"/>
          <w:b/>
          <w:bCs/>
          <w:color w:val="000000" w:themeColor="text1"/>
        </w:rPr>
        <w:t xml:space="preserve"> Treatments: Effectiveness and Limitations</w:t>
      </w:r>
    </w:p>
    <w:tbl>
      <w:tblPr>
        <w:tblStyle w:val="TableGrid"/>
        <w:tblW w:w="0" w:type="auto"/>
        <w:tblInd w:w="0" w:type="dxa"/>
        <w:tblLook w:val="04A0" w:firstRow="1" w:lastRow="0" w:firstColumn="1" w:lastColumn="0" w:noHBand="0" w:noVBand="1"/>
      </w:tblPr>
      <w:tblGrid>
        <w:gridCol w:w="1413"/>
        <w:gridCol w:w="2835"/>
        <w:gridCol w:w="2232"/>
        <w:gridCol w:w="2160"/>
      </w:tblGrid>
      <w:tr w:rsidR="00650C77" w:rsidRPr="00650C77" w14:paraId="598A602E" w14:textId="77777777" w:rsidTr="00650C77">
        <w:tc>
          <w:tcPr>
            <w:tcW w:w="1413" w:type="dxa"/>
            <w:shd w:val="clear" w:color="auto" w:fill="B4C6E7" w:themeFill="accent1" w:themeFillTint="66"/>
          </w:tcPr>
          <w:p w14:paraId="2B546DCC"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Treatment Aspect</w:t>
            </w:r>
          </w:p>
        </w:tc>
        <w:tc>
          <w:tcPr>
            <w:tcW w:w="2835" w:type="dxa"/>
            <w:shd w:val="clear" w:color="auto" w:fill="B4C6E7" w:themeFill="accent1" w:themeFillTint="66"/>
          </w:tcPr>
          <w:p w14:paraId="61050073"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Effectiveness</w:t>
            </w:r>
          </w:p>
        </w:tc>
        <w:tc>
          <w:tcPr>
            <w:tcW w:w="2232" w:type="dxa"/>
            <w:shd w:val="clear" w:color="auto" w:fill="B4C6E7" w:themeFill="accent1" w:themeFillTint="66"/>
          </w:tcPr>
          <w:p w14:paraId="17EF37B6"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Limitations / Challenges</w:t>
            </w:r>
          </w:p>
        </w:tc>
        <w:tc>
          <w:tcPr>
            <w:tcW w:w="2160" w:type="dxa"/>
            <w:shd w:val="clear" w:color="auto" w:fill="B4C6E7" w:themeFill="accent1" w:themeFillTint="66"/>
          </w:tcPr>
          <w:p w14:paraId="4F39053A" w14:textId="77777777" w:rsidR="008C5086" w:rsidRPr="00650C77" w:rsidRDefault="008C5086" w:rsidP="001C7715">
            <w:pPr>
              <w:rPr>
                <w:rFonts w:ascii="Arial" w:hAnsi="Arial" w:cs="Arial"/>
                <w:color w:val="000000" w:themeColor="text1"/>
                <w:sz w:val="20"/>
                <w:szCs w:val="20"/>
              </w:rPr>
            </w:pPr>
            <w:r w:rsidRPr="00650C77">
              <w:rPr>
                <w:rFonts w:ascii="Arial" w:hAnsi="Arial" w:cs="Arial"/>
                <w:color w:val="000000" w:themeColor="text1"/>
                <w:sz w:val="20"/>
                <w:szCs w:val="20"/>
              </w:rPr>
              <w:t>References</w:t>
            </w:r>
          </w:p>
        </w:tc>
      </w:tr>
      <w:tr w:rsidR="00650C77" w:rsidRPr="00650C77" w14:paraId="1E17ED40" w14:textId="77777777" w:rsidTr="00650C77">
        <w:tc>
          <w:tcPr>
            <w:tcW w:w="1413" w:type="dxa"/>
            <w:shd w:val="clear" w:color="auto" w:fill="B4C6E7" w:themeFill="accent1" w:themeFillTint="66"/>
          </w:tcPr>
          <w:p w14:paraId="2C98A3F2"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Antipsychotic medication</w:t>
            </w:r>
          </w:p>
        </w:tc>
        <w:tc>
          <w:tcPr>
            <w:tcW w:w="2835" w:type="dxa"/>
            <w:shd w:val="clear" w:color="auto" w:fill="B4C6E7" w:themeFill="accent1" w:themeFillTint="66"/>
          </w:tcPr>
          <w:p w14:paraId="76D64F94"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Reduces positive symptoms such as hallucinations and delusions</w:t>
            </w:r>
          </w:p>
        </w:tc>
        <w:tc>
          <w:tcPr>
            <w:tcW w:w="2232" w:type="dxa"/>
            <w:shd w:val="clear" w:color="auto" w:fill="B4C6E7" w:themeFill="accent1" w:themeFillTint="66"/>
          </w:tcPr>
          <w:p w14:paraId="16B7EAB6"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Side effects impact adherence</w:t>
            </w:r>
          </w:p>
        </w:tc>
        <w:tc>
          <w:tcPr>
            <w:tcW w:w="2160" w:type="dxa"/>
            <w:shd w:val="clear" w:color="auto" w:fill="B4C6E7" w:themeFill="accent1" w:themeFillTint="66"/>
          </w:tcPr>
          <w:p w14:paraId="28B40B08"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Leucht et al., 2019; Correll et al., 2018</w:t>
            </w:r>
          </w:p>
        </w:tc>
      </w:tr>
      <w:tr w:rsidR="00650C77" w:rsidRPr="00650C77" w14:paraId="427CB9E8" w14:textId="77777777" w:rsidTr="00650C77">
        <w:tc>
          <w:tcPr>
            <w:tcW w:w="1413" w:type="dxa"/>
            <w:shd w:val="clear" w:color="auto" w:fill="B4C6E7" w:themeFill="accent1" w:themeFillTint="66"/>
          </w:tcPr>
          <w:p w14:paraId="16F584B2"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Clozapine</w:t>
            </w:r>
          </w:p>
        </w:tc>
        <w:tc>
          <w:tcPr>
            <w:tcW w:w="2835" w:type="dxa"/>
            <w:shd w:val="clear" w:color="auto" w:fill="B4C6E7" w:themeFill="accent1" w:themeFillTint="66"/>
          </w:tcPr>
          <w:p w14:paraId="63F06F56"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 xml:space="preserve">Most effective for treatment-resistant schizophrenia; reduces </w:t>
            </w:r>
            <w:proofErr w:type="spellStart"/>
            <w:r w:rsidRPr="00650C77">
              <w:rPr>
                <w:rFonts w:ascii="Arial" w:hAnsi="Arial" w:cs="Arial"/>
                <w:color w:val="000000" w:themeColor="text1"/>
                <w:sz w:val="20"/>
                <w:szCs w:val="20"/>
              </w:rPr>
              <w:t>hospitalisation</w:t>
            </w:r>
            <w:proofErr w:type="spellEnd"/>
            <w:r w:rsidRPr="00650C77">
              <w:rPr>
                <w:rFonts w:ascii="Arial" w:hAnsi="Arial" w:cs="Arial"/>
                <w:color w:val="000000" w:themeColor="text1"/>
                <w:sz w:val="20"/>
                <w:szCs w:val="20"/>
              </w:rPr>
              <w:t xml:space="preserve"> and mortality</w:t>
            </w:r>
          </w:p>
        </w:tc>
        <w:tc>
          <w:tcPr>
            <w:tcW w:w="2232" w:type="dxa"/>
            <w:shd w:val="clear" w:color="auto" w:fill="B4C6E7" w:themeFill="accent1" w:themeFillTint="66"/>
          </w:tcPr>
          <w:p w14:paraId="19EC2BCF"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Underused due to monitoring burden, staff shortages, fragmented pathways</w:t>
            </w:r>
          </w:p>
        </w:tc>
        <w:tc>
          <w:tcPr>
            <w:tcW w:w="2160" w:type="dxa"/>
            <w:shd w:val="clear" w:color="auto" w:fill="B4C6E7" w:themeFill="accent1" w:themeFillTint="66"/>
          </w:tcPr>
          <w:p w14:paraId="14595774"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Kane et al., 2019; Mental Health Foundation, 2020; Whiskey et al., 2022</w:t>
            </w:r>
          </w:p>
        </w:tc>
      </w:tr>
      <w:tr w:rsidR="00650C77" w:rsidRPr="00650C77" w14:paraId="376BE7AD" w14:textId="77777777" w:rsidTr="00650C77">
        <w:tc>
          <w:tcPr>
            <w:tcW w:w="1413" w:type="dxa"/>
            <w:shd w:val="clear" w:color="auto" w:fill="B4C6E7" w:themeFill="accent1" w:themeFillTint="66"/>
          </w:tcPr>
          <w:p w14:paraId="45F4DF09"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Medication side effects</w:t>
            </w:r>
          </w:p>
        </w:tc>
        <w:tc>
          <w:tcPr>
            <w:tcW w:w="2835" w:type="dxa"/>
            <w:shd w:val="clear" w:color="auto" w:fill="B4C6E7" w:themeFill="accent1" w:themeFillTint="66"/>
          </w:tcPr>
          <w:p w14:paraId="5E1D295F"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w:t>
            </w:r>
          </w:p>
        </w:tc>
        <w:tc>
          <w:tcPr>
            <w:tcW w:w="2232" w:type="dxa"/>
            <w:shd w:val="clear" w:color="auto" w:fill="B4C6E7" w:themeFill="accent1" w:themeFillTint="66"/>
          </w:tcPr>
          <w:p w14:paraId="1FC8F7D5"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Metabolic syndrome, extrapyramidal symptoms, sedation, weight gain</w:t>
            </w:r>
          </w:p>
        </w:tc>
        <w:tc>
          <w:tcPr>
            <w:tcW w:w="2160" w:type="dxa"/>
            <w:shd w:val="clear" w:color="auto" w:fill="B4C6E7" w:themeFill="accent1" w:themeFillTint="66"/>
          </w:tcPr>
          <w:p w14:paraId="7BD86371"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Correll et al., 2018</w:t>
            </w:r>
          </w:p>
        </w:tc>
      </w:tr>
      <w:tr w:rsidR="00650C77" w:rsidRPr="00650C77" w14:paraId="575E8124" w14:textId="77777777" w:rsidTr="00650C77">
        <w:tc>
          <w:tcPr>
            <w:tcW w:w="1413" w:type="dxa"/>
            <w:shd w:val="clear" w:color="auto" w:fill="B4C6E7" w:themeFill="accent1" w:themeFillTint="66"/>
          </w:tcPr>
          <w:p w14:paraId="41A3BAFA"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Adherence and relapse</w:t>
            </w:r>
          </w:p>
        </w:tc>
        <w:tc>
          <w:tcPr>
            <w:tcW w:w="2835" w:type="dxa"/>
            <w:shd w:val="clear" w:color="auto" w:fill="B4C6E7" w:themeFill="accent1" w:themeFillTint="66"/>
          </w:tcPr>
          <w:p w14:paraId="4148EE93"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w:t>
            </w:r>
          </w:p>
        </w:tc>
        <w:tc>
          <w:tcPr>
            <w:tcW w:w="2232" w:type="dxa"/>
            <w:shd w:val="clear" w:color="auto" w:fill="B4C6E7" w:themeFill="accent1" w:themeFillTint="66"/>
          </w:tcPr>
          <w:p w14:paraId="25F54A81"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Non-adherence linked to relapse, crisis intervention, poorer outcomes</w:t>
            </w:r>
          </w:p>
        </w:tc>
        <w:tc>
          <w:tcPr>
            <w:tcW w:w="2160" w:type="dxa"/>
            <w:shd w:val="clear" w:color="auto" w:fill="B4C6E7" w:themeFill="accent1" w:themeFillTint="66"/>
          </w:tcPr>
          <w:p w14:paraId="4E380D2E" w14:textId="77777777" w:rsidR="008C5086" w:rsidRPr="00650C77" w:rsidRDefault="008C5086" w:rsidP="001C7715">
            <w:pPr>
              <w:jc w:val="both"/>
              <w:rPr>
                <w:rFonts w:ascii="Arial" w:hAnsi="Arial" w:cs="Arial"/>
                <w:color w:val="000000" w:themeColor="text1"/>
                <w:sz w:val="20"/>
                <w:szCs w:val="20"/>
              </w:rPr>
            </w:pPr>
            <w:proofErr w:type="spellStart"/>
            <w:r w:rsidRPr="00650C77">
              <w:rPr>
                <w:rFonts w:ascii="Arial" w:hAnsi="Arial" w:cs="Arial"/>
                <w:color w:val="000000" w:themeColor="text1"/>
                <w:sz w:val="20"/>
                <w:szCs w:val="20"/>
              </w:rPr>
              <w:t>Barkhof</w:t>
            </w:r>
            <w:proofErr w:type="spellEnd"/>
            <w:r w:rsidRPr="00650C77">
              <w:rPr>
                <w:rFonts w:ascii="Arial" w:hAnsi="Arial" w:cs="Arial"/>
                <w:color w:val="000000" w:themeColor="text1"/>
                <w:sz w:val="20"/>
                <w:szCs w:val="20"/>
              </w:rPr>
              <w:t xml:space="preserve"> et al., 2021</w:t>
            </w:r>
          </w:p>
        </w:tc>
      </w:tr>
      <w:tr w:rsidR="00650C77" w:rsidRPr="00650C77" w14:paraId="6193A290" w14:textId="77777777" w:rsidTr="00650C77">
        <w:tc>
          <w:tcPr>
            <w:tcW w:w="1413" w:type="dxa"/>
            <w:shd w:val="clear" w:color="auto" w:fill="B4C6E7" w:themeFill="accent1" w:themeFillTint="66"/>
          </w:tcPr>
          <w:p w14:paraId="5F8D1D57"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Innovative approaches</w:t>
            </w:r>
          </w:p>
        </w:tc>
        <w:tc>
          <w:tcPr>
            <w:tcW w:w="2835" w:type="dxa"/>
            <w:shd w:val="clear" w:color="auto" w:fill="B4C6E7" w:themeFill="accent1" w:themeFillTint="66"/>
          </w:tcPr>
          <w:p w14:paraId="43AB7596"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Potential to improve adherence and outcomes</w:t>
            </w:r>
          </w:p>
        </w:tc>
        <w:tc>
          <w:tcPr>
            <w:tcW w:w="2232" w:type="dxa"/>
            <w:shd w:val="clear" w:color="auto" w:fill="B4C6E7" w:themeFill="accent1" w:themeFillTint="66"/>
          </w:tcPr>
          <w:p w14:paraId="23CAD34F"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Uneven implementation across services</w:t>
            </w:r>
          </w:p>
        </w:tc>
        <w:tc>
          <w:tcPr>
            <w:tcW w:w="2160" w:type="dxa"/>
            <w:shd w:val="clear" w:color="auto" w:fill="B4C6E7" w:themeFill="accent1" w:themeFillTint="66"/>
          </w:tcPr>
          <w:p w14:paraId="3719530B" w14:textId="77777777" w:rsidR="008C5086" w:rsidRPr="00650C77" w:rsidRDefault="008C5086" w:rsidP="001C7715">
            <w:pPr>
              <w:jc w:val="both"/>
              <w:rPr>
                <w:rFonts w:ascii="Arial" w:hAnsi="Arial" w:cs="Arial"/>
                <w:color w:val="000000" w:themeColor="text1"/>
                <w:sz w:val="20"/>
                <w:szCs w:val="20"/>
              </w:rPr>
            </w:pPr>
            <w:r w:rsidRPr="00650C77">
              <w:rPr>
                <w:rFonts w:ascii="Arial" w:hAnsi="Arial" w:cs="Arial"/>
                <w:color w:val="000000" w:themeColor="text1"/>
                <w:sz w:val="20"/>
                <w:szCs w:val="20"/>
              </w:rPr>
              <w:t>Firth et al., 2021; NHS England, 2023</w:t>
            </w:r>
          </w:p>
        </w:tc>
      </w:tr>
    </w:tbl>
    <w:p w14:paraId="3C89C55D" w14:textId="77777777" w:rsidR="001B6210" w:rsidRPr="00650C77" w:rsidRDefault="00670383" w:rsidP="001B621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hAnsi="Arial" w:cs="Arial"/>
          <w:b/>
          <w:bCs/>
          <w:color w:val="000000" w:themeColor="text1"/>
        </w:rPr>
        <w:t xml:space="preserve">Table </w:t>
      </w:r>
      <w:r w:rsidR="0027100E" w:rsidRPr="00650C77">
        <w:rPr>
          <w:rFonts w:ascii="Arial" w:eastAsiaTheme="majorEastAsia" w:hAnsi="Arial" w:cs="Arial"/>
          <w:b/>
          <w:bCs/>
          <w:color w:val="000000" w:themeColor="text1"/>
        </w:rPr>
        <w:t xml:space="preserve">4.3.6.2 </w:t>
      </w:r>
      <w:r w:rsidR="0027100E" w:rsidRPr="00650C77">
        <w:rPr>
          <w:rFonts w:ascii="Arial" w:hAnsi="Arial" w:cs="Arial"/>
          <w:color w:val="000000" w:themeColor="text1"/>
        </w:rPr>
        <w:t>shows</w:t>
      </w:r>
      <w:r w:rsidRPr="00650C77">
        <w:rPr>
          <w:rFonts w:ascii="Arial" w:hAnsi="Arial" w:cs="Arial"/>
          <w:color w:val="000000" w:themeColor="text1"/>
        </w:rPr>
        <w:t xml:space="preserve"> that although pharmacological treatments are effective, they are associated with significant challenges, particularly side effects and adherence issues, which </w:t>
      </w:r>
      <w:r w:rsidRPr="00650C77">
        <w:rPr>
          <w:rFonts w:ascii="Arial" w:hAnsi="Arial" w:cs="Arial"/>
          <w:color w:val="000000" w:themeColor="text1"/>
        </w:rPr>
        <w:lastRenderedPageBreak/>
        <w:t xml:space="preserve">contribute to relapse (Leucht et al., 2019; Correll et al., 2018; </w:t>
      </w:r>
      <w:proofErr w:type="spellStart"/>
      <w:r w:rsidRPr="00650C77">
        <w:rPr>
          <w:rFonts w:ascii="Arial" w:hAnsi="Arial" w:cs="Arial"/>
          <w:color w:val="000000" w:themeColor="text1"/>
        </w:rPr>
        <w:t>Barkhof</w:t>
      </w:r>
      <w:proofErr w:type="spellEnd"/>
      <w:r w:rsidRPr="00650C77">
        <w:rPr>
          <w:rFonts w:ascii="Arial" w:hAnsi="Arial" w:cs="Arial"/>
          <w:color w:val="000000" w:themeColor="text1"/>
        </w:rPr>
        <w:t xml:space="preserve"> et al., 2021). In addition, clozapine remains underused despite strong evidence, reflecting system-level barriers such as monitoring requirements and workforce constraints (Kane et al., 2019; Whiskey et al., 2022).</w:t>
      </w:r>
      <w:r w:rsidR="0027100E" w:rsidRPr="00650C77">
        <w:rPr>
          <w:rFonts w:ascii="Arial" w:hAnsi="Arial" w:cs="Arial"/>
          <w:color w:val="000000" w:themeColor="text1"/>
        </w:rPr>
        <w:t xml:space="preserve"> </w:t>
      </w:r>
      <w:r w:rsidR="00927208" w:rsidRPr="00650C77">
        <w:rPr>
          <w:rFonts w:ascii="Arial" w:eastAsia="Times New Roman" w:hAnsi="Arial" w:cs="Arial"/>
          <w:color w:val="000000" w:themeColor="text1"/>
          <w:kern w:val="0"/>
          <w:lang w:eastAsia="en-GB"/>
          <w14:ligatures w14:val="none"/>
        </w:rPr>
        <w:t>Overall, while there is agreement on effective treatments, inconsistent delivery reduces their impact, indicating that improved implementation and integration are key to better outcomes.</w:t>
      </w:r>
      <w:r w:rsidR="001B6210" w:rsidRPr="00650C77">
        <w:rPr>
          <w:rFonts w:ascii="Arial" w:eastAsia="Times New Roman" w:hAnsi="Arial" w:cs="Arial"/>
          <w:color w:val="000000" w:themeColor="text1"/>
          <w:kern w:val="0"/>
          <w:lang w:eastAsia="en-GB"/>
          <w14:ligatures w14:val="none"/>
        </w:rPr>
        <w:t xml:space="preserve"> </w:t>
      </w:r>
    </w:p>
    <w:p w14:paraId="52F6E38A" w14:textId="0C6545CC" w:rsidR="00355E71" w:rsidRPr="00650C77" w:rsidRDefault="001B6210" w:rsidP="001B6210">
      <w:pPr>
        <w:spacing w:before="100" w:beforeAutospacing="1" w:after="100" w:afterAutospacing="1" w:line="360" w:lineRule="auto"/>
        <w:jc w:val="both"/>
        <w:rPr>
          <w:rFonts w:ascii="Arial" w:hAnsi="Arial" w:cs="Arial"/>
          <w:color w:val="000000" w:themeColor="text1"/>
        </w:rPr>
      </w:pPr>
      <w:r w:rsidRPr="00650C77">
        <w:rPr>
          <w:rFonts w:ascii="Arial" w:eastAsia="Times New Roman" w:hAnsi="Arial" w:cs="Arial"/>
          <w:b/>
          <w:bCs/>
          <w:color w:val="000000" w:themeColor="text1"/>
          <w:kern w:val="0"/>
          <w:lang w:eastAsia="en-GB"/>
          <w14:ligatures w14:val="none"/>
        </w:rPr>
        <w:t>4.3.6.3</w:t>
      </w:r>
      <w:r w:rsidRPr="00650C77">
        <w:rPr>
          <w:rFonts w:ascii="Arial" w:eastAsia="Times New Roman" w:hAnsi="Arial" w:cs="Arial"/>
          <w:color w:val="000000" w:themeColor="text1"/>
          <w:kern w:val="0"/>
          <w:lang w:eastAsia="en-GB"/>
          <w14:ligatures w14:val="none"/>
        </w:rPr>
        <w:t xml:space="preserve"> </w:t>
      </w:r>
      <w:r w:rsidR="00317D0B" w:rsidRPr="00650C77">
        <w:rPr>
          <w:rFonts w:ascii="Arial" w:eastAsia="Times New Roman" w:hAnsi="Arial" w:cs="Arial"/>
          <w:b/>
          <w:bCs/>
          <w:color w:val="000000" w:themeColor="text1"/>
          <w:kern w:val="0"/>
          <w:lang w:eastAsia="en-GB"/>
          <w14:ligatures w14:val="none"/>
        </w:rPr>
        <w:t>Implication for the Research Question</w:t>
      </w:r>
      <w:r w:rsidR="00DA74E4" w:rsidRPr="00650C77">
        <w:rPr>
          <w:rFonts w:ascii="Arial" w:eastAsia="Times New Roman" w:hAnsi="Arial" w:cs="Arial"/>
          <w:b/>
          <w:bCs/>
          <w:color w:val="000000" w:themeColor="text1"/>
          <w:kern w:val="0"/>
          <w:lang w:eastAsia="en-GB"/>
          <w14:ligatures w14:val="none"/>
        </w:rPr>
        <w:t>:</w:t>
      </w:r>
      <w:r w:rsidR="0027100E" w:rsidRPr="00650C77">
        <w:rPr>
          <w:rFonts w:ascii="Arial" w:eastAsia="Times New Roman" w:hAnsi="Arial" w:cs="Arial"/>
          <w:b/>
          <w:bCs/>
          <w:color w:val="000000" w:themeColor="text1"/>
          <w:kern w:val="0"/>
          <w:lang w:eastAsia="en-GB"/>
          <w14:ligatures w14:val="none"/>
        </w:rPr>
        <w:t xml:space="preserve"> </w:t>
      </w:r>
      <w:r w:rsidR="00317D0B" w:rsidRPr="00650C77">
        <w:rPr>
          <w:rFonts w:ascii="Arial" w:eastAsia="Times New Roman" w:hAnsi="Arial" w:cs="Arial"/>
          <w:color w:val="000000" w:themeColor="text1"/>
          <w:kern w:val="0"/>
          <w:lang w:eastAsia="en-GB"/>
          <w14:ligatures w14:val="none"/>
        </w:rPr>
        <w:t xml:space="preserve">While structured pathways are clinically effective, disparities in access, staffing, and follow-up reduce their real-world impact. This theme directly informs the research question by showing that </w:t>
      </w:r>
      <w:r w:rsidR="00317D0B" w:rsidRPr="006F7DA7">
        <w:rPr>
          <w:rFonts w:ascii="Arial" w:eastAsia="Times New Roman" w:hAnsi="Arial" w:cs="Arial"/>
          <w:color w:val="000000" w:themeColor="text1"/>
          <w:kern w:val="0"/>
          <w:lang w:eastAsia="en-GB"/>
          <w14:ligatures w14:val="none"/>
        </w:rPr>
        <w:t>effectiveness depends not just on clinical evidence, but on equitable, integrated implementation.</w:t>
      </w:r>
    </w:p>
    <w:p w14:paraId="3B2D4372" w14:textId="141F56DE" w:rsidR="00A3689C" w:rsidRPr="00650C77" w:rsidRDefault="008366F7" w:rsidP="0073622E">
      <w:pPr>
        <w:spacing w:before="100" w:beforeAutospacing="1" w:after="100" w:afterAutospacing="1" w:line="360" w:lineRule="auto"/>
        <w:jc w:val="both"/>
        <w:outlineLvl w:val="1"/>
        <w:rPr>
          <w:color w:val="000000" w:themeColor="text1"/>
        </w:rPr>
      </w:pPr>
      <w:r w:rsidRPr="00650C77">
        <w:rPr>
          <w:rFonts w:ascii="Arial" w:eastAsia="Times New Roman" w:hAnsi="Arial" w:cs="Arial"/>
          <w:b/>
          <w:bCs/>
          <w:color w:val="000000" w:themeColor="text1"/>
          <w:kern w:val="0"/>
          <w:sz w:val="24"/>
          <w:szCs w:val="24"/>
          <w:lang w:eastAsia="en-GB"/>
          <w14:ligatures w14:val="none"/>
        </w:rPr>
        <w:t>4.3.</w:t>
      </w:r>
      <w:r w:rsidR="0073622E" w:rsidRPr="00650C77">
        <w:rPr>
          <w:rFonts w:ascii="Arial" w:eastAsia="Times New Roman" w:hAnsi="Arial" w:cs="Arial"/>
          <w:b/>
          <w:bCs/>
          <w:color w:val="000000" w:themeColor="text1"/>
          <w:kern w:val="0"/>
          <w:sz w:val="24"/>
          <w:szCs w:val="24"/>
          <w:lang w:eastAsia="en-GB"/>
          <w14:ligatures w14:val="none"/>
        </w:rPr>
        <w:t>7</w:t>
      </w:r>
      <w:r w:rsidRPr="00650C77">
        <w:rPr>
          <w:rFonts w:ascii="Arial" w:eastAsia="Times New Roman" w:hAnsi="Arial" w:cs="Arial"/>
          <w:b/>
          <w:bCs/>
          <w:color w:val="000000" w:themeColor="text1"/>
          <w:kern w:val="0"/>
          <w:sz w:val="24"/>
          <w:szCs w:val="24"/>
          <w:lang w:eastAsia="en-GB"/>
          <w14:ligatures w14:val="none"/>
        </w:rPr>
        <w:t xml:space="preserve"> Examples from the Literature:</w:t>
      </w:r>
    </w:p>
    <w:p w14:paraId="187741CC" w14:textId="3E1B4D5B" w:rsidR="006F7DA7" w:rsidRDefault="0027100E" w:rsidP="006F7DA7">
      <w:pPr>
        <w:keepNext/>
        <w:keepLines/>
        <w:spacing w:before="360" w:after="80" w:line="360" w:lineRule="auto"/>
        <w:jc w:val="both"/>
        <w:outlineLvl w:val="0"/>
        <w:rPr>
          <w:rFonts w:ascii="Arial" w:hAnsi="Arial" w:cs="Arial"/>
          <w:color w:val="000000" w:themeColor="text1"/>
        </w:rPr>
      </w:pPr>
      <w:r w:rsidRPr="00650C77">
        <w:rPr>
          <w:rFonts w:ascii="Arial" w:hAnsi="Arial" w:cs="Arial"/>
          <w:color w:val="000000" w:themeColor="text1"/>
        </w:rPr>
        <w:t xml:space="preserve">Evidence highlights strengths and weaknesses in UK schizophrenia treatment pathways. Antipsychotics are effective in relapse prevention, especially with psychosocial support (Leucht et al., 2019). However, access to </w:t>
      </w:r>
      <w:proofErr w:type="spellStart"/>
      <w:r w:rsidRPr="00650C77">
        <w:rPr>
          <w:rFonts w:ascii="Arial" w:hAnsi="Arial" w:cs="Arial"/>
          <w:color w:val="000000" w:themeColor="text1"/>
        </w:rPr>
        <w:t>CBTp</w:t>
      </w:r>
      <w:proofErr w:type="spellEnd"/>
      <w:r w:rsidRPr="00650C77">
        <w:rPr>
          <w:rFonts w:ascii="Arial" w:hAnsi="Arial" w:cs="Arial"/>
          <w:color w:val="000000" w:themeColor="text1"/>
        </w:rPr>
        <w:t xml:space="preserve"> remains limited due to workforce shortages (Haddock et al., 2020). National reports also show inconsistent follow-up and </w:t>
      </w:r>
      <w:r w:rsidR="006F7DA7" w:rsidRPr="00650C77">
        <w:rPr>
          <w:rFonts w:ascii="Arial" w:hAnsi="Arial" w:cs="Arial"/>
          <w:color w:val="000000" w:themeColor="text1"/>
        </w:rPr>
        <w:t>limited-service</w:t>
      </w:r>
      <w:r w:rsidRPr="00650C77">
        <w:rPr>
          <w:rFonts w:ascii="Arial" w:hAnsi="Arial" w:cs="Arial"/>
          <w:color w:val="000000" w:themeColor="text1"/>
        </w:rPr>
        <w:t xml:space="preserve"> user involvement (CQC, 2023), while recovery approaches improve engagement (Repper and Perkins, 2021).</w:t>
      </w:r>
    </w:p>
    <w:p w14:paraId="73B10606" w14:textId="46C897E0" w:rsidR="008366F7" w:rsidRPr="006F7DA7" w:rsidRDefault="008366F7" w:rsidP="006F7DA7">
      <w:pPr>
        <w:keepNext/>
        <w:keepLines/>
        <w:spacing w:before="360" w:after="80" w:line="360" w:lineRule="auto"/>
        <w:jc w:val="both"/>
        <w:outlineLvl w:val="0"/>
        <w:rPr>
          <w:rFonts w:ascii="Arial" w:hAnsi="Arial" w:cs="Arial"/>
          <w:color w:val="000000" w:themeColor="text1"/>
        </w:rPr>
      </w:pPr>
      <w:r w:rsidRPr="00650C77">
        <w:rPr>
          <w:rFonts w:ascii="Arial" w:eastAsiaTheme="majorEastAsia" w:hAnsi="Arial" w:cs="Arial"/>
          <w:b/>
          <w:bCs/>
          <w:color w:val="000000" w:themeColor="text1"/>
        </w:rPr>
        <w:t>Table</w:t>
      </w:r>
      <w:r w:rsidR="0027100E" w:rsidRPr="00650C77">
        <w:rPr>
          <w:rFonts w:ascii="Arial" w:eastAsiaTheme="majorEastAsia" w:hAnsi="Arial" w:cs="Arial"/>
          <w:b/>
          <w:bCs/>
          <w:color w:val="000000" w:themeColor="text1"/>
        </w:rPr>
        <w:t xml:space="preserve"> </w:t>
      </w:r>
      <w:r w:rsidR="002D0F11" w:rsidRPr="00650C77">
        <w:rPr>
          <w:rFonts w:ascii="Arial" w:eastAsiaTheme="majorEastAsia" w:hAnsi="Arial" w:cs="Arial"/>
          <w:b/>
          <w:bCs/>
          <w:color w:val="000000" w:themeColor="text1"/>
        </w:rPr>
        <w:t>4.3.7.1</w:t>
      </w:r>
      <w:r w:rsidR="002D0F11" w:rsidRPr="00650C77">
        <w:rPr>
          <w:rFonts w:ascii="Arial" w:eastAsiaTheme="majorEastAsia" w:hAnsi="Arial" w:cs="Arial"/>
          <w:color w:val="000000" w:themeColor="text1"/>
        </w:rPr>
        <w:t xml:space="preserve"> </w:t>
      </w:r>
      <w:r w:rsidR="002D0F11" w:rsidRPr="006F7DA7">
        <w:rPr>
          <w:rFonts w:ascii="Arial" w:eastAsiaTheme="majorEastAsia" w:hAnsi="Arial" w:cs="Arial"/>
          <w:b/>
          <w:bCs/>
          <w:color w:val="000000" w:themeColor="text1"/>
        </w:rPr>
        <w:t>Examples</w:t>
      </w:r>
      <w:r w:rsidRPr="006F7DA7">
        <w:rPr>
          <w:rFonts w:ascii="Arial" w:eastAsia="Times New Roman" w:hAnsi="Arial" w:cs="Arial"/>
          <w:b/>
          <w:bCs/>
          <w:color w:val="000000" w:themeColor="text1"/>
          <w:kern w:val="0"/>
          <w:lang w:eastAsia="en-GB"/>
          <w14:ligatures w14:val="none"/>
        </w:rPr>
        <w:t xml:space="preserve"> from the Literature:</w:t>
      </w:r>
    </w:p>
    <w:tbl>
      <w:tblPr>
        <w:tblStyle w:val="TableGrid"/>
        <w:tblW w:w="9067" w:type="dxa"/>
        <w:tblInd w:w="0" w:type="dxa"/>
        <w:tblLook w:val="04A0" w:firstRow="1" w:lastRow="0" w:firstColumn="1" w:lastColumn="0" w:noHBand="0" w:noVBand="1"/>
      </w:tblPr>
      <w:tblGrid>
        <w:gridCol w:w="1838"/>
        <w:gridCol w:w="2126"/>
        <w:gridCol w:w="2516"/>
        <w:gridCol w:w="2587"/>
      </w:tblGrid>
      <w:tr w:rsidR="00650C77" w:rsidRPr="00650C77" w14:paraId="7800B0AF" w14:textId="77777777" w:rsidTr="00650C77">
        <w:tc>
          <w:tcPr>
            <w:tcW w:w="1838" w:type="dxa"/>
            <w:shd w:val="clear" w:color="auto" w:fill="B4C6E7" w:themeFill="accent1" w:themeFillTint="66"/>
          </w:tcPr>
          <w:p w14:paraId="69410F83" w14:textId="77777777" w:rsidR="008366F7" w:rsidRPr="006F7DA7" w:rsidRDefault="008366F7" w:rsidP="00BF0846">
            <w:pPr>
              <w:rPr>
                <w:rFonts w:ascii="Arial" w:hAnsi="Arial" w:cs="Arial"/>
                <w:b/>
                <w:bCs/>
                <w:color w:val="000000" w:themeColor="text1"/>
                <w:sz w:val="20"/>
                <w:szCs w:val="20"/>
              </w:rPr>
            </w:pPr>
            <w:r w:rsidRPr="006F7DA7">
              <w:rPr>
                <w:rFonts w:ascii="Arial" w:hAnsi="Arial" w:cs="Arial"/>
                <w:b/>
                <w:bCs/>
                <w:color w:val="000000" w:themeColor="text1"/>
                <w:sz w:val="20"/>
                <w:szCs w:val="20"/>
              </w:rPr>
              <w:t>Study / Source</w:t>
            </w:r>
          </w:p>
        </w:tc>
        <w:tc>
          <w:tcPr>
            <w:tcW w:w="2126" w:type="dxa"/>
            <w:shd w:val="clear" w:color="auto" w:fill="B4C6E7" w:themeFill="accent1" w:themeFillTint="66"/>
          </w:tcPr>
          <w:p w14:paraId="7FFCF937" w14:textId="77777777" w:rsidR="008366F7" w:rsidRPr="006F7DA7" w:rsidRDefault="008366F7" w:rsidP="00BF0846">
            <w:pPr>
              <w:rPr>
                <w:rFonts w:ascii="Arial" w:hAnsi="Arial" w:cs="Arial"/>
                <w:b/>
                <w:bCs/>
                <w:color w:val="000000" w:themeColor="text1"/>
                <w:sz w:val="20"/>
                <w:szCs w:val="20"/>
              </w:rPr>
            </w:pPr>
            <w:r w:rsidRPr="006F7DA7">
              <w:rPr>
                <w:rFonts w:ascii="Arial" w:hAnsi="Arial" w:cs="Arial"/>
                <w:b/>
                <w:bCs/>
                <w:color w:val="000000" w:themeColor="text1"/>
                <w:sz w:val="20"/>
                <w:szCs w:val="20"/>
              </w:rPr>
              <w:t>Focus</w:t>
            </w:r>
          </w:p>
        </w:tc>
        <w:tc>
          <w:tcPr>
            <w:tcW w:w="2516" w:type="dxa"/>
            <w:shd w:val="clear" w:color="auto" w:fill="B4C6E7" w:themeFill="accent1" w:themeFillTint="66"/>
          </w:tcPr>
          <w:p w14:paraId="26F1B103" w14:textId="77777777" w:rsidR="008366F7" w:rsidRPr="006F7DA7" w:rsidRDefault="008366F7" w:rsidP="00BF0846">
            <w:pPr>
              <w:rPr>
                <w:rFonts w:ascii="Arial" w:hAnsi="Arial" w:cs="Arial"/>
                <w:b/>
                <w:bCs/>
                <w:color w:val="000000" w:themeColor="text1"/>
                <w:sz w:val="20"/>
                <w:szCs w:val="20"/>
              </w:rPr>
            </w:pPr>
            <w:r w:rsidRPr="006F7DA7">
              <w:rPr>
                <w:rFonts w:ascii="Arial" w:hAnsi="Arial" w:cs="Arial"/>
                <w:b/>
                <w:bCs/>
                <w:color w:val="000000" w:themeColor="text1"/>
                <w:sz w:val="20"/>
                <w:szCs w:val="20"/>
              </w:rPr>
              <w:t>Key Findings</w:t>
            </w:r>
          </w:p>
        </w:tc>
        <w:tc>
          <w:tcPr>
            <w:tcW w:w="2587" w:type="dxa"/>
            <w:shd w:val="clear" w:color="auto" w:fill="B4C6E7" w:themeFill="accent1" w:themeFillTint="66"/>
          </w:tcPr>
          <w:p w14:paraId="212087A6" w14:textId="77777777" w:rsidR="008366F7" w:rsidRPr="006F7DA7" w:rsidRDefault="008366F7" w:rsidP="00BF0846">
            <w:pPr>
              <w:rPr>
                <w:rFonts w:ascii="Arial" w:hAnsi="Arial" w:cs="Arial"/>
                <w:b/>
                <w:bCs/>
                <w:color w:val="000000" w:themeColor="text1"/>
                <w:sz w:val="20"/>
                <w:szCs w:val="20"/>
              </w:rPr>
            </w:pPr>
            <w:r w:rsidRPr="006F7DA7">
              <w:rPr>
                <w:rFonts w:ascii="Arial" w:hAnsi="Arial" w:cs="Arial"/>
                <w:b/>
                <w:bCs/>
                <w:color w:val="000000" w:themeColor="text1"/>
                <w:sz w:val="20"/>
                <w:szCs w:val="20"/>
              </w:rPr>
              <w:t>Implications for Treatment Pathways</w:t>
            </w:r>
          </w:p>
        </w:tc>
      </w:tr>
      <w:tr w:rsidR="00650C77" w:rsidRPr="00650C77" w14:paraId="393E9B14" w14:textId="77777777" w:rsidTr="00650C77">
        <w:tc>
          <w:tcPr>
            <w:tcW w:w="1838" w:type="dxa"/>
            <w:shd w:val="clear" w:color="auto" w:fill="B4C6E7" w:themeFill="accent1" w:themeFillTint="66"/>
          </w:tcPr>
          <w:p w14:paraId="4D87316B"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Leucht et al. (2019)</w:t>
            </w:r>
          </w:p>
        </w:tc>
        <w:tc>
          <w:tcPr>
            <w:tcW w:w="2126" w:type="dxa"/>
            <w:shd w:val="clear" w:color="auto" w:fill="B4C6E7" w:themeFill="accent1" w:themeFillTint="66"/>
          </w:tcPr>
          <w:p w14:paraId="567FBBD9"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Antipsychotic effectiveness</w:t>
            </w:r>
          </w:p>
        </w:tc>
        <w:tc>
          <w:tcPr>
            <w:tcW w:w="2516" w:type="dxa"/>
            <w:shd w:val="clear" w:color="auto" w:fill="B4C6E7" w:themeFill="accent1" w:themeFillTint="66"/>
          </w:tcPr>
          <w:p w14:paraId="7D5655D6"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Strong evidence for relapse prevention, especially with psychosocial support</w:t>
            </w:r>
          </w:p>
        </w:tc>
        <w:tc>
          <w:tcPr>
            <w:tcW w:w="2587" w:type="dxa"/>
            <w:shd w:val="clear" w:color="auto" w:fill="B4C6E7" w:themeFill="accent1" w:themeFillTint="66"/>
          </w:tcPr>
          <w:p w14:paraId="7427E30F"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Pharmacological treatment effective when integrated with wider support</w:t>
            </w:r>
          </w:p>
        </w:tc>
      </w:tr>
      <w:tr w:rsidR="00650C77" w:rsidRPr="00650C77" w14:paraId="6AB05B69" w14:textId="77777777" w:rsidTr="00650C77">
        <w:tc>
          <w:tcPr>
            <w:tcW w:w="1838" w:type="dxa"/>
            <w:shd w:val="clear" w:color="auto" w:fill="B4C6E7" w:themeFill="accent1" w:themeFillTint="66"/>
          </w:tcPr>
          <w:p w14:paraId="31D02602"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Haddock et al. (2020)</w:t>
            </w:r>
          </w:p>
        </w:tc>
        <w:tc>
          <w:tcPr>
            <w:tcW w:w="2126" w:type="dxa"/>
            <w:shd w:val="clear" w:color="auto" w:fill="B4C6E7" w:themeFill="accent1" w:themeFillTint="66"/>
          </w:tcPr>
          <w:p w14:paraId="194EE91B"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 xml:space="preserve">Access to </w:t>
            </w:r>
            <w:proofErr w:type="spellStart"/>
            <w:r w:rsidRPr="00650C77">
              <w:rPr>
                <w:rFonts w:ascii="Arial" w:hAnsi="Arial" w:cs="Arial"/>
                <w:color w:val="000000" w:themeColor="text1"/>
                <w:sz w:val="20"/>
                <w:szCs w:val="20"/>
              </w:rPr>
              <w:t>CBTp</w:t>
            </w:r>
            <w:proofErr w:type="spellEnd"/>
          </w:p>
        </w:tc>
        <w:tc>
          <w:tcPr>
            <w:tcW w:w="2516" w:type="dxa"/>
            <w:shd w:val="clear" w:color="auto" w:fill="B4C6E7" w:themeFill="accent1" w:themeFillTint="66"/>
          </w:tcPr>
          <w:p w14:paraId="03516423"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 xml:space="preserve">Shortages of trained </w:t>
            </w:r>
            <w:proofErr w:type="spellStart"/>
            <w:r w:rsidRPr="00650C77">
              <w:rPr>
                <w:rFonts w:ascii="Arial" w:hAnsi="Arial" w:cs="Arial"/>
                <w:color w:val="000000" w:themeColor="text1"/>
                <w:sz w:val="20"/>
                <w:szCs w:val="20"/>
              </w:rPr>
              <w:t>CBTp</w:t>
            </w:r>
            <w:proofErr w:type="spellEnd"/>
            <w:r w:rsidRPr="00650C77">
              <w:rPr>
                <w:rFonts w:ascii="Arial" w:hAnsi="Arial" w:cs="Arial"/>
                <w:color w:val="000000" w:themeColor="text1"/>
                <w:sz w:val="20"/>
                <w:szCs w:val="20"/>
              </w:rPr>
              <w:t xml:space="preserve"> therapists limit access</w:t>
            </w:r>
          </w:p>
        </w:tc>
        <w:tc>
          <w:tcPr>
            <w:tcW w:w="2587" w:type="dxa"/>
            <w:shd w:val="clear" w:color="auto" w:fill="B4C6E7" w:themeFill="accent1" w:themeFillTint="66"/>
          </w:tcPr>
          <w:p w14:paraId="647B5673"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Psychological interventions inconsistently delivered</w:t>
            </w:r>
          </w:p>
        </w:tc>
      </w:tr>
      <w:tr w:rsidR="00650C77" w:rsidRPr="00650C77" w14:paraId="6FD2DAD4" w14:textId="77777777" w:rsidTr="00650C77">
        <w:tc>
          <w:tcPr>
            <w:tcW w:w="1838" w:type="dxa"/>
            <w:shd w:val="clear" w:color="auto" w:fill="B4C6E7" w:themeFill="accent1" w:themeFillTint="66"/>
          </w:tcPr>
          <w:p w14:paraId="0AAFAFA0"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CQC (2023)</w:t>
            </w:r>
          </w:p>
        </w:tc>
        <w:tc>
          <w:tcPr>
            <w:tcW w:w="2126" w:type="dxa"/>
            <w:shd w:val="clear" w:color="auto" w:fill="B4C6E7" w:themeFill="accent1" w:themeFillTint="66"/>
          </w:tcPr>
          <w:p w14:paraId="10F156DC"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Post-discharge follow-up</w:t>
            </w:r>
          </w:p>
        </w:tc>
        <w:tc>
          <w:tcPr>
            <w:tcW w:w="2516" w:type="dxa"/>
            <w:shd w:val="clear" w:color="auto" w:fill="B4C6E7" w:themeFill="accent1" w:themeFillTint="66"/>
          </w:tcPr>
          <w:p w14:paraId="159DDF36"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Inconsistent follow-up; unclear care plans; limited shared decision-making</w:t>
            </w:r>
          </w:p>
        </w:tc>
        <w:tc>
          <w:tcPr>
            <w:tcW w:w="2587" w:type="dxa"/>
            <w:shd w:val="clear" w:color="auto" w:fill="B4C6E7" w:themeFill="accent1" w:themeFillTint="66"/>
          </w:tcPr>
          <w:p w14:paraId="6488D150"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Poor continuity of care weakens pathway coherence</w:t>
            </w:r>
          </w:p>
        </w:tc>
      </w:tr>
      <w:tr w:rsidR="00650C77" w:rsidRPr="00650C77" w14:paraId="0396EF4F" w14:textId="77777777" w:rsidTr="00650C77">
        <w:tc>
          <w:tcPr>
            <w:tcW w:w="1838" w:type="dxa"/>
            <w:shd w:val="clear" w:color="auto" w:fill="B4C6E7" w:themeFill="accent1" w:themeFillTint="66"/>
          </w:tcPr>
          <w:p w14:paraId="0721DF05"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Repper and Perkins (2021)</w:t>
            </w:r>
          </w:p>
        </w:tc>
        <w:tc>
          <w:tcPr>
            <w:tcW w:w="2126" w:type="dxa"/>
            <w:shd w:val="clear" w:color="auto" w:fill="B4C6E7" w:themeFill="accent1" w:themeFillTint="66"/>
          </w:tcPr>
          <w:p w14:paraId="39757ACA"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Recovery-oriented pathways</w:t>
            </w:r>
          </w:p>
        </w:tc>
        <w:tc>
          <w:tcPr>
            <w:tcW w:w="2516" w:type="dxa"/>
            <w:shd w:val="clear" w:color="auto" w:fill="B4C6E7" w:themeFill="accent1" w:themeFillTint="66"/>
          </w:tcPr>
          <w:p w14:paraId="6AF46528"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Peer support and shared decision-making improve engagement and satisfaction</w:t>
            </w:r>
          </w:p>
        </w:tc>
        <w:tc>
          <w:tcPr>
            <w:tcW w:w="2587" w:type="dxa"/>
            <w:shd w:val="clear" w:color="auto" w:fill="B4C6E7" w:themeFill="accent1" w:themeFillTint="66"/>
          </w:tcPr>
          <w:p w14:paraId="3CD99E33" w14:textId="77777777" w:rsidR="008366F7" w:rsidRPr="00650C77" w:rsidRDefault="008366F7" w:rsidP="00FE18A2">
            <w:pPr>
              <w:jc w:val="both"/>
              <w:rPr>
                <w:rFonts w:ascii="Arial" w:hAnsi="Arial" w:cs="Arial"/>
                <w:color w:val="000000" w:themeColor="text1"/>
                <w:sz w:val="20"/>
                <w:szCs w:val="20"/>
              </w:rPr>
            </w:pPr>
            <w:r w:rsidRPr="00650C77">
              <w:rPr>
                <w:rFonts w:ascii="Arial" w:hAnsi="Arial" w:cs="Arial"/>
                <w:color w:val="000000" w:themeColor="text1"/>
                <w:sz w:val="20"/>
                <w:szCs w:val="20"/>
              </w:rPr>
              <w:t>Recovery-focused models enhance pathway effectiveness</w:t>
            </w:r>
          </w:p>
        </w:tc>
      </w:tr>
    </w:tbl>
    <w:p w14:paraId="2153C92E" w14:textId="243361C0" w:rsidR="00355E71" w:rsidRPr="00650C77" w:rsidRDefault="002D0F11" w:rsidP="00355E71">
      <w:pPr>
        <w:spacing w:before="100" w:beforeAutospacing="1" w:after="100" w:afterAutospacing="1" w:line="360" w:lineRule="auto"/>
        <w:jc w:val="both"/>
        <w:outlineLvl w:val="1"/>
        <w:rPr>
          <w:rFonts w:ascii="Arial" w:hAnsi="Arial" w:cs="Arial"/>
          <w:color w:val="000000" w:themeColor="text1"/>
        </w:rPr>
      </w:pPr>
      <w:r w:rsidRPr="00650C77">
        <w:rPr>
          <w:rFonts w:ascii="Arial" w:hAnsi="Arial" w:cs="Arial"/>
          <w:color w:val="000000" w:themeColor="text1"/>
        </w:rPr>
        <w:t xml:space="preserve">Table </w:t>
      </w:r>
      <w:r w:rsidR="0027100E" w:rsidRPr="00650C77">
        <w:rPr>
          <w:rFonts w:ascii="Arial" w:hAnsi="Arial" w:cs="Arial"/>
          <w:color w:val="000000" w:themeColor="text1"/>
        </w:rPr>
        <w:t>4.3.7.1 shows that while clinical evidence supports combined treatment approaches, service delivery remains inconsistent. Differences between studies reflect clinical versus real-world contexts, highlighting the importance of organisation, resources, and effective implementation.</w:t>
      </w:r>
    </w:p>
    <w:p w14:paraId="7FB1D088" w14:textId="6B89D240" w:rsidR="008366F7" w:rsidRPr="006F7DA7" w:rsidRDefault="007D2F3B" w:rsidP="00355E71">
      <w:pPr>
        <w:spacing w:before="100" w:beforeAutospacing="1" w:after="100" w:afterAutospacing="1" w:line="360" w:lineRule="auto"/>
        <w:jc w:val="both"/>
        <w:outlineLvl w:val="1"/>
        <w:rPr>
          <w:rFonts w:ascii="Arial" w:hAnsi="Arial" w:cs="Arial"/>
          <w:color w:val="000000" w:themeColor="text1"/>
          <w:sz w:val="24"/>
          <w:szCs w:val="24"/>
        </w:rPr>
      </w:pPr>
      <w:r w:rsidRPr="006F7DA7">
        <w:rPr>
          <w:rFonts w:ascii="Arial" w:eastAsia="Times New Roman" w:hAnsi="Arial" w:cs="Arial"/>
          <w:b/>
          <w:bCs/>
          <w:color w:val="000000" w:themeColor="text1"/>
          <w:kern w:val="0"/>
          <w:sz w:val="24"/>
          <w:szCs w:val="24"/>
          <w:lang w:eastAsia="en-GB"/>
          <w14:ligatures w14:val="none"/>
        </w:rPr>
        <w:lastRenderedPageBreak/>
        <w:t>4.3.</w:t>
      </w:r>
      <w:r w:rsidR="0073622E" w:rsidRPr="006F7DA7">
        <w:rPr>
          <w:rFonts w:ascii="Arial" w:eastAsia="Times New Roman" w:hAnsi="Arial" w:cs="Arial"/>
          <w:b/>
          <w:bCs/>
          <w:color w:val="000000" w:themeColor="text1"/>
          <w:kern w:val="0"/>
          <w:sz w:val="24"/>
          <w:szCs w:val="24"/>
          <w:lang w:eastAsia="en-GB"/>
          <w14:ligatures w14:val="none"/>
        </w:rPr>
        <w:t>8</w:t>
      </w:r>
      <w:r w:rsidRPr="006F7DA7">
        <w:rPr>
          <w:rFonts w:ascii="Arial" w:eastAsia="Times New Roman" w:hAnsi="Arial" w:cs="Arial"/>
          <w:b/>
          <w:bCs/>
          <w:color w:val="000000" w:themeColor="text1"/>
          <w:kern w:val="0"/>
          <w:sz w:val="24"/>
          <w:szCs w:val="24"/>
          <w:lang w:eastAsia="en-GB"/>
          <w14:ligatures w14:val="none"/>
        </w:rPr>
        <w:t xml:space="preserve"> </w:t>
      </w:r>
      <w:r w:rsidR="008366F7" w:rsidRPr="006F7DA7">
        <w:rPr>
          <w:rFonts w:ascii="Arial" w:eastAsia="Times New Roman" w:hAnsi="Arial" w:cs="Arial"/>
          <w:b/>
          <w:bCs/>
          <w:color w:val="000000" w:themeColor="text1"/>
          <w:kern w:val="0"/>
          <w:sz w:val="24"/>
          <w:szCs w:val="24"/>
          <w:lang w:eastAsia="en-GB"/>
          <w14:ligatures w14:val="none"/>
        </w:rPr>
        <w:t>Connections to Other Themes</w:t>
      </w:r>
      <w:r w:rsidRPr="006F7DA7">
        <w:rPr>
          <w:rFonts w:ascii="Arial" w:eastAsia="Times New Roman" w:hAnsi="Arial" w:cs="Arial"/>
          <w:b/>
          <w:bCs/>
          <w:color w:val="000000" w:themeColor="text1"/>
          <w:kern w:val="0"/>
          <w:sz w:val="24"/>
          <w:szCs w:val="24"/>
          <w:lang w:eastAsia="en-GB"/>
          <w14:ligatures w14:val="none"/>
        </w:rPr>
        <w:t>:</w:t>
      </w:r>
    </w:p>
    <w:p w14:paraId="2B0CEE11" w14:textId="77777777" w:rsidR="002D0F11" w:rsidRPr="00650C77" w:rsidRDefault="002D0F11" w:rsidP="002D0F11">
      <w:pPr>
        <w:keepNext/>
        <w:keepLines/>
        <w:spacing w:before="360" w:after="80" w:line="360" w:lineRule="auto"/>
        <w:jc w:val="both"/>
        <w:outlineLvl w:val="0"/>
        <w:rPr>
          <w:rFonts w:ascii="Arial" w:hAnsi="Arial" w:cs="Arial"/>
          <w:color w:val="000000" w:themeColor="text1"/>
        </w:rPr>
      </w:pPr>
      <w:r w:rsidRPr="00650C77">
        <w:rPr>
          <w:rFonts w:ascii="Arial" w:hAnsi="Arial" w:cs="Arial"/>
          <w:color w:val="000000" w:themeColor="text1"/>
        </w:rPr>
        <w:t>Theme 1 links with Theme 2, as treatment pathways are less effective when access is unequal. Delayed support, limited therapy access, and poor continuity reduce the impact of evidence-based care (Haddock et al., 2020; Care Quality Commission, 2023). It also connects to Theme 3, as integrated care improves coordination and outcomes, while fragmented systems lead to delays and weaker results (</w:t>
      </w:r>
      <w:proofErr w:type="spellStart"/>
      <w:r w:rsidRPr="00650C77">
        <w:rPr>
          <w:rFonts w:ascii="Arial" w:hAnsi="Arial" w:cs="Arial"/>
          <w:color w:val="000000" w:themeColor="text1"/>
        </w:rPr>
        <w:t>Bhui</w:t>
      </w:r>
      <w:proofErr w:type="spellEnd"/>
      <w:r w:rsidRPr="00650C77">
        <w:rPr>
          <w:rFonts w:ascii="Arial" w:hAnsi="Arial" w:cs="Arial"/>
          <w:color w:val="000000" w:themeColor="text1"/>
        </w:rPr>
        <w:t xml:space="preserve"> et al., 2021; Pagdon, 2023; Care Quality Commission, 2023).</w:t>
      </w:r>
    </w:p>
    <w:p w14:paraId="4E646EA0" w14:textId="4578D093" w:rsidR="007D2F3B" w:rsidRPr="00650C77" w:rsidRDefault="007D2F3B" w:rsidP="002D0F11">
      <w:pPr>
        <w:keepNext/>
        <w:keepLines/>
        <w:spacing w:before="360" w:after="80" w:line="360" w:lineRule="auto"/>
        <w:jc w:val="both"/>
        <w:outlineLvl w:val="0"/>
        <w:rPr>
          <w:rFonts w:ascii="Arial" w:hAnsi="Arial" w:cs="Arial"/>
          <w:color w:val="000000" w:themeColor="text1"/>
        </w:rPr>
      </w:pPr>
      <w:r w:rsidRPr="00650C77">
        <w:rPr>
          <w:rFonts w:ascii="Arial" w:eastAsiaTheme="majorEastAsia" w:hAnsi="Arial" w:cs="Arial"/>
          <w:b/>
          <w:bCs/>
          <w:color w:val="000000" w:themeColor="text1"/>
        </w:rPr>
        <w:t>Table</w:t>
      </w:r>
      <w:r w:rsidR="002D0F11" w:rsidRPr="00650C77">
        <w:rPr>
          <w:rFonts w:ascii="Arial" w:eastAsiaTheme="majorEastAsia" w:hAnsi="Arial" w:cs="Arial"/>
          <w:b/>
          <w:bCs/>
          <w:color w:val="000000" w:themeColor="text1"/>
        </w:rPr>
        <w:t xml:space="preserve"> 4.3.8.1</w:t>
      </w:r>
      <w:r w:rsidRPr="00650C77">
        <w:rPr>
          <w:rFonts w:ascii="Arial" w:eastAsiaTheme="majorEastAsia" w:hAnsi="Arial" w:cs="Arial"/>
          <w:b/>
          <w:bCs/>
          <w:color w:val="000000" w:themeColor="text1"/>
        </w:rPr>
        <w:t xml:space="preserve"> Thematic Interconnection via Case Studies</w:t>
      </w:r>
    </w:p>
    <w:tbl>
      <w:tblPr>
        <w:tblStyle w:val="TableGrid"/>
        <w:tblW w:w="9180" w:type="dxa"/>
        <w:tblInd w:w="-113" w:type="dxa"/>
        <w:tblLook w:val="04A0" w:firstRow="1" w:lastRow="0" w:firstColumn="1" w:lastColumn="0" w:noHBand="0" w:noVBand="1"/>
      </w:tblPr>
      <w:tblGrid>
        <w:gridCol w:w="2160"/>
        <w:gridCol w:w="1634"/>
        <w:gridCol w:w="2686"/>
        <w:gridCol w:w="2700"/>
      </w:tblGrid>
      <w:tr w:rsidR="00650C77" w:rsidRPr="00650C77" w14:paraId="5B188A53" w14:textId="77777777" w:rsidTr="00650C77">
        <w:tc>
          <w:tcPr>
            <w:tcW w:w="2160" w:type="dxa"/>
            <w:shd w:val="clear" w:color="auto" w:fill="B4C6E7" w:themeFill="accent1" w:themeFillTint="66"/>
          </w:tcPr>
          <w:p w14:paraId="7DF4C757" w14:textId="77777777" w:rsidR="007D2F3B" w:rsidRPr="00650C77" w:rsidRDefault="007D2F3B" w:rsidP="007D2F3B">
            <w:pPr>
              <w:jc w:val="both"/>
              <w:rPr>
                <w:rFonts w:ascii="Arial" w:hAnsi="Arial" w:cs="Arial"/>
                <w:color w:val="000000" w:themeColor="text1"/>
                <w:sz w:val="20"/>
                <w:szCs w:val="20"/>
              </w:rPr>
            </w:pPr>
            <w:r w:rsidRPr="00650C77">
              <w:rPr>
                <w:rFonts w:ascii="Arial" w:hAnsi="Arial" w:cs="Arial"/>
                <w:color w:val="000000" w:themeColor="text1"/>
                <w:sz w:val="20"/>
                <w:szCs w:val="20"/>
              </w:rPr>
              <w:t>Theme Link</w:t>
            </w:r>
          </w:p>
        </w:tc>
        <w:tc>
          <w:tcPr>
            <w:tcW w:w="1634" w:type="dxa"/>
            <w:shd w:val="clear" w:color="auto" w:fill="B4C6E7" w:themeFill="accent1" w:themeFillTint="66"/>
          </w:tcPr>
          <w:p w14:paraId="32903EEE" w14:textId="77777777" w:rsidR="007D2F3B" w:rsidRPr="00650C77" w:rsidRDefault="007D2F3B" w:rsidP="007D2F3B">
            <w:pPr>
              <w:jc w:val="both"/>
              <w:rPr>
                <w:rFonts w:ascii="Arial" w:hAnsi="Arial" w:cs="Arial"/>
                <w:color w:val="000000" w:themeColor="text1"/>
                <w:sz w:val="20"/>
                <w:szCs w:val="20"/>
              </w:rPr>
            </w:pPr>
            <w:r w:rsidRPr="00650C77">
              <w:rPr>
                <w:rFonts w:ascii="Arial" w:hAnsi="Arial" w:cs="Arial"/>
                <w:color w:val="000000" w:themeColor="text1"/>
                <w:sz w:val="20"/>
                <w:szCs w:val="20"/>
              </w:rPr>
              <w:t>Case Study</w:t>
            </w:r>
          </w:p>
        </w:tc>
        <w:tc>
          <w:tcPr>
            <w:tcW w:w="2686" w:type="dxa"/>
            <w:shd w:val="clear" w:color="auto" w:fill="B4C6E7" w:themeFill="accent1" w:themeFillTint="66"/>
          </w:tcPr>
          <w:p w14:paraId="62CB00B5" w14:textId="77777777" w:rsidR="007D2F3B" w:rsidRPr="00650C77" w:rsidRDefault="007D2F3B" w:rsidP="007D2F3B">
            <w:pPr>
              <w:jc w:val="both"/>
              <w:rPr>
                <w:rFonts w:ascii="Arial" w:hAnsi="Arial" w:cs="Arial"/>
                <w:color w:val="000000" w:themeColor="text1"/>
                <w:sz w:val="20"/>
                <w:szCs w:val="20"/>
              </w:rPr>
            </w:pPr>
            <w:r w:rsidRPr="00650C77">
              <w:rPr>
                <w:rFonts w:ascii="Arial" w:hAnsi="Arial" w:cs="Arial"/>
                <w:color w:val="000000" w:themeColor="text1"/>
                <w:sz w:val="20"/>
                <w:szCs w:val="20"/>
              </w:rPr>
              <w:t>Key Insight</w:t>
            </w:r>
          </w:p>
        </w:tc>
        <w:tc>
          <w:tcPr>
            <w:tcW w:w="2700" w:type="dxa"/>
            <w:shd w:val="clear" w:color="auto" w:fill="B4C6E7" w:themeFill="accent1" w:themeFillTint="66"/>
          </w:tcPr>
          <w:p w14:paraId="20E70E33" w14:textId="77777777" w:rsidR="007D2F3B" w:rsidRPr="00650C77" w:rsidRDefault="007D2F3B" w:rsidP="007D2F3B">
            <w:pPr>
              <w:jc w:val="both"/>
              <w:rPr>
                <w:rFonts w:ascii="Arial" w:hAnsi="Arial" w:cs="Arial"/>
                <w:color w:val="000000" w:themeColor="text1"/>
                <w:sz w:val="20"/>
                <w:szCs w:val="20"/>
              </w:rPr>
            </w:pPr>
            <w:r w:rsidRPr="00650C77">
              <w:rPr>
                <w:rFonts w:ascii="Arial" w:hAnsi="Arial" w:cs="Arial"/>
                <w:color w:val="000000" w:themeColor="text1"/>
                <w:sz w:val="20"/>
                <w:szCs w:val="20"/>
              </w:rPr>
              <w:t>Implication</w:t>
            </w:r>
          </w:p>
        </w:tc>
      </w:tr>
      <w:tr w:rsidR="00650C77" w:rsidRPr="00650C77" w14:paraId="106F5291" w14:textId="77777777" w:rsidTr="00650C77">
        <w:tc>
          <w:tcPr>
            <w:tcW w:w="2160" w:type="dxa"/>
            <w:shd w:val="clear" w:color="auto" w:fill="B4C6E7" w:themeFill="accent1" w:themeFillTint="66"/>
          </w:tcPr>
          <w:p w14:paraId="577F7D26"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 xml:space="preserve">Theme 1 </w:t>
            </w:r>
            <w:r w:rsidRPr="006F7DA7">
              <w:rPr>
                <w:rFonts w:ascii="Segoe UI Emoji" w:hAnsi="Segoe UI Emoji" w:cs="Segoe UI Emoji"/>
                <w:color w:val="000000" w:themeColor="text1"/>
                <w:sz w:val="20"/>
                <w:szCs w:val="20"/>
              </w:rPr>
              <w:t>➡️</w:t>
            </w:r>
            <w:r w:rsidRPr="006F7DA7">
              <w:rPr>
                <w:rFonts w:ascii="Arial" w:hAnsi="Arial" w:cs="Arial"/>
                <w:color w:val="000000" w:themeColor="text1"/>
                <w:sz w:val="20"/>
                <w:szCs w:val="20"/>
              </w:rPr>
              <w:t xml:space="preserve"> Theme 2</w:t>
            </w:r>
          </w:p>
        </w:tc>
        <w:tc>
          <w:tcPr>
            <w:tcW w:w="1634" w:type="dxa"/>
            <w:shd w:val="clear" w:color="auto" w:fill="B4C6E7" w:themeFill="accent1" w:themeFillTint="66"/>
          </w:tcPr>
          <w:p w14:paraId="50F10354" w14:textId="77777777" w:rsidR="007D2F3B" w:rsidRPr="006F7DA7" w:rsidRDefault="007D2F3B" w:rsidP="007D2F3B">
            <w:pPr>
              <w:jc w:val="both"/>
              <w:rPr>
                <w:rFonts w:ascii="Arial" w:hAnsi="Arial" w:cs="Arial"/>
                <w:color w:val="000000" w:themeColor="text1"/>
                <w:sz w:val="20"/>
                <w:szCs w:val="20"/>
              </w:rPr>
            </w:pPr>
            <w:proofErr w:type="spellStart"/>
            <w:r w:rsidRPr="006F7DA7">
              <w:rPr>
                <w:rFonts w:ascii="Arial" w:hAnsi="Arial" w:cs="Arial"/>
                <w:color w:val="000000" w:themeColor="text1"/>
                <w:sz w:val="20"/>
                <w:szCs w:val="20"/>
              </w:rPr>
              <w:t>SLaM</w:t>
            </w:r>
            <w:proofErr w:type="spellEnd"/>
          </w:p>
        </w:tc>
        <w:tc>
          <w:tcPr>
            <w:tcW w:w="2686" w:type="dxa"/>
            <w:shd w:val="clear" w:color="auto" w:fill="B4C6E7" w:themeFill="accent1" w:themeFillTint="66"/>
          </w:tcPr>
          <w:p w14:paraId="49199644"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Community-based EIP improved early engagement among Black service users</w:t>
            </w:r>
          </w:p>
        </w:tc>
        <w:tc>
          <w:tcPr>
            <w:tcW w:w="2700" w:type="dxa"/>
            <w:shd w:val="clear" w:color="auto" w:fill="B4C6E7" w:themeFill="accent1" w:themeFillTint="66"/>
          </w:tcPr>
          <w:p w14:paraId="75A685FE"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Treatment pathway success is limited by ethnic access barriers</w:t>
            </w:r>
          </w:p>
        </w:tc>
      </w:tr>
      <w:tr w:rsidR="00650C77" w:rsidRPr="00650C77" w14:paraId="537CC891" w14:textId="77777777" w:rsidTr="00650C77">
        <w:tc>
          <w:tcPr>
            <w:tcW w:w="2160" w:type="dxa"/>
            <w:shd w:val="clear" w:color="auto" w:fill="B4C6E7" w:themeFill="accent1" w:themeFillTint="66"/>
          </w:tcPr>
          <w:p w14:paraId="19BF50BB"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 xml:space="preserve">Theme 1 </w:t>
            </w:r>
            <w:r w:rsidRPr="006F7DA7">
              <w:rPr>
                <w:rFonts w:ascii="Segoe UI Emoji" w:hAnsi="Segoe UI Emoji" w:cs="Segoe UI Emoji"/>
                <w:color w:val="000000" w:themeColor="text1"/>
                <w:sz w:val="20"/>
                <w:szCs w:val="20"/>
              </w:rPr>
              <w:t>➡️</w:t>
            </w:r>
            <w:r w:rsidRPr="006F7DA7">
              <w:rPr>
                <w:rFonts w:ascii="Arial" w:hAnsi="Arial" w:cs="Arial"/>
                <w:color w:val="000000" w:themeColor="text1"/>
                <w:sz w:val="20"/>
                <w:szCs w:val="20"/>
              </w:rPr>
              <w:t xml:space="preserve"> Theme 2</w:t>
            </w:r>
          </w:p>
        </w:tc>
        <w:tc>
          <w:tcPr>
            <w:tcW w:w="1634" w:type="dxa"/>
            <w:shd w:val="clear" w:color="auto" w:fill="B4C6E7" w:themeFill="accent1" w:themeFillTint="66"/>
          </w:tcPr>
          <w:p w14:paraId="5B88D76B"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Norfolk &amp; Suffolk</w:t>
            </w:r>
          </w:p>
        </w:tc>
        <w:tc>
          <w:tcPr>
            <w:tcW w:w="2686" w:type="dxa"/>
            <w:shd w:val="clear" w:color="auto" w:fill="B4C6E7" w:themeFill="accent1" w:themeFillTint="66"/>
          </w:tcPr>
          <w:p w14:paraId="2BBD1AA2"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Rural integration improved care continuity and patient retention</w:t>
            </w:r>
          </w:p>
        </w:tc>
        <w:tc>
          <w:tcPr>
            <w:tcW w:w="2700" w:type="dxa"/>
            <w:shd w:val="clear" w:color="auto" w:fill="B4C6E7" w:themeFill="accent1" w:themeFillTint="66"/>
          </w:tcPr>
          <w:p w14:paraId="10B38EDF"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Geographic inequalities reduce clinical effectiveness</w:t>
            </w:r>
          </w:p>
        </w:tc>
      </w:tr>
      <w:tr w:rsidR="00650C77" w:rsidRPr="00650C77" w14:paraId="5FA82D7D" w14:textId="77777777" w:rsidTr="00650C77">
        <w:tc>
          <w:tcPr>
            <w:tcW w:w="2160" w:type="dxa"/>
            <w:shd w:val="clear" w:color="auto" w:fill="B4C6E7" w:themeFill="accent1" w:themeFillTint="66"/>
          </w:tcPr>
          <w:p w14:paraId="75274E6B"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 xml:space="preserve">Theme 1 </w:t>
            </w:r>
            <w:r w:rsidRPr="006F7DA7">
              <w:rPr>
                <w:rFonts w:ascii="Segoe UI Emoji" w:hAnsi="Segoe UI Emoji" w:cs="Segoe UI Emoji"/>
                <w:color w:val="000000" w:themeColor="text1"/>
                <w:sz w:val="20"/>
                <w:szCs w:val="20"/>
              </w:rPr>
              <w:t>➡️</w:t>
            </w:r>
            <w:r w:rsidRPr="006F7DA7">
              <w:rPr>
                <w:rFonts w:ascii="Arial" w:hAnsi="Arial" w:cs="Arial"/>
                <w:color w:val="000000" w:themeColor="text1"/>
                <w:sz w:val="20"/>
                <w:szCs w:val="20"/>
              </w:rPr>
              <w:t xml:space="preserve"> Theme 3</w:t>
            </w:r>
          </w:p>
        </w:tc>
        <w:tc>
          <w:tcPr>
            <w:tcW w:w="1634" w:type="dxa"/>
            <w:shd w:val="clear" w:color="auto" w:fill="B4C6E7" w:themeFill="accent1" w:themeFillTint="66"/>
          </w:tcPr>
          <w:p w14:paraId="7FF866B6" w14:textId="77777777" w:rsidR="007D2F3B" w:rsidRPr="006F7DA7" w:rsidRDefault="007D2F3B" w:rsidP="007D2F3B">
            <w:pPr>
              <w:jc w:val="both"/>
              <w:rPr>
                <w:rFonts w:ascii="Arial" w:hAnsi="Arial" w:cs="Arial"/>
                <w:color w:val="000000" w:themeColor="text1"/>
                <w:sz w:val="20"/>
                <w:szCs w:val="20"/>
              </w:rPr>
            </w:pPr>
            <w:proofErr w:type="spellStart"/>
            <w:r w:rsidRPr="006F7DA7">
              <w:rPr>
                <w:rFonts w:ascii="Arial" w:hAnsi="Arial" w:cs="Arial"/>
                <w:color w:val="000000" w:themeColor="text1"/>
                <w:sz w:val="20"/>
                <w:szCs w:val="20"/>
              </w:rPr>
              <w:t>SLaM</w:t>
            </w:r>
            <w:proofErr w:type="spellEnd"/>
            <w:r w:rsidRPr="006F7DA7">
              <w:rPr>
                <w:rFonts w:ascii="Arial" w:hAnsi="Arial" w:cs="Arial"/>
                <w:color w:val="000000" w:themeColor="text1"/>
                <w:sz w:val="20"/>
                <w:szCs w:val="20"/>
              </w:rPr>
              <w:t xml:space="preserve"> &amp; Norfolk/Suffolk</w:t>
            </w:r>
          </w:p>
        </w:tc>
        <w:tc>
          <w:tcPr>
            <w:tcW w:w="2686" w:type="dxa"/>
            <w:shd w:val="clear" w:color="auto" w:fill="B4C6E7" w:themeFill="accent1" w:themeFillTint="66"/>
          </w:tcPr>
          <w:p w14:paraId="77896074"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Integrated services enhanced continuity, adherence, and recovery</w:t>
            </w:r>
          </w:p>
        </w:tc>
        <w:tc>
          <w:tcPr>
            <w:tcW w:w="2700" w:type="dxa"/>
            <w:shd w:val="clear" w:color="auto" w:fill="B4C6E7" w:themeFill="accent1" w:themeFillTint="66"/>
          </w:tcPr>
          <w:p w14:paraId="6C464A95"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Integration supports full delivery of evidence-based treatment pathways</w:t>
            </w:r>
          </w:p>
        </w:tc>
      </w:tr>
      <w:tr w:rsidR="00650C77" w:rsidRPr="00650C77" w14:paraId="1E438DFA" w14:textId="77777777" w:rsidTr="00650C77">
        <w:tc>
          <w:tcPr>
            <w:tcW w:w="2160" w:type="dxa"/>
            <w:shd w:val="clear" w:color="auto" w:fill="B4C6E7" w:themeFill="accent1" w:themeFillTint="66"/>
          </w:tcPr>
          <w:p w14:paraId="51E5FBE3"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 xml:space="preserve">Theme 1 </w:t>
            </w:r>
            <w:r w:rsidRPr="006F7DA7">
              <w:rPr>
                <w:rFonts w:ascii="Segoe UI Emoji" w:hAnsi="Segoe UI Emoji" w:cs="Segoe UI Emoji"/>
                <w:color w:val="000000" w:themeColor="text1"/>
                <w:sz w:val="20"/>
                <w:szCs w:val="20"/>
              </w:rPr>
              <w:t>➡️</w:t>
            </w:r>
            <w:r w:rsidRPr="006F7DA7">
              <w:rPr>
                <w:rFonts w:ascii="Arial" w:hAnsi="Arial" w:cs="Arial"/>
                <w:color w:val="000000" w:themeColor="text1"/>
                <w:sz w:val="20"/>
                <w:szCs w:val="20"/>
              </w:rPr>
              <w:t xml:space="preserve"> Theme 3</w:t>
            </w:r>
          </w:p>
        </w:tc>
        <w:tc>
          <w:tcPr>
            <w:tcW w:w="1634" w:type="dxa"/>
            <w:shd w:val="clear" w:color="auto" w:fill="B4C6E7" w:themeFill="accent1" w:themeFillTint="66"/>
          </w:tcPr>
          <w:p w14:paraId="7EFD0762"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Greater Manchester</w:t>
            </w:r>
          </w:p>
        </w:tc>
        <w:tc>
          <w:tcPr>
            <w:tcW w:w="2686" w:type="dxa"/>
            <w:shd w:val="clear" w:color="auto" w:fill="B4C6E7" w:themeFill="accent1" w:themeFillTint="66"/>
          </w:tcPr>
          <w:p w14:paraId="4C112539"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Fragmentation led to delays, crisis entry, and poor follow-up</w:t>
            </w:r>
          </w:p>
        </w:tc>
        <w:tc>
          <w:tcPr>
            <w:tcW w:w="2700" w:type="dxa"/>
            <w:shd w:val="clear" w:color="auto" w:fill="B4C6E7" w:themeFill="accent1" w:themeFillTint="66"/>
          </w:tcPr>
          <w:p w14:paraId="48CDE7D4" w14:textId="77777777" w:rsidR="007D2F3B" w:rsidRPr="006F7DA7" w:rsidRDefault="007D2F3B" w:rsidP="007D2F3B">
            <w:pPr>
              <w:jc w:val="both"/>
              <w:rPr>
                <w:rFonts w:ascii="Arial" w:hAnsi="Arial" w:cs="Arial"/>
                <w:color w:val="000000" w:themeColor="text1"/>
                <w:sz w:val="20"/>
                <w:szCs w:val="20"/>
              </w:rPr>
            </w:pPr>
            <w:r w:rsidRPr="006F7DA7">
              <w:rPr>
                <w:rFonts w:ascii="Arial" w:hAnsi="Arial" w:cs="Arial"/>
                <w:color w:val="000000" w:themeColor="text1"/>
                <w:sz w:val="20"/>
                <w:szCs w:val="20"/>
              </w:rPr>
              <w:t>Weak system integration undermines pathway effectiveness</w:t>
            </w:r>
          </w:p>
        </w:tc>
      </w:tr>
    </w:tbl>
    <w:p w14:paraId="20AA811F" w14:textId="77777777" w:rsidR="007D2F3B" w:rsidRPr="00650C77" w:rsidRDefault="007D2F3B" w:rsidP="007D2F3B">
      <w:pPr>
        <w:rPr>
          <w:rFonts w:ascii="Arial" w:hAnsi="Arial" w:cs="Arial"/>
          <w:color w:val="000000" w:themeColor="text1"/>
        </w:rPr>
      </w:pPr>
    </w:p>
    <w:p w14:paraId="4CB2CC53" w14:textId="6239D6E5" w:rsidR="00002AD0" w:rsidRDefault="00A3645E" w:rsidP="001B6210">
      <w:pPr>
        <w:spacing w:before="100" w:beforeAutospacing="1" w:after="100" w:afterAutospacing="1" w:line="360" w:lineRule="auto"/>
        <w:jc w:val="both"/>
        <w:rPr>
          <w:rFonts w:ascii="Arial" w:hAnsi="Arial" w:cs="Arial"/>
          <w:color w:val="000000" w:themeColor="text1"/>
        </w:rPr>
      </w:pPr>
      <w:r w:rsidRPr="00650C77">
        <w:rPr>
          <w:rFonts w:ascii="Arial" w:hAnsi="Arial" w:cs="Arial"/>
          <w:color w:val="000000" w:themeColor="text1"/>
        </w:rPr>
        <w:t xml:space="preserve">Table </w:t>
      </w:r>
      <w:r w:rsidR="002D0F11" w:rsidRPr="00650C77">
        <w:rPr>
          <w:rFonts w:ascii="Arial" w:hAnsi="Arial" w:cs="Arial"/>
          <w:color w:val="000000" w:themeColor="text1"/>
        </w:rPr>
        <w:t>4.3.8</w:t>
      </w:r>
      <w:r w:rsidRPr="00650C77">
        <w:rPr>
          <w:rFonts w:ascii="Arial" w:hAnsi="Arial" w:cs="Arial"/>
          <w:color w:val="000000" w:themeColor="text1"/>
        </w:rPr>
        <w:t>.1</w:t>
      </w:r>
      <w:r w:rsidR="002D0F11" w:rsidRPr="00650C77">
        <w:rPr>
          <w:rFonts w:ascii="Arial" w:hAnsi="Arial" w:cs="Arial"/>
          <w:color w:val="000000" w:themeColor="text1"/>
        </w:rPr>
        <w:t xml:space="preserve"> shows that treatment effectiveness is not determined by clinical interventions alone, but also by equitable access and service integration. Inequalities in access reduce the benefits of effective treatments, while fragmented systems limit continuity and engagement. In contrast, integrated approaches improve coordination, adherence, and recovery outcomes, demonstrating that successful pathways depend on both fairness and system organisation.</w:t>
      </w:r>
      <w:bookmarkEnd w:id="3"/>
    </w:p>
    <w:p w14:paraId="373CAD66" w14:textId="77777777" w:rsidR="006F7DA7" w:rsidRDefault="006F7DA7" w:rsidP="001B6210">
      <w:pPr>
        <w:spacing w:before="100" w:beforeAutospacing="1" w:after="100" w:afterAutospacing="1" w:line="360" w:lineRule="auto"/>
        <w:jc w:val="both"/>
        <w:rPr>
          <w:rFonts w:ascii="Arial" w:hAnsi="Arial" w:cs="Arial"/>
          <w:color w:val="000000" w:themeColor="text1"/>
        </w:rPr>
      </w:pPr>
    </w:p>
    <w:p w14:paraId="5F51AC0B" w14:textId="77777777" w:rsidR="006F7DA7" w:rsidRDefault="006F7DA7" w:rsidP="001B6210">
      <w:pPr>
        <w:spacing w:before="100" w:beforeAutospacing="1" w:after="100" w:afterAutospacing="1" w:line="360" w:lineRule="auto"/>
        <w:jc w:val="both"/>
        <w:rPr>
          <w:rFonts w:ascii="Arial" w:hAnsi="Arial" w:cs="Arial"/>
          <w:color w:val="000000" w:themeColor="text1"/>
        </w:rPr>
      </w:pPr>
    </w:p>
    <w:p w14:paraId="0E4A2833" w14:textId="77777777" w:rsidR="006F7DA7" w:rsidRDefault="006F7DA7" w:rsidP="001B6210">
      <w:pPr>
        <w:spacing w:before="100" w:beforeAutospacing="1" w:after="100" w:afterAutospacing="1" w:line="360" w:lineRule="auto"/>
        <w:jc w:val="both"/>
        <w:rPr>
          <w:rFonts w:ascii="Arial" w:hAnsi="Arial" w:cs="Arial"/>
          <w:color w:val="000000" w:themeColor="text1"/>
        </w:rPr>
      </w:pPr>
    </w:p>
    <w:p w14:paraId="492516CC" w14:textId="77777777" w:rsidR="006F7DA7" w:rsidRDefault="006F7DA7" w:rsidP="001B6210">
      <w:pPr>
        <w:spacing w:before="100" w:beforeAutospacing="1" w:after="100" w:afterAutospacing="1" w:line="360" w:lineRule="auto"/>
        <w:jc w:val="both"/>
        <w:rPr>
          <w:rFonts w:ascii="Arial" w:hAnsi="Arial" w:cs="Arial"/>
          <w:color w:val="000000" w:themeColor="text1"/>
        </w:rPr>
      </w:pPr>
    </w:p>
    <w:p w14:paraId="2765E7BC" w14:textId="77777777" w:rsidR="006F7DA7" w:rsidRDefault="006F7DA7" w:rsidP="001B6210">
      <w:pPr>
        <w:spacing w:before="100" w:beforeAutospacing="1" w:after="100" w:afterAutospacing="1" w:line="360" w:lineRule="auto"/>
        <w:jc w:val="both"/>
        <w:rPr>
          <w:rFonts w:ascii="Arial" w:hAnsi="Arial" w:cs="Arial"/>
          <w:color w:val="000000" w:themeColor="text1"/>
        </w:rPr>
      </w:pPr>
    </w:p>
    <w:p w14:paraId="0DE73CE4" w14:textId="77777777" w:rsidR="006F7DA7" w:rsidRPr="00650C77" w:rsidRDefault="006F7DA7" w:rsidP="001B6210">
      <w:pPr>
        <w:spacing w:before="100" w:beforeAutospacing="1" w:after="100" w:afterAutospacing="1" w:line="360" w:lineRule="auto"/>
        <w:jc w:val="both"/>
        <w:rPr>
          <w:rFonts w:ascii="Arial" w:hAnsi="Arial" w:cs="Arial"/>
          <w:color w:val="000000" w:themeColor="text1"/>
        </w:rPr>
      </w:pPr>
    </w:p>
    <w:p w14:paraId="30BDD63F" w14:textId="1AC82147" w:rsidR="008366F7" w:rsidRPr="006F7DA7" w:rsidRDefault="008366F7" w:rsidP="00991FE8">
      <w:pPr>
        <w:spacing w:before="100" w:beforeAutospacing="1" w:after="100" w:afterAutospacing="1" w:line="360" w:lineRule="auto"/>
        <w:jc w:val="both"/>
        <w:outlineLvl w:val="1"/>
        <w:rPr>
          <w:rFonts w:ascii="Arial" w:hAnsi="Arial" w:cs="Arial"/>
          <w:color w:val="000000" w:themeColor="text1"/>
          <w:sz w:val="28"/>
          <w:szCs w:val="28"/>
        </w:rPr>
      </w:pPr>
      <w:r w:rsidRPr="006F7DA7">
        <w:rPr>
          <w:rFonts w:ascii="Arial" w:eastAsia="Times New Roman" w:hAnsi="Arial" w:cs="Arial"/>
          <w:b/>
          <w:bCs/>
          <w:color w:val="000000" w:themeColor="text1"/>
          <w:kern w:val="0"/>
          <w:sz w:val="28"/>
          <w:szCs w:val="28"/>
          <w:lang w:eastAsia="en-GB"/>
          <w14:ligatures w14:val="none"/>
        </w:rPr>
        <w:lastRenderedPageBreak/>
        <w:t>4.4 Theme 2: Access, Inequalities, and Variation in Schizophrenia Care</w:t>
      </w:r>
      <w:r w:rsidR="00DA74E4" w:rsidRPr="006F7DA7">
        <w:rPr>
          <w:rFonts w:ascii="Arial" w:eastAsia="Times New Roman" w:hAnsi="Arial" w:cs="Arial"/>
          <w:b/>
          <w:bCs/>
          <w:color w:val="000000" w:themeColor="text1"/>
          <w:kern w:val="0"/>
          <w:sz w:val="28"/>
          <w:szCs w:val="28"/>
          <w:lang w:eastAsia="en-GB"/>
          <w14:ligatures w14:val="none"/>
        </w:rPr>
        <w:t>:</w:t>
      </w:r>
    </w:p>
    <w:p w14:paraId="30ADCBC2" w14:textId="6F5F48F2" w:rsidR="00FD4893" w:rsidRPr="006F7DA7" w:rsidRDefault="00FD4893" w:rsidP="003D31AA">
      <w:pPr>
        <w:spacing w:before="100" w:beforeAutospacing="1" w:after="100" w:afterAutospacing="1" w:line="360" w:lineRule="auto"/>
        <w:jc w:val="both"/>
        <w:outlineLvl w:val="2"/>
        <w:rPr>
          <w:rFonts w:ascii="Arial" w:eastAsia="Times New Roman" w:hAnsi="Arial" w:cs="Arial"/>
          <w:b/>
          <w:bCs/>
          <w:color w:val="000000" w:themeColor="text1"/>
          <w:kern w:val="0"/>
          <w:sz w:val="24"/>
          <w:szCs w:val="24"/>
          <w:lang w:eastAsia="en-GB"/>
          <w14:ligatures w14:val="none"/>
        </w:rPr>
      </w:pPr>
      <w:r w:rsidRPr="006F7DA7">
        <w:rPr>
          <w:rFonts w:ascii="Arial" w:eastAsia="Times New Roman" w:hAnsi="Arial" w:cs="Arial"/>
          <w:b/>
          <w:bCs/>
          <w:color w:val="000000" w:themeColor="text1"/>
          <w:kern w:val="0"/>
          <w:sz w:val="24"/>
          <w:szCs w:val="24"/>
          <w:lang w:eastAsia="en-GB"/>
          <w14:ligatures w14:val="none"/>
        </w:rPr>
        <w:t>4.4.1 Definition</w:t>
      </w:r>
      <w:r w:rsidR="00AA5C8F" w:rsidRPr="006F7DA7">
        <w:rPr>
          <w:rFonts w:ascii="Arial" w:eastAsia="Times New Roman" w:hAnsi="Arial" w:cs="Arial"/>
          <w:b/>
          <w:bCs/>
          <w:color w:val="000000" w:themeColor="text1"/>
          <w:kern w:val="0"/>
          <w:sz w:val="24"/>
          <w:szCs w:val="24"/>
          <w:lang w:eastAsia="en-GB"/>
          <w14:ligatures w14:val="none"/>
        </w:rPr>
        <w:t>:</w:t>
      </w:r>
    </w:p>
    <w:p w14:paraId="72116506" w14:textId="77777777" w:rsidR="001B6210" w:rsidRPr="00650C77" w:rsidRDefault="001B6210" w:rsidP="001B621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Access, inequalities, and variation in schizophrenia care describe differences in service availability, quality, and outcomes across groups and locations. Access refers to how easily people can receive timely and appropriate care, including early identification, medication, psychological therapies, and ongoing community support.</w:t>
      </w:r>
    </w:p>
    <w:p w14:paraId="205D8E2B" w14:textId="77777777" w:rsidR="001B6210" w:rsidRPr="00650C77" w:rsidRDefault="001B6210" w:rsidP="001B621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Inequalities arise when access or outcomes differ due to factors such as ethnicity, socioeconomic status, or location rather than clinical need (</w:t>
      </w:r>
      <w:proofErr w:type="spellStart"/>
      <w:r w:rsidRPr="00650C77">
        <w:rPr>
          <w:rFonts w:ascii="Arial" w:hAnsi="Arial" w:cs="Arial"/>
          <w:color w:val="000000" w:themeColor="text1"/>
          <w:sz w:val="22"/>
          <w:szCs w:val="22"/>
        </w:rPr>
        <w:t>Nazroo</w:t>
      </w:r>
      <w:proofErr w:type="spellEnd"/>
      <w:r w:rsidRPr="00650C77">
        <w:rPr>
          <w:rFonts w:ascii="Arial" w:hAnsi="Arial" w:cs="Arial"/>
          <w:color w:val="000000" w:themeColor="text1"/>
          <w:sz w:val="22"/>
          <w:szCs w:val="22"/>
        </w:rPr>
        <w:t xml:space="preserve"> et al., 2019). Variation refers to differences in service provision and quality across NHS Trusts, regions, and Integrated Care Systems (ICSs).</w:t>
      </w:r>
    </w:p>
    <w:p w14:paraId="4023CC2E" w14:textId="77777777" w:rsidR="001B6210" w:rsidRPr="00650C77" w:rsidRDefault="001B6210" w:rsidP="001B6210">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Access is crucial for recovery and long-term outcomes. Delayed or crisis-led care is linked to poorer engagement, higher relapse rates, and increased compulsory treatment under the Mental Health Act (Care Quality Commission, 2023). These inequalities and variations reduce fairness in schizophrenia care across the UK.</w:t>
      </w:r>
    </w:p>
    <w:p w14:paraId="4BF96DF3" w14:textId="279A5E38" w:rsidR="00FD4893" w:rsidRPr="006F7DA7" w:rsidRDefault="00FD4893" w:rsidP="003D31AA">
      <w:pPr>
        <w:spacing w:before="100" w:beforeAutospacing="1" w:after="100" w:afterAutospacing="1" w:line="360" w:lineRule="auto"/>
        <w:jc w:val="both"/>
        <w:outlineLvl w:val="2"/>
        <w:rPr>
          <w:rFonts w:ascii="Arial" w:eastAsia="Times New Roman" w:hAnsi="Arial" w:cs="Arial"/>
          <w:b/>
          <w:bCs/>
          <w:color w:val="000000" w:themeColor="text1"/>
          <w:kern w:val="0"/>
          <w:sz w:val="24"/>
          <w:szCs w:val="24"/>
          <w:lang w:eastAsia="en-GB"/>
          <w14:ligatures w14:val="none"/>
        </w:rPr>
      </w:pPr>
      <w:r w:rsidRPr="006F7DA7">
        <w:rPr>
          <w:rFonts w:ascii="Arial" w:eastAsia="Times New Roman" w:hAnsi="Arial" w:cs="Arial"/>
          <w:b/>
          <w:bCs/>
          <w:color w:val="000000" w:themeColor="text1"/>
          <w:kern w:val="0"/>
          <w:sz w:val="24"/>
          <w:szCs w:val="24"/>
          <w:lang w:eastAsia="en-GB"/>
          <w14:ligatures w14:val="none"/>
        </w:rPr>
        <w:t>4.4.2 Background Information</w:t>
      </w:r>
      <w:r w:rsidR="006F7DA7" w:rsidRPr="006F7DA7">
        <w:rPr>
          <w:rFonts w:ascii="Arial" w:eastAsia="Times New Roman" w:hAnsi="Arial" w:cs="Arial"/>
          <w:b/>
          <w:bCs/>
          <w:color w:val="000000" w:themeColor="text1"/>
          <w:kern w:val="0"/>
          <w:sz w:val="24"/>
          <w:szCs w:val="24"/>
          <w:lang w:eastAsia="en-GB"/>
          <w14:ligatures w14:val="none"/>
        </w:rPr>
        <w:t>:</w:t>
      </w:r>
    </w:p>
    <w:p w14:paraId="42502F99" w14:textId="77777777" w:rsidR="00185F48" w:rsidRPr="00650C77" w:rsidRDefault="00185F48" w:rsidP="001A622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Historically, schizophrenia care in the UK has been shaped by uneven service development, particularly following deinstitutionalisation. While community-based care improved patient autonomy, it was not always supported by sufficient investment, leading to long-term fragmentation (Bartlett and Wright, 2018).</w:t>
      </w:r>
    </w:p>
    <w:p w14:paraId="193EDCD2" w14:textId="77777777" w:rsidR="00185F48" w:rsidRPr="00650C77" w:rsidRDefault="00185F48" w:rsidP="001A622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Although recent policies aim to address these issues, the evidence suggests that historical inequalities continue to influence current service delivery (Care Quality Commission, 2023). This is important because it indicates that variation in access is not a new issue, but part of a continuing structural pattern.</w:t>
      </w:r>
    </w:p>
    <w:p w14:paraId="1BAA2EC5" w14:textId="77777777" w:rsidR="00185F48" w:rsidRPr="00650C77" w:rsidRDefault="00185F48" w:rsidP="001A622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There is also limited disagreement in the literature about the existence of inequalities. Instead, studies differ in how they explain them. Some emphasise broader social factors such as deprivation and ethnicity (</w:t>
      </w:r>
      <w:proofErr w:type="spellStart"/>
      <w:r w:rsidRPr="00650C77">
        <w:rPr>
          <w:rFonts w:ascii="Arial" w:hAnsi="Arial" w:cs="Arial"/>
          <w:color w:val="000000" w:themeColor="text1"/>
          <w:sz w:val="22"/>
          <w:szCs w:val="22"/>
        </w:rPr>
        <w:t>Nazroo</w:t>
      </w:r>
      <w:proofErr w:type="spellEnd"/>
      <w:r w:rsidRPr="00650C77">
        <w:rPr>
          <w:rFonts w:ascii="Arial" w:hAnsi="Arial" w:cs="Arial"/>
          <w:color w:val="000000" w:themeColor="text1"/>
          <w:sz w:val="22"/>
          <w:szCs w:val="22"/>
        </w:rPr>
        <w:t xml:space="preserve"> et al., 2019), while others focus on service-level issues such as workforce shortages (</w:t>
      </w:r>
      <w:proofErr w:type="spellStart"/>
      <w:r w:rsidRPr="00650C77">
        <w:rPr>
          <w:rFonts w:ascii="Arial" w:hAnsi="Arial" w:cs="Arial"/>
          <w:color w:val="000000" w:themeColor="text1"/>
          <w:sz w:val="22"/>
          <w:szCs w:val="22"/>
        </w:rPr>
        <w:t>RCPsych</w:t>
      </w:r>
      <w:proofErr w:type="spellEnd"/>
      <w:r w:rsidRPr="00650C77">
        <w:rPr>
          <w:rFonts w:ascii="Arial" w:hAnsi="Arial" w:cs="Arial"/>
          <w:color w:val="000000" w:themeColor="text1"/>
          <w:sz w:val="22"/>
          <w:szCs w:val="22"/>
        </w:rPr>
        <w:t>, 2023). These explanations are not contradictory, but highlight that inequalities are produced by multiple interacting factors.</w:t>
      </w:r>
    </w:p>
    <w:p w14:paraId="6AD1042B" w14:textId="77777777" w:rsidR="00185F48" w:rsidRPr="00650C77" w:rsidRDefault="00185F48" w:rsidP="001A622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lastRenderedPageBreak/>
        <w:t>This suggests that policy reforms alone may be insufficient unless they address both structural disadvantage and local service capacity.</w:t>
      </w:r>
    </w:p>
    <w:p w14:paraId="1F6C37A9" w14:textId="71C75D6D" w:rsidR="00FD4893" w:rsidRPr="006F7DA7" w:rsidRDefault="00FD4893" w:rsidP="003D31AA">
      <w:pPr>
        <w:spacing w:before="100" w:beforeAutospacing="1" w:after="100" w:afterAutospacing="1" w:line="360" w:lineRule="auto"/>
        <w:jc w:val="both"/>
        <w:outlineLvl w:val="2"/>
        <w:rPr>
          <w:rFonts w:ascii="Arial" w:eastAsia="Times New Roman" w:hAnsi="Arial" w:cs="Arial"/>
          <w:b/>
          <w:bCs/>
          <w:color w:val="000000" w:themeColor="text1"/>
          <w:kern w:val="0"/>
          <w:sz w:val="24"/>
          <w:szCs w:val="24"/>
          <w:lang w:eastAsia="en-GB"/>
          <w14:ligatures w14:val="none"/>
        </w:rPr>
      </w:pPr>
      <w:r w:rsidRPr="006F7DA7">
        <w:rPr>
          <w:rFonts w:ascii="Arial" w:eastAsia="Times New Roman" w:hAnsi="Arial" w:cs="Arial"/>
          <w:b/>
          <w:bCs/>
          <w:color w:val="000000" w:themeColor="text1"/>
          <w:kern w:val="0"/>
          <w:sz w:val="24"/>
          <w:szCs w:val="24"/>
          <w:lang w:eastAsia="en-GB"/>
          <w14:ligatures w14:val="none"/>
        </w:rPr>
        <w:t>4.4.3 Impact on the Research Question</w:t>
      </w:r>
      <w:r w:rsidR="00C20D64" w:rsidRPr="006F7DA7">
        <w:rPr>
          <w:rFonts w:ascii="Arial" w:eastAsia="Times New Roman" w:hAnsi="Arial" w:cs="Arial"/>
          <w:b/>
          <w:bCs/>
          <w:color w:val="000000" w:themeColor="text1"/>
          <w:kern w:val="0"/>
          <w:sz w:val="24"/>
          <w:szCs w:val="24"/>
          <w:lang w:eastAsia="en-GB"/>
          <w14:ligatures w14:val="none"/>
        </w:rPr>
        <w:t>:</w:t>
      </w:r>
    </w:p>
    <w:p w14:paraId="4C11B83F" w14:textId="77777777" w:rsidR="001A622A" w:rsidRPr="00650C77" w:rsidRDefault="001A622A" w:rsidP="001A622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This theme directly informs the research question on the effectiveness and consistency of schizophrenia treatment pathways in the UK. Although guidelines recommend interventions such as </w:t>
      </w:r>
      <w:proofErr w:type="spellStart"/>
      <w:r w:rsidRPr="00650C77">
        <w:rPr>
          <w:rFonts w:ascii="Arial" w:hAnsi="Arial" w:cs="Arial"/>
          <w:color w:val="000000" w:themeColor="text1"/>
          <w:sz w:val="22"/>
          <w:szCs w:val="22"/>
        </w:rPr>
        <w:t>CBTp</w:t>
      </w:r>
      <w:proofErr w:type="spellEnd"/>
      <w:r w:rsidRPr="00650C77">
        <w:rPr>
          <w:rFonts w:ascii="Arial" w:hAnsi="Arial" w:cs="Arial"/>
          <w:color w:val="000000" w:themeColor="text1"/>
          <w:sz w:val="22"/>
          <w:szCs w:val="22"/>
        </w:rPr>
        <w:t>, family therapy, and timely EIP, effectiveness depends on equitable access. Limited access prevents pathways from achieving intended outcomes.</w:t>
      </w:r>
    </w:p>
    <w:p w14:paraId="5ED63010" w14:textId="77777777" w:rsidR="001A622A" w:rsidRPr="00650C77" w:rsidRDefault="001A622A" w:rsidP="001A622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Inequalities challenge the assumption of uniform NHS care, highlighting gaps between policy and practice. Examining variation shows why outcomes differ across groups despite standardised guidance. Overall, pathway effectiveness cannot be separated from equity, as unequal access weakens the impact of evidence-based interventions and reduces consistency in service delivery across the UK.</w:t>
      </w:r>
    </w:p>
    <w:p w14:paraId="22F017DA" w14:textId="20892322" w:rsidR="008366F7" w:rsidRPr="006F7DA7" w:rsidRDefault="00AA5C8F" w:rsidP="003D31AA">
      <w:pPr>
        <w:spacing w:before="100" w:beforeAutospacing="1" w:after="100" w:afterAutospacing="1" w:line="360" w:lineRule="auto"/>
        <w:jc w:val="both"/>
        <w:outlineLvl w:val="2"/>
        <w:rPr>
          <w:rFonts w:ascii="Arial" w:eastAsia="Times New Roman" w:hAnsi="Arial" w:cs="Arial"/>
          <w:b/>
          <w:bCs/>
          <w:color w:val="000000" w:themeColor="text1"/>
          <w:kern w:val="0"/>
          <w:sz w:val="24"/>
          <w:szCs w:val="24"/>
          <w:lang w:eastAsia="en-GB"/>
          <w14:ligatures w14:val="none"/>
        </w:rPr>
      </w:pPr>
      <w:r w:rsidRPr="006F7DA7">
        <w:rPr>
          <w:rFonts w:ascii="Arial" w:eastAsia="Times New Roman" w:hAnsi="Arial" w:cs="Arial"/>
          <w:b/>
          <w:bCs/>
          <w:color w:val="000000" w:themeColor="text1"/>
          <w:kern w:val="0"/>
          <w:sz w:val="24"/>
          <w:szCs w:val="24"/>
          <w:lang w:eastAsia="en-GB"/>
          <w14:ligatures w14:val="none"/>
        </w:rPr>
        <w:t xml:space="preserve">4.4.4 </w:t>
      </w:r>
      <w:r w:rsidR="008366F7" w:rsidRPr="006F7DA7">
        <w:rPr>
          <w:rFonts w:ascii="Arial" w:eastAsia="Times New Roman" w:hAnsi="Arial" w:cs="Arial"/>
          <w:b/>
          <w:bCs/>
          <w:color w:val="000000" w:themeColor="text1"/>
          <w:kern w:val="0"/>
          <w:sz w:val="24"/>
          <w:szCs w:val="24"/>
          <w:lang w:eastAsia="en-GB"/>
          <w14:ligatures w14:val="none"/>
        </w:rPr>
        <w:t>Statistical Overview of Access and Inequality</w:t>
      </w:r>
      <w:r w:rsidR="00C20D64" w:rsidRPr="006F7DA7">
        <w:rPr>
          <w:rFonts w:ascii="Arial" w:eastAsia="Times New Roman" w:hAnsi="Arial" w:cs="Arial"/>
          <w:b/>
          <w:bCs/>
          <w:color w:val="000000" w:themeColor="text1"/>
          <w:kern w:val="0"/>
          <w:sz w:val="24"/>
          <w:szCs w:val="24"/>
          <w:lang w:eastAsia="en-GB"/>
          <w14:ligatures w14:val="none"/>
        </w:rPr>
        <w:t>:</w:t>
      </w:r>
    </w:p>
    <w:p w14:paraId="2C570456" w14:textId="77777777" w:rsidR="00613E86" w:rsidRPr="00650C77" w:rsidRDefault="00613E86" w:rsidP="00613E86">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National data show persistent inequalities in schizophrenia care. Black African and Caribbean individuals are three to four times more likely to be detained under the Mental Health Act than White British groups (</w:t>
      </w:r>
      <w:proofErr w:type="spellStart"/>
      <w:r w:rsidRPr="00650C77">
        <w:rPr>
          <w:rFonts w:ascii="Arial" w:hAnsi="Arial" w:cs="Arial"/>
          <w:color w:val="000000" w:themeColor="text1"/>
          <w:sz w:val="22"/>
          <w:szCs w:val="22"/>
        </w:rPr>
        <w:t>Nazroo</w:t>
      </w:r>
      <w:proofErr w:type="spellEnd"/>
      <w:r w:rsidRPr="00650C77">
        <w:rPr>
          <w:rFonts w:ascii="Arial" w:hAnsi="Arial" w:cs="Arial"/>
          <w:color w:val="000000" w:themeColor="text1"/>
          <w:sz w:val="22"/>
          <w:szCs w:val="22"/>
        </w:rPr>
        <w:t xml:space="preserve"> et al., 2019; Care Quality Commission, 2024) and more often enter care through crisis routes (CQC, 2023).</w:t>
      </w:r>
    </w:p>
    <w:p w14:paraId="06EC524C" w14:textId="759A88A2" w:rsidR="00002AD0" w:rsidRDefault="00613E86" w:rsidP="00613E86">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Geographical variation is also significant. Access to EIP, therapies, and specialist staff differs across regions, with rural and coastal areas most affected (Royal College of Psychiatrists, 2023). Only around 25% receive </w:t>
      </w:r>
      <w:proofErr w:type="spellStart"/>
      <w:r w:rsidRPr="00650C77">
        <w:rPr>
          <w:rFonts w:ascii="Arial" w:hAnsi="Arial" w:cs="Arial"/>
          <w:color w:val="000000" w:themeColor="text1"/>
          <w:sz w:val="22"/>
          <w:szCs w:val="22"/>
        </w:rPr>
        <w:t>CBTp</w:t>
      </w:r>
      <w:proofErr w:type="spellEnd"/>
      <w:r w:rsidRPr="00650C77">
        <w:rPr>
          <w:rFonts w:ascii="Arial" w:hAnsi="Arial" w:cs="Arial"/>
          <w:color w:val="000000" w:themeColor="text1"/>
          <w:sz w:val="22"/>
          <w:szCs w:val="22"/>
        </w:rPr>
        <w:t>, with lowest access in deprived areas (Care Quality Commission, 2023). Deprivation is also linked to higher relapse rates (</w:t>
      </w:r>
      <w:proofErr w:type="spellStart"/>
      <w:r w:rsidRPr="00650C77">
        <w:rPr>
          <w:rFonts w:ascii="Arial" w:hAnsi="Arial" w:cs="Arial"/>
          <w:color w:val="000000" w:themeColor="text1"/>
          <w:sz w:val="22"/>
          <w:szCs w:val="22"/>
        </w:rPr>
        <w:t>Awanawa</w:t>
      </w:r>
      <w:proofErr w:type="spellEnd"/>
      <w:r w:rsidRPr="00650C77">
        <w:rPr>
          <w:rFonts w:ascii="Arial" w:hAnsi="Arial" w:cs="Arial"/>
          <w:color w:val="000000" w:themeColor="text1"/>
          <w:sz w:val="22"/>
          <w:szCs w:val="22"/>
        </w:rPr>
        <w:t xml:space="preserve"> and </w:t>
      </w:r>
      <w:proofErr w:type="spellStart"/>
      <w:r w:rsidRPr="00650C77">
        <w:rPr>
          <w:rFonts w:ascii="Arial" w:hAnsi="Arial" w:cs="Arial"/>
          <w:color w:val="000000" w:themeColor="text1"/>
          <w:sz w:val="22"/>
          <w:szCs w:val="22"/>
        </w:rPr>
        <w:t>Amabebe</w:t>
      </w:r>
      <w:proofErr w:type="spellEnd"/>
      <w:r w:rsidRPr="00650C77">
        <w:rPr>
          <w:rFonts w:ascii="Arial" w:hAnsi="Arial" w:cs="Arial"/>
          <w:color w:val="000000" w:themeColor="text1"/>
          <w:sz w:val="22"/>
          <w:szCs w:val="22"/>
        </w:rPr>
        <w:t>, 2024).</w:t>
      </w:r>
      <w:r w:rsidR="00002AD0" w:rsidRPr="00650C77">
        <w:rPr>
          <w:rFonts w:ascii="Arial" w:hAnsi="Arial" w:cs="Arial"/>
          <w:color w:val="000000" w:themeColor="text1"/>
          <w:sz w:val="22"/>
          <w:szCs w:val="22"/>
        </w:rPr>
        <w:t xml:space="preserve"> </w:t>
      </w:r>
      <w:r w:rsidRPr="00650C77">
        <w:rPr>
          <w:rFonts w:ascii="Arial" w:hAnsi="Arial" w:cs="Arial"/>
          <w:color w:val="000000" w:themeColor="text1"/>
          <w:sz w:val="22"/>
          <w:szCs w:val="22"/>
        </w:rPr>
        <w:t>Overall, inequality affects multiple stages of care, with studies highlighting both structural causes and service-level impacts (</w:t>
      </w:r>
      <w:proofErr w:type="spellStart"/>
      <w:r w:rsidRPr="00650C77">
        <w:rPr>
          <w:rFonts w:ascii="Arial" w:hAnsi="Arial" w:cs="Arial"/>
          <w:color w:val="000000" w:themeColor="text1"/>
          <w:sz w:val="22"/>
          <w:szCs w:val="22"/>
        </w:rPr>
        <w:t>Nazroo</w:t>
      </w:r>
      <w:proofErr w:type="spellEnd"/>
      <w:r w:rsidRPr="00650C77">
        <w:rPr>
          <w:rFonts w:ascii="Arial" w:hAnsi="Arial" w:cs="Arial"/>
          <w:color w:val="000000" w:themeColor="text1"/>
          <w:sz w:val="22"/>
          <w:szCs w:val="22"/>
        </w:rPr>
        <w:t xml:space="preserve"> et al., 2019; Care Quality Commission, 2023).</w:t>
      </w:r>
    </w:p>
    <w:p w14:paraId="3D855133" w14:textId="77777777" w:rsidR="006F7DA7" w:rsidRDefault="006F7DA7" w:rsidP="00613E86">
      <w:pPr>
        <w:pStyle w:val="NormalWeb"/>
        <w:spacing w:line="360" w:lineRule="auto"/>
        <w:jc w:val="both"/>
        <w:rPr>
          <w:rFonts w:ascii="Arial" w:hAnsi="Arial" w:cs="Arial"/>
          <w:color w:val="000000" w:themeColor="text1"/>
          <w:sz w:val="22"/>
          <w:szCs w:val="22"/>
        </w:rPr>
      </w:pPr>
    </w:p>
    <w:p w14:paraId="230865DC" w14:textId="77777777" w:rsidR="006F7DA7" w:rsidRDefault="006F7DA7" w:rsidP="00613E86">
      <w:pPr>
        <w:pStyle w:val="NormalWeb"/>
        <w:spacing w:line="360" w:lineRule="auto"/>
        <w:jc w:val="both"/>
        <w:rPr>
          <w:rFonts w:ascii="Arial" w:hAnsi="Arial" w:cs="Arial"/>
          <w:color w:val="000000" w:themeColor="text1"/>
          <w:sz w:val="22"/>
          <w:szCs w:val="22"/>
        </w:rPr>
      </w:pPr>
    </w:p>
    <w:p w14:paraId="55AA13C5" w14:textId="77777777" w:rsidR="006F7DA7" w:rsidRDefault="006F7DA7" w:rsidP="00613E86">
      <w:pPr>
        <w:pStyle w:val="NormalWeb"/>
        <w:spacing w:line="360" w:lineRule="auto"/>
        <w:jc w:val="both"/>
        <w:rPr>
          <w:rFonts w:ascii="Arial" w:hAnsi="Arial" w:cs="Arial"/>
          <w:color w:val="000000" w:themeColor="text1"/>
          <w:sz w:val="22"/>
          <w:szCs w:val="22"/>
        </w:rPr>
      </w:pPr>
    </w:p>
    <w:p w14:paraId="46FC297B" w14:textId="77777777" w:rsidR="006F7DA7" w:rsidRPr="00650C77" w:rsidRDefault="006F7DA7" w:rsidP="00613E86">
      <w:pPr>
        <w:pStyle w:val="NormalWeb"/>
        <w:spacing w:line="360" w:lineRule="auto"/>
        <w:jc w:val="both"/>
        <w:rPr>
          <w:rFonts w:ascii="Arial" w:hAnsi="Arial" w:cs="Arial"/>
          <w:color w:val="000000" w:themeColor="text1"/>
          <w:sz w:val="22"/>
          <w:szCs w:val="22"/>
        </w:rPr>
      </w:pPr>
    </w:p>
    <w:p w14:paraId="1214079A" w14:textId="6192F0A6" w:rsidR="0014243C" w:rsidRPr="00650C77" w:rsidRDefault="0014243C" w:rsidP="0014243C">
      <w:pPr>
        <w:pStyle w:val="Heading2"/>
        <w:shd w:val="clear" w:color="auto" w:fill="FFFFFF" w:themeFill="background1"/>
        <w:rPr>
          <w:rFonts w:ascii="Arial" w:hAnsi="Arial" w:cs="Arial"/>
          <w:b/>
          <w:bCs/>
          <w:color w:val="000000" w:themeColor="text1"/>
          <w:sz w:val="20"/>
          <w:szCs w:val="20"/>
        </w:rPr>
      </w:pPr>
      <w:r w:rsidRPr="00650C77">
        <w:rPr>
          <w:rFonts w:ascii="Arial" w:hAnsi="Arial" w:cs="Arial"/>
          <w:b/>
          <w:bCs/>
          <w:color w:val="000000" w:themeColor="text1"/>
          <w:sz w:val="20"/>
          <w:szCs w:val="20"/>
        </w:rPr>
        <w:lastRenderedPageBreak/>
        <w:t>Table</w:t>
      </w:r>
      <w:r w:rsidR="00613E86" w:rsidRPr="00650C77">
        <w:rPr>
          <w:rFonts w:ascii="Arial" w:hAnsi="Arial" w:cs="Arial"/>
          <w:b/>
          <w:bCs/>
          <w:color w:val="000000" w:themeColor="text1"/>
          <w:sz w:val="20"/>
          <w:szCs w:val="20"/>
        </w:rPr>
        <w:t xml:space="preserve"> 4.4.4.1</w:t>
      </w:r>
      <w:r w:rsidRPr="00650C77">
        <w:rPr>
          <w:rFonts w:ascii="Arial" w:hAnsi="Arial" w:cs="Arial"/>
          <w:b/>
          <w:bCs/>
          <w:color w:val="000000" w:themeColor="text1"/>
          <w:sz w:val="20"/>
          <w:szCs w:val="20"/>
        </w:rPr>
        <w:t xml:space="preserve"> Key Indicators of Inequality in Schizophrenia Care (UK)</w:t>
      </w:r>
    </w:p>
    <w:tbl>
      <w:tblPr>
        <w:tblStyle w:val="TableGrid"/>
        <w:tblW w:w="9180" w:type="dxa"/>
        <w:tblInd w:w="-113" w:type="dxa"/>
        <w:shd w:val="clear" w:color="auto" w:fill="FFFFFF" w:themeFill="background1"/>
        <w:tblLook w:val="04A0" w:firstRow="1" w:lastRow="0" w:firstColumn="1" w:lastColumn="0" w:noHBand="0" w:noVBand="1"/>
      </w:tblPr>
      <w:tblGrid>
        <w:gridCol w:w="2880"/>
        <w:gridCol w:w="2880"/>
        <w:gridCol w:w="3420"/>
      </w:tblGrid>
      <w:tr w:rsidR="00650C77" w:rsidRPr="00650C77" w14:paraId="60D2A603" w14:textId="77777777" w:rsidTr="00650C77">
        <w:tc>
          <w:tcPr>
            <w:tcW w:w="2880" w:type="dxa"/>
            <w:shd w:val="clear" w:color="auto" w:fill="B4C6E7" w:themeFill="accent1" w:themeFillTint="66"/>
          </w:tcPr>
          <w:p w14:paraId="25746382"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Indicator</w:t>
            </w:r>
          </w:p>
        </w:tc>
        <w:tc>
          <w:tcPr>
            <w:tcW w:w="2880" w:type="dxa"/>
            <w:shd w:val="clear" w:color="auto" w:fill="B4C6E7" w:themeFill="accent1" w:themeFillTint="66"/>
          </w:tcPr>
          <w:p w14:paraId="7D1A2D6B"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UK Findings</w:t>
            </w:r>
          </w:p>
        </w:tc>
        <w:tc>
          <w:tcPr>
            <w:tcW w:w="3420" w:type="dxa"/>
            <w:shd w:val="clear" w:color="auto" w:fill="B4C6E7" w:themeFill="accent1" w:themeFillTint="66"/>
          </w:tcPr>
          <w:p w14:paraId="704D4EBD"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Source</w:t>
            </w:r>
          </w:p>
        </w:tc>
      </w:tr>
      <w:tr w:rsidR="00650C77" w:rsidRPr="00650C77" w14:paraId="37CD6E4E" w14:textId="77777777" w:rsidTr="00650C77">
        <w:tc>
          <w:tcPr>
            <w:tcW w:w="2880" w:type="dxa"/>
            <w:shd w:val="clear" w:color="auto" w:fill="B4C6E7" w:themeFill="accent1" w:themeFillTint="66"/>
          </w:tcPr>
          <w:p w14:paraId="0C37BCF3"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Compulsory detention rates (Black service users)</w:t>
            </w:r>
          </w:p>
        </w:tc>
        <w:tc>
          <w:tcPr>
            <w:tcW w:w="2880" w:type="dxa"/>
            <w:shd w:val="clear" w:color="auto" w:fill="B4C6E7" w:themeFill="accent1" w:themeFillTint="66"/>
          </w:tcPr>
          <w:p w14:paraId="5158736B"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 xml:space="preserve">3–4 </w:t>
            </w:r>
            <w:r w:rsidRPr="006F7DA7">
              <w:rPr>
                <w:rFonts w:ascii="Arial" w:hAnsi="Arial" w:cs="Arial"/>
                <w:color w:val="000000" w:themeColor="text1"/>
                <w:sz w:val="20"/>
                <w:szCs w:val="20"/>
              </w:rPr>
              <w:t>times</w:t>
            </w:r>
            <w:r w:rsidRPr="00650C77">
              <w:rPr>
                <w:rFonts w:ascii="Arial" w:hAnsi="Arial" w:cs="Arial"/>
                <w:color w:val="000000" w:themeColor="text1"/>
                <w:sz w:val="20"/>
                <w:szCs w:val="20"/>
              </w:rPr>
              <w:t xml:space="preserve"> higher than White groups</w:t>
            </w:r>
          </w:p>
        </w:tc>
        <w:tc>
          <w:tcPr>
            <w:tcW w:w="3420" w:type="dxa"/>
            <w:shd w:val="clear" w:color="auto" w:fill="B4C6E7" w:themeFill="accent1" w:themeFillTint="66"/>
          </w:tcPr>
          <w:p w14:paraId="4950B21A" w14:textId="77777777" w:rsidR="0014243C" w:rsidRPr="00650C77" w:rsidRDefault="0014243C" w:rsidP="0014243C">
            <w:pPr>
              <w:shd w:val="clear" w:color="auto" w:fill="FFFFFF" w:themeFill="background1"/>
              <w:rPr>
                <w:rFonts w:ascii="Arial" w:hAnsi="Arial" w:cs="Arial"/>
                <w:color w:val="000000" w:themeColor="text1"/>
                <w:sz w:val="20"/>
                <w:szCs w:val="20"/>
              </w:rPr>
            </w:pPr>
            <w:proofErr w:type="spellStart"/>
            <w:r w:rsidRPr="00650C77">
              <w:rPr>
                <w:rFonts w:ascii="Arial" w:hAnsi="Arial" w:cs="Arial"/>
                <w:color w:val="000000" w:themeColor="text1"/>
                <w:sz w:val="20"/>
                <w:szCs w:val="20"/>
              </w:rPr>
              <w:t>Nazroo</w:t>
            </w:r>
            <w:proofErr w:type="spellEnd"/>
            <w:r w:rsidRPr="00650C77">
              <w:rPr>
                <w:rFonts w:ascii="Arial" w:hAnsi="Arial" w:cs="Arial"/>
                <w:color w:val="000000" w:themeColor="text1"/>
                <w:sz w:val="20"/>
                <w:szCs w:val="20"/>
              </w:rPr>
              <w:t xml:space="preserve"> et al., 2019; CQC, 2024</w:t>
            </w:r>
          </w:p>
        </w:tc>
      </w:tr>
      <w:tr w:rsidR="00650C77" w:rsidRPr="00650C77" w14:paraId="361C0005" w14:textId="77777777" w:rsidTr="00650C77">
        <w:tc>
          <w:tcPr>
            <w:tcW w:w="2880" w:type="dxa"/>
            <w:shd w:val="clear" w:color="auto" w:fill="B4C6E7" w:themeFill="accent1" w:themeFillTint="66"/>
          </w:tcPr>
          <w:p w14:paraId="5F0D7E86"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Entry via crisis pathways</w:t>
            </w:r>
          </w:p>
        </w:tc>
        <w:tc>
          <w:tcPr>
            <w:tcW w:w="2880" w:type="dxa"/>
            <w:shd w:val="clear" w:color="auto" w:fill="B4C6E7" w:themeFill="accent1" w:themeFillTint="66"/>
          </w:tcPr>
          <w:p w14:paraId="23BBD2DE"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Disproportionately affects minority ethnic groups</w:t>
            </w:r>
          </w:p>
        </w:tc>
        <w:tc>
          <w:tcPr>
            <w:tcW w:w="3420" w:type="dxa"/>
            <w:shd w:val="clear" w:color="auto" w:fill="B4C6E7" w:themeFill="accent1" w:themeFillTint="66"/>
          </w:tcPr>
          <w:p w14:paraId="77954F9C"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CQC, 2023</w:t>
            </w:r>
          </w:p>
        </w:tc>
      </w:tr>
      <w:tr w:rsidR="00650C77" w:rsidRPr="00650C77" w14:paraId="2F5F17F0" w14:textId="77777777" w:rsidTr="00650C77">
        <w:tc>
          <w:tcPr>
            <w:tcW w:w="2880" w:type="dxa"/>
            <w:shd w:val="clear" w:color="auto" w:fill="B4C6E7" w:themeFill="accent1" w:themeFillTint="66"/>
          </w:tcPr>
          <w:p w14:paraId="6B398C77"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 xml:space="preserve">Access to </w:t>
            </w:r>
            <w:proofErr w:type="spellStart"/>
            <w:r w:rsidRPr="00650C77">
              <w:rPr>
                <w:rFonts w:ascii="Arial" w:hAnsi="Arial" w:cs="Arial"/>
                <w:color w:val="000000" w:themeColor="text1"/>
                <w:sz w:val="20"/>
                <w:szCs w:val="20"/>
              </w:rPr>
              <w:t>CBTp</w:t>
            </w:r>
            <w:proofErr w:type="spellEnd"/>
            <w:r w:rsidRPr="00650C77">
              <w:rPr>
                <w:rFonts w:ascii="Arial" w:hAnsi="Arial" w:cs="Arial"/>
                <w:color w:val="000000" w:themeColor="text1"/>
                <w:sz w:val="20"/>
                <w:szCs w:val="20"/>
              </w:rPr>
              <w:t xml:space="preserve"> (most deprived areas)</w:t>
            </w:r>
          </w:p>
        </w:tc>
        <w:tc>
          <w:tcPr>
            <w:tcW w:w="2880" w:type="dxa"/>
            <w:shd w:val="clear" w:color="auto" w:fill="B4C6E7" w:themeFill="accent1" w:themeFillTint="66"/>
          </w:tcPr>
          <w:p w14:paraId="19CEAA78"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Below national average (≤25%)</w:t>
            </w:r>
          </w:p>
        </w:tc>
        <w:tc>
          <w:tcPr>
            <w:tcW w:w="3420" w:type="dxa"/>
            <w:shd w:val="clear" w:color="auto" w:fill="B4C6E7" w:themeFill="accent1" w:themeFillTint="66"/>
          </w:tcPr>
          <w:p w14:paraId="286E6D2D"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Haddock et al., 2020</w:t>
            </w:r>
          </w:p>
        </w:tc>
      </w:tr>
      <w:tr w:rsidR="00650C77" w:rsidRPr="00650C77" w14:paraId="1E1A4389" w14:textId="77777777" w:rsidTr="00650C77">
        <w:tc>
          <w:tcPr>
            <w:tcW w:w="2880" w:type="dxa"/>
            <w:shd w:val="clear" w:color="auto" w:fill="B4C6E7" w:themeFill="accent1" w:themeFillTint="66"/>
          </w:tcPr>
          <w:p w14:paraId="6E261BB1"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EIP coverage (rural regions)</w:t>
            </w:r>
          </w:p>
        </w:tc>
        <w:tc>
          <w:tcPr>
            <w:tcW w:w="2880" w:type="dxa"/>
            <w:shd w:val="clear" w:color="auto" w:fill="B4C6E7" w:themeFill="accent1" w:themeFillTint="66"/>
          </w:tcPr>
          <w:p w14:paraId="47013668"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Inconsistent; workforce gaps common</w:t>
            </w:r>
          </w:p>
        </w:tc>
        <w:tc>
          <w:tcPr>
            <w:tcW w:w="3420" w:type="dxa"/>
            <w:shd w:val="clear" w:color="auto" w:fill="B4C6E7" w:themeFill="accent1" w:themeFillTint="66"/>
          </w:tcPr>
          <w:p w14:paraId="14911D35" w14:textId="77777777" w:rsidR="0014243C" w:rsidRPr="00650C77" w:rsidRDefault="0014243C" w:rsidP="0014243C">
            <w:pPr>
              <w:shd w:val="clear" w:color="auto" w:fill="FFFFFF" w:themeFill="background1"/>
              <w:rPr>
                <w:rFonts w:ascii="Arial" w:hAnsi="Arial" w:cs="Arial"/>
                <w:color w:val="000000" w:themeColor="text1"/>
                <w:sz w:val="20"/>
                <w:szCs w:val="20"/>
              </w:rPr>
            </w:pPr>
            <w:proofErr w:type="spellStart"/>
            <w:r w:rsidRPr="00650C77">
              <w:rPr>
                <w:rFonts w:ascii="Arial" w:hAnsi="Arial" w:cs="Arial"/>
                <w:color w:val="000000" w:themeColor="text1"/>
                <w:sz w:val="20"/>
                <w:szCs w:val="20"/>
              </w:rPr>
              <w:t>RCPsych</w:t>
            </w:r>
            <w:proofErr w:type="spellEnd"/>
            <w:r w:rsidRPr="00650C77">
              <w:rPr>
                <w:rFonts w:ascii="Arial" w:hAnsi="Arial" w:cs="Arial"/>
                <w:color w:val="000000" w:themeColor="text1"/>
                <w:sz w:val="20"/>
                <w:szCs w:val="20"/>
              </w:rPr>
              <w:t>, 2023</w:t>
            </w:r>
          </w:p>
        </w:tc>
      </w:tr>
      <w:tr w:rsidR="00650C77" w:rsidRPr="00650C77" w14:paraId="61CEB1D1" w14:textId="77777777" w:rsidTr="00650C77">
        <w:tc>
          <w:tcPr>
            <w:tcW w:w="2880" w:type="dxa"/>
            <w:shd w:val="clear" w:color="auto" w:fill="B4C6E7" w:themeFill="accent1" w:themeFillTint="66"/>
          </w:tcPr>
          <w:p w14:paraId="709DAAF8" w14:textId="77777777" w:rsidR="0014243C" w:rsidRPr="00650C77" w:rsidRDefault="0014243C" w:rsidP="0014243C">
            <w:pPr>
              <w:shd w:val="clear" w:color="auto" w:fill="FFFFFF" w:themeFill="background1"/>
              <w:rPr>
                <w:rFonts w:ascii="Arial" w:hAnsi="Arial" w:cs="Arial"/>
                <w:color w:val="000000" w:themeColor="text1"/>
                <w:sz w:val="20"/>
                <w:szCs w:val="20"/>
              </w:rPr>
            </w:pPr>
            <w:proofErr w:type="spellStart"/>
            <w:r w:rsidRPr="00650C77">
              <w:rPr>
                <w:rFonts w:ascii="Arial" w:hAnsi="Arial" w:cs="Arial"/>
                <w:color w:val="000000" w:themeColor="text1"/>
                <w:sz w:val="20"/>
                <w:szCs w:val="20"/>
              </w:rPr>
              <w:t>Hospitalisation</w:t>
            </w:r>
            <w:proofErr w:type="spellEnd"/>
            <w:r w:rsidRPr="00650C77">
              <w:rPr>
                <w:rFonts w:ascii="Arial" w:hAnsi="Arial" w:cs="Arial"/>
                <w:color w:val="000000" w:themeColor="text1"/>
                <w:sz w:val="20"/>
                <w:szCs w:val="20"/>
              </w:rPr>
              <w:t xml:space="preserve"> rates in deprived areas</w:t>
            </w:r>
          </w:p>
        </w:tc>
        <w:tc>
          <w:tcPr>
            <w:tcW w:w="2880" w:type="dxa"/>
            <w:shd w:val="clear" w:color="auto" w:fill="B4C6E7" w:themeFill="accent1" w:themeFillTint="66"/>
          </w:tcPr>
          <w:p w14:paraId="6BB4E1E1" w14:textId="77777777" w:rsidR="0014243C" w:rsidRPr="00650C77" w:rsidRDefault="0014243C" w:rsidP="0014243C">
            <w:pPr>
              <w:shd w:val="clear" w:color="auto" w:fill="FFFFFF" w:themeFill="background1"/>
              <w:rPr>
                <w:rFonts w:ascii="Arial" w:hAnsi="Arial" w:cs="Arial"/>
                <w:color w:val="000000" w:themeColor="text1"/>
                <w:sz w:val="20"/>
                <w:szCs w:val="20"/>
              </w:rPr>
            </w:pPr>
            <w:r w:rsidRPr="00650C77">
              <w:rPr>
                <w:rFonts w:ascii="Arial" w:hAnsi="Arial" w:cs="Arial"/>
                <w:color w:val="000000" w:themeColor="text1"/>
                <w:sz w:val="20"/>
                <w:szCs w:val="20"/>
              </w:rPr>
              <w:t>Significantly higher</w:t>
            </w:r>
          </w:p>
        </w:tc>
        <w:tc>
          <w:tcPr>
            <w:tcW w:w="3420" w:type="dxa"/>
            <w:shd w:val="clear" w:color="auto" w:fill="B4C6E7" w:themeFill="accent1" w:themeFillTint="66"/>
          </w:tcPr>
          <w:p w14:paraId="154A6343" w14:textId="77777777" w:rsidR="0014243C" w:rsidRPr="00650C77" w:rsidRDefault="0014243C" w:rsidP="0014243C">
            <w:pPr>
              <w:shd w:val="clear" w:color="auto" w:fill="FFFFFF" w:themeFill="background1"/>
              <w:rPr>
                <w:rFonts w:ascii="Arial" w:hAnsi="Arial" w:cs="Arial"/>
                <w:color w:val="000000" w:themeColor="text1"/>
                <w:sz w:val="20"/>
                <w:szCs w:val="20"/>
              </w:rPr>
            </w:pPr>
            <w:proofErr w:type="spellStart"/>
            <w:r w:rsidRPr="00650C77">
              <w:rPr>
                <w:rFonts w:ascii="Arial" w:hAnsi="Arial" w:cs="Arial"/>
                <w:color w:val="000000" w:themeColor="text1"/>
                <w:sz w:val="20"/>
                <w:szCs w:val="20"/>
              </w:rPr>
              <w:t>Awanawa</w:t>
            </w:r>
            <w:proofErr w:type="spellEnd"/>
            <w:r w:rsidRPr="00650C77">
              <w:rPr>
                <w:rFonts w:ascii="Arial" w:hAnsi="Arial" w:cs="Arial"/>
                <w:color w:val="000000" w:themeColor="text1"/>
                <w:sz w:val="20"/>
                <w:szCs w:val="20"/>
              </w:rPr>
              <w:t xml:space="preserve"> &amp; </w:t>
            </w:r>
            <w:proofErr w:type="spellStart"/>
            <w:r w:rsidRPr="00650C77">
              <w:rPr>
                <w:rFonts w:ascii="Arial" w:hAnsi="Arial" w:cs="Arial"/>
                <w:color w:val="000000" w:themeColor="text1"/>
                <w:sz w:val="20"/>
                <w:szCs w:val="20"/>
              </w:rPr>
              <w:t>Amabebe</w:t>
            </w:r>
            <w:proofErr w:type="spellEnd"/>
            <w:r w:rsidRPr="00650C77">
              <w:rPr>
                <w:rFonts w:ascii="Arial" w:hAnsi="Arial" w:cs="Arial"/>
                <w:color w:val="000000" w:themeColor="text1"/>
                <w:sz w:val="20"/>
                <w:szCs w:val="20"/>
              </w:rPr>
              <w:t>, 2024</w:t>
            </w:r>
          </w:p>
        </w:tc>
      </w:tr>
    </w:tbl>
    <w:p w14:paraId="4B1E6FDF" w14:textId="77777777" w:rsidR="00613E86" w:rsidRPr="00650C77" w:rsidRDefault="00613E86" w:rsidP="003D2D03">
      <w:pPr>
        <w:spacing w:after="0" w:line="360" w:lineRule="auto"/>
        <w:jc w:val="both"/>
        <w:rPr>
          <w:rFonts w:ascii="Arial" w:hAnsi="Arial" w:cs="Arial"/>
          <w:color w:val="000000" w:themeColor="text1"/>
        </w:rPr>
      </w:pPr>
    </w:p>
    <w:p w14:paraId="21B5933B" w14:textId="7B1CAEB1" w:rsidR="00192BA3" w:rsidRPr="00650C77" w:rsidRDefault="00192BA3" w:rsidP="003D2D03">
      <w:pPr>
        <w:spacing w:after="0" w:line="360" w:lineRule="auto"/>
        <w:jc w:val="both"/>
        <w:rPr>
          <w:rFonts w:ascii="Arial" w:hAnsi="Arial" w:cs="Arial"/>
          <w:color w:val="000000" w:themeColor="text1"/>
        </w:rPr>
      </w:pPr>
      <w:r w:rsidRPr="00650C77">
        <w:rPr>
          <w:rFonts w:ascii="Arial" w:hAnsi="Arial" w:cs="Arial"/>
          <w:color w:val="000000" w:themeColor="text1"/>
        </w:rPr>
        <w:t xml:space="preserve">The figures presented in Table </w:t>
      </w:r>
      <w:r w:rsidR="00355E71" w:rsidRPr="00650C77">
        <w:rPr>
          <w:rFonts w:ascii="Arial" w:hAnsi="Arial" w:cs="Arial"/>
          <w:color w:val="000000" w:themeColor="text1"/>
        </w:rPr>
        <w:t>4.4.4.1</w:t>
      </w:r>
      <w:r w:rsidRPr="00650C77">
        <w:rPr>
          <w:rFonts w:ascii="Arial" w:hAnsi="Arial" w:cs="Arial"/>
          <w:color w:val="000000" w:themeColor="text1"/>
        </w:rPr>
        <w:t xml:space="preserve"> are especially important because they show that disparities are cumulative. Higher detention rates, lower </w:t>
      </w:r>
      <w:proofErr w:type="spellStart"/>
      <w:r w:rsidRPr="00650C77">
        <w:rPr>
          <w:rFonts w:ascii="Arial" w:hAnsi="Arial" w:cs="Arial"/>
          <w:color w:val="000000" w:themeColor="text1"/>
        </w:rPr>
        <w:t>CBTp</w:t>
      </w:r>
      <w:proofErr w:type="spellEnd"/>
      <w:r w:rsidRPr="00650C77">
        <w:rPr>
          <w:rFonts w:ascii="Arial" w:hAnsi="Arial" w:cs="Arial"/>
          <w:color w:val="000000" w:themeColor="text1"/>
        </w:rPr>
        <w:t xml:space="preserve"> access, and workforce shortages across deprived and rural areas suggest that some groups face repeated barriers from entry into care through to longer-term support. This means the table should not be read as a list of separate problems. Instead, it shows a pattern of disadvantage across the full pathway. In real-world service delivery, this makes schizophrenia care less equitable and less effective for the populations most in need of early and continuous support.</w:t>
      </w:r>
    </w:p>
    <w:p w14:paraId="59DADAAF" w14:textId="77777777" w:rsidR="00192BA3" w:rsidRPr="00650C77" w:rsidRDefault="00192BA3" w:rsidP="003D2D03">
      <w:pPr>
        <w:spacing w:after="0" w:line="360" w:lineRule="auto"/>
        <w:jc w:val="both"/>
        <w:rPr>
          <w:color w:val="000000" w:themeColor="text1"/>
        </w:rPr>
      </w:pPr>
    </w:p>
    <w:p w14:paraId="1F122760" w14:textId="4DDE07B7" w:rsidR="008366F7" w:rsidRPr="00650C77" w:rsidRDefault="00D609ED" w:rsidP="003D2D03">
      <w:pPr>
        <w:spacing w:after="0" w:line="360" w:lineRule="auto"/>
        <w:jc w:val="both"/>
        <w:rPr>
          <w:rFonts w:ascii="Arial" w:eastAsia="Times New Roman" w:hAnsi="Arial" w:cs="Arial"/>
          <w:b/>
          <w:bCs/>
          <w:color w:val="000000" w:themeColor="text1"/>
          <w:kern w:val="0"/>
          <w:sz w:val="24"/>
          <w:szCs w:val="24"/>
          <w:lang w:eastAsia="en-GB"/>
          <w14:ligatures w14:val="none"/>
        </w:rPr>
      </w:pPr>
      <w:r w:rsidRPr="00650C77">
        <w:rPr>
          <w:rFonts w:ascii="Arial" w:hAnsi="Arial" w:cs="Arial"/>
          <w:b/>
          <w:bCs/>
          <w:color w:val="000000" w:themeColor="text1"/>
          <w:sz w:val="24"/>
          <w:szCs w:val="24"/>
        </w:rPr>
        <w:t>4.4.5 Theories, Policies, and Legislation</w:t>
      </w:r>
      <w:r w:rsidR="003D2D03" w:rsidRPr="00650C77">
        <w:rPr>
          <w:rFonts w:ascii="Arial" w:hAnsi="Arial" w:cs="Arial"/>
          <w:b/>
          <w:bCs/>
          <w:color w:val="000000" w:themeColor="text1"/>
          <w:sz w:val="24"/>
          <w:szCs w:val="24"/>
        </w:rPr>
        <w:t>:</w:t>
      </w:r>
    </w:p>
    <w:p w14:paraId="23245518" w14:textId="77777777" w:rsidR="00C011A5" w:rsidRPr="00650C77" w:rsidRDefault="00C011A5" w:rsidP="00C011A5">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The </w:t>
      </w:r>
      <w:r w:rsidRPr="00650C77">
        <w:rPr>
          <w:rStyle w:val="Strong"/>
          <w:rFonts w:ascii="Arial" w:eastAsiaTheme="majorEastAsia" w:hAnsi="Arial" w:cs="Arial"/>
          <w:color w:val="000000" w:themeColor="text1"/>
          <w:sz w:val="22"/>
          <w:szCs w:val="22"/>
        </w:rPr>
        <w:t>Social Determinants of Health</w:t>
      </w:r>
      <w:r w:rsidRPr="00650C77">
        <w:rPr>
          <w:rFonts w:ascii="Arial" w:hAnsi="Arial" w:cs="Arial"/>
          <w:color w:val="000000" w:themeColor="text1"/>
          <w:sz w:val="22"/>
          <w:szCs w:val="22"/>
        </w:rPr>
        <w:t xml:space="preserve"> framework explains how poverty, housing, education, and discrimination shape schizophrenia outcomes and access, showing inequalities are social as well as clinical (</w:t>
      </w:r>
      <w:proofErr w:type="spellStart"/>
      <w:r w:rsidRPr="00650C77">
        <w:rPr>
          <w:rFonts w:ascii="Arial" w:hAnsi="Arial" w:cs="Arial"/>
          <w:color w:val="000000" w:themeColor="text1"/>
          <w:sz w:val="22"/>
          <w:szCs w:val="22"/>
        </w:rPr>
        <w:t>Nazroo</w:t>
      </w:r>
      <w:proofErr w:type="spellEnd"/>
      <w:r w:rsidRPr="00650C77">
        <w:rPr>
          <w:rFonts w:ascii="Arial" w:hAnsi="Arial" w:cs="Arial"/>
          <w:color w:val="000000" w:themeColor="text1"/>
          <w:sz w:val="22"/>
          <w:szCs w:val="22"/>
        </w:rPr>
        <w:t xml:space="preserve"> et al., 2019; </w:t>
      </w:r>
      <w:proofErr w:type="spellStart"/>
      <w:r w:rsidRPr="00650C77">
        <w:rPr>
          <w:rFonts w:ascii="Arial" w:hAnsi="Arial" w:cs="Arial"/>
          <w:color w:val="000000" w:themeColor="text1"/>
          <w:sz w:val="22"/>
          <w:szCs w:val="22"/>
        </w:rPr>
        <w:t>Awanawa</w:t>
      </w:r>
      <w:proofErr w:type="spellEnd"/>
      <w:r w:rsidRPr="00650C77">
        <w:rPr>
          <w:rFonts w:ascii="Arial" w:hAnsi="Arial" w:cs="Arial"/>
          <w:color w:val="000000" w:themeColor="text1"/>
          <w:sz w:val="22"/>
          <w:szCs w:val="22"/>
        </w:rPr>
        <w:t xml:space="preserve"> and </w:t>
      </w:r>
      <w:proofErr w:type="spellStart"/>
      <w:r w:rsidRPr="00650C77">
        <w:rPr>
          <w:rFonts w:ascii="Arial" w:hAnsi="Arial" w:cs="Arial"/>
          <w:color w:val="000000" w:themeColor="text1"/>
          <w:sz w:val="22"/>
          <w:szCs w:val="22"/>
        </w:rPr>
        <w:t>Amabebe</w:t>
      </w:r>
      <w:proofErr w:type="spellEnd"/>
      <w:r w:rsidRPr="00650C77">
        <w:rPr>
          <w:rFonts w:ascii="Arial" w:hAnsi="Arial" w:cs="Arial"/>
          <w:color w:val="000000" w:themeColor="text1"/>
          <w:sz w:val="22"/>
          <w:szCs w:val="22"/>
        </w:rPr>
        <w:t xml:space="preserve">, 2024). </w:t>
      </w:r>
      <w:r w:rsidRPr="00650C77">
        <w:rPr>
          <w:rStyle w:val="Strong"/>
          <w:rFonts w:ascii="Arial" w:eastAsiaTheme="majorEastAsia" w:hAnsi="Arial" w:cs="Arial"/>
          <w:color w:val="000000" w:themeColor="text1"/>
          <w:sz w:val="22"/>
          <w:szCs w:val="22"/>
        </w:rPr>
        <w:t>Systems Theory</w:t>
      </w:r>
      <w:r w:rsidRPr="00650C77">
        <w:rPr>
          <w:rFonts w:ascii="Arial" w:hAnsi="Arial" w:cs="Arial"/>
          <w:color w:val="000000" w:themeColor="text1"/>
          <w:sz w:val="22"/>
          <w:szCs w:val="22"/>
        </w:rPr>
        <w:t xml:space="preserve"> highlights how fragmented services worsen unequal access through poor coordination, delays, and weak continuity (Care Quality Commission, 2023).</w:t>
      </w:r>
    </w:p>
    <w:p w14:paraId="44DF9074" w14:textId="64D4FE59" w:rsidR="00002AD0" w:rsidRDefault="00C011A5" w:rsidP="001B6210">
      <w:pPr>
        <w:pStyle w:val="Heading2"/>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Policies such as </w:t>
      </w:r>
      <w:r w:rsidRPr="00650C77">
        <w:rPr>
          <w:rStyle w:val="Strong"/>
          <w:rFonts w:ascii="Arial" w:hAnsi="Arial" w:cs="Arial"/>
          <w:color w:val="000000" w:themeColor="text1"/>
          <w:sz w:val="22"/>
          <w:szCs w:val="22"/>
        </w:rPr>
        <w:t>NICE guidance</w:t>
      </w:r>
      <w:r w:rsidRPr="00650C77">
        <w:rPr>
          <w:rFonts w:ascii="Arial" w:hAnsi="Arial" w:cs="Arial"/>
          <w:color w:val="000000" w:themeColor="text1"/>
          <w:sz w:val="22"/>
          <w:szCs w:val="22"/>
        </w:rPr>
        <w:t xml:space="preserve">, the </w:t>
      </w:r>
      <w:r w:rsidRPr="00650C77">
        <w:rPr>
          <w:rStyle w:val="Strong"/>
          <w:rFonts w:ascii="Arial" w:hAnsi="Arial" w:cs="Arial"/>
          <w:color w:val="000000" w:themeColor="text1"/>
          <w:sz w:val="22"/>
          <w:szCs w:val="22"/>
        </w:rPr>
        <w:t>NHS Long Term Plan</w:t>
      </w:r>
      <w:r w:rsidRPr="00650C77">
        <w:rPr>
          <w:rFonts w:ascii="Arial" w:hAnsi="Arial" w:cs="Arial"/>
          <w:color w:val="000000" w:themeColor="text1"/>
          <w:sz w:val="22"/>
          <w:szCs w:val="22"/>
        </w:rPr>
        <w:t xml:space="preserve">, and </w:t>
      </w:r>
      <w:r w:rsidRPr="00650C77">
        <w:rPr>
          <w:rStyle w:val="Strong"/>
          <w:rFonts w:ascii="Arial" w:hAnsi="Arial" w:cs="Arial"/>
          <w:color w:val="000000" w:themeColor="text1"/>
          <w:sz w:val="22"/>
          <w:szCs w:val="22"/>
        </w:rPr>
        <w:t>Integrated Care Systems</w:t>
      </w:r>
      <w:r w:rsidRPr="00650C77">
        <w:rPr>
          <w:rFonts w:ascii="Arial" w:hAnsi="Arial" w:cs="Arial"/>
          <w:color w:val="000000" w:themeColor="text1"/>
          <w:sz w:val="22"/>
          <w:szCs w:val="22"/>
        </w:rPr>
        <w:t xml:space="preserve"> aim to improve fairness. However, ethnic disparities, geographic variation, and unequal </w:t>
      </w:r>
      <w:proofErr w:type="spellStart"/>
      <w:r w:rsidRPr="00650C77">
        <w:rPr>
          <w:rFonts w:ascii="Arial" w:hAnsi="Arial" w:cs="Arial"/>
          <w:color w:val="000000" w:themeColor="text1"/>
          <w:sz w:val="22"/>
          <w:szCs w:val="22"/>
        </w:rPr>
        <w:t>CBTp</w:t>
      </w:r>
      <w:proofErr w:type="spellEnd"/>
      <w:r w:rsidRPr="00650C77">
        <w:rPr>
          <w:rFonts w:ascii="Arial" w:hAnsi="Arial" w:cs="Arial"/>
          <w:color w:val="000000" w:themeColor="text1"/>
          <w:sz w:val="22"/>
          <w:szCs w:val="22"/>
        </w:rPr>
        <w:t xml:space="preserve"> access remain (NICE, 2020; NHS England, 2019; Care Quality Commission, 2023). Legislation supports equality, but inequalities in detention and crisis pathways persist (</w:t>
      </w:r>
      <w:proofErr w:type="spellStart"/>
      <w:r w:rsidRPr="00650C77">
        <w:rPr>
          <w:rFonts w:ascii="Arial" w:hAnsi="Arial" w:cs="Arial"/>
          <w:color w:val="000000" w:themeColor="text1"/>
          <w:sz w:val="22"/>
          <w:szCs w:val="22"/>
        </w:rPr>
        <w:t>Nazroo</w:t>
      </w:r>
      <w:proofErr w:type="spellEnd"/>
      <w:r w:rsidRPr="00650C77">
        <w:rPr>
          <w:rFonts w:ascii="Arial" w:hAnsi="Arial" w:cs="Arial"/>
          <w:color w:val="000000" w:themeColor="text1"/>
          <w:sz w:val="22"/>
          <w:szCs w:val="22"/>
        </w:rPr>
        <w:t xml:space="preserve"> et al., 2019; Care Quality Commission, 2024). Overall, strong frameworks exist, but implementation remains inconsistent. </w:t>
      </w:r>
    </w:p>
    <w:p w14:paraId="1A212051" w14:textId="77777777" w:rsidR="006F7DA7" w:rsidRDefault="006F7DA7" w:rsidP="006F7DA7"/>
    <w:p w14:paraId="7CCBFFE1" w14:textId="77777777" w:rsidR="006F7DA7" w:rsidRDefault="006F7DA7" w:rsidP="006F7DA7"/>
    <w:p w14:paraId="40773BAE" w14:textId="77777777" w:rsidR="006F7DA7" w:rsidRDefault="006F7DA7" w:rsidP="006F7DA7"/>
    <w:p w14:paraId="6908CAD5" w14:textId="77777777" w:rsidR="006F7DA7" w:rsidRDefault="006F7DA7" w:rsidP="006F7DA7"/>
    <w:p w14:paraId="4CBEA893" w14:textId="77777777" w:rsidR="006F7DA7" w:rsidRPr="006F7DA7" w:rsidRDefault="006F7DA7" w:rsidP="006F7DA7"/>
    <w:p w14:paraId="3C9B07A2" w14:textId="76B32B72" w:rsidR="00D609ED" w:rsidRPr="00650C77" w:rsidRDefault="003D2D03" w:rsidP="003D2D03">
      <w:pPr>
        <w:pStyle w:val="Heading2"/>
        <w:jc w:val="both"/>
        <w:rPr>
          <w:rFonts w:ascii="Arial" w:hAnsi="Arial" w:cs="Arial"/>
          <w:b/>
          <w:bCs/>
          <w:color w:val="000000" w:themeColor="text1"/>
          <w:sz w:val="20"/>
          <w:szCs w:val="20"/>
        </w:rPr>
      </w:pPr>
      <w:r w:rsidRPr="00650C77">
        <w:rPr>
          <w:rFonts w:ascii="Arial" w:hAnsi="Arial" w:cs="Arial"/>
          <w:b/>
          <w:bCs/>
          <w:color w:val="000000" w:themeColor="text1"/>
          <w:sz w:val="20"/>
          <w:szCs w:val="20"/>
        </w:rPr>
        <w:lastRenderedPageBreak/>
        <w:t>Table</w:t>
      </w:r>
      <w:r w:rsidR="00C011A5" w:rsidRPr="00650C77">
        <w:rPr>
          <w:rFonts w:ascii="Arial" w:hAnsi="Arial" w:cs="Arial"/>
          <w:b/>
          <w:bCs/>
          <w:color w:val="000000" w:themeColor="text1"/>
          <w:sz w:val="20"/>
          <w:szCs w:val="20"/>
        </w:rPr>
        <w:t>4.4.5.1</w:t>
      </w:r>
      <w:r w:rsidRPr="00650C77">
        <w:rPr>
          <w:rFonts w:ascii="Arial" w:hAnsi="Arial" w:cs="Arial"/>
          <w:b/>
          <w:bCs/>
          <w:color w:val="000000" w:themeColor="text1"/>
          <w:sz w:val="20"/>
          <w:szCs w:val="20"/>
        </w:rPr>
        <w:t xml:space="preserve"> Summary of Theories, Policies, and Legislation on Inequality in Schizophrenia Care</w:t>
      </w:r>
    </w:p>
    <w:tbl>
      <w:tblPr>
        <w:tblStyle w:val="TableGrid"/>
        <w:tblW w:w="9180" w:type="dxa"/>
        <w:tblInd w:w="-113" w:type="dxa"/>
        <w:tblLook w:val="04A0" w:firstRow="1" w:lastRow="0" w:firstColumn="1" w:lastColumn="0" w:noHBand="0" w:noVBand="1"/>
      </w:tblPr>
      <w:tblGrid>
        <w:gridCol w:w="1277"/>
        <w:gridCol w:w="7903"/>
      </w:tblGrid>
      <w:tr w:rsidR="00650C77" w:rsidRPr="00650C77" w14:paraId="26DFE29A" w14:textId="77777777" w:rsidTr="00650C77">
        <w:tc>
          <w:tcPr>
            <w:tcW w:w="1277" w:type="dxa"/>
            <w:shd w:val="clear" w:color="auto" w:fill="B4C6E7" w:themeFill="accent1" w:themeFillTint="66"/>
          </w:tcPr>
          <w:p w14:paraId="2280AF4A" w14:textId="77777777" w:rsidR="00D609ED" w:rsidRPr="00650C77" w:rsidRDefault="00D609ED"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Category</w:t>
            </w:r>
          </w:p>
        </w:tc>
        <w:tc>
          <w:tcPr>
            <w:tcW w:w="7903" w:type="dxa"/>
            <w:shd w:val="clear" w:color="auto" w:fill="B4C6E7" w:themeFill="accent1" w:themeFillTint="66"/>
          </w:tcPr>
          <w:p w14:paraId="3DD170C4" w14:textId="77777777" w:rsidR="00D609ED" w:rsidRPr="00650C77" w:rsidRDefault="00D609ED"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Key Points</w:t>
            </w:r>
          </w:p>
        </w:tc>
      </w:tr>
      <w:tr w:rsidR="00650C77" w:rsidRPr="00650C77" w14:paraId="030B6F75" w14:textId="77777777" w:rsidTr="00650C77">
        <w:tc>
          <w:tcPr>
            <w:tcW w:w="1277" w:type="dxa"/>
            <w:shd w:val="clear" w:color="auto" w:fill="B4C6E7" w:themeFill="accent1" w:themeFillTint="66"/>
          </w:tcPr>
          <w:p w14:paraId="7604E7C9" w14:textId="77777777" w:rsidR="00D609ED" w:rsidRPr="00650C77" w:rsidRDefault="00D609ED"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Theoretical Framework</w:t>
            </w:r>
          </w:p>
        </w:tc>
        <w:tc>
          <w:tcPr>
            <w:tcW w:w="7903" w:type="dxa"/>
            <w:shd w:val="clear" w:color="auto" w:fill="B4C6E7" w:themeFill="accent1" w:themeFillTint="66"/>
          </w:tcPr>
          <w:p w14:paraId="353D12EA" w14:textId="37CD829B" w:rsidR="00D609ED" w:rsidRPr="00650C77" w:rsidRDefault="00D609ED" w:rsidP="00650C77">
            <w:pPr>
              <w:spacing w:line="276" w:lineRule="auto"/>
              <w:jc w:val="both"/>
              <w:rPr>
                <w:rFonts w:ascii="Arial" w:hAnsi="Arial" w:cs="Arial"/>
                <w:color w:val="000000" w:themeColor="text1"/>
                <w:sz w:val="18"/>
                <w:szCs w:val="18"/>
              </w:rPr>
            </w:pPr>
            <w:r w:rsidRPr="00650C77">
              <w:rPr>
                <w:rFonts w:ascii="Arial" w:hAnsi="Arial" w:cs="Arial"/>
                <w:color w:val="000000" w:themeColor="text1"/>
                <w:sz w:val="18"/>
                <w:szCs w:val="18"/>
              </w:rPr>
              <w:t>•Social Determinants of Health (Marmot et al., 2020): Social, economic, and environmental factors like poverty, racism, housing, and healthcare access shape illness development and care access, leading to delayed/crisis-led treatment for disadvantaged groups.</w:t>
            </w:r>
            <w:r w:rsidRPr="00650C77">
              <w:rPr>
                <w:rFonts w:ascii="Arial" w:hAnsi="Arial" w:cs="Arial"/>
                <w:color w:val="000000" w:themeColor="text1"/>
                <w:sz w:val="18"/>
                <w:szCs w:val="18"/>
              </w:rPr>
              <w:br/>
              <w:t>• Systems Theory (</w:t>
            </w:r>
            <w:proofErr w:type="spellStart"/>
            <w:r w:rsidRPr="00650C77">
              <w:rPr>
                <w:rFonts w:ascii="Arial" w:hAnsi="Arial" w:cs="Arial"/>
                <w:color w:val="000000" w:themeColor="text1"/>
                <w:sz w:val="18"/>
                <w:szCs w:val="18"/>
              </w:rPr>
              <w:t>Checkland</w:t>
            </w:r>
            <w:proofErr w:type="spellEnd"/>
            <w:r w:rsidRPr="00650C77">
              <w:rPr>
                <w:rFonts w:ascii="Arial" w:hAnsi="Arial" w:cs="Arial"/>
                <w:color w:val="000000" w:themeColor="text1"/>
                <w:sz w:val="18"/>
                <w:szCs w:val="18"/>
              </w:rPr>
              <w:t>, 1981): Views healthcare as interconnected. Poor coordination between services increases barriers for complex cases, reinforcing cycles of relapse.</w:t>
            </w:r>
          </w:p>
        </w:tc>
      </w:tr>
      <w:tr w:rsidR="00650C77" w:rsidRPr="00650C77" w14:paraId="6614943D" w14:textId="77777777" w:rsidTr="00650C77">
        <w:tc>
          <w:tcPr>
            <w:tcW w:w="1277" w:type="dxa"/>
            <w:shd w:val="clear" w:color="auto" w:fill="B4C6E7" w:themeFill="accent1" w:themeFillTint="66"/>
          </w:tcPr>
          <w:p w14:paraId="68BF83D0" w14:textId="77777777" w:rsidR="00D609ED" w:rsidRPr="00650C77" w:rsidRDefault="00D609ED"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Policy Frameworks</w:t>
            </w:r>
          </w:p>
        </w:tc>
        <w:tc>
          <w:tcPr>
            <w:tcW w:w="7903" w:type="dxa"/>
            <w:shd w:val="clear" w:color="auto" w:fill="B4C6E7" w:themeFill="accent1" w:themeFillTint="66"/>
          </w:tcPr>
          <w:p w14:paraId="1630B821" w14:textId="77777777" w:rsidR="00D609ED" w:rsidRPr="00650C77" w:rsidRDefault="00D609ED" w:rsidP="00650C77">
            <w:pPr>
              <w:spacing w:line="276" w:lineRule="auto"/>
              <w:jc w:val="both"/>
              <w:rPr>
                <w:rFonts w:ascii="Arial" w:hAnsi="Arial" w:cs="Arial"/>
                <w:color w:val="000000" w:themeColor="text1"/>
                <w:sz w:val="18"/>
                <w:szCs w:val="18"/>
              </w:rPr>
            </w:pPr>
            <w:r w:rsidRPr="00650C77">
              <w:rPr>
                <w:rFonts w:ascii="Arial" w:hAnsi="Arial" w:cs="Arial"/>
                <w:color w:val="000000" w:themeColor="text1"/>
                <w:sz w:val="18"/>
                <w:szCs w:val="18"/>
              </w:rPr>
              <w:t xml:space="preserve">• NICE Guidelines (CG178) (NICE, 2020): Recommend early intervention, </w:t>
            </w:r>
            <w:proofErr w:type="spellStart"/>
            <w:r w:rsidRPr="00650C77">
              <w:rPr>
                <w:rFonts w:ascii="Arial" w:hAnsi="Arial" w:cs="Arial"/>
                <w:color w:val="000000" w:themeColor="text1"/>
                <w:sz w:val="18"/>
                <w:szCs w:val="18"/>
              </w:rPr>
              <w:t>CBTp</w:t>
            </w:r>
            <w:proofErr w:type="spellEnd"/>
            <w:r w:rsidRPr="00650C77">
              <w:rPr>
                <w:rFonts w:ascii="Arial" w:hAnsi="Arial" w:cs="Arial"/>
                <w:color w:val="000000" w:themeColor="text1"/>
                <w:sz w:val="18"/>
                <w:szCs w:val="18"/>
              </w:rPr>
              <w:t>, family interventions, and culturally competent services.</w:t>
            </w:r>
            <w:r w:rsidRPr="00650C77">
              <w:rPr>
                <w:rFonts w:ascii="Arial" w:hAnsi="Arial" w:cs="Arial"/>
                <w:color w:val="000000" w:themeColor="text1"/>
                <w:sz w:val="18"/>
                <w:szCs w:val="18"/>
              </w:rPr>
              <w:br/>
              <w:t>• NHS Long Term Plan (NHS England, 2019): Aims to reduce disparities through expanded community-based services, especially for minority and deprived groups.</w:t>
            </w:r>
            <w:r w:rsidRPr="00650C77">
              <w:rPr>
                <w:rFonts w:ascii="Arial" w:hAnsi="Arial" w:cs="Arial"/>
                <w:color w:val="000000" w:themeColor="text1"/>
                <w:sz w:val="18"/>
                <w:szCs w:val="18"/>
              </w:rPr>
              <w:br/>
              <w:t>• Integrated Care Systems (ICSs) (King’s Fund, 2022): Seek to reduce regional variation through joined-up planning, but implementation remains inconsistent.</w:t>
            </w:r>
          </w:p>
        </w:tc>
      </w:tr>
      <w:tr w:rsidR="00650C77" w:rsidRPr="00650C77" w14:paraId="3E4CE491" w14:textId="77777777" w:rsidTr="00650C77">
        <w:tc>
          <w:tcPr>
            <w:tcW w:w="1277" w:type="dxa"/>
            <w:shd w:val="clear" w:color="auto" w:fill="B4C6E7" w:themeFill="accent1" w:themeFillTint="66"/>
          </w:tcPr>
          <w:p w14:paraId="3E87E896" w14:textId="77777777" w:rsidR="00D609ED" w:rsidRPr="00650C77" w:rsidRDefault="00D609ED"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Legislation</w:t>
            </w:r>
          </w:p>
        </w:tc>
        <w:tc>
          <w:tcPr>
            <w:tcW w:w="7903" w:type="dxa"/>
            <w:shd w:val="clear" w:color="auto" w:fill="B4C6E7" w:themeFill="accent1" w:themeFillTint="66"/>
          </w:tcPr>
          <w:p w14:paraId="7EF2A911" w14:textId="77777777" w:rsidR="00D609ED" w:rsidRPr="00650C77" w:rsidRDefault="00D609ED" w:rsidP="00650C77">
            <w:pPr>
              <w:spacing w:line="276" w:lineRule="auto"/>
              <w:jc w:val="both"/>
              <w:rPr>
                <w:rFonts w:ascii="Arial" w:hAnsi="Arial" w:cs="Arial"/>
                <w:color w:val="000000" w:themeColor="text1"/>
                <w:sz w:val="18"/>
                <w:szCs w:val="18"/>
              </w:rPr>
            </w:pPr>
            <w:r w:rsidRPr="00650C77">
              <w:rPr>
                <w:rFonts w:ascii="Arial" w:hAnsi="Arial" w:cs="Arial"/>
                <w:color w:val="000000" w:themeColor="text1"/>
                <w:sz w:val="18"/>
                <w:szCs w:val="18"/>
              </w:rPr>
              <w:t xml:space="preserve">• Mental Health Act 1983 (amended 2007) (CQC, 2023; </w:t>
            </w:r>
            <w:proofErr w:type="spellStart"/>
            <w:r w:rsidRPr="00650C77">
              <w:rPr>
                <w:rFonts w:ascii="Arial" w:hAnsi="Arial" w:cs="Arial"/>
                <w:color w:val="000000" w:themeColor="text1"/>
                <w:sz w:val="18"/>
                <w:szCs w:val="18"/>
              </w:rPr>
              <w:t>Nazroo</w:t>
            </w:r>
            <w:proofErr w:type="spellEnd"/>
            <w:r w:rsidRPr="00650C77">
              <w:rPr>
                <w:rFonts w:ascii="Arial" w:hAnsi="Arial" w:cs="Arial"/>
                <w:color w:val="000000" w:themeColor="text1"/>
                <w:sz w:val="18"/>
                <w:szCs w:val="18"/>
              </w:rPr>
              <w:t xml:space="preserve"> et al., 2019): Legal basis for compulsory treatment, disproportionately affects Black individuals (3–4 times more likely detained).</w:t>
            </w:r>
            <w:r w:rsidRPr="00650C77">
              <w:rPr>
                <w:rFonts w:ascii="Arial" w:hAnsi="Arial" w:cs="Arial"/>
                <w:color w:val="000000" w:themeColor="text1"/>
                <w:sz w:val="18"/>
                <w:szCs w:val="18"/>
              </w:rPr>
              <w:br/>
              <w:t>• Equality Act 2010 (Government Equalities Office, 2010): Mandates equal access and anti-discrimination in service provision.</w:t>
            </w:r>
            <w:r w:rsidRPr="00650C77">
              <w:rPr>
                <w:rFonts w:ascii="Arial" w:hAnsi="Arial" w:cs="Arial"/>
                <w:color w:val="000000" w:themeColor="text1"/>
                <w:sz w:val="18"/>
                <w:szCs w:val="18"/>
              </w:rPr>
              <w:br/>
              <w:t>• Implementation gaps (</w:t>
            </w:r>
            <w:proofErr w:type="spellStart"/>
            <w:r w:rsidRPr="00650C77">
              <w:rPr>
                <w:rFonts w:ascii="Arial" w:hAnsi="Arial" w:cs="Arial"/>
                <w:color w:val="000000" w:themeColor="text1"/>
                <w:sz w:val="18"/>
                <w:szCs w:val="18"/>
              </w:rPr>
              <w:t>Bhui</w:t>
            </w:r>
            <w:proofErr w:type="spellEnd"/>
            <w:r w:rsidRPr="00650C77">
              <w:rPr>
                <w:rFonts w:ascii="Arial" w:hAnsi="Arial" w:cs="Arial"/>
                <w:color w:val="000000" w:themeColor="text1"/>
                <w:sz w:val="18"/>
                <w:szCs w:val="18"/>
              </w:rPr>
              <w:t xml:space="preserve"> et al., 2018): Racial and geographic inequalities persist, suggesting weak enforcement of protections.</w:t>
            </w:r>
          </w:p>
        </w:tc>
      </w:tr>
    </w:tbl>
    <w:p w14:paraId="7FE53A8D" w14:textId="4FE81640" w:rsidR="00002AD0" w:rsidRPr="00650C77" w:rsidRDefault="00C011A5" w:rsidP="005E25B8">
      <w:pPr>
        <w:pStyle w:val="NormalWeb"/>
        <w:spacing w:line="360" w:lineRule="auto"/>
        <w:jc w:val="both"/>
        <w:rPr>
          <w:rFonts w:ascii="Arial" w:hAnsi="Arial" w:cs="Arial"/>
          <w:color w:val="000000" w:themeColor="text1"/>
          <w:sz w:val="22"/>
          <w:szCs w:val="22"/>
        </w:rPr>
      </w:pPr>
      <w:r w:rsidRPr="00650C77">
        <w:rPr>
          <w:rStyle w:val="Strong"/>
          <w:rFonts w:ascii="Arial" w:eastAsiaTheme="majorEastAsia" w:hAnsi="Arial" w:cs="Arial"/>
          <w:color w:val="000000" w:themeColor="text1"/>
          <w:sz w:val="22"/>
          <w:szCs w:val="22"/>
        </w:rPr>
        <w:t>Table 4.4.5.1 shows</w:t>
      </w:r>
      <w:r w:rsidRPr="00650C77">
        <w:rPr>
          <w:rFonts w:ascii="Arial" w:hAnsi="Arial" w:cs="Arial"/>
          <w:color w:val="000000" w:themeColor="text1"/>
          <w:sz w:val="22"/>
          <w:szCs w:val="22"/>
        </w:rPr>
        <w:t xml:space="preserve"> that while strong theoretical, policy, and legal frameworks exist to address inequality, their impact is limited by inconsistent implementation across services.</w:t>
      </w:r>
      <w:r w:rsidR="00ED37FF" w:rsidRPr="00650C77">
        <w:rPr>
          <w:rFonts w:ascii="Arial" w:hAnsi="Arial" w:cs="Arial"/>
          <w:color w:val="000000" w:themeColor="text1"/>
          <w:sz w:val="22"/>
          <w:szCs w:val="22"/>
        </w:rPr>
        <w:t xml:space="preserve"> </w:t>
      </w:r>
      <w:r w:rsidRPr="00650C77">
        <w:rPr>
          <w:rFonts w:ascii="Arial" w:hAnsi="Arial" w:cs="Arial"/>
          <w:color w:val="000000" w:themeColor="text1"/>
          <w:sz w:val="22"/>
          <w:szCs w:val="22"/>
        </w:rPr>
        <w:t>It also highlights that despite clear guidance and protections, ethnic and geographic inequalities in schizophrenia care continue, reflecting a gap between policy intentions and real-world practice.</w:t>
      </w:r>
    </w:p>
    <w:p w14:paraId="4C5A8D32" w14:textId="77777777" w:rsidR="003D31AA" w:rsidRPr="00650C77" w:rsidRDefault="003D31AA" w:rsidP="003D31AA">
      <w:pPr>
        <w:spacing w:before="100" w:beforeAutospacing="1" w:after="100" w:afterAutospacing="1" w:line="360" w:lineRule="auto"/>
        <w:jc w:val="both"/>
        <w:outlineLvl w:val="2"/>
        <w:rPr>
          <w:rFonts w:ascii="Arial" w:eastAsia="Times New Roman" w:hAnsi="Arial" w:cs="Arial"/>
          <w:b/>
          <w:bCs/>
          <w:color w:val="000000" w:themeColor="text1"/>
          <w:kern w:val="0"/>
          <w:sz w:val="27"/>
          <w:szCs w:val="27"/>
          <w:lang w:eastAsia="en-GB"/>
          <w14:ligatures w14:val="none"/>
        </w:rPr>
      </w:pPr>
      <w:r w:rsidRPr="00650C77">
        <w:rPr>
          <w:rFonts w:ascii="Arial" w:eastAsia="Times New Roman" w:hAnsi="Arial" w:cs="Arial"/>
          <w:b/>
          <w:bCs/>
          <w:color w:val="000000" w:themeColor="text1"/>
          <w:kern w:val="0"/>
          <w:sz w:val="27"/>
          <w:szCs w:val="27"/>
          <w:lang w:eastAsia="en-GB"/>
          <w14:ligatures w14:val="none"/>
        </w:rPr>
        <w:t>4.4.6 Implications</w:t>
      </w:r>
    </w:p>
    <w:p w14:paraId="11BEB1A1" w14:textId="77777777" w:rsidR="006F7DA7" w:rsidRPr="006F7DA7" w:rsidRDefault="006F7DA7" w:rsidP="006F7DA7">
      <w:pPr>
        <w:pStyle w:val="NormalWeb"/>
        <w:spacing w:line="360" w:lineRule="auto"/>
        <w:jc w:val="both"/>
        <w:rPr>
          <w:rFonts w:ascii="Arial" w:hAnsi="Arial" w:cs="Arial"/>
          <w:sz w:val="22"/>
          <w:szCs w:val="22"/>
        </w:rPr>
      </w:pPr>
      <w:r w:rsidRPr="006F7DA7">
        <w:rPr>
          <w:rFonts w:ascii="Arial" w:hAnsi="Arial" w:cs="Arial"/>
          <w:sz w:val="22"/>
          <w:szCs w:val="22"/>
        </w:rPr>
        <w:t>Access inequalities have important implications for both fairness and clinical outcomes in schizophrenia care. Individuals who experience delayed access, crisis-led entry, or limited availability of therapies are less likely to benefit fully from treatment pathways. This often results in higher relapse rates, disengagement from services, increased use of compulsory treatment, and repeated hospital admissions (</w:t>
      </w:r>
      <w:proofErr w:type="spellStart"/>
      <w:r w:rsidRPr="006F7DA7">
        <w:rPr>
          <w:rFonts w:ascii="Arial" w:hAnsi="Arial" w:cs="Arial"/>
          <w:sz w:val="22"/>
          <w:szCs w:val="22"/>
        </w:rPr>
        <w:t>Nazroo</w:t>
      </w:r>
      <w:proofErr w:type="spellEnd"/>
      <w:r w:rsidRPr="006F7DA7">
        <w:rPr>
          <w:rFonts w:ascii="Arial" w:hAnsi="Arial" w:cs="Arial"/>
          <w:sz w:val="22"/>
          <w:szCs w:val="22"/>
        </w:rPr>
        <w:t xml:space="preserve"> et al., 2019; Care Quality Commission, 2023; </w:t>
      </w:r>
      <w:proofErr w:type="spellStart"/>
      <w:r w:rsidRPr="006F7DA7">
        <w:rPr>
          <w:rFonts w:ascii="Arial" w:hAnsi="Arial" w:cs="Arial"/>
          <w:sz w:val="22"/>
          <w:szCs w:val="22"/>
        </w:rPr>
        <w:t>Awanawa</w:t>
      </w:r>
      <w:proofErr w:type="spellEnd"/>
      <w:r w:rsidRPr="006F7DA7">
        <w:rPr>
          <w:rFonts w:ascii="Arial" w:hAnsi="Arial" w:cs="Arial"/>
          <w:sz w:val="22"/>
          <w:szCs w:val="22"/>
        </w:rPr>
        <w:t xml:space="preserve"> and </w:t>
      </w:r>
      <w:proofErr w:type="spellStart"/>
      <w:r w:rsidRPr="006F7DA7">
        <w:rPr>
          <w:rFonts w:ascii="Arial" w:hAnsi="Arial" w:cs="Arial"/>
          <w:sz w:val="22"/>
          <w:szCs w:val="22"/>
        </w:rPr>
        <w:t>Amabebe</w:t>
      </w:r>
      <w:proofErr w:type="spellEnd"/>
      <w:r w:rsidRPr="006F7DA7">
        <w:rPr>
          <w:rFonts w:ascii="Arial" w:hAnsi="Arial" w:cs="Arial"/>
          <w:sz w:val="22"/>
          <w:szCs w:val="22"/>
        </w:rPr>
        <w:t>, 2024).</w:t>
      </w:r>
    </w:p>
    <w:p w14:paraId="5BB11F17" w14:textId="77777777" w:rsidR="006F7DA7" w:rsidRPr="006F7DA7" w:rsidRDefault="006F7DA7" w:rsidP="006F7DA7">
      <w:pPr>
        <w:pStyle w:val="NormalWeb"/>
        <w:spacing w:line="360" w:lineRule="auto"/>
        <w:jc w:val="both"/>
        <w:rPr>
          <w:rFonts w:ascii="Arial" w:hAnsi="Arial" w:cs="Arial"/>
          <w:sz w:val="22"/>
          <w:szCs w:val="22"/>
        </w:rPr>
      </w:pPr>
      <w:r w:rsidRPr="006F7DA7">
        <w:rPr>
          <w:rFonts w:ascii="Arial" w:hAnsi="Arial" w:cs="Arial"/>
          <w:sz w:val="22"/>
          <w:szCs w:val="22"/>
        </w:rPr>
        <w:t>The literature shows that these inequalities are caused by a combination of structural and service-level factors, including socioeconomic disadvantage, workforce shortages, and fragmented service delivery (Haddock et al., 2020; Royal College of Psychiatrists, 2023). Although integrated care offers a potential solution by improving coordination and continuity, its impact remains limited without consistent investment, sufficient staffing, and effective system-wide implementation.</w:t>
      </w:r>
    </w:p>
    <w:p w14:paraId="318E0D60" w14:textId="77777777" w:rsidR="006F7DA7" w:rsidRDefault="006F7DA7" w:rsidP="0094530C">
      <w:pPr>
        <w:jc w:val="both"/>
        <w:rPr>
          <w:rFonts w:ascii="Arial" w:hAnsi="Arial" w:cs="Arial"/>
          <w:b/>
          <w:bCs/>
          <w:color w:val="000000" w:themeColor="text1"/>
          <w:sz w:val="20"/>
          <w:szCs w:val="20"/>
        </w:rPr>
      </w:pPr>
    </w:p>
    <w:p w14:paraId="75C950AE" w14:textId="77777777" w:rsidR="006F7DA7" w:rsidRDefault="006F7DA7" w:rsidP="0094530C">
      <w:pPr>
        <w:jc w:val="both"/>
        <w:rPr>
          <w:rFonts w:ascii="Arial" w:hAnsi="Arial" w:cs="Arial"/>
          <w:b/>
          <w:bCs/>
          <w:color w:val="000000" w:themeColor="text1"/>
          <w:sz w:val="20"/>
          <w:szCs w:val="20"/>
        </w:rPr>
      </w:pPr>
    </w:p>
    <w:p w14:paraId="4C7252B9" w14:textId="31A3D905" w:rsidR="0094530C" w:rsidRPr="00650C77" w:rsidRDefault="0094530C" w:rsidP="0094530C">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lastRenderedPageBreak/>
        <w:t>Table 4.4.6.1: Positive and Negative Impacts of access inequality:</w:t>
      </w:r>
    </w:p>
    <w:tbl>
      <w:tblPr>
        <w:tblW w:w="9054" w:type="dxa"/>
        <w:tblInd w:w="-15" w:type="dxa"/>
        <w:shd w:val="clear" w:color="auto" w:fill="A5A5A5" w:themeFill="accent3"/>
        <w:tblLook w:val="04A0" w:firstRow="1" w:lastRow="0" w:firstColumn="1" w:lastColumn="0" w:noHBand="0" w:noVBand="1"/>
      </w:tblPr>
      <w:tblGrid>
        <w:gridCol w:w="3242"/>
        <w:gridCol w:w="5812"/>
      </w:tblGrid>
      <w:tr w:rsidR="00650C77" w:rsidRPr="00650C77" w14:paraId="18F8A4B0" w14:textId="77777777" w:rsidTr="00650C77">
        <w:tc>
          <w:tcPr>
            <w:tcW w:w="3242" w:type="dxa"/>
            <w:tcBorders>
              <w:top w:val="single" w:sz="12" w:space="0" w:color="000000"/>
              <w:left w:val="single" w:sz="12" w:space="0" w:color="000000"/>
              <w:bottom w:val="single" w:sz="12" w:space="0" w:color="000000"/>
              <w:right w:val="single" w:sz="12" w:space="0" w:color="000000"/>
            </w:tcBorders>
            <w:shd w:val="clear" w:color="auto" w:fill="B4C6E7" w:themeFill="accent1" w:themeFillTint="66"/>
          </w:tcPr>
          <w:p w14:paraId="58DC5AB9" w14:textId="77777777" w:rsidR="0094530C" w:rsidRPr="00650C77" w:rsidRDefault="0094530C" w:rsidP="008B4D33">
            <w:pPr>
              <w:jc w:val="both"/>
              <w:rPr>
                <w:rFonts w:ascii="Arial" w:hAnsi="Arial" w:cs="Arial"/>
                <w:color w:val="000000" w:themeColor="text1"/>
                <w:sz w:val="20"/>
                <w:szCs w:val="20"/>
              </w:rPr>
            </w:pPr>
            <w:r w:rsidRPr="00650C77">
              <w:rPr>
                <w:rFonts w:ascii="Arial" w:hAnsi="Arial" w:cs="Arial"/>
                <w:color w:val="000000" w:themeColor="text1"/>
                <w:sz w:val="20"/>
                <w:szCs w:val="20"/>
              </w:rPr>
              <w:t>Positive Impacts</w:t>
            </w:r>
          </w:p>
        </w:tc>
        <w:tc>
          <w:tcPr>
            <w:tcW w:w="5812" w:type="dxa"/>
            <w:tcBorders>
              <w:top w:val="single" w:sz="12" w:space="0" w:color="000000"/>
              <w:left w:val="single" w:sz="12" w:space="0" w:color="000000"/>
              <w:bottom w:val="single" w:sz="12" w:space="0" w:color="000000"/>
              <w:right w:val="single" w:sz="12" w:space="0" w:color="000000"/>
            </w:tcBorders>
            <w:shd w:val="clear" w:color="auto" w:fill="B4C6E7" w:themeFill="accent1" w:themeFillTint="66"/>
          </w:tcPr>
          <w:p w14:paraId="18914B0B" w14:textId="77777777" w:rsidR="0094530C" w:rsidRPr="00650C77" w:rsidRDefault="0094530C" w:rsidP="008B4D33">
            <w:pPr>
              <w:jc w:val="both"/>
              <w:rPr>
                <w:rFonts w:ascii="Arial" w:hAnsi="Arial" w:cs="Arial"/>
                <w:color w:val="000000" w:themeColor="text1"/>
                <w:sz w:val="20"/>
                <w:szCs w:val="20"/>
              </w:rPr>
            </w:pPr>
            <w:r w:rsidRPr="00650C77">
              <w:rPr>
                <w:rFonts w:ascii="Arial" w:hAnsi="Arial" w:cs="Arial"/>
                <w:color w:val="000000" w:themeColor="text1"/>
                <w:sz w:val="20"/>
                <w:szCs w:val="20"/>
              </w:rPr>
              <w:t>Negative Impacts</w:t>
            </w:r>
          </w:p>
        </w:tc>
      </w:tr>
      <w:tr w:rsidR="00650C77" w:rsidRPr="00650C77" w14:paraId="7B78CF03" w14:textId="77777777" w:rsidTr="00650C77">
        <w:tc>
          <w:tcPr>
            <w:tcW w:w="3242" w:type="dxa"/>
            <w:tcBorders>
              <w:top w:val="single" w:sz="12" w:space="0" w:color="000000"/>
              <w:left w:val="single" w:sz="12" w:space="0" w:color="000000"/>
              <w:bottom w:val="single" w:sz="12" w:space="0" w:color="000000"/>
              <w:right w:val="single" w:sz="12" w:space="0" w:color="000000"/>
            </w:tcBorders>
            <w:shd w:val="clear" w:color="auto" w:fill="B4C6E7" w:themeFill="accent1" w:themeFillTint="66"/>
          </w:tcPr>
          <w:p w14:paraId="15D2B68D" w14:textId="77777777" w:rsidR="0094530C" w:rsidRPr="00650C77" w:rsidRDefault="0094530C" w:rsidP="008B4D33">
            <w:pPr>
              <w:jc w:val="both"/>
              <w:rPr>
                <w:rFonts w:ascii="Arial" w:hAnsi="Arial" w:cs="Arial"/>
                <w:color w:val="000000" w:themeColor="text1"/>
                <w:sz w:val="20"/>
                <w:szCs w:val="20"/>
              </w:rPr>
            </w:pPr>
            <w:r w:rsidRPr="00650C77">
              <w:rPr>
                <w:rFonts w:ascii="Arial" w:hAnsi="Arial" w:cs="Arial"/>
                <w:color w:val="000000" w:themeColor="text1"/>
                <w:sz w:val="20"/>
                <w:szCs w:val="20"/>
              </w:rPr>
              <w:t>Integrated care provides a strong theoretical and policy solution.</w:t>
            </w:r>
          </w:p>
        </w:tc>
        <w:tc>
          <w:tcPr>
            <w:tcW w:w="5812" w:type="dxa"/>
            <w:tcBorders>
              <w:top w:val="single" w:sz="12" w:space="0" w:color="000000"/>
              <w:left w:val="single" w:sz="12" w:space="0" w:color="000000"/>
              <w:bottom w:val="single" w:sz="12" w:space="0" w:color="000000"/>
              <w:right w:val="single" w:sz="12" w:space="0" w:color="000000"/>
            </w:tcBorders>
            <w:shd w:val="clear" w:color="auto" w:fill="B4C6E7" w:themeFill="accent1" w:themeFillTint="66"/>
          </w:tcPr>
          <w:p w14:paraId="4FB2050E" w14:textId="77777777" w:rsidR="0094530C" w:rsidRPr="00650C77" w:rsidRDefault="0094530C" w:rsidP="008B4D33">
            <w:pPr>
              <w:jc w:val="both"/>
              <w:rPr>
                <w:rFonts w:ascii="Arial" w:hAnsi="Arial" w:cs="Arial"/>
                <w:color w:val="000000" w:themeColor="text1"/>
                <w:sz w:val="20"/>
                <w:szCs w:val="20"/>
              </w:rPr>
            </w:pPr>
            <w:r w:rsidRPr="00650C77">
              <w:rPr>
                <w:rFonts w:ascii="Arial" w:hAnsi="Arial" w:cs="Arial"/>
                <w:color w:val="000000" w:themeColor="text1"/>
                <w:sz w:val="20"/>
                <w:szCs w:val="20"/>
              </w:rPr>
              <w:t>Crisis-led entry, delayed intervention, and reduced access to therapies limit full pathway benefits.</w:t>
            </w:r>
          </w:p>
        </w:tc>
      </w:tr>
      <w:tr w:rsidR="00650C77" w:rsidRPr="00650C77" w14:paraId="191554FC" w14:textId="77777777" w:rsidTr="00650C77">
        <w:tc>
          <w:tcPr>
            <w:tcW w:w="3242" w:type="dxa"/>
            <w:tcBorders>
              <w:top w:val="single" w:sz="12" w:space="0" w:color="000000"/>
              <w:left w:val="single" w:sz="12" w:space="0" w:color="000000"/>
              <w:bottom w:val="single" w:sz="12" w:space="0" w:color="000000"/>
              <w:right w:val="single" w:sz="12" w:space="0" w:color="000000"/>
            </w:tcBorders>
            <w:shd w:val="clear" w:color="auto" w:fill="B4C6E7" w:themeFill="accent1" w:themeFillTint="66"/>
          </w:tcPr>
          <w:p w14:paraId="64AA99A1" w14:textId="77777777" w:rsidR="0094530C" w:rsidRPr="00650C77" w:rsidRDefault="0094530C" w:rsidP="008B4D33">
            <w:pPr>
              <w:jc w:val="both"/>
              <w:rPr>
                <w:rFonts w:ascii="Arial" w:hAnsi="Arial" w:cs="Arial"/>
                <w:color w:val="000000" w:themeColor="text1"/>
                <w:sz w:val="20"/>
                <w:szCs w:val="20"/>
              </w:rPr>
            </w:pPr>
            <w:r w:rsidRPr="00650C77">
              <w:rPr>
                <w:rFonts w:ascii="Arial" w:hAnsi="Arial" w:cs="Arial"/>
                <w:color w:val="000000" w:themeColor="text1"/>
                <w:sz w:val="20"/>
                <w:szCs w:val="20"/>
              </w:rPr>
              <w:t>Emphasises importance of equitable access for better outcomes.</w:t>
            </w:r>
          </w:p>
        </w:tc>
        <w:tc>
          <w:tcPr>
            <w:tcW w:w="5812" w:type="dxa"/>
            <w:tcBorders>
              <w:top w:val="single" w:sz="12" w:space="0" w:color="000000"/>
              <w:left w:val="single" w:sz="12" w:space="0" w:color="000000"/>
              <w:bottom w:val="single" w:sz="12" w:space="0" w:color="000000"/>
              <w:right w:val="single" w:sz="12" w:space="0" w:color="000000"/>
            </w:tcBorders>
            <w:shd w:val="clear" w:color="auto" w:fill="B4C6E7" w:themeFill="accent1" w:themeFillTint="66"/>
          </w:tcPr>
          <w:p w14:paraId="7FD492EC" w14:textId="77777777" w:rsidR="0094530C" w:rsidRPr="00650C77" w:rsidRDefault="0094530C" w:rsidP="008B4D33">
            <w:pPr>
              <w:jc w:val="both"/>
              <w:rPr>
                <w:rFonts w:ascii="Arial" w:hAnsi="Arial" w:cs="Arial"/>
                <w:color w:val="000000" w:themeColor="text1"/>
                <w:sz w:val="20"/>
                <w:szCs w:val="20"/>
              </w:rPr>
            </w:pPr>
            <w:r w:rsidRPr="00650C77">
              <w:rPr>
                <w:rFonts w:ascii="Arial" w:hAnsi="Arial" w:cs="Arial"/>
                <w:color w:val="000000" w:themeColor="text1"/>
                <w:sz w:val="20"/>
                <w:szCs w:val="20"/>
              </w:rPr>
              <w:t>Increased relapse, disengagement, compulsory treatment, and hospital readmission (</w:t>
            </w:r>
            <w:proofErr w:type="spellStart"/>
            <w:r w:rsidRPr="00650C77">
              <w:rPr>
                <w:rFonts w:ascii="Arial" w:hAnsi="Arial" w:cs="Arial"/>
                <w:color w:val="000000" w:themeColor="text1"/>
                <w:sz w:val="20"/>
                <w:szCs w:val="20"/>
              </w:rPr>
              <w:t>Nazroo</w:t>
            </w:r>
            <w:proofErr w:type="spellEnd"/>
            <w:r w:rsidRPr="00650C77">
              <w:rPr>
                <w:rFonts w:ascii="Arial" w:hAnsi="Arial" w:cs="Arial"/>
                <w:color w:val="000000" w:themeColor="text1"/>
                <w:sz w:val="20"/>
                <w:szCs w:val="20"/>
              </w:rPr>
              <w:t xml:space="preserve"> et al., 2019; Care Quality Commission, 2023; </w:t>
            </w:r>
            <w:proofErr w:type="spellStart"/>
            <w:r w:rsidRPr="00650C77">
              <w:rPr>
                <w:rFonts w:ascii="Arial" w:hAnsi="Arial" w:cs="Arial"/>
                <w:color w:val="000000" w:themeColor="text1"/>
                <w:sz w:val="20"/>
                <w:szCs w:val="20"/>
              </w:rPr>
              <w:t>Awanawa</w:t>
            </w:r>
            <w:proofErr w:type="spellEnd"/>
            <w:r w:rsidRPr="00650C77">
              <w:rPr>
                <w:rFonts w:ascii="Arial" w:hAnsi="Arial" w:cs="Arial"/>
                <w:color w:val="000000" w:themeColor="text1"/>
                <w:sz w:val="20"/>
                <w:szCs w:val="20"/>
              </w:rPr>
              <w:t xml:space="preserve"> and </w:t>
            </w:r>
            <w:proofErr w:type="spellStart"/>
            <w:r w:rsidRPr="00650C77">
              <w:rPr>
                <w:rFonts w:ascii="Arial" w:hAnsi="Arial" w:cs="Arial"/>
                <w:color w:val="000000" w:themeColor="text1"/>
                <w:sz w:val="20"/>
                <w:szCs w:val="20"/>
              </w:rPr>
              <w:t>Amabebe</w:t>
            </w:r>
            <w:proofErr w:type="spellEnd"/>
            <w:r w:rsidRPr="00650C77">
              <w:rPr>
                <w:rFonts w:ascii="Arial" w:hAnsi="Arial" w:cs="Arial"/>
                <w:color w:val="000000" w:themeColor="text1"/>
                <w:sz w:val="20"/>
                <w:szCs w:val="20"/>
              </w:rPr>
              <w:t>, 2024).</w:t>
            </w:r>
          </w:p>
        </w:tc>
      </w:tr>
      <w:tr w:rsidR="00650C77" w:rsidRPr="00650C77" w14:paraId="11BD53C6" w14:textId="77777777" w:rsidTr="00650C77">
        <w:tc>
          <w:tcPr>
            <w:tcW w:w="3242" w:type="dxa"/>
            <w:tcBorders>
              <w:top w:val="single" w:sz="12" w:space="0" w:color="000000"/>
              <w:left w:val="single" w:sz="12" w:space="0" w:color="000000"/>
              <w:bottom w:val="single" w:sz="12" w:space="0" w:color="000000"/>
              <w:right w:val="single" w:sz="12" w:space="0" w:color="000000"/>
            </w:tcBorders>
            <w:shd w:val="clear" w:color="auto" w:fill="B4C6E7" w:themeFill="accent1" w:themeFillTint="66"/>
          </w:tcPr>
          <w:p w14:paraId="6269F4BA" w14:textId="77777777" w:rsidR="0094530C" w:rsidRPr="00650C77" w:rsidRDefault="0094530C" w:rsidP="008B4D33">
            <w:pPr>
              <w:jc w:val="both"/>
              <w:rPr>
                <w:rFonts w:ascii="Arial" w:hAnsi="Arial" w:cs="Arial"/>
                <w:color w:val="000000" w:themeColor="text1"/>
                <w:sz w:val="20"/>
                <w:szCs w:val="20"/>
              </w:rPr>
            </w:pPr>
            <w:r w:rsidRPr="00650C77">
              <w:rPr>
                <w:rFonts w:ascii="Arial" w:hAnsi="Arial" w:cs="Arial"/>
                <w:color w:val="000000" w:themeColor="text1"/>
                <w:sz w:val="20"/>
                <w:szCs w:val="20"/>
              </w:rPr>
              <w:t>Recognises structural and service-level factors.</w:t>
            </w:r>
          </w:p>
        </w:tc>
        <w:tc>
          <w:tcPr>
            <w:tcW w:w="5812" w:type="dxa"/>
            <w:tcBorders>
              <w:top w:val="single" w:sz="12" w:space="0" w:color="000000"/>
              <w:left w:val="single" w:sz="12" w:space="0" w:color="000000"/>
              <w:bottom w:val="single" w:sz="12" w:space="0" w:color="000000"/>
              <w:right w:val="single" w:sz="12" w:space="0" w:color="000000"/>
            </w:tcBorders>
            <w:shd w:val="clear" w:color="auto" w:fill="B4C6E7" w:themeFill="accent1" w:themeFillTint="66"/>
          </w:tcPr>
          <w:p w14:paraId="15DE71B8" w14:textId="77777777" w:rsidR="0094530C" w:rsidRPr="00650C77" w:rsidRDefault="0094530C" w:rsidP="008B4D33">
            <w:pPr>
              <w:jc w:val="both"/>
              <w:rPr>
                <w:rFonts w:ascii="Arial" w:hAnsi="Arial" w:cs="Arial"/>
                <w:color w:val="000000" w:themeColor="text1"/>
                <w:sz w:val="20"/>
                <w:szCs w:val="20"/>
              </w:rPr>
            </w:pPr>
            <w:r w:rsidRPr="00650C77">
              <w:rPr>
                <w:rFonts w:ascii="Arial" w:hAnsi="Arial" w:cs="Arial"/>
                <w:color w:val="000000" w:themeColor="text1"/>
                <w:sz w:val="20"/>
                <w:szCs w:val="20"/>
              </w:rPr>
              <w:t>Workforce shortages and fragmented pathways reduce effectiveness (</w:t>
            </w:r>
            <w:proofErr w:type="spellStart"/>
            <w:r w:rsidRPr="00650C77">
              <w:rPr>
                <w:rFonts w:ascii="Arial" w:hAnsi="Arial" w:cs="Arial"/>
                <w:color w:val="000000" w:themeColor="text1"/>
                <w:sz w:val="20"/>
                <w:szCs w:val="20"/>
              </w:rPr>
              <w:t>Nazroo</w:t>
            </w:r>
            <w:proofErr w:type="spellEnd"/>
            <w:r w:rsidRPr="00650C77">
              <w:rPr>
                <w:rFonts w:ascii="Arial" w:hAnsi="Arial" w:cs="Arial"/>
                <w:color w:val="000000" w:themeColor="text1"/>
                <w:sz w:val="20"/>
                <w:szCs w:val="20"/>
              </w:rPr>
              <w:t xml:space="preserve"> et al., 2019; Haddock et al., 2020; Royal College of Psychiatrists, 2023).</w:t>
            </w:r>
          </w:p>
        </w:tc>
      </w:tr>
      <w:tr w:rsidR="00650C77" w:rsidRPr="00650C77" w14:paraId="3057CD6B" w14:textId="77777777" w:rsidTr="00650C77">
        <w:tc>
          <w:tcPr>
            <w:tcW w:w="3242" w:type="dxa"/>
            <w:tcBorders>
              <w:top w:val="single" w:sz="12" w:space="0" w:color="000000"/>
              <w:left w:val="single" w:sz="12" w:space="0" w:color="000000"/>
              <w:bottom w:val="single" w:sz="12" w:space="0" w:color="000000"/>
              <w:right w:val="single" w:sz="12" w:space="0" w:color="000000"/>
            </w:tcBorders>
            <w:shd w:val="clear" w:color="auto" w:fill="B4C6E7" w:themeFill="accent1" w:themeFillTint="66"/>
          </w:tcPr>
          <w:p w14:paraId="274381B0" w14:textId="77777777" w:rsidR="0094530C" w:rsidRPr="00650C77" w:rsidRDefault="0094530C" w:rsidP="008B4D33">
            <w:pPr>
              <w:jc w:val="both"/>
              <w:rPr>
                <w:rFonts w:ascii="Arial" w:hAnsi="Arial" w:cs="Arial"/>
                <w:color w:val="000000" w:themeColor="text1"/>
                <w:sz w:val="20"/>
                <w:szCs w:val="20"/>
              </w:rPr>
            </w:pPr>
            <w:r w:rsidRPr="00650C77">
              <w:rPr>
                <w:rFonts w:ascii="Arial" w:hAnsi="Arial" w:cs="Arial"/>
                <w:color w:val="000000" w:themeColor="text1"/>
                <w:sz w:val="20"/>
                <w:szCs w:val="20"/>
              </w:rPr>
              <w:t>Supports coordination and continuity of care.</w:t>
            </w:r>
          </w:p>
        </w:tc>
        <w:tc>
          <w:tcPr>
            <w:tcW w:w="5812" w:type="dxa"/>
            <w:tcBorders>
              <w:top w:val="single" w:sz="12" w:space="0" w:color="000000"/>
              <w:left w:val="single" w:sz="12" w:space="0" w:color="000000"/>
              <w:bottom w:val="single" w:sz="12" w:space="0" w:color="000000"/>
              <w:right w:val="single" w:sz="12" w:space="0" w:color="000000"/>
            </w:tcBorders>
            <w:shd w:val="clear" w:color="auto" w:fill="B4C6E7" w:themeFill="accent1" w:themeFillTint="66"/>
          </w:tcPr>
          <w:p w14:paraId="63D2FD99" w14:textId="77777777" w:rsidR="0094530C" w:rsidRPr="00650C77" w:rsidRDefault="0094530C" w:rsidP="008B4D33">
            <w:pPr>
              <w:jc w:val="both"/>
              <w:rPr>
                <w:rFonts w:ascii="Arial" w:hAnsi="Arial" w:cs="Arial"/>
                <w:color w:val="000000" w:themeColor="text1"/>
                <w:sz w:val="20"/>
                <w:szCs w:val="20"/>
              </w:rPr>
            </w:pPr>
            <w:r w:rsidRPr="00650C77">
              <w:rPr>
                <w:rFonts w:ascii="Arial" w:hAnsi="Arial" w:cs="Arial"/>
                <w:color w:val="000000" w:themeColor="text1"/>
                <w:sz w:val="20"/>
                <w:szCs w:val="20"/>
              </w:rPr>
              <w:t>Uneven implementation due to limited investment and capacity.</w:t>
            </w:r>
          </w:p>
        </w:tc>
      </w:tr>
    </w:tbl>
    <w:p w14:paraId="75ED77B9" w14:textId="77777777" w:rsidR="005E25B8" w:rsidRPr="00650C77" w:rsidRDefault="005E25B8" w:rsidP="005E25B8">
      <w:pPr>
        <w:spacing w:after="0" w:line="360" w:lineRule="auto"/>
        <w:jc w:val="both"/>
        <w:rPr>
          <w:rFonts w:ascii="Arial" w:hAnsi="Arial" w:cs="Arial"/>
          <w:color w:val="000000" w:themeColor="text1"/>
        </w:rPr>
      </w:pPr>
    </w:p>
    <w:p w14:paraId="08BF4471" w14:textId="760DA6E0" w:rsidR="003D31AA" w:rsidRPr="00650C77" w:rsidRDefault="005E25B8" w:rsidP="005E25B8">
      <w:pPr>
        <w:spacing w:after="0" w:line="360" w:lineRule="auto"/>
        <w:jc w:val="both"/>
        <w:rPr>
          <w:rFonts w:ascii="Arial" w:hAnsi="Arial" w:cs="Arial"/>
          <w:color w:val="000000" w:themeColor="text1"/>
        </w:rPr>
      </w:pPr>
      <w:r w:rsidRPr="00650C77">
        <w:rPr>
          <w:rFonts w:ascii="Arial" w:hAnsi="Arial" w:cs="Arial"/>
          <w:color w:val="000000" w:themeColor="text1"/>
        </w:rPr>
        <w:t xml:space="preserve">The </w:t>
      </w:r>
      <w:r w:rsidRPr="00294876">
        <w:rPr>
          <w:rFonts w:ascii="Arial" w:hAnsi="Arial" w:cs="Arial"/>
          <w:color w:val="000000" w:themeColor="text1"/>
        </w:rPr>
        <w:t>table</w:t>
      </w:r>
      <w:r w:rsidRPr="00650C77">
        <w:rPr>
          <w:rFonts w:ascii="Arial" w:hAnsi="Arial" w:cs="Arial"/>
          <w:color w:val="000000" w:themeColor="text1"/>
        </w:rPr>
        <w:t xml:space="preserve"> shows that while integrated care presents a strong framework for improving equity and outcomes, its effectiveness is undermined by persistent structural and service-level barriers. Overall, without consistent investment and workforce support, these inequalities continue to negatively impact access, engagement, and clinical outcomes (</w:t>
      </w:r>
      <w:proofErr w:type="spellStart"/>
      <w:r w:rsidRPr="00650C77">
        <w:rPr>
          <w:rFonts w:ascii="Arial" w:hAnsi="Arial" w:cs="Arial"/>
          <w:color w:val="000000" w:themeColor="text1"/>
        </w:rPr>
        <w:t>Nazroo</w:t>
      </w:r>
      <w:proofErr w:type="spellEnd"/>
      <w:r w:rsidRPr="00650C77">
        <w:rPr>
          <w:rFonts w:ascii="Arial" w:hAnsi="Arial" w:cs="Arial"/>
          <w:color w:val="000000" w:themeColor="text1"/>
        </w:rPr>
        <w:t xml:space="preserve"> et al., </w:t>
      </w:r>
      <w:r w:rsidR="00FE4501" w:rsidRPr="00650C77">
        <w:rPr>
          <w:rFonts w:ascii="Arial" w:hAnsi="Arial" w:cs="Arial"/>
          <w:color w:val="000000" w:themeColor="text1"/>
        </w:rPr>
        <w:t>2019;</w:t>
      </w:r>
      <w:r w:rsidRPr="00650C77">
        <w:rPr>
          <w:rFonts w:ascii="Arial" w:hAnsi="Arial" w:cs="Arial"/>
          <w:color w:val="000000" w:themeColor="text1"/>
        </w:rPr>
        <w:t xml:space="preserve"> Care Quality Commission, 2023; Royal College of Psychiatrists, 2023).</w:t>
      </w:r>
    </w:p>
    <w:p w14:paraId="777289D5" w14:textId="77777777" w:rsidR="00002AD0" w:rsidRPr="00650C77" w:rsidRDefault="00002AD0" w:rsidP="005E25B8">
      <w:pPr>
        <w:spacing w:after="0" w:line="360" w:lineRule="auto"/>
        <w:jc w:val="both"/>
        <w:rPr>
          <w:rFonts w:ascii="Arial" w:eastAsia="Times New Roman" w:hAnsi="Arial" w:cs="Arial"/>
          <w:color w:val="000000" w:themeColor="text1"/>
          <w:kern w:val="0"/>
          <w:sz w:val="24"/>
          <w:szCs w:val="24"/>
          <w:lang w:eastAsia="en-GB"/>
          <w14:ligatures w14:val="none"/>
        </w:rPr>
      </w:pPr>
    </w:p>
    <w:p w14:paraId="2CB1455F" w14:textId="419E4CC2" w:rsidR="003D31AA" w:rsidRPr="00650C77" w:rsidRDefault="003D31AA" w:rsidP="003D31AA">
      <w:pPr>
        <w:spacing w:before="100" w:beforeAutospacing="1" w:after="100" w:afterAutospacing="1" w:line="360" w:lineRule="auto"/>
        <w:jc w:val="both"/>
        <w:outlineLvl w:val="2"/>
        <w:rPr>
          <w:rFonts w:ascii="Arial" w:eastAsia="Times New Roman" w:hAnsi="Arial" w:cs="Arial"/>
          <w:b/>
          <w:bCs/>
          <w:color w:val="000000" w:themeColor="text1"/>
          <w:kern w:val="0"/>
          <w:sz w:val="27"/>
          <w:szCs w:val="27"/>
          <w:lang w:eastAsia="en-GB"/>
          <w14:ligatures w14:val="none"/>
        </w:rPr>
      </w:pPr>
      <w:r w:rsidRPr="00650C77">
        <w:rPr>
          <w:rFonts w:ascii="Arial" w:eastAsia="Times New Roman" w:hAnsi="Arial" w:cs="Arial"/>
          <w:b/>
          <w:bCs/>
          <w:color w:val="000000" w:themeColor="text1"/>
          <w:kern w:val="0"/>
          <w:sz w:val="27"/>
          <w:szCs w:val="27"/>
          <w:lang w:eastAsia="en-GB"/>
          <w14:ligatures w14:val="none"/>
        </w:rPr>
        <w:t>4.4.7 Examples from the Literature</w:t>
      </w:r>
      <w:r w:rsidR="00C20D64" w:rsidRPr="00650C77">
        <w:rPr>
          <w:rFonts w:ascii="Arial" w:eastAsia="Times New Roman" w:hAnsi="Arial" w:cs="Arial"/>
          <w:b/>
          <w:bCs/>
          <w:color w:val="000000" w:themeColor="text1"/>
          <w:kern w:val="0"/>
          <w:sz w:val="27"/>
          <w:szCs w:val="27"/>
          <w:lang w:eastAsia="en-GB"/>
          <w14:ligatures w14:val="none"/>
        </w:rPr>
        <w:t>:</w:t>
      </w:r>
    </w:p>
    <w:p w14:paraId="335030A1" w14:textId="21865B6E" w:rsidR="00FD6BD1" w:rsidRPr="00650C77" w:rsidRDefault="00FD6BD1" w:rsidP="00FD6BD1">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Several studies from the reviewed literature support this theme. </w:t>
      </w:r>
      <w:r w:rsidR="009950C6" w:rsidRPr="00650C77">
        <w:rPr>
          <w:rFonts w:ascii="Arial" w:hAnsi="Arial" w:cs="Arial"/>
          <w:color w:val="000000" w:themeColor="text1"/>
          <w:sz w:val="22"/>
          <w:szCs w:val="22"/>
        </w:rPr>
        <w:t xml:space="preserve">For example, </w:t>
      </w:r>
      <w:proofErr w:type="spellStart"/>
      <w:r w:rsidRPr="00650C77">
        <w:rPr>
          <w:rFonts w:ascii="Arial" w:hAnsi="Arial" w:cs="Arial"/>
          <w:color w:val="000000" w:themeColor="text1"/>
          <w:sz w:val="22"/>
          <w:szCs w:val="22"/>
        </w:rPr>
        <w:t>Nazroo</w:t>
      </w:r>
      <w:proofErr w:type="spellEnd"/>
      <w:r w:rsidRPr="00650C77">
        <w:rPr>
          <w:rFonts w:ascii="Arial" w:hAnsi="Arial" w:cs="Arial"/>
          <w:color w:val="000000" w:themeColor="text1"/>
          <w:sz w:val="22"/>
          <w:szCs w:val="22"/>
        </w:rPr>
        <w:t xml:space="preserve"> et al. (2019) show that Black African and Caribbean individuals are more likely to experience coercive pathways, including compulsory detention, which leads to poorer engagement and long-term outcomes.</w:t>
      </w:r>
      <w:r w:rsidR="009950C6" w:rsidRPr="00650C77">
        <w:rPr>
          <w:rFonts w:ascii="Arial" w:hAnsi="Arial" w:cs="Arial"/>
          <w:color w:val="000000" w:themeColor="text1"/>
          <w:sz w:val="22"/>
          <w:szCs w:val="22"/>
        </w:rPr>
        <w:t xml:space="preserve"> </w:t>
      </w:r>
      <w:r w:rsidRPr="00650C77">
        <w:rPr>
          <w:rFonts w:ascii="Arial" w:hAnsi="Arial" w:cs="Arial"/>
          <w:color w:val="000000" w:themeColor="text1"/>
          <w:sz w:val="22"/>
          <w:szCs w:val="22"/>
        </w:rPr>
        <w:t xml:space="preserve">Haddock et al. (2020) identify regional variation in access to </w:t>
      </w:r>
      <w:proofErr w:type="spellStart"/>
      <w:r w:rsidRPr="00650C77">
        <w:rPr>
          <w:rFonts w:ascii="Arial" w:hAnsi="Arial" w:cs="Arial"/>
          <w:color w:val="000000" w:themeColor="text1"/>
          <w:sz w:val="22"/>
          <w:szCs w:val="22"/>
        </w:rPr>
        <w:t>CBTp</w:t>
      </w:r>
      <w:proofErr w:type="spellEnd"/>
      <w:r w:rsidRPr="00650C77">
        <w:rPr>
          <w:rFonts w:ascii="Arial" w:hAnsi="Arial" w:cs="Arial"/>
          <w:color w:val="000000" w:themeColor="text1"/>
          <w:sz w:val="22"/>
          <w:szCs w:val="22"/>
        </w:rPr>
        <w:t>, linked to workforce shortages and inconsistent commissioning. Their findings align with CQC data, showing that inequalities are caused by system-level issues rather than individual choice.</w:t>
      </w:r>
    </w:p>
    <w:p w14:paraId="26666E3A" w14:textId="77777777" w:rsidR="00FD6BD1" w:rsidRDefault="00FD6BD1" w:rsidP="00FD6BD1">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In contrast, Repper and Perkins (2021) show that recovery-oriented services with peer support can improve engagement and satisfaction. Overall, these studies suggest that inequalities are systemic but can be reduced through better service design.</w:t>
      </w:r>
    </w:p>
    <w:p w14:paraId="110102AB" w14:textId="77777777" w:rsidR="006F7DA7" w:rsidRDefault="006F7DA7" w:rsidP="00FD6BD1">
      <w:pPr>
        <w:pStyle w:val="NormalWeb"/>
        <w:spacing w:line="360" w:lineRule="auto"/>
        <w:jc w:val="both"/>
        <w:rPr>
          <w:rFonts w:ascii="Arial" w:hAnsi="Arial" w:cs="Arial"/>
          <w:color w:val="000000" w:themeColor="text1"/>
          <w:sz w:val="22"/>
          <w:szCs w:val="22"/>
        </w:rPr>
      </w:pPr>
    </w:p>
    <w:p w14:paraId="2FCDDD89" w14:textId="77777777" w:rsidR="006F7DA7" w:rsidRDefault="006F7DA7" w:rsidP="00FD6BD1">
      <w:pPr>
        <w:pStyle w:val="NormalWeb"/>
        <w:spacing w:line="360" w:lineRule="auto"/>
        <w:jc w:val="both"/>
        <w:rPr>
          <w:rFonts w:ascii="Arial" w:hAnsi="Arial" w:cs="Arial"/>
          <w:color w:val="000000" w:themeColor="text1"/>
          <w:sz w:val="22"/>
          <w:szCs w:val="22"/>
        </w:rPr>
      </w:pPr>
    </w:p>
    <w:p w14:paraId="53368BAE" w14:textId="77777777" w:rsidR="006F7DA7" w:rsidRPr="00650C77" w:rsidRDefault="006F7DA7" w:rsidP="00FD6BD1">
      <w:pPr>
        <w:pStyle w:val="NormalWeb"/>
        <w:spacing w:line="360" w:lineRule="auto"/>
        <w:jc w:val="both"/>
        <w:rPr>
          <w:rFonts w:ascii="Arial" w:hAnsi="Arial" w:cs="Arial"/>
          <w:color w:val="000000" w:themeColor="text1"/>
          <w:sz w:val="22"/>
          <w:szCs w:val="22"/>
        </w:rPr>
      </w:pPr>
    </w:p>
    <w:p w14:paraId="3EC869BA" w14:textId="43A0A141" w:rsidR="00FD6BD1" w:rsidRPr="00650C77" w:rsidRDefault="00FD6BD1" w:rsidP="00723C0D">
      <w:pPr>
        <w:pStyle w:val="NormalWeb"/>
        <w:spacing w:line="360" w:lineRule="auto"/>
        <w:jc w:val="both"/>
        <w:rPr>
          <w:rFonts w:ascii="Arial" w:hAnsi="Arial" w:cs="Arial"/>
          <w:b/>
          <w:bCs/>
          <w:color w:val="000000" w:themeColor="text1"/>
          <w:sz w:val="22"/>
          <w:szCs w:val="22"/>
        </w:rPr>
      </w:pPr>
      <w:r w:rsidRPr="00650C77">
        <w:rPr>
          <w:rFonts w:ascii="Arial" w:hAnsi="Arial" w:cs="Arial"/>
          <w:b/>
          <w:bCs/>
          <w:color w:val="000000" w:themeColor="text1"/>
          <w:sz w:val="22"/>
          <w:szCs w:val="22"/>
        </w:rPr>
        <w:lastRenderedPageBreak/>
        <w:t>Table 4.4.7.1 Examples from the Literature</w:t>
      </w:r>
    </w:p>
    <w:tbl>
      <w:tblPr>
        <w:tblStyle w:val="TableGrid"/>
        <w:tblW w:w="9072" w:type="dxa"/>
        <w:tblInd w:w="-5" w:type="dxa"/>
        <w:tblLook w:val="04A0" w:firstRow="1" w:lastRow="0" w:firstColumn="1" w:lastColumn="0" w:noHBand="0" w:noVBand="1"/>
      </w:tblPr>
      <w:tblGrid>
        <w:gridCol w:w="1128"/>
        <w:gridCol w:w="3627"/>
        <w:gridCol w:w="1384"/>
        <w:gridCol w:w="2933"/>
      </w:tblGrid>
      <w:tr w:rsidR="00650C77" w:rsidRPr="00650C77" w14:paraId="4AB61F9A" w14:textId="77777777" w:rsidTr="00FD6BD1">
        <w:tc>
          <w:tcPr>
            <w:tcW w:w="1128" w:type="dxa"/>
            <w:shd w:val="clear" w:color="auto" w:fill="B4C6E7" w:themeFill="accent1" w:themeFillTint="66"/>
          </w:tcPr>
          <w:p w14:paraId="54EB5B9C"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b/>
                <w:color w:val="000000" w:themeColor="text1"/>
                <w:sz w:val="20"/>
                <w:szCs w:val="20"/>
              </w:rPr>
              <w:t>Study</w:t>
            </w:r>
          </w:p>
        </w:tc>
        <w:tc>
          <w:tcPr>
            <w:tcW w:w="3627" w:type="dxa"/>
            <w:shd w:val="clear" w:color="auto" w:fill="B4C6E7" w:themeFill="accent1" w:themeFillTint="66"/>
          </w:tcPr>
          <w:p w14:paraId="642665C2"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b/>
                <w:color w:val="000000" w:themeColor="text1"/>
                <w:sz w:val="20"/>
                <w:szCs w:val="20"/>
              </w:rPr>
              <w:t>Key Findings</w:t>
            </w:r>
          </w:p>
        </w:tc>
        <w:tc>
          <w:tcPr>
            <w:tcW w:w="1384" w:type="dxa"/>
            <w:shd w:val="clear" w:color="auto" w:fill="B4C6E7" w:themeFill="accent1" w:themeFillTint="66"/>
          </w:tcPr>
          <w:p w14:paraId="301AA782"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b/>
                <w:color w:val="000000" w:themeColor="text1"/>
                <w:sz w:val="20"/>
                <w:szCs w:val="20"/>
              </w:rPr>
              <w:t>Focus</w:t>
            </w:r>
          </w:p>
        </w:tc>
        <w:tc>
          <w:tcPr>
            <w:tcW w:w="2933" w:type="dxa"/>
            <w:shd w:val="clear" w:color="auto" w:fill="B4C6E7" w:themeFill="accent1" w:themeFillTint="66"/>
          </w:tcPr>
          <w:p w14:paraId="0998EC83"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b/>
                <w:color w:val="000000" w:themeColor="text1"/>
                <w:sz w:val="20"/>
                <w:szCs w:val="20"/>
              </w:rPr>
              <w:t>Contribution to Theme</w:t>
            </w:r>
          </w:p>
        </w:tc>
      </w:tr>
      <w:tr w:rsidR="00650C77" w:rsidRPr="00650C77" w14:paraId="047EF199" w14:textId="77777777" w:rsidTr="00FD6BD1">
        <w:tc>
          <w:tcPr>
            <w:tcW w:w="1128" w:type="dxa"/>
            <w:shd w:val="clear" w:color="auto" w:fill="B4C6E7" w:themeFill="accent1" w:themeFillTint="66"/>
          </w:tcPr>
          <w:p w14:paraId="47E731C2" w14:textId="77777777" w:rsidR="00FD6BD1" w:rsidRPr="00650C77" w:rsidRDefault="00FD6BD1" w:rsidP="001843A2">
            <w:pPr>
              <w:spacing w:line="276" w:lineRule="auto"/>
              <w:jc w:val="both"/>
              <w:rPr>
                <w:rFonts w:ascii="Arial" w:hAnsi="Arial" w:cs="Arial"/>
                <w:color w:val="000000" w:themeColor="text1"/>
                <w:sz w:val="20"/>
                <w:szCs w:val="20"/>
              </w:rPr>
            </w:pPr>
            <w:proofErr w:type="spellStart"/>
            <w:r w:rsidRPr="00650C77">
              <w:rPr>
                <w:rFonts w:ascii="Arial" w:hAnsi="Arial" w:cs="Arial"/>
                <w:color w:val="000000" w:themeColor="text1"/>
                <w:sz w:val="20"/>
                <w:szCs w:val="20"/>
              </w:rPr>
              <w:t>Nazroo</w:t>
            </w:r>
            <w:proofErr w:type="spellEnd"/>
            <w:r w:rsidRPr="00650C77">
              <w:rPr>
                <w:rFonts w:ascii="Arial" w:hAnsi="Arial" w:cs="Arial"/>
                <w:color w:val="000000" w:themeColor="text1"/>
                <w:sz w:val="20"/>
                <w:szCs w:val="20"/>
              </w:rPr>
              <w:t xml:space="preserve"> et al. (2019)</w:t>
            </w:r>
          </w:p>
        </w:tc>
        <w:tc>
          <w:tcPr>
            <w:tcW w:w="3627" w:type="dxa"/>
            <w:shd w:val="clear" w:color="auto" w:fill="B4C6E7" w:themeFill="accent1" w:themeFillTint="66"/>
          </w:tcPr>
          <w:p w14:paraId="0B6CBF03"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Black African and Caribbean individuals are more likely to experience coercive pathways, including compulsory detention. This is linked to poorer engagement and outcomes.</w:t>
            </w:r>
          </w:p>
        </w:tc>
        <w:tc>
          <w:tcPr>
            <w:tcW w:w="1384" w:type="dxa"/>
            <w:shd w:val="clear" w:color="auto" w:fill="B4C6E7" w:themeFill="accent1" w:themeFillTint="66"/>
          </w:tcPr>
          <w:p w14:paraId="65E8A044"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Inequality</w:t>
            </w:r>
          </w:p>
        </w:tc>
        <w:tc>
          <w:tcPr>
            <w:tcW w:w="2933" w:type="dxa"/>
            <w:shd w:val="clear" w:color="auto" w:fill="B4C6E7" w:themeFill="accent1" w:themeFillTint="66"/>
          </w:tcPr>
          <w:p w14:paraId="28594A2A"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Demonstrates how ethnic inequalities negatively affect care experiences and outcomes.</w:t>
            </w:r>
          </w:p>
        </w:tc>
      </w:tr>
      <w:tr w:rsidR="00650C77" w:rsidRPr="00650C77" w14:paraId="5184E100" w14:textId="77777777" w:rsidTr="00FD6BD1">
        <w:tc>
          <w:tcPr>
            <w:tcW w:w="1128" w:type="dxa"/>
            <w:shd w:val="clear" w:color="auto" w:fill="B4C6E7" w:themeFill="accent1" w:themeFillTint="66"/>
          </w:tcPr>
          <w:p w14:paraId="150720E0"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Haddock et al. (2020)</w:t>
            </w:r>
          </w:p>
        </w:tc>
        <w:tc>
          <w:tcPr>
            <w:tcW w:w="3627" w:type="dxa"/>
            <w:shd w:val="clear" w:color="auto" w:fill="B4C6E7" w:themeFill="accent1" w:themeFillTint="66"/>
          </w:tcPr>
          <w:p w14:paraId="4D84DDE2"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 xml:space="preserve">There are regional differences in access to </w:t>
            </w:r>
            <w:proofErr w:type="spellStart"/>
            <w:r w:rsidRPr="00650C77">
              <w:rPr>
                <w:rFonts w:ascii="Arial" w:hAnsi="Arial" w:cs="Arial"/>
                <w:color w:val="000000" w:themeColor="text1"/>
                <w:sz w:val="20"/>
                <w:szCs w:val="20"/>
              </w:rPr>
              <w:t>CBTp</w:t>
            </w:r>
            <w:proofErr w:type="spellEnd"/>
            <w:r w:rsidRPr="00650C77">
              <w:rPr>
                <w:rFonts w:ascii="Arial" w:hAnsi="Arial" w:cs="Arial"/>
                <w:color w:val="000000" w:themeColor="text1"/>
                <w:sz w:val="20"/>
                <w:szCs w:val="20"/>
              </w:rPr>
              <w:t xml:space="preserve"> due to workforce shortages and inconsistent commissioning.</w:t>
            </w:r>
          </w:p>
        </w:tc>
        <w:tc>
          <w:tcPr>
            <w:tcW w:w="1384" w:type="dxa"/>
            <w:shd w:val="clear" w:color="auto" w:fill="B4C6E7" w:themeFill="accent1" w:themeFillTint="66"/>
          </w:tcPr>
          <w:p w14:paraId="7D40FCE4"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Variation</w:t>
            </w:r>
          </w:p>
        </w:tc>
        <w:tc>
          <w:tcPr>
            <w:tcW w:w="2933" w:type="dxa"/>
            <w:shd w:val="clear" w:color="auto" w:fill="B4C6E7" w:themeFill="accent1" w:themeFillTint="66"/>
          </w:tcPr>
          <w:p w14:paraId="4132B635"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Highlights system-level causes of unequal service provision across regions.</w:t>
            </w:r>
          </w:p>
        </w:tc>
      </w:tr>
      <w:tr w:rsidR="00650C77" w:rsidRPr="00650C77" w14:paraId="5A079038" w14:textId="77777777" w:rsidTr="00FD6BD1">
        <w:tc>
          <w:tcPr>
            <w:tcW w:w="1128" w:type="dxa"/>
            <w:shd w:val="clear" w:color="auto" w:fill="B4C6E7" w:themeFill="accent1" w:themeFillTint="66"/>
          </w:tcPr>
          <w:p w14:paraId="71B89D5B"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Repper and Perkins (2021)</w:t>
            </w:r>
          </w:p>
        </w:tc>
        <w:tc>
          <w:tcPr>
            <w:tcW w:w="3627" w:type="dxa"/>
            <w:shd w:val="clear" w:color="auto" w:fill="B4C6E7" w:themeFill="accent1" w:themeFillTint="66"/>
          </w:tcPr>
          <w:p w14:paraId="52799C86"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Recovery-focused services with peer support improve engagement and patient satisfaction.</w:t>
            </w:r>
          </w:p>
        </w:tc>
        <w:tc>
          <w:tcPr>
            <w:tcW w:w="1384" w:type="dxa"/>
            <w:shd w:val="clear" w:color="auto" w:fill="B4C6E7" w:themeFill="accent1" w:themeFillTint="66"/>
          </w:tcPr>
          <w:p w14:paraId="1E76B33F"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Improvement / Reducing Inequality</w:t>
            </w:r>
          </w:p>
        </w:tc>
        <w:tc>
          <w:tcPr>
            <w:tcW w:w="2933" w:type="dxa"/>
            <w:shd w:val="clear" w:color="auto" w:fill="B4C6E7" w:themeFill="accent1" w:themeFillTint="66"/>
          </w:tcPr>
          <w:p w14:paraId="4AC7474F" w14:textId="77777777" w:rsidR="00FD6BD1" w:rsidRPr="00650C77" w:rsidRDefault="00FD6BD1"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Shows that inclusive service design can reduce access barriers and inequalities.</w:t>
            </w:r>
          </w:p>
        </w:tc>
      </w:tr>
    </w:tbl>
    <w:p w14:paraId="34F30FAB" w14:textId="6E996408" w:rsidR="00002AD0" w:rsidRPr="00650C77" w:rsidRDefault="00FD6BD1" w:rsidP="006F7DA7">
      <w:pPr>
        <w:pStyle w:val="NormalWeb"/>
        <w:spacing w:line="360" w:lineRule="auto"/>
        <w:jc w:val="both"/>
        <w:rPr>
          <w:color w:val="000000" w:themeColor="text1"/>
        </w:rPr>
      </w:pPr>
      <w:r w:rsidRPr="00650C77">
        <w:rPr>
          <w:rFonts w:ascii="Arial" w:hAnsi="Arial" w:cs="Arial"/>
          <w:color w:val="000000" w:themeColor="text1"/>
          <w:sz w:val="22"/>
          <w:szCs w:val="22"/>
        </w:rPr>
        <w:t>The table shows that inequalities in schizophrenia care are mainly caused by systemic issues such as ethnicity and regional differences in service provision. It also highlights that while these inequalities persist, inclusive and recovery-focused service models can help improve access and patient outcomes</w:t>
      </w:r>
      <w:r w:rsidRPr="00650C77">
        <w:rPr>
          <w:color w:val="000000" w:themeColor="text1"/>
        </w:rPr>
        <w:t>.</w:t>
      </w:r>
    </w:p>
    <w:p w14:paraId="4C5C5A8F" w14:textId="77777777" w:rsidR="003D31AA" w:rsidRPr="00650C77" w:rsidRDefault="003D31AA" w:rsidP="003D31AA">
      <w:pPr>
        <w:spacing w:before="100" w:beforeAutospacing="1" w:after="100" w:afterAutospacing="1" w:line="360" w:lineRule="auto"/>
        <w:jc w:val="both"/>
        <w:outlineLvl w:val="2"/>
        <w:rPr>
          <w:rFonts w:ascii="Arial" w:eastAsia="Times New Roman" w:hAnsi="Arial" w:cs="Arial"/>
          <w:b/>
          <w:bCs/>
          <w:color w:val="000000" w:themeColor="text1"/>
          <w:kern w:val="0"/>
          <w:sz w:val="27"/>
          <w:szCs w:val="27"/>
          <w:lang w:eastAsia="en-GB"/>
          <w14:ligatures w14:val="none"/>
        </w:rPr>
      </w:pPr>
      <w:r w:rsidRPr="00650C77">
        <w:rPr>
          <w:rFonts w:ascii="Arial" w:eastAsia="Times New Roman" w:hAnsi="Arial" w:cs="Arial"/>
          <w:b/>
          <w:bCs/>
          <w:color w:val="000000" w:themeColor="text1"/>
          <w:kern w:val="0"/>
          <w:sz w:val="27"/>
          <w:szCs w:val="27"/>
          <w:lang w:eastAsia="en-GB"/>
          <w14:ligatures w14:val="none"/>
        </w:rPr>
        <w:t>4.4.8 Connections to Other Themes theme 2 with theme 1 and 3</w:t>
      </w:r>
    </w:p>
    <w:p w14:paraId="3523A542" w14:textId="0A3B953B" w:rsidR="00A0255C" w:rsidRPr="00650C77" w:rsidRDefault="00723C0D" w:rsidP="00A0255C">
      <w:pPr>
        <w:spacing w:before="100" w:beforeAutospacing="1" w:after="100" w:afterAutospacing="1" w:line="360" w:lineRule="auto"/>
        <w:jc w:val="both"/>
        <w:rPr>
          <w:rFonts w:ascii="Arial" w:hAnsi="Arial" w:cs="Arial"/>
          <w:color w:val="000000" w:themeColor="text1"/>
        </w:rPr>
      </w:pPr>
      <w:r w:rsidRPr="00650C77">
        <w:rPr>
          <w:rFonts w:ascii="Arial" w:hAnsi="Arial" w:cs="Arial"/>
          <w:color w:val="000000" w:themeColor="text1"/>
        </w:rPr>
        <w:t xml:space="preserve">Theme 2 links to Theme 1, as treatments like </w:t>
      </w:r>
      <w:proofErr w:type="spellStart"/>
      <w:r w:rsidRPr="00650C77">
        <w:rPr>
          <w:rFonts w:ascii="Arial" w:hAnsi="Arial" w:cs="Arial"/>
          <w:color w:val="000000" w:themeColor="text1"/>
        </w:rPr>
        <w:t>CBTp</w:t>
      </w:r>
      <w:proofErr w:type="spellEnd"/>
      <w:r w:rsidRPr="00650C77">
        <w:rPr>
          <w:rFonts w:ascii="Arial" w:hAnsi="Arial" w:cs="Arial"/>
          <w:color w:val="000000" w:themeColor="text1"/>
        </w:rPr>
        <w:t xml:space="preserve"> and EIP are only effective when accessible. </w:t>
      </w:r>
      <w:r w:rsidRPr="00650C77">
        <w:rPr>
          <w:rStyle w:val="whitespace-normal"/>
          <w:rFonts w:ascii="Arial" w:hAnsi="Arial" w:cs="Arial"/>
          <w:color w:val="000000" w:themeColor="text1"/>
        </w:rPr>
        <w:t>Gill Haddock</w:t>
      </w:r>
      <w:r w:rsidRPr="00650C77">
        <w:rPr>
          <w:rFonts w:ascii="Arial" w:hAnsi="Arial" w:cs="Arial"/>
          <w:color w:val="000000" w:themeColor="text1"/>
        </w:rPr>
        <w:t xml:space="preserve"> et al. (2020) found limited </w:t>
      </w:r>
      <w:proofErr w:type="spellStart"/>
      <w:r w:rsidRPr="00650C77">
        <w:rPr>
          <w:rFonts w:ascii="Arial" w:hAnsi="Arial" w:cs="Arial"/>
          <w:color w:val="000000" w:themeColor="text1"/>
        </w:rPr>
        <w:t>CBTp</w:t>
      </w:r>
      <w:proofErr w:type="spellEnd"/>
      <w:r w:rsidRPr="00650C77">
        <w:rPr>
          <w:rFonts w:ascii="Arial" w:hAnsi="Arial" w:cs="Arial"/>
          <w:color w:val="000000" w:themeColor="text1"/>
        </w:rPr>
        <w:t xml:space="preserve"> access in deprived areas, while the </w:t>
      </w:r>
      <w:r w:rsidRPr="00650C77">
        <w:rPr>
          <w:rStyle w:val="whitespace-normal"/>
          <w:rFonts w:ascii="Arial" w:hAnsi="Arial" w:cs="Arial"/>
          <w:color w:val="000000" w:themeColor="text1"/>
        </w:rPr>
        <w:t>Care Quality Commission</w:t>
      </w:r>
      <w:r w:rsidRPr="00650C77">
        <w:rPr>
          <w:rFonts w:ascii="Arial" w:hAnsi="Arial" w:cs="Arial"/>
          <w:color w:val="000000" w:themeColor="text1"/>
        </w:rPr>
        <w:t xml:space="preserve"> (2023) reported inequalities in crisis pathways. It also connects to Theme 3, as integrated care improves access and outcomes (</w:t>
      </w:r>
      <w:proofErr w:type="spellStart"/>
      <w:r w:rsidRPr="00650C77">
        <w:rPr>
          <w:rFonts w:ascii="Arial" w:hAnsi="Arial" w:cs="Arial"/>
          <w:color w:val="000000" w:themeColor="text1"/>
        </w:rPr>
        <w:t>Nazroo</w:t>
      </w:r>
      <w:proofErr w:type="spellEnd"/>
      <w:r w:rsidRPr="00650C77">
        <w:rPr>
          <w:rFonts w:ascii="Arial" w:hAnsi="Arial" w:cs="Arial"/>
          <w:color w:val="000000" w:themeColor="text1"/>
        </w:rPr>
        <w:t xml:space="preserve"> et al., 2019; NHS England, 2022; Repper and Perkins, 2021).</w:t>
      </w:r>
      <w:r w:rsidR="00A0255C" w:rsidRPr="00650C77">
        <w:rPr>
          <w:rFonts w:ascii="Arial" w:eastAsia="Times New Roman" w:hAnsi="Arial" w:cs="Arial"/>
          <w:vanish/>
          <w:color w:val="000000" w:themeColor="text1"/>
          <w:kern w:val="0"/>
          <w:lang w:eastAsia="en-GB"/>
          <w14:ligatures w14:val="none"/>
        </w:rPr>
        <w:t>Top of Form</w:t>
      </w:r>
    </w:p>
    <w:p w14:paraId="63B0853D" w14:textId="77777777" w:rsidR="00723C0D" w:rsidRPr="00650C77" w:rsidRDefault="00723C0D" w:rsidP="00A0255C">
      <w:pPr>
        <w:spacing w:before="100" w:beforeAutospacing="1" w:after="100" w:afterAutospacing="1" w:line="360" w:lineRule="auto"/>
        <w:jc w:val="both"/>
        <w:rPr>
          <w:rFonts w:ascii="Arial" w:eastAsia="Times New Roman" w:hAnsi="Arial" w:cs="Arial"/>
          <w:vanish/>
          <w:color w:val="000000" w:themeColor="text1"/>
          <w:kern w:val="0"/>
          <w:sz w:val="16"/>
          <w:szCs w:val="16"/>
          <w:lang w:eastAsia="en-GB"/>
          <w14:ligatures w14:val="none"/>
        </w:rPr>
      </w:pPr>
    </w:p>
    <w:p w14:paraId="7780F723" w14:textId="77777777" w:rsidR="00A0255C" w:rsidRPr="00650C77" w:rsidRDefault="00A0255C" w:rsidP="00A0255C">
      <w:pPr>
        <w:pBdr>
          <w:top w:val="single" w:sz="6" w:space="1" w:color="auto"/>
        </w:pBdr>
        <w:spacing w:after="0" w:line="240" w:lineRule="auto"/>
        <w:rPr>
          <w:rFonts w:ascii="Arial" w:eastAsia="Times New Roman" w:hAnsi="Arial" w:cs="Arial"/>
          <w:vanish/>
          <w:color w:val="000000" w:themeColor="text1"/>
          <w:kern w:val="0"/>
          <w:sz w:val="16"/>
          <w:szCs w:val="16"/>
          <w:lang w:eastAsia="en-GB"/>
          <w14:ligatures w14:val="none"/>
        </w:rPr>
      </w:pPr>
      <w:r w:rsidRPr="00650C77">
        <w:rPr>
          <w:rFonts w:ascii="Arial" w:eastAsia="Times New Roman" w:hAnsi="Arial" w:cs="Arial"/>
          <w:vanish/>
          <w:color w:val="000000" w:themeColor="text1"/>
          <w:kern w:val="0"/>
          <w:sz w:val="16"/>
          <w:szCs w:val="16"/>
          <w:lang w:eastAsia="en-GB"/>
          <w14:ligatures w14:val="none"/>
        </w:rPr>
        <w:t>Bottom of Form</w:t>
      </w:r>
    </w:p>
    <w:p w14:paraId="36654A69" w14:textId="3854B9DB" w:rsidR="003D2D03" w:rsidRPr="00650C77" w:rsidRDefault="003D2D03" w:rsidP="003D2D03">
      <w:pPr>
        <w:pStyle w:val="Heading2"/>
        <w:rPr>
          <w:rFonts w:ascii="Arial" w:hAnsi="Arial" w:cs="Arial"/>
          <w:b/>
          <w:bCs/>
          <w:color w:val="000000" w:themeColor="text1"/>
          <w:sz w:val="22"/>
          <w:szCs w:val="22"/>
        </w:rPr>
      </w:pPr>
      <w:r w:rsidRPr="00650C77">
        <w:rPr>
          <w:rFonts w:ascii="Arial" w:hAnsi="Arial" w:cs="Arial"/>
          <w:b/>
          <w:bCs/>
          <w:color w:val="000000" w:themeColor="text1"/>
          <w:sz w:val="22"/>
          <w:szCs w:val="22"/>
        </w:rPr>
        <w:t>Table</w:t>
      </w:r>
      <w:r w:rsidR="00A3645E" w:rsidRPr="00650C77">
        <w:rPr>
          <w:rFonts w:ascii="Arial" w:hAnsi="Arial" w:cs="Arial"/>
          <w:b/>
          <w:bCs/>
          <w:color w:val="000000" w:themeColor="text1"/>
          <w:sz w:val="22"/>
          <w:szCs w:val="22"/>
        </w:rPr>
        <w:t xml:space="preserve"> </w:t>
      </w:r>
      <w:r w:rsidR="006F7DA7" w:rsidRPr="00650C77">
        <w:rPr>
          <w:rFonts w:ascii="Arial" w:hAnsi="Arial" w:cs="Arial"/>
          <w:b/>
          <w:bCs/>
          <w:color w:val="000000" w:themeColor="text1"/>
          <w:sz w:val="22"/>
          <w:szCs w:val="22"/>
        </w:rPr>
        <w:t>4.4.8.1:</w:t>
      </w:r>
      <w:r w:rsidRPr="00650C77">
        <w:rPr>
          <w:rFonts w:ascii="Arial" w:hAnsi="Arial" w:cs="Arial"/>
          <w:b/>
          <w:bCs/>
          <w:color w:val="000000" w:themeColor="text1"/>
          <w:sz w:val="22"/>
          <w:szCs w:val="22"/>
        </w:rPr>
        <w:t xml:space="preserve"> Connections Between Theme 2 and Other Themes in Schizophrenia Care</w:t>
      </w:r>
    </w:p>
    <w:tbl>
      <w:tblPr>
        <w:tblStyle w:val="TableGrid"/>
        <w:tblW w:w="9180" w:type="dxa"/>
        <w:tblInd w:w="-113" w:type="dxa"/>
        <w:tblLook w:val="04A0" w:firstRow="1" w:lastRow="0" w:firstColumn="1" w:lastColumn="0" w:noHBand="0" w:noVBand="1"/>
      </w:tblPr>
      <w:tblGrid>
        <w:gridCol w:w="2160"/>
        <w:gridCol w:w="2160"/>
        <w:gridCol w:w="2160"/>
        <w:gridCol w:w="2700"/>
      </w:tblGrid>
      <w:tr w:rsidR="00650C77" w:rsidRPr="00650C77" w14:paraId="31FF2096" w14:textId="77777777" w:rsidTr="00F85D58">
        <w:tc>
          <w:tcPr>
            <w:tcW w:w="2160" w:type="dxa"/>
            <w:shd w:val="clear" w:color="auto" w:fill="B4C6E7" w:themeFill="accent1" w:themeFillTint="66"/>
          </w:tcPr>
          <w:p w14:paraId="66E46998" w14:textId="77777777" w:rsidR="003D2D03" w:rsidRPr="00650C77" w:rsidRDefault="003D2D03" w:rsidP="001C7715">
            <w:pPr>
              <w:rPr>
                <w:rFonts w:ascii="Arial" w:hAnsi="Arial" w:cs="Arial"/>
                <w:b/>
                <w:bCs/>
                <w:color w:val="000000" w:themeColor="text1"/>
                <w:sz w:val="18"/>
                <w:szCs w:val="18"/>
              </w:rPr>
            </w:pPr>
            <w:r w:rsidRPr="00650C77">
              <w:rPr>
                <w:rFonts w:ascii="Arial" w:hAnsi="Arial" w:cs="Arial"/>
                <w:b/>
                <w:bCs/>
                <w:color w:val="000000" w:themeColor="text1"/>
                <w:sz w:val="18"/>
                <w:szCs w:val="18"/>
              </w:rPr>
              <w:t>Theme Link</w:t>
            </w:r>
          </w:p>
        </w:tc>
        <w:tc>
          <w:tcPr>
            <w:tcW w:w="2160" w:type="dxa"/>
            <w:shd w:val="clear" w:color="auto" w:fill="B4C6E7" w:themeFill="accent1" w:themeFillTint="66"/>
          </w:tcPr>
          <w:p w14:paraId="63B3E90C" w14:textId="77777777" w:rsidR="003D2D03" w:rsidRPr="00650C77" w:rsidRDefault="003D2D03" w:rsidP="001C7715">
            <w:pPr>
              <w:rPr>
                <w:rFonts w:ascii="Arial" w:hAnsi="Arial" w:cs="Arial"/>
                <w:b/>
                <w:bCs/>
                <w:color w:val="000000" w:themeColor="text1"/>
                <w:sz w:val="18"/>
                <w:szCs w:val="18"/>
              </w:rPr>
            </w:pPr>
            <w:r w:rsidRPr="00650C77">
              <w:rPr>
                <w:rFonts w:ascii="Arial" w:hAnsi="Arial" w:cs="Arial"/>
                <w:b/>
                <w:bCs/>
                <w:color w:val="000000" w:themeColor="text1"/>
                <w:sz w:val="18"/>
                <w:szCs w:val="18"/>
              </w:rPr>
              <w:t>Case/Source</w:t>
            </w:r>
          </w:p>
        </w:tc>
        <w:tc>
          <w:tcPr>
            <w:tcW w:w="2160" w:type="dxa"/>
            <w:shd w:val="clear" w:color="auto" w:fill="B4C6E7" w:themeFill="accent1" w:themeFillTint="66"/>
          </w:tcPr>
          <w:p w14:paraId="080062BB" w14:textId="77777777" w:rsidR="003D2D03" w:rsidRPr="00650C77" w:rsidRDefault="003D2D03" w:rsidP="001C7715">
            <w:pPr>
              <w:rPr>
                <w:rFonts w:ascii="Arial" w:hAnsi="Arial" w:cs="Arial"/>
                <w:b/>
                <w:bCs/>
                <w:color w:val="000000" w:themeColor="text1"/>
                <w:sz w:val="18"/>
                <w:szCs w:val="18"/>
              </w:rPr>
            </w:pPr>
            <w:r w:rsidRPr="00650C77">
              <w:rPr>
                <w:rFonts w:ascii="Arial" w:hAnsi="Arial" w:cs="Arial"/>
                <w:b/>
                <w:bCs/>
                <w:color w:val="000000" w:themeColor="text1"/>
                <w:sz w:val="18"/>
                <w:szCs w:val="18"/>
              </w:rPr>
              <w:t>Key Insight</w:t>
            </w:r>
          </w:p>
        </w:tc>
        <w:tc>
          <w:tcPr>
            <w:tcW w:w="2700" w:type="dxa"/>
            <w:shd w:val="clear" w:color="auto" w:fill="B4C6E7" w:themeFill="accent1" w:themeFillTint="66"/>
          </w:tcPr>
          <w:p w14:paraId="11D84C98" w14:textId="77777777" w:rsidR="003D2D03" w:rsidRPr="00650C77" w:rsidRDefault="003D2D03" w:rsidP="001C7715">
            <w:pPr>
              <w:rPr>
                <w:rFonts w:ascii="Arial" w:hAnsi="Arial" w:cs="Arial"/>
                <w:b/>
                <w:bCs/>
                <w:color w:val="000000" w:themeColor="text1"/>
                <w:sz w:val="18"/>
                <w:szCs w:val="18"/>
              </w:rPr>
            </w:pPr>
            <w:r w:rsidRPr="00650C77">
              <w:rPr>
                <w:rFonts w:ascii="Arial" w:hAnsi="Arial" w:cs="Arial"/>
                <w:b/>
                <w:bCs/>
                <w:color w:val="000000" w:themeColor="text1"/>
                <w:sz w:val="18"/>
                <w:szCs w:val="18"/>
              </w:rPr>
              <w:t>Implication</w:t>
            </w:r>
          </w:p>
        </w:tc>
      </w:tr>
      <w:tr w:rsidR="00650C77" w:rsidRPr="00650C77" w14:paraId="6EE52F71" w14:textId="77777777" w:rsidTr="00F85D58">
        <w:tc>
          <w:tcPr>
            <w:tcW w:w="2160" w:type="dxa"/>
            <w:shd w:val="clear" w:color="auto" w:fill="B4C6E7" w:themeFill="accent1" w:themeFillTint="66"/>
          </w:tcPr>
          <w:p w14:paraId="2391EB44" w14:textId="77777777" w:rsidR="003D2D03" w:rsidRPr="00650C77" w:rsidRDefault="003D2D03" w:rsidP="001C7715">
            <w:pPr>
              <w:rPr>
                <w:rFonts w:ascii="Arial" w:hAnsi="Arial" w:cs="Arial"/>
                <w:b/>
                <w:bCs/>
                <w:color w:val="000000" w:themeColor="text1"/>
                <w:sz w:val="18"/>
                <w:szCs w:val="18"/>
              </w:rPr>
            </w:pPr>
            <w:r w:rsidRPr="00650C77">
              <w:rPr>
                <w:rFonts w:ascii="Arial" w:hAnsi="Arial" w:cs="Arial"/>
                <w:b/>
                <w:bCs/>
                <w:color w:val="000000" w:themeColor="text1"/>
                <w:sz w:val="18"/>
                <w:szCs w:val="18"/>
              </w:rPr>
              <w:t xml:space="preserve">Theme 2 </w:t>
            </w:r>
            <w:r w:rsidRPr="00650C77">
              <w:rPr>
                <w:rFonts w:ascii="Segoe UI Emoji" w:hAnsi="Segoe UI Emoji" w:cs="Segoe UI Emoji"/>
                <w:b/>
                <w:bCs/>
                <w:color w:val="000000" w:themeColor="text1"/>
                <w:sz w:val="18"/>
                <w:szCs w:val="18"/>
              </w:rPr>
              <w:t>➡️</w:t>
            </w:r>
            <w:r w:rsidRPr="00650C77">
              <w:rPr>
                <w:rFonts w:ascii="Arial" w:hAnsi="Arial" w:cs="Arial"/>
                <w:b/>
                <w:bCs/>
                <w:color w:val="000000" w:themeColor="text1"/>
                <w:sz w:val="18"/>
                <w:szCs w:val="18"/>
              </w:rPr>
              <w:t xml:space="preserve"> Theme 1</w:t>
            </w:r>
          </w:p>
        </w:tc>
        <w:tc>
          <w:tcPr>
            <w:tcW w:w="2160" w:type="dxa"/>
            <w:shd w:val="clear" w:color="auto" w:fill="B4C6E7" w:themeFill="accent1" w:themeFillTint="66"/>
          </w:tcPr>
          <w:p w14:paraId="2FFB6233"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Haddock et al. (2020)</w:t>
            </w:r>
          </w:p>
        </w:tc>
        <w:tc>
          <w:tcPr>
            <w:tcW w:w="2160" w:type="dxa"/>
            <w:shd w:val="clear" w:color="auto" w:fill="B4C6E7" w:themeFill="accent1" w:themeFillTint="66"/>
          </w:tcPr>
          <w:p w14:paraId="59F317D7" w14:textId="77777777" w:rsidR="003D2D03" w:rsidRPr="00650C77" w:rsidRDefault="003D2D03" w:rsidP="001C7715">
            <w:pPr>
              <w:rPr>
                <w:rFonts w:ascii="Arial" w:hAnsi="Arial" w:cs="Arial"/>
                <w:color w:val="000000" w:themeColor="text1"/>
                <w:sz w:val="18"/>
                <w:szCs w:val="18"/>
              </w:rPr>
            </w:pPr>
            <w:proofErr w:type="spellStart"/>
            <w:r w:rsidRPr="00650C77">
              <w:rPr>
                <w:rFonts w:ascii="Arial" w:hAnsi="Arial" w:cs="Arial"/>
                <w:color w:val="000000" w:themeColor="text1"/>
                <w:sz w:val="18"/>
                <w:szCs w:val="18"/>
              </w:rPr>
              <w:t>CBTp</w:t>
            </w:r>
            <w:proofErr w:type="spellEnd"/>
            <w:r w:rsidRPr="00650C77">
              <w:rPr>
                <w:rFonts w:ascii="Arial" w:hAnsi="Arial" w:cs="Arial"/>
                <w:color w:val="000000" w:themeColor="text1"/>
                <w:sz w:val="18"/>
                <w:szCs w:val="18"/>
              </w:rPr>
              <w:t xml:space="preserve"> access is lowest in deprived areas</w:t>
            </w:r>
          </w:p>
        </w:tc>
        <w:tc>
          <w:tcPr>
            <w:tcW w:w="2700" w:type="dxa"/>
            <w:shd w:val="clear" w:color="auto" w:fill="B4C6E7" w:themeFill="accent1" w:themeFillTint="66"/>
          </w:tcPr>
          <w:p w14:paraId="5DE680B9"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Treatment effectiveness is undermined where access is unequal</w:t>
            </w:r>
          </w:p>
        </w:tc>
      </w:tr>
      <w:tr w:rsidR="00650C77" w:rsidRPr="00650C77" w14:paraId="7244C4DB" w14:textId="77777777" w:rsidTr="00F85D58">
        <w:tc>
          <w:tcPr>
            <w:tcW w:w="2160" w:type="dxa"/>
            <w:shd w:val="clear" w:color="auto" w:fill="B4C6E7" w:themeFill="accent1" w:themeFillTint="66"/>
          </w:tcPr>
          <w:p w14:paraId="6959F404" w14:textId="77777777" w:rsidR="003D2D03" w:rsidRPr="00650C77" w:rsidRDefault="003D2D03" w:rsidP="001C7715">
            <w:pPr>
              <w:rPr>
                <w:rFonts w:ascii="Arial" w:hAnsi="Arial" w:cs="Arial"/>
                <w:b/>
                <w:bCs/>
                <w:color w:val="000000" w:themeColor="text1"/>
                <w:sz w:val="18"/>
                <w:szCs w:val="18"/>
              </w:rPr>
            </w:pPr>
            <w:r w:rsidRPr="00650C77">
              <w:rPr>
                <w:rFonts w:ascii="Arial" w:hAnsi="Arial" w:cs="Arial"/>
                <w:b/>
                <w:bCs/>
                <w:color w:val="000000" w:themeColor="text1"/>
                <w:sz w:val="18"/>
                <w:szCs w:val="18"/>
              </w:rPr>
              <w:t xml:space="preserve">Theme 2 </w:t>
            </w:r>
            <w:r w:rsidRPr="00650C77">
              <w:rPr>
                <w:rFonts w:ascii="Segoe UI Emoji" w:hAnsi="Segoe UI Emoji" w:cs="Segoe UI Emoji"/>
                <w:b/>
                <w:bCs/>
                <w:color w:val="000000" w:themeColor="text1"/>
                <w:sz w:val="18"/>
                <w:szCs w:val="18"/>
              </w:rPr>
              <w:t>➡️</w:t>
            </w:r>
            <w:r w:rsidRPr="00650C77">
              <w:rPr>
                <w:rFonts w:ascii="Arial" w:hAnsi="Arial" w:cs="Arial"/>
                <w:b/>
                <w:bCs/>
                <w:color w:val="000000" w:themeColor="text1"/>
                <w:sz w:val="18"/>
                <w:szCs w:val="18"/>
              </w:rPr>
              <w:t xml:space="preserve"> Theme 1</w:t>
            </w:r>
          </w:p>
        </w:tc>
        <w:tc>
          <w:tcPr>
            <w:tcW w:w="2160" w:type="dxa"/>
            <w:shd w:val="clear" w:color="auto" w:fill="B4C6E7" w:themeFill="accent1" w:themeFillTint="66"/>
          </w:tcPr>
          <w:p w14:paraId="3AF321EF"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Care Quality Commission (2023)</w:t>
            </w:r>
          </w:p>
        </w:tc>
        <w:tc>
          <w:tcPr>
            <w:tcW w:w="2160" w:type="dxa"/>
            <w:shd w:val="clear" w:color="auto" w:fill="B4C6E7" w:themeFill="accent1" w:themeFillTint="66"/>
          </w:tcPr>
          <w:p w14:paraId="1C69978E"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Crisis-led access among minorities leads to poorer outcomes</w:t>
            </w:r>
          </w:p>
        </w:tc>
        <w:tc>
          <w:tcPr>
            <w:tcW w:w="2700" w:type="dxa"/>
            <w:shd w:val="clear" w:color="auto" w:fill="B4C6E7" w:themeFill="accent1" w:themeFillTint="66"/>
          </w:tcPr>
          <w:p w14:paraId="19E7F23D"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Inequitable access increases readmission and weakens pathway outcomes</w:t>
            </w:r>
          </w:p>
        </w:tc>
      </w:tr>
      <w:tr w:rsidR="00650C77" w:rsidRPr="00650C77" w14:paraId="517A7A16" w14:textId="77777777" w:rsidTr="00F85D58">
        <w:tc>
          <w:tcPr>
            <w:tcW w:w="2160" w:type="dxa"/>
            <w:shd w:val="clear" w:color="auto" w:fill="B4C6E7" w:themeFill="accent1" w:themeFillTint="66"/>
          </w:tcPr>
          <w:p w14:paraId="5340F653" w14:textId="77777777" w:rsidR="003D2D03" w:rsidRPr="00650C77" w:rsidRDefault="003D2D03" w:rsidP="001C7715">
            <w:pPr>
              <w:rPr>
                <w:rFonts w:ascii="Arial" w:hAnsi="Arial" w:cs="Arial"/>
                <w:b/>
                <w:bCs/>
                <w:color w:val="000000" w:themeColor="text1"/>
                <w:sz w:val="18"/>
                <w:szCs w:val="18"/>
              </w:rPr>
            </w:pPr>
            <w:r w:rsidRPr="00650C77">
              <w:rPr>
                <w:rFonts w:ascii="Arial" w:hAnsi="Arial" w:cs="Arial"/>
                <w:b/>
                <w:bCs/>
                <w:color w:val="000000" w:themeColor="text1"/>
                <w:sz w:val="18"/>
                <w:szCs w:val="18"/>
              </w:rPr>
              <w:t xml:space="preserve">Theme 2 </w:t>
            </w:r>
            <w:r w:rsidRPr="00650C77">
              <w:rPr>
                <w:rFonts w:ascii="Segoe UI Emoji" w:hAnsi="Segoe UI Emoji" w:cs="Segoe UI Emoji"/>
                <w:b/>
                <w:bCs/>
                <w:color w:val="000000" w:themeColor="text1"/>
                <w:sz w:val="18"/>
                <w:szCs w:val="18"/>
              </w:rPr>
              <w:t>➡️</w:t>
            </w:r>
            <w:r w:rsidRPr="00650C77">
              <w:rPr>
                <w:rFonts w:ascii="Arial" w:hAnsi="Arial" w:cs="Arial"/>
                <w:b/>
                <w:bCs/>
                <w:color w:val="000000" w:themeColor="text1"/>
                <w:sz w:val="18"/>
                <w:szCs w:val="18"/>
              </w:rPr>
              <w:t xml:space="preserve"> Theme 3</w:t>
            </w:r>
          </w:p>
        </w:tc>
        <w:tc>
          <w:tcPr>
            <w:tcW w:w="2160" w:type="dxa"/>
            <w:shd w:val="clear" w:color="auto" w:fill="B4C6E7" w:themeFill="accent1" w:themeFillTint="66"/>
          </w:tcPr>
          <w:p w14:paraId="7E36B639" w14:textId="77777777" w:rsidR="003D2D03" w:rsidRPr="00650C77" w:rsidRDefault="003D2D03" w:rsidP="001C7715">
            <w:pPr>
              <w:rPr>
                <w:rFonts w:ascii="Arial" w:hAnsi="Arial" w:cs="Arial"/>
                <w:color w:val="000000" w:themeColor="text1"/>
                <w:sz w:val="18"/>
                <w:szCs w:val="18"/>
              </w:rPr>
            </w:pPr>
            <w:proofErr w:type="spellStart"/>
            <w:r w:rsidRPr="00650C77">
              <w:rPr>
                <w:rFonts w:ascii="Arial" w:hAnsi="Arial" w:cs="Arial"/>
                <w:color w:val="000000" w:themeColor="text1"/>
                <w:sz w:val="18"/>
                <w:szCs w:val="18"/>
              </w:rPr>
              <w:t>Nazroo</w:t>
            </w:r>
            <w:proofErr w:type="spellEnd"/>
            <w:r w:rsidRPr="00650C77">
              <w:rPr>
                <w:rFonts w:ascii="Arial" w:hAnsi="Arial" w:cs="Arial"/>
                <w:color w:val="000000" w:themeColor="text1"/>
                <w:sz w:val="18"/>
                <w:szCs w:val="18"/>
              </w:rPr>
              <w:t xml:space="preserve"> et al. (2019)</w:t>
            </w:r>
          </w:p>
        </w:tc>
        <w:tc>
          <w:tcPr>
            <w:tcW w:w="2160" w:type="dxa"/>
            <w:shd w:val="clear" w:color="auto" w:fill="B4C6E7" w:themeFill="accent1" w:themeFillTint="66"/>
          </w:tcPr>
          <w:p w14:paraId="13F9B460"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Black groups face coercive, crisis-led pathways</w:t>
            </w:r>
          </w:p>
        </w:tc>
        <w:tc>
          <w:tcPr>
            <w:tcW w:w="2700" w:type="dxa"/>
            <w:shd w:val="clear" w:color="auto" w:fill="B4C6E7" w:themeFill="accent1" w:themeFillTint="66"/>
          </w:tcPr>
          <w:p w14:paraId="6D899087"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Systemic failures in early intervention and coordination</w:t>
            </w:r>
          </w:p>
        </w:tc>
      </w:tr>
      <w:tr w:rsidR="00650C77" w:rsidRPr="00650C77" w14:paraId="37AAF77E" w14:textId="77777777" w:rsidTr="00F85D58">
        <w:tc>
          <w:tcPr>
            <w:tcW w:w="2160" w:type="dxa"/>
            <w:shd w:val="clear" w:color="auto" w:fill="B4C6E7" w:themeFill="accent1" w:themeFillTint="66"/>
          </w:tcPr>
          <w:p w14:paraId="62AA7F52" w14:textId="77777777" w:rsidR="003D2D03" w:rsidRPr="00650C77" w:rsidRDefault="003D2D03" w:rsidP="001C7715">
            <w:pPr>
              <w:rPr>
                <w:rFonts w:ascii="Arial" w:hAnsi="Arial" w:cs="Arial"/>
                <w:b/>
                <w:bCs/>
                <w:color w:val="000000" w:themeColor="text1"/>
                <w:sz w:val="18"/>
                <w:szCs w:val="18"/>
              </w:rPr>
            </w:pPr>
            <w:r w:rsidRPr="00650C77">
              <w:rPr>
                <w:rFonts w:ascii="Arial" w:hAnsi="Arial" w:cs="Arial"/>
                <w:b/>
                <w:bCs/>
                <w:color w:val="000000" w:themeColor="text1"/>
                <w:sz w:val="18"/>
                <w:szCs w:val="18"/>
              </w:rPr>
              <w:t xml:space="preserve">Theme 2 </w:t>
            </w:r>
            <w:r w:rsidRPr="00650C77">
              <w:rPr>
                <w:rFonts w:ascii="Segoe UI Emoji" w:hAnsi="Segoe UI Emoji" w:cs="Segoe UI Emoji"/>
                <w:b/>
                <w:bCs/>
                <w:color w:val="000000" w:themeColor="text1"/>
                <w:sz w:val="18"/>
                <w:szCs w:val="18"/>
              </w:rPr>
              <w:t>➡️</w:t>
            </w:r>
            <w:r w:rsidRPr="00650C77">
              <w:rPr>
                <w:rFonts w:ascii="Arial" w:hAnsi="Arial" w:cs="Arial"/>
                <w:b/>
                <w:bCs/>
                <w:color w:val="000000" w:themeColor="text1"/>
                <w:sz w:val="18"/>
                <w:szCs w:val="18"/>
              </w:rPr>
              <w:t xml:space="preserve"> Theme 3</w:t>
            </w:r>
          </w:p>
        </w:tc>
        <w:tc>
          <w:tcPr>
            <w:tcW w:w="2160" w:type="dxa"/>
            <w:shd w:val="clear" w:color="auto" w:fill="B4C6E7" w:themeFill="accent1" w:themeFillTint="66"/>
          </w:tcPr>
          <w:p w14:paraId="41E36B1E"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NHS England (2022) ICS pilot</w:t>
            </w:r>
          </w:p>
        </w:tc>
        <w:tc>
          <w:tcPr>
            <w:tcW w:w="2160" w:type="dxa"/>
            <w:shd w:val="clear" w:color="auto" w:fill="B4C6E7" w:themeFill="accent1" w:themeFillTint="66"/>
          </w:tcPr>
          <w:p w14:paraId="4C91412E"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Improved outcomes with integrated EIP and community collaboration</w:t>
            </w:r>
          </w:p>
        </w:tc>
        <w:tc>
          <w:tcPr>
            <w:tcW w:w="2700" w:type="dxa"/>
            <w:shd w:val="clear" w:color="auto" w:fill="B4C6E7" w:themeFill="accent1" w:themeFillTint="66"/>
          </w:tcPr>
          <w:p w14:paraId="7B7E4F09"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Integration reduces crisis admissions and improves engagement</w:t>
            </w:r>
          </w:p>
        </w:tc>
      </w:tr>
      <w:tr w:rsidR="00650C77" w:rsidRPr="00650C77" w14:paraId="0DE50698" w14:textId="77777777" w:rsidTr="00F85D58">
        <w:tc>
          <w:tcPr>
            <w:tcW w:w="2160" w:type="dxa"/>
            <w:shd w:val="clear" w:color="auto" w:fill="B4C6E7" w:themeFill="accent1" w:themeFillTint="66"/>
          </w:tcPr>
          <w:p w14:paraId="34E573EB" w14:textId="77777777" w:rsidR="003D2D03" w:rsidRPr="00650C77" w:rsidRDefault="003D2D03" w:rsidP="001C7715">
            <w:pPr>
              <w:rPr>
                <w:rFonts w:ascii="Arial" w:hAnsi="Arial" w:cs="Arial"/>
                <w:b/>
                <w:bCs/>
                <w:color w:val="000000" w:themeColor="text1"/>
                <w:sz w:val="18"/>
                <w:szCs w:val="18"/>
              </w:rPr>
            </w:pPr>
            <w:r w:rsidRPr="00650C77">
              <w:rPr>
                <w:rFonts w:ascii="Arial" w:hAnsi="Arial" w:cs="Arial"/>
                <w:b/>
                <w:bCs/>
                <w:color w:val="000000" w:themeColor="text1"/>
                <w:sz w:val="18"/>
                <w:szCs w:val="18"/>
              </w:rPr>
              <w:t xml:space="preserve">Theme 2 </w:t>
            </w:r>
            <w:r w:rsidRPr="00650C77">
              <w:rPr>
                <w:rFonts w:ascii="Segoe UI Emoji" w:hAnsi="Segoe UI Emoji" w:cs="Segoe UI Emoji"/>
                <w:b/>
                <w:bCs/>
                <w:color w:val="000000" w:themeColor="text1"/>
                <w:sz w:val="18"/>
                <w:szCs w:val="18"/>
              </w:rPr>
              <w:t>➡️</w:t>
            </w:r>
            <w:r w:rsidRPr="00650C77">
              <w:rPr>
                <w:rFonts w:ascii="Arial" w:hAnsi="Arial" w:cs="Arial"/>
                <w:b/>
                <w:bCs/>
                <w:color w:val="000000" w:themeColor="text1"/>
                <w:sz w:val="18"/>
                <w:szCs w:val="18"/>
              </w:rPr>
              <w:t xml:space="preserve"> Theme 3</w:t>
            </w:r>
          </w:p>
        </w:tc>
        <w:tc>
          <w:tcPr>
            <w:tcW w:w="2160" w:type="dxa"/>
            <w:shd w:val="clear" w:color="auto" w:fill="B4C6E7" w:themeFill="accent1" w:themeFillTint="66"/>
          </w:tcPr>
          <w:p w14:paraId="619CBB5C"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Repper &amp; Perkins (2021)</w:t>
            </w:r>
          </w:p>
        </w:tc>
        <w:tc>
          <w:tcPr>
            <w:tcW w:w="2160" w:type="dxa"/>
            <w:shd w:val="clear" w:color="auto" w:fill="B4C6E7" w:themeFill="accent1" w:themeFillTint="66"/>
          </w:tcPr>
          <w:p w14:paraId="54CCB314"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Recovery-oriented models improve service access</w:t>
            </w:r>
          </w:p>
        </w:tc>
        <w:tc>
          <w:tcPr>
            <w:tcW w:w="2700" w:type="dxa"/>
            <w:shd w:val="clear" w:color="auto" w:fill="B4C6E7" w:themeFill="accent1" w:themeFillTint="66"/>
          </w:tcPr>
          <w:p w14:paraId="4BFEED5E" w14:textId="77777777" w:rsidR="003D2D03" w:rsidRPr="00650C77" w:rsidRDefault="003D2D03" w:rsidP="001C7715">
            <w:pPr>
              <w:rPr>
                <w:rFonts w:ascii="Arial" w:hAnsi="Arial" w:cs="Arial"/>
                <w:color w:val="000000" w:themeColor="text1"/>
                <w:sz w:val="18"/>
                <w:szCs w:val="18"/>
              </w:rPr>
            </w:pPr>
            <w:r w:rsidRPr="00650C77">
              <w:rPr>
                <w:rFonts w:ascii="Arial" w:hAnsi="Arial" w:cs="Arial"/>
                <w:color w:val="000000" w:themeColor="text1"/>
                <w:sz w:val="18"/>
                <w:szCs w:val="18"/>
              </w:rPr>
              <w:t>Integrated care mitigates inequalities and promotes continuity</w:t>
            </w:r>
          </w:p>
        </w:tc>
      </w:tr>
    </w:tbl>
    <w:p w14:paraId="6787D49D" w14:textId="2D9BE175" w:rsidR="003D31AA" w:rsidRPr="00650C77" w:rsidRDefault="003D31AA" w:rsidP="003D31AA">
      <w:pPr>
        <w:spacing w:after="0" w:line="360" w:lineRule="auto"/>
        <w:jc w:val="both"/>
        <w:rPr>
          <w:rFonts w:ascii="Arial" w:eastAsia="Times New Roman" w:hAnsi="Arial" w:cs="Arial"/>
          <w:color w:val="000000" w:themeColor="text1"/>
          <w:kern w:val="0"/>
          <w:sz w:val="24"/>
          <w:szCs w:val="24"/>
          <w:lang w:eastAsia="en-GB"/>
          <w14:ligatures w14:val="none"/>
        </w:rPr>
      </w:pPr>
    </w:p>
    <w:p w14:paraId="6B22E240" w14:textId="77777777" w:rsidR="006F7DA7" w:rsidRDefault="003D31AA" w:rsidP="006F7DA7">
      <w:pPr>
        <w:spacing w:after="0"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This theme demonstrates that access, inequalities, and regional variation remain central challenges within UK schizophrenia care. Despite strong policy commitments and an established evidence base, marginalised populations continue to experience delayed, crisis-led, and inconsistent pathways into care. These inequalities undermine both clinical effectiveness and equity, highlighting the need for coordinated, integrated service models. Addressing access disparities is therefore essential to improving schizophrenia treatment pathways and achieving equitable outcomes across the UK.</w:t>
      </w:r>
    </w:p>
    <w:p w14:paraId="493709AE" w14:textId="77777777" w:rsidR="006F7DA7" w:rsidRDefault="006F7DA7" w:rsidP="006F7DA7">
      <w:pPr>
        <w:spacing w:after="0" w:line="360" w:lineRule="auto"/>
        <w:jc w:val="both"/>
        <w:rPr>
          <w:rFonts w:ascii="Arial" w:eastAsia="Times New Roman" w:hAnsi="Arial" w:cs="Arial"/>
          <w:color w:val="000000" w:themeColor="text1"/>
          <w:kern w:val="0"/>
          <w:lang w:eastAsia="en-GB"/>
          <w14:ligatures w14:val="none"/>
        </w:rPr>
      </w:pPr>
    </w:p>
    <w:p w14:paraId="16F66EF9" w14:textId="77777777" w:rsidR="006F7DA7" w:rsidRDefault="006F7DA7" w:rsidP="006F7DA7">
      <w:pPr>
        <w:spacing w:after="0" w:line="360" w:lineRule="auto"/>
        <w:jc w:val="both"/>
        <w:rPr>
          <w:rFonts w:ascii="Arial" w:eastAsia="Times New Roman" w:hAnsi="Arial" w:cs="Arial"/>
          <w:color w:val="000000" w:themeColor="text1"/>
          <w:kern w:val="0"/>
          <w:lang w:eastAsia="en-GB"/>
          <w14:ligatures w14:val="none"/>
        </w:rPr>
      </w:pPr>
    </w:p>
    <w:p w14:paraId="70D67F20" w14:textId="77777777" w:rsidR="006F7DA7" w:rsidRPr="006F7DA7" w:rsidRDefault="006F7DA7" w:rsidP="006F7DA7">
      <w:pPr>
        <w:spacing w:after="0" w:line="360" w:lineRule="auto"/>
        <w:jc w:val="both"/>
        <w:rPr>
          <w:rFonts w:ascii="Arial" w:eastAsia="Times New Roman" w:hAnsi="Arial" w:cs="Arial"/>
          <w:color w:val="000000" w:themeColor="text1"/>
          <w:kern w:val="0"/>
          <w:sz w:val="28"/>
          <w:szCs w:val="28"/>
          <w:lang w:eastAsia="en-GB"/>
          <w14:ligatures w14:val="none"/>
        </w:rPr>
      </w:pPr>
    </w:p>
    <w:p w14:paraId="18661C28" w14:textId="070BF584" w:rsidR="008366F7" w:rsidRPr="006F7DA7" w:rsidRDefault="008366F7" w:rsidP="006F7DA7">
      <w:pPr>
        <w:spacing w:after="0" w:line="360" w:lineRule="auto"/>
        <w:jc w:val="both"/>
        <w:rPr>
          <w:rFonts w:ascii="Arial" w:eastAsia="Times New Roman" w:hAnsi="Arial" w:cs="Arial"/>
          <w:color w:val="000000" w:themeColor="text1"/>
          <w:kern w:val="0"/>
          <w:sz w:val="28"/>
          <w:szCs w:val="28"/>
          <w:lang w:eastAsia="en-GB"/>
          <w14:ligatures w14:val="none"/>
        </w:rPr>
      </w:pPr>
      <w:r w:rsidRPr="006F7DA7">
        <w:rPr>
          <w:rFonts w:ascii="Arial" w:eastAsia="Times New Roman" w:hAnsi="Arial" w:cs="Arial"/>
          <w:b/>
          <w:bCs/>
          <w:color w:val="000000" w:themeColor="text1"/>
          <w:kern w:val="0"/>
          <w:sz w:val="28"/>
          <w:szCs w:val="28"/>
          <w:lang w:eastAsia="en-GB"/>
          <w14:ligatures w14:val="none"/>
        </w:rPr>
        <w:t>4.5 Theme 3: Integrated Care Models and System Coordination in Schizophrenia Services</w:t>
      </w:r>
    </w:p>
    <w:p w14:paraId="4C2196B6" w14:textId="77777777" w:rsidR="008415FB" w:rsidRPr="006F7DA7" w:rsidRDefault="008415FB" w:rsidP="008415FB">
      <w:pPr>
        <w:spacing w:before="100" w:beforeAutospacing="1" w:after="100" w:afterAutospacing="1" w:line="240" w:lineRule="auto"/>
        <w:outlineLvl w:val="1"/>
        <w:rPr>
          <w:rFonts w:ascii="Arial" w:eastAsia="Times New Roman" w:hAnsi="Arial" w:cs="Arial"/>
          <w:b/>
          <w:bCs/>
          <w:color w:val="000000" w:themeColor="text1"/>
          <w:kern w:val="0"/>
          <w:sz w:val="24"/>
          <w:szCs w:val="24"/>
          <w:lang w:eastAsia="en-GB"/>
          <w14:ligatures w14:val="none"/>
        </w:rPr>
      </w:pPr>
      <w:r w:rsidRPr="006F7DA7">
        <w:rPr>
          <w:rFonts w:ascii="Arial" w:eastAsia="Times New Roman" w:hAnsi="Arial" w:cs="Arial"/>
          <w:b/>
          <w:bCs/>
          <w:color w:val="000000" w:themeColor="text1"/>
          <w:kern w:val="0"/>
          <w:sz w:val="24"/>
          <w:szCs w:val="24"/>
          <w:lang w:eastAsia="en-GB"/>
          <w14:ligatures w14:val="none"/>
        </w:rPr>
        <w:t>4.5.1 Definition and Key Concepts:</w:t>
      </w:r>
    </w:p>
    <w:p w14:paraId="1C7E3F2E" w14:textId="77777777" w:rsidR="009950C6" w:rsidRPr="00650C77" w:rsidRDefault="009950C6" w:rsidP="009950C6">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Integrated care refers to the coordination of health, social, and community services to provide continuous and person-centred care across the pathway. In schizophrenia services, it aims to reduce gaps between primary care, mental health services, social care, and voluntary organisations, improving access and outcomes (Asthana et al., 2020).</w:t>
      </w:r>
    </w:p>
    <w:p w14:paraId="324A77BE" w14:textId="77777777" w:rsidR="009950C6" w:rsidRPr="00650C77" w:rsidRDefault="009950C6" w:rsidP="009950C6">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System coordination focuses on how services communicate and work together across organisations. It is important for managing transitions between inpatient care, Early Intervention in Psychosis (EIP) teams, and community services. Integrated care is therefore seen as a solution to inequalities and variation in services.</w:t>
      </w:r>
    </w:p>
    <w:p w14:paraId="6DE0780E" w14:textId="77777777" w:rsidR="009950C6" w:rsidRPr="00650C77" w:rsidRDefault="009950C6" w:rsidP="009950C6">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This concept is important because integrated care depends on how well services work together in practice. People with schizophrenia often move between different services, so good coordination ensures care is continuous rather than fragmented, improving overall outcomes.</w:t>
      </w:r>
    </w:p>
    <w:p w14:paraId="66A4A5DB" w14:textId="77777777" w:rsidR="00D25AA2" w:rsidRDefault="00D25AA2" w:rsidP="008415FB">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p>
    <w:p w14:paraId="548CAA16" w14:textId="77777777" w:rsidR="006F7DA7" w:rsidRDefault="006F7DA7" w:rsidP="008415FB">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p>
    <w:p w14:paraId="6667B477" w14:textId="77777777" w:rsidR="006F7DA7" w:rsidRDefault="006F7DA7" w:rsidP="008415FB">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p>
    <w:p w14:paraId="483A174B" w14:textId="77777777" w:rsidR="006F7DA7" w:rsidRPr="00650C77" w:rsidRDefault="006F7DA7" w:rsidP="008415FB">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p>
    <w:p w14:paraId="56F2E78F" w14:textId="38FDC838" w:rsidR="008415FB" w:rsidRPr="006F7DA7" w:rsidRDefault="008415FB" w:rsidP="008415FB">
      <w:pPr>
        <w:spacing w:before="100" w:beforeAutospacing="1" w:after="100" w:afterAutospacing="1" w:line="240" w:lineRule="auto"/>
        <w:outlineLvl w:val="1"/>
        <w:rPr>
          <w:rFonts w:ascii="Arial" w:eastAsia="Times New Roman" w:hAnsi="Arial" w:cs="Arial"/>
          <w:b/>
          <w:bCs/>
          <w:color w:val="000000" w:themeColor="text1"/>
          <w:kern w:val="0"/>
          <w:sz w:val="24"/>
          <w:szCs w:val="24"/>
          <w:lang w:eastAsia="en-GB"/>
          <w14:ligatures w14:val="none"/>
        </w:rPr>
      </w:pPr>
      <w:r w:rsidRPr="006F7DA7">
        <w:rPr>
          <w:rFonts w:ascii="Arial" w:eastAsia="Times New Roman" w:hAnsi="Arial" w:cs="Arial"/>
          <w:b/>
          <w:bCs/>
          <w:color w:val="000000" w:themeColor="text1"/>
          <w:kern w:val="0"/>
          <w:sz w:val="24"/>
          <w:szCs w:val="24"/>
          <w:lang w:eastAsia="en-GB"/>
          <w14:ligatures w14:val="none"/>
        </w:rPr>
        <w:lastRenderedPageBreak/>
        <w:t>4.5.2 Background and Contextual Overview</w:t>
      </w:r>
      <w:r w:rsidR="00F85D58" w:rsidRPr="006F7DA7">
        <w:rPr>
          <w:rFonts w:ascii="Arial" w:eastAsia="Times New Roman" w:hAnsi="Arial" w:cs="Arial"/>
          <w:b/>
          <w:bCs/>
          <w:color w:val="000000" w:themeColor="text1"/>
          <w:kern w:val="0"/>
          <w:sz w:val="24"/>
          <w:szCs w:val="24"/>
          <w:lang w:eastAsia="en-GB"/>
          <w14:ligatures w14:val="none"/>
        </w:rPr>
        <w:t>:</w:t>
      </w:r>
    </w:p>
    <w:p w14:paraId="75B64B12" w14:textId="77777777" w:rsidR="00D25AA2" w:rsidRPr="00650C77" w:rsidRDefault="00D25AA2" w:rsidP="00D25AA2">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Historically, schizophrenia services in the UK have developed in organisational silos, limiting coordination between health and social care. Although deinstitutionalisation moved care into the community, insufficient integration led to fragmented pathways and poor continuity (Bartlett and Wright, 2018).</w:t>
      </w:r>
    </w:p>
    <w:p w14:paraId="5E8882ED" w14:textId="77777777" w:rsidR="00D25AA2" w:rsidRPr="00650C77" w:rsidRDefault="00D25AA2" w:rsidP="00D25AA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In response, national policy has increasingly emphasised integration as a core principle of mental health reform. The NHS Long Term Plan (NHS England, 2019) prioritised integrated community mental health services, while the introduction of Integrated Care Systems (ICSs) under the Health and Care Act 2022 aimed to improve coordination across NHS organisations, local authorities, and voluntary sector partners (King’s Fund, 2022). Despite these reforms, evidence suggests that implementation remains uneven, with significant regional variation in the extent to which services are genuinely integrated.</w:t>
      </w:r>
    </w:p>
    <w:p w14:paraId="39A964B4" w14:textId="77777777" w:rsidR="00D25AA2" w:rsidRPr="00650C77" w:rsidRDefault="00D25AA2" w:rsidP="00D25AA2">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There is little disagreement in the literature about the benefits of integration. Instead, differences arise in how effectively it is implemented. Some areas demonstrate improved coordination and outcomes, while others continue to experience fragmentation. These differences are likely due to variations in workforce capacity, funding, and leadership.</w:t>
      </w:r>
    </w:p>
    <w:p w14:paraId="5724300A" w14:textId="5DF3EB40" w:rsidR="00D25AA2" w:rsidRPr="006F7DA7" w:rsidRDefault="00D25AA2" w:rsidP="006F7DA7">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This suggests that integration is not limited by lack of evidence, but by challenges in practical delivery.</w:t>
      </w:r>
    </w:p>
    <w:p w14:paraId="67B9A932" w14:textId="7B737D7F" w:rsidR="008415FB" w:rsidRPr="006F7DA7" w:rsidRDefault="008415FB" w:rsidP="008415FB">
      <w:pPr>
        <w:spacing w:before="100" w:beforeAutospacing="1" w:after="100" w:afterAutospacing="1" w:line="240" w:lineRule="auto"/>
        <w:outlineLvl w:val="1"/>
        <w:rPr>
          <w:rFonts w:ascii="Arial" w:eastAsia="Times New Roman" w:hAnsi="Arial" w:cs="Arial"/>
          <w:b/>
          <w:bCs/>
          <w:color w:val="000000" w:themeColor="text1"/>
          <w:kern w:val="0"/>
          <w:sz w:val="24"/>
          <w:szCs w:val="24"/>
          <w:lang w:eastAsia="en-GB"/>
          <w14:ligatures w14:val="none"/>
        </w:rPr>
      </w:pPr>
      <w:r w:rsidRPr="006F7DA7">
        <w:rPr>
          <w:rFonts w:ascii="Arial" w:eastAsia="Times New Roman" w:hAnsi="Arial" w:cs="Arial"/>
          <w:b/>
          <w:bCs/>
          <w:color w:val="000000" w:themeColor="text1"/>
          <w:kern w:val="0"/>
          <w:sz w:val="24"/>
          <w:szCs w:val="24"/>
          <w:lang w:eastAsia="en-GB"/>
          <w14:ligatures w14:val="none"/>
        </w:rPr>
        <w:t>4.5.3 Relevance to the Research Question</w:t>
      </w:r>
      <w:r w:rsidR="00F85D58" w:rsidRPr="006F7DA7">
        <w:rPr>
          <w:rFonts w:ascii="Arial" w:eastAsia="Times New Roman" w:hAnsi="Arial" w:cs="Arial"/>
          <w:b/>
          <w:bCs/>
          <w:color w:val="000000" w:themeColor="text1"/>
          <w:kern w:val="0"/>
          <w:sz w:val="24"/>
          <w:szCs w:val="24"/>
          <w:lang w:eastAsia="en-GB"/>
          <w14:ligatures w14:val="none"/>
        </w:rPr>
        <w:t>:</w:t>
      </w:r>
    </w:p>
    <w:p w14:paraId="44F84F89" w14:textId="77777777" w:rsidR="00A3645E" w:rsidRPr="00650C77" w:rsidRDefault="00A3645E" w:rsidP="00A3645E">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This theme is central to the dissertation’s aim of evaluating schizophrenia treatment pathways and service delivery in the UK, particularly in assessing whether integrated care systems can address key service challenges. Fragmented systems, where mental health, primary care, and social services operate in isolation, have led to delayed treatment, gaps in post-discharge support, and increased hospital readmission. Reports from the </w:t>
      </w:r>
      <w:r w:rsidRPr="00650C77">
        <w:rPr>
          <w:rStyle w:val="whitespace-normal"/>
          <w:rFonts w:ascii="Arial" w:eastAsiaTheme="majorEastAsia" w:hAnsi="Arial" w:cs="Arial"/>
          <w:color w:val="000000" w:themeColor="text1"/>
          <w:sz w:val="22"/>
          <w:szCs w:val="22"/>
        </w:rPr>
        <w:t>Care Quality Commission</w:t>
      </w:r>
      <w:r w:rsidRPr="00650C77">
        <w:rPr>
          <w:rFonts w:ascii="Arial" w:hAnsi="Arial" w:cs="Arial"/>
          <w:color w:val="000000" w:themeColor="text1"/>
          <w:sz w:val="22"/>
          <w:szCs w:val="22"/>
        </w:rPr>
        <w:t xml:space="preserve"> (2023) highlight persistent failures in discharge planning and continuity of care, contributing to readmission rates of 30–45% within one year (Jauhar et al., 2019). These findings emphasise the risks associated with disjointed service delivery.</w:t>
      </w:r>
    </w:p>
    <w:p w14:paraId="3A143A34" w14:textId="5EC957A9" w:rsidR="00A3645E" w:rsidRPr="00650C77" w:rsidRDefault="00A3645E" w:rsidP="00A3645E">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In contrast, integrated approaches such as Early Intervention in Psychosis (EIP) services, delivered through multidisciplinary teams, have shown 20–40% reductions in relapse rates (Birchwood et al., 2018). This demonstrates that coordinated care improves engagement, stability, and outcomes. Importantly, these differences suggest that outcomes are influenced not only by treatment quality but also by how effectively services are connected.</w:t>
      </w:r>
    </w:p>
    <w:p w14:paraId="39B6A76C" w14:textId="357F204D" w:rsidR="008415FB" w:rsidRPr="006F7DA7" w:rsidRDefault="008415FB" w:rsidP="008415FB">
      <w:pPr>
        <w:spacing w:before="100" w:beforeAutospacing="1" w:after="100" w:afterAutospacing="1" w:line="240" w:lineRule="auto"/>
        <w:outlineLvl w:val="1"/>
        <w:rPr>
          <w:rFonts w:ascii="Arial" w:eastAsia="Times New Roman" w:hAnsi="Arial" w:cs="Arial"/>
          <w:b/>
          <w:bCs/>
          <w:color w:val="000000" w:themeColor="text1"/>
          <w:kern w:val="0"/>
          <w:sz w:val="24"/>
          <w:szCs w:val="24"/>
          <w:lang w:eastAsia="en-GB"/>
          <w14:ligatures w14:val="none"/>
        </w:rPr>
      </w:pPr>
      <w:r w:rsidRPr="006F7DA7">
        <w:rPr>
          <w:rFonts w:ascii="Arial" w:eastAsia="Times New Roman" w:hAnsi="Arial" w:cs="Arial"/>
          <w:b/>
          <w:bCs/>
          <w:color w:val="000000" w:themeColor="text1"/>
          <w:kern w:val="0"/>
          <w:sz w:val="24"/>
          <w:szCs w:val="24"/>
          <w:lang w:eastAsia="en-GB"/>
          <w14:ligatures w14:val="none"/>
        </w:rPr>
        <w:lastRenderedPageBreak/>
        <w:t>4.5.4 Statistical Evidence on Integration and Continuity</w:t>
      </w:r>
      <w:r w:rsidR="00F85D58" w:rsidRPr="006F7DA7">
        <w:rPr>
          <w:rFonts w:ascii="Arial" w:eastAsia="Times New Roman" w:hAnsi="Arial" w:cs="Arial"/>
          <w:b/>
          <w:bCs/>
          <w:color w:val="000000" w:themeColor="text1"/>
          <w:kern w:val="0"/>
          <w:sz w:val="24"/>
          <w:szCs w:val="24"/>
          <w:lang w:eastAsia="en-GB"/>
          <w14:ligatures w14:val="none"/>
        </w:rPr>
        <w:t>:</w:t>
      </w:r>
    </w:p>
    <w:p w14:paraId="17745C0C" w14:textId="77777777" w:rsidR="00321494" w:rsidRPr="00650C77" w:rsidRDefault="00321494" w:rsidP="00321494">
      <w:pPr>
        <w:pStyle w:val="Heading1"/>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Evidence consistently shows that poor integration in schizophrenia services is associated with weaker outcomes, particularly in relation to continuity of care and patient stability. National reports highlight persistent issues in discharge planning, follow-up, and communication between services, which contribute to disengagement and relapse (Care Quality Commission, 2023). Readmission rates of 30–45% indicate that treatment gains are often not sustained after discharge (Jauhar et al., 2019). In contrast, integrated models such as Early Intervention in Psychosis (EIP) demonstrate significantly better outcomes, including reduced relapse rates (Birchwood et al., 2018). This suggests that differences in outcomes are strongly linked to how well services are coordinated rather than the effectiveness of treatments alone.</w:t>
      </w:r>
    </w:p>
    <w:p w14:paraId="6BB3CAEF" w14:textId="2F3FF3A2" w:rsidR="00700725" w:rsidRPr="00650C77" w:rsidRDefault="00700725" w:rsidP="00700725">
      <w:pPr>
        <w:pStyle w:val="Heading1"/>
        <w:jc w:val="both"/>
        <w:rPr>
          <w:rFonts w:ascii="Arial" w:hAnsi="Arial" w:cs="Arial"/>
          <w:color w:val="000000" w:themeColor="text1"/>
          <w:sz w:val="22"/>
          <w:szCs w:val="22"/>
        </w:rPr>
      </w:pPr>
      <w:r w:rsidRPr="00650C77">
        <w:rPr>
          <w:rFonts w:ascii="Arial" w:hAnsi="Arial" w:cs="Arial"/>
          <w:b/>
          <w:bCs/>
          <w:color w:val="000000" w:themeColor="text1"/>
          <w:sz w:val="22"/>
          <w:szCs w:val="22"/>
        </w:rPr>
        <w:t>Table</w:t>
      </w:r>
      <w:r w:rsidR="00A3645E" w:rsidRPr="00650C77">
        <w:rPr>
          <w:rFonts w:ascii="Arial" w:hAnsi="Arial" w:cs="Arial"/>
          <w:b/>
          <w:bCs/>
          <w:color w:val="000000" w:themeColor="text1"/>
          <w:sz w:val="22"/>
          <w:szCs w:val="22"/>
        </w:rPr>
        <w:t xml:space="preserve"> 4.5.4.1</w:t>
      </w:r>
      <w:r w:rsidRPr="00650C77">
        <w:rPr>
          <w:rFonts w:ascii="Arial" w:hAnsi="Arial" w:cs="Arial"/>
          <w:b/>
          <w:bCs/>
          <w:color w:val="000000" w:themeColor="text1"/>
          <w:sz w:val="22"/>
          <w:szCs w:val="22"/>
        </w:rPr>
        <w:t>:</w:t>
      </w:r>
      <w:r w:rsidRPr="00650C77">
        <w:rPr>
          <w:rFonts w:ascii="Arial" w:hAnsi="Arial" w:cs="Arial"/>
          <w:color w:val="000000" w:themeColor="text1"/>
          <w:sz w:val="22"/>
          <w:szCs w:val="22"/>
        </w:rPr>
        <w:t xml:space="preserve"> </w:t>
      </w:r>
      <w:r w:rsidRPr="00650C77">
        <w:rPr>
          <w:rFonts w:ascii="Arial" w:hAnsi="Arial" w:cs="Arial"/>
          <w:b/>
          <w:bCs/>
          <w:color w:val="000000" w:themeColor="text1"/>
          <w:sz w:val="22"/>
          <w:szCs w:val="22"/>
        </w:rPr>
        <w:t>Integration and Outcomes in Schizophrenia Care</w:t>
      </w:r>
    </w:p>
    <w:tbl>
      <w:tblPr>
        <w:tblStyle w:val="TableGrid"/>
        <w:tblW w:w="0" w:type="auto"/>
        <w:tblInd w:w="-113" w:type="dxa"/>
        <w:tblLook w:val="04A0" w:firstRow="1" w:lastRow="0" w:firstColumn="1" w:lastColumn="0" w:noHBand="0" w:noVBand="1"/>
      </w:tblPr>
      <w:tblGrid>
        <w:gridCol w:w="3652"/>
        <w:gridCol w:w="4988"/>
      </w:tblGrid>
      <w:tr w:rsidR="00650C77" w:rsidRPr="00650C77" w14:paraId="25F000C1" w14:textId="77777777" w:rsidTr="006F7DA7">
        <w:tc>
          <w:tcPr>
            <w:tcW w:w="3652" w:type="dxa"/>
            <w:shd w:val="clear" w:color="auto" w:fill="B4C6E7" w:themeFill="accent1" w:themeFillTint="66"/>
          </w:tcPr>
          <w:p w14:paraId="6B7D32B9"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Theme</w:t>
            </w:r>
          </w:p>
        </w:tc>
        <w:tc>
          <w:tcPr>
            <w:tcW w:w="4988" w:type="dxa"/>
            <w:shd w:val="clear" w:color="auto" w:fill="B4C6E7" w:themeFill="accent1" w:themeFillTint="66"/>
          </w:tcPr>
          <w:p w14:paraId="3D0FE5CF"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Evidence / Findings</w:t>
            </w:r>
          </w:p>
        </w:tc>
      </w:tr>
      <w:tr w:rsidR="00650C77" w:rsidRPr="00650C77" w14:paraId="2FD3726F" w14:textId="77777777" w:rsidTr="006F7DA7">
        <w:tc>
          <w:tcPr>
            <w:tcW w:w="3652" w:type="dxa"/>
            <w:shd w:val="clear" w:color="auto" w:fill="B4C6E7" w:themeFill="accent1" w:themeFillTint="66"/>
          </w:tcPr>
          <w:p w14:paraId="0359BBB1"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Poor Integration &amp; Adverse Outcomes</w:t>
            </w:r>
          </w:p>
        </w:tc>
        <w:tc>
          <w:tcPr>
            <w:tcW w:w="4988" w:type="dxa"/>
            <w:shd w:val="clear" w:color="auto" w:fill="B4C6E7" w:themeFill="accent1" w:themeFillTint="66"/>
          </w:tcPr>
          <w:p w14:paraId="24822508"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Linked to high readmission and disengagement (CQC, 2023).</w:t>
            </w:r>
          </w:p>
        </w:tc>
      </w:tr>
      <w:tr w:rsidR="00650C77" w:rsidRPr="00650C77" w14:paraId="25F599B7" w14:textId="77777777" w:rsidTr="006F7DA7">
        <w:tc>
          <w:tcPr>
            <w:tcW w:w="3652" w:type="dxa"/>
            <w:shd w:val="clear" w:color="auto" w:fill="B4C6E7" w:themeFill="accent1" w:themeFillTint="66"/>
          </w:tcPr>
          <w:p w14:paraId="5DD9CD96"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Discharge Planning &amp; Follow-Up</w:t>
            </w:r>
          </w:p>
        </w:tc>
        <w:tc>
          <w:tcPr>
            <w:tcW w:w="4988" w:type="dxa"/>
            <w:shd w:val="clear" w:color="auto" w:fill="B4C6E7" w:themeFill="accent1" w:themeFillTint="66"/>
          </w:tcPr>
          <w:p w14:paraId="07B0D55A"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Widespread problems noted in inspection reports.</w:t>
            </w:r>
          </w:p>
        </w:tc>
      </w:tr>
      <w:tr w:rsidR="00650C77" w:rsidRPr="00650C77" w14:paraId="1CA32894" w14:textId="77777777" w:rsidTr="006F7DA7">
        <w:tc>
          <w:tcPr>
            <w:tcW w:w="3652" w:type="dxa"/>
            <w:shd w:val="clear" w:color="auto" w:fill="B4C6E7" w:themeFill="accent1" w:themeFillTint="66"/>
          </w:tcPr>
          <w:p w14:paraId="5A16C7E9"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Readmission Rates</w:t>
            </w:r>
          </w:p>
        </w:tc>
        <w:tc>
          <w:tcPr>
            <w:tcW w:w="4988" w:type="dxa"/>
            <w:shd w:val="clear" w:color="auto" w:fill="B4C6E7" w:themeFill="accent1" w:themeFillTint="66"/>
          </w:tcPr>
          <w:p w14:paraId="37002BF5"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30–45% within one-year post-discharge (Jauhar et al., 2019).</w:t>
            </w:r>
          </w:p>
        </w:tc>
      </w:tr>
      <w:tr w:rsidR="00650C77" w:rsidRPr="00650C77" w14:paraId="31DB8727" w14:textId="77777777" w:rsidTr="006F7DA7">
        <w:tc>
          <w:tcPr>
            <w:tcW w:w="3652" w:type="dxa"/>
            <w:shd w:val="clear" w:color="auto" w:fill="B4C6E7" w:themeFill="accent1" w:themeFillTint="66"/>
          </w:tcPr>
          <w:p w14:paraId="3A586FB0"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Workforce Shortages</w:t>
            </w:r>
          </w:p>
        </w:tc>
        <w:tc>
          <w:tcPr>
            <w:tcW w:w="4988" w:type="dxa"/>
            <w:shd w:val="clear" w:color="auto" w:fill="B4C6E7" w:themeFill="accent1" w:themeFillTint="66"/>
          </w:tcPr>
          <w:p w14:paraId="6DC17612"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Staffing below recommended levels, especially in rural/deprived areas (</w:t>
            </w:r>
            <w:proofErr w:type="spellStart"/>
            <w:r w:rsidRPr="00650C77">
              <w:rPr>
                <w:rFonts w:ascii="Arial" w:hAnsi="Arial" w:cs="Arial"/>
                <w:color w:val="000000" w:themeColor="text1"/>
                <w:sz w:val="20"/>
                <w:szCs w:val="20"/>
              </w:rPr>
              <w:t>RCPsych</w:t>
            </w:r>
            <w:proofErr w:type="spellEnd"/>
            <w:r w:rsidRPr="00650C77">
              <w:rPr>
                <w:rFonts w:ascii="Arial" w:hAnsi="Arial" w:cs="Arial"/>
                <w:color w:val="000000" w:themeColor="text1"/>
                <w:sz w:val="20"/>
                <w:szCs w:val="20"/>
              </w:rPr>
              <w:t>, 2023).</w:t>
            </w:r>
          </w:p>
        </w:tc>
      </w:tr>
      <w:tr w:rsidR="00650C77" w:rsidRPr="00650C77" w14:paraId="5543CF3F" w14:textId="77777777" w:rsidTr="006F7DA7">
        <w:tc>
          <w:tcPr>
            <w:tcW w:w="3652" w:type="dxa"/>
            <w:shd w:val="clear" w:color="auto" w:fill="B4C6E7" w:themeFill="accent1" w:themeFillTint="66"/>
          </w:tcPr>
          <w:p w14:paraId="4DDCAB53"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Benefits of Integrated Models</w:t>
            </w:r>
          </w:p>
        </w:tc>
        <w:tc>
          <w:tcPr>
            <w:tcW w:w="4988" w:type="dxa"/>
            <w:shd w:val="clear" w:color="auto" w:fill="B4C6E7" w:themeFill="accent1" w:themeFillTint="66"/>
          </w:tcPr>
          <w:p w14:paraId="25A565EC"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Early Intervention in Psychosis reduces relapse by 20–40% (Birchwood et al., 2018).</w:t>
            </w:r>
          </w:p>
        </w:tc>
      </w:tr>
      <w:tr w:rsidR="00650C77" w:rsidRPr="00650C77" w14:paraId="489AB9F0" w14:textId="77777777" w:rsidTr="006F7DA7">
        <w:tc>
          <w:tcPr>
            <w:tcW w:w="3652" w:type="dxa"/>
            <w:shd w:val="clear" w:color="auto" w:fill="B4C6E7" w:themeFill="accent1" w:themeFillTint="66"/>
          </w:tcPr>
          <w:p w14:paraId="25728CCA"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Engagement &amp; Retention</w:t>
            </w:r>
          </w:p>
        </w:tc>
        <w:tc>
          <w:tcPr>
            <w:tcW w:w="4988" w:type="dxa"/>
            <w:shd w:val="clear" w:color="auto" w:fill="B4C6E7" w:themeFill="accent1" w:themeFillTint="66"/>
          </w:tcPr>
          <w:p w14:paraId="368FE040" w14:textId="77777777" w:rsidR="00700725" w:rsidRPr="00650C77" w:rsidRDefault="00700725"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Improved outcomes for complex needs with integrated community teams.</w:t>
            </w:r>
          </w:p>
        </w:tc>
      </w:tr>
    </w:tbl>
    <w:p w14:paraId="1ADD43D6" w14:textId="4AEBEA92" w:rsidR="00321494" w:rsidRPr="00650C77" w:rsidRDefault="00321494" w:rsidP="00321494">
      <w:pPr>
        <w:spacing w:after="0" w:line="240" w:lineRule="auto"/>
        <w:rPr>
          <w:rFonts w:ascii="Times New Roman" w:eastAsia="Times New Roman" w:hAnsi="Times New Roman" w:cs="Times New Roman"/>
          <w:color w:val="000000" w:themeColor="text1"/>
          <w:kern w:val="0"/>
          <w:sz w:val="24"/>
          <w:szCs w:val="24"/>
          <w:lang w:eastAsia="en-GB"/>
          <w14:ligatures w14:val="none"/>
        </w:rPr>
      </w:pPr>
    </w:p>
    <w:p w14:paraId="35801E51" w14:textId="77777777" w:rsidR="00321494" w:rsidRPr="00650C77" w:rsidRDefault="00321494" w:rsidP="0032149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The data presented in the table highlight a clear contrast between fragmented and integrated care. High readmission rates and widespread discharge issues demonstrate that poor coordination has measurable negative effects on continuity and recovery (Care Quality Commission, 2023; Jauhar et al., 2019). In contrast, the strongest positive outcome is the reduction in relapse associated with EIP, which reflects the benefits of coordinated, multidisciplinary care (Birchwood et al., 2018). However, not all services achieve this level of integration, largely due to workforce shortages and organisational differences (</w:t>
      </w:r>
      <w:proofErr w:type="spellStart"/>
      <w:r w:rsidRPr="00650C77">
        <w:rPr>
          <w:rFonts w:ascii="Arial" w:eastAsia="Times New Roman" w:hAnsi="Arial" w:cs="Arial"/>
          <w:color w:val="000000" w:themeColor="text1"/>
          <w:kern w:val="0"/>
          <w:lang w:eastAsia="en-GB"/>
          <w14:ligatures w14:val="none"/>
        </w:rPr>
        <w:t>RCPsych</w:t>
      </w:r>
      <w:proofErr w:type="spellEnd"/>
      <w:r w:rsidRPr="00650C77">
        <w:rPr>
          <w:rFonts w:ascii="Arial" w:eastAsia="Times New Roman" w:hAnsi="Arial" w:cs="Arial"/>
          <w:color w:val="000000" w:themeColor="text1"/>
          <w:kern w:val="0"/>
          <w:lang w:eastAsia="en-GB"/>
          <w14:ligatures w14:val="none"/>
        </w:rPr>
        <w:t>, 2023). This suggests that while integration is widely recognised as effective, its impact depends on how consistently it is implemented in practice.</w:t>
      </w:r>
    </w:p>
    <w:p w14:paraId="193224B1" w14:textId="18FAADE3" w:rsidR="00F65CA7" w:rsidRPr="00650C77" w:rsidRDefault="00F65CA7" w:rsidP="00F65CA7">
      <w:pPr>
        <w:spacing w:after="0" w:line="360" w:lineRule="auto"/>
        <w:jc w:val="both"/>
        <w:rPr>
          <w:rFonts w:ascii="Arial" w:eastAsia="Times New Roman" w:hAnsi="Arial" w:cs="Arial"/>
          <w:b/>
          <w:bCs/>
          <w:color w:val="000000" w:themeColor="text1"/>
          <w:kern w:val="0"/>
          <w:sz w:val="24"/>
          <w:szCs w:val="24"/>
          <w:lang w:eastAsia="en-GB"/>
          <w14:ligatures w14:val="none"/>
        </w:rPr>
      </w:pPr>
      <w:r w:rsidRPr="00650C77">
        <w:rPr>
          <w:rFonts w:ascii="Arial" w:hAnsi="Arial" w:cs="Arial"/>
          <w:b/>
          <w:bCs/>
          <w:color w:val="000000" w:themeColor="text1"/>
          <w:sz w:val="24"/>
          <w:szCs w:val="24"/>
        </w:rPr>
        <w:t>4.5.5 Theories, Policies, and Legislation:</w:t>
      </w:r>
    </w:p>
    <w:p w14:paraId="7AD18420" w14:textId="77777777" w:rsidR="00E3226C" w:rsidRPr="00650C77" w:rsidRDefault="00E3226C" w:rsidP="00E3226C">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Systems theory provides an important framework for understanding integrated schizophrenia care by viewing healthcare as a complex system in which outcomes depend on interactions between interconnected components rather than isolated interventions (</w:t>
      </w:r>
      <w:proofErr w:type="spellStart"/>
      <w:r w:rsidRPr="00650C77">
        <w:rPr>
          <w:rFonts w:ascii="Arial" w:hAnsi="Arial" w:cs="Arial"/>
          <w:color w:val="000000" w:themeColor="text1"/>
          <w:sz w:val="22"/>
          <w:szCs w:val="22"/>
        </w:rPr>
        <w:t>Checkland</w:t>
      </w:r>
      <w:proofErr w:type="spellEnd"/>
      <w:r w:rsidRPr="00650C77">
        <w:rPr>
          <w:rFonts w:ascii="Arial" w:hAnsi="Arial" w:cs="Arial"/>
          <w:color w:val="000000" w:themeColor="text1"/>
          <w:sz w:val="22"/>
          <w:szCs w:val="22"/>
        </w:rPr>
        <w:t xml:space="preserve">, 1981). </w:t>
      </w:r>
      <w:r w:rsidRPr="00650C77">
        <w:rPr>
          <w:rFonts w:ascii="Arial" w:hAnsi="Arial" w:cs="Arial"/>
          <w:color w:val="000000" w:themeColor="text1"/>
          <w:sz w:val="22"/>
          <w:szCs w:val="22"/>
        </w:rPr>
        <w:lastRenderedPageBreak/>
        <w:t>From this perspective, fragmentation represents a systemic failure rather than weaknesses within individual services.</w:t>
      </w:r>
    </w:p>
    <w:p w14:paraId="52C6C705" w14:textId="77777777" w:rsidR="00E3226C" w:rsidRPr="00650C77" w:rsidRDefault="00E3226C" w:rsidP="00E3226C">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The recovery-oriented model further supports integration by emphasising continuity, collaboration, and holistic support beyond symptom management (Repper and Perkins, 2021). Integrated care reflects these principles by promoting shared decision-making, coordinated long-term support, and attention to social factors such as housing and employment.</w:t>
      </w:r>
    </w:p>
    <w:p w14:paraId="2ECDED59" w14:textId="77777777" w:rsidR="00E3226C" w:rsidRPr="00650C77" w:rsidRDefault="00E3226C" w:rsidP="00E3226C">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Policies including the NHS Long Term Plan and NICE guidance reinforce the importance of integrated, person-centred mental healthcare and encourage multidisciplinary, community-based models (NHS England, 2019; NICE, 2020). The introduction of Integrated Care Systems (ICSs) aims to improve coordination; however, implementation remains uneven due to governance complexity, funding pressures, and workforce shortages (King’s Fund, 2022; Royal College of Psychiatrists, 2023).</w:t>
      </w:r>
    </w:p>
    <w:p w14:paraId="2D1743B4" w14:textId="77777777" w:rsidR="00E3226C" w:rsidRPr="00650C77" w:rsidRDefault="00E3226C" w:rsidP="00E3226C">
      <w:pPr>
        <w:pStyle w:val="NormalWeb"/>
        <w:spacing w:line="360" w:lineRule="auto"/>
        <w:jc w:val="both"/>
        <w:rPr>
          <w:color w:val="000000" w:themeColor="text1"/>
        </w:rPr>
      </w:pPr>
      <w:r w:rsidRPr="00650C77">
        <w:rPr>
          <w:rFonts w:ascii="Arial" w:hAnsi="Arial" w:cs="Arial"/>
          <w:color w:val="000000" w:themeColor="text1"/>
          <w:sz w:val="22"/>
          <w:szCs w:val="22"/>
        </w:rPr>
        <w:t>Overall, theory and policy strongly support integrated care, but practical implementation remains inconsistent. This indicates that the main challenge lies not in conceptual or policy limitations, but in effectively translating these principles into routine service</w:t>
      </w:r>
      <w:r w:rsidRPr="00650C77">
        <w:rPr>
          <w:color w:val="000000" w:themeColor="text1"/>
        </w:rPr>
        <w:t xml:space="preserve"> delivery.</w:t>
      </w:r>
    </w:p>
    <w:p w14:paraId="7C29765E" w14:textId="27B0685A" w:rsidR="00F65CA7" w:rsidRPr="00650C77" w:rsidRDefault="00F65CA7" w:rsidP="00F65CA7">
      <w:pPr>
        <w:pStyle w:val="Heading1"/>
        <w:jc w:val="both"/>
        <w:rPr>
          <w:rFonts w:ascii="Arial" w:hAnsi="Arial" w:cs="Arial"/>
          <w:b/>
          <w:bCs/>
          <w:color w:val="000000" w:themeColor="text1"/>
          <w:sz w:val="22"/>
          <w:szCs w:val="22"/>
        </w:rPr>
      </w:pPr>
      <w:r w:rsidRPr="00650C77">
        <w:rPr>
          <w:rFonts w:ascii="Arial" w:hAnsi="Arial" w:cs="Arial"/>
          <w:b/>
          <w:bCs/>
          <w:color w:val="000000" w:themeColor="text1"/>
          <w:sz w:val="22"/>
          <w:szCs w:val="22"/>
        </w:rPr>
        <w:t>Table</w:t>
      </w:r>
      <w:r w:rsidR="00E3226C" w:rsidRPr="00650C77">
        <w:rPr>
          <w:rFonts w:ascii="Arial" w:hAnsi="Arial" w:cs="Arial"/>
          <w:b/>
          <w:bCs/>
          <w:color w:val="000000" w:themeColor="text1"/>
          <w:sz w:val="22"/>
          <w:szCs w:val="22"/>
        </w:rPr>
        <w:t xml:space="preserve"> 4.5.5.1</w:t>
      </w:r>
      <w:r w:rsidR="00247F79" w:rsidRPr="00650C77">
        <w:rPr>
          <w:rFonts w:ascii="Arial" w:hAnsi="Arial" w:cs="Arial"/>
          <w:b/>
          <w:bCs/>
          <w:color w:val="000000" w:themeColor="text1"/>
          <w:sz w:val="22"/>
          <w:szCs w:val="22"/>
        </w:rPr>
        <w:t xml:space="preserve">: </w:t>
      </w:r>
      <w:r w:rsidRPr="00650C77">
        <w:rPr>
          <w:rFonts w:ascii="Arial" w:hAnsi="Arial" w:cs="Arial"/>
          <w:b/>
          <w:bCs/>
          <w:color w:val="000000" w:themeColor="text1"/>
          <w:sz w:val="22"/>
          <w:szCs w:val="22"/>
        </w:rPr>
        <w:t xml:space="preserve">Theories, Policies, and Legislation </w:t>
      </w:r>
    </w:p>
    <w:tbl>
      <w:tblPr>
        <w:tblStyle w:val="TableGrid"/>
        <w:tblW w:w="0" w:type="auto"/>
        <w:tblInd w:w="-113" w:type="dxa"/>
        <w:tblLook w:val="04A0" w:firstRow="1" w:lastRow="0" w:firstColumn="1" w:lastColumn="0" w:noHBand="0" w:noVBand="1"/>
      </w:tblPr>
      <w:tblGrid>
        <w:gridCol w:w="1694"/>
        <w:gridCol w:w="6972"/>
      </w:tblGrid>
      <w:tr w:rsidR="00650C77" w:rsidRPr="00650C77" w14:paraId="5957D566" w14:textId="77777777" w:rsidTr="002A42EA">
        <w:tc>
          <w:tcPr>
            <w:tcW w:w="1668" w:type="dxa"/>
            <w:shd w:val="clear" w:color="auto" w:fill="5B9BD5" w:themeFill="accent5"/>
          </w:tcPr>
          <w:p w14:paraId="5DAEE12B" w14:textId="77777777" w:rsidR="00F65CA7" w:rsidRPr="00650C77" w:rsidRDefault="00F65CA7" w:rsidP="00E550B1">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Category</w:t>
            </w:r>
          </w:p>
        </w:tc>
        <w:tc>
          <w:tcPr>
            <w:tcW w:w="6972" w:type="dxa"/>
            <w:shd w:val="clear" w:color="auto" w:fill="5B9BD5" w:themeFill="accent5"/>
          </w:tcPr>
          <w:p w14:paraId="1901138D" w14:textId="77777777" w:rsidR="00F65CA7" w:rsidRPr="00650C77" w:rsidRDefault="00F65CA7" w:rsidP="00E550B1">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Details</w:t>
            </w:r>
          </w:p>
        </w:tc>
      </w:tr>
      <w:tr w:rsidR="00650C77" w:rsidRPr="00650C77" w14:paraId="235033A6" w14:textId="77777777" w:rsidTr="00294876">
        <w:tc>
          <w:tcPr>
            <w:tcW w:w="1668" w:type="dxa"/>
            <w:shd w:val="clear" w:color="auto" w:fill="9CC2E5" w:themeFill="accent5" w:themeFillTint="99"/>
          </w:tcPr>
          <w:p w14:paraId="19A28758" w14:textId="77777777" w:rsidR="00F65CA7" w:rsidRPr="00650C77" w:rsidRDefault="00F65CA7" w:rsidP="00E550B1">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Systems Theory</w:t>
            </w:r>
          </w:p>
        </w:tc>
        <w:tc>
          <w:tcPr>
            <w:tcW w:w="6972" w:type="dxa"/>
            <w:shd w:val="clear" w:color="auto" w:fill="9CC2E5" w:themeFill="accent5" w:themeFillTint="99"/>
          </w:tcPr>
          <w:p w14:paraId="0B2EF3EB" w14:textId="77777777" w:rsidR="00F65CA7" w:rsidRPr="00650C77" w:rsidRDefault="00F65CA7"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 Views healthcare as a complex, interconnected system.</w:t>
            </w:r>
            <w:r w:rsidRPr="00650C77">
              <w:rPr>
                <w:rFonts w:ascii="Arial" w:hAnsi="Arial" w:cs="Arial"/>
                <w:color w:val="000000" w:themeColor="text1"/>
                <w:sz w:val="20"/>
                <w:szCs w:val="20"/>
              </w:rPr>
              <w:br/>
              <w:t>• Fragmentation reflects systemic failure, not individual errors.</w:t>
            </w:r>
            <w:r w:rsidRPr="00650C77">
              <w:rPr>
                <w:rFonts w:ascii="Arial" w:hAnsi="Arial" w:cs="Arial"/>
                <w:color w:val="000000" w:themeColor="text1"/>
                <w:sz w:val="20"/>
                <w:szCs w:val="20"/>
              </w:rPr>
              <w:br/>
              <w:t>• Supports the need for coordinated, integrated schizophrenia care.</w:t>
            </w:r>
            <w:r w:rsidRPr="00650C77">
              <w:rPr>
                <w:rFonts w:ascii="Arial" w:hAnsi="Arial" w:cs="Arial"/>
                <w:color w:val="000000" w:themeColor="text1"/>
                <w:sz w:val="20"/>
                <w:szCs w:val="20"/>
              </w:rPr>
              <w:br/>
              <w:t>(</w:t>
            </w:r>
            <w:proofErr w:type="spellStart"/>
            <w:r w:rsidRPr="00650C77">
              <w:rPr>
                <w:rFonts w:ascii="Arial" w:hAnsi="Arial" w:cs="Arial"/>
                <w:color w:val="000000" w:themeColor="text1"/>
                <w:sz w:val="20"/>
                <w:szCs w:val="20"/>
              </w:rPr>
              <w:t>Checkland</w:t>
            </w:r>
            <w:proofErr w:type="spellEnd"/>
            <w:r w:rsidRPr="00650C77">
              <w:rPr>
                <w:rFonts w:ascii="Arial" w:hAnsi="Arial" w:cs="Arial"/>
                <w:color w:val="000000" w:themeColor="text1"/>
                <w:sz w:val="20"/>
                <w:szCs w:val="20"/>
              </w:rPr>
              <w:t>, 1981)</w:t>
            </w:r>
          </w:p>
        </w:tc>
      </w:tr>
      <w:tr w:rsidR="00650C77" w:rsidRPr="00650C77" w14:paraId="3EB241B5" w14:textId="77777777" w:rsidTr="00294876">
        <w:tc>
          <w:tcPr>
            <w:tcW w:w="1668" w:type="dxa"/>
            <w:shd w:val="clear" w:color="auto" w:fill="9CC2E5" w:themeFill="accent5" w:themeFillTint="99"/>
          </w:tcPr>
          <w:p w14:paraId="56DA2066" w14:textId="77777777" w:rsidR="00F65CA7" w:rsidRPr="00650C77" w:rsidRDefault="00F65CA7" w:rsidP="00E550B1">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Recovery-Oriented Model</w:t>
            </w:r>
          </w:p>
        </w:tc>
        <w:tc>
          <w:tcPr>
            <w:tcW w:w="6972" w:type="dxa"/>
            <w:shd w:val="clear" w:color="auto" w:fill="9CC2E5" w:themeFill="accent5" w:themeFillTint="99"/>
          </w:tcPr>
          <w:p w14:paraId="0919D2A2" w14:textId="77777777" w:rsidR="00F65CA7" w:rsidRPr="00650C77" w:rsidRDefault="00F65CA7"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 Focuses on person-</w:t>
            </w:r>
            <w:proofErr w:type="spellStart"/>
            <w:r w:rsidRPr="00650C77">
              <w:rPr>
                <w:rFonts w:ascii="Arial" w:hAnsi="Arial" w:cs="Arial"/>
                <w:color w:val="000000" w:themeColor="text1"/>
                <w:sz w:val="20"/>
                <w:szCs w:val="20"/>
              </w:rPr>
              <w:t>centred</w:t>
            </w:r>
            <w:proofErr w:type="spellEnd"/>
            <w:r w:rsidRPr="00650C77">
              <w:rPr>
                <w:rFonts w:ascii="Arial" w:hAnsi="Arial" w:cs="Arial"/>
                <w:color w:val="000000" w:themeColor="text1"/>
                <w:sz w:val="20"/>
                <w:szCs w:val="20"/>
              </w:rPr>
              <w:t>, long-term recovery beyond symptom control.</w:t>
            </w:r>
            <w:r w:rsidRPr="00650C77">
              <w:rPr>
                <w:rFonts w:ascii="Arial" w:hAnsi="Arial" w:cs="Arial"/>
                <w:color w:val="000000" w:themeColor="text1"/>
                <w:sz w:val="20"/>
                <w:szCs w:val="20"/>
              </w:rPr>
              <w:br/>
              <w:t>• Encourages collaboration and attention to social needs like housing/employment.</w:t>
            </w:r>
            <w:r w:rsidRPr="00650C77">
              <w:rPr>
                <w:rFonts w:ascii="Arial" w:hAnsi="Arial" w:cs="Arial"/>
                <w:color w:val="000000" w:themeColor="text1"/>
                <w:sz w:val="20"/>
                <w:szCs w:val="20"/>
              </w:rPr>
              <w:br/>
              <w:t>• Integrated care aligns with recovery principles.</w:t>
            </w:r>
            <w:r w:rsidRPr="00650C77">
              <w:rPr>
                <w:rFonts w:ascii="Arial" w:hAnsi="Arial" w:cs="Arial"/>
                <w:color w:val="000000" w:themeColor="text1"/>
                <w:sz w:val="20"/>
                <w:szCs w:val="20"/>
              </w:rPr>
              <w:br/>
              <w:t>(Repper &amp; Perkins, 2021)</w:t>
            </w:r>
          </w:p>
        </w:tc>
      </w:tr>
      <w:tr w:rsidR="00650C77" w:rsidRPr="00650C77" w14:paraId="22D73A25" w14:textId="77777777" w:rsidTr="00294876">
        <w:tc>
          <w:tcPr>
            <w:tcW w:w="1668" w:type="dxa"/>
            <w:shd w:val="clear" w:color="auto" w:fill="9CC2E5" w:themeFill="accent5" w:themeFillTint="99"/>
          </w:tcPr>
          <w:p w14:paraId="578F80B6" w14:textId="77777777" w:rsidR="00F65CA7" w:rsidRPr="00650C77" w:rsidRDefault="00F65CA7" w:rsidP="00E550B1">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NICE Guidelines (2020)</w:t>
            </w:r>
          </w:p>
        </w:tc>
        <w:tc>
          <w:tcPr>
            <w:tcW w:w="6972" w:type="dxa"/>
            <w:shd w:val="clear" w:color="auto" w:fill="9CC2E5" w:themeFill="accent5" w:themeFillTint="99"/>
          </w:tcPr>
          <w:p w14:paraId="3749BCA8" w14:textId="77777777" w:rsidR="00F65CA7" w:rsidRPr="00650C77" w:rsidRDefault="00F65CA7"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 Recommend coordinated care across hospital and community settings.</w:t>
            </w:r>
            <w:r w:rsidRPr="00650C77">
              <w:rPr>
                <w:rFonts w:ascii="Arial" w:hAnsi="Arial" w:cs="Arial"/>
                <w:color w:val="000000" w:themeColor="text1"/>
                <w:sz w:val="20"/>
                <w:szCs w:val="20"/>
              </w:rPr>
              <w:br/>
              <w:t xml:space="preserve">• </w:t>
            </w:r>
            <w:proofErr w:type="spellStart"/>
            <w:r w:rsidRPr="00650C77">
              <w:rPr>
                <w:rFonts w:ascii="Arial" w:hAnsi="Arial" w:cs="Arial"/>
                <w:color w:val="000000" w:themeColor="text1"/>
                <w:sz w:val="20"/>
                <w:szCs w:val="20"/>
              </w:rPr>
              <w:t>Emphasise</w:t>
            </w:r>
            <w:proofErr w:type="spellEnd"/>
            <w:r w:rsidRPr="00650C77">
              <w:rPr>
                <w:rFonts w:ascii="Arial" w:hAnsi="Arial" w:cs="Arial"/>
                <w:color w:val="000000" w:themeColor="text1"/>
                <w:sz w:val="20"/>
                <w:szCs w:val="20"/>
              </w:rPr>
              <w:t xml:space="preserve"> early intervention, continuity, and family involvement.</w:t>
            </w:r>
            <w:r w:rsidRPr="00650C77">
              <w:rPr>
                <w:rFonts w:ascii="Arial" w:hAnsi="Arial" w:cs="Arial"/>
                <w:color w:val="000000" w:themeColor="text1"/>
                <w:sz w:val="20"/>
                <w:szCs w:val="20"/>
              </w:rPr>
              <w:br/>
              <w:t>• Stress psychological therapies and patient engagement.</w:t>
            </w:r>
            <w:r w:rsidRPr="00650C77">
              <w:rPr>
                <w:rFonts w:ascii="Arial" w:hAnsi="Arial" w:cs="Arial"/>
                <w:color w:val="000000" w:themeColor="text1"/>
                <w:sz w:val="20"/>
                <w:szCs w:val="20"/>
              </w:rPr>
              <w:br/>
              <w:t>(NICE, 2020)</w:t>
            </w:r>
          </w:p>
        </w:tc>
      </w:tr>
      <w:tr w:rsidR="00650C77" w:rsidRPr="00650C77" w14:paraId="3E8DAF0B" w14:textId="77777777" w:rsidTr="00294876">
        <w:tc>
          <w:tcPr>
            <w:tcW w:w="1668" w:type="dxa"/>
            <w:shd w:val="clear" w:color="auto" w:fill="9CC2E5" w:themeFill="accent5" w:themeFillTint="99"/>
          </w:tcPr>
          <w:p w14:paraId="35DE715D" w14:textId="77777777" w:rsidR="00F65CA7" w:rsidRPr="00650C77" w:rsidRDefault="00F65CA7" w:rsidP="00E550B1">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NHS Long Term Plan</w:t>
            </w:r>
          </w:p>
        </w:tc>
        <w:tc>
          <w:tcPr>
            <w:tcW w:w="6972" w:type="dxa"/>
            <w:shd w:val="clear" w:color="auto" w:fill="9CC2E5" w:themeFill="accent5" w:themeFillTint="99"/>
          </w:tcPr>
          <w:p w14:paraId="31AFC10C" w14:textId="77777777" w:rsidR="00F65CA7" w:rsidRPr="00650C77" w:rsidRDefault="00F65CA7"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 Commits to transforming community mental health services.</w:t>
            </w:r>
            <w:r w:rsidRPr="00650C77">
              <w:rPr>
                <w:rFonts w:ascii="Arial" w:hAnsi="Arial" w:cs="Arial"/>
                <w:color w:val="000000" w:themeColor="text1"/>
                <w:sz w:val="20"/>
                <w:szCs w:val="20"/>
              </w:rPr>
              <w:br/>
              <w:t>• Expands Early Intervention in Psychosis (EIP) and integrated models.</w:t>
            </w:r>
            <w:r w:rsidRPr="00650C77">
              <w:rPr>
                <w:rFonts w:ascii="Arial" w:hAnsi="Arial" w:cs="Arial"/>
                <w:color w:val="000000" w:themeColor="text1"/>
                <w:sz w:val="20"/>
                <w:szCs w:val="20"/>
              </w:rPr>
              <w:br/>
              <w:t>• Focuses on co-located teams and service linking.</w:t>
            </w:r>
            <w:r w:rsidRPr="00650C77">
              <w:rPr>
                <w:rFonts w:ascii="Arial" w:hAnsi="Arial" w:cs="Arial"/>
                <w:color w:val="000000" w:themeColor="text1"/>
                <w:sz w:val="20"/>
                <w:szCs w:val="20"/>
              </w:rPr>
              <w:br/>
              <w:t>(NHS England, 2019)</w:t>
            </w:r>
          </w:p>
        </w:tc>
      </w:tr>
      <w:tr w:rsidR="00650C77" w:rsidRPr="00650C77" w14:paraId="1F4A9D0E" w14:textId="77777777" w:rsidTr="00294876">
        <w:tc>
          <w:tcPr>
            <w:tcW w:w="1668" w:type="dxa"/>
            <w:shd w:val="clear" w:color="auto" w:fill="9CC2E5" w:themeFill="accent5" w:themeFillTint="99"/>
          </w:tcPr>
          <w:p w14:paraId="5C810FFD" w14:textId="77777777" w:rsidR="00F65CA7" w:rsidRPr="00650C77" w:rsidRDefault="00F65CA7" w:rsidP="00E550B1">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Health and Care Act 2022</w:t>
            </w:r>
          </w:p>
        </w:tc>
        <w:tc>
          <w:tcPr>
            <w:tcW w:w="6972" w:type="dxa"/>
            <w:shd w:val="clear" w:color="auto" w:fill="9CC2E5" w:themeFill="accent5" w:themeFillTint="99"/>
          </w:tcPr>
          <w:p w14:paraId="5E4F3254" w14:textId="77777777" w:rsidR="00F65CA7" w:rsidRPr="00650C77" w:rsidRDefault="00F65CA7"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 Legally establishes Integrated Care Systems (ICSs).</w:t>
            </w:r>
            <w:r w:rsidRPr="00650C77">
              <w:rPr>
                <w:rFonts w:ascii="Arial" w:hAnsi="Arial" w:cs="Arial"/>
                <w:color w:val="000000" w:themeColor="text1"/>
                <w:sz w:val="20"/>
                <w:szCs w:val="20"/>
              </w:rPr>
              <w:br/>
              <w:t>• Requires NHS, local authorities, and partners to plan services jointly.</w:t>
            </w:r>
            <w:r w:rsidRPr="00650C77">
              <w:rPr>
                <w:rFonts w:ascii="Arial" w:hAnsi="Arial" w:cs="Arial"/>
                <w:color w:val="000000" w:themeColor="text1"/>
                <w:sz w:val="20"/>
                <w:szCs w:val="20"/>
              </w:rPr>
              <w:br/>
              <w:t>• Aims to reduce inequalities and improve population health outcomes.</w:t>
            </w:r>
            <w:r w:rsidRPr="00650C77">
              <w:rPr>
                <w:rFonts w:ascii="Arial" w:hAnsi="Arial" w:cs="Arial"/>
                <w:color w:val="000000" w:themeColor="text1"/>
                <w:sz w:val="20"/>
                <w:szCs w:val="20"/>
              </w:rPr>
              <w:br/>
              <w:t>(Health and Care Act, 2022)</w:t>
            </w:r>
          </w:p>
        </w:tc>
      </w:tr>
      <w:tr w:rsidR="00650C77" w:rsidRPr="00650C77" w14:paraId="2EF59EAE" w14:textId="77777777" w:rsidTr="00294876">
        <w:tc>
          <w:tcPr>
            <w:tcW w:w="1668" w:type="dxa"/>
            <w:shd w:val="clear" w:color="auto" w:fill="9CC2E5" w:themeFill="accent5" w:themeFillTint="99"/>
          </w:tcPr>
          <w:p w14:paraId="0C77E214" w14:textId="77777777" w:rsidR="00F65CA7" w:rsidRPr="00650C77" w:rsidRDefault="00F65CA7" w:rsidP="00E550B1">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Challenges in Implementation</w:t>
            </w:r>
          </w:p>
        </w:tc>
        <w:tc>
          <w:tcPr>
            <w:tcW w:w="6972" w:type="dxa"/>
            <w:shd w:val="clear" w:color="auto" w:fill="9CC2E5" w:themeFill="accent5" w:themeFillTint="99"/>
          </w:tcPr>
          <w:p w14:paraId="6E28D162" w14:textId="77777777" w:rsidR="00F65CA7" w:rsidRPr="00650C77" w:rsidRDefault="00F65CA7"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 Integration remains inconsistent across regions.</w:t>
            </w:r>
            <w:r w:rsidRPr="00650C77">
              <w:rPr>
                <w:rFonts w:ascii="Arial" w:hAnsi="Arial" w:cs="Arial"/>
                <w:color w:val="000000" w:themeColor="text1"/>
                <w:sz w:val="20"/>
                <w:szCs w:val="20"/>
              </w:rPr>
              <w:br/>
              <w:t>• Governance, funding disparities, and staffing gaps limit progress.</w:t>
            </w:r>
            <w:r w:rsidRPr="00650C77">
              <w:rPr>
                <w:rFonts w:ascii="Arial" w:hAnsi="Arial" w:cs="Arial"/>
                <w:color w:val="000000" w:themeColor="text1"/>
                <w:sz w:val="20"/>
                <w:szCs w:val="20"/>
              </w:rPr>
              <w:br/>
              <w:t>• Legislation alone is insufficient for practical change.</w:t>
            </w:r>
            <w:r w:rsidRPr="00650C77">
              <w:rPr>
                <w:rFonts w:ascii="Arial" w:hAnsi="Arial" w:cs="Arial"/>
                <w:color w:val="000000" w:themeColor="text1"/>
                <w:sz w:val="20"/>
                <w:szCs w:val="20"/>
              </w:rPr>
              <w:br/>
              <w:t>(King’s Fund, 2022)</w:t>
            </w:r>
          </w:p>
        </w:tc>
      </w:tr>
    </w:tbl>
    <w:p w14:paraId="70EC552D" w14:textId="5C9425B1" w:rsidR="008366F7" w:rsidRPr="00650C77" w:rsidRDefault="008366F7" w:rsidP="008366F7">
      <w:pPr>
        <w:spacing w:after="0" w:line="240" w:lineRule="auto"/>
        <w:rPr>
          <w:rFonts w:ascii="Arial" w:eastAsia="Times New Roman" w:hAnsi="Arial" w:cs="Arial"/>
          <w:color w:val="000000" w:themeColor="text1"/>
          <w:kern w:val="0"/>
          <w:sz w:val="24"/>
          <w:szCs w:val="24"/>
          <w:lang w:eastAsia="en-GB"/>
          <w14:ligatures w14:val="none"/>
        </w:rPr>
      </w:pPr>
    </w:p>
    <w:p w14:paraId="574FF5D7" w14:textId="77777777" w:rsidR="00247F79" w:rsidRPr="00650C77" w:rsidRDefault="00247F79" w:rsidP="008366F7">
      <w:pPr>
        <w:spacing w:after="0" w:line="240" w:lineRule="auto"/>
        <w:rPr>
          <w:rFonts w:ascii="Arial" w:eastAsia="Times New Roman" w:hAnsi="Arial" w:cs="Arial"/>
          <w:color w:val="000000" w:themeColor="text1"/>
          <w:kern w:val="0"/>
          <w:sz w:val="24"/>
          <w:szCs w:val="24"/>
          <w:lang w:eastAsia="en-GB"/>
          <w14:ligatures w14:val="none"/>
        </w:rPr>
      </w:pPr>
    </w:p>
    <w:p w14:paraId="358C92AA" w14:textId="35BB0201" w:rsidR="008366F7" w:rsidRPr="00294876" w:rsidRDefault="00F65CA7" w:rsidP="00E3226C">
      <w:pPr>
        <w:spacing w:before="100" w:beforeAutospacing="1" w:after="100" w:afterAutospacing="1" w:line="360" w:lineRule="auto"/>
        <w:jc w:val="both"/>
        <w:outlineLvl w:val="2"/>
        <w:rPr>
          <w:rFonts w:ascii="Arial" w:eastAsia="Times New Roman" w:hAnsi="Arial" w:cs="Arial"/>
          <w:b/>
          <w:bCs/>
          <w:color w:val="000000" w:themeColor="text1"/>
          <w:kern w:val="0"/>
          <w:sz w:val="24"/>
          <w:szCs w:val="24"/>
          <w:lang w:eastAsia="en-GB"/>
          <w14:ligatures w14:val="none"/>
        </w:rPr>
      </w:pPr>
      <w:r w:rsidRPr="00294876">
        <w:rPr>
          <w:rFonts w:ascii="Arial" w:eastAsia="Times New Roman" w:hAnsi="Arial" w:cs="Arial"/>
          <w:b/>
          <w:bCs/>
          <w:color w:val="000000" w:themeColor="text1"/>
          <w:kern w:val="0"/>
          <w:sz w:val="24"/>
          <w:szCs w:val="24"/>
          <w:lang w:eastAsia="en-GB"/>
          <w14:ligatures w14:val="none"/>
        </w:rPr>
        <w:lastRenderedPageBreak/>
        <w:t xml:space="preserve">4.5.6 </w:t>
      </w:r>
      <w:r w:rsidR="008366F7" w:rsidRPr="00294876">
        <w:rPr>
          <w:rFonts w:ascii="Arial" w:eastAsia="Times New Roman" w:hAnsi="Arial" w:cs="Arial"/>
          <w:b/>
          <w:bCs/>
          <w:color w:val="000000" w:themeColor="text1"/>
          <w:kern w:val="0"/>
          <w:sz w:val="24"/>
          <w:szCs w:val="24"/>
          <w:lang w:eastAsia="en-GB"/>
          <w14:ligatures w14:val="none"/>
        </w:rPr>
        <w:t>Implications of Integrated Care Models</w:t>
      </w:r>
    </w:p>
    <w:p w14:paraId="6AC6C624" w14:textId="340A5EB9" w:rsidR="00E3226C" w:rsidRPr="00650C77" w:rsidRDefault="00294876" w:rsidP="00E3226C">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I</w:t>
      </w:r>
      <w:r w:rsidRPr="00650C77">
        <w:rPr>
          <w:rFonts w:ascii="Arial" w:hAnsi="Arial" w:cs="Arial"/>
          <w:color w:val="000000" w:themeColor="text1"/>
          <w:sz w:val="22"/>
          <w:szCs w:val="22"/>
        </w:rPr>
        <w:t>ntegrated</w:t>
      </w:r>
      <w:r w:rsidR="00E3226C" w:rsidRPr="00650C77">
        <w:rPr>
          <w:rFonts w:ascii="Arial" w:hAnsi="Arial" w:cs="Arial"/>
          <w:color w:val="000000" w:themeColor="text1"/>
          <w:sz w:val="22"/>
          <w:szCs w:val="22"/>
        </w:rPr>
        <w:t xml:space="preserve"> care models offer important benefits for schizophrenia services. Improved coordination strengthens continuity of care, reduces duplication, and enables earlier intervention, which can lower relapse and hospitalisation rates. Integration across health and social care also supports holistic care by addressing social needs alongside clinical treatment. It enhances continuity and efficiency (NHS England, 2019), reduces relapse through earlier intervention (Birchwood et al., 2018), supports holistic multi-agency care (Asthana et al., 2020), and promotes shared decision-making within recovery-oriented approaches (Repper &amp; Perkins, 2021). These benefits align with national strategies such as NICE guidance and the NHS Long Term Plan (NICE, 2020; NHS England, 2019).</w:t>
      </w:r>
    </w:p>
    <w:p w14:paraId="66AC529B" w14:textId="77777777" w:rsidR="00E3226C" w:rsidRPr="00650C77" w:rsidRDefault="00E3226C" w:rsidP="00E3226C">
      <w:pPr>
        <w:pStyle w:val="NormalWeb"/>
        <w:spacing w:line="360" w:lineRule="auto"/>
        <w:jc w:val="both"/>
        <w:rPr>
          <w:color w:val="000000" w:themeColor="text1"/>
        </w:rPr>
      </w:pPr>
      <w:r w:rsidRPr="00650C77">
        <w:rPr>
          <w:rFonts w:ascii="Arial" w:hAnsi="Arial" w:cs="Arial"/>
          <w:color w:val="000000" w:themeColor="text1"/>
          <w:sz w:val="22"/>
          <w:szCs w:val="22"/>
        </w:rPr>
        <w:t>However, significant challenges remain. Workforce shortages, incompatible information systems, and unclear accountability continue to limit effective integration (</w:t>
      </w:r>
      <w:r w:rsidRPr="00650C77">
        <w:rPr>
          <w:rStyle w:val="whitespace-normal"/>
          <w:rFonts w:ascii="Arial" w:eastAsiaTheme="majorEastAsia" w:hAnsi="Arial" w:cs="Arial"/>
          <w:color w:val="000000" w:themeColor="text1"/>
          <w:sz w:val="22"/>
          <w:szCs w:val="22"/>
        </w:rPr>
        <w:t>Care Quality Commission</w:t>
      </w:r>
      <w:r w:rsidRPr="00650C77">
        <w:rPr>
          <w:rFonts w:ascii="Arial" w:hAnsi="Arial" w:cs="Arial"/>
          <w:color w:val="000000" w:themeColor="text1"/>
          <w:sz w:val="22"/>
          <w:szCs w:val="22"/>
        </w:rPr>
        <w:t>, 2023). Without sustained investment, leadership, and coordination, integrated care risks remaining a policy ambition rather than a consistently implemented practice</w:t>
      </w:r>
      <w:r w:rsidRPr="00650C77">
        <w:rPr>
          <w:color w:val="000000" w:themeColor="text1"/>
        </w:rPr>
        <w:t>.</w:t>
      </w:r>
    </w:p>
    <w:p w14:paraId="21DE8C57" w14:textId="37ADD153" w:rsidR="00364C60" w:rsidRPr="00650C77" w:rsidRDefault="00364C60" w:rsidP="00364C60">
      <w:pPr>
        <w:pStyle w:val="Heading1"/>
        <w:jc w:val="both"/>
        <w:rPr>
          <w:rFonts w:ascii="Arial" w:hAnsi="Arial" w:cs="Arial"/>
          <w:b/>
          <w:bCs/>
          <w:color w:val="000000" w:themeColor="text1"/>
          <w:sz w:val="22"/>
          <w:szCs w:val="22"/>
        </w:rPr>
      </w:pPr>
      <w:r w:rsidRPr="00650C77">
        <w:rPr>
          <w:rFonts w:ascii="Arial" w:hAnsi="Arial" w:cs="Arial"/>
          <w:b/>
          <w:bCs/>
          <w:color w:val="000000" w:themeColor="text1"/>
          <w:sz w:val="22"/>
          <w:szCs w:val="22"/>
        </w:rPr>
        <w:t>4.5.6 Implications of Integrated Care Models:</w:t>
      </w:r>
    </w:p>
    <w:tbl>
      <w:tblPr>
        <w:tblStyle w:val="TableGrid"/>
        <w:tblW w:w="0" w:type="auto"/>
        <w:tblInd w:w="-113" w:type="dxa"/>
        <w:tblLook w:val="04A0" w:firstRow="1" w:lastRow="0" w:firstColumn="1" w:lastColumn="0" w:noHBand="0" w:noVBand="1"/>
      </w:tblPr>
      <w:tblGrid>
        <w:gridCol w:w="4320"/>
        <w:gridCol w:w="4320"/>
      </w:tblGrid>
      <w:tr w:rsidR="00650C77" w:rsidRPr="00650C77" w14:paraId="7C2C74E4" w14:textId="77777777" w:rsidTr="002A42EA">
        <w:tc>
          <w:tcPr>
            <w:tcW w:w="4320" w:type="dxa"/>
            <w:shd w:val="clear" w:color="auto" w:fill="5B9BD5" w:themeFill="accent5"/>
          </w:tcPr>
          <w:p w14:paraId="71BA9808" w14:textId="0583DE6D" w:rsidR="00364C60" w:rsidRPr="00650C77" w:rsidRDefault="00364C60" w:rsidP="00E550B1">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 xml:space="preserve">Positive Implications </w:t>
            </w:r>
          </w:p>
        </w:tc>
        <w:tc>
          <w:tcPr>
            <w:tcW w:w="4320" w:type="dxa"/>
            <w:shd w:val="clear" w:color="auto" w:fill="5B9BD5" w:themeFill="accent5"/>
          </w:tcPr>
          <w:p w14:paraId="1E674E1D" w14:textId="4DA6557F" w:rsidR="00364C60" w:rsidRPr="00650C77" w:rsidRDefault="00364C60" w:rsidP="00E550B1">
            <w:pPr>
              <w:jc w:val="both"/>
              <w:rPr>
                <w:rFonts w:ascii="Arial" w:hAnsi="Arial" w:cs="Arial"/>
                <w:b/>
                <w:bCs/>
                <w:color w:val="000000" w:themeColor="text1"/>
                <w:sz w:val="20"/>
                <w:szCs w:val="20"/>
              </w:rPr>
            </w:pPr>
            <w:r w:rsidRPr="00650C77">
              <w:rPr>
                <w:rFonts w:ascii="Arial" w:hAnsi="Arial" w:cs="Arial"/>
                <w:b/>
                <w:bCs/>
                <w:color w:val="000000" w:themeColor="text1"/>
                <w:sz w:val="20"/>
                <w:szCs w:val="20"/>
              </w:rPr>
              <w:t xml:space="preserve">Challenges and Limitations </w:t>
            </w:r>
          </w:p>
        </w:tc>
      </w:tr>
      <w:tr w:rsidR="00650C77" w:rsidRPr="00650C77" w14:paraId="48C05CEA" w14:textId="77777777" w:rsidTr="002A42EA">
        <w:tc>
          <w:tcPr>
            <w:tcW w:w="4320" w:type="dxa"/>
            <w:shd w:val="clear" w:color="auto" w:fill="5B9BD5" w:themeFill="accent5"/>
          </w:tcPr>
          <w:p w14:paraId="508D3E2C" w14:textId="77777777" w:rsidR="00364C60" w:rsidRPr="00650C77" w:rsidRDefault="00364C60"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 Enhances continuity of care and reduces duplication across services (NHS England, 2019).</w:t>
            </w:r>
            <w:r w:rsidRPr="00650C77">
              <w:rPr>
                <w:rFonts w:ascii="Arial" w:hAnsi="Arial" w:cs="Arial"/>
                <w:color w:val="000000" w:themeColor="text1"/>
                <w:sz w:val="20"/>
                <w:szCs w:val="20"/>
              </w:rPr>
              <w:br/>
              <w:t xml:space="preserve">• Facilitates earlier intervention, reducing relapse and </w:t>
            </w:r>
            <w:proofErr w:type="spellStart"/>
            <w:r w:rsidRPr="00650C77">
              <w:rPr>
                <w:rFonts w:ascii="Arial" w:hAnsi="Arial" w:cs="Arial"/>
                <w:color w:val="000000" w:themeColor="text1"/>
                <w:sz w:val="20"/>
                <w:szCs w:val="20"/>
              </w:rPr>
              <w:t>hospitalisation</w:t>
            </w:r>
            <w:proofErr w:type="spellEnd"/>
            <w:r w:rsidRPr="00650C77">
              <w:rPr>
                <w:rFonts w:ascii="Arial" w:hAnsi="Arial" w:cs="Arial"/>
                <w:color w:val="000000" w:themeColor="text1"/>
                <w:sz w:val="20"/>
                <w:szCs w:val="20"/>
              </w:rPr>
              <w:t xml:space="preserve"> rates (Birchwood et al., 2018).</w:t>
            </w:r>
            <w:r w:rsidRPr="00650C77">
              <w:rPr>
                <w:rFonts w:ascii="Arial" w:hAnsi="Arial" w:cs="Arial"/>
                <w:color w:val="000000" w:themeColor="text1"/>
                <w:sz w:val="20"/>
                <w:szCs w:val="20"/>
              </w:rPr>
              <w:br/>
              <w:t>• Supports holistic care by integrating health, social, and voluntary services (Asthana et al., 2020).</w:t>
            </w:r>
            <w:r w:rsidRPr="00650C77">
              <w:rPr>
                <w:rFonts w:ascii="Arial" w:hAnsi="Arial" w:cs="Arial"/>
                <w:color w:val="000000" w:themeColor="text1"/>
                <w:sz w:val="20"/>
                <w:szCs w:val="20"/>
              </w:rPr>
              <w:br/>
              <w:t>• Promotes shared decision-making and recovery-oriented care (Repper &amp; Perkins, 2021).</w:t>
            </w:r>
          </w:p>
          <w:p w14:paraId="5596F4D3" w14:textId="77777777" w:rsidR="00364C60" w:rsidRPr="00650C77" w:rsidRDefault="00364C60"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br/>
              <w:t>• Aligns with national strategies like the NHS Long Term Plan and NICE guidelines (NICE, 2020; NHS England, 2019).</w:t>
            </w:r>
          </w:p>
        </w:tc>
        <w:tc>
          <w:tcPr>
            <w:tcW w:w="4320" w:type="dxa"/>
            <w:shd w:val="clear" w:color="auto" w:fill="5B9BD5" w:themeFill="accent5"/>
          </w:tcPr>
          <w:p w14:paraId="1B3B3080" w14:textId="77777777" w:rsidR="00364C60" w:rsidRPr="00650C77" w:rsidRDefault="00364C60" w:rsidP="00E550B1">
            <w:pPr>
              <w:jc w:val="both"/>
              <w:rPr>
                <w:rFonts w:ascii="Arial" w:hAnsi="Arial" w:cs="Arial"/>
                <w:color w:val="000000" w:themeColor="text1"/>
                <w:sz w:val="20"/>
                <w:szCs w:val="20"/>
              </w:rPr>
            </w:pPr>
            <w:r w:rsidRPr="00650C77">
              <w:rPr>
                <w:rFonts w:ascii="Arial" w:hAnsi="Arial" w:cs="Arial"/>
                <w:color w:val="000000" w:themeColor="text1"/>
                <w:sz w:val="20"/>
                <w:szCs w:val="20"/>
              </w:rPr>
              <w:t>• Workforce shortages, particularly in community mental health teams, limit implementation (Royal College of Psychiatrists, 2023).</w:t>
            </w:r>
            <w:r w:rsidRPr="00650C77">
              <w:rPr>
                <w:rFonts w:ascii="Arial" w:hAnsi="Arial" w:cs="Arial"/>
                <w:color w:val="000000" w:themeColor="text1"/>
                <w:sz w:val="20"/>
                <w:szCs w:val="20"/>
              </w:rPr>
              <w:br/>
              <w:t>• Incompatible data and IT systems hinder cross-sector information sharing (King’s Fund, 2022).</w:t>
            </w:r>
            <w:r w:rsidRPr="00650C77">
              <w:rPr>
                <w:rFonts w:ascii="Arial" w:hAnsi="Arial" w:cs="Arial"/>
                <w:color w:val="000000" w:themeColor="text1"/>
                <w:sz w:val="20"/>
                <w:szCs w:val="20"/>
              </w:rPr>
              <w:br/>
              <w:t>• Fragmented accountability structures lead to weak service coordination (Care Quality Commission, 2023).</w:t>
            </w:r>
            <w:r w:rsidRPr="00650C77">
              <w:rPr>
                <w:rFonts w:ascii="Arial" w:hAnsi="Arial" w:cs="Arial"/>
                <w:color w:val="000000" w:themeColor="text1"/>
                <w:sz w:val="20"/>
                <w:szCs w:val="20"/>
              </w:rPr>
              <w:br/>
              <w:t>• Unequal regional funding and governance contribute to inconsistent delivery (King’s Fund, 2022).</w:t>
            </w:r>
            <w:r w:rsidRPr="00650C77">
              <w:rPr>
                <w:rFonts w:ascii="Arial" w:hAnsi="Arial" w:cs="Arial"/>
                <w:color w:val="000000" w:themeColor="text1"/>
                <w:sz w:val="20"/>
                <w:szCs w:val="20"/>
              </w:rPr>
              <w:br/>
              <w:t>• Without strong leadership and investment, integrated care risks remaining a theoretical model (Care Quality Commission, 2023).</w:t>
            </w:r>
          </w:p>
        </w:tc>
      </w:tr>
    </w:tbl>
    <w:p w14:paraId="12CA0886" w14:textId="08A699CB" w:rsidR="008366F7" w:rsidRPr="006F7DA7" w:rsidRDefault="002B381B" w:rsidP="006F7DA7">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 xml:space="preserve">At the same time, the table makes clear why implementation remains uneven. Workforce shortages continue to limit delivery, particularly in community mental health teams (Royal College of Psychiatrists, 2023). Incompatible data and IT systems hinder cross-sector information sharing, while fragmented accountability weakens coordination (King’s Fund, 2022; Care Quality Commission, 2023). Unequal regional funding and governance also contribute to variation (King’s Fund, 2022). This means that integrated care should be viewed as a strong strategic direction, but one that depends on the practical conditions needed to support it. Therefore, the most convincing conclusion is that integrated care has strong </w:t>
      </w:r>
      <w:r w:rsidRPr="00650C77">
        <w:rPr>
          <w:rFonts w:ascii="Arial" w:eastAsia="Times New Roman" w:hAnsi="Arial" w:cs="Arial"/>
          <w:color w:val="000000" w:themeColor="text1"/>
          <w:kern w:val="0"/>
          <w:lang w:eastAsia="en-GB"/>
          <w14:ligatures w14:val="none"/>
        </w:rPr>
        <w:lastRenderedPageBreak/>
        <w:t>potential, but its impact in real-world service delivery remains dependent on leadership, workforce capacity, and sustained investment.</w:t>
      </w:r>
    </w:p>
    <w:p w14:paraId="6BB5A849" w14:textId="09A134B6" w:rsidR="008366F7" w:rsidRPr="006F7DA7" w:rsidRDefault="00364C60" w:rsidP="008366F7">
      <w:pPr>
        <w:spacing w:before="100" w:beforeAutospacing="1" w:after="100" w:afterAutospacing="1" w:line="240" w:lineRule="auto"/>
        <w:outlineLvl w:val="2"/>
        <w:rPr>
          <w:rFonts w:ascii="Arial" w:eastAsia="Times New Roman" w:hAnsi="Arial" w:cs="Arial"/>
          <w:b/>
          <w:bCs/>
          <w:color w:val="000000" w:themeColor="text1"/>
          <w:kern w:val="0"/>
          <w:sz w:val="24"/>
          <w:szCs w:val="24"/>
          <w:lang w:eastAsia="en-GB"/>
          <w14:ligatures w14:val="none"/>
        </w:rPr>
      </w:pPr>
      <w:r w:rsidRPr="006F7DA7">
        <w:rPr>
          <w:rFonts w:ascii="Arial" w:eastAsia="Times New Roman" w:hAnsi="Arial" w:cs="Arial"/>
          <w:b/>
          <w:bCs/>
          <w:color w:val="000000" w:themeColor="text1"/>
          <w:kern w:val="0"/>
          <w:sz w:val="24"/>
          <w:szCs w:val="24"/>
          <w:lang w:eastAsia="en-GB"/>
          <w14:ligatures w14:val="none"/>
        </w:rPr>
        <w:t xml:space="preserve">4.5.7 </w:t>
      </w:r>
      <w:r w:rsidR="008366F7" w:rsidRPr="006F7DA7">
        <w:rPr>
          <w:rFonts w:ascii="Arial" w:eastAsia="Times New Roman" w:hAnsi="Arial" w:cs="Arial"/>
          <w:b/>
          <w:bCs/>
          <w:color w:val="000000" w:themeColor="text1"/>
          <w:kern w:val="0"/>
          <w:sz w:val="24"/>
          <w:szCs w:val="24"/>
          <w:lang w:eastAsia="en-GB"/>
          <w14:ligatures w14:val="none"/>
        </w:rPr>
        <w:t>Examples from the Literature</w:t>
      </w:r>
      <w:r w:rsidRPr="006F7DA7">
        <w:rPr>
          <w:rFonts w:ascii="Arial" w:eastAsia="Times New Roman" w:hAnsi="Arial" w:cs="Arial"/>
          <w:b/>
          <w:bCs/>
          <w:color w:val="000000" w:themeColor="text1"/>
          <w:kern w:val="0"/>
          <w:sz w:val="24"/>
          <w:szCs w:val="24"/>
          <w:lang w:eastAsia="en-GB"/>
          <w14:ligatures w14:val="none"/>
        </w:rPr>
        <w:t>:</w:t>
      </w:r>
    </w:p>
    <w:p w14:paraId="24AA9FC3" w14:textId="77777777" w:rsidR="002B381B" w:rsidRPr="00650C77" w:rsidRDefault="002B381B" w:rsidP="003B061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This theme is strongly supported by findings from the reviewed literature, which collectively demonstrate that integrated care models influence schizophrenia outcomes by shaping continuity, access, and equity across treatment pathways.</w:t>
      </w:r>
    </w:p>
    <w:p w14:paraId="629D7B69" w14:textId="251C7E45" w:rsidR="003B0614" w:rsidRPr="00650C77" w:rsidRDefault="003B0614" w:rsidP="003B0614">
      <w:pPr>
        <w:pStyle w:val="NormalWeb"/>
        <w:spacing w:line="360" w:lineRule="auto"/>
        <w:jc w:val="both"/>
        <w:rPr>
          <w:rFonts w:ascii="Arial" w:hAnsi="Arial" w:cs="Arial"/>
          <w:color w:val="000000" w:themeColor="text1"/>
          <w:sz w:val="22"/>
          <w:szCs w:val="22"/>
        </w:rPr>
      </w:pPr>
      <w:proofErr w:type="spellStart"/>
      <w:r w:rsidRPr="00650C77">
        <w:rPr>
          <w:rFonts w:ascii="Arial" w:hAnsi="Arial" w:cs="Arial"/>
          <w:color w:val="000000" w:themeColor="text1"/>
          <w:sz w:val="22"/>
          <w:szCs w:val="22"/>
        </w:rPr>
        <w:t>Bhui</w:t>
      </w:r>
      <w:proofErr w:type="spellEnd"/>
      <w:r w:rsidRPr="00650C77">
        <w:rPr>
          <w:rFonts w:ascii="Arial" w:hAnsi="Arial" w:cs="Arial"/>
          <w:color w:val="000000" w:themeColor="text1"/>
          <w:sz w:val="22"/>
          <w:szCs w:val="22"/>
        </w:rPr>
        <w:t xml:space="preserve"> et al. (2021) found that placing Early Intervention in Psychosis (EIP) services in community settings improved early engagement among Black service users, reducing reliance on crisis or compulsory care. This shows that integrated care can reduce ethnic inequalities. In contrast, Care Quality Commission (2023) identified fragmented services, poor discharge planning, and inconsistent EIP coverage, especially in deprived and rural areas. These gaps caused delays, weak follow-up, and increased use of crisis services. Pagdon (2023) found that adding peer support and social workers to community teams improved continuity and increased retention by 23%, particularly in rural areas.</w:t>
      </w:r>
    </w:p>
    <w:p w14:paraId="4E945ED5" w14:textId="77777777" w:rsidR="003B0614" w:rsidRPr="00650C77" w:rsidRDefault="003B0614" w:rsidP="003B0614">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Overall, these studies show that integrated care improves equity and outcomes. </w:t>
      </w:r>
      <w:proofErr w:type="spellStart"/>
      <w:r w:rsidRPr="00650C77">
        <w:rPr>
          <w:rFonts w:ascii="Arial" w:hAnsi="Arial" w:cs="Arial"/>
          <w:color w:val="000000" w:themeColor="text1"/>
          <w:sz w:val="22"/>
          <w:szCs w:val="22"/>
        </w:rPr>
        <w:t>Bhui</w:t>
      </w:r>
      <w:proofErr w:type="spellEnd"/>
      <w:r w:rsidRPr="00650C77">
        <w:rPr>
          <w:rFonts w:ascii="Arial" w:hAnsi="Arial" w:cs="Arial"/>
          <w:color w:val="000000" w:themeColor="text1"/>
          <w:sz w:val="22"/>
          <w:szCs w:val="22"/>
        </w:rPr>
        <w:t xml:space="preserve"> et al. (2021) highlight reduced access barriers, Pagdon (2023) shows practical improvements, while Care Quality Commission (2023) demonstrates the impact when integration fails in real NHS settings.</w:t>
      </w:r>
    </w:p>
    <w:p w14:paraId="24F32620" w14:textId="5DEF00C1" w:rsidR="009950C6" w:rsidRPr="00650C77" w:rsidRDefault="009950C6" w:rsidP="002B381B">
      <w:p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Table 4.5.7.1 Examples from the Literature:</w:t>
      </w:r>
    </w:p>
    <w:tbl>
      <w:tblPr>
        <w:tblStyle w:val="TableGrid"/>
        <w:tblW w:w="0" w:type="auto"/>
        <w:tblInd w:w="-5" w:type="dxa"/>
        <w:tblLook w:val="04A0" w:firstRow="1" w:lastRow="0" w:firstColumn="1" w:lastColumn="0" w:noHBand="0" w:noVBand="1"/>
      </w:tblPr>
      <w:tblGrid>
        <w:gridCol w:w="1317"/>
        <w:gridCol w:w="3327"/>
        <w:gridCol w:w="1701"/>
        <w:gridCol w:w="2370"/>
      </w:tblGrid>
      <w:tr w:rsidR="00650C77" w:rsidRPr="00650C77" w14:paraId="3570C75C" w14:textId="77777777" w:rsidTr="002A42EA">
        <w:tc>
          <w:tcPr>
            <w:tcW w:w="1209" w:type="dxa"/>
            <w:shd w:val="clear" w:color="auto" w:fill="5B9BD5" w:themeFill="accent5"/>
          </w:tcPr>
          <w:p w14:paraId="10408A6D"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b/>
                <w:color w:val="000000" w:themeColor="text1"/>
                <w:sz w:val="20"/>
                <w:szCs w:val="20"/>
              </w:rPr>
              <w:t>Study</w:t>
            </w:r>
          </w:p>
        </w:tc>
        <w:tc>
          <w:tcPr>
            <w:tcW w:w="3327" w:type="dxa"/>
            <w:shd w:val="clear" w:color="auto" w:fill="5B9BD5" w:themeFill="accent5"/>
          </w:tcPr>
          <w:p w14:paraId="170B3591"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b/>
                <w:color w:val="000000" w:themeColor="text1"/>
                <w:sz w:val="20"/>
                <w:szCs w:val="20"/>
              </w:rPr>
              <w:t>Key Findings</w:t>
            </w:r>
          </w:p>
        </w:tc>
        <w:tc>
          <w:tcPr>
            <w:tcW w:w="1701" w:type="dxa"/>
            <w:shd w:val="clear" w:color="auto" w:fill="5B9BD5" w:themeFill="accent5"/>
          </w:tcPr>
          <w:p w14:paraId="2412B778"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b/>
                <w:color w:val="000000" w:themeColor="text1"/>
                <w:sz w:val="20"/>
                <w:szCs w:val="20"/>
              </w:rPr>
              <w:t>Focus</w:t>
            </w:r>
          </w:p>
        </w:tc>
        <w:tc>
          <w:tcPr>
            <w:tcW w:w="2370" w:type="dxa"/>
            <w:shd w:val="clear" w:color="auto" w:fill="5B9BD5" w:themeFill="accent5"/>
          </w:tcPr>
          <w:p w14:paraId="7D154E7B"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b/>
                <w:color w:val="000000" w:themeColor="text1"/>
                <w:sz w:val="20"/>
                <w:szCs w:val="20"/>
              </w:rPr>
              <w:t>Contribution to Theme</w:t>
            </w:r>
          </w:p>
        </w:tc>
      </w:tr>
      <w:tr w:rsidR="00650C77" w:rsidRPr="00650C77" w14:paraId="71D18F11" w14:textId="77777777" w:rsidTr="002A42EA">
        <w:tc>
          <w:tcPr>
            <w:tcW w:w="1209" w:type="dxa"/>
            <w:shd w:val="clear" w:color="auto" w:fill="5B9BD5" w:themeFill="accent5"/>
          </w:tcPr>
          <w:p w14:paraId="429CE5DE" w14:textId="77777777" w:rsidR="009950C6" w:rsidRPr="00650C77" w:rsidRDefault="009950C6" w:rsidP="001843A2">
            <w:pPr>
              <w:spacing w:line="276" w:lineRule="auto"/>
              <w:jc w:val="both"/>
              <w:rPr>
                <w:rFonts w:ascii="Arial" w:hAnsi="Arial" w:cs="Arial"/>
                <w:color w:val="000000" w:themeColor="text1"/>
                <w:sz w:val="20"/>
                <w:szCs w:val="20"/>
              </w:rPr>
            </w:pPr>
            <w:proofErr w:type="spellStart"/>
            <w:r w:rsidRPr="00650C77">
              <w:rPr>
                <w:rFonts w:ascii="Arial" w:hAnsi="Arial" w:cs="Arial"/>
                <w:color w:val="000000" w:themeColor="text1"/>
                <w:sz w:val="20"/>
                <w:szCs w:val="20"/>
              </w:rPr>
              <w:t>Bhui</w:t>
            </w:r>
            <w:proofErr w:type="spellEnd"/>
            <w:r w:rsidRPr="00650C77">
              <w:rPr>
                <w:rFonts w:ascii="Arial" w:hAnsi="Arial" w:cs="Arial"/>
                <w:color w:val="000000" w:themeColor="text1"/>
                <w:sz w:val="20"/>
                <w:szCs w:val="20"/>
              </w:rPr>
              <w:t xml:space="preserve"> et al. (2021)</w:t>
            </w:r>
          </w:p>
        </w:tc>
        <w:tc>
          <w:tcPr>
            <w:tcW w:w="3327" w:type="dxa"/>
            <w:shd w:val="clear" w:color="auto" w:fill="5B9BD5" w:themeFill="accent5"/>
          </w:tcPr>
          <w:p w14:paraId="182B6080"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Embedding EIP services in community settings improved early engagement among Black service users and reduced crisis-led access.</w:t>
            </w:r>
          </w:p>
        </w:tc>
        <w:tc>
          <w:tcPr>
            <w:tcW w:w="1701" w:type="dxa"/>
            <w:shd w:val="clear" w:color="auto" w:fill="5B9BD5" w:themeFill="accent5"/>
          </w:tcPr>
          <w:p w14:paraId="5321C2B9"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Equity / Access</w:t>
            </w:r>
          </w:p>
        </w:tc>
        <w:tc>
          <w:tcPr>
            <w:tcW w:w="2370" w:type="dxa"/>
            <w:shd w:val="clear" w:color="auto" w:fill="5B9BD5" w:themeFill="accent5"/>
          </w:tcPr>
          <w:p w14:paraId="51382433"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Shows how integrated care reduces ethnic disparities and improves early access.</w:t>
            </w:r>
          </w:p>
        </w:tc>
      </w:tr>
      <w:tr w:rsidR="00650C77" w:rsidRPr="00650C77" w14:paraId="12C6B58E" w14:textId="77777777" w:rsidTr="002A42EA">
        <w:tc>
          <w:tcPr>
            <w:tcW w:w="1209" w:type="dxa"/>
            <w:shd w:val="clear" w:color="auto" w:fill="5B9BD5" w:themeFill="accent5"/>
          </w:tcPr>
          <w:p w14:paraId="0F6A7784"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Care Quality Commission (2023)</w:t>
            </w:r>
          </w:p>
        </w:tc>
        <w:tc>
          <w:tcPr>
            <w:tcW w:w="3327" w:type="dxa"/>
            <w:shd w:val="clear" w:color="auto" w:fill="5B9BD5" w:themeFill="accent5"/>
          </w:tcPr>
          <w:p w14:paraId="0277ABA5"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Fragmented systems, poor discharge planning, and inconsistent EIP coverage led to delays and increased crisis service use.</w:t>
            </w:r>
          </w:p>
        </w:tc>
        <w:tc>
          <w:tcPr>
            <w:tcW w:w="1701" w:type="dxa"/>
            <w:shd w:val="clear" w:color="auto" w:fill="5B9BD5" w:themeFill="accent5"/>
          </w:tcPr>
          <w:p w14:paraId="44007E41"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System Failure / Inequality</w:t>
            </w:r>
          </w:p>
        </w:tc>
        <w:tc>
          <w:tcPr>
            <w:tcW w:w="2370" w:type="dxa"/>
            <w:shd w:val="clear" w:color="auto" w:fill="5B9BD5" w:themeFill="accent5"/>
          </w:tcPr>
          <w:p w14:paraId="61F86EFC"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Demonstrates the negative impact when integration fails in real NHS settings.</w:t>
            </w:r>
          </w:p>
        </w:tc>
      </w:tr>
      <w:tr w:rsidR="00650C77" w:rsidRPr="00650C77" w14:paraId="4826C9E3" w14:textId="77777777" w:rsidTr="002A42EA">
        <w:tc>
          <w:tcPr>
            <w:tcW w:w="1209" w:type="dxa"/>
            <w:shd w:val="clear" w:color="auto" w:fill="5B9BD5" w:themeFill="accent5"/>
          </w:tcPr>
          <w:p w14:paraId="6C2FD3A9"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Pagdon (2023)</w:t>
            </w:r>
          </w:p>
        </w:tc>
        <w:tc>
          <w:tcPr>
            <w:tcW w:w="3327" w:type="dxa"/>
            <w:shd w:val="clear" w:color="auto" w:fill="5B9BD5" w:themeFill="accent5"/>
          </w:tcPr>
          <w:p w14:paraId="01D7FAC0"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Integration of peer support and social workers improved continuity and increased retention by 23%, especially in rural areas.</w:t>
            </w:r>
          </w:p>
        </w:tc>
        <w:tc>
          <w:tcPr>
            <w:tcW w:w="1701" w:type="dxa"/>
            <w:shd w:val="clear" w:color="auto" w:fill="5B9BD5" w:themeFill="accent5"/>
          </w:tcPr>
          <w:p w14:paraId="55BB5112"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Continuity / Improvement</w:t>
            </w:r>
          </w:p>
        </w:tc>
        <w:tc>
          <w:tcPr>
            <w:tcW w:w="2370" w:type="dxa"/>
            <w:shd w:val="clear" w:color="auto" w:fill="5B9BD5" w:themeFill="accent5"/>
          </w:tcPr>
          <w:p w14:paraId="0E21F7A9" w14:textId="77777777" w:rsidR="009950C6" w:rsidRPr="00650C77" w:rsidRDefault="009950C6"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Provides practical evidence that integrated care improves retention and service continuity.</w:t>
            </w:r>
          </w:p>
        </w:tc>
      </w:tr>
    </w:tbl>
    <w:p w14:paraId="58D0B5FE" w14:textId="56BCCF02" w:rsidR="009950C6" w:rsidRPr="00650C77" w:rsidRDefault="003B0614" w:rsidP="003B0614">
      <w:pPr>
        <w:spacing w:before="100" w:beforeAutospacing="1" w:after="100" w:afterAutospacing="1" w:line="360" w:lineRule="auto"/>
        <w:jc w:val="both"/>
        <w:rPr>
          <w:rFonts w:ascii="Arial" w:eastAsia="Times New Roman" w:hAnsi="Arial" w:cs="Arial"/>
          <w:color w:val="000000" w:themeColor="text1"/>
          <w:kern w:val="0"/>
          <w:sz w:val="24"/>
          <w:szCs w:val="24"/>
          <w:lang w:eastAsia="en-GB"/>
          <w14:ligatures w14:val="none"/>
        </w:rPr>
      </w:pPr>
      <w:r w:rsidRPr="00650C77">
        <w:rPr>
          <w:rFonts w:ascii="Arial" w:hAnsi="Arial" w:cs="Arial"/>
          <w:color w:val="000000" w:themeColor="text1"/>
        </w:rPr>
        <w:lastRenderedPageBreak/>
        <w:t>The table shows how integrated care improves access, continuity, and outcomes in schizophrenia services. It also highlights that when integration is weak, services become fragmented, leading to poorer engagement and increased use of crisis care.</w:t>
      </w:r>
    </w:p>
    <w:p w14:paraId="36784910" w14:textId="66065CA3" w:rsidR="008366F7" w:rsidRPr="00650C77" w:rsidRDefault="00364C60" w:rsidP="008366F7">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r w:rsidRPr="00650C77">
        <w:rPr>
          <w:rFonts w:ascii="Arial" w:eastAsia="Times New Roman" w:hAnsi="Arial" w:cs="Arial"/>
          <w:b/>
          <w:bCs/>
          <w:color w:val="000000" w:themeColor="text1"/>
          <w:kern w:val="0"/>
          <w:sz w:val="27"/>
          <w:szCs w:val="27"/>
          <w:lang w:eastAsia="en-GB"/>
          <w14:ligatures w14:val="none"/>
        </w:rPr>
        <w:t xml:space="preserve">4.5.8 </w:t>
      </w:r>
      <w:r w:rsidR="008366F7" w:rsidRPr="00650C77">
        <w:rPr>
          <w:rFonts w:ascii="Arial" w:eastAsia="Times New Roman" w:hAnsi="Arial" w:cs="Arial"/>
          <w:b/>
          <w:bCs/>
          <w:color w:val="000000" w:themeColor="text1"/>
          <w:kern w:val="0"/>
          <w:sz w:val="27"/>
          <w:szCs w:val="27"/>
          <w:lang w:eastAsia="en-GB"/>
          <w14:ligatures w14:val="none"/>
        </w:rPr>
        <w:t>Connections to Other Themes</w:t>
      </w:r>
      <w:r w:rsidRPr="00650C77">
        <w:rPr>
          <w:rFonts w:ascii="Arial" w:eastAsia="Times New Roman" w:hAnsi="Arial" w:cs="Arial"/>
          <w:b/>
          <w:bCs/>
          <w:color w:val="000000" w:themeColor="text1"/>
          <w:kern w:val="0"/>
          <w:sz w:val="27"/>
          <w:szCs w:val="27"/>
          <w:lang w:eastAsia="en-GB"/>
          <w14:ligatures w14:val="none"/>
        </w:rPr>
        <w:t>:</w:t>
      </w:r>
    </w:p>
    <w:p w14:paraId="5C1DC22A" w14:textId="05BF7F5C" w:rsidR="003B0614" w:rsidRPr="00650C77" w:rsidRDefault="003B0614" w:rsidP="003B0614">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Theme 3 links to Themes 1 and 2 by focusing on system structures needed for effective schizophrenia care. Theme 1 shows that interventions like </w:t>
      </w:r>
      <w:proofErr w:type="spellStart"/>
      <w:r w:rsidRPr="00650C77">
        <w:rPr>
          <w:rFonts w:ascii="Arial" w:hAnsi="Arial" w:cs="Arial"/>
          <w:color w:val="000000" w:themeColor="text1"/>
          <w:sz w:val="22"/>
          <w:szCs w:val="22"/>
        </w:rPr>
        <w:t>CBTp</w:t>
      </w:r>
      <w:proofErr w:type="spellEnd"/>
      <w:r w:rsidRPr="00650C77">
        <w:rPr>
          <w:rFonts w:ascii="Arial" w:hAnsi="Arial" w:cs="Arial"/>
          <w:color w:val="000000" w:themeColor="text1"/>
          <w:sz w:val="22"/>
          <w:szCs w:val="22"/>
        </w:rPr>
        <w:t xml:space="preserve"> and EIP are effective (NICE, 2020; Leucht et al., 2019), but their impact is limited without coordination. Theme 2 highlights access inequalities affecting ethnic minorities and deprived areas (</w:t>
      </w:r>
      <w:proofErr w:type="spellStart"/>
      <w:r w:rsidRPr="00650C77">
        <w:rPr>
          <w:rFonts w:ascii="Arial" w:hAnsi="Arial" w:cs="Arial"/>
          <w:color w:val="000000" w:themeColor="text1"/>
          <w:sz w:val="22"/>
          <w:szCs w:val="22"/>
        </w:rPr>
        <w:t>Nazroo</w:t>
      </w:r>
      <w:proofErr w:type="spellEnd"/>
      <w:r w:rsidRPr="00650C77">
        <w:rPr>
          <w:rFonts w:ascii="Arial" w:hAnsi="Arial" w:cs="Arial"/>
          <w:color w:val="000000" w:themeColor="text1"/>
          <w:sz w:val="22"/>
          <w:szCs w:val="22"/>
        </w:rPr>
        <w:t xml:space="preserve"> et al., 2019; CQC, 2023). Theme 3 shows that integrated care improves continuity and equity. </w:t>
      </w:r>
      <w:proofErr w:type="spellStart"/>
      <w:r w:rsidRPr="00650C77">
        <w:rPr>
          <w:rFonts w:ascii="Arial" w:hAnsi="Arial" w:cs="Arial"/>
          <w:color w:val="000000" w:themeColor="text1"/>
          <w:sz w:val="22"/>
          <w:szCs w:val="22"/>
        </w:rPr>
        <w:t>Bhui</w:t>
      </w:r>
      <w:proofErr w:type="spellEnd"/>
      <w:r w:rsidRPr="00650C77">
        <w:rPr>
          <w:rFonts w:ascii="Arial" w:hAnsi="Arial" w:cs="Arial"/>
          <w:color w:val="000000" w:themeColor="text1"/>
          <w:sz w:val="22"/>
          <w:szCs w:val="22"/>
        </w:rPr>
        <w:t xml:space="preserve"> et al. (2021) found better access when EIP was delivered in community settings. Pagdon (2023) showed a 23% increase in retention with integrated teams. However, CQC (2023) found fragmented systems caused delays and poor follow-up, showing the need for integration.</w:t>
      </w:r>
    </w:p>
    <w:p w14:paraId="769D5898" w14:textId="77777777" w:rsidR="00BA1E13" w:rsidRPr="00650C77" w:rsidRDefault="00BA1E13" w:rsidP="00BA1E13">
      <w:pPr>
        <w:pStyle w:val="Heading2"/>
        <w:jc w:val="both"/>
        <w:rPr>
          <w:rFonts w:ascii="Arial" w:hAnsi="Arial" w:cs="Arial"/>
          <w:b/>
          <w:bCs/>
          <w:color w:val="000000" w:themeColor="text1"/>
          <w:sz w:val="22"/>
          <w:szCs w:val="22"/>
        </w:rPr>
      </w:pPr>
      <w:r w:rsidRPr="00650C77">
        <w:rPr>
          <w:rFonts w:ascii="Arial" w:hAnsi="Arial" w:cs="Arial"/>
          <w:b/>
          <w:bCs/>
          <w:color w:val="000000" w:themeColor="text1"/>
          <w:sz w:val="22"/>
          <w:szCs w:val="22"/>
        </w:rPr>
        <w:t>Table: Connections Between Theme 3 and Themes 1 &amp; 2 in Schizophrenia Care</w:t>
      </w:r>
    </w:p>
    <w:tbl>
      <w:tblPr>
        <w:tblStyle w:val="TableGrid"/>
        <w:tblW w:w="9072" w:type="dxa"/>
        <w:tblInd w:w="-5" w:type="dxa"/>
        <w:tblLook w:val="04A0" w:firstRow="1" w:lastRow="0" w:firstColumn="1" w:lastColumn="0" w:noHBand="0" w:noVBand="1"/>
      </w:tblPr>
      <w:tblGrid>
        <w:gridCol w:w="2052"/>
        <w:gridCol w:w="1350"/>
        <w:gridCol w:w="2970"/>
        <w:gridCol w:w="2700"/>
      </w:tblGrid>
      <w:tr w:rsidR="00650C77" w:rsidRPr="00650C77" w14:paraId="1B6AEFE4" w14:textId="77777777" w:rsidTr="002A42EA">
        <w:tc>
          <w:tcPr>
            <w:tcW w:w="2052" w:type="dxa"/>
            <w:shd w:val="clear" w:color="auto" w:fill="5B9BD5" w:themeFill="accent5"/>
          </w:tcPr>
          <w:p w14:paraId="0D5CB53C" w14:textId="77777777" w:rsidR="00BA1E13" w:rsidRPr="00650C77" w:rsidRDefault="00BA1E13"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Theme Link</w:t>
            </w:r>
          </w:p>
        </w:tc>
        <w:tc>
          <w:tcPr>
            <w:tcW w:w="1350" w:type="dxa"/>
            <w:shd w:val="clear" w:color="auto" w:fill="5B9BD5" w:themeFill="accent5"/>
          </w:tcPr>
          <w:p w14:paraId="38A17592" w14:textId="77777777" w:rsidR="00BA1E13" w:rsidRPr="00650C77" w:rsidRDefault="00BA1E13"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Source/Case</w:t>
            </w:r>
          </w:p>
        </w:tc>
        <w:tc>
          <w:tcPr>
            <w:tcW w:w="2970" w:type="dxa"/>
            <w:shd w:val="clear" w:color="auto" w:fill="5B9BD5" w:themeFill="accent5"/>
          </w:tcPr>
          <w:p w14:paraId="2528336A" w14:textId="77777777" w:rsidR="00BA1E13" w:rsidRPr="00650C77" w:rsidRDefault="00BA1E13"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Key Insight</w:t>
            </w:r>
          </w:p>
        </w:tc>
        <w:tc>
          <w:tcPr>
            <w:tcW w:w="2700" w:type="dxa"/>
            <w:shd w:val="clear" w:color="auto" w:fill="5B9BD5" w:themeFill="accent5"/>
          </w:tcPr>
          <w:p w14:paraId="12492707" w14:textId="77777777" w:rsidR="00BA1E13" w:rsidRPr="00650C77" w:rsidRDefault="00BA1E13"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Implication</w:t>
            </w:r>
          </w:p>
        </w:tc>
      </w:tr>
      <w:tr w:rsidR="00650C77" w:rsidRPr="00650C77" w14:paraId="04D90556" w14:textId="77777777" w:rsidTr="002A42EA">
        <w:tc>
          <w:tcPr>
            <w:tcW w:w="2052" w:type="dxa"/>
            <w:shd w:val="clear" w:color="auto" w:fill="5B9BD5" w:themeFill="accent5"/>
          </w:tcPr>
          <w:p w14:paraId="7081C814" w14:textId="77777777" w:rsidR="00BA1E13" w:rsidRPr="00650C77" w:rsidRDefault="00BA1E13"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 xml:space="preserve">Theme 3 </w:t>
            </w:r>
            <w:r w:rsidRPr="00650C77">
              <w:rPr>
                <w:rFonts w:ascii="Segoe UI Emoji" w:hAnsi="Segoe UI Emoji" w:cs="Segoe UI Emoji"/>
                <w:b/>
                <w:bCs/>
                <w:color w:val="000000" w:themeColor="text1"/>
                <w:sz w:val="18"/>
                <w:szCs w:val="18"/>
              </w:rPr>
              <w:t>➡️</w:t>
            </w:r>
            <w:r w:rsidRPr="00650C77">
              <w:rPr>
                <w:rFonts w:ascii="Arial" w:hAnsi="Arial" w:cs="Arial"/>
                <w:b/>
                <w:bCs/>
                <w:color w:val="000000" w:themeColor="text1"/>
                <w:sz w:val="18"/>
                <w:szCs w:val="18"/>
              </w:rPr>
              <w:t xml:space="preserve"> Theme 1</w:t>
            </w:r>
          </w:p>
        </w:tc>
        <w:tc>
          <w:tcPr>
            <w:tcW w:w="1350" w:type="dxa"/>
            <w:shd w:val="clear" w:color="auto" w:fill="5B9BD5" w:themeFill="accent5"/>
          </w:tcPr>
          <w:p w14:paraId="3DE5A7B1"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CQC (2023)</w:t>
            </w:r>
          </w:p>
        </w:tc>
        <w:tc>
          <w:tcPr>
            <w:tcW w:w="2970" w:type="dxa"/>
            <w:shd w:val="clear" w:color="auto" w:fill="5B9BD5" w:themeFill="accent5"/>
          </w:tcPr>
          <w:p w14:paraId="2E5F1807"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Fragmented systems lead to delays and readmissions</w:t>
            </w:r>
          </w:p>
        </w:tc>
        <w:tc>
          <w:tcPr>
            <w:tcW w:w="2700" w:type="dxa"/>
            <w:shd w:val="clear" w:color="auto" w:fill="5B9BD5" w:themeFill="accent5"/>
          </w:tcPr>
          <w:p w14:paraId="11299F82"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Lack of integration weakens treatment effectiveness and continuity</w:t>
            </w:r>
          </w:p>
        </w:tc>
      </w:tr>
      <w:tr w:rsidR="00650C77" w:rsidRPr="00650C77" w14:paraId="40B46235" w14:textId="77777777" w:rsidTr="002A42EA">
        <w:tc>
          <w:tcPr>
            <w:tcW w:w="2052" w:type="dxa"/>
            <w:shd w:val="clear" w:color="auto" w:fill="5B9BD5" w:themeFill="accent5"/>
          </w:tcPr>
          <w:p w14:paraId="14AE762F" w14:textId="77777777" w:rsidR="00BA1E13" w:rsidRPr="00650C77" w:rsidRDefault="00BA1E13"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 xml:space="preserve">Theme 3 </w:t>
            </w:r>
            <w:r w:rsidRPr="00650C77">
              <w:rPr>
                <w:rFonts w:ascii="Segoe UI Emoji" w:hAnsi="Segoe UI Emoji" w:cs="Segoe UI Emoji"/>
                <w:b/>
                <w:bCs/>
                <w:color w:val="000000" w:themeColor="text1"/>
                <w:sz w:val="18"/>
                <w:szCs w:val="18"/>
              </w:rPr>
              <w:t>➡️</w:t>
            </w:r>
            <w:r w:rsidRPr="00650C77">
              <w:rPr>
                <w:rFonts w:ascii="Arial" w:hAnsi="Arial" w:cs="Arial"/>
                <w:b/>
                <w:bCs/>
                <w:color w:val="000000" w:themeColor="text1"/>
                <w:sz w:val="18"/>
                <w:szCs w:val="18"/>
              </w:rPr>
              <w:t xml:space="preserve"> Theme 1</w:t>
            </w:r>
          </w:p>
        </w:tc>
        <w:tc>
          <w:tcPr>
            <w:tcW w:w="1350" w:type="dxa"/>
            <w:shd w:val="clear" w:color="auto" w:fill="5B9BD5" w:themeFill="accent5"/>
          </w:tcPr>
          <w:p w14:paraId="03F8968F"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Pagdon (2023)</w:t>
            </w:r>
          </w:p>
        </w:tc>
        <w:tc>
          <w:tcPr>
            <w:tcW w:w="2970" w:type="dxa"/>
            <w:shd w:val="clear" w:color="auto" w:fill="5B9BD5" w:themeFill="accent5"/>
          </w:tcPr>
          <w:p w14:paraId="72B4A93D"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Integrated teams improved retention by 23%</w:t>
            </w:r>
          </w:p>
        </w:tc>
        <w:tc>
          <w:tcPr>
            <w:tcW w:w="2700" w:type="dxa"/>
            <w:shd w:val="clear" w:color="auto" w:fill="5B9BD5" w:themeFill="accent5"/>
          </w:tcPr>
          <w:p w14:paraId="17CD7955"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Multidisciplinary coordination enhances care outcomes</w:t>
            </w:r>
          </w:p>
        </w:tc>
      </w:tr>
      <w:tr w:rsidR="00650C77" w:rsidRPr="00650C77" w14:paraId="5CDFA42E" w14:textId="77777777" w:rsidTr="002A42EA">
        <w:tc>
          <w:tcPr>
            <w:tcW w:w="2052" w:type="dxa"/>
            <w:shd w:val="clear" w:color="auto" w:fill="5B9BD5" w:themeFill="accent5"/>
          </w:tcPr>
          <w:p w14:paraId="63286B29" w14:textId="77777777" w:rsidR="00BA1E13" w:rsidRPr="00650C77" w:rsidRDefault="00BA1E13"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 xml:space="preserve">Theme 3 </w:t>
            </w:r>
            <w:r w:rsidRPr="00650C77">
              <w:rPr>
                <w:rFonts w:ascii="Segoe UI Emoji" w:hAnsi="Segoe UI Emoji" w:cs="Segoe UI Emoji"/>
                <w:b/>
                <w:bCs/>
                <w:color w:val="000000" w:themeColor="text1"/>
                <w:sz w:val="18"/>
                <w:szCs w:val="18"/>
              </w:rPr>
              <w:t>➡️</w:t>
            </w:r>
            <w:r w:rsidRPr="00650C77">
              <w:rPr>
                <w:rFonts w:ascii="Arial" w:hAnsi="Arial" w:cs="Arial"/>
                <w:b/>
                <w:bCs/>
                <w:color w:val="000000" w:themeColor="text1"/>
                <w:sz w:val="18"/>
                <w:szCs w:val="18"/>
              </w:rPr>
              <w:t xml:space="preserve"> Theme 2</w:t>
            </w:r>
          </w:p>
        </w:tc>
        <w:tc>
          <w:tcPr>
            <w:tcW w:w="1350" w:type="dxa"/>
            <w:shd w:val="clear" w:color="auto" w:fill="5B9BD5" w:themeFill="accent5"/>
          </w:tcPr>
          <w:p w14:paraId="20A3F0EB" w14:textId="77777777" w:rsidR="00BA1E13" w:rsidRPr="00650C77" w:rsidRDefault="00BA1E13" w:rsidP="001C7715">
            <w:pPr>
              <w:jc w:val="both"/>
              <w:rPr>
                <w:rFonts w:ascii="Arial" w:hAnsi="Arial" w:cs="Arial"/>
                <w:color w:val="000000" w:themeColor="text1"/>
                <w:sz w:val="18"/>
                <w:szCs w:val="18"/>
              </w:rPr>
            </w:pPr>
            <w:proofErr w:type="spellStart"/>
            <w:r w:rsidRPr="00650C77">
              <w:rPr>
                <w:rFonts w:ascii="Arial" w:hAnsi="Arial" w:cs="Arial"/>
                <w:color w:val="000000" w:themeColor="text1"/>
                <w:sz w:val="18"/>
                <w:szCs w:val="18"/>
              </w:rPr>
              <w:t>Bhui</w:t>
            </w:r>
            <w:proofErr w:type="spellEnd"/>
            <w:r w:rsidRPr="00650C77">
              <w:rPr>
                <w:rFonts w:ascii="Arial" w:hAnsi="Arial" w:cs="Arial"/>
                <w:color w:val="000000" w:themeColor="text1"/>
                <w:sz w:val="18"/>
                <w:szCs w:val="18"/>
              </w:rPr>
              <w:t xml:space="preserve"> et al. (2021)</w:t>
            </w:r>
          </w:p>
        </w:tc>
        <w:tc>
          <w:tcPr>
            <w:tcW w:w="2970" w:type="dxa"/>
            <w:shd w:val="clear" w:color="auto" w:fill="5B9BD5" w:themeFill="accent5"/>
          </w:tcPr>
          <w:p w14:paraId="4C5E25DC"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Community-based EIP improved engagement among Black service users</w:t>
            </w:r>
          </w:p>
        </w:tc>
        <w:tc>
          <w:tcPr>
            <w:tcW w:w="2700" w:type="dxa"/>
            <w:shd w:val="clear" w:color="auto" w:fill="5B9BD5" w:themeFill="accent5"/>
          </w:tcPr>
          <w:p w14:paraId="52DF557E"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Integration reduces ethnic access barriers</w:t>
            </w:r>
          </w:p>
        </w:tc>
      </w:tr>
      <w:tr w:rsidR="00650C77" w:rsidRPr="00650C77" w14:paraId="6F71A3E6" w14:textId="77777777" w:rsidTr="002A42EA">
        <w:tc>
          <w:tcPr>
            <w:tcW w:w="2052" w:type="dxa"/>
            <w:shd w:val="clear" w:color="auto" w:fill="5B9BD5" w:themeFill="accent5"/>
          </w:tcPr>
          <w:p w14:paraId="0AAA57A6" w14:textId="77777777" w:rsidR="00BA1E13" w:rsidRPr="00650C77" w:rsidRDefault="00BA1E13"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 xml:space="preserve">Theme 3 </w:t>
            </w:r>
            <w:r w:rsidRPr="00650C77">
              <w:rPr>
                <w:rFonts w:ascii="Segoe UI Emoji" w:hAnsi="Segoe UI Emoji" w:cs="Segoe UI Emoji"/>
                <w:b/>
                <w:bCs/>
                <w:color w:val="000000" w:themeColor="text1"/>
                <w:sz w:val="18"/>
                <w:szCs w:val="18"/>
              </w:rPr>
              <w:t>➡️</w:t>
            </w:r>
            <w:r w:rsidRPr="00650C77">
              <w:rPr>
                <w:rFonts w:ascii="Arial" w:hAnsi="Arial" w:cs="Arial"/>
                <w:b/>
                <w:bCs/>
                <w:color w:val="000000" w:themeColor="text1"/>
                <w:sz w:val="18"/>
                <w:szCs w:val="18"/>
              </w:rPr>
              <w:t xml:space="preserve"> Theme 2</w:t>
            </w:r>
          </w:p>
        </w:tc>
        <w:tc>
          <w:tcPr>
            <w:tcW w:w="1350" w:type="dxa"/>
            <w:shd w:val="clear" w:color="auto" w:fill="5B9BD5" w:themeFill="accent5"/>
          </w:tcPr>
          <w:p w14:paraId="43F1341A"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NHS England (2022)</w:t>
            </w:r>
          </w:p>
        </w:tc>
        <w:tc>
          <w:tcPr>
            <w:tcW w:w="2970" w:type="dxa"/>
            <w:shd w:val="clear" w:color="auto" w:fill="5B9BD5" w:themeFill="accent5"/>
          </w:tcPr>
          <w:p w14:paraId="17689726"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ICS pilot reduced crisis admissions through collaboration</w:t>
            </w:r>
          </w:p>
        </w:tc>
        <w:tc>
          <w:tcPr>
            <w:tcW w:w="2700" w:type="dxa"/>
            <w:shd w:val="clear" w:color="auto" w:fill="5B9BD5" w:themeFill="accent5"/>
          </w:tcPr>
          <w:p w14:paraId="227B4E25"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Integrated care improves equity and reduces variation</w:t>
            </w:r>
          </w:p>
        </w:tc>
      </w:tr>
      <w:tr w:rsidR="00650C77" w:rsidRPr="00650C77" w14:paraId="5A5CB625" w14:textId="77777777" w:rsidTr="002A42EA">
        <w:tc>
          <w:tcPr>
            <w:tcW w:w="2052" w:type="dxa"/>
            <w:shd w:val="clear" w:color="auto" w:fill="5B9BD5" w:themeFill="accent5"/>
          </w:tcPr>
          <w:p w14:paraId="75A9B32D" w14:textId="77777777" w:rsidR="00BA1E13" w:rsidRPr="00650C77" w:rsidRDefault="00BA1E13" w:rsidP="001C7715">
            <w:pPr>
              <w:jc w:val="both"/>
              <w:rPr>
                <w:rFonts w:ascii="Arial" w:hAnsi="Arial" w:cs="Arial"/>
                <w:b/>
                <w:bCs/>
                <w:color w:val="000000" w:themeColor="text1"/>
                <w:sz w:val="18"/>
                <w:szCs w:val="18"/>
              </w:rPr>
            </w:pPr>
            <w:r w:rsidRPr="00650C77">
              <w:rPr>
                <w:rFonts w:ascii="Arial" w:hAnsi="Arial" w:cs="Arial"/>
                <w:b/>
                <w:bCs/>
                <w:color w:val="000000" w:themeColor="text1"/>
                <w:sz w:val="18"/>
                <w:szCs w:val="18"/>
              </w:rPr>
              <w:t xml:space="preserve">Theme 3 </w:t>
            </w:r>
            <w:r w:rsidRPr="00650C77">
              <w:rPr>
                <w:rFonts w:ascii="Segoe UI Emoji" w:hAnsi="Segoe UI Emoji" w:cs="Segoe UI Emoji"/>
                <w:b/>
                <w:bCs/>
                <w:color w:val="000000" w:themeColor="text1"/>
                <w:sz w:val="18"/>
                <w:szCs w:val="18"/>
              </w:rPr>
              <w:t>➡️</w:t>
            </w:r>
            <w:r w:rsidRPr="00650C77">
              <w:rPr>
                <w:rFonts w:ascii="Arial" w:hAnsi="Arial" w:cs="Arial"/>
                <w:b/>
                <w:bCs/>
                <w:color w:val="000000" w:themeColor="text1"/>
                <w:sz w:val="18"/>
                <w:szCs w:val="18"/>
              </w:rPr>
              <w:t xml:space="preserve"> Themes 1 &amp; 2</w:t>
            </w:r>
          </w:p>
        </w:tc>
        <w:tc>
          <w:tcPr>
            <w:tcW w:w="1350" w:type="dxa"/>
            <w:shd w:val="clear" w:color="auto" w:fill="5B9BD5" w:themeFill="accent5"/>
          </w:tcPr>
          <w:p w14:paraId="0A4BB2AC"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Repper &amp; Perkins (2021)</w:t>
            </w:r>
          </w:p>
        </w:tc>
        <w:tc>
          <w:tcPr>
            <w:tcW w:w="2970" w:type="dxa"/>
            <w:shd w:val="clear" w:color="auto" w:fill="5B9BD5" w:themeFill="accent5"/>
          </w:tcPr>
          <w:p w14:paraId="15122490"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Recovery-oriented integrated care models improve engagement</w:t>
            </w:r>
          </w:p>
        </w:tc>
        <w:tc>
          <w:tcPr>
            <w:tcW w:w="2700" w:type="dxa"/>
            <w:shd w:val="clear" w:color="auto" w:fill="5B9BD5" w:themeFill="accent5"/>
          </w:tcPr>
          <w:p w14:paraId="74116500" w14:textId="77777777" w:rsidR="00BA1E13" w:rsidRPr="00650C77" w:rsidRDefault="00BA1E13" w:rsidP="001C7715">
            <w:pPr>
              <w:jc w:val="both"/>
              <w:rPr>
                <w:rFonts w:ascii="Arial" w:hAnsi="Arial" w:cs="Arial"/>
                <w:color w:val="000000" w:themeColor="text1"/>
                <w:sz w:val="18"/>
                <w:szCs w:val="18"/>
              </w:rPr>
            </w:pPr>
            <w:r w:rsidRPr="00650C77">
              <w:rPr>
                <w:rFonts w:ascii="Arial" w:hAnsi="Arial" w:cs="Arial"/>
                <w:color w:val="000000" w:themeColor="text1"/>
                <w:sz w:val="18"/>
                <w:szCs w:val="18"/>
              </w:rPr>
              <w:t>Integrated systems support both effectiveness and access equity</w:t>
            </w:r>
          </w:p>
        </w:tc>
      </w:tr>
    </w:tbl>
    <w:p w14:paraId="6A6612AE" w14:textId="4CC8B518" w:rsidR="003B0614" w:rsidRDefault="003B0614" w:rsidP="003B0614">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The table linking Theme 3 with Themes 1 and 2 shows how integration affects both treatment effectiveness and access. Fragmented systems lead to delays and readmissions, reducing continuity and outcomes, while integrated teams improve retention and engagement (CQC, 2023; Pagdon, 2023). It also shows that community-based EIP and ICS collaboration reduce ethnic access barriers and crisis admissions (</w:t>
      </w:r>
      <w:proofErr w:type="spellStart"/>
      <w:r w:rsidRPr="00650C77">
        <w:rPr>
          <w:rFonts w:ascii="Arial" w:hAnsi="Arial" w:cs="Arial"/>
          <w:color w:val="000000" w:themeColor="text1"/>
          <w:sz w:val="22"/>
          <w:szCs w:val="22"/>
        </w:rPr>
        <w:t>Bhui</w:t>
      </w:r>
      <w:proofErr w:type="spellEnd"/>
      <w:r w:rsidRPr="00650C77">
        <w:rPr>
          <w:rFonts w:ascii="Arial" w:hAnsi="Arial" w:cs="Arial"/>
          <w:color w:val="000000" w:themeColor="text1"/>
          <w:sz w:val="22"/>
          <w:szCs w:val="22"/>
        </w:rPr>
        <w:t xml:space="preserve"> et al., 2021; NHS England, 2022). This is important because Theme 1 explains treatment, Theme 2 explains inequalities, and Theme 3 shows how better coordination can address both together.</w:t>
      </w:r>
    </w:p>
    <w:p w14:paraId="498EDBE2" w14:textId="77777777" w:rsidR="006F7DA7" w:rsidRPr="00650C77" w:rsidRDefault="006F7DA7" w:rsidP="003B0614">
      <w:pPr>
        <w:pStyle w:val="NormalWeb"/>
        <w:spacing w:line="360" w:lineRule="auto"/>
        <w:jc w:val="both"/>
        <w:rPr>
          <w:rFonts w:ascii="Arial" w:hAnsi="Arial" w:cs="Arial"/>
          <w:color w:val="000000" w:themeColor="text1"/>
          <w:sz w:val="22"/>
          <w:szCs w:val="22"/>
        </w:rPr>
      </w:pPr>
    </w:p>
    <w:p w14:paraId="608DE3E7" w14:textId="77777777" w:rsidR="003B0614" w:rsidRPr="00650C77" w:rsidRDefault="003B0614" w:rsidP="001975A3">
      <w:pPr>
        <w:pStyle w:val="Heading1"/>
        <w:spacing w:line="360" w:lineRule="auto"/>
        <w:jc w:val="both"/>
        <w:rPr>
          <w:rFonts w:ascii="Arial" w:hAnsi="Arial" w:cs="Arial"/>
          <w:b/>
          <w:bCs/>
          <w:color w:val="000000" w:themeColor="text1"/>
          <w:sz w:val="28"/>
          <w:szCs w:val="28"/>
        </w:rPr>
      </w:pPr>
    </w:p>
    <w:p w14:paraId="458C0BAB" w14:textId="56F06CE1" w:rsidR="001975A3" w:rsidRPr="00650C77" w:rsidRDefault="001D5A34" w:rsidP="001975A3">
      <w:pPr>
        <w:pStyle w:val="Heading1"/>
        <w:spacing w:line="360" w:lineRule="auto"/>
        <w:jc w:val="both"/>
        <w:rPr>
          <w:rFonts w:ascii="Arial" w:hAnsi="Arial" w:cs="Arial"/>
          <w:b/>
          <w:bCs/>
          <w:color w:val="000000" w:themeColor="text1"/>
          <w:sz w:val="28"/>
          <w:szCs w:val="28"/>
        </w:rPr>
      </w:pPr>
      <w:r w:rsidRPr="00650C77">
        <w:rPr>
          <w:rFonts w:ascii="Arial" w:hAnsi="Arial" w:cs="Arial"/>
          <w:b/>
          <w:bCs/>
          <w:color w:val="000000" w:themeColor="text1"/>
          <w:sz w:val="28"/>
          <w:szCs w:val="28"/>
        </w:rPr>
        <w:t xml:space="preserve">4.6 </w:t>
      </w:r>
      <w:r w:rsidR="001975A3" w:rsidRPr="00650C77">
        <w:rPr>
          <w:rFonts w:ascii="Arial" w:hAnsi="Arial" w:cs="Arial"/>
          <w:b/>
          <w:bCs/>
          <w:color w:val="000000" w:themeColor="text1"/>
          <w:sz w:val="28"/>
          <w:szCs w:val="28"/>
        </w:rPr>
        <w:t>How Themes 1–3 Work Together</w:t>
      </w:r>
      <w:r w:rsidRPr="00650C77">
        <w:rPr>
          <w:rFonts w:ascii="Arial" w:hAnsi="Arial" w:cs="Arial"/>
          <w:b/>
          <w:bCs/>
          <w:color w:val="000000" w:themeColor="text1"/>
          <w:sz w:val="28"/>
          <w:szCs w:val="28"/>
        </w:rPr>
        <w:t>:</w:t>
      </w:r>
    </w:p>
    <w:p w14:paraId="3AEFD3A3" w14:textId="77777777" w:rsidR="002C7E18" w:rsidRPr="00650C77" w:rsidRDefault="002C7E18" w:rsidP="001975A3">
      <w:pPr>
        <w:spacing w:line="360" w:lineRule="auto"/>
        <w:jc w:val="both"/>
        <w:rPr>
          <w:rFonts w:ascii="Arial" w:hAnsi="Arial" w:cs="Arial"/>
          <w:b/>
          <w:bCs/>
          <w:color w:val="000000" w:themeColor="text1"/>
        </w:rPr>
      </w:pPr>
    </w:p>
    <w:p w14:paraId="4D516430" w14:textId="1D96DED9" w:rsidR="001D5A34" w:rsidRPr="00650C77" w:rsidRDefault="001D5A34" w:rsidP="001975A3">
      <w:pPr>
        <w:spacing w:line="360" w:lineRule="auto"/>
        <w:jc w:val="both"/>
        <w:rPr>
          <w:rFonts w:ascii="Arial" w:hAnsi="Arial" w:cs="Arial"/>
          <w:color w:val="000000" w:themeColor="text1"/>
        </w:rPr>
      </w:pPr>
      <w:r w:rsidRPr="00650C77">
        <w:rPr>
          <w:rFonts w:ascii="Arial" w:hAnsi="Arial" w:cs="Arial"/>
          <w:b/>
          <w:bCs/>
          <w:color w:val="000000" w:themeColor="text1"/>
        </w:rPr>
        <w:t>Diagram:</w:t>
      </w:r>
    </w:p>
    <w:p w14:paraId="61F32A03" w14:textId="77777777" w:rsidR="001975A3" w:rsidRPr="00650C77" w:rsidRDefault="001975A3" w:rsidP="001975A3">
      <w:pPr>
        <w:rPr>
          <w:noProof/>
          <w:color w:val="000000" w:themeColor="text1"/>
        </w:rPr>
      </w:pPr>
      <w:r w:rsidRPr="00650C77">
        <w:rPr>
          <w:noProof/>
          <w:color w:val="000000" w:themeColor="text1"/>
        </w:rPr>
        <w:drawing>
          <wp:inline distT="0" distB="0" distL="0" distR="0" wp14:anchorId="489FA089" wp14:editId="2D0D61B4">
            <wp:extent cx="4938305" cy="3200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diagram_in_the_form_of_a_circular_flowchart_illu.png"/>
                    <pic:cNvPicPr/>
                  </pic:nvPicPr>
                  <pic:blipFill>
                    <a:blip r:embed="rId15"/>
                    <a:stretch>
                      <a:fillRect/>
                    </a:stretch>
                  </pic:blipFill>
                  <pic:spPr>
                    <a:xfrm>
                      <a:off x="0" y="0"/>
                      <a:ext cx="4980062" cy="3227461"/>
                    </a:xfrm>
                    <a:prstGeom prst="rect">
                      <a:avLst/>
                    </a:prstGeom>
                  </pic:spPr>
                </pic:pic>
              </a:graphicData>
            </a:graphic>
          </wp:inline>
        </w:drawing>
      </w:r>
    </w:p>
    <w:p w14:paraId="657E069A" w14:textId="77777777" w:rsidR="008E4810" w:rsidRPr="00650C77" w:rsidRDefault="008E4810" w:rsidP="008E4810">
      <w:pPr>
        <w:rPr>
          <w:color w:val="000000" w:themeColor="text1"/>
        </w:rPr>
      </w:pPr>
    </w:p>
    <w:p w14:paraId="27F8CFD3" w14:textId="77777777" w:rsidR="008306E7" w:rsidRPr="00650C77" w:rsidRDefault="008306E7" w:rsidP="008306E7">
      <w:pPr>
        <w:spacing w:line="360" w:lineRule="auto"/>
        <w:jc w:val="both"/>
        <w:rPr>
          <w:rFonts w:ascii="Arial" w:hAnsi="Arial" w:cs="Arial"/>
          <w:color w:val="000000" w:themeColor="text1"/>
        </w:rPr>
      </w:pPr>
      <w:r w:rsidRPr="00650C77">
        <w:rPr>
          <w:rFonts w:ascii="Arial" w:hAnsi="Arial" w:cs="Arial"/>
          <w:color w:val="000000" w:themeColor="text1"/>
        </w:rPr>
        <w:t>This diagram illustrates how Themes 1–3 collaboratively answer the research question on improving schizophrenia outcomes in the UK. Each theme builds upon the previous, highlighting the need for effective treatments, addressing inequitable access, and implementing integrated care models.</w:t>
      </w:r>
      <w:r w:rsidRPr="00650C77">
        <w:rPr>
          <w:color w:val="000000" w:themeColor="text1"/>
        </w:rPr>
        <w:t xml:space="preserve"> The table showing how Themes 1–3 work together is presented in </w:t>
      </w:r>
      <w:r w:rsidRPr="00650C77">
        <w:rPr>
          <w:b/>
          <w:bCs/>
          <w:color w:val="000000" w:themeColor="text1"/>
        </w:rPr>
        <w:t>Appendix 7.7.</w:t>
      </w:r>
    </w:p>
    <w:p w14:paraId="414A6485" w14:textId="77777777" w:rsidR="008E4810" w:rsidRPr="00650C77" w:rsidRDefault="008E4810" w:rsidP="008E4810">
      <w:pPr>
        <w:rPr>
          <w:noProof/>
          <w:color w:val="000000" w:themeColor="text1"/>
        </w:rPr>
      </w:pPr>
    </w:p>
    <w:p w14:paraId="1CF3D2B5" w14:textId="50E7374E" w:rsidR="008E4810" w:rsidRPr="00650C77" w:rsidRDefault="008E4810" w:rsidP="008E4810">
      <w:pPr>
        <w:tabs>
          <w:tab w:val="left" w:pos="7810"/>
        </w:tabs>
        <w:rPr>
          <w:color w:val="000000" w:themeColor="text1"/>
        </w:rPr>
      </w:pPr>
      <w:r w:rsidRPr="00650C77">
        <w:rPr>
          <w:color w:val="000000" w:themeColor="text1"/>
        </w:rPr>
        <w:tab/>
      </w:r>
    </w:p>
    <w:p w14:paraId="64193638" w14:textId="60633DDB" w:rsidR="008366F7" w:rsidRPr="00650C77" w:rsidRDefault="001D5A34" w:rsidP="0005440B">
      <w:pPr>
        <w:pStyle w:val="Heading1"/>
        <w:rPr>
          <w:rFonts w:ascii="Arial" w:hAnsi="Arial" w:cs="Arial"/>
          <w:b/>
          <w:bCs/>
          <w:color w:val="000000" w:themeColor="text1"/>
          <w:sz w:val="28"/>
          <w:szCs w:val="28"/>
        </w:rPr>
      </w:pPr>
      <w:r w:rsidRPr="00650C77">
        <w:rPr>
          <w:rFonts w:ascii="Arial" w:hAnsi="Arial" w:cs="Arial"/>
          <w:b/>
          <w:bCs/>
          <w:color w:val="000000" w:themeColor="text1"/>
          <w:sz w:val="28"/>
          <w:szCs w:val="28"/>
        </w:rPr>
        <w:lastRenderedPageBreak/>
        <w:t xml:space="preserve">4.7 </w:t>
      </w:r>
      <w:r w:rsidR="00130586" w:rsidRPr="00650C77">
        <w:rPr>
          <w:rFonts w:ascii="Arial" w:hAnsi="Arial" w:cs="Arial"/>
          <w:b/>
          <w:bCs/>
          <w:color w:val="000000" w:themeColor="text1"/>
          <w:sz w:val="28"/>
          <w:szCs w:val="28"/>
        </w:rPr>
        <w:t>Chapter 4 Overview – Visual Summary</w:t>
      </w:r>
    </w:p>
    <w:p w14:paraId="3641FCDA" w14:textId="7C7ED9D4" w:rsidR="008366F7" w:rsidRPr="00650C77" w:rsidRDefault="001B1C43" w:rsidP="008366F7">
      <w:pPr>
        <w:spacing w:after="0" w:line="240" w:lineRule="auto"/>
        <w:rPr>
          <w:rFonts w:ascii="Arial" w:eastAsia="Times New Roman" w:hAnsi="Arial" w:cs="Arial"/>
          <w:color w:val="000000" w:themeColor="text1"/>
          <w:kern w:val="0"/>
          <w:sz w:val="24"/>
          <w:szCs w:val="24"/>
          <w:lang w:eastAsia="en-GB"/>
          <w14:ligatures w14:val="none"/>
        </w:rPr>
      </w:pPr>
      <w:r w:rsidRPr="00650C77">
        <w:rPr>
          <w:noProof/>
          <w:color w:val="000000" w:themeColor="text1"/>
        </w:rPr>
        <w:drawing>
          <wp:inline distT="0" distB="0" distL="0" distR="0" wp14:anchorId="7D8AD5CF" wp14:editId="0B547791">
            <wp:extent cx="5731192" cy="5610225"/>
            <wp:effectExtent l="0" t="0" r="3175" b="0"/>
            <wp:docPr id="726369351" name="Picture 726369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summarized_infographic_chart_titled_&quot;Overview_of.png"/>
                    <pic:cNvPicPr/>
                  </pic:nvPicPr>
                  <pic:blipFill>
                    <a:blip r:embed="rId16"/>
                    <a:stretch>
                      <a:fillRect/>
                    </a:stretch>
                  </pic:blipFill>
                  <pic:spPr>
                    <a:xfrm>
                      <a:off x="0" y="0"/>
                      <a:ext cx="5740705" cy="5619537"/>
                    </a:xfrm>
                    <a:prstGeom prst="rect">
                      <a:avLst/>
                    </a:prstGeom>
                  </pic:spPr>
                </pic:pic>
              </a:graphicData>
            </a:graphic>
          </wp:inline>
        </w:drawing>
      </w:r>
    </w:p>
    <w:p w14:paraId="1BC915AB" w14:textId="20C5A032" w:rsidR="0005440B" w:rsidRPr="00650C77" w:rsidRDefault="0005440B" w:rsidP="00BA1E13">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hAnsi="Arial" w:cs="Arial"/>
          <w:b/>
          <w:bCs/>
          <w:color w:val="000000" w:themeColor="text1"/>
          <w:sz w:val="20"/>
          <w:szCs w:val="20"/>
        </w:rPr>
        <w:t>Sources:</w:t>
      </w:r>
      <w:r w:rsidRPr="00650C77">
        <w:rPr>
          <w:rFonts w:ascii="Arial" w:hAnsi="Arial" w:cs="Arial"/>
          <w:color w:val="000000" w:themeColor="text1"/>
          <w:sz w:val="20"/>
          <w:szCs w:val="20"/>
        </w:rPr>
        <w:t xml:space="preserve"> Birchwood, M., et al. (2018), Care Quality Commission (CQC). (2023), </w:t>
      </w:r>
      <w:proofErr w:type="spellStart"/>
      <w:r w:rsidRPr="00650C77">
        <w:rPr>
          <w:rFonts w:ascii="Arial" w:hAnsi="Arial" w:cs="Arial"/>
          <w:color w:val="000000" w:themeColor="text1"/>
          <w:sz w:val="20"/>
          <w:szCs w:val="20"/>
        </w:rPr>
        <w:t>Nazroo</w:t>
      </w:r>
      <w:proofErr w:type="spellEnd"/>
      <w:r w:rsidRPr="00650C77">
        <w:rPr>
          <w:rFonts w:ascii="Arial" w:hAnsi="Arial" w:cs="Arial"/>
          <w:color w:val="000000" w:themeColor="text1"/>
          <w:sz w:val="20"/>
          <w:szCs w:val="20"/>
        </w:rPr>
        <w:t xml:space="preserve">, J., et al. (2019), Haddock, G., et al. (2020), Whiskey, E., et al. (2022), Pagdon, T. (2023). </w:t>
      </w:r>
      <w:proofErr w:type="spellStart"/>
      <w:r w:rsidRPr="00650C77">
        <w:rPr>
          <w:rFonts w:ascii="Arial" w:hAnsi="Arial" w:cs="Arial"/>
          <w:color w:val="000000" w:themeColor="text1"/>
          <w:sz w:val="20"/>
          <w:szCs w:val="20"/>
        </w:rPr>
        <w:t>Bhui</w:t>
      </w:r>
      <w:proofErr w:type="spellEnd"/>
      <w:r w:rsidRPr="00650C77">
        <w:rPr>
          <w:rFonts w:ascii="Arial" w:hAnsi="Arial" w:cs="Arial"/>
          <w:color w:val="000000" w:themeColor="text1"/>
          <w:sz w:val="20"/>
          <w:szCs w:val="20"/>
        </w:rPr>
        <w:t>, K., et al. (2021).</w:t>
      </w:r>
    </w:p>
    <w:p w14:paraId="1A2BB317" w14:textId="77777777" w:rsidR="0005440B" w:rsidRPr="00650C77" w:rsidRDefault="0005440B" w:rsidP="00BA1E13">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148FEB59" w14:textId="77777777" w:rsidR="00C70072" w:rsidRPr="00650C77" w:rsidRDefault="00C70072" w:rsidP="00C70072">
      <w:pPr>
        <w:pStyle w:val="NormalWeb"/>
        <w:rPr>
          <w:color w:val="000000" w:themeColor="text1"/>
        </w:rPr>
      </w:pPr>
    </w:p>
    <w:p w14:paraId="0EB45980" w14:textId="77777777" w:rsidR="00C70072" w:rsidRPr="00650C77" w:rsidRDefault="00C70072" w:rsidP="00C70072">
      <w:pPr>
        <w:pStyle w:val="NormalWeb"/>
        <w:rPr>
          <w:color w:val="000000" w:themeColor="text1"/>
        </w:rPr>
      </w:pPr>
    </w:p>
    <w:p w14:paraId="492B6A1D" w14:textId="77777777" w:rsidR="00C70072" w:rsidRPr="00650C77" w:rsidRDefault="00C70072" w:rsidP="00C70072">
      <w:pPr>
        <w:pStyle w:val="NormalWeb"/>
        <w:rPr>
          <w:color w:val="000000" w:themeColor="text1"/>
        </w:rPr>
      </w:pPr>
    </w:p>
    <w:p w14:paraId="1418D8CF" w14:textId="77777777" w:rsidR="00C70072" w:rsidRPr="00650C77" w:rsidRDefault="00C70072" w:rsidP="00C70072">
      <w:pPr>
        <w:pStyle w:val="NormalWeb"/>
        <w:rPr>
          <w:color w:val="000000" w:themeColor="text1"/>
        </w:rPr>
      </w:pPr>
    </w:p>
    <w:p w14:paraId="3F7D2112" w14:textId="77777777" w:rsidR="00C70072" w:rsidRPr="00650C77" w:rsidRDefault="00C70072" w:rsidP="00C70072">
      <w:pPr>
        <w:pStyle w:val="NormalWeb"/>
        <w:rPr>
          <w:color w:val="000000" w:themeColor="text1"/>
        </w:rPr>
      </w:pPr>
    </w:p>
    <w:p w14:paraId="2A59BB49" w14:textId="49EA9A05" w:rsidR="001D5A34" w:rsidRPr="00650C77" w:rsidRDefault="001D5A34" w:rsidP="00C70072">
      <w:pPr>
        <w:pStyle w:val="NormalWeb"/>
        <w:spacing w:line="360" w:lineRule="auto"/>
        <w:jc w:val="both"/>
        <w:rPr>
          <w:rFonts w:ascii="Arial" w:hAnsi="Arial" w:cs="Arial"/>
          <w:b/>
          <w:bCs/>
          <w:color w:val="000000" w:themeColor="text1"/>
          <w:sz w:val="28"/>
          <w:szCs w:val="28"/>
        </w:rPr>
      </w:pPr>
      <w:r w:rsidRPr="00650C77">
        <w:rPr>
          <w:rFonts w:ascii="Arial" w:hAnsi="Arial" w:cs="Arial"/>
          <w:b/>
          <w:bCs/>
          <w:color w:val="000000" w:themeColor="text1"/>
          <w:sz w:val="28"/>
          <w:szCs w:val="28"/>
        </w:rPr>
        <w:lastRenderedPageBreak/>
        <w:t xml:space="preserve">4.8 </w:t>
      </w:r>
      <w:r w:rsidR="00723C0D" w:rsidRPr="00650C77">
        <w:rPr>
          <w:rFonts w:ascii="Arial" w:hAnsi="Arial" w:cs="Arial"/>
          <w:b/>
          <w:bCs/>
          <w:color w:val="000000" w:themeColor="text1"/>
          <w:sz w:val="28"/>
          <w:szCs w:val="28"/>
        </w:rPr>
        <w:t xml:space="preserve">Chapter </w:t>
      </w:r>
      <w:r w:rsidRPr="00650C77">
        <w:rPr>
          <w:rFonts w:ascii="Arial" w:hAnsi="Arial" w:cs="Arial"/>
          <w:b/>
          <w:bCs/>
          <w:color w:val="000000" w:themeColor="text1"/>
          <w:sz w:val="28"/>
          <w:szCs w:val="28"/>
        </w:rPr>
        <w:t xml:space="preserve">Conclusion: </w:t>
      </w:r>
    </w:p>
    <w:p w14:paraId="139A07A8" w14:textId="77777777" w:rsidR="00F96FD0" w:rsidRPr="00650C77" w:rsidRDefault="00F96FD0" w:rsidP="00F85D58">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In conclusion, this chapter has critically examined schizophrenia treatment pathways and service delivery in the UK through three interconnected themes: clinical effectiveness, inequalities in access, and integrated care models. The findings demonstrate that while there is strong agreement across the literature regarding effective interventions—such as antipsychotic medication, </w:t>
      </w:r>
      <w:proofErr w:type="spellStart"/>
      <w:r w:rsidRPr="00650C77">
        <w:rPr>
          <w:rFonts w:ascii="Arial" w:hAnsi="Arial" w:cs="Arial"/>
          <w:color w:val="000000" w:themeColor="text1"/>
          <w:sz w:val="22"/>
          <w:szCs w:val="22"/>
        </w:rPr>
        <w:t>CBTp</w:t>
      </w:r>
      <w:proofErr w:type="spellEnd"/>
      <w:r w:rsidRPr="00650C77">
        <w:rPr>
          <w:rFonts w:ascii="Arial" w:hAnsi="Arial" w:cs="Arial"/>
          <w:color w:val="000000" w:themeColor="text1"/>
          <w:sz w:val="22"/>
          <w:szCs w:val="22"/>
        </w:rPr>
        <w:t>, and Early Intervention in Psychosis services—their real-world impact is limited by inconsistent implementation.</w:t>
      </w:r>
    </w:p>
    <w:p w14:paraId="1724850F" w14:textId="77777777" w:rsidR="00F96FD0" w:rsidRPr="00650C77" w:rsidRDefault="00F96FD0" w:rsidP="00F85D58">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A key pattern emerging across all themes is the gap between policy and practice. Although NICE guidelines and national frameworks provide clear recommendations, variations in workforce capacity, funding, and service organisation result in unequal and fragmented delivery (CQC, 2023). Differences between studies are less about disagreement in clinical evidence and more about variation in context, particularly in relation to access and system coordination.</w:t>
      </w:r>
    </w:p>
    <w:p w14:paraId="6F115FCC" w14:textId="77777777" w:rsidR="00F96FD0" w:rsidRPr="00650C77" w:rsidRDefault="00F96FD0" w:rsidP="00F85D58">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Overall, improving schizophrenia outcomes in the UK requires not only effective treatments but also consistent, equitable, and integrated service delivery. Addressing these systemic challenges is essential for closing the gap between theoretical models and real-world practice, and directly informs the recommendations presented in the following chapter.</w:t>
      </w:r>
    </w:p>
    <w:p w14:paraId="62747477" w14:textId="77777777" w:rsidR="00C70072" w:rsidRPr="00650C77" w:rsidRDefault="00C70072" w:rsidP="00C70072">
      <w:pPr>
        <w:pStyle w:val="NormalWeb"/>
        <w:rPr>
          <w:color w:val="000000" w:themeColor="text1"/>
        </w:rPr>
      </w:pPr>
    </w:p>
    <w:p w14:paraId="1B3B92E8" w14:textId="77777777" w:rsidR="008366F7" w:rsidRPr="00650C77" w:rsidRDefault="008366F7" w:rsidP="00D32967">
      <w:pPr>
        <w:pStyle w:val="NormalWeb"/>
        <w:spacing w:line="360" w:lineRule="auto"/>
        <w:jc w:val="both"/>
        <w:rPr>
          <w:rFonts w:ascii="Arial" w:hAnsi="Arial" w:cs="Arial"/>
          <w:color w:val="000000" w:themeColor="text1"/>
          <w:sz w:val="22"/>
          <w:szCs w:val="22"/>
        </w:rPr>
      </w:pPr>
    </w:p>
    <w:p w14:paraId="58111C33" w14:textId="77777777" w:rsidR="008366F7" w:rsidRPr="00650C77" w:rsidRDefault="008366F7" w:rsidP="00D32967">
      <w:pPr>
        <w:spacing w:before="100" w:beforeAutospacing="1" w:after="100" w:afterAutospacing="1" w:line="360" w:lineRule="auto"/>
        <w:rPr>
          <w:rFonts w:ascii="Arial" w:eastAsia="Times New Roman" w:hAnsi="Arial" w:cs="Arial"/>
          <w:color w:val="000000" w:themeColor="text1"/>
          <w:kern w:val="0"/>
          <w:lang w:eastAsia="en-GB"/>
          <w14:ligatures w14:val="none"/>
        </w:rPr>
      </w:pPr>
      <w:bookmarkStart w:id="4" w:name="_Hlk220363975"/>
    </w:p>
    <w:p w14:paraId="0FD8680B" w14:textId="77777777" w:rsidR="00157F01" w:rsidRPr="00650C77" w:rsidRDefault="00157F01" w:rsidP="00D32967">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75A8F1EF" w14:textId="77777777" w:rsidR="00157F01" w:rsidRPr="00650C77" w:rsidRDefault="00157F01" w:rsidP="00D32967">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2B480369" w14:textId="77777777" w:rsidR="00157F01" w:rsidRPr="00650C77" w:rsidRDefault="00157F01" w:rsidP="00D32967">
      <w:pPr>
        <w:spacing w:before="100" w:beforeAutospacing="1" w:after="100" w:afterAutospacing="1" w:line="360" w:lineRule="auto"/>
        <w:rPr>
          <w:rFonts w:ascii="Arial" w:eastAsia="Times New Roman" w:hAnsi="Arial" w:cs="Arial"/>
          <w:color w:val="000000" w:themeColor="text1"/>
          <w:kern w:val="0"/>
          <w:lang w:eastAsia="en-GB"/>
          <w14:ligatures w14:val="none"/>
        </w:rPr>
      </w:pPr>
    </w:p>
    <w:bookmarkEnd w:id="4"/>
    <w:p w14:paraId="0AB808E0" w14:textId="77777777" w:rsidR="008E4810" w:rsidRPr="00650C77" w:rsidRDefault="008E4810" w:rsidP="008E4810">
      <w:pPr>
        <w:rPr>
          <w:rFonts w:ascii="Arial" w:eastAsia="Times New Roman" w:hAnsi="Arial" w:cs="Arial"/>
          <w:b/>
          <w:bCs/>
          <w:color w:val="000000" w:themeColor="text1"/>
          <w:kern w:val="36"/>
          <w:sz w:val="48"/>
          <w:szCs w:val="48"/>
          <w:lang w:eastAsia="en-GB"/>
          <w14:ligatures w14:val="none"/>
        </w:rPr>
      </w:pPr>
    </w:p>
    <w:p w14:paraId="142138B7" w14:textId="77777777" w:rsidR="002C7E18" w:rsidRPr="00650C77" w:rsidRDefault="002C7E18" w:rsidP="008E4810">
      <w:pPr>
        <w:rPr>
          <w:rFonts w:ascii="Arial" w:eastAsia="Times New Roman" w:hAnsi="Arial" w:cs="Arial"/>
          <w:b/>
          <w:bCs/>
          <w:color w:val="000000" w:themeColor="text1"/>
          <w:kern w:val="36"/>
          <w:sz w:val="48"/>
          <w:szCs w:val="48"/>
          <w:lang w:eastAsia="en-GB"/>
          <w14:ligatures w14:val="none"/>
        </w:rPr>
      </w:pPr>
    </w:p>
    <w:p w14:paraId="7915C5B2" w14:textId="77777777" w:rsidR="00974AF9" w:rsidRDefault="00974AF9" w:rsidP="004777A2">
      <w:pPr>
        <w:spacing w:before="100" w:beforeAutospacing="1" w:after="100" w:afterAutospacing="1" w:line="360" w:lineRule="auto"/>
        <w:jc w:val="both"/>
        <w:outlineLvl w:val="0"/>
        <w:rPr>
          <w:rFonts w:ascii="Arial" w:eastAsia="Times New Roman" w:hAnsi="Arial" w:cs="Arial"/>
          <w:b/>
          <w:bCs/>
          <w:color w:val="000000" w:themeColor="text1"/>
          <w:kern w:val="36"/>
          <w:sz w:val="48"/>
          <w:szCs w:val="48"/>
          <w:lang w:eastAsia="en-GB"/>
          <w14:ligatures w14:val="none"/>
        </w:rPr>
      </w:pPr>
    </w:p>
    <w:p w14:paraId="06556C93" w14:textId="70293CFE" w:rsidR="004777A2" w:rsidRPr="00650C77" w:rsidRDefault="004777A2" w:rsidP="004777A2">
      <w:pPr>
        <w:spacing w:before="100" w:beforeAutospacing="1" w:after="100" w:afterAutospacing="1" w:line="360" w:lineRule="auto"/>
        <w:jc w:val="both"/>
        <w:outlineLvl w:val="0"/>
        <w:rPr>
          <w:rFonts w:ascii="Arial" w:eastAsia="Times New Roman" w:hAnsi="Arial" w:cs="Arial"/>
          <w:b/>
          <w:bCs/>
          <w:color w:val="000000" w:themeColor="text1"/>
          <w:kern w:val="36"/>
          <w:sz w:val="32"/>
          <w:szCs w:val="32"/>
          <w:lang w:eastAsia="en-GB"/>
          <w14:ligatures w14:val="none"/>
        </w:rPr>
      </w:pPr>
      <w:r w:rsidRPr="00650C77">
        <w:rPr>
          <w:rFonts w:ascii="Arial" w:eastAsia="Times New Roman" w:hAnsi="Arial" w:cs="Arial"/>
          <w:b/>
          <w:bCs/>
          <w:color w:val="000000" w:themeColor="text1"/>
          <w:kern w:val="36"/>
          <w:sz w:val="32"/>
          <w:szCs w:val="32"/>
          <w:lang w:eastAsia="en-GB"/>
          <w14:ligatures w14:val="none"/>
        </w:rPr>
        <w:lastRenderedPageBreak/>
        <w:t>Chapter 5: Conclusion and Recommendations</w:t>
      </w:r>
    </w:p>
    <w:p w14:paraId="20570FD7" w14:textId="77777777" w:rsidR="009551D4" w:rsidRPr="00650C77" w:rsidRDefault="009551D4" w:rsidP="009551D4">
      <w:pPr>
        <w:spacing w:before="100" w:beforeAutospacing="1" w:after="100" w:afterAutospacing="1" w:line="360" w:lineRule="auto"/>
        <w:jc w:val="both"/>
        <w:outlineLvl w:val="1"/>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5.1 Overall Conclusion:</w:t>
      </w:r>
    </w:p>
    <w:p w14:paraId="47076506" w14:textId="77777777" w:rsidR="009551D4" w:rsidRPr="00650C77" w:rsidRDefault="009551D4" w:rsidP="009551D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This dissertation critically examined schizophrenia treatment pathways and service delivery models in the United Kingdom, with a sustained focus on their effectiveness, accessibility, and structural limitations. Through a rigorous secondary research methodology and thematic analysis, the study integrated evidence from academic literature, national policy frameworks, and service evaluations to address the research aims in a comprehensive and analytically coherent manner (NICE, 2020; NHS England, 2019). The findings confirm that the UK mental health system is underpinned by a strong evidence base and well-established clinical guidance. National frameworks, particularly NICE guidelines and Early Intervention in Psychosis (EIP) services, provide a robust foundation for delivering evidence-based care. Interventions including pharmacological treatment, psychosocial therapies, and recovery-oriented approaches demonstrate clear effectiveness when implemented consistently and at appropriate stages of illness (NICE, 2020; NHS England, 2019).</w:t>
      </w:r>
    </w:p>
    <w:p w14:paraId="01BB80AF" w14:textId="77777777" w:rsidR="009551D4" w:rsidRPr="00650C77" w:rsidRDefault="009551D4" w:rsidP="009551D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However, this strength is significantly undermined by persistent structural inequities and inconsistencies in service delivery. The analysis demonstrates that access to timely and appropriate care remains uneven, with disparities shaped by socioeconomic status, geographic location, and ethnicity. Marginalised groups are disproportionately exposed to delayed intervention, coercive pathways, and poorer overall outcomes, reflecting systemic inequalities embedded within service provision (</w:t>
      </w:r>
      <w:proofErr w:type="spellStart"/>
      <w:r w:rsidRPr="00650C77">
        <w:rPr>
          <w:rFonts w:ascii="Arial" w:eastAsia="Times New Roman" w:hAnsi="Arial" w:cs="Arial"/>
          <w:color w:val="000000" w:themeColor="text1"/>
          <w:kern w:val="0"/>
          <w:lang w:eastAsia="en-GB"/>
          <w14:ligatures w14:val="none"/>
        </w:rPr>
        <w:t>Nazroo</w:t>
      </w:r>
      <w:proofErr w:type="spellEnd"/>
      <w:r w:rsidRPr="00650C77">
        <w:rPr>
          <w:rFonts w:ascii="Arial" w:eastAsia="Times New Roman" w:hAnsi="Arial" w:cs="Arial"/>
          <w:color w:val="000000" w:themeColor="text1"/>
          <w:kern w:val="0"/>
          <w:lang w:eastAsia="en-GB"/>
          <w14:ligatures w14:val="none"/>
        </w:rPr>
        <w:t xml:space="preserve"> et al., 2019; Care Quality Commission, 2023). Furthermore, fragmentation across health, social care, and community services continues to disrupt continuity of care and limit recovery outcomes. While Integrated Care Systems (ICSs) were introduced to address these issues, their implementation remains variable and insufficiently coordinated, highlighting a disconnect between policy ambition and operational reality (Care Quality Commission, 2023; King’s Fund, 2022).</w:t>
      </w:r>
    </w:p>
    <w:p w14:paraId="11446376" w14:textId="77777777" w:rsidR="009551D4" w:rsidRDefault="009551D4" w:rsidP="009551D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 xml:space="preserve">Taken together, the findings suggest that the primary challenge is not a lack of evidence-based interventions, but rather the </w:t>
      </w:r>
      <w:r w:rsidRPr="00650C77">
        <w:rPr>
          <w:rFonts w:ascii="Arial" w:eastAsia="Times New Roman" w:hAnsi="Arial" w:cs="Arial"/>
          <w:b/>
          <w:bCs/>
          <w:color w:val="000000" w:themeColor="text1"/>
          <w:kern w:val="0"/>
          <w:lang w:eastAsia="en-GB"/>
          <w14:ligatures w14:val="none"/>
        </w:rPr>
        <w:t>inconsistent and inequitable implementation of existing frameworks</w:t>
      </w:r>
      <w:r w:rsidRPr="00650C77">
        <w:rPr>
          <w:rFonts w:ascii="Arial" w:eastAsia="Times New Roman" w:hAnsi="Arial" w:cs="Arial"/>
          <w:color w:val="000000" w:themeColor="text1"/>
          <w:kern w:val="0"/>
          <w:lang w:eastAsia="en-GB"/>
          <w14:ligatures w14:val="none"/>
        </w:rPr>
        <w:t xml:space="preserve">. Achieving meaningful improvements in schizophrenia outcomes therefore requires systemic reform focused on integration, equity, and workforce sustainability, rather than isolated enhancements to clinical practice (NHS England, 2019; Royal College of Psychiatrists, 2023). In response, the following recommendations offer strategically aligned and evidence-informed actions designed to address the key structural challenges identified, </w:t>
      </w:r>
      <w:r w:rsidRPr="00650C77">
        <w:rPr>
          <w:rFonts w:ascii="Arial" w:eastAsia="Times New Roman" w:hAnsi="Arial" w:cs="Arial"/>
          <w:color w:val="000000" w:themeColor="text1"/>
          <w:kern w:val="0"/>
          <w:lang w:eastAsia="en-GB"/>
          <w14:ligatures w14:val="none"/>
        </w:rPr>
        <w:lastRenderedPageBreak/>
        <w:t>while remaining grounded in feasibility within the current NHS context (Care Quality Commission, 2023).</w:t>
      </w:r>
    </w:p>
    <w:p w14:paraId="0CD565A3" w14:textId="77777777" w:rsidR="00974AF9" w:rsidRPr="00650C77" w:rsidRDefault="00974AF9" w:rsidP="009551D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07A86DF4" w14:textId="77777777" w:rsidR="009551D4" w:rsidRPr="00650C77" w:rsidRDefault="009551D4" w:rsidP="009551D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b/>
          <w:bCs/>
          <w:color w:val="000000" w:themeColor="text1"/>
          <w:kern w:val="36"/>
          <w:sz w:val="28"/>
          <w:szCs w:val="28"/>
          <w:lang w:eastAsia="en-GB"/>
          <w14:ligatures w14:val="none"/>
        </w:rPr>
        <w:t>5.2 Recommendations:</w:t>
      </w:r>
    </w:p>
    <w:p w14:paraId="638EEA14" w14:textId="77777777" w:rsidR="009551D4" w:rsidRPr="00650C77" w:rsidRDefault="009551D4" w:rsidP="009551D4">
      <w:pPr>
        <w:spacing w:before="100" w:beforeAutospacing="1" w:after="100" w:afterAutospacing="1" w:line="360" w:lineRule="auto"/>
        <w:jc w:val="both"/>
        <w:outlineLvl w:val="1"/>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5.2.1 Recommendation 1: Strengthen Integrated Care Pathways Across Health, Social Care, and Community Services</w:t>
      </w:r>
    </w:p>
    <w:p w14:paraId="7CB6E332" w14:textId="77777777" w:rsidR="009551D4" w:rsidRPr="00650C77" w:rsidRDefault="009551D4" w:rsidP="009551D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Integrated Care Systems (ICSs) should be operationally strengthened and standardised to deliver fully coordinated, end-to-end care pathways across inpatient, community, primary care, and social support services, underpinned by multidisciplinary team (MDT) collaboration and shared accountability structures (King’s Fund, 2022).</w:t>
      </w:r>
    </w:p>
    <w:p w14:paraId="0F36DE84"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 xml:space="preserve">Justification: </w:t>
      </w:r>
      <w:r w:rsidRPr="00650C77">
        <w:rPr>
          <w:rFonts w:ascii="Arial" w:eastAsia="Times New Roman" w:hAnsi="Arial" w:cs="Arial"/>
          <w:color w:val="000000" w:themeColor="text1"/>
          <w:kern w:val="0"/>
          <w:lang w:eastAsia="en-GB"/>
          <w14:ligatures w14:val="none"/>
        </w:rPr>
        <w:t>The findings identify service fragmentation as a critical systemic weakness, contributing to disengagement, inconsistent care delivery, and avoidable hospital readmissions (Care Quality Commission, 2023; Jauhar et al., 2019). Although ICSs were designed to enhance coordination, their inconsistent implementation has limited their effectiveness. Evidence demonstrates that integrated, recovery-oriented models improve continuity of care and patient engagement, particularly for individuals with complex and long-term needs (</w:t>
      </w:r>
      <w:proofErr w:type="spellStart"/>
      <w:r w:rsidRPr="00650C77">
        <w:rPr>
          <w:rFonts w:ascii="Arial" w:eastAsia="Times New Roman" w:hAnsi="Arial" w:cs="Arial"/>
          <w:color w:val="000000" w:themeColor="text1"/>
          <w:kern w:val="0"/>
          <w:lang w:eastAsia="en-GB"/>
          <w14:ligatures w14:val="none"/>
        </w:rPr>
        <w:t>Bhui</w:t>
      </w:r>
      <w:proofErr w:type="spellEnd"/>
      <w:r w:rsidRPr="00650C77">
        <w:rPr>
          <w:rFonts w:ascii="Arial" w:eastAsia="Times New Roman" w:hAnsi="Arial" w:cs="Arial"/>
          <w:color w:val="000000" w:themeColor="text1"/>
          <w:kern w:val="0"/>
          <w:lang w:eastAsia="en-GB"/>
          <w14:ligatures w14:val="none"/>
        </w:rPr>
        <w:t xml:space="preserve"> et al., 2021; Pagdon, 2023; Repper &amp; Perkins, 2021).</w:t>
      </w:r>
    </w:p>
    <w:p w14:paraId="4703306A"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 xml:space="preserve">Feasibility: </w:t>
      </w:r>
      <w:r w:rsidRPr="00650C77">
        <w:rPr>
          <w:rFonts w:ascii="Arial" w:eastAsia="Times New Roman" w:hAnsi="Arial" w:cs="Arial"/>
          <w:color w:val="000000" w:themeColor="text1"/>
          <w:kern w:val="0"/>
          <w:lang w:eastAsia="en-GB"/>
          <w14:ligatures w14:val="none"/>
        </w:rPr>
        <w:t>This recommendation is highly feasible within existing NHS structures, as ICSs are already embedded within national policy. The focus is on strengthening coordination, governance, and operational integration rather than introducing new systems, making it both realistic and scalable (NHS England, 2019; King’s Fund, 2022).</w:t>
      </w:r>
    </w:p>
    <w:p w14:paraId="606530C4"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Barriers and Limitations:</w:t>
      </w:r>
    </w:p>
    <w:p w14:paraId="250CBC60" w14:textId="77777777" w:rsidR="009551D4" w:rsidRPr="00650C77" w:rsidRDefault="009551D4" w:rsidP="009551D4">
      <w:pPr>
        <w:pStyle w:val="ListParagraph"/>
        <w:numPr>
          <w:ilvl w:val="0"/>
          <w:numId w:val="25"/>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Workforce shortages limiting MDT capacity.</w:t>
      </w:r>
    </w:p>
    <w:p w14:paraId="74A37B4D" w14:textId="77777777" w:rsidR="009551D4" w:rsidRPr="00650C77" w:rsidRDefault="009551D4" w:rsidP="009551D4">
      <w:pPr>
        <w:pStyle w:val="ListParagraph"/>
        <w:numPr>
          <w:ilvl w:val="0"/>
          <w:numId w:val="25"/>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Incompatible digital systems hindering information sharing</w:t>
      </w:r>
    </w:p>
    <w:p w14:paraId="3EBE1D4D" w14:textId="77777777" w:rsidR="009551D4" w:rsidRPr="00650C77" w:rsidRDefault="009551D4" w:rsidP="009551D4">
      <w:pPr>
        <w:pStyle w:val="ListParagraph"/>
        <w:numPr>
          <w:ilvl w:val="0"/>
          <w:numId w:val="25"/>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 xml:space="preserve">Ambiguous governance </w:t>
      </w:r>
      <w:proofErr w:type="spellStart"/>
      <w:r w:rsidRPr="00650C77">
        <w:rPr>
          <w:rFonts w:ascii="Arial" w:eastAsia="Times New Roman" w:hAnsi="Arial" w:cs="Arial"/>
          <w:color w:val="000000" w:themeColor="text1"/>
          <w:kern w:val="0"/>
          <w:lang w:eastAsia="en-GB"/>
          <w14:ligatures w14:val="none"/>
        </w:rPr>
        <w:t>governance</w:t>
      </w:r>
      <w:proofErr w:type="spellEnd"/>
      <w:r w:rsidRPr="00650C77">
        <w:rPr>
          <w:rFonts w:ascii="Arial" w:eastAsia="Times New Roman" w:hAnsi="Arial" w:cs="Arial"/>
          <w:color w:val="000000" w:themeColor="text1"/>
          <w:kern w:val="0"/>
          <w:lang w:eastAsia="en-GB"/>
          <w14:ligatures w14:val="none"/>
        </w:rPr>
        <w:t xml:space="preserve"> structures leading to fragmented accountability (Care Quality Commission, 2023)</w:t>
      </w:r>
    </w:p>
    <w:p w14:paraId="1E76F535" w14:textId="77777777" w:rsidR="009551D4" w:rsidRDefault="009551D4" w:rsidP="009551D4">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 xml:space="preserve">Overcoming Challenges: </w:t>
      </w:r>
      <w:r w:rsidRPr="00650C77">
        <w:rPr>
          <w:rFonts w:ascii="Arial" w:eastAsia="Times New Roman" w:hAnsi="Arial" w:cs="Arial"/>
          <w:color w:val="000000" w:themeColor="text1"/>
          <w:kern w:val="0"/>
          <w:lang w:eastAsia="en-GB"/>
          <w14:ligatures w14:val="none"/>
        </w:rPr>
        <w:t xml:space="preserve">Targeted investment in interoperable digital infrastructure, alongside the formalisation of cross-sector partnership agreements and strengthened system leadership, is essential. Establishing clear accountability frameworks within ICSs can further </w:t>
      </w:r>
      <w:r w:rsidRPr="00650C77">
        <w:rPr>
          <w:rFonts w:ascii="Arial" w:eastAsia="Times New Roman" w:hAnsi="Arial" w:cs="Arial"/>
          <w:color w:val="000000" w:themeColor="text1"/>
          <w:kern w:val="0"/>
          <w:lang w:eastAsia="en-GB"/>
          <w14:ligatures w14:val="none"/>
        </w:rPr>
        <w:lastRenderedPageBreak/>
        <w:t>ensure consistent implementation and reduce regional variation (Care Quality Commission, 2023; King’s Fund, 2022).</w:t>
      </w:r>
    </w:p>
    <w:p w14:paraId="731FB4E0" w14:textId="77777777" w:rsidR="00974AF9" w:rsidRPr="00650C77" w:rsidRDefault="00974AF9"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p>
    <w:p w14:paraId="0C085FF2" w14:textId="77777777" w:rsidR="009551D4" w:rsidRPr="00650C77" w:rsidRDefault="009551D4" w:rsidP="009551D4">
      <w:pPr>
        <w:spacing w:before="100" w:beforeAutospacing="1" w:after="100" w:afterAutospacing="1" w:line="360" w:lineRule="auto"/>
        <w:jc w:val="both"/>
        <w:outlineLvl w:val="1"/>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5.2.2 Recommendation 2: Reduce Inequalities Through Targeted and Culturally Competent Early Intervention</w:t>
      </w:r>
    </w:p>
    <w:p w14:paraId="38557260" w14:textId="77777777" w:rsidR="009551D4" w:rsidRPr="00650C77" w:rsidRDefault="009551D4" w:rsidP="009551D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Early Intervention in Psychosis (EIP) services should be expanded and strategically redesigned to deliver culturally competent, community-embedded, and proactive outreach models targeting underserved and high-risk populations (NHS England, 2019).</w:t>
      </w:r>
    </w:p>
    <w:p w14:paraId="41118DD7" w14:textId="08251390" w:rsidR="009551D4" w:rsidRPr="00650C77" w:rsidRDefault="009551D4"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Justification:</w:t>
      </w:r>
      <w:r w:rsidR="00723C0D" w:rsidRPr="00650C77">
        <w:rPr>
          <w:rFonts w:ascii="Arial" w:eastAsia="Times New Roman" w:hAnsi="Arial" w:cs="Arial"/>
          <w:b/>
          <w:bCs/>
          <w:color w:val="000000" w:themeColor="text1"/>
          <w:kern w:val="0"/>
          <w:lang w:eastAsia="en-GB"/>
          <w14:ligatures w14:val="none"/>
        </w:rPr>
        <w:t xml:space="preserve"> </w:t>
      </w:r>
      <w:r w:rsidRPr="00650C77">
        <w:rPr>
          <w:rFonts w:ascii="Arial" w:eastAsia="Times New Roman" w:hAnsi="Arial" w:cs="Arial"/>
          <w:color w:val="000000" w:themeColor="text1"/>
          <w:kern w:val="0"/>
          <w:lang w:eastAsia="en-GB"/>
          <w14:ligatures w14:val="none"/>
        </w:rPr>
        <w:t>The study demonstrates that inequalities remain a defining feature of schizophrenia care, with marginalised populations experiencing delayed access, coercive treatment pathways, and poorer outcomes (</w:t>
      </w:r>
      <w:proofErr w:type="spellStart"/>
      <w:r w:rsidRPr="00650C77">
        <w:rPr>
          <w:rFonts w:ascii="Arial" w:eastAsia="Times New Roman" w:hAnsi="Arial" w:cs="Arial"/>
          <w:color w:val="000000" w:themeColor="text1"/>
          <w:kern w:val="0"/>
          <w:lang w:eastAsia="en-GB"/>
          <w14:ligatures w14:val="none"/>
        </w:rPr>
        <w:t>Nazroo</w:t>
      </w:r>
      <w:proofErr w:type="spellEnd"/>
      <w:r w:rsidRPr="00650C77">
        <w:rPr>
          <w:rFonts w:ascii="Arial" w:eastAsia="Times New Roman" w:hAnsi="Arial" w:cs="Arial"/>
          <w:color w:val="000000" w:themeColor="text1"/>
          <w:kern w:val="0"/>
          <w:lang w:eastAsia="en-GB"/>
          <w14:ligatures w14:val="none"/>
        </w:rPr>
        <w:t xml:space="preserve"> et al., 2019; Care Quality Commission, 2024). Evidence indicates that culturally adapted and community-based EIP approaches improve early detection, enhance engagement, and reduce reliance on crisis-driven care (</w:t>
      </w:r>
      <w:proofErr w:type="spellStart"/>
      <w:r w:rsidRPr="00650C77">
        <w:rPr>
          <w:rFonts w:ascii="Arial" w:eastAsia="Times New Roman" w:hAnsi="Arial" w:cs="Arial"/>
          <w:color w:val="000000" w:themeColor="text1"/>
          <w:kern w:val="0"/>
          <w:lang w:eastAsia="en-GB"/>
          <w14:ligatures w14:val="none"/>
        </w:rPr>
        <w:t>Bhui</w:t>
      </w:r>
      <w:proofErr w:type="spellEnd"/>
      <w:r w:rsidRPr="00650C77">
        <w:rPr>
          <w:rFonts w:ascii="Arial" w:eastAsia="Times New Roman" w:hAnsi="Arial" w:cs="Arial"/>
          <w:color w:val="000000" w:themeColor="text1"/>
          <w:kern w:val="0"/>
          <w:lang w:eastAsia="en-GB"/>
          <w14:ligatures w14:val="none"/>
        </w:rPr>
        <w:t xml:space="preserve"> et al., 2021).</w:t>
      </w:r>
    </w:p>
    <w:p w14:paraId="597B3716"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 xml:space="preserve">Feasibility: </w:t>
      </w:r>
      <w:r w:rsidRPr="00650C77">
        <w:rPr>
          <w:rFonts w:ascii="Arial" w:eastAsia="Times New Roman" w:hAnsi="Arial" w:cs="Arial"/>
          <w:color w:val="000000" w:themeColor="text1"/>
          <w:kern w:val="0"/>
          <w:lang w:eastAsia="en-GB"/>
          <w14:ligatures w14:val="none"/>
        </w:rPr>
        <w:t>This recommendation is achievable within current service frameworks, as EIP services are already established and supported by national policy. Expansion through community partnerships and targeted commissioning represents a practical and scalable approach (NHS England, 2019).</w:t>
      </w:r>
    </w:p>
    <w:p w14:paraId="66FD39DB"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Barriers and Limitations</w:t>
      </w:r>
    </w:p>
    <w:p w14:paraId="1BA171DC" w14:textId="77777777" w:rsidR="009551D4" w:rsidRPr="00650C77" w:rsidRDefault="009551D4" w:rsidP="009551D4">
      <w:pPr>
        <w:pStyle w:val="ListParagraph"/>
        <w:numPr>
          <w:ilvl w:val="0"/>
          <w:numId w:val="26"/>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Limited funding and rigid commissioning structures.</w:t>
      </w:r>
    </w:p>
    <w:p w14:paraId="1B99BC99" w14:textId="77777777" w:rsidR="009551D4" w:rsidRPr="00650C77" w:rsidRDefault="009551D4" w:rsidP="009551D4">
      <w:pPr>
        <w:pStyle w:val="ListParagraph"/>
        <w:numPr>
          <w:ilvl w:val="0"/>
          <w:numId w:val="26"/>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Workforce gaps in cultural competence and specialised therapy provision.</w:t>
      </w:r>
    </w:p>
    <w:p w14:paraId="73E4EB7B" w14:textId="77777777" w:rsidR="009551D4" w:rsidRPr="00650C77" w:rsidRDefault="009551D4" w:rsidP="009551D4">
      <w:pPr>
        <w:pStyle w:val="ListParagraph"/>
        <w:numPr>
          <w:ilvl w:val="0"/>
          <w:numId w:val="26"/>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Institutional resistance to service redesign.</w:t>
      </w:r>
    </w:p>
    <w:p w14:paraId="302ACCD7"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 xml:space="preserve">Overcoming Challenges: </w:t>
      </w:r>
      <w:r w:rsidRPr="00650C77">
        <w:rPr>
          <w:rFonts w:ascii="Arial" w:eastAsia="Times New Roman" w:hAnsi="Arial" w:cs="Arial"/>
          <w:color w:val="000000" w:themeColor="text1"/>
          <w:kern w:val="0"/>
          <w:lang w:eastAsia="en-GB"/>
          <w14:ligatures w14:val="none"/>
        </w:rPr>
        <w:t>Reallocating resources towards early intervention and prevention, alongside targeted workforce training in culturally responsive and trauma-informed care, can address these challenges. Co-production with community organisations can further enhance trust and engagement. Evidence supports the long-term cost-effectiveness and clinical benefits of early intervention investment (NHS England, 2019; Thornicroft et al., 2022).</w:t>
      </w:r>
    </w:p>
    <w:p w14:paraId="75011105"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p>
    <w:p w14:paraId="44F6E081"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color w:val="000000" w:themeColor="text1"/>
          <w:kern w:val="0"/>
          <w:sz w:val="24"/>
          <w:szCs w:val="24"/>
          <w:lang w:eastAsia="en-GB"/>
          <w14:ligatures w14:val="none"/>
        </w:rPr>
      </w:pPr>
    </w:p>
    <w:p w14:paraId="4E0FA016" w14:textId="77777777" w:rsidR="009551D4" w:rsidRPr="00650C77" w:rsidRDefault="009551D4" w:rsidP="009551D4">
      <w:pPr>
        <w:spacing w:before="100" w:beforeAutospacing="1" w:after="100" w:afterAutospacing="1" w:line="360" w:lineRule="auto"/>
        <w:jc w:val="both"/>
        <w:outlineLvl w:val="1"/>
        <w:rPr>
          <w:rFonts w:ascii="Arial" w:eastAsia="Times New Roman" w:hAnsi="Arial" w:cs="Arial"/>
          <w:color w:val="000000" w:themeColor="text1"/>
          <w:kern w:val="0"/>
          <w:sz w:val="24"/>
          <w:szCs w:val="24"/>
          <w:lang w:eastAsia="en-GB"/>
          <w14:ligatures w14:val="none"/>
        </w:rPr>
      </w:pPr>
    </w:p>
    <w:p w14:paraId="487D430F" w14:textId="77777777" w:rsidR="009551D4" w:rsidRPr="00650C77" w:rsidRDefault="009551D4" w:rsidP="009551D4">
      <w:pPr>
        <w:spacing w:before="100" w:beforeAutospacing="1" w:after="100" w:afterAutospacing="1" w:line="360" w:lineRule="auto"/>
        <w:jc w:val="both"/>
        <w:outlineLvl w:val="1"/>
        <w:rPr>
          <w:rFonts w:ascii="Arial" w:eastAsia="Times New Roman" w:hAnsi="Arial" w:cs="Arial"/>
          <w:color w:val="000000" w:themeColor="text1"/>
          <w:kern w:val="0"/>
          <w:sz w:val="24"/>
          <w:szCs w:val="24"/>
          <w:lang w:eastAsia="en-GB"/>
          <w14:ligatures w14:val="none"/>
        </w:rPr>
      </w:pPr>
    </w:p>
    <w:p w14:paraId="088272D7" w14:textId="77777777" w:rsidR="009551D4" w:rsidRPr="00650C77" w:rsidRDefault="009551D4" w:rsidP="009551D4">
      <w:pPr>
        <w:spacing w:before="100" w:beforeAutospacing="1" w:after="100" w:afterAutospacing="1" w:line="360" w:lineRule="auto"/>
        <w:jc w:val="both"/>
        <w:outlineLvl w:val="1"/>
        <w:rPr>
          <w:rFonts w:ascii="Arial" w:eastAsia="Times New Roman" w:hAnsi="Arial" w:cs="Arial"/>
          <w:b/>
          <w:bCs/>
          <w:color w:val="000000" w:themeColor="text1"/>
          <w:kern w:val="0"/>
          <w:sz w:val="24"/>
          <w:szCs w:val="24"/>
          <w:lang w:eastAsia="en-GB"/>
          <w14:ligatures w14:val="none"/>
        </w:rPr>
      </w:pPr>
      <w:r w:rsidRPr="00650C77">
        <w:rPr>
          <w:rFonts w:ascii="Arial" w:eastAsia="Times New Roman" w:hAnsi="Arial" w:cs="Arial"/>
          <w:b/>
          <w:bCs/>
          <w:color w:val="000000" w:themeColor="text1"/>
          <w:kern w:val="0"/>
          <w:sz w:val="24"/>
          <w:szCs w:val="24"/>
          <w:lang w:eastAsia="en-GB"/>
          <w14:ligatures w14:val="none"/>
        </w:rPr>
        <w:t>5.2.3 Recommendation 3: Invest in Workforce Capacity and Strengthen Accountability for Guideline Implementation</w:t>
      </w:r>
    </w:p>
    <w:p w14:paraId="0F7C5429" w14:textId="77777777" w:rsidR="009551D4" w:rsidRPr="00650C77" w:rsidRDefault="009551D4" w:rsidP="009551D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Sustained and strategic investment in workforce capacity should be prioritised, alongside the implementation of robust accountability mechanisms to ensure consistent delivery of NICE guidelines and national service standards (Royal College of Psychiatrists, 2023).</w:t>
      </w:r>
    </w:p>
    <w:p w14:paraId="2FB56942"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 xml:space="preserve">Justification: </w:t>
      </w:r>
      <w:r w:rsidRPr="00650C77">
        <w:rPr>
          <w:rFonts w:ascii="Arial" w:eastAsia="Times New Roman" w:hAnsi="Arial" w:cs="Arial"/>
          <w:color w:val="000000" w:themeColor="text1"/>
          <w:kern w:val="0"/>
          <w:lang w:eastAsia="en-GB"/>
          <w14:ligatures w14:val="none"/>
        </w:rPr>
        <w:t xml:space="preserve">Workforce limitations are a pervasive constraint across all aspects of schizophrenia care, restricting access to evidence-based interventions such as </w:t>
      </w:r>
      <w:proofErr w:type="spellStart"/>
      <w:r w:rsidRPr="00650C77">
        <w:rPr>
          <w:rFonts w:ascii="Arial" w:eastAsia="Times New Roman" w:hAnsi="Arial" w:cs="Arial"/>
          <w:color w:val="000000" w:themeColor="text1"/>
          <w:kern w:val="0"/>
          <w:lang w:eastAsia="en-GB"/>
          <w14:ligatures w14:val="none"/>
        </w:rPr>
        <w:t>CBTp</w:t>
      </w:r>
      <w:proofErr w:type="spellEnd"/>
      <w:r w:rsidRPr="00650C77">
        <w:rPr>
          <w:rFonts w:ascii="Arial" w:eastAsia="Times New Roman" w:hAnsi="Arial" w:cs="Arial"/>
          <w:color w:val="000000" w:themeColor="text1"/>
          <w:kern w:val="0"/>
          <w:lang w:eastAsia="en-GB"/>
          <w14:ligatures w14:val="none"/>
        </w:rPr>
        <w:t>, family therapy, and clozapine treatment (Haddock et al., 2020; Royal College of Psychiatrists, 2023). This undermines the translation of policy into practice and contributes to regional variation in care quality.</w:t>
      </w:r>
    </w:p>
    <w:p w14:paraId="5D93E3F0"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 xml:space="preserve">Feasibility: </w:t>
      </w:r>
      <w:r w:rsidRPr="00650C77">
        <w:rPr>
          <w:rFonts w:ascii="Arial" w:eastAsia="Times New Roman" w:hAnsi="Arial" w:cs="Arial"/>
          <w:color w:val="000000" w:themeColor="text1"/>
          <w:kern w:val="0"/>
          <w:lang w:eastAsia="en-GB"/>
          <w14:ligatures w14:val="none"/>
        </w:rPr>
        <w:t>While requiring long-term investment, this recommendation aligns with existing NHS workforce strategies and policy priorities. Expanding training pathways, improving retention, and developing new roles are achievable with sustained commitment (Royal College of Psychiatrists, 2023).</w:t>
      </w:r>
    </w:p>
    <w:p w14:paraId="0D9C5BA9"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Barriers and Limitations</w:t>
      </w:r>
    </w:p>
    <w:p w14:paraId="42752455" w14:textId="77777777" w:rsidR="009551D4" w:rsidRPr="00650C77" w:rsidRDefault="009551D4" w:rsidP="009551D4">
      <w:pPr>
        <w:pStyle w:val="ListParagraph"/>
        <w:numPr>
          <w:ilvl w:val="0"/>
          <w:numId w:val="27"/>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Financial constraints within the NHS</w:t>
      </w:r>
    </w:p>
    <w:p w14:paraId="22FFA4BA" w14:textId="77777777" w:rsidR="009551D4" w:rsidRPr="00650C77" w:rsidRDefault="009551D4" w:rsidP="009551D4">
      <w:pPr>
        <w:pStyle w:val="ListParagraph"/>
        <w:numPr>
          <w:ilvl w:val="0"/>
          <w:numId w:val="27"/>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Long training timelines delaying workforce expansion</w:t>
      </w:r>
    </w:p>
    <w:p w14:paraId="445F30DD" w14:textId="77777777" w:rsidR="009551D4" w:rsidRPr="00650C77" w:rsidRDefault="009551D4" w:rsidP="009551D4">
      <w:pPr>
        <w:pStyle w:val="ListParagraph"/>
        <w:numPr>
          <w:ilvl w:val="0"/>
          <w:numId w:val="27"/>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Regional disparities in recruitment and retention</w:t>
      </w:r>
      <w:r w:rsidRPr="00650C77">
        <w:rPr>
          <w:rFonts w:ascii="Arial" w:hAnsi="Arial" w:cs="Arial"/>
          <w:color w:val="000000" w:themeColor="text1"/>
        </w:rPr>
        <w:t xml:space="preserve"> (Royal College of Psychiatrists, 2023).</w:t>
      </w:r>
    </w:p>
    <w:p w14:paraId="12E25818"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r w:rsidRPr="00650C77">
        <w:rPr>
          <w:rFonts w:ascii="Arial" w:eastAsia="Times New Roman" w:hAnsi="Arial" w:cs="Arial"/>
          <w:b/>
          <w:bCs/>
          <w:color w:val="000000" w:themeColor="text1"/>
          <w:kern w:val="0"/>
          <w:lang w:eastAsia="en-GB"/>
          <w14:ligatures w14:val="none"/>
        </w:rPr>
        <w:t xml:space="preserve">Overcoming Challenges: </w:t>
      </w:r>
      <w:r w:rsidRPr="00650C77">
        <w:rPr>
          <w:rFonts w:ascii="Arial" w:eastAsia="Times New Roman" w:hAnsi="Arial" w:cs="Arial"/>
          <w:color w:val="000000" w:themeColor="text1"/>
          <w:kern w:val="0"/>
          <w:lang w:eastAsia="en-GB"/>
          <w14:ligatures w14:val="none"/>
        </w:rPr>
        <w:t>Short-term strategies, including role diversification, international recruitment, and digital delivery of therapies, can mitigate immediate workforce gaps. Long-term improvements in working conditions, retention strategies, and targeted incentives for underserved areas are essential. Strengthened audit systems and performance benchmarking can further ensure accountability and consistent guideline implementation (Royal College of Psychiatrists, 2023).</w:t>
      </w:r>
    </w:p>
    <w:p w14:paraId="04BF8A29"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p>
    <w:p w14:paraId="590640A0"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p>
    <w:p w14:paraId="3684C8EE" w14:textId="77777777" w:rsidR="009551D4" w:rsidRPr="00650C77" w:rsidRDefault="009551D4" w:rsidP="009551D4">
      <w:pPr>
        <w:spacing w:before="100" w:beforeAutospacing="1" w:after="100" w:afterAutospacing="1" w:line="360" w:lineRule="auto"/>
        <w:jc w:val="both"/>
        <w:outlineLvl w:val="2"/>
        <w:rPr>
          <w:rFonts w:ascii="Arial" w:eastAsia="Times New Roman" w:hAnsi="Arial" w:cs="Arial"/>
          <w:b/>
          <w:bCs/>
          <w:color w:val="000000" w:themeColor="text1"/>
          <w:kern w:val="0"/>
          <w:lang w:eastAsia="en-GB"/>
          <w14:ligatures w14:val="none"/>
        </w:rPr>
      </w:pPr>
    </w:p>
    <w:p w14:paraId="46511FA5" w14:textId="77777777" w:rsidR="00157F01" w:rsidRPr="00650C77" w:rsidRDefault="00157F01" w:rsidP="00157F01">
      <w:pPr>
        <w:spacing w:before="100" w:beforeAutospacing="1" w:after="100" w:afterAutospacing="1" w:line="360" w:lineRule="auto"/>
        <w:jc w:val="both"/>
        <w:outlineLvl w:val="2"/>
        <w:rPr>
          <w:rFonts w:ascii="Arial" w:eastAsia="Times New Roman" w:hAnsi="Arial" w:cs="Arial"/>
          <w:b/>
          <w:bCs/>
          <w:color w:val="000000" w:themeColor="text1"/>
          <w:kern w:val="0"/>
          <w:sz w:val="28"/>
          <w:szCs w:val="28"/>
          <w:lang w:eastAsia="en-GB"/>
          <w14:ligatures w14:val="none"/>
        </w:rPr>
      </w:pPr>
      <w:r w:rsidRPr="00650C77">
        <w:rPr>
          <w:rFonts w:ascii="Arial" w:eastAsia="Times New Roman" w:hAnsi="Arial" w:cs="Arial"/>
          <w:b/>
          <w:bCs/>
          <w:color w:val="000000" w:themeColor="text1"/>
          <w:kern w:val="0"/>
          <w:sz w:val="28"/>
          <w:szCs w:val="28"/>
          <w:lang w:eastAsia="en-GB"/>
          <w14:ligatures w14:val="none"/>
        </w:rPr>
        <w:t>5.3 Final Reflection:</w:t>
      </w:r>
    </w:p>
    <w:p w14:paraId="0B7E1568" w14:textId="77777777" w:rsidR="004B7BCE" w:rsidRPr="004B7BCE" w:rsidRDefault="004B7BCE" w:rsidP="004B7BCE">
      <w:pPr>
        <w:pStyle w:val="NormalWeb"/>
        <w:spacing w:line="360" w:lineRule="auto"/>
        <w:jc w:val="both"/>
        <w:rPr>
          <w:rFonts w:ascii="Arial" w:hAnsi="Arial" w:cs="Arial"/>
          <w:sz w:val="22"/>
          <w:szCs w:val="22"/>
        </w:rPr>
      </w:pPr>
      <w:r w:rsidRPr="004B7BCE">
        <w:rPr>
          <w:rFonts w:ascii="Arial" w:hAnsi="Arial" w:cs="Arial"/>
          <w:sz w:val="22"/>
          <w:szCs w:val="22"/>
        </w:rPr>
        <w:t>This dissertation demonstrates that the primary challenges in schizophrenia care in the UK do not arise from a lack of effective treatments or policy frameworks, but from systemic failures in implementation, access, and service coordination. While NICE guidelines and national strategies provide a strong evidence base, their impact is significantly undermined by regional variation, workforce limitations, and fragmented delivery.</w:t>
      </w:r>
    </w:p>
    <w:p w14:paraId="7F07E529" w14:textId="77777777" w:rsidR="004B7BCE" w:rsidRPr="004B7BCE" w:rsidRDefault="004B7BCE" w:rsidP="004B7BCE">
      <w:pPr>
        <w:pStyle w:val="NormalWeb"/>
        <w:spacing w:line="360" w:lineRule="auto"/>
        <w:jc w:val="both"/>
        <w:rPr>
          <w:rFonts w:ascii="Arial" w:hAnsi="Arial" w:cs="Arial"/>
          <w:sz w:val="22"/>
          <w:szCs w:val="22"/>
        </w:rPr>
      </w:pPr>
      <w:r w:rsidRPr="004B7BCE">
        <w:rPr>
          <w:rFonts w:ascii="Arial" w:hAnsi="Arial" w:cs="Arial"/>
          <w:sz w:val="22"/>
          <w:szCs w:val="22"/>
        </w:rPr>
        <w:t>The analysis critically highlights that effectiveness cannot be understood in isolation from equity and integration. Persistent inequalities—particularly affecting ethnic minority groups and deprived populations—continue to shape access, engagement, and outcomes. In addition, weak integration across health and social care services limits continuity, reducing the long-term effectiveness of otherwise evidence-based interventions.</w:t>
      </w:r>
    </w:p>
    <w:p w14:paraId="6CEF4071" w14:textId="77777777" w:rsidR="004B7BCE" w:rsidRPr="004B7BCE" w:rsidRDefault="004B7BCE" w:rsidP="004B7BCE">
      <w:pPr>
        <w:pStyle w:val="NormalWeb"/>
        <w:spacing w:line="360" w:lineRule="auto"/>
        <w:jc w:val="both"/>
        <w:rPr>
          <w:rFonts w:ascii="Arial" w:hAnsi="Arial" w:cs="Arial"/>
          <w:sz w:val="22"/>
          <w:szCs w:val="22"/>
        </w:rPr>
      </w:pPr>
      <w:r w:rsidRPr="004B7BCE">
        <w:rPr>
          <w:rFonts w:ascii="Arial" w:hAnsi="Arial" w:cs="Arial"/>
          <w:sz w:val="22"/>
          <w:szCs w:val="22"/>
        </w:rPr>
        <w:t>The recommendations proposed are strategically aligned with existing NHS priorities and offer realistic, system-level solutions. However, their success depends on sustained investment, strong leadership, and accountability. Overall, meaningful improvement requires not further policy development, but consistent and equitable implementation, ensuring that high-quality, person-centred care is delivered across all settings in practice.</w:t>
      </w:r>
    </w:p>
    <w:p w14:paraId="75697FA7" w14:textId="77777777" w:rsidR="007401FA" w:rsidRPr="00650C77" w:rsidRDefault="007401FA" w:rsidP="007401FA">
      <w:pPr>
        <w:spacing w:line="360" w:lineRule="auto"/>
        <w:jc w:val="both"/>
        <w:rPr>
          <w:rFonts w:ascii="Arial" w:hAnsi="Arial" w:cs="Arial"/>
          <w:color w:val="000000" w:themeColor="text1"/>
          <w:lang w:val="en-US"/>
        </w:rPr>
      </w:pPr>
    </w:p>
    <w:p w14:paraId="0564113F" w14:textId="77777777" w:rsidR="00653CD1" w:rsidRPr="00650C77" w:rsidRDefault="00653CD1" w:rsidP="007401FA">
      <w:pPr>
        <w:spacing w:line="360" w:lineRule="auto"/>
        <w:jc w:val="both"/>
        <w:rPr>
          <w:rFonts w:ascii="Arial" w:hAnsi="Arial" w:cs="Arial"/>
          <w:color w:val="000000" w:themeColor="text1"/>
          <w:lang w:val="en-US"/>
        </w:rPr>
      </w:pPr>
    </w:p>
    <w:p w14:paraId="080EFDC7" w14:textId="77777777" w:rsidR="00653CD1" w:rsidRPr="00650C77" w:rsidRDefault="00653CD1" w:rsidP="007401FA">
      <w:pPr>
        <w:spacing w:line="360" w:lineRule="auto"/>
        <w:jc w:val="both"/>
        <w:rPr>
          <w:rFonts w:ascii="Arial" w:hAnsi="Arial" w:cs="Arial"/>
          <w:color w:val="000000" w:themeColor="text1"/>
          <w:lang w:val="en-US"/>
        </w:rPr>
      </w:pPr>
    </w:p>
    <w:p w14:paraId="71ABC471" w14:textId="77777777" w:rsidR="00653CD1" w:rsidRPr="00650C77" w:rsidRDefault="00653CD1" w:rsidP="007401FA">
      <w:pPr>
        <w:spacing w:line="360" w:lineRule="auto"/>
        <w:jc w:val="both"/>
        <w:rPr>
          <w:rFonts w:ascii="Arial" w:hAnsi="Arial" w:cs="Arial"/>
          <w:color w:val="000000" w:themeColor="text1"/>
          <w:lang w:val="en-US"/>
        </w:rPr>
      </w:pPr>
    </w:p>
    <w:p w14:paraId="302F9B50" w14:textId="77777777" w:rsidR="00653CD1" w:rsidRPr="00650C77" w:rsidRDefault="00653CD1" w:rsidP="007401FA">
      <w:pPr>
        <w:spacing w:line="360" w:lineRule="auto"/>
        <w:jc w:val="both"/>
        <w:rPr>
          <w:rFonts w:ascii="Arial" w:hAnsi="Arial" w:cs="Arial"/>
          <w:color w:val="000000" w:themeColor="text1"/>
          <w:lang w:val="en-US"/>
        </w:rPr>
      </w:pPr>
    </w:p>
    <w:p w14:paraId="40535CEA" w14:textId="77777777" w:rsidR="00653CD1" w:rsidRPr="00650C77" w:rsidRDefault="00653CD1" w:rsidP="007401FA">
      <w:pPr>
        <w:spacing w:line="360" w:lineRule="auto"/>
        <w:jc w:val="both"/>
        <w:rPr>
          <w:rFonts w:ascii="Arial" w:hAnsi="Arial" w:cs="Arial"/>
          <w:color w:val="000000" w:themeColor="text1"/>
          <w:lang w:val="en-US"/>
        </w:rPr>
      </w:pPr>
    </w:p>
    <w:p w14:paraId="45E4D4B5" w14:textId="77777777" w:rsidR="00653CD1" w:rsidRPr="00650C77" w:rsidRDefault="00653CD1" w:rsidP="007401FA">
      <w:pPr>
        <w:spacing w:line="360" w:lineRule="auto"/>
        <w:jc w:val="both"/>
        <w:rPr>
          <w:rFonts w:ascii="Arial" w:hAnsi="Arial" w:cs="Arial"/>
          <w:color w:val="000000" w:themeColor="text1"/>
          <w:lang w:val="en-US"/>
        </w:rPr>
      </w:pPr>
    </w:p>
    <w:p w14:paraId="63497359" w14:textId="77777777" w:rsidR="00653CD1" w:rsidRPr="00650C77" w:rsidRDefault="00653CD1" w:rsidP="007401FA">
      <w:pPr>
        <w:spacing w:line="360" w:lineRule="auto"/>
        <w:jc w:val="both"/>
        <w:rPr>
          <w:rFonts w:ascii="Arial" w:hAnsi="Arial" w:cs="Arial"/>
          <w:color w:val="000000" w:themeColor="text1"/>
          <w:lang w:val="en-US"/>
        </w:rPr>
      </w:pPr>
    </w:p>
    <w:p w14:paraId="551D8411" w14:textId="77777777" w:rsidR="00653CD1" w:rsidRPr="00650C77" w:rsidRDefault="00653CD1" w:rsidP="007401FA">
      <w:pPr>
        <w:spacing w:line="360" w:lineRule="auto"/>
        <w:jc w:val="both"/>
        <w:rPr>
          <w:rFonts w:ascii="Arial" w:hAnsi="Arial" w:cs="Arial"/>
          <w:color w:val="000000" w:themeColor="text1"/>
          <w:lang w:val="en-US"/>
        </w:rPr>
      </w:pPr>
    </w:p>
    <w:p w14:paraId="6D5DE5A7" w14:textId="77777777" w:rsidR="007401FA" w:rsidRPr="00650C77" w:rsidRDefault="007401FA" w:rsidP="007401FA">
      <w:pPr>
        <w:spacing w:line="360" w:lineRule="auto"/>
        <w:jc w:val="both"/>
        <w:rPr>
          <w:rFonts w:ascii="Arial" w:hAnsi="Arial" w:cs="Arial"/>
          <w:color w:val="000000" w:themeColor="text1"/>
          <w:lang w:val="en-US"/>
        </w:rPr>
      </w:pPr>
    </w:p>
    <w:p w14:paraId="5170F6C9" w14:textId="77777777" w:rsidR="004B7BCE" w:rsidRDefault="004B7BCE" w:rsidP="007401FA">
      <w:pPr>
        <w:spacing w:line="360" w:lineRule="auto"/>
        <w:jc w:val="both"/>
        <w:rPr>
          <w:rFonts w:ascii="Arial" w:hAnsi="Arial" w:cs="Arial"/>
          <w:b/>
          <w:bCs/>
          <w:color w:val="000000" w:themeColor="text1"/>
          <w:lang w:val="en-US"/>
        </w:rPr>
      </w:pPr>
    </w:p>
    <w:p w14:paraId="4E2C51AD" w14:textId="2FF47D20" w:rsidR="004777A2" w:rsidRPr="00650C77" w:rsidRDefault="00D632FC" w:rsidP="007401FA">
      <w:pPr>
        <w:spacing w:line="360" w:lineRule="auto"/>
        <w:jc w:val="both"/>
        <w:rPr>
          <w:rFonts w:ascii="Arial" w:hAnsi="Arial" w:cs="Arial"/>
          <w:b/>
          <w:bCs/>
          <w:color w:val="000000" w:themeColor="text1"/>
          <w:sz w:val="32"/>
          <w:szCs w:val="32"/>
          <w:lang w:val="en-US"/>
        </w:rPr>
      </w:pPr>
      <w:r w:rsidRPr="00650C77">
        <w:rPr>
          <w:rFonts w:ascii="Arial" w:hAnsi="Arial" w:cs="Arial"/>
          <w:b/>
          <w:bCs/>
          <w:color w:val="000000" w:themeColor="text1"/>
          <w:sz w:val="32"/>
          <w:szCs w:val="32"/>
          <w:lang w:val="en-US"/>
        </w:rPr>
        <w:lastRenderedPageBreak/>
        <w:t xml:space="preserve">Chapter-6 </w:t>
      </w:r>
      <w:r w:rsidR="007401FA" w:rsidRPr="00650C77">
        <w:rPr>
          <w:rFonts w:ascii="Arial" w:hAnsi="Arial" w:cs="Arial"/>
          <w:b/>
          <w:bCs/>
          <w:color w:val="000000" w:themeColor="text1"/>
          <w:sz w:val="32"/>
          <w:szCs w:val="32"/>
          <w:lang w:val="en-US"/>
        </w:rPr>
        <w:t>References:</w:t>
      </w:r>
    </w:p>
    <w:p w14:paraId="4B860DE7" w14:textId="77777777" w:rsidR="007401FA" w:rsidRPr="00650C77" w:rsidRDefault="007401FA" w:rsidP="007401FA">
      <w:pPr>
        <w:pStyle w:val="NormalWeb"/>
        <w:spacing w:line="360" w:lineRule="auto"/>
        <w:jc w:val="both"/>
        <w:rPr>
          <w:rFonts w:ascii="Arial" w:hAnsi="Arial" w:cs="Arial"/>
          <w:color w:val="000000" w:themeColor="text1"/>
          <w:sz w:val="22"/>
          <w:szCs w:val="22"/>
        </w:rPr>
      </w:pPr>
      <w:proofErr w:type="spellStart"/>
      <w:r w:rsidRPr="00650C77">
        <w:rPr>
          <w:rFonts w:ascii="Arial" w:hAnsi="Arial" w:cs="Arial"/>
          <w:color w:val="000000" w:themeColor="text1"/>
          <w:sz w:val="22"/>
          <w:szCs w:val="22"/>
        </w:rPr>
        <w:t>Amanawa</w:t>
      </w:r>
      <w:proofErr w:type="spellEnd"/>
      <w:r w:rsidRPr="00650C77">
        <w:rPr>
          <w:rFonts w:ascii="Arial" w:hAnsi="Arial" w:cs="Arial"/>
          <w:color w:val="000000" w:themeColor="text1"/>
          <w:sz w:val="22"/>
          <w:szCs w:val="22"/>
        </w:rPr>
        <w:t xml:space="preserve">, P. and </w:t>
      </w:r>
      <w:proofErr w:type="spellStart"/>
      <w:r w:rsidRPr="00650C77">
        <w:rPr>
          <w:rFonts w:ascii="Arial" w:hAnsi="Arial" w:cs="Arial"/>
          <w:color w:val="000000" w:themeColor="text1"/>
          <w:sz w:val="22"/>
          <w:szCs w:val="22"/>
        </w:rPr>
        <w:t>Amabebe</w:t>
      </w:r>
      <w:proofErr w:type="spellEnd"/>
      <w:r w:rsidRPr="00650C77">
        <w:rPr>
          <w:rFonts w:ascii="Arial" w:hAnsi="Arial" w:cs="Arial"/>
          <w:color w:val="000000" w:themeColor="text1"/>
          <w:sz w:val="22"/>
          <w:szCs w:val="22"/>
        </w:rPr>
        <w:t xml:space="preserve">, E. (2024) </w:t>
      </w:r>
      <w:r w:rsidRPr="00650C77">
        <w:rPr>
          <w:rStyle w:val="Emphasis"/>
          <w:rFonts w:ascii="Arial" w:eastAsiaTheme="majorEastAsia" w:hAnsi="Arial" w:cs="Arial"/>
          <w:color w:val="000000" w:themeColor="text1"/>
          <w:sz w:val="22"/>
          <w:szCs w:val="22"/>
        </w:rPr>
        <w:t>Evaluating integrated care models in severe mental illness</w:t>
      </w:r>
      <w:r w:rsidRPr="00650C77">
        <w:rPr>
          <w:rFonts w:ascii="Arial" w:hAnsi="Arial" w:cs="Arial"/>
          <w:color w:val="000000" w:themeColor="text1"/>
          <w:sz w:val="22"/>
          <w:szCs w:val="22"/>
        </w:rPr>
        <w:t>. London: Routledge.</w:t>
      </w:r>
    </w:p>
    <w:p w14:paraId="70D038C6"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Asthana, S., Gibson, A. and Moon, G. (2020) ‘The role of Integrated Care Systems in addressing health inequalities’, </w:t>
      </w:r>
      <w:r w:rsidRPr="00650C77">
        <w:rPr>
          <w:rStyle w:val="Emphasis"/>
          <w:rFonts w:ascii="Arial" w:eastAsiaTheme="majorEastAsia" w:hAnsi="Arial" w:cs="Arial"/>
          <w:color w:val="000000" w:themeColor="text1"/>
          <w:sz w:val="22"/>
          <w:szCs w:val="22"/>
        </w:rPr>
        <w:t>Journal of Health Services Research &amp; Policy</w:t>
      </w:r>
      <w:r w:rsidRPr="00650C77">
        <w:rPr>
          <w:rFonts w:ascii="Arial" w:hAnsi="Arial" w:cs="Arial"/>
          <w:color w:val="000000" w:themeColor="text1"/>
          <w:sz w:val="22"/>
          <w:szCs w:val="22"/>
        </w:rPr>
        <w:t>, 25(3), pp. 168–175.</w:t>
      </w:r>
    </w:p>
    <w:p w14:paraId="7F1EE64F"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Aveyard, H. (2019) </w:t>
      </w:r>
      <w:r w:rsidRPr="00650C77">
        <w:rPr>
          <w:rStyle w:val="Emphasis"/>
          <w:rFonts w:ascii="Arial" w:eastAsiaTheme="majorEastAsia" w:hAnsi="Arial" w:cs="Arial"/>
          <w:color w:val="000000" w:themeColor="text1"/>
          <w:sz w:val="22"/>
          <w:szCs w:val="22"/>
        </w:rPr>
        <w:t>Doing a literature review in health and social care: A practical guide</w:t>
      </w:r>
      <w:r w:rsidRPr="00650C77">
        <w:rPr>
          <w:rFonts w:ascii="Arial" w:hAnsi="Arial" w:cs="Arial"/>
          <w:color w:val="000000" w:themeColor="text1"/>
          <w:sz w:val="22"/>
          <w:szCs w:val="22"/>
        </w:rPr>
        <w:t xml:space="preserve">. 4th </w:t>
      </w:r>
      <w:proofErr w:type="spellStart"/>
      <w:r w:rsidRPr="00650C77">
        <w:rPr>
          <w:rFonts w:ascii="Arial" w:hAnsi="Arial" w:cs="Arial"/>
          <w:color w:val="000000" w:themeColor="text1"/>
          <w:sz w:val="22"/>
          <w:szCs w:val="22"/>
        </w:rPr>
        <w:t>edn</w:t>
      </w:r>
      <w:proofErr w:type="spellEnd"/>
      <w:r w:rsidRPr="00650C77">
        <w:rPr>
          <w:rFonts w:ascii="Arial" w:hAnsi="Arial" w:cs="Arial"/>
          <w:color w:val="000000" w:themeColor="text1"/>
          <w:sz w:val="22"/>
          <w:szCs w:val="22"/>
        </w:rPr>
        <w:t>. London: Open University Press.</w:t>
      </w:r>
    </w:p>
    <w:p w14:paraId="5F765192"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Baker, E., Green, C. and Smith, J. (2019) ‘Applying the chronic care model to schizophrenia management’, </w:t>
      </w:r>
      <w:r w:rsidRPr="00650C77">
        <w:rPr>
          <w:rStyle w:val="Emphasis"/>
          <w:rFonts w:ascii="Arial" w:eastAsiaTheme="majorEastAsia" w:hAnsi="Arial" w:cs="Arial"/>
          <w:color w:val="000000" w:themeColor="text1"/>
          <w:sz w:val="22"/>
          <w:szCs w:val="22"/>
        </w:rPr>
        <w:t>International Journal of Mental Health Nursing</w:t>
      </w:r>
      <w:r w:rsidRPr="00650C77">
        <w:rPr>
          <w:rFonts w:ascii="Arial" w:hAnsi="Arial" w:cs="Arial"/>
          <w:color w:val="000000" w:themeColor="text1"/>
          <w:sz w:val="22"/>
          <w:szCs w:val="22"/>
        </w:rPr>
        <w:t>, 28(2), pp. 456–465.</w:t>
      </w:r>
    </w:p>
    <w:p w14:paraId="59242508"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Bartlett, P. and Wright, D. (2018) </w:t>
      </w:r>
      <w:r w:rsidRPr="00650C77">
        <w:rPr>
          <w:rStyle w:val="Emphasis"/>
          <w:rFonts w:ascii="Arial" w:eastAsiaTheme="majorEastAsia" w:hAnsi="Arial" w:cs="Arial"/>
          <w:color w:val="000000" w:themeColor="text1"/>
          <w:sz w:val="22"/>
          <w:szCs w:val="22"/>
        </w:rPr>
        <w:t>Outside the walls of the asylum: The history of care in the community 1750–2000</w:t>
      </w:r>
      <w:r w:rsidRPr="00650C77">
        <w:rPr>
          <w:rFonts w:ascii="Arial" w:hAnsi="Arial" w:cs="Arial"/>
          <w:color w:val="000000" w:themeColor="text1"/>
          <w:sz w:val="22"/>
          <w:szCs w:val="22"/>
        </w:rPr>
        <w:t>. London: Athlone Press.</w:t>
      </w:r>
    </w:p>
    <w:p w14:paraId="5AAD7953" w14:textId="77777777" w:rsidR="007401FA" w:rsidRPr="00650C77" w:rsidRDefault="007401FA" w:rsidP="007401FA">
      <w:pPr>
        <w:pStyle w:val="NormalWeb"/>
        <w:spacing w:line="360" w:lineRule="auto"/>
        <w:jc w:val="both"/>
        <w:rPr>
          <w:rFonts w:ascii="Arial" w:hAnsi="Arial" w:cs="Arial"/>
          <w:color w:val="000000" w:themeColor="text1"/>
          <w:sz w:val="22"/>
          <w:szCs w:val="22"/>
        </w:rPr>
      </w:pPr>
      <w:proofErr w:type="spellStart"/>
      <w:r w:rsidRPr="00650C77">
        <w:rPr>
          <w:rFonts w:ascii="Arial" w:hAnsi="Arial" w:cs="Arial"/>
          <w:color w:val="000000" w:themeColor="text1"/>
          <w:sz w:val="22"/>
          <w:szCs w:val="22"/>
        </w:rPr>
        <w:t>Bhui</w:t>
      </w:r>
      <w:proofErr w:type="spellEnd"/>
      <w:r w:rsidRPr="00650C77">
        <w:rPr>
          <w:rFonts w:ascii="Arial" w:hAnsi="Arial" w:cs="Arial"/>
          <w:color w:val="000000" w:themeColor="text1"/>
          <w:sz w:val="22"/>
          <w:szCs w:val="22"/>
        </w:rPr>
        <w:t xml:space="preserve">, K., Byrne, P. and Chakraborty, A. (2022) ‘Ethnic inequalities in mental health detention in England’, </w:t>
      </w:r>
      <w:r w:rsidRPr="00650C77">
        <w:rPr>
          <w:rStyle w:val="Emphasis"/>
          <w:rFonts w:ascii="Arial" w:eastAsiaTheme="majorEastAsia" w:hAnsi="Arial" w:cs="Arial"/>
          <w:color w:val="000000" w:themeColor="text1"/>
          <w:sz w:val="22"/>
          <w:szCs w:val="22"/>
        </w:rPr>
        <w:t>British Journal of Psychiatry</w:t>
      </w:r>
      <w:r w:rsidRPr="00650C77">
        <w:rPr>
          <w:rFonts w:ascii="Arial" w:hAnsi="Arial" w:cs="Arial"/>
          <w:color w:val="000000" w:themeColor="text1"/>
          <w:sz w:val="22"/>
          <w:szCs w:val="22"/>
        </w:rPr>
        <w:t>, 220(3), pp. 113–120.</w:t>
      </w:r>
    </w:p>
    <w:p w14:paraId="4C1441B0"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Birchwood, M., Todd, P. and Jackson, C. (2000) ‘Early intervention in psychosis: The critical period hypothesis’, </w:t>
      </w:r>
      <w:r w:rsidRPr="00650C77">
        <w:rPr>
          <w:rStyle w:val="Emphasis"/>
          <w:rFonts w:ascii="Arial" w:eastAsiaTheme="majorEastAsia" w:hAnsi="Arial" w:cs="Arial"/>
          <w:color w:val="000000" w:themeColor="text1"/>
          <w:sz w:val="22"/>
          <w:szCs w:val="22"/>
        </w:rPr>
        <w:t>British Journal of Psychiatry</w:t>
      </w:r>
      <w:r w:rsidRPr="00650C77">
        <w:rPr>
          <w:rFonts w:ascii="Arial" w:hAnsi="Arial" w:cs="Arial"/>
          <w:color w:val="000000" w:themeColor="text1"/>
          <w:sz w:val="22"/>
          <w:szCs w:val="22"/>
        </w:rPr>
        <w:t>, 177(1), pp. 53–59.</w:t>
      </w:r>
    </w:p>
    <w:p w14:paraId="4028E34A"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Blakeslee, S. (2018) ‘The CRAAP test’, </w:t>
      </w:r>
      <w:r w:rsidRPr="00650C77">
        <w:rPr>
          <w:rStyle w:val="Emphasis"/>
          <w:rFonts w:ascii="Arial" w:eastAsiaTheme="majorEastAsia" w:hAnsi="Arial" w:cs="Arial"/>
          <w:color w:val="000000" w:themeColor="text1"/>
          <w:sz w:val="22"/>
          <w:szCs w:val="22"/>
        </w:rPr>
        <w:t>Journal of Academic Research</w:t>
      </w:r>
      <w:r w:rsidRPr="00650C77">
        <w:rPr>
          <w:rFonts w:ascii="Arial" w:hAnsi="Arial" w:cs="Arial"/>
          <w:color w:val="000000" w:themeColor="text1"/>
          <w:sz w:val="22"/>
          <w:szCs w:val="22"/>
        </w:rPr>
        <w:t>, 22(3), pp. 45–49.</w:t>
      </w:r>
    </w:p>
    <w:p w14:paraId="7BA46C5D"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Booth, A., Sutton, A. and Papaioannou, D. (2021) </w:t>
      </w:r>
      <w:r w:rsidRPr="00650C77">
        <w:rPr>
          <w:rStyle w:val="Emphasis"/>
          <w:rFonts w:ascii="Arial" w:eastAsiaTheme="majorEastAsia" w:hAnsi="Arial" w:cs="Arial"/>
          <w:color w:val="000000" w:themeColor="text1"/>
          <w:sz w:val="22"/>
          <w:szCs w:val="22"/>
        </w:rPr>
        <w:t>Systematic approaches to a successful literature review</w:t>
      </w:r>
      <w:r w:rsidRPr="00650C77">
        <w:rPr>
          <w:rFonts w:ascii="Arial" w:hAnsi="Arial" w:cs="Arial"/>
          <w:color w:val="000000" w:themeColor="text1"/>
          <w:sz w:val="22"/>
          <w:szCs w:val="22"/>
        </w:rPr>
        <w:t xml:space="preserve">. 3rd </w:t>
      </w:r>
      <w:proofErr w:type="spellStart"/>
      <w:r w:rsidRPr="00650C77">
        <w:rPr>
          <w:rFonts w:ascii="Arial" w:hAnsi="Arial" w:cs="Arial"/>
          <w:color w:val="000000" w:themeColor="text1"/>
          <w:sz w:val="22"/>
          <w:szCs w:val="22"/>
        </w:rPr>
        <w:t>edn</w:t>
      </w:r>
      <w:proofErr w:type="spellEnd"/>
      <w:r w:rsidRPr="00650C77">
        <w:rPr>
          <w:rFonts w:ascii="Arial" w:hAnsi="Arial" w:cs="Arial"/>
          <w:color w:val="000000" w:themeColor="text1"/>
          <w:sz w:val="22"/>
          <w:szCs w:val="22"/>
        </w:rPr>
        <w:t>. London: Sage.</w:t>
      </w:r>
    </w:p>
    <w:p w14:paraId="6DDE2DDC"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Braun, V. and Clarke, V. (2019) ‘Reflecting on reflexive thematic analysis’, </w:t>
      </w:r>
      <w:r w:rsidRPr="00650C77">
        <w:rPr>
          <w:rStyle w:val="Emphasis"/>
          <w:rFonts w:ascii="Arial" w:eastAsiaTheme="majorEastAsia" w:hAnsi="Arial" w:cs="Arial"/>
          <w:color w:val="000000" w:themeColor="text1"/>
          <w:sz w:val="22"/>
          <w:szCs w:val="22"/>
        </w:rPr>
        <w:t>Qualitative Research in Sport, Exercise and Health</w:t>
      </w:r>
      <w:r w:rsidRPr="00650C77">
        <w:rPr>
          <w:rFonts w:ascii="Arial" w:hAnsi="Arial" w:cs="Arial"/>
          <w:color w:val="000000" w:themeColor="text1"/>
          <w:sz w:val="22"/>
          <w:szCs w:val="22"/>
        </w:rPr>
        <w:t>, 11(4), pp. 589–597.</w:t>
      </w:r>
    </w:p>
    <w:p w14:paraId="7F923758"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Burbach, F. (2018) </w:t>
      </w:r>
      <w:r w:rsidRPr="00650C77">
        <w:rPr>
          <w:rStyle w:val="Emphasis"/>
          <w:rFonts w:ascii="Arial" w:eastAsiaTheme="majorEastAsia" w:hAnsi="Arial" w:cs="Arial"/>
          <w:color w:val="000000" w:themeColor="text1"/>
          <w:sz w:val="22"/>
          <w:szCs w:val="22"/>
        </w:rPr>
        <w:t>Recovery-oriented mental health practice</w:t>
      </w:r>
      <w:r w:rsidRPr="00650C77">
        <w:rPr>
          <w:rFonts w:ascii="Arial" w:hAnsi="Arial" w:cs="Arial"/>
          <w:color w:val="000000" w:themeColor="text1"/>
          <w:sz w:val="22"/>
          <w:szCs w:val="22"/>
        </w:rPr>
        <w:t>. London: Palgrave Macmillan.</w:t>
      </w:r>
    </w:p>
    <w:p w14:paraId="276236DD"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Care Quality Commission (2023) </w:t>
      </w:r>
      <w:r w:rsidRPr="00650C77">
        <w:rPr>
          <w:rStyle w:val="Emphasis"/>
          <w:rFonts w:ascii="Arial" w:eastAsiaTheme="majorEastAsia" w:hAnsi="Arial" w:cs="Arial"/>
          <w:color w:val="000000" w:themeColor="text1"/>
          <w:sz w:val="22"/>
          <w:szCs w:val="22"/>
        </w:rPr>
        <w:t>Mental health services annual report</w:t>
      </w:r>
      <w:r w:rsidRPr="00650C77">
        <w:rPr>
          <w:rFonts w:ascii="Arial" w:hAnsi="Arial" w:cs="Arial"/>
          <w:color w:val="000000" w:themeColor="text1"/>
          <w:sz w:val="22"/>
          <w:szCs w:val="22"/>
        </w:rPr>
        <w:t xml:space="preserve">. Available at: </w:t>
      </w:r>
      <w:hyperlink r:id="rId17" w:tgtFrame="_new" w:history="1">
        <w:r w:rsidRPr="00650C77">
          <w:rPr>
            <w:rStyle w:val="Hyperlink"/>
            <w:rFonts w:ascii="Arial" w:eastAsiaTheme="majorEastAsia" w:hAnsi="Arial" w:cs="Arial"/>
            <w:color w:val="000000" w:themeColor="text1"/>
            <w:sz w:val="22"/>
            <w:szCs w:val="22"/>
            <w:u w:val="none"/>
          </w:rPr>
          <w:t>https://www.cqc.org.uk/publications/mental-health-services-annual-report</w:t>
        </w:r>
      </w:hyperlink>
      <w:r w:rsidRPr="00650C77">
        <w:rPr>
          <w:rFonts w:ascii="Arial" w:hAnsi="Arial" w:cs="Arial"/>
          <w:color w:val="000000" w:themeColor="text1"/>
          <w:sz w:val="22"/>
          <w:szCs w:val="22"/>
        </w:rPr>
        <w:t xml:space="preserve"> (Accessed: 12 January 2026).</w:t>
      </w:r>
    </w:p>
    <w:p w14:paraId="7DDF748E"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lastRenderedPageBreak/>
        <w:t xml:space="preserve">Care Quality Commission (2024) </w:t>
      </w:r>
      <w:r w:rsidRPr="00650C77">
        <w:rPr>
          <w:rStyle w:val="Emphasis"/>
          <w:rFonts w:ascii="Arial" w:eastAsiaTheme="majorEastAsia" w:hAnsi="Arial" w:cs="Arial"/>
          <w:color w:val="000000" w:themeColor="text1"/>
          <w:sz w:val="22"/>
          <w:szCs w:val="22"/>
        </w:rPr>
        <w:t>Monitoring the Mental Health Act 2023/24</w:t>
      </w:r>
      <w:r w:rsidRPr="00650C77">
        <w:rPr>
          <w:rFonts w:ascii="Arial" w:hAnsi="Arial" w:cs="Arial"/>
          <w:color w:val="000000" w:themeColor="text1"/>
          <w:sz w:val="22"/>
          <w:szCs w:val="22"/>
        </w:rPr>
        <w:t xml:space="preserve">. Available at: </w:t>
      </w:r>
      <w:hyperlink r:id="rId18" w:tgtFrame="_new" w:history="1">
        <w:r w:rsidRPr="00650C77">
          <w:rPr>
            <w:rStyle w:val="Hyperlink"/>
            <w:rFonts w:ascii="Arial" w:eastAsiaTheme="majorEastAsia" w:hAnsi="Arial" w:cs="Arial"/>
            <w:color w:val="000000" w:themeColor="text1"/>
            <w:sz w:val="22"/>
            <w:szCs w:val="22"/>
            <w:u w:val="none"/>
          </w:rPr>
          <w:t>https://www.cqc.org.uk/publications/mental-health-act-monitoring</w:t>
        </w:r>
      </w:hyperlink>
      <w:r w:rsidRPr="00650C77">
        <w:rPr>
          <w:rFonts w:ascii="Arial" w:hAnsi="Arial" w:cs="Arial"/>
          <w:color w:val="000000" w:themeColor="text1"/>
          <w:sz w:val="22"/>
          <w:szCs w:val="22"/>
        </w:rPr>
        <w:t xml:space="preserve"> (Accessed: 12 January 2026).</w:t>
      </w:r>
    </w:p>
    <w:p w14:paraId="2953135B" w14:textId="11F1752D" w:rsidR="00956E50" w:rsidRPr="00650C77" w:rsidRDefault="00956E50" w:rsidP="00956E5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roofErr w:type="spellStart"/>
      <w:r w:rsidRPr="00650C77">
        <w:rPr>
          <w:rFonts w:ascii="Arial" w:eastAsia="Times New Roman" w:hAnsi="Arial" w:cs="Arial"/>
          <w:color w:val="000000" w:themeColor="text1"/>
          <w:kern w:val="0"/>
          <w:lang w:eastAsia="en-GB"/>
          <w14:ligatures w14:val="none"/>
        </w:rPr>
        <w:t>Checkland</w:t>
      </w:r>
      <w:proofErr w:type="spellEnd"/>
      <w:r w:rsidRPr="00650C77">
        <w:rPr>
          <w:rFonts w:ascii="Arial" w:eastAsia="Times New Roman" w:hAnsi="Arial" w:cs="Arial"/>
          <w:color w:val="000000" w:themeColor="text1"/>
          <w:kern w:val="0"/>
          <w:lang w:eastAsia="en-GB"/>
          <w14:ligatures w14:val="none"/>
        </w:rPr>
        <w:t xml:space="preserve">, P. (1981) </w:t>
      </w:r>
      <w:r w:rsidRPr="00650C77">
        <w:rPr>
          <w:rFonts w:ascii="Arial" w:eastAsia="Times New Roman" w:hAnsi="Arial" w:cs="Arial"/>
          <w:i/>
          <w:iCs/>
          <w:color w:val="000000" w:themeColor="text1"/>
          <w:kern w:val="0"/>
          <w:lang w:eastAsia="en-GB"/>
          <w14:ligatures w14:val="none"/>
        </w:rPr>
        <w:t>Systems thinking, systems practice</w:t>
      </w:r>
      <w:r w:rsidRPr="00650C77">
        <w:rPr>
          <w:rFonts w:ascii="Arial" w:eastAsia="Times New Roman" w:hAnsi="Arial" w:cs="Arial"/>
          <w:color w:val="000000" w:themeColor="text1"/>
          <w:kern w:val="0"/>
          <w:lang w:eastAsia="en-GB"/>
          <w14:ligatures w14:val="none"/>
        </w:rPr>
        <w:t>. Chichester: Wiley.</w:t>
      </w:r>
    </w:p>
    <w:p w14:paraId="0087553D"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Conneely, M., Phillips, J. and Green, S. (2025) ‘Inequalities in access to schizophrenia services in England’, </w:t>
      </w:r>
      <w:r w:rsidRPr="00650C77">
        <w:rPr>
          <w:rStyle w:val="Emphasis"/>
          <w:rFonts w:ascii="Arial" w:eastAsiaTheme="majorEastAsia" w:hAnsi="Arial" w:cs="Arial"/>
          <w:color w:val="000000" w:themeColor="text1"/>
          <w:sz w:val="22"/>
          <w:szCs w:val="22"/>
        </w:rPr>
        <w:t>Journal of Mental Health Policy</w:t>
      </w:r>
      <w:r w:rsidRPr="00650C77">
        <w:rPr>
          <w:rFonts w:ascii="Arial" w:hAnsi="Arial" w:cs="Arial"/>
          <w:color w:val="000000" w:themeColor="text1"/>
          <w:sz w:val="22"/>
          <w:szCs w:val="22"/>
        </w:rPr>
        <w:t>, 28(1), pp. 34–46.</w:t>
      </w:r>
    </w:p>
    <w:p w14:paraId="62DDBD21" w14:textId="77777777" w:rsidR="007401FA" w:rsidRPr="00650C77" w:rsidRDefault="007401FA" w:rsidP="007401FA">
      <w:pPr>
        <w:pStyle w:val="NormalWeb"/>
        <w:spacing w:line="360" w:lineRule="auto"/>
        <w:jc w:val="both"/>
        <w:rPr>
          <w:rFonts w:ascii="Arial" w:hAnsi="Arial" w:cs="Arial"/>
          <w:color w:val="000000" w:themeColor="text1"/>
          <w:sz w:val="22"/>
          <w:szCs w:val="22"/>
        </w:rPr>
      </w:pPr>
      <w:proofErr w:type="spellStart"/>
      <w:r w:rsidRPr="00650C77">
        <w:rPr>
          <w:rFonts w:ascii="Arial" w:hAnsi="Arial" w:cs="Arial"/>
          <w:color w:val="000000" w:themeColor="text1"/>
          <w:sz w:val="22"/>
          <w:szCs w:val="22"/>
        </w:rPr>
        <w:t>Delespaul</w:t>
      </w:r>
      <w:proofErr w:type="spellEnd"/>
      <w:r w:rsidRPr="00650C77">
        <w:rPr>
          <w:rFonts w:ascii="Arial" w:hAnsi="Arial" w:cs="Arial"/>
          <w:color w:val="000000" w:themeColor="text1"/>
          <w:sz w:val="22"/>
          <w:szCs w:val="22"/>
        </w:rPr>
        <w:t xml:space="preserve">, P., de Jong, J. and van Veldhuizen, J. (2021) ‘Flexible Assertive Community Treatment: Evidence and outcomes’, </w:t>
      </w:r>
      <w:r w:rsidRPr="00650C77">
        <w:rPr>
          <w:rStyle w:val="Emphasis"/>
          <w:rFonts w:ascii="Arial" w:eastAsiaTheme="majorEastAsia" w:hAnsi="Arial" w:cs="Arial"/>
          <w:color w:val="000000" w:themeColor="text1"/>
          <w:sz w:val="22"/>
          <w:szCs w:val="22"/>
        </w:rPr>
        <w:t>Community Mental Health Journal</w:t>
      </w:r>
      <w:r w:rsidRPr="00650C77">
        <w:rPr>
          <w:rFonts w:ascii="Arial" w:hAnsi="Arial" w:cs="Arial"/>
          <w:color w:val="000000" w:themeColor="text1"/>
          <w:sz w:val="22"/>
          <w:szCs w:val="22"/>
        </w:rPr>
        <w:t>, 57(5), pp. 893–902.</w:t>
      </w:r>
    </w:p>
    <w:p w14:paraId="6FAD8F20"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Department of Health (1999) </w:t>
      </w:r>
      <w:r w:rsidRPr="00650C77">
        <w:rPr>
          <w:rStyle w:val="Emphasis"/>
          <w:rFonts w:ascii="Arial" w:eastAsiaTheme="majorEastAsia" w:hAnsi="Arial" w:cs="Arial"/>
          <w:color w:val="000000" w:themeColor="text1"/>
          <w:sz w:val="22"/>
          <w:szCs w:val="22"/>
        </w:rPr>
        <w:t>Effective care co-ordination in mental health services: The Care Programme Approach</w:t>
      </w:r>
      <w:r w:rsidRPr="00650C77">
        <w:rPr>
          <w:rFonts w:ascii="Arial" w:hAnsi="Arial" w:cs="Arial"/>
          <w:color w:val="000000" w:themeColor="text1"/>
          <w:sz w:val="22"/>
          <w:szCs w:val="22"/>
        </w:rPr>
        <w:t xml:space="preserve">. Available at: </w:t>
      </w:r>
      <w:hyperlink r:id="rId19" w:tgtFrame="_new" w:history="1">
        <w:r w:rsidRPr="00650C77">
          <w:rPr>
            <w:rStyle w:val="Hyperlink"/>
            <w:rFonts w:ascii="Arial" w:eastAsiaTheme="majorEastAsia" w:hAnsi="Arial" w:cs="Arial"/>
            <w:color w:val="000000" w:themeColor="text1"/>
            <w:sz w:val="22"/>
            <w:szCs w:val="22"/>
            <w:u w:val="none"/>
          </w:rPr>
          <w:t>https://www.gov.uk/government/publications/care-programme-approach</w:t>
        </w:r>
      </w:hyperlink>
      <w:r w:rsidRPr="00650C77">
        <w:rPr>
          <w:rFonts w:ascii="Arial" w:hAnsi="Arial" w:cs="Arial"/>
          <w:color w:val="000000" w:themeColor="text1"/>
          <w:sz w:val="22"/>
          <w:szCs w:val="22"/>
        </w:rPr>
        <w:t xml:space="preserve"> (Accessed: 12 January 2026).</w:t>
      </w:r>
    </w:p>
    <w:p w14:paraId="7058B8C1"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Department of Health and Social Care (2023) </w:t>
      </w:r>
      <w:r w:rsidRPr="00650C77">
        <w:rPr>
          <w:rStyle w:val="Emphasis"/>
          <w:rFonts w:ascii="Arial" w:eastAsiaTheme="majorEastAsia" w:hAnsi="Arial" w:cs="Arial"/>
          <w:color w:val="000000" w:themeColor="text1"/>
          <w:sz w:val="22"/>
          <w:szCs w:val="22"/>
        </w:rPr>
        <w:t>Mental Health Act statistics, England</w:t>
      </w:r>
      <w:r w:rsidRPr="00650C77">
        <w:rPr>
          <w:rFonts w:ascii="Arial" w:hAnsi="Arial" w:cs="Arial"/>
          <w:color w:val="000000" w:themeColor="text1"/>
          <w:sz w:val="22"/>
          <w:szCs w:val="22"/>
        </w:rPr>
        <w:t xml:space="preserve">. Available at: </w:t>
      </w:r>
      <w:hyperlink r:id="rId20" w:tgtFrame="_new" w:history="1">
        <w:r w:rsidRPr="00650C77">
          <w:rPr>
            <w:rStyle w:val="Hyperlink"/>
            <w:rFonts w:ascii="Arial" w:eastAsiaTheme="majorEastAsia" w:hAnsi="Arial" w:cs="Arial"/>
            <w:color w:val="000000" w:themeColor="text1"/>
            <w:sz w:val="22"/>
            <w:szCs w:val="22"/>
            <w:u w:val="none"/>
          </w:rPr>
          <w:t>https://www.gov.uk/government/statistics/mental-health-act-statistics-england</w:t>
        </w:r>
      </w:hyperlink>
      <w:r w:rsidRPr="00650C77">
        <w:rPr>
          <w:rFonts w:ascii="Arial" w:hAnsi="Arial" w:cs="Arial"/>
          <w:color w:val="000000" w:themeColor="text1"/>
          <w:sz w:val="22"/>
          <w:szCs w:val="22"/>
        </w:rPr>
        <w:t xml:space="preserve"> (Accessed: 12 January 2026).</w:t>
      </w:r>
    </w:p>
    <w:p w14:paraId="16B4C751"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Department of Health and Social Care (2025) </w:t>
      </w:r>
      <w:r w:rsidRPr="00650C77">
        <w:rPr>
          <w:rStyle w:val="Emphasis"/>
          <w:rFonts w:ascii="Arial" w:eastAsiaTheme="majorEastAsia" w:hAnsi="Arial" w:cs="Arial"/>
          <w:color w:val="000000" w:themeColor="text1"/>
          <w:sz w:val="22"/>
          <w:szCs w:val="22"/>
        </w:rPr>
        <w:t>Mental Health Act reform: Implementation update</w:t>
      </w:r>
      <w:r w:rsidRPr="00650C77">
        <w:rPr>
          <w:rFonts w:ascii="Arial" w:hAnsi="Arial" w:cs="Arial"/>
          <w:color w:val="000000" w:themeColor="text1"/>
          <w:sz w:val="22"/>
          <w:szCs w:val="22"/>
        </w:rPr>
        <w:t xml:space="preserve">. Available at: </w:t>
      </w:r>
      <w:hyperlink r:id="rId21" w:tgtFrame="_new" w:history="1">
        <w:r w:rsidRPr="00650C77">
          <w:rPr>
            <w:rStyle w:val="Hyperlink"/>
            <w:rFonts w:ascii="Arial" w:eastAsiaTheme="majorEastAsia" w:hAnsi="Arial" w:cs="Arial"/>
            <w:color w:val="000000" w:themeColor="text1"/>
            <w:sz w:val="22"/>
            <w:szCs w:val="22"/>
            <w:u w:val="none"/>
          </w:rPr>
          <w:t>https://www.gov.uk/government/publications/mental-health-act-reform</w:t>
        </w:r>
      </w:hyperlink>
      <w:r w:rsidRPr="00650C77">
        <w:rPr>
          <w:rFonts w:ascii="Arial" w:hAnsi="Arial" w:cs="Arial"/>
          <w:color w:val="000000" w:themeColor="text1"/>
          <w:sz w:val="22"/>
          <w:szCs w:val="22"/>
        </w:rPr>
        <w:t xml:space="preserve"> (Accessed: 12 January 2026).</w:t>
      </w:r>
    </w:p>
    <w:p w14:paraId="304F2400"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Engel, G.L. (1977) ‘The need for a new medical model: A challenge for biomedicine’, </w:t>
      </w:r>
      <w:r w:rsidRPr="00650C77">
        <w:rPr>
          <w:rStyle w:val="Emphasis"/>
          <w:rFonts w:ascii="Arial" w:eastAsiaTheme="majorEastAsia" w:hAnsi="Arial" w:cs="Arial"/>
          <w:color w:val="000000" w:themeColor="text1"/>
          <w:sz w:val="22"/>
          <w:szCs w:val="22"/>
        </w:rPr>
        <w:t>Science</w:t>
      </w:r>
      <w:r w:rsidRPr="00650C77">
        <w:rPr>
          <w:rFonts w:ascii="Arial" w:hAnsi="Arial" w:cs="Arial"/>
          <w:color w:val="000000" w:themeColor="text1"/>
          <w:sz w:val="22"/>
          <w:szCs w:val="22"/>
        </w:rPr>
        <w:t>, 196(4286), pp. 129–136.</w:t>
      </w:r>
    </w:p>
    <w:p w14:paraId="6724E8F7"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Godin, P. (2006) ‘Community care and mental health reform in England’, </w:t>
      </w:r>
      <w:r w:rsidRPr="00650C77">
        <w:rPr>
          <w:rStyle w:val="Emphasis"/>
          <w:rFonts w:ascii="Arial" w:eastAsiaTheme="majorEastAsia" w:hAnsi="Arial" w:cs="Arial"/>
          <w:color w:val="000000" w:themeColor="text1"/>
          <w:sz w:val="22"/>
          <w:szCs w:val="22"/>
        </w:rPr>
        <w:t>Health &amp; Social Care in the Community</w:t>
      </w:r>
      <w:r w:rsidRPr="00650C77">
        <w:rPr>
          <w:rFonts w:ascii="Arial" w:hAnsi="Arial" w:cs="Arial"/>
          <w:color w:val="000000" w:themeColor="text1"/>
          <w:sz w:val="22"/>
          <w:szCs w:val="22"/>
        </w:rPr>
        <w:t>, 14(6), pp. 509–517.</w:t>
      </w:r>
    </w:p>
    <w:p w14:paraId="0E0A4B30"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Goering, P., Veldhuizen, S. and Watson, A. (2014) ‘National outcomes of Housing First for people with mental illness’, </w:t>
      </w:r>
      <w:r w:rsidRPr="00650C77">
        <w:rPr>
          <w:rStyle w:val="Emphasis"/>
          <w:rFonts w:ascii="Arial" w:eastAsiaTheme="majorEastAsia" w:hAnsi="Arial" w:cs="Arial"/>
          <w:color w:val="000000" w:themeColor="text1"/>
          <w:sz w:val="22"/>
          <w:szCs w:val="22"/>
        </w:rPr>
        <w:t>American Journal of Public Health</w:t>
      </w:r>
      <w:r w:rsidRPr="00650C77">
        <w:rPr>
          <w:rFonts w:ascii="Arial" w:hAnsi="Arial" w:cs="Arial"/>
          <w:color w:val="000000" w:themeColor="text1"/>
          <w:sz w:val="22"/>
          <w:szCs w:val="22"/>
        </w:rPr>
        <w:t>, 104(4), pp. 675–682.</w:t>
      </w:r>
    </w:p>
    <w:p w14:paraId="76B2E588" w14:textId="48FBD4BD" w:rsidR="00956E50" w:rsidRPr="00650C77" w:rsidRDefault="00956E50" w:rsidP="00956E5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Haddock, G. et al. (2020) ‘</w:t>
      </w:r>
      <w:proofErr w:type="spellStart"/>
      <w:r w:rsidRPr="00650C77">
        <w:rPr>
          <w:rFonts w:ascii="Arial" w:eastAsia="Times New Roman" w:hAnsi="Arial" w:cs="Arial"/>
          <w:color w:val="000000" w:themeColor="text1"/>
          <w:kern w:val="0"/>
          <w:lang w:eastAsia="en-GB"/>
          <w14:ligatures w14:val="none"/>
        </w:rPr>
        <w:t>CBTp</w:t>
      </w:r>
      <w:proofErr w:type="spellEnd"/>
      <w:r w:rsidRPr="00650C77">
        <w:rPr>
          <w:rFonts w:ascii="Arial" w:eastAsia="Times New Roman" w:hAnsi="Arial" w:cs="Arial"/>
          <w:color w:val="000000" w:themeColor="text1"/>
          <w:kern w:val="0"/>
          <w:lang w:eastAsia="en-GB"/>
          <w14:ligatures w14:val="none"/>
        </w:rPr>
        <w:t xml:space="preserve"> implementation in the NHS’, </w:t>
      </w:r>
      <w:r w:rsidRPr="00650C77">
        <w:rPr>
          <w:rFonts w:ascii="Arial" w:eastAsia="Times New Roman" w:hAnsi="Arial" w:cs="Arial"/>
          <w:i/>
          <w:iCs/>
          <w:color w:val="000000" w:themeColor="text1"/>
          <w:kern w:val="0"/>
          <w:lang w:eastAsia="en-GB"/>
          <w14:ligatures w14:val="none"/>
        </w:rPr>
        <w:t>Behavioural and Cognitive Psychotherapy</w:t>
      </w:r>
      <w:r w:rsidRPr="00650C77">
        <w:rPr>
          <w:rFonts w:ascii="Arial" w:eastAsia="Times New Roman" w:hAnsi="Arial" w:cs="Arial"/>
          <w:color w:val="000000" w:themeColor="text1"/>
          <w:kern w:val="0"/>
          <w:lang w:eastAsia="en-GB"/>
          <w14:ligatures w14:val="none"/>
        </w:rPr>
        <w:t>, 48(5), pp. 521–536.</w:t>
      </w:r>
    </w:p>
    <w:p w14:paraId="3BF322CA"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Jones, K. (2010) </w:t>
      </w:r>
      <w:r w:rsidRPr="00650C77">
        <w:rPr>
          <w:rStyle w:val="Emphasis"/>
          <w:rFonts w:ascii="Arial" w:eastAsiaTheme="majorEastAsia" w:hAnsi="Arial" w:cs="Arial"/>
          <w:color w:val="000000" w:themeColor="text1"/>
          <w:sz w:val="22"/>
          <w:szCs w:val="22"/>
        </w:rPr>
        <w:t>Asylums and after: A revised history of the mental health services</w:t>
      </w:r>
      <w:r w:rsidRPr="00650C77">
        <w:rPr>
          <w:rFonts w:ascii="Arial" w:hAnsi="Arial" w:cs="Arial"/>
          <w:color w:val="000000" w:themeColor="text1"/>
          <w:sz w:val="22"/>
          <w:szCs w:val="22"/>
        </w:rPr>
        <w:t>. London: Athlone Press.</w:t>
      </w:r>
    </w:p>
    <w:p w14:paraId="798A7B9E"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lastRenderedPageBreak/>
        <w:t xml:space="preserve">Jovanović, N., </w:t>
      </w:r>
      <w:proofErr w:type="spellStart"/>
      <w:r w:rsidRPr="00650C77">
        <w:rPr>
          <w:rFonts w:ascii="Arial" w:hAnsi="Arial" w:cs="Arial"/>
          <w:color w:val="000000" w:themeColor="text1"/>
          <w:sz w:val="22"/>
          <w:szCs w:val="22"/>
        </w:rPr>
        <w:t>Killaspy</w:t>
      </w:r>
      <w:proofErr w:type="spellEnd"/>
      <w:r w:rsidRPr="00650C77">
        <w:rPr>
          <w:rFonts w:ascii="Arial" w:hAnsi="Arial" w:cs="Arial"/>
          <w:color w:val="000000" w:themeColor="text1"/>
          <w:sz w:val="22"/>
          <w:szCs w:val="22"/>
        </w:rPr>
        <w:t xml:space="preserve">, H. and Priebe, S. (2025) ‘Gender inequalities in schizophrenia diagnosis and care’, </w:t>
      </w:r>
      <w:r w:rsidRPr="00650C77">
        <w:rPr>
          <w:rStyle w:val="Emphasis"/>
          <w:rFonts w:ascii="Arial" w:eastAsiaTheme="majorEastAsia" w:hAnsi="Arial" w:cs="Arial"/>
          <w:color w:val="000000" w:themeColor="text1"/>
          <w:sz w:val="22"/>
          <w:szCs w:val="22"/>
        </w:rPr>
        <w:t>Social Psychiatry and Psychiatric Epidemiology</w:t>
      </w:r>
      <w:r w:rsidRPr="00650C77">
        <w:rPr>
          <w:rFonts w:ascii="Arial" w:hAnsi="Arial" w:cs="Arial"/>
          <w:color w:val="000000" w:themeColor="text1"/>
          <w:sz w:val="22"/>
          <w:szCs w:val="22"/>
        </w:rPr>
        <w:t>, 60(2), pp. 189–198.</w:t>
      </w:r>
    </w:p>
    <w:p w14:paraId="50B54D3D"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Keating, F. (2023) </w:t>
      </w:r>
      <w:r w:rsidRPr="00650C77">
        <w:rPr>
          <w:rStyle w:val="Emphasis"/>
          <w:rFonts w:ascii="Arial" w:eastAsiaTheme="majorEastAsia" w:hAnsi="Arial" w:cs="Arial"/>
          <w:color w:val="000000" w:themeColor="text1"/>
          <w:sz w:val="22"/>
          <w:szCs w:val="22"/>
        </w:rPr>
        <w:t>Intersectionality and mental health inequalities</w:t>
      </w:r>
      <w:r w:rsidRPr="00650C77">
        <w:rPr>
          <w:rFonts w:ascii="Arial" w:hAnsi="Arial" w:cs="Arial"/>
          <w:color w:val="000000" w:themeColor="text1"/>
          <w:sz w:val="22"/>
          <w:szCs w:val="22"/>
        </w:rPr>
        <w:t>. London: Jessica Kingsley Publishers.</w:t>
      </w:r>
    </w:p>
    <w:p w14:paraId="56610C47"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King’s Fund (2022) </w:t>
      </w:r>
      <w:r w:rsidRPr="00650C77">
        <w:rPr>
          <w:rStyle w:val="Emphasis"/>
          <w:rFonts w:ascii="Arial" w:eastAsiaTheme="majorEastAsia" w:hAnsi="Arial" w:cs="Arial"/>
          <w:color w:val="000000" w:themeColor="text1"/>
          <w:sz w:val="22"/>
          <w:szCs w:val="22"/>
        </w:rPr>
        <w:t>Integrated care systems explained</w:t>
      </w:r>
      <w:r w:rsidRPr="00650C77">
        <w:rPr>
          <w:rFonts w:ascii="Arial" w:hAnsi="Arial" w:cs="Arial"/>
          <w:color w:val="000000" w:themeColor="text1"/>
          <w:sz w:val="22"/>
          <w:szCs w:val="22"/>
        </w:rPr>
        <w:t xml:space="preserve">. Available at: </w:t>
      </w:r>
      <w:hyperlink r:id="rId22" w:tgtFrame="_new" w:history="1">
        <w:r w:rsidRPr="00650C77">
          <w:rPr>
            <w:rStyle w:val="Hyperlink"/>
            <w:rFonts w:ascii="Arial" w:eastAsiaTheme="majorEastAsia" w:hAnsi="Arial" w:cs="Arial"/>
            <w:color w:val="000000" w:themeColor="text1"/>
            <w:sz w:val="22"/>
            <w:szCs w:val="22"/>
            <w:u w:val="none"/>
          </w:rPr>
          <w:t>https://www.kingsfund.org.uk/insight-and-analysis/long-reads/integrated-care-systems-explained</w:t>
        </w:r>
      </w:hyperlink>
      <w:r w:rsidRPr="00650C77">
        <w:rPr>
          <w:rFonts w:ascii="Arial" w:hAnsi="Arial" w:cs="Arial"/>
          <w:color w:val="000000" w:themeColor="text1"/>
          <w:sz w:val="22"/>
          <w:szCs w:val="22"/>
        </w:rPr>
        <w:t xml:space="preserve"> (Accessed: 12 January 2026).</w:t>
      </w:r>
    </w:p>
    <w:p w14:paraId="6420E7F1"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Leamy, M., Bird, V., Le Boutillier, C., Williams, J. and Slade, M. (2011) ‘Conceptual framework for personal recovery in mental health’, </w:t>
      </w:r>
      <w:r w:rsidRPr="00650C77">
        <w:rPr>
          <w:rStyle w:val="Emphasis"/>
          <w:rFonts w:ascii="Arial" w:eastAsiaTheme="majorEastAsia" w:hAnsi="Arial" w:cs="Arial"/>
          <w:color w:val="000000" w:themeColor="text1"/>
          <w:sz w:val="22"/>
          <w:szCs w:val="22"/>
        </w:rPr>
        <w:t>British Journal of Psychiatry</w:t>
      </w:r>
      <w:r w:rsidRPr="00650C77">
        <w:rPr>
          <w:rFonts w:ascii="Arial" w:hAnsi="Arial" w:cs="Arial"/>
          <w:color w:val="000000" w:themeColor="text1"/>
          <w:sz w:val="22"/>
          <w:szCs w:val="22"/>
        </w:rPr>
        <w:t>, 199(6), pp. 445–452.</w:t>
      </w:r>
    </w:p>
    <w:p w14:paraId="5D6EF4D2"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Lester, H. and Glasby, J. (2022) </w:t>
      </w:r>
      <w:r w:rsidRPr="00650C77">
        <w:rPr>
          <w:rStyle w:val="Emphasis"/>
          <w:rFonts w:ascii="Arial" w:eastAsiaTheme="majorEastAsia" w:hAnsi="Arial" w:cs="Arial"/>
          <w:color w:val="000000" w:themeColor="text1"/>
          <w:sz w:val="22"/>
          <w:szCs w:val="22"/>
        </w:rPr>
        <w:t>Mental health policy and practice</w:t>
      </w:r>
      <w:r w:rsidRPr="00650C77">
        <w:rPr>
          <w:rFonts w:ascii="Arial" w:hAnsi="Arial" w:cs="Arial"/>
          <w:color w:val="000000" w:themeColor="text1"/>
          <w:sz w:val="22"/>
          <w:szCs w:val="22"/>
        </w:rPr>
        <w:t xml:space="preserve">. 3rd </w:t>
      </w:r>
      <w:proofErr w:type="spellStart"/>
      <w:r w:rsidRPr="00650C77">
        <w:rPr>
          <w:rFonts w:ascii="Arial" w:hAnsi="Arial" w:cs="Arial"/>
          <w:color w:val="000000" w:themeColor="text1"/>
          <w:sz w:val="22"/>
          <w:szCs w:val="22"/>
        </w:rPr>
        <w:t>edn</w:t>
      </w:r>
      <w:proofErr w:type="spellEnd"/>
      <w:r w:rsidRPr="00650C77">
        <w:rPr>
          <w:rFonts w:ascii="Arial" w:hAnsi="Arial" w:cs="Arial"/>
          <w:color w:val="000000" w:themeColor="text1"/>
          <w:sz w:val="22"/>
          <w:szCs w:val="22"/>
        </w:rPr>
        <w:t>. London: Palgrave.</w:t>
      </w:r>
    </w:p>
    <w:p w14:paraId="04B30831"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Leucht, S., Helfer, B. and Davis, J. (2019) ‘Antipsychotic drugs versus placebo for relapse prevention’, </w:t>
      </w:r>
      <w:r w:rsidRPr="00650C77">
        <w:rPr>
          <w:rStyle w:val="Emphasis"/>
          <w:rFonts w:ascii="Arial" w:eastAsiaTheme="majorEastAsia" w:hAnsi="Arial" w:cs="Arial"/>
          <w:color w:val="000000" w:themeColor="text1"/>
          <w:sz w:val="22"/>
          <w:szCs w:val="22"/>
        </w:rPr>
        <w:t>The Lancet Psychiatry</w:t>
      </w:r>
      <w:r w:rsidRPr="00650C77">
        <w:rPr>
          <w:rFonts w:ascii="Arial" w:hAnsi="Arial" w:cs="Arial"/>
          <w:color w:val="000000" w:themeColor="text1"/>
          <w:sz w:val="22"/>
          <w:szCs w:val="22"/>
        </w:rPr>
        <w:t>, 6(5), pp. 418–428.</w:t>
      </w:r>
    </w:p>
    <w:p w14:paraId="2EE1EAAD" w14:textId="784EC4FF" w:rsidR="00956E50" w:rsidRPr="00650C77" w:rsidRDefault="00956E50" w:rsidP="00956E5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 xml:space="preserve">Marmot, M. et al. (2020) </w:t>
      </w:r>
      <w:r w:rsidRPr="00650C77">
        <w:rPr>
          <w:rFonts w:ascii="Arial" w:eastAsia="Times New Roman" w:hAnsi="Arial" w:cs="Arial"/>
          <w:i/>
          <w:iCs/>
          <w:color w:val="000000" w:themeColor="text1"/>
          <w:kern w:val="0"/>
          <w:lang w:eastAsia="en-GB"/>
          <w14:ligatures w14:val="none"/>
        </w:rPr>
        <w:t>Health equity in England: The Marmot Review 10 years on</w:t>
      </w:r>
      <w:r w:rsidRPr="00650C77">
        <w:rPr>
          <w:rFonts w:ascii="Arial" w:eastAsia="Times New Roman" w:hAnsi="Arial" w:cs="Arial"/>
          <w:color w:val="000000" w:themeColor="text1"/>
          <w:kern w:val="0"/>
          <w:lang w:eastAsia="en-GB"/>
          <w14:ligatures w14:val="none"/>
        </w:rPr>
        <w:t>. London: Institute of Health Equity.</w:t>
      </w:r>
    </w:p>
    <w:p w14:paraId="634DE27E"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McDaid, D., Park, A. and </w:t>
      </w:r>
      <w:proofErr w:type="spellStart"/>
      <w:r w:rsidRPr="00650C77">
        <w:rPr>
          <w:rFonts w:ascii="Arial" w:hAnsi="Arial" w:cs="Arial"/>
          <w:color w:val="000000" w:themeColor="text1"/>
          <w:sz w:val="22"/>
          <w:szCs w:val="22"/>
        </w:rPr>
        <w:t>Wahlbeck</w:t>
      </w:r>
      <w:proofErr w:type="spellEnd"/>
      <w:r w:rsidRPr="00650C77">
        <w:rPr>
          <w:rFonts w:ascii="Arial" w:hAnsi="Arial" w:cs="Arial"/>
          <w:color w:val="000000" w:themeColor="text1"/>
          <w:sz w:val="22"/>
          <w:szCs w:val="22"/>
        </w:rPr>
        <w:t xml:space="preserve">, K. (2023) ‘Digital mental health and inequality post-COVID’, </w:t>
      </w:r>
      <w:r w:rsidRPr="00650C77">
        <w:rPr>
          <w:rStyle w:val="Emphasis"/>
          <w:rFonts w:ascii="Arial" w:eastAsiaTheme="majorEastAsia" w:hAnsi="Arial" w:cs="Arial"/>
          <w:color w:val="000000" w:themeColor="text1"/>
          <w:sz w:val="22"/>
          <w:szCs w:val="22"/>
        </w:rPr>
        <w:t>Health Policy</w:t>
      </w:r>
      <w:r w:rsidRPr="00650C77">
        <w:rPr>
          <w:rFonts w:ascii="Arial" w:hAnsi="Arial" w:cs="Arial"/>
          <w:color w:val="000000" w:themeColor="text1"/>
          <w:sz w:val="22"/>
          <w:szCs w:val="22"/>
        </w:rPr>
        <w:t>, 127(4), pp. 402–410.</w:t>
      </w:r>
    </w:p>
    <w:p w14:paraId="3DF6D96F"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McGorry, P., Edwards, J. and Mihalopoulos, C. (2002) ‘Early intervention services and long-term outcomes’, </w:t>
      </w:r>
      <w:r w:rsidRPr="00650C77">
        <w:rPr>
          <w:rStyle w:val="Emphasis"/>
          <w:rFonts w:ascii="Arial" w:eastAsiaTheme="majorEastAsia" w:hAnsi="Arial" w:cs="Arial"/>
          <w:color w:val="000000" w:themeColor="text1"/>
          <w:sz w:val="22"/>
          <w:szCs w:val="22"/>
        </w:rPr>
        <w:t>Schizophrenia Bulletin</w:t>
      </w:r>
      <w:r w:rsidRPr="00650C77">
        <w:rPr>
          <w:rFonts w:ascii="Arial" w:hAnsi="Arial" w:cs="Arial"/>
          <w:color w:val="000000" w:themeColor="text1"/>
          <w:sz w:val="22"/>
          <w:szCs w:val="22"/>
        </w:rPr>
        <w:t>, 28(4), pp. 563–575.</w:t>
      </w:r>
    </w:p>
    <w:p w14:paraId="4200531D"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Mental Health Foundation (2020) </w:t>
      </w:r>
      <w:r w:rsidRPr="00650C77">
        <w:rPr>
          <w:rStyle w:val="Emphasis"/>
          <w:rFonts w:ascii="Arial" w:eastAsiaTheme="majorEastAsia" w:hAnsi="Arial" w:cs="Arial"/>
          <w:color w:val="000000" w:themeColor="text1"/>
          <w:sz w:val="22"/>
          <w:szCs w:val="22"/>
        </w:rPr>
        <w:t>The impact of austerity on mental health services</w:t>
      </w:r>
      <w:r w:rsidRPr="00650C77">
        <w:rPr>
          <w:rFonts w:ascii="Arial" w:hAnsi="Arial" w:cs="Arial"/>
          <w:color w:val="000000" w:themeColor="text1"/>
          <w:sz w:val="22"/>
          <w:szCs w:val="22"/>
        </w:rPr>
        <w:t xml:space="preserve">. Available at: </w:t>
      </w:r>
      <w:hyperlink r:id="rId23" w:tgtFrame="_new" w:history="1">
        <w:r w:rsidRPr="00650C77">
          <w:rPr>
            <w:rStyle w:val="Hyperlink"/>
            <w:rFonts w:ascii="Arial" w:eastAsiaTheme="majorEastAsia" w:hAnsi="Arial" w:cs="Arial"/>
            <w:color w:val="000000" w:themeColor="text1"/>
            <w:sz w:val="22"/>
            <w:szCs w:val="22"/>
            <w:u w:val="none"/>
          </w:rPr>
          <w:t>https://www.mentalhealth.org.uk/publications/austerity-and-mental-health</w:t>
        </w:r>
      </w:hyperlink>
      <w:r w:rsidRPr="00650C77">
        <w:rPr>
          <w:rFonts w:ascii="Arial" w:hAnsi="Arial" w:cs="Arial"/>
          <w:color w:val="000000" w:themeColor="text1"/>
          <w:sz w:val="22"/>
          <w:szCs w:val="22"/>
        </w:rPr>
        <w:t xml:space="preserve"> (Accessed: 12 January 2026).</w:t>
      </w:r>
    </w:p>
    <w:p w14:paraId="21814692"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Moncrieff, J. and </w:t>
      </w:r>
      <w:proofErr w:type="spellStart"/>
      <w:r w:rsidRPr="00650C77">
        <w:rPr>
          <w:rFonts w:ascii="Arial" w:hAnsi="Arial" w:cs="Arial"/>
          <w:color w:val="000000" w:themeColor="text1"/>
          <w:sz w:val="22"/>
          <w:szCs w:val="22"/>
        </w:rPr>
        <w:t>Timimi</w:t>
      </w:r>
      <w:proofErr w:type="spellEnd"/>
      <w:r w:rsidRPr="00650C77">
        <w:rPr>
          <w:rFonts w:ascii="Arial" w:hAnsi="Arial" w:cs="Arial"/>
          <w:color w:val="000000" w:themeColor="text1"/>
          <w:sz w:val="22"/>
          <w:szCs w:val="22"/>
        </w:rPr>
        <w:t xml:space="preserve">, S. (2020) </w:t>
      </w:r>
      <w:r w:rsidRPr="00650C77">
        <w:rPr>
          <w:rStyle w:val="Emphasis"/>
          <w:rFonts w:ascii="Arial" w:eastAsiaTheme="majorEastAsia" w:hAnsi="Arial" w:cs="Arial"/>
          <w:color w:val="000000" w:themeColor="text1"/>
          <w:sz w:val="22"/>
          <w:szCs w:val="22"/>
        </w:rPr>
        <w:t>Critical psychiatry: Challenging the biomedical model</w:t>
      </w:r>
      <w:r w:rsidRPr="00650C77">
        <w:rPr>
          <w:rFonts w:ascii="Arial" w:hAnsi="Arial" w:cs="Arial"/>
          <w:color w:val="000000" w:themeColor="text1"/>
          <w:sz w:val="22"/>
          <w:szCs w:val="22"/>
        </w:rPr>
        <w:t>. London: Palgrave Macmillan.</w:t>
      </w:r>
    </w:p>
    <w:p w14:paraId="777D0A01" w14:textId="77777777" w:rsidR="007401FA" w:rsidRPr="00650C77" w:rsidRDefault="007401FA" w:rsidP="007401FA">
      <w:pPr>
        <w:pStyle w:val="NormalWeb"/>
        <w:spacing w:line="360" w:lineRule="auto"/>
        <w:jc w:val="both"/>
        <w:rPr>
          <w:rFonts w:ascii="Arial" w:hAnsi="Arial" w:cs="Arial"/>
          <w:color w:val="000000" w:themeColor="text1"/>
          <w:sz w:val="22"/>
          <w:szCs w:val="22"/>
        </w:rPr>
      </w:pPr>
      <w:proofErr w:type="spellStart"/>
      <w:r w:rsidRPr="00650C77">
        <w:rPr>
          <w:rFonts w:ascii="Arial" w:hAnsi="Arial" w:cs="Arial"/>
          <w:color w:val="000000" w:themeColor="text1"/>
          <w:sz w:val="22"/>
          <w:szCs w:val="22"/>
        </w:rPr>
        <w:t>Nazroo</w:t>
      </w:r>
      <w:proofErr w:type="spellEnd"/>
      <w:r w:rsidRPr="00650C77">
        <w:rPr>
          <w:rFonts w:ascii="Arial" w:hAnsi="Arial" w:cs="Arial"/>
          <w:color w:val="000000" w:themeColor="text1"/>
          <w:sz w:val="22"/>
          <w:szCs w:val="22"/>
        </w:rPr>
        <w:t xml:space="preserve">, J., </w:t>
      </w:r>
      <w:proofErr w:type="spellStart"/>
      <w:r w:rsidRPr="00650C77">
        <w:rPr>
          <w:rFonts w:ascii="Arial" w:hAnsi="Arial" w:cs="Arial"/>
          <w:color w:val="000000" w:themeColor="text1"/>
          <w:sz w:val="22"/>
          <w:szCs w:val="22"/>
        </w:rPr>
        <w:t>Bhui</w:t>
      </w:r>
      <w:proofErr w:type="spellEnd"/>
      <w:r w:rsidRPr="00650C77">
        <w:rPr>
          <w:rFonts w:ascii="Arial" w:hAnsi="Arial" w:cs="Arial"/>
          <w:color w:val="000000" w:themeColor="text1"/>
          <w:sz w:val="22"/>
          <w:szCs w:val="22"/>
        </w:rPr>
        <w:t xml:space="preserve">, K. and Rhodes, J. (2019) ‘Structural racism and mental health inequalities’, </w:t>
      </w:r>
      <w:r w:rsidRPr="00650C77">
        <w:rPr>
          <w:rStyle w:val="Emphasis"/>
          <w:rFonts w:ascii="Arial" w:eastAsiaTheme="majorEastAsia" w:hAnsi="Arial" w:cs="Arial"/>
          <w:color w:val="000000" w:themeColor="text1"/>
          <w:sz w:val="22"/>
          <w:szCs w:val="22"/>
        </w:rPr>
        <w:t>Ethnicity &amp; Health</w:t>
      </w:r>
      <w:r w:rsidRPr="00650C77">
        <w:rPr>
          <w:rFonts w:ascii="Arial" w:hAnsi="Arial" w:cs="Arial"/>
          <w:color w:val="000000" w:themeColor="text1"/>
          <w:sz w:val="22"/>
          <w:szCs w:val="22"/>
        </w:rPr>
        <w:t>, 24(1), pp. 1–19.</w:t>
      </w:r>
    </w:p>
    <w:p w14:paraId="12F5C6B2"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NHS Confederation (2023) </w:t>
      </w:r>
      <w:r w:rsidRPr="00650C77">
        <w:rPr>
          <w:rStyle w:val="Emphasis"/>
          <w:rFonts w:ascii="Arial" w:eastAsiaTheme="majorEastAsia" w:hAnsi="Arial" w:cs="Arial"/>
          <w:color w:val="000000" w:themeColor="text1"/>
          <w:sz w:val="22"/>
          <w:szCs w:val="22"/>
        </w:rPr>
        <w:t>Assessing the impact of Integrated Care Systems</w:t>
      </w:r>
      <w:r w:rsidRPr="00650C77">
        <w:rPr>
          <w:rFonts w:ascii="Arial" w:hAnsi="Arial" w:cs="Arial"/>
          <w:color w:val="000000" w:themeColor="text1"/>
          <w:sz w:val="22"/>
          <w:szCs w:val="22"/>
        </w:rPr>
        <w:t xml:space="preserve">. Available at: </w:t>
      </w:r>
      <w:hyperlink r:id="rId24" w:tgtFrame="_new" w:history="1">
        <w:r w:rsidRPr="00650C77">
          <w:rPr>
            <w:rStyle w:val="Hyperlink"/>
            <w:rFonts w:ascii="Arial" w:eastAsiaTheme="majorEastAsia" w:hAnsi="Arial" w:cs="Arial"/>
            <w:color w:val="000000" w:themeColor="text1"/>
            <w:sz w:val="22"/>
            <w:szCs w:val="22"/>
            <w:u w:val="none"/>
          </w:rPr>
          <w:t>https://www.nhsconfed.org/publications/impact-integrated-care-systems</w:t>
        </w:r>
      </w:hyperlink>
      <w:r w:rsidRPr="00650C77">
        <w:rPr>
          <w:rFonts w:ascii="Arial" w:hAnsi="Arial" w:cs="Arial"/>
          <w:color w:val="000000" w:themeColor="text1"/>
          <w:sz w:val="22"/>
          <w:szCs w:val="22"/>
        </w:rPr>
        <w:t xml:space="preserve"> (Accessed: 12 January 2026).</w:t>
      </w:r>
    </w:p>
    <w:p w14:paraId="79D457BA"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lastRenderedPageBreak/>
        <w:t xml:space="preserve">NHS England (2019) </w:t>
      </w:r>
      <w:r w:rsidRPr="00650C77">
        <w:rPr>
          <w:rStyle w:val="Emphasis"/>
          <w:rFonts w:ascii="Arial" w:eastAsiaTheme="majorEastAsia" w:hAnsi="Arial" w:cs="Arial"/>
          <w:color w:val="000000" w:themeColor="text1"/>
          <w:sz w:val="22"/>
          <w:szCs w:val="22"/>
        </w:rPr>
        <w:t>The NHS Long Term Plan</w:t>
      </w:r>
      <w:r w:rsidRPr="00650C77">
        <w:rPr>
          <w:rFonts w:ascii="Arial" w:hAnsi="Arial" w:cs="Arial"/>
          <w:color w:val="000000" w:themeColor="text1"/>
          <w:sz w:val="22"/>
          <w:szCs w:val="22"/>
        </w:rPr>
        <w:t xml:space="preserve">. Available at: </w:t>
      </w:r>
      <w:hyperlink r:id="rId25" w:tgtFrame="_new" w:history="1">
        <w:r w:rsidRPr="00650C77">
          <w:rPr>
            <w:rStyle w:val="Hyperlink"/>
            <w:rFonts w:ascii="Arial" w:eastAsiaTheme="majorEastAsia" w:hAnsi="Arial" w:cs="Arial"/>
            <w:color w:val="000000" w:themeColor="text1"/>
            <w:sz w:val="22"/>
            <w:szCs w:val="22"/>
            <w:u w:val="none"/>
          </w:rPr>
          <w:t>https://www.longtermplan.nhs.uk</w:t>
        </w:r>
      </w:hyperlink>
      <w:r w:rsidRPr="00650C77">
        <w:rPr>
          <w:rFonts w:ascii="Arial" w:hAnsi="Arial" w:cs="Arial"/>
          <w:color w:val="000000" w:themeColor="text1"/>
          <w:sz w:val="22"/>
          <w:szCs w:val="22"/>
        </w:rPr>
        <w:t xml:space="preserve"> (Accessed: 12 January 2026).</w:t>
      </w:r>
    </w:p>
    <w:p w14:paraId="62367C32"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NHS England (2022) </w:t>
      </w:r>
      <w:r w:rsidRPr="00650C77">
        <w:rPr>
          <w:rStyle w:val="Emphasis"/>
          <w:rFonts w:ascii="Arial" w:eastAsiaTheme="majorEastAsia" w:hAnsi="Arial" w:cs="Arial"/>
          <w:color w:val="000000" w:themeColor="text1"/>
          <w:sz w:val="22"/>
          <w:szCs w:val="22"/>
        </w:rPr>
        <w:t>Mental health services: Access and waiting times</w:t>
      </w:r>
      <w:r w:rsidRPr="00650C77">
        <w:rPr>
          <w:rFonts w:ascii="Arial" w:hAnsi="Arial" w:cs="Arial"/>
          <w:color w:val="000000" w:themeColor="text1"/>
          <w:sz w:val="22"/>
          <w:szCs w:val="22"/>
        </w:rPr>
        <w:t xml:space="preserve">. Available at: </w:t>
      </w:r>
      <w:hyperlink r:id="rId26" w:tgtFrame="_new" w:history="1">
        <w:r w:rsidRPr="00650C77">
          <w:rPr>
            <w:rStyle w:val="Hyperlink"/>
            <w:rFonts w:ascii="Arial" w:eastAsiaTheme="majorEastAsia" w:hAnsi="Arial" w:cs="Arial"/>
            <w:color w:val="000000" w:themeColor="text1"/>
            <w:sz w:val="22"/>
            <w:szCs w:val="22"/>
            <w:u w:val="none"/>
          </w:rPr>
          <w:t>https://www.england.nhs.uk/statistics/statistical-work-areas/mental-health-services</w:t>
        </w:r>
      </w:hyperlink>
      <w:r w:rsidRPr="00650C77">
        <w:rPr>
          <w:rFonts w:ascii="Arial" w:hAnsi="Arial" w:cs="Arial"/>
          <w:color w:val="000000" w:themeColor="text1"/>
          <w:sz w:val="22"/>
          <w:szCs w:val="22"/>
        </w:rPr>
        <w:t xml:space="preserve"> (Accessed: 12 January 2026).</w:t>
      </w:r>
    </w:p>
    <w:p w14:paraId="5F476D4B"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NHS England (2023) </w:t>
      </w:r>
      <w:r w:rsidRPr="00650C77">
        <w:rPr>
          <w:rStyle w:val="Emphasis"/>
          <w:rFonts w:ascii="Arial" w:eastAsiaTheme="majorEastAsia" w:hAnsi="Arial" w:cs="Arial"/>
          <w:color w:val="000000" w:themeColor="text1"/>
          <w:sz w:val="22"/>
          <w:szCs w:val="22"/>
        </w:rPr>
        <w:t>Integrated Care Systems: Design framework</w:t>
      </w:r>
      <w:r w:rsidRPr="00650C77">
        <w:rPr>
          <w:rFonts w:ascii="Arial" w:hAnsi="Arial" w:cs="Arial"/>
          <w:color w:val="000000" w:themeColor="text1"/>
          <w:sz w:val="22"/>
          <w:szCs w:val="22"/>
        </w:rPr>
        <w:t xml:space="preserve">. Available at: </w:t>
      </w:r>
      <w:hyperlink r:id="rId27" w:tgtFrame="_new" w:history="1">
        <w:r w:rsidRPr="00650C77">
          <w:rPr>
            <w:rStyle w:val="Hyperlink"/>
            <w:rFonts w:ascii="Arial" w:eastAsiaTheme="majorEastAsia" w:hAnsi="Arial" w:cs="Arial"/>
            <w:color w:val="000000" w:themeColor="text1"/>
            <w:sz w:val="22"/>
            <w:szCs w:val="22"/>
            <w:u w:val="none"/>
          </w:rPr>
          <w:t>https://www.england.nhs.uk/integratedcare/ics-design-framework</w:t>
        </w:r>
      </w:hyperlink>
      <w:r w:rsidRPr="00650C77">
        <w:rPr>
          <w:rFonts w:ascii="Arial" w:hAnsi="Arial" w:cs="Arial"/>
          <w:color w:val="000000" w:themeColor="text1"/>
          <w:sz w:val="22"/>
          <w:szCs w:val="22"/>
        </w:rPr>
        <w:t xml:space="preserve"> (Accessed: 12 January 2026).</w:t>
      </w:r>
    </w:p>
    <w:p w14:paraId="5238BBFF"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NICE (2020) </w:t>
      </w:r>
      <w:r w:rsidRPr="00650C77">
        <w:rPr>
          <w:rStyle w:val="Emphasis"/>
          <w:rFonts w:ascii="Arial" w:eastAsiaTheme="majorEastAsia" w:hAnsi="Arial" w:cs="Arial"/>
          <w:color w:val="000000" w:themeColor="text1"/>
          <w:sz w:val="22"/>
          <w:szCs w:val="22"/>
        </w:rPr>
        <w:t>Psychosis and schizophrenia in adults (NG222)</w:t>
      </w:r>
      <w:r w:rsidRPr="00650C77">
        <w:rPr>
          <w:rFonts w:ascii="Arial" w:hAnsi="Arial" w:cs="Arial"/>
          <w:color w:val="000000" w:themeColor="text1"/>
          <w:sz w:val="22"/>
          <w:szCs w:val="22"/>
        </w:rPr>
        <w:t xml:space="preserve">. Available at: </w:t>
      </w:r>
      <w:hyperlink r:id="rId28" w:tgtFrame="_new" w:history="1">
        <w:r w:rsidRPr="00650C77">
          <w:rPr>
            <w:rStyle w:val="Hyperlink"/>
            <w:rFonts w:ascii="Arial" w:eastAsiaTheme="majorEastAsia" w:hAnsi="Arial" w:cs="Arial"/>
            <w:color w:val="000000" w:themeColor="text1"/>
            <w:sz w:val="22"/>
            <w:szCs w:val="22"/>
            <w:u w:val="none"/>
          </w:rPr>
          <w:t>https://www.nice.org.uk/guidance/ng222</w:t>
        </w:r>
      </w:hyperlink>
      <w:r w:rsidRPr="00650C77">
        <w:rPr>
          <w:rFonts w:ascii="Arial" w:hAnsi="Arial" w:cs="Arial"/>
          <w:color w:val="000000" w:themeColor="text1"/>
          <w:sz w:val="22"/>
          <w:szCs w:val="22"/>
        </w:rPr>
        <w:t xml:space="preserve"> (Accessed: 12 January 2026).</w:t>
      </w:r>
    </w:p>
    <w:p w14:paraId="65911919"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NICE (2021) </w:t>
      </w:r>
      <w:r w:rsidRPr="00650C77">
        <w:rPr>
          <w:rStyle w:val="Emphasis"/>
          <w:rFonts w:ascii="Arial" w:eastAsiaTheme="majorEastAsia" w:hAnsi="Arial" w:cs="Arial"/>
          <w:color w:val="000000" w:themeColor="text1"/>
          <w:sz w:val="22"/>
          <w:szCs w:val="22"/>
        </w:rPr>
        <w:t>Shared decision making (NG197)</w:t>
      </w:r>
      <w:r w:rsidRPr="00650C77">
        <w:rPr>
          <w:rFonts w:ascii="Arial" w:hAnsi="Arial" w:cs="Arial"/>
          <w:color w:val="000000" w:themeColor="text1"/>
          <w:sz w:val="22"/>
          <w:szCs w:val="22"/>
        </w:rPr>
        <w:t xml:space="preserve">. Available at: </w:t>
      </w:r>
      <w:hyperlink r:id="rId29" w:tgtFrame="_new" w:history="1">
        <w:r w:rsidRPr="00650C77">
          <w:rPr>
            <w:rStyle w:val="Hyperlink"/>
            <w:rFonts w:ascii="Arial" w:eastAsiaTheme="majorEastAsia" w:hAnsi="Arial" w:cs="Arial"/>
            <w:color w:val="000000" w:themeColor="text1"/>
            <w:sz w:val="22"/>
            <w:szCs w:val="22"/>
            <w:u w:val="none"/>
          </w:rPr>
          <w:t>https://www.nice.org.uk/guidance/ng197</w:t>
        </w:r>
      </w:hyperlink>
      <w:r w:rsidRPr="00650C77">
        <w:rPr>
          <w:rFonts w:ascii="Arial" w:hAnsi="Arial" w:cs="Arial"/>
          <w:color w:val="000000" w:themeColor="text1"/>
          <w:sz w:val="22"/>
          <w:szCs w:val="22"/>
        </w:rPr>
        <w:t xml:space="preserve"> (Accessed: 12 January 2026).</w:t>
      </w:r>
    </w:p>
    <w:p w14:paraId="0A7CD0C4"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OECD (2022) </w:t>
      </w:r>
      <w:r w:rsidRPr="00650C77">
        <w:rPr>
          <w:rStyle w:val="Emphasis"/>
          <w:rFonts w:ascii="Arial" w:eastAsiaTheme="majorEastAsia" w:hAnsi="Arial" w:cs="Arial"/>
          <w:color w:val="000000" w:themeColor="text1"/>
          <w:sz w:val="22"/>
          <w:szCs w:val="22"/>
        </w:rPr>
        <w:t>Mental health and work: United Kingdom</w:t>
      </w:r>
      <w:r w:rsidRPr="00650C77">
        <w:rPr>
          <w:rFonts w:ascii="Arial" w:hAnsi="Arial" w:cs="Arial"/>
          <w:color w:val="000000" w:themeColor="text1"/>
          <w:sz w:val="22"/>
          <w:szCs w:val="22"/>
        </w:rPr>
        <w:t xml:space="preserve">. Available at: </w:t>
      </w:r>
      <w:hyperlink r:id="rId30" w:tgtFrame="_new" w:history="1">
        <w:r w:rsidRPr="00650C77">
          <w:rPr>
            <w:rStyle w:val="Hyperlink"/>
            <w:rFonts w:ascii="Arial" w:eastAsiaTheme="majorEastAsia" w:hAnsi="Arial" w:cs="Arial"/>
            <w:color w:val="000000" w:themeColor="text1"/>
            <w:sz w:val="22"/>
            <w:szCs w:val="22"/>
            <w:u w:val="none"/>
          </w:rPr>
          <w:t>https://www.oecd.org/health/mental-health-and-work-united-kingdom</w:t>
        </w:r>
      </w:hyperlink>
      <w:r w:rsidRPr="00650C77">
        <w:rPr>
          <w:rFonts w:ascii="Arial" w:hAnsi="Arial" w:cs="Arial"/>
          <w:color w:val="000000" w:themeColor="text1"/>
          <w:sz w:val="22"/>
          <w:szCs w:val="22"/>
        </w:rPr>
        <w:t xml:space="preserve"> (Accessed: 12 January 2026).</w:t>
      </w:r>
    </w:p>
    <w:p w14:paraId="7161AC44"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Pagdon, A. (2024) ‘Peer support and burnout in NHS psychosis services’, </w:t>
      </w:r>
      <w:r w:rsidRPr="00650C77">
        <w:rPr>
          <w:rStyle w:val="Emphasis"/>
          <w:rFonts w:ascii="Arial" w:eastAsiaTheme="majorEastAsia" w:hAnsi="Arial" w:cs="Arial"/>
          <w:color w:val="000000" w:themeColor="text1"/>
          <w:sz w:val="22"/>
          <w:szCs w:val="22"/>
        </w:rPr>
        <w:t>Journal of Mental Health Practice</w:t>
      </w:r>
      <w:r w:rsidRPr="00650C77">
        <w:rPr>
          <w:rFonts w:ascii="Arial" w:hAnsi="Arial" w:cs="Arial"/>
          <w:color w:val="000000" w:themeColor="text1"/>
          <w:sz w:val="22"/>
          <w:szCs w:val="22"/>
        </w:rPr>
        <w:t>, 18(3), pp. 201–213.</w:t>
      </w:r>
    </w:p>
    <w:p w14:paraId="4B1AAE54"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Pagdon, A. (2025) ‘Service-user perspectives on recovery in schizophrenia’, </w:t>
      </w:r>
      <w:r w:rsidRPr="00650C77">
        <w:rPr>
          <w:rStyle w:val="Emphasis"/>
          <w:rFonts w:ascii="Arial" w:eastAsiaTheme="majorEastAsia" w:hAnsi="Arial" w:cs="Arial"/>
          <w:color w:val="000000" w:themeColor="text1"/>
          <w:sz w:val="22"/>
          <w:szCs w:val="22"/>
        </w:rPr>
        <w:t>Mental Health Review Journal</w:t>
      </w:r>
      <w:r w:rsidRPr="00650C77">
        <w:rPr>
          <w:rFonts w:ascii="Arial" w:hAnsi="Arial" w:cs="Arial"/>
          <w:color w:val="000000" w:themeColor="text1"/>
          <w:sz w:val="22"/>
          <w:szCs w:val="22"/>
        </w:rPr>
        <w:t>, 30(1), pp. 55–67.</w:t>
      </w:r>
    </w:p>
    <w:p w14:paraId="599EAFA5"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Parachute Project (2023) </w:t>
      </w:r>
      <w:r w:rsidRPr="00650C77">
        <w:rPr>
          <w:rStyle w:val="Emphasis"/>
          <w:rFonts w:ascii="Arial" w:eastAsiaTheme="majorEastAsia" w:hAnsi="Arial" w:cs="Arial"/>
          <w:color w:val="000000" w:themeColor="text1"/>
          <w:sz w:val="22"/>
          <w:szCs w:val="22"/>
        </w:rPr>
        <w:t>Open Dialogue in the UK: Evaluation report</w:t>
      </w:r>
      <w:r w:rsidRPr="00650C77">
        <w:rPr>
          <w:rFonts w:ascii="Arial" w:hAnsi="Arial" w:cs="Arial"/>
          <w:color w:val="000000" w:themeColor="text1"/>
          <w:sz w:val="22"/>
          <w:szCs w:val="22"/>
        </w:rPr>
        <w:t xml:space="preserve">. Available at: </w:t>
      </w:r>
      <w:hyperlink r:id="rId31" w:tgtFrame="_new" w:history="1">
        <w:r w:rsidRPr="00650C77">
          <w:rPr>
            <w:rStyle w:val="Hyperlink"/>
            <w:rFonts w:ascii="Arial" w:eastAsiaTheme="majorEastAsia" w:hAnsi="Arial" w:cs="Arial"/>
            <w:color w:val="000000" w:themeColor="text1"/>
            <w:sz w:val="22"/>
            <w:szCs w:val="22"/>
            <w:u w:val="none"/>
          </w:rPr>
          <w:t>https://www.england.nhs.uk/mental-health/adults/open-dialogue</w:t>
        </w:r>
      </w:hyperlink>
      <w:r w:rsidRPr="00650C77">
        <w:rPr>
          <w:rFonts w:ascii="Arial" w:hAnsi="Arial" w:cs="Arial"/>
          <w:color w:val="000000" w:themeColor="text1"/>
          <w:sz w:val="22"/>
          <w:szCs w:val="22"/>
        </w:rPr>
        <w:t xml:space="preserve"> (Accessed: 12 January 2026).</w:t>
      </w:r>
    </w:p>
    <w:p w14:paraId="37C532B2"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Phillips, J., Conneely, M. and Hartley, R. (2025) ‘Post-COVID pressures on mental health services’, </w:t>
      </w:r>
      <w:r w:rsidRPr="00650C77">
        <w:rPr>
          <w:rStyle w:val="Emphasis"/>
          <w:rFonts w:ascii="Arial" w:eastAsiaTheme="majorEastAsia" w:hAnsi="Arial" w:cs="Arial"/>
          <w:color w:val="000000" w:themeColor="text1"/>
          <w:sz w:val="22"/>
          <w:szCs w:val="22"/>
        </w:rPr>
        <w:t>Health Policy Review</w:t>
      </w:r>
      <w:r w:rsidRPr="00650C77">
        <w:rPr>
          <w:rFonts w:ascii="Arial" w:hAnsi="Arial" w:cs="Arial"/>
          <w:color w:val="000000" w:themeColor="text1"/>
          <w:sz w:val="22"/>
          <w:szCs w:val="22"/>
        </w:rPr>
        <w:t>, 19(2), pp. 88–102.</w:t>
      </w:r>
    </w:p>
    <w:p w14:paraId="2336A3C4" w14:textId="77777777" w:rsidR="007401FA" w:rsidRPr="00650C77" w:rsidRDefault="007401FA" w:rsidP="007401FA">
      <w:pPr>
        <w:pStyle w:val="NormalWeb"/>
        <w:spacing w:line="360" w:lineRule="auto"/>
        <w:jc w:val="both"/>
        <w:rPr>
          <w:rFonts w:ascii="Arial" w:hAnsi="Arial" w:cs="Arial"/>
          <w:color w:val="000000" w:themeColor="text1"/>
          <w:sz w:val="22"/>
          <w:szCs w:val="22"/>
        </w:rPr>
      </w:pPr>
      <w:proofErr w:type="spellStart"/>
      <w:r w:rsidRPr="00650C77">
        <w:rPr>
          <w:rFonts w:ascii="Arial" w:hAnsi="Arial" w:cs="Arial"/>
          <w:color w:val="000000" w:themeColor="text1"/>
          <w:sz w:val="22"/>
          <w:szCs w:val="22"/>
        </w:rPr>
        <w:t>Pleace</w:t>
      </w:r>
      <w:proofErr w:type="spellEnd"/>
      <w:r w:rsidRPr="00650C77">
        <w:rPr>
          <w:rFonts w:ascii="Arial" w:hAnsi="Arial" w:cs="Arial"/>
          <w:color w:val="000000" w:themeColor="text1"/>
          <w:sz w:val="22"/>
          <w:szCs w:val="22"/>
        </w:rPr>
        <w:t xml:space="preserve">, N., Baptista, I. and Knutagård, M. (2021) </w:t>
      </w:r>
      <w:r w:rsidRPr="00650C77">
        <w:rPr>
          <w:rStyle w:val="Emphasis"/>
          <w:rFonts w:ascii="Arial" w:eastAsiaTheme="majorEastAsia" w:hAnsi="Arial" w:cs="Arial"/>
          <w:color w:val="000000" w:themeColor="text1"/>
          <w:sz w:val="22"/>
          <w:szCs w:val="22"/>
        </w:rPr>
        <w:t>Housing First in Europe and the UK</w:t>
      </w:r>
      <w:r w:rsidRPr="00650C77">
        <w:rPr>
          <w:rFonts w:ascii="Arial" w:hAnsi="Arial" w:cs="Arial"/>
          <w:color w:val="000000" w:themeColor="text1"/>
          <w:sz w:val="22"/>
          <w:szCs w:val="22"/>
        </w:rPr>
        <w:t>. York: University of York.</w:t>
      </w:r>
    </w:p>
    <w:p w14:paraId="02356C86"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Proctor, L. (2024) </w:t>
      </w:r>
      <w:r w:rsidRPr="00650C77">
        <w:rPr>
          <w:rStyle w:val="Emphasis"/>
          <w:rFonts w:ascii="Arial" w:eastAsiaTheme="majorEastAsia" w:hAnsi="Arial" w:cs="Arial"/>
          <w:color w:val="000000" w:themeColor="text1"/>
          <w:sz w:val="22"/>
          <w:szCs w:val="22"/>
        </w:rPr>
        <w:t>Digital innovation in Greater Manchester mental health services</w:t>
      </w:r>
      <w:r w:rsidRPr="00650C77">
        <w:rPr>
          <w:rFonts w:ascii="Arial" w:hAnsi="Arial" w:cs="Arial"/>
          <w:color w:val="000000" w:themeColor="text1"/>
          <w:sz w:val="22"/>
          <w:szCs w:val="22"/>
        </w:rPr>
        <w:t>. Manchester: GM Health Partnership.</w:t>
      </w:r>
    </w:p>
    <w:p w14:paraId="56910DBF"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lastRenderedPageBreak/>
        <w:t xml:space="preserve">Ratcliffe, J. (2025) ‘Evaluating integrated psychosis pathways’, </w:t>
      </w:r>
      <w:r w:rsidRPr="00650C77">
        <w:rPr>
          <w:rStyle w:val="Emphasis"/>
          <w:rFonts w:ascii="Arial" w:eastAsiaTheme="majorEastAsia" w:hAnsi="Arial" w:cs="Arial"/>
          <w:color w:val="000000" w:themeColor="text1"/>
          <w:sz w:val="22"/>
          <w:szCs w:val="22"/>
        </w:rPr>
        <w:t>Journal of Psychiatric Services</w:t>
      </w:r>
      <w:r w:rsidRPr="00650C77">
        <w:rPr>
          <w:rFonts w:ascii="Arial" w:hAnsi="Arial" w:cs="Arial"/>
          <w:color w:val="000000" w:themeColor="text1"/>
          <w:sz w:val="22"/>
          <w:szCs w:val="22"/>
        </w:rPr>
        <w:t>, 76(1), pp. 12–21.</w:t>
      </w:r>
    </w:p>
    <w:p w14:paraId="15C933A8"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Repper, J. and Perkins, R. (2021) </w:t>
      </w:r>
      <w:r w:rsidRPr="00650C77">
        <w:rPr>
          <w:rStyle w:val="Emphasis"/>
          <w:rFonts w:ascii="Arial" w:eastAsiaTheme="majorEastAsia" w:hAnsi="Arial" w:cs="Arial"/>
          <w:color w:val="000000" w:themeColor="text1"/>
          <w:sz w:val="22"/>
          <w:szCs w:val="22"/>
        </w:rPr>
        <w:t>Recovery-oriented practice in mental health</w:t>
      </w:r>
      <w:r w:rsidRPr="00650C77">
        <w:rPr>
          <w:rFonts w:ascii="Arial" w:hAnsi="Arial" w:cs="Arial"/>
          <w:color w:val="000000" w:themeColor="text1"/>
          <w:sz w:val="22"/>
          <w:szCs w:val="22"/>
        </w:rPr>
        <w:t>. London: Open University Press.</w:t>
      </w:r>
    </w:p>
    <w:p w14:paraId="62CF6149"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Resnik, D.B. (2015) </w:t>
      </w:r>
      <w:r w:rsidRPr="00650C77">
        <w:rPr>
          <w:rStyle w:val="Emphasis"/>
          <w:rFonts w:ascii="Arial" w:eastAsiaTheme="majorEastAsia" w:hAnsi="Arial" w:cs="Arial"/>
          <w:color w:val="000000" w:themeColor="text1"/>
          <w:sz w:val="22"/>
          <w:szCs w:val="22"/>
        </w:rPr>
        <w:t>What is ethics in research and why is it important?</w:t>
      </w:r>
      <w:r w:rsidRPr="00650C77">
        <w:rPr>
          <w:rFonts w:ascii="Arial" w:hAnsi="Arial" w:cs="Arial"/>
          <w:color w:val="000000" w:themeColor="text1"/>
          <w:sz w:val="22"/>
          <w:szCs w:val="22"/>
        </w:rPr>
        <w:t xml:space="preserve"> Available at: </w:t>
      </w:r>
      <w:hyperlink r:id="rId32" w:tgtFrame="_new" w:history="1">
        <w:r w:rsidRPr="00650C77">
          <w:rPr>
            <w:rStyle w:val="Hyperlink"/>
            <w:rFonts w:ascii="Arial" w:eastAsiaTheme="majorEastAsia" w:hAnsi="Arial" w:cs="Arial"/>
            <w:color w:val="000000" w:themeColor="text1"/>
            <w:sz w:val="22"/>
            <w:szCs w:val="22"/>
            <w:u w:val="none"/>
          </w:rPr>
          <w:t>https://www.niehs.nih.gov/research/resources/bioethics/whatis/index.cfm</w:t>
        </w:r>
      </w:hyperlink>
      <w:r w:rsidRPr="00650C77">
        <w:rPr>
          <w:rFonts w:ascii="Arial" w:hAnsi="Arial" w:cs="Arial"/>
          <w:color w:val="000000" w:themeColor="text1"/>
          <w:sz w:val="22"/>
          <w:szCs w:val="22"/>
        </w:rPr>
        <w:t xml:space="preserve"> (Accessed: 3 November 2025).</w:t>
      </w:r>
    </w:p>
    <w:p w14:paraId="48D422A2"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Rickwood, D., </w:t>
      </w:r>
      <w:proofErr w:type="spellStart"/>
      <w:r w:rsidRPr="00650C77">
        <w:rPr>
          <w:rFonts w:ascii="Arial" w:hAnsi="Arial" w:cs="Arial"/>
          <w:color w:val="000000" w:themeColor="text1"/>
          <w:sz w:val="22"/>
          <w:szCs w:val="22"/>
        </w:rPr>
        <w:t>Paraskakis</w:t>
      </w:r>
      <w:proofErr w:type="spellEnd"/>
      <w:r w:rsidRPr="00650C77">
        <w:rPr>
          <w:rFonts w:ascii="Arial" w:hAnsi="Arial" w:cs="Arial"/>
          <w:color w:val="000000" w:themeColor="text1"/>
          <w:sz w:val="22"/>
          <w:szCs w:val="22"/>
        </w:rPr>
        <w:t xml:space="preserve">, M. and Quin, D. (2019) ‘Australia’s Headspace model’, </w:t>
      </w:r>
      <w:r w:rsidRPr="00650C77">
        <w:rPr>
          <w:rStyle w:val="Emphasis"/>
          <w:rFonts w:ascii="Arial" w:eastAsiaTheme="majorEastAsia" w:hAnsi="Arial" w:cs="Arial"/>
          <w:color w:val="000000" w:themeColor="text1"/>
          <w:sz w:val="22"/>
          <w:szCs w:val="22"/>
        </w:rPr>
        <w:t>Early Intervention in Psychiatry</w:t>
      </w:r>
      <w:r w:rsidRPr="00650C77">
        <w:rPr>
          <w:rFonts w:ascii="Arial" w:hAnsi="Arial" w:cs="Arial"/>
          <w:color w:val="000000" w:themeColor="text1"/>
          <w:sz w:val="22"/>
          <w:szCs w:val="22"/>
        </w:rPr>
        <w:t>, 13(1), pp. 159–166.</w:t>
      </w:r>
    </w:p>
    <w:p w14:paraId="0D417706"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Rogers, A. and Pilgrim, D. (2014) </w:t>
      </w:r>
      <w:r w:rsidRPr="00650C77">
        <w:rPr>
          <w:rStyle w:val="Emphasis"/>
          <w:rFonts w:ascii="Arial" w:eastAsiaTheme="majorEastAsia" w:hAnsi="Arial" w:cs="Arial"/>
          <w:color w:val="000000" w:themeColor="text1"/>
          <w:sz w:val="22"/>
          <w:szCs w:val="22"/>
        </w:rPr>
        <w:t>A sociology of mental health and illness</w:t>
      </w:r>
      <w:r w:rsidRPr="00650C77">
        <w:rPr>
          <w:rFonts w:ascii="Arial" w:hAnsi="Arial" w:cs="Arial"/>
          <w:color w:val="000000" w:themeColor="text1"/>
          <w:sz w:val="22"/>
          <w:szCs w:val="22"/>
        </w:rPr>
        <w:t xml:space="preserve">. 5th </w:t>
      </w:r>
      <w:proofErr w:type="spellStart"/>
      <w:r w:rsidRPr="00650C77">
        <w:rPr>
          <w:rFonts w:ascii="Arial" w:hAnsi="Arial" w:cs="Arial"/>
          <w:color w:val="000000" w:themeColor="text1"/>
          <w:sz w:val="22"/>
          <w:szCs w:val="22"/>
        </w:rPr>
        <w:t>edn</w:t>
      </w:r>
      <w:proofErr w:type="spellEnd"/>
      <w:r w:rsidRPr="00650C77">
        <w:rPr>
          <w:rFonts w:ascii="Arial" w:hAnsi="Arial" w:cs="Arial"/>
          <w:color w:val="000000" w:themeColor="text1"/>
          <w:sz w:val="22"/>
          <w:szCs w:val="22"/>
        </w:rPr>
        <w:t>. Maidenhead: Open University Press.</w:t>
      </w:r>
    </w:p>
    <w:p w14:paraId="237FD050"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Rogers, A. and Pilgrim, D. (2020) </w:t>
      </w:r>
      <w:r w:rsidRPr="00650C77">
        <w:rPr>
          <w:rStyle w:val="Emphasis"/>
          <w:rFonts w:ascii="Arial" w:eastAsiaTheme="majorEastAsia" w:hAnsi="Arial" w:cs="Arial"/>
          <w:color w:val="000000" w:themeColor="text1"/>
          <w:sz w:val="22"/>
          <w:szCs w:val="22"/>
        </w:rPr>
        <w:t>Mental health policy in Britain</w:t>
      </w:r>
      <w:r w:rsidRPr="00650C77">
        <w:rPr>
          <w:rFonts w:ascii="Arial" w:hAnsi="Arial" w:cs="Arial"/>
          <w:color w:val="000000" w:themeColor="text1"/>
          <w:sz w:val="22"/>
          <w:szCs w:val="22"/>
        </w:rPr>
        <w:t xml:space="preserve">. 2nd </w:t>
      </w:r>
      <w:proofErr w:type="spellStart"/>
      <w:r w:rsidRPr="00650C77">
        <w:rPr>
          <w:rFonts w:ascii="Arial" w:hAnsi="Arial" w:cs="Arial"/>
          <w:color w:val="000000" w:themeColor="text1"/>
          <w:sz w:val="22"/>
          <w:szCs w:val="22"/>
        </w:rPr>
        <w:t>edn</w:t>
      </w:r>
      <w:proofErr w:type="spellEnd"/>
      <w:r w:rsidRPr="00650C77">
        <w:rPr>
          <w:rFonts w:ascii="Arial" w:hAnsi="Arial" w:cs="Arial"/>
          <w:color w:val="000000" w:themeColor="text1"/>
          <w:sz w:val="22"/>
          <w:szCs w:val="22"/>
        </w:rPr>
        <w:t>. London: Palgrave.</w:t>
      </w:r>
    </w:p>
    <w:p w14:paraId="79674A33"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Royal College of Psychiatrists (2023) </w:t>
      </w:r>
      <w:r w:rsidRPr="00650C77">
        <w:rPr>
          <w:rStyle w:val="Emphasis"/>
          <w:rFonts w:ascii="Arial" w:eastAsiaTheme="majorEastAsia" w:hAnsi="Arial" w:cs="Arial"/>
          <w:color w:val="000000" w:themeColor="text1"/>
          <w:sz w:val="22"/>
          <w:szCs w:val="22"/>
        </w:rPr>
        <w:t>Psychiatry workforce census</w:t>
      </w:r>
      <w:r w:rsidRPr="00650C77">
        <w:rPr>
          <w:rFonts w:ascii="Arial" w:hAnsi="Arial" w:cs="Arial"/>
          <w:color w:val="000000" w:themeColor="text1"/>
          <w:sz w:val="22"/>
          <w:szCs w:val="22"/>
        </w:rPr>
        <w:t xml:space="preserve">. Available at: </w:t>
      </w:r>
      <w:hyperlink r:id="rId33" w:tgtFrame="_new" w:history="1">
        <w:r w:rsidRPr="00650C77">
          <w:rPr>
            <w:rStyle w:val="Hyperlink"/>
            <w:rFonts w:ascii="Arial" w:eastAsiaTheme="majorEastAsia" w:hAnsi="Arial" w:cs="Arial"/>
            <w:color w:val="000000" w:themeColor="text1"/>
            <w:sz w:val="22"/>
            <w:szCs w:val="22"/>
            <w:u w:val="none"/>
          </w:rPr>
          <w:t>https://www.rcpsych.ac.uk/workforce</w:t>
        </w:r>
      </w:hyperlink>
      <w:r w:rsidRPr="00650C77">
        <w:rPr>
          <w:rFonts w:ascii="Arial" w:hAnsi="Arial" w:cs="Arial"/>
          <w:color w:val="000000" w:themeColor="text1"/>
          <w:sz w:val="22"/>
          <w:szCs w:val="22"/>
        </w:rPr>
        <w:t xml:space="preserve"> (Accessed: 12 January 2026).</w:t>
      </w:r>
    </w:p>
    <w:p w14:paraId="0A968F20"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Royal College of Psychiatrists (2024) </w:t>
      </w:r>
      <w:r w:rsidRPr="00650C77">
        <w:rPr>
          <w:rStyle w:val="Emphasis"/>
          <w:rFonts w:ascii="Arial" w:eastAsiaTheme="majorEastAsia" w:hAnsi="Arial" w:cs="Arial"/>
          <w:color w:val="000000" w:themeColor="text1"/>
          <w:sz w:val="22"/>
          <w:szCs w:val="22"/>
        </w:rPr>
        <w:t>Early Intervention in Psychosis audit</w:t>
      </w:r>
      <w:r w:rsidRPr="00650C77">
        <w:rPr>
          <w:rFonts w:ascii="Arial" w:hAnsi="Arial" w:cs="Arial"/>
          <w:color w:val="000000" w:themeColor="text1"/>
          <w:sz w:val="22"/>
          <w:szCs w:val="22"/>
        </w:rPr>
        <w:t xml:space="preserve">. Available at: </w:t>
      </w:r>
      <w:hyperlink r:id="rId34" w:tgtFrame="_new" w:history="1">
        <w:r w:rsidRPr="00650C77">
          <w:rPr>
            <w:rStyle w:val="Hyperlink"/>
            <w:rFonts w:ascii="Arial" w:eastAsiaTheme="majorEastAsia" w:hAnsi="Arial" w:cs="Arial"/>
            <w:color w:val="000000" w:themeColor="text1"/>
            <w:sz w:val="22"/>
            <w:szCs w:val="22"/>
            <w:u w:val="none"/>
          </w:rPr>
          <w:t>https://www.rcpsych.ac.uk/improving-care/ccqi/audit-and-quality-improvement/eip</w:t>
        </w:r>
      </w:hyperlink>
      <w:r w:rsidRPr="00650C77">
        <w:rPr>
          <w:rFonts w:ascii="Arial" w:hAnsi="Arial" w:cs="Arial"/>
          <w:color w:val="000000" w:themeColor="text1"/>
          <w:sz w:val="22"/>
          <w:szCs w:val="22"/>
        </w:rPr>
        <w:t xml:space="preserve"> (Accessed: 12 January 2026).</w:t>
      </w:r>
    </w:p>
    <w:p w14:paraId="4CFD7732"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Scottish Government (2022) </w:t>
      </w:r>
      <w:r w:rsidRPr="00650C77">
        <w:rPr>
          <w:rStyle w:val="Emphasis"/>
          <w:rFonts w:ascii="Arial" w:eastAsiaTheme="majorEastAsia" w:hAnsi="Arial" w:cs="Arial"/>
          <w:color w:val="000000" w:themeColor="text1"/>
          <w:sz w:val="22"/>
          <w:szCs w:val="22"/>
        </w:rPr>
        <w:t>Mental health strategy progress report</w:t>
      </w:r>
      <w:r w:rsidRPr="00650C77">
        <w:rPr>
          <w:rFonts w:ascii="Arial" w:hAnsi="Arial" w:cs="Arial"/>
          <w:color w:val="000000" w:themeColor="text1"/>
          <w:sz w:val="22"/>
          <w:szCs w:val="22"/>
        </w:rPr>
        <w:t xml:space="preserve">. Available at: </w:t>
      </w:r>
      <w:hyperlink r:id="rId35" w:tgtFrame="_new" w:history="1">
        <w:r w:rsidRPr="00650C77">
          <w:rPr>
            <w:rStyle w:val="Hyperlink"/>
            <w:rFonts w:ascii="Arial" w:eastAsiaTheme="majorEastAsia" w:hAnsi="Arial" w:cs="Arial"/>
            <w:color w:val="000000" w:themeColor="text1"/>
            <w:sz w:val="22"/>
            <w:szCs w:val="22"/>
            <w:u w:val="none"/>
          </w:rPr>
          <w:t>https://www.gov.scot/publications/mental-health-strategy-progress-report</w:t>
        </w:r>
      </w:hyperlink>
      <w:r w:rsidRPr="00650C77">
        <w:rPr>
          <w:rFonts w:ascii="Arial" w:hAnsi="Arial" w:cs="Arial"/>
          <w:color w:val="000000" w:themeColor="text1"/>
          <w:sz w:val="22"/>
          <w:szCs w:val="22"/>
        </w:rPr>
        <w:t xml:space="preserve"> (Accessed: 12 January 2026).</w:t>
      </w:r>
    </w:p>
    <w:p w14:paraId="32D29853"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Scull, A. (2015) </w:t>
      </w:r>
      <w:r w:rsidRPr="00650C77">
        <w:rPr>
          <w:rStyle w:val="Emphasis"/>
          <w:rFonts w:ascii="Arial" w:eastAsiaTheme="majorEastAsia" w:hAnsi="Arial" w:cs="Arial"/>
          <w:color w:val="000000" w:themeColor="text1"/>
          <w:sz w:val="22"/>
          <w:szCs w:val="22"/>
        </w:rPr>
        <w:t>Madness in civilization</w:t>
      </w:r>
      <w:r w:rsidRPr="00650C77">
        <w:rPr>
          <w:rFonts w:ascii="Arial" w:hAnsi="Arial" w:cs="Arial"/>
          <w:color w:val="000000" w:themeColor="text1"/>
          <w:sz w:val="22"/>
          <w:szCs w:val="22"/>
        </w:rPr>
        <w:t>. London: Thames &amp; Hudson.</w:t>
      </w:r>
    </w:p>
    <w:p w14:paraId="542A75DA" w14:textId="77777777" w:rsidR="007401FA" w:rsidRPr="00650C77" w:rsidRDefault="007401FA" w:rsidP="007401FA">
      <w:pPr>
        <w:pStyle w:val="NormalWeb"/>
        <w:spacing w:line="360" w:lineRule="auto"/>
        <w:jc w:val="both"/>
        <w:rPr>
          <w:rFonts w:ascii="Arial" w:hAnsi="Arial" w:cs="Arial"/>
          <w:color w:val="000000" w:themeColor="text1"/>
          <w:sz w:val="22"/>
          <w:szCs w:val="22"/>
        </w:rPr>
      </w:pPr>
      <w:proofErr w:type="spellStart"/>
      <w:r w:rsidRPr="00650C77">
        <w:rPr>
          <w:rFonts w:ascii="Arial" w:hAnsi="Arial" w:cs="Arial"/>
          <w:color w:val="000000" w:themeColor="text1"/>
          <w:sz w:val="22"/>
          <w:szCs w:val="22"/>
        </w:rPr>
        <w:t>Seikkula</w:t>
      </w:r>
      <w:proofErr w:type="spellEnd"/>
      <w:r w:rsidRPr="00650C77">
        <w:rPr>
          <w:rFonts w:ascii="Arial" w:hAnsi="Arial" w:cs="Arial"/>
          <w:color w:val="000000" w:themeColor="text1"/>
          <w:sz w:val="22"/>
          <w:szCs w:val="22"/>
        </w:rPr>
        <w:t xml:space="preserve">, J., </w:t>
      </w:r>
      <w:proofErr w:type="spellStart"/>
      <w:r w:rsidRPr="00650C77">
        <w:rPr>
          <w:rFonts w:ascii="Arial" w:hAnsi="Arial" w:cs="Arial"/>
          <w:color w:val="000000" w:themeColor="text1"/>
          <w:sz w:val="22"/>
          <w:szCs w:val="22"/>
        </w:rPr>
        <w:t>Alakare</w:t>
      </w:r>
      <w:proofErr w:type="spellEnd"/>
      <w:r w:rsidRPr="00650C77">
        <w:rPr>
          <w:rFonts w:ascii="Arial" w:hAnsi="Arial" w:cs="Arial"/>
          <w:color w:val="000000" w:themeColor="text1"/>
          <w:sz w:val="22"/>
          <w:szCs w:val="22"/>
        </w:rPr>
        <w:t xml:space="preserve">, B. and Aaltonen, J. (2011) ‘Open Dialogue outcomes’, </w:t>
      </w:r>
      <w:r w:rsidRPr="00650C77">
        <w:rPr>
          <w:rStyle w:val="Emphasis"/>
          <w:rFonts w:ascii="Arial" w:eastAsiaTheme="majorEastAsia" w:hAnsi="Arial" w:cs="Arial"/>
          <w:color w:val="000000" w:themeColor="text1"/>
          <w:sz w:val="22"/>
          <w:szCs w:val="22"/>
        </w:rPr>
        <w:t>Psychotherapy Research</w:t>
      </w:r>
      <w:r w:rsidRPr="00650C77">
        <w:rPr>
          <w:rFonts w:ascii="Arial" w:hAnsi="Arial" w:cs="Arial"/>
          <w:color w:val="000000" w:themeColor="text1"/>
          <w:sz w:val="22"/>
          <w:szCs w:val="22"/>
        </w:rPr>
        <w:t>, 21(6), pp. 673–682.</w:t>
      </w:r>
    </w:p>
    <w:p w14:paraId="7BF813E5"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Slade, M. (2009) </w:t>
      </w:r>
      <w:r w:rsidRPr="00650C77">
        <w:rPr>
          <w:rStyle w:val="Emphasis"/>
          <w:rFonts w:ascii="Arial" w:eastAsiaTheme="majorEastAsia" w:hAnsi="Arial" w:cs="Arial"/>
          <w:color w:val="000000" w:themeColor="text1"/>
          <w:sz w:val="22"/>
          <w:szCs w:val="22"/>
        </w:rPr>
        <w:t>Personal recovery and mental illness</w:t>
      </w:r>
      <w:r w:rsidRPr="00650C77">
        <w:rPr>
          <w:rFonts w:ascii="Arial" w:hAnsi="Arial" w:cs="Arial"/>
          <w:color w:val="000000" w:themeColor="text1"/>
          <w:sz w:val="22"/>
          <w:szCs w:val="22"/>
        </w:rPr>
        <w:t>. Cambridge: Cambridge University Press.</w:t>
      </w:r>
    </w:p>
    <w:p w14:paraId="77202103"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Thornicroft, G., </w:t>
      </w:r>
      <w:proofErr w:type="spellStart"/>
      <w:r w:rsidRPr="00650C77">
        <w:rPr>
          <w:rFonts w:ascii="Arial" w:hAnsi="Arial" w:cs="Arial"/>
          <w:color w:val="000000" w:themeColor="text1"/>
          <w:sz w:val="22"/>
          <w:szCs w:val="22"/>
        </w:rPr>
        <w:t>Tansella</w:t>
      </w:r>
      <w:proofErr w:type="spellEnd"/>
      <w:r w:rsidRPr="00650C77">
        <w:rPr>
          <w:rFonts w:ascii="Arial" w:hAnsi="Arial" w:cs="Arial"/>
          <w:color w:val="000000" w:themeColor="text1"/>
          <w:sz w:val="22"/>
          <w:szCs w:val="22"/>
        </w:rPr>
        <w:t xml:space="preserve">, M. and Law, A. (2022) </w:t>
      </w:r>
      <w:r w:rsidRPr="00650C77">
        <w:rPr>
          <w:rStyle w:val="Emphasis"/>
          <w:rFonts w:ascii="Arial" w:eastAsiaTheme="majorEastAsia" w:hAnsi="Arial" w:cs="Arial"/>
          <w:color w:val="000000" w:themeColor="text1"/>
          <w:sz w:val="22"/>
          <w:szCs w:val="22"/>
        </w:rPr>
        <w:t>Community mental health care</w:t>
      </w:r>
      <w:r w:rsidRPr="00650C77">
        <w:rPr>
          <w:rFonts w:ascii="Arial" w:hAnsi="Arial" w:cs="Arial"/>
          <w:color w:val="000000" w:themeColor="text1"/>
          <w:sz w:val="22"/>
          <w:szCs w:val="22"/>
        </w:rPr>
        <w:t>. Oxford: Oxford University Press.</w:t>
      </w:r>
    </w:p>
    <w:p w14:paraId="269F74CA"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lastRenderedPageBreak/>
        <w:t xml:space="preserve">Uehling, N. (2025) ‘Mismatch between clinical and recovery goals’, </w:t>
      </w:r>
      <w:r w:rsidRPr="00650C77">
        <w:rPr>
          <w:rStyle w:val="Emphasis"/>
          <w:rFonts w:ascii="Arial" w:eastAsiaTheme="majorEastAsia" w:hAnsi="Arial" w:cs="Arial"/>
          <w:color w:val="000000" w:themeColor="text1"/>
          <w:sz w:val="22"/>
          <w:szCs w:val="22"/>
        </w:rPr>
        <w:t>Mental Health &amp; Society</w:t>
      </w:r>
      <w:r w:rsidRPr="00650C77">
        <w:rPr>
          <w:rFonts w:ascii="Arial" w:hAnsi="Arial" w:cs="Arial"/>
          <w:color w:val="000000" w:themeColor="text1"/>
          <w:sz w:val="22"/>
          <w:szCs w:val="22"/>
        </w:rPr>
        <w:t>, 17(2), pp. 101–114.</w:t>
      </w:r>
    </w:p>
    <w:p w14:paraId="4E50373C"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van Veldhuizen, J. (2007) ‘FACT: A Dutch approach’, </w:t>
      </w:r>
      <w:r w:rsidRPr="00650C77">
        <w:rPr>
          <w:rStyle w:val="Emphasis"/>
          <w:rFonts w:ascii="Arial" w:eastAsiaTheme="majorEastAsia" w:hAnsi="Arial" w:cs="Arial"/>
          <w:color w:val="000000" w:themeColor="text1"/>
          <w:sz w:val="22"/>
          <w:szCs w:val="22"/>
        </w:rPr>
        <w:t>Community Mental Health Journal</w:t>
      </w:r>
      <w:r w:rsidRPr="00650C77">
        <w:rPr>
          <w:rFonts w:ascii="Arial" w:hAnsi="Arial" w:cs="Arial"/>
          <w:color w:val="000000" w:themeColor="text1"/>
          <w:sz w:val="22"/>
          <w:szCs w:val="22"/>
        </w:rPr>
        <w:t>, 43(4), pp. 421–433.</w:t>
      </w:r>
    </w:p>
    <w:p w14:paraId="30B0C49A" w14:textId="3C72D06F" w:rsidR="00885DAC" w:rsidRPr="00650C77" w:rsidRDefault="00885DAC"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Wagner, E.H., Austin, B.T. and Von Korff, M. (1996) ‘Organizing care for patients with chronic illness’, </w:t>
      </w:r>
      <w:r w:rsidRPr="00650C77">
        <w:rPr>
          <w:rStyle w:val="Emphasis"/>
          <w:rFonts w:ascii="Arial" w:eastAsiaTheme="majorEastAsia" w:hAnsi="Arial" w:cs="Arial"/>
          <w:color w:val="000000" w:themeColor="text1"/>
          <w:sz w:val="22"/>
          <w:szCs w:val="22"/>
        </w:rPr>
        <w:t>The Milbank Quarterly</w:t>
      </w:r>
      <w:r w:rsidRPr="00650C77">
        <w:rPr>
          <w:rFonts w:ascii="Arial" w:hAnsi="Arial" w:cs="Arial"/>
          <w:color w:val="000000" w:themeColor="text1"/>
          <w:sz w:val="22"/>
          <w:szCs w:val="22"/>
        </w:rPr>
        <w:t>, 74(4), pp. 511–544</w:t>
      </w:r>
    </w:p>
    <w:p w14:paraId="7663C811"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Welsh Government (2022) </w:t>
      </w:r>
      <w:r w:rsidRPr="00650C77">
        <w:rPr>
          <w:rStyle w:val="Emphasis"/>
          <w:rFonts w:ascii="Arial" w:eastAsiaTheme="majorEastAsia" w:hAnsi="Arial" w:cs="Arial"/>
          <w:color w:val="000000" w:themeColor="text1"/>
          <w:sz w:val="22"/>
          <w:szCs w:val="22"/>
        </w:rPr>
        <w:t>Together for Mental Health: Delivery plan</w:t>
      </w:r>
      <w:r w:rsidRPr="00650C77">
        <w:rPr>
          <w:rFonts w:ascii="Arial" w:hAnsi="Arial" w:cs="Arial"/>
          <w:color w:val="000000" w:themeColor="text1"/>
          <w:sz w:val="22"/>
          <w:szCs w:val="22"/>
        </w:rPr>
        <w:t xml:space="preserve">. Available at: </w:t>
      </w:r>
      <w:hyperlink r:id="rId36" w:tgtFrame="_new" w:history="1">
        <w:r w:rsidRPr="00650C77">
          <w:rPr>
            <w:rStyle w:val="Hyperlink"/>
            <w:rFonts w:ascii="Arial" w:eastAsiaTheme="majorEastAsia" w:hAnsi="Arial" w:cs="Arial"/>
            <w:color w:val="000000" w:themeColor="text1"/>
            <w:sz w:val="22"/>
            <w:szCs w:val="22"/>
            <w:u w:val="none"/>
          </w:rPr>
          <w:t>https://www.gov.wales/together-for-mental-health</w:t>
        </w:r>
      </w:hyperlink>
      <w:r w:rsidRPr="00650C77">
        <w:rPr>
          <w:rFonts w:ascii="Arial" w:hAnsi="Arial" w:cs="Arial"/>
          <w:color w:val="000000" w:themeColor="text1"/>
          <w:sz w:val="22"/>
          <w:szCs w:val="22"/>
        </w:rPr>
        <w:t xml:space="preserve"> (Accessed: 12 January 2026).</w:t>
      </w:r>
    </w:p>
    <w:p w14:paraId="6CFF3B1F"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World Health Organization (WHO) (2021) </w:t>
      </w:r>
      <w:r w:rsidRPr="00650C77">
        <w:rPr>
          <w:rStyle w:val="Emphasis"/>
          <w:rFonts w:ascii="Arial" w:eastAsiaTheme="majorEastAsia" w:hAnsi="Arial" w:cs="Arial"/>
          <w:color w:val="000000" w:themeColor="text1"/>
          <w:sz w:val="22"/>
          <w:szCs w:val="22"/>
        </w:rPr>
        <w:t>Mental Health Atlas</w:t>
      </w:r>
      <w:r w:rsidRPr="00650C77">
        <w:rPr>
          <w:rFonts w:ascii="Arial" w:hAnsi="Arial" w:cs="Arial"/>
          <w:color w:val="000000" w:themeColor="text1"/>
          <w:sz w:val="22"/>
          <w:szCs w:val="22"/>
        </w:rPr>
        <w:t xml:space="preserve">. Available at: </w:t>
      </w:r>
      <w:hyperlink r:id="rId37" w:tgtFrame="_new" w:history="1">
        <w:r w:rsidRPr="00650C77">
          <w:rPr>
            <w:rStyle w:val="Hyperlink"/>
            <w:rFonts w:ascii="Arial" w:eastAsiaTheme="majorEastAsia" w:hAnsi="Arial" w:cs="Arial"/>
            <w:color w:val="000000" w:themeColor="text1"/>
            <w:sz w:val="22"/>
            <w:szCs w:val="22"/>
            <w:u w:val="none"/>
          </w:rPr>
          <w:t>https://www.who.int/publications/i/item/9789240036703</w:t>
        </w:r>
      </w:hyperlink>
      <w:r w:rsidRPr="00650C77">
        <w:rPr>
          <w:rFonts w:ascii="Arial" w:hAnsi="Arial" w:cs="Arial"/>
          <w:color w:val="000000" w:themeColor="text1"/>
          <w:sz w:val="22"/>
          <w:szCs w:val="22"/>
        </w:rPr>
        <w:t xml:space="preserve"> (Accessed: 12 January 2026).</w:t>
      </w:r>
    </w:p>
    <w:p w14:paraId="168BF359" w14:textId="77777777" w:rsidR="007401FA" w:rsidRPr="00650C77" w:rsidRDefault="007401FA" w:rsidP="007401FA">
      <w:pPr>
        <w:pStyle w:val="NormalWeb"/>
        <w:spacing w:line="360" w:lineRule="auto"/>
        <w:jc w:val="both"/>
        <w:rPr>
          <w:rFonts w:ascii="Arial" w:hAnsi="Arial" w:cs="Arial"/>
          <w:color w:val="000000" w:themeColor="text1"/>
          <w:sz w:val="22"/>
          <w:szCs w:val="22"/>
        </w:rPr>
      </w:pPr>
      <w:r w:rsidRPr="00650C77">
        <w:rPr>
          <w:rFonts w:ascii="Arial" w:hAnsi="Arial" w:cs="Arial"/>
          <w:color w:val="000000" w:themeColor="text1"/>
          <w:sz w:val="22"/>
          <w:szCs w:val="22"/>
        </w:rPr>
        <w:t xml:space="preserve">World Health Organization (WHO) (2023) </w:t>
      </w:r>
      <w:r w:rsidRPr="00650C77">
        <w:rPr>
          <w:rStyle w:val="Emphasis"/>
          <w:rFonts w:ascii="Arial" w:eastAsiaTheme="majorEastAsia" w:hAnsi="Arial" w:cs="Arial"/>
          <w:color w:val="000000" w:themeColor="text1"/>
          <w:sz w:val="22"/>
          <w:szCs w:val="22"/>
        </w:rPr>
        <w:t>Schizophrenia fact sheet</w:t>
      </w:r>
      <w:r w:rsidRPr="00650C77">
        <w:rPr>
          <w:rFonts w:ascii="Arial" w:hAnsi="Arial" w:cs="Arial"/>
          <w:color w:val="000000" w:themeColor="text1"/>
          <w:sz w:val="22"/>
          <w:szCs w:val="22"/>
        </w:rPr>
        <w:t xml:space="preserve">. Available at: </w:t>
      </w:r>
      <w:hyperlink r:id="rId38" w:tgtFrame="_new" w:history="1">
        <w:r w:rsidRPr="00650C77">
          <w:rPr>
            <w:rStyle w:val="Hyperlink"/>
            <w:rFonts w:ascii="Arial" w:eastAsiaTheme="majorEastAsia" w:hAnsi="Arial" w:cs="Arial"/>
            <w:color w:val="000000" w:themeColor="text1"/>
            <w:sz w:val="22"/>
            <w:szCs w:val="22"/>
            <w:u w:val="none"/>
          </w:rPr>
          <w:t>https://www.who.int/news-room/fact-sheets/detail/schizophrenia</w:t>
        </w:r>
      </w:hyperlink>
      <w:r w:rsidRPr="00650C77">
        <w:rPr>
          <w:rFonts w:ascii="Arial" w:hAnsi="Arial" w:cs="Arial"/>
          <w:color w:val="000000" w:themeColor="text1"/>
          <w:sz w:val="22"/>
          <w:szCs w:val="22"/>
        </w:rPr>
        <w:t xml:space="preserve"> (Accessed: 12 January 2026).</w:t>
      </w:r>
    </w:p>
    <w:p w14:paraId="5CB9C536" w14:textId="77777777" w:rsidR="00956E50" w:rsidRPr="00650C77" w:rsidRDefault="00956E50" w:rsidP="00956E50">
      <w:pPr>
        <w:spacing w:before="100" w:beforeAutospacing="1" w:after="100" w:afterAutospacing="1" w:line="360" w:lineRule="auto"/>
        <w:ind w:right="113"/>
        <w:jc w:val="both"/>
        <w:rPr>
          <w:rFonts w:ascii="Arial" w:eastAsia="Times New Roman" w:hAnsi="Arial" w:cs="Arial"/>
          <w:color w:val="000000" w:themeColor="text1"/>
          <w:kern w:val="0"/>
          <w:lang w:eastAsia="en-GB"/>
          <w14:ligatures w14:val="none"/>
        </w:rPr>
      </w:pPr>
      <w:r w:rsidRPr="00650C77">
        <w:rPr>
          <w:rFonts w:ascii="Arial" w:eastAsia="Times New Roman" w:hAnsi="Arial" w:cs="Arial"/>
          <w:color w:val="000000" w:themeColor="text1"/>
          <w:kern w:val="0"/>
          <w:lang w:eastAsia="en-GB"/>
          <w14:ligatures w14:val="none"/>
        </w:rPr>
        <w:t xml:space="preserve">Whiskey, E. et al. (2022) ‘Clozapine prescribing barriers’, </w:t>
      </w:r>
      <w:r w:rsidRPr="00650C77">
        <w:rPr>
          <w:rFonts w:ascii="Arial" w:eastAsia="Times New Roman" w:hAnsi="Arial" w:cs="Arial"/>
          <w:i/>
          <w:iCs/>
          <w:color w:val="000000" w:themeColor="text1"/>
          <w:kern w:val="0"/>
          <w:lang w:eastAsia="en-GB"/>
          <w14:ligatures w14:val="none"/>
        </w:rPr>
        <w:t>Therapeutic Advances in Psychopharmacology</w:t>
      </w:r>
      <w:r w:rsidRPr="00650C77">
        <w:rPr>
          <w:rFonts w:ascii="Arial" w:eastAsia="Times New Roman" w:hAnsi="Arial" w:cs="Arial"/>
          <w:color w:val="000000" w:themeColor="text1"/>
          <w:kern w:val="0"/>
          <w:lang w:eastAsia="en-GB"/>
          <w14:ligatures w14:val="none"/>
        </w:rPr>
        <w:t>, 12, pp. 1–12.</w:t>
      </w:r>
    </w:p>
    <w:p w14:paraId="0C97B702" w14:textId="77777777" w:rsidR="00D632FC" w:rsidRPr="00650C77" w:rsidRDefault="00D632FC" w:rsidP="007401FA">
      <w:pPr>
        <w:pStyle w:val="NormalWeb"/>
        <w:spacing w:line="360" w:lineRule="auto"/>
        <w:jc w:val="both"/>
        <w:rPr>
          <w:rFonts w:ascii="Arial" w:hAnsi="Arial" w:cs="Arial"/>
          <w:color w:val="000000" w:themeColor="text1"/>
          <w:sz w:val="22"/>
          <w:szCs w:val="22"/>
        </w:rPr>
      </w:pPr>
    </w:p>
    <w:p w14:paraId="4E09A8E7" w14:textId="77777777" w:rsidR="00D632FC" w:rsidRPr="00650C77" w:rsidRDefault="00D632FC" w:rsidP="007401FA">
      <w:pPr>
        <w:pStyle w:val="NormalWeb"/>
        <w:spacing w:line="360" w:lineRule="auto"/>
        <w:jc w:val="both"/>
        <w:rPr>
          <w:rFonts w:ascii="Arial" w:hAnsi="Arial" w:cs="Arial"/>
          <w:color w:val="000000" w:themeColor="text1"/>
          <w:sz w:val="22"/>
          <w:szCs w:val="22"/>
        </w:rPr>
      </w:pPr>
    </w:p>
    <w:p w14:paraId="46D439F5" w14:textId="77777777" w:rsidR="00D632FC" w:rsidRPr="00650C77" w:rsidRDefault="00D632FC" w:rsidP="007401FA">
      <w:pPr>
        <w:pStyle w:val="NormalWeb"/>
        <w:spacing w:line="360" w:lineRule="auto"/>
        <w:jc w:val="both"/>
        <w:rPr>
          <w:rFonts w:ascii="Arial" w:hAnsi="Arial" w:cs="Arial"/>
          <w:color w:val="000000" w:themeColor="text1"/>
          <w:sz w:val="22"/>
          <w:szCs w:val="22"/>
        </w:rPr>
      </w:pPr>
    </w:p>
    <w:p w14:paraId="29723F13" w14:textId="77777777" w:rsidR="00D632FC" w:rsidRPr="00650C77" w:rsidRDefault="00D632FC" w:rsidP="007401FA">
      <w:pPr>
        <w:pStyle w:val="NormalWeb"/>
        <w:spacing w:line="360" w:lineRule="auto"/>
        <w:jc w:val="both"/>
        <w:rPr>
          <w:rFonts w:ascii="Arial" w:hAnsi="Arial" w:cs="Arial"/>
          <w:color w:val="000000" w:themeColor="text1"/>
          <w:sz w:val="22"/>
          <w:szCs w:val="22"/>
        </w:rPr>
      </w:pPr>
    </w:p>
    <w:p w14:paraId="244C5C11" w14:textId="77777777" w:rsidR="00D632FC" w:rsidRPr="00650C77" w:rsidRDefault="00D632FC" w:rsidP="007401FA">
      <w:pPr>
        <w:pStyle w:val="NormalWeb"/>
        <w:spacing w:line="360" w:lineRule="auto"/>
        <w:jc w:val="both"/>
        <w:rPr>
          <w:rFonts w:ascii="Arial" w:hAnsi="Arial" w:cs="Arial"/>
          <w:color w:val="000000" w:themeColor="text1"/>
          <w:sz w:val="22"/>
          <w:szCs w:val="22"/>
        </w:rPr>
      </w:pPr>
    </w:p>
    <w:p w14:paraId="1BAC1147" w14:textId="77777777" w:rsidR="00142483" w:rsidRPr="00650C77" w:rsidRDefault="00142483" w:rsidP="00D632FC">
      <w:pPr>
        <w:pStyle w:val="NormalWeb"/>
        <w:spacing w:line="360" w:lineRule="auto"/>
        <w:jc w:val="both"/>
        <w:rPr>
          <w:rFonts w:ascii="Arial" w:hAnsi="Arial" w:cs="Arial"/>
          <w:color w:val="000000" w:themeColor="text1"/>
          <w:sz w:val="22"/>
          <w:szCs w:val="22"/>
        </w:rPr>
      </w:pPr>
    </w:p>
    <w:p w14:paraId="368E6209" w14:textId="77777777" w:rsidR="00974AF9" w:rsidRDefault="00974AF9" w:rsidP="00D632FC">
      <w:pPr>
        <w:pStyle w:val="NormalWeb"/>
        <w:spacing w:line="360" w:lineRule="auto"/>
        <w:jc w:val="both"/>
        <w:rPr>
          <w:rFonts w:ascii="Arial" w:hAnsi="Arial" w:cs="Arial"/>
          <w:b/>
          <w:bCs/>
          <w:color w:val="000000" w:themeColor="text1"/>
          <w:sz w:val="32"/>
          <w:szCs w:val="32"/>
        </w:rPr>
      </w:pPr>
    </w:p>
    <w:p w14:paraId="1B16322F" w14:textId="77777777" w:rsidR="00974AF9" w:rsidRDefault="00974AF9" w:rsidP="00D632FC">
      <w:pPr>
        <w:pStyle w:val="NormalWeb"/>
        <w:spacing w:line="360" w:lineRule="auto"/>
        <w:jc w:val="both"/>
        <w:rPr>
          <w:rFonts w:ascii="Arial" w:hAnsi="Arial" w:cs="Arial"/>
          <w:b/>
          <w:bCs/>
          <w:color w:val="000000" w:themeColor="text1"/>
          <w:sz w:val="32"/>
          <w:szCs w:val="32"/>
        </w:rPr>
      </w:pPr>
    </w:p>
    <w:p w14:paraId="58F26BB0" w14:textId="77777777" w:rsidR="00974AF9" w:rsidRDefault="00974AF9" w:rsidP="00D632FC">
      <w:pPr>
        <w:pStyle w:val="NormalWeb"/>
        <w:spacing w:line="360" w:lineRule="auto"/>
        <w:jc w:val="both"/>
        <w:rPr>
          <w:rFonts w:ascii="Arial" w:hAnsi="Arial" w:cs="Arial"/>
          <w:b/>
          <w:bCs/>
          <w:color w:val="000000" w:themeColor="text1"/>
          <w:sz w:val="32"/>
          <w:szCs w:val="32"/>
        </w:rPr>
      </w:pPr>
    </w:p>
    <w:p w14:paraId="568E8E56" w14:textId="3D9003E6" w:rsidR="008F5DC8" w:rsidRPr="00650C77" w:rsidRDefault="00D632FC" w:rsidP="00D632FC">
      <w:pPr>
        <w:pStyle w:val="NormalWeb"/>
        <w:spacing w:line="360" w:lineRule="auto"/>
        <w:jc w:val="both"/>
        <w:rPr>
          <w:rFonts w:ascii="Arial" w:hAnsi="Arial" w:cs="Arial"/>
          <w:color w:val="000000" w:themeColor="text1"/>
          <w:sz w:val="22"/>
          <w:szCs w:val="22"/>
        </w:rPr>
      </w:pPr>
      <w:r w:rsidRPr="00650C77">
        <w:rPr>
          <w:rFonts w:ascii="Arial" w:hAnsi="Arial" w:cs="Arial"/>
          <w:b/>
          <w:bCs/>
          <w:color w:val="000000" w:themeColor="text1"/>
          <w:sz w:val="32"/>
          <w:szCs w:val="32"/>
        </w:rPr>
        <w:lastRenderedPageBreak/>
        <w:t xml:space="preserve">Chapter-7   </w:t>
      </w:r>
      <w:r w:rsidR="005D4123" w:rsidRPr="00650C77">
        <w:rPr>
          <w:rFonts w:ascii="Arial" w:hAnsi="Arial" w:cs="Arial"/>
          <w:b/>
          <w:bCs/>
          <w:color w:val="000000" w:themeColor="text1"/>
          <w:sz w:val="32"/>
          <w:szCs w:val="32"/>
        </w:rPr>
        <w:t>Appendix:</w:t>
      </w:r>
    </w:p>
    <w:p w14:paraId="5EB63D5A" w14:textId="3DD6051A" w:rsidR="00D632FC" w:rsidRPr="00650C77" w:rsidRDefault="00D632FC" w:rsidP="00D632FC">
      <w:pPr>
        <w:pStyle w:val="NormalWeb"/>
        <w:spacing w:line="360" w:lineRule="auto"/>
        <w:jc w:val="both"/>
        <w:rPr>
          <w:rFonts w:ascii="Arial" w:hAnsi="Arial" w:cs="Arial"/>
          <w:b/>
          <w:bCs/>
          <w:color w:val="000000" w:themeColor="text1"/>
          <w:sz w:val="32"/>
          <w:szCs w:val="32"/>
        </w:rPr>
      </w:pPr>
      <w:r w:rsidRPr="00650C77">
        <w:rPr>
          <w:rFonts w:ascii="Arial" w:eastAsiaTheme="majorEastAsia" w:hAnsi="Arial" w:cs="Arial"/>
          <w:b/>
          <w:bCs/>
          <w:color w:val="000000" w:themeColor="text1"/>
          <w:sz w:val="28"/>
          <w:szCs w:val="28"/>
        </w:rPr>
        <w:t xml:space="preserve">Appendix 7.1 </w:t>
      </w:r>
      <w:r w:rsidRPr="00650C77">
        <w:rPr>
          <w:rFonts w:ascii="Arial" w:hAnsi="Arial" w:cs="Arial"/>
          <w:b/>
          <w:bCs/>
          <w:color w:val="000000" w:themeColor="text1"/>
          <w:sz w:val="28"/>
          <w:szCs w:val="28"/>
        </w:rPr>
        <w:t>Source Tracking Table:</w:t>
      </w:r>
    </w:p>
    <w:tbl>
      <w:tblPr>
        <w:tblStyle w:val="TableGrid"/>
        <w:tblW w:w="0" w:type="auto"/>
        <w:tblInd w:w="-113" w:type="dxa"/>
        <w:tblLayout w:type="fixed"/>
        <w:tblLook w:val="04A0" w:firstRow="1" w:lastRow="0" w:firstColumn="1" w:lastColumn="0" w:noHBand="0" w:noVBand="1"/>
      </w:tblPr>
      <w:tblGrid>
        <w:gridCol w:w="760"/>
        <w:gridCol w:w="1175"/>
        <w:gridCol w:w="1418"/>
        <w:gridCol w:w="2284"/>
        <w:gridCol w:w="2268"/>
        <w:gridCol w:w="951"/>
      </w:tblGrid>
      <w:tr w:rsidR="00650C77" w:rsidRPr="00650C77" w14:paraId="41B7CBC6" w14:textId="77777777" w:rsidTr="004D0103">
        <w:tc>
          <w:tcPr>
            <w:tcW w:w="760" w:type="dxa"/>
            <w:shd w:val="clear" w:color="auto" w:fill="00B0F0"/>
          </w:tcPr>
          <w:p w14:paraId="3134DA86"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Saved?</w:t>
            </w:r>
          </w:p>
        </w:tc>
        <w:tc>
          <w:tcPr>
            <w:tcW w:w="1175" w:type="dxa"/>
            <w:shd w:val="clear" w:color="auto" w:fill="00B0F0"/>
          </w:tcPr>
          <w:p w14:paraId="53B00193"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Author &amp; Year</w:t>
            </w:r>
          </w:p>
        </w:tc>
        <w:tc>
          <w:tcPr>
            <w:tcW w:w="1418" w:type="dxa"/>
            <w:shd w:val="clear" w:color="auto" w:fill="00B0F0"/>
          </w:tcPr>
          <w:p w14:paraId="22393567"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Title</w:t>
            </w:r>
          </w:p>
        </w:tc>
        <w:tc>
          <w:tcPr>
            <w:tcW w:w="2284" w:type="dxa"/>
            <w:shd w:val="clear" w:color="auto" w:fill="00B0F0"/>
          </w:tcPr>
          <w:p w14:paraId="07C27176"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Summary</w:t>
            </w:r>
          </w:p>
        </w:tc>
        <w:tc>
          <w:tcPr>
            <w:tcW w:w="2268" w:type="dxa"/>
            <w:shd w:val="clear" w:color="auto" w:fill="00B0F0"/>
          </w:tcPr>
          <w:p w14:paraId="49876274"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CRAAP Notes</w:t>
            </w:r>
          </w:p>
        </w:tc>
        <w:tc>
          <w:tcPr>
            <w:tcW w:w="951" w:type="dxa"/>
            <w:shd w:val="clear" w:color="auto" w:fill="00B0F0"/>
          </w:tcPr>
          <w:p w14:paraId="69D8EAE2"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File Name / Link</w:t>
            </w:r>
          </w:p>
        </w:tc>
      </w:tr>
      <w:tr w:rsidR="00650C77" w:rsidRPr="00650C77" w14:paraId="4A7690E0" w14:textId="77777777" w:rsidTr="004D0103">
        <w:tc>
          <w:tcPr>
            <w:tcW w:w="760" w:type="dxa"/>
            <w:shd w:val="clear" w:color="auto" w:fill="D9E2F3" w:themeFill="accent1" w:themeFillTint="33"/>
          </w:tcPr>
          <w:p w14:paraId="43114571"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08A1EA14"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World Health Organization (2023)</w:t>
            </w:r>
          </w:p>
        </w:tc>
        <w:tc>
          <w:tcPr>
            <w:tcW w:w="1418" w:type="dxa"/>
            <w:shd w:val="clear" w:color="auto" w:fill="D9E2F3" w:themeFill="accent1" w:themeFillTint="33"/>
          </w:tcPr>
          <w:p w14:paraId="469DB591"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Schizophrenia Fact Sheet</w:t>
            </w:r>
          </w:p>
        </w:tc>
        <w:tc>
          <w:tcPr>
            <w:tcW w:w="2284" w:type="dxa"/>
            <w:shd w:val="clear" w:color="auto" w:fill="D9E2F3" w:themeFill="accent1" w:themeFillTint="33"/>
          </w:tcPr>
          <w:p w14:paraId="2B4B4D46"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Provides a global overview of schizophrenia, including prevalence, symptoms, and recommended treatment approaches. Used to define schizophrenia and establish global relevance.</w:t>
            </w:r>
          </w:p>
        </w:tc>
        <w:tc>
          <w:tcPr>
            <w:tcW w:w="2268" w:type="dxa"/>
            <w:shd w:val="clear" w:color="auto" w:fill="D9E2F3" w:themeFill="accent1" w:themeFillTint="33"/>
          </w:tcPr>
          <w:p w14:paraId="02E048DB"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2023; Relevance: High; Authority: WHO; Accuracy: Evidence-based; Purpose: Informative</w:t>
            </w:r>
          </w:p>
        </w:tc>
        <w:tc>
          <w:tcPr>
            <w:tcW w:w="951" w:type="dxa"/>
            <w:shd w:val="clear" w:color="auto" w:fill="D9E2F3" w:themeFill="accent1" w:themeFillTint="33"/>
          </w:tcPr>
          <w:p w14:paraId="7157A58A"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WHO_Schizophrenia_2023</w:t>
            </w:r>
          </w:p>
        </w:tc>
      </w:tr>
      <w:tr w:rsidR="00650C77" w:rsidRPr="00650C77" w14:paraId="036F1340" w14:textId="77777777" w:rsidTr="004D0103">
        <w:tc>
          <w:tcPr>
            <w:tcW w:w="760" w:type="dxa"/>
            <w:shd w:val="clear" w:color="auto" w:fill="D9E2F3" w:themeFill="accent1" w:themeFillTint="33"/>
          </w:tcPr>
          <w:p w14:paraId="41A0C7F4"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5023A8AB"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NHS England (2022)</w:t>
            </w:r>
          </w:p>
        </w:tc>
        <w:tc>
          <w:tcPr>
            <w:tcW w:w="1418" w:type="dxa"/>
            <w:shd w:val="clear" w:color="auto" w:fill="D9E2F3" w:themeFill="accent1" w:themeFillTint="33"/>
          </w:tcPr>
          <w:p w14:paraId="030A7779"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Mental Health Services: Access and Waiting Times</w:t>
            </w:r>
          </w:p>
        </w:tc>
        <w:tc>
          <w:tcPr>
            <w:tcW w:w="2284" w:type="dxa"/>
            <w:shd w:val="clear" w:color="auto" w:fill="D9E2F3" w:themeFill="accent1" w:themeFillTint="33"/>
          </w:tcPr>
          <w:p w14:paraId="43961E25"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Presents national data on access, waiting times, and performance of mental health services in England, including EIP standards.</w:t>
            </w:r>
          </w:p>
        </w:tc>
        <w:tc>
          <w:tcPr>
            <w:tcW w:w="2268" w:type="dxa"/>
            <w:shd w:val="clear" w:color="auto" w:fill="D9E2F3" w:themeFill="accent1" w:themeFillTint="33"/>
          </w:tcPr>
          <w:p w14:paraId="710F4C54"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Recent; Relevance: UK services; Authority: NHS; Accuracy: Official data; Purpose: Evaluation</w:t>
            </w:r>
          </w:p>
        </w:tc>
        <w:tc>
          <w:tcPr>
            <w:tcW w:w="951" w:type="dxa"/>
            <w:shd w:val="clear" w:color="auto" w:fill="D9E2F3" w:themeFill="accent1" w:themeFillTint="33"/>
          </w:tcPr>
          <w:p w14:paraId="72F03005"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NHS_MH_Access_2022</w:t>
            </w:r>
          </w:p>
        </w:tc>
      </w:tr>
      <w:tr w:rsidR="00650C77" w:rsidRPr="00650C77" w14:paraId="24F20680" w14:textId="77777777" w:rsidTr="004D0103">
        <w:tc>
          <w:tcPr>
            <w:tcW w:w="760" w:type="dxa"/>
            <w:shd w:val="clear" w:color="auto" w:fill="D9E2F3" w:themeFill="accent1" w:themeFillTint="33"/>
          </w:tcPr>
          <w:p w14:paraId="57423339"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21B3FBA8"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Care Quality Commission (2023)</w:t>
            </w:r>
          </w:p>
        </w:tc>
        <w:tc>
          <w:tcPr>
            <w:tcW w:w="1418" w:type="dxa"/>
            <w:shd w:val="clear" w:color="auto" w:fill="D9E2F3" w:themeFill="accent1" w:themeFillTint="33"/>
          </w:tcPr>
          <w:p w14:paraId="10CA2FBB"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Mental Health Services Annual Report</w:t>
            </w:r>
          </w:p>
        </w:tc>
        <w:tc>
          <w:tcPr>
            <w:tcW w:w="2284" w:type="dxa"/>
            <w:shd w:val="clear" w:color="auto" w:fill="D9E2F3" w:themeFill="accent1" w:themeFillTint="33"/>
          </w:tcPr>
          <w:p w14:paraId="3795C84A"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Examines quality, safety, workforce pressures, and inequalities across NHS mental health services.</w:t>
            </w:r>
          </w:p>
        </w:tc>
        <w:tc>
          <w:tcPr>
            <w:tcW w:w="2268" w:type="dxa"/>
            <w:shd w:val="clear" w:color="auto" w:fill="D9E2F3" w:themeFill="accent1" w:themeFillTint="33"/>
          </w:tcPr>
          <w:p w14:paraId="083190EF"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Current; Relevance: Service delivery; Authority: Regulator; Accuracy: Inspection-based; Purpose: Monitoring</w:t>
            </w:r>
          </w:p>
        </w:tc>
        <w:tc>
          <w:tcPr>
            <w:tcW w:w="951" w:type="dxa"/>
            <w:shd w:val="clear" w:color="auto" w:fill="D9E2F3" w:themeFill="accent1" w:themeFillTint="33"/>
          </w:tcPr>
          <w:p w14:paraId="7091D053"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CQC_MH_Report_2023</w:t>
            </w:r>
          </w:p>
        </w:tc>
      </w:tr>
      <w:tr w:rsidR="00650C77" w:rsidRPr="00650C77" w14:paraId="56806DB8" w14:textId="77777777" w:rsidTr="004D0103">
        <w:tc>
          <w:tcPr>
            <w:tcW w:w="760" w:type="dxa"/>
            <w:shd w:val="clear" w:color="auto" w:fill="D9E2F3" w:themeFill="accent1" w:themeFillTint="33"/>
          </w:tcPr>
          <w:p w14:paraId="73F02A33"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5F8FCE3A"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NICE (2020)</w:t>
            </w:r>
          </w:p>
        </w:tc>
        <w:tc>
          <w:tcPr>
            <w:tcW w:w="1418" w:type="dxa"/>
            <w:shd w:val="clear" w:color="auto" w:fill="D9E2F3" w:themeFill="accent1" w:themeFillTint="33"/>
          </w:tcPr>
          <w:p w14:paraId="2AE76FE6"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Psychosis and Schizophrenia in Adults (NG222)</w:t>
            </w:r>
          </w:p>
        </w:tc>
        <w:tc>
          <w:tcPr>
            <w:tcW w:w="2284" w:type="dxa"/>
            <w:shd w:val="clear" w:color="auto" w:fill="D9E2F3" w:themeFill="accent1" w:themeFillTint="33"/>
          </w:tcPr>
          <w:p w14:paraId="0BBC8274"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National clinical guideline outlining recommended pharmacological, psychological, and social interventions for schizophrenia.</w:t>
            </w:r>
          </w:p>
        </w:tc>
        <w:tc>
          <w:tcPr>
            <w:tcW w:w="2268" w:type="dxa"/>
            <w:shd w:val="clear" w:color="auto" w:fill="D9E2F3" w:themeFill="accent1" w:themeFillTint="33"/>
          </w:tcPr>
          <w:p w14:paraId="59E562F2"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Current; Relevance: Core guidance; Authority: NICE; Accuracy: Systematic reviews; Purpose: Clinical guidance</w:t>
            </w:r>
          </w:p>
        </w:tc>
        <w:tc>
          <w:tcPr>
            <w:tcW w:w="951" w:type="dxa"/>
            <w:shd w:val="clear" w:color="auto" w:fill="D9E2F3" w:themeFill="accent1" w:themeFillTint="33"/>
          </w:tcPr>
          <w:p w14:paraId="5011D0B4"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NICE_NG222_2020</w:t>
            </w:r>
          </w:p>
        </w:tc>
      </w:tr>
      <w:tr w:rsidR="00650C77" w:rsidRPr="00650C77" w14:paraId="2E2A177B" w14:textId="77777777" w:rsidTr="004D0103">
        <w:tc>
          <w:tcPr>
            <w:tcW w:w="760" w:type="dxa"/>
            <w:shd w:val="clear" w:color="auto" w:fill="D9E2F3" w:themeFill="accent1" w:themeFillTint="33"/>
          </w:tcPr>
          <w:p w14:paraId="17FE0E01"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086BEDE5"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Thornicroft et al. (2022)</w:t>
            </w:r>
          </w:p>
        </w:tc>
        <w:tc>
          <w:tcPr>
            <w:tcW w:w="1418" w:type="dxa"/>
            <w:shd w:val="clear" w:color="auto" w:fill="D9E2F3" w:themeFill="accent1" w:themeFillTint="33"/>
          </w:tcPr>
          <w:p w14:paraId="2F922024"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Community Mental Health Care</w:t>
            </w:r>
          </w:p>
        </w:tc>
        <w:tc>
          <w:tcPr>
            <w:tcW w:w="2284" w:type="dxa"/>
            <w:shd w:val="clear" w:color="auto" w:fill="D9E2F3" w:themeFill="accent1" w:themeFillTint="33"/>
          </w:tcPr>
          <w:p w14:paraId="13E7D687"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Explores effectiveness of community-based mental health services and continuity of care for severe mental illness.</w:t>
            </w:r>
          </w:p>
        </w:tc>
        <w:tc>
          <w:tcPr>
            <w:tcW w:w="2268" w:type="dxa"/>
            <w:shd w:val="clear" w:color="auto" w:fill="D9E2F3" w:themeFill="accent1" w:themeFillTint="33"/>
          </w:tcPr>
          <w:p w14:paraId="401DBD87"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Recent; Relevance: Community care; Authority: Academic experts; Accuracy: Evidence-based; Purpose: Scholarly</w:t>
            </w:r>
          </w:p>
        </w:tc>
        <w:tc>
          <w:tcPr>
            <w:tcW w:w="951" w:type="dxa"/>
            <w:shd w:val="clear" w:color="auto" w:fill="D9E2F3" w:themeFill="accent1" w:themeFillTint="33"/>
          </w:tcPr>
          <w:p w14:paraId="4FFCBEA1"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Thornicroft_2022</w:t>
            </w:r>
          </w:p>
        </w:tc>
      </w:tr>
      <w:tr w:rsidR="00650C77" w:rsidRPr="00650C77" w14:paraId="5167D989" w14:textId="77777777" w:rsidTr="004D0103">
        <w:tc>
          <w:tcPr>
            <w:tcW w:w="760" w:type="dxa"/>
            <w:shd w:val="clear" w:color="auto" w:fill="D9E2F3" w:themeFill="accent1" w:themeFillTint="33"/>
          </w:tcPr>
          <w:p w14:paraId="1FD3A03A"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14B6A30B"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Leucht et al. (2019)</w:t>
            </w:r>
          </w:p>
        </w:tc>
        <w:tc>
          <w:tcPr>
            <w:tcW w:w="1418" w:type="dxa"/>
            <w:shd w:val="clear" w:color="auto" w:fill="D9E2F3" w:themeFill="accent1" w:themeFillTint="33"/>
          </w:tcPr>
          <w:p w14:paraId="3D99ABE5"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Antipsychotic Drugs versus Placebo for Relapse Prevention</w:t>
            </w:r>
          </w:p>
        </w:tc>
        <w:tc>
          <w:tcPr>
            <w:tcW w:w="2284" w:type="dxa"/>
            <w:shd w:val="clear" w:color="auto" w:fill="D9E2F3" w:themeFill="accent1" w:themeFillTint="33"/>
          </w:tcPr>
          <w:p w14:paraId="4B64544C"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Meta-analysis demonstrating the effectiveness of antipsychotic medication in preventing relapse in schizophrenia.</w:t>
            </w:r>
          </w:p>
        </w:tc>
        <w:tc>
          <w:tcPr>
            <w:tcW w:w="2268" w:type="dxa"/>
            <w:shd w:val="clear" w:color="auto" w:fill="D9E2F3" w:themeFill="accent1" w:themeFillTint="33"/>
          </w:tcPr>
          <w:p w14:paraId="6302B4DC"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Seminal; Relevance: Treatment effectiveness; Authority: Lancet Psychiatry; Accuracy: Meta-analysis; Purpose: Scientific</w:t>
            </w:r>
          </w:p>
        </w:tc>
        <w:tc>
          <w:tcPr>
            <w:tcW w:w="951" w:type="dxa"/>
            <w:shd w:val="clear" w:color="auto" w:fill="D9E2F3" w:themeFill="accent1" w:themeFillTint="33"/>
          </w:tcPr>
          <w:p w14:paraId="79E1402C"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Leucht_2019</w:t>
            </w:r>
          </w:p>
        </w:tc>
      </w:tr>
      <w:tr w:rsidR="00650C77" w:rsidRPr="00650C77" w14:paraId="1D5D81FD" w14:textId="77777777" w:rsidTr="004D0103">
        <w:tc>
          <w:tcPr>
            <w:tcW w:w="760" w:type="dxa"/>
            <w:shd w:val="clear" w:color="auto" w:fill="D9E2F3" w:themeFill="accent1" w:themeFillTint="33"/>
          </w:tcPr>
          <w:p w14:paraId="181138DC"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67BF0C76"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Birchwood et al. (2000)</w:t>
            </w:r>
          </w:p>
        </w:tc>
        <w:tc>
          <w:tcPr>
            <w:tcW w:w="1418" w:type="dxa"/>
            <w:shd w:val="clear" w:color="auto" w:fill="D9E2F3" w:themeFill="accent1" w:themeFillTint="33"/>
          </w:tcPr>
          <w:p w14:paraId="274E0214"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Early Intervention in Psychosis</w:t>
            </w:r>
          </w:p>
        </w:tc>
        <w:tc>
          <w:tcPr>
            <w:tcW w:w="2284" w:type="dxa"/>
            <w:shd w:val="clear" w:color="auto" w:fill="D9E2F3" w:themeFill="accent1" w:themeFillTint="33"/>
          </w:tcPr>
          <w:p w14:paraId="76B292BA"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Seminal study establishing the critical period hypothesis underpinning Early Intervention in Psychosis services.</w:t>
            </w:r>
          </w:p>
        </w:tc>
        <w:tc>
          <w:tcPr>
            <w:tcW w:w="2268" w:type="dxa"/>
            <w:shd w:val="clear" w:color="auto" w:fill="D9E2F3" w:themeFill="accent1" w:themeFillTint="33"/>
          </w:tcPr>
          <w:p w14:paraId="3BB3E521"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Seminal; Relevance: EIP foundation; Authority: Peer-reviewed; Accuracy: Empirical; Purpose: Theory development</w:t>
            </w:r>
          </w:p>
        </w:tc>
        <w:tc>
          <w:tcPr>
            <w:tcW w:w="951" w:type="dxa"/>
            <w:shd w:val="clear" w:color="auto" w:fill="D9E2F3" w:themeFill="accent1" w:themeFillTint="33"/>
          </w:tcPr>
          <w:p w14:paraId="7F69EAB1"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Birchwood_2000</w:t>
            </w:r>
          </w:p>
        </w:tc>
      </w:tr>
      <w:tr w:rsidR="00650C77" w:rsidRPr="00650C77" w14:paraId="06E86AAF" w14:textId="77777777" w:rsidTr="004D0103">
        <w:tc>
          <w:tcPr>
            <w:tcW w:w="760" w:type="dxa"/>
            <w:shd w:val="clear" w:color="auto" w:fill="D9E2F3" w:themeFill="accent1" w:themeFillTint="33"/>
          </w:tcPr>
          <w:p w14:paraId="275079CA"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555CFAAC"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Rogers &amp; Pilgrim (2020)</w:t>
            </w:r>
          </w:p>
        </w:tc>
        <w:tc>
          <w:tcPr>
            <w:tcW w:w="1418" w:type="dxa"/>
            <w:shd w:val="clear" w:color="auto" w:fill="D9E2F3" w:themeFill="accent1" w:themeFillTint="33"/>
          </w:tcPr>
          <w:p w14:paraId="6B096C7A"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Mental Health Policy in Britain</w:t>
            </w:r>
          </w:p>
        </w:tc>
        <w:tc>
          <w:tcPr>
            <w:tcW w:w="2284" w:type="dxa"/>
            <w:shd w:val="clear" w:color="auto" w:fill="D9E2F3" w:themeFill="accent1" w:themeFillTint="33"/>
          </w:tcPr>
          <w:p w14:paraId="639375E9"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Provides historical and sociopolitical analysis of UK mental health policy and service development.</w:t>
            </w:r>
          </w:p>
        </w:tc>
        <w:tc>
          <w:tcPr>
            <w:tcW w:w="2268" w:type="dxa"/>
            <w:shd w:val="clear" w:color="auto" w:fill="D9E2F3" w:themeFill="accent1" w:themeFillTint="33"/>
          </w:tcPr>
          <w:p w14:paraId="2B1F5392"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Updated edition; Relevance: Policy context; Authority: Established authors; Accuracy: Scholarly synthesis; Purpose: Academic</w:t>
            </w:r>
          </w:p>
        </w:tc>
        <w:tc>
          <w:tcPr>
            <w:tcW w:w="951" w:type="dxa"/>
            <w:shd w:val="clear" w:color="auto" w:fill="D9E2F3" w:themeFill="accent1" w:themeFillTint="33"/>
          </w:tcPr>
          <w:p w14:paraId="6BD5DF67"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Rogers_Pilgrim_2020</w:t>
            </w:r>
          </w:p>
        </w:tc>
      </w:tr>
      <w:tr w:rsidR="00650C77" w:rsidRPr="00650C77" w14:paraId="4F65D5B6" w14:textId="77777777" w:rsidTr="004D0103">
        <w:tc>
          <w:tcPr>
            <w:tcW w:w="760" w:type="dxa"/>
            <w:shd w:val="clear" w:color="auto" w:fill="D9E2F3" w:themeFill="accent1" w:themeFillTint="33"/>
          </w:tcPr>
          <w:p w14:paraId="35D088C6"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1C1BEFB8"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Slade (2009)</w:t>
            </w:r>
          </w:p>
        </w:tc>
        <w:tc>
          <w:tcPr>
            <w:tcW w:w="1418" w:type="dxa"/>
            <w:shd w:val="clear" w:color="auto" w:fill="D9E2F3" w:themeFill="accent1" w:themeFillTint="33"/>
          </w:tcPr>
          <w:p w14:paraId="76C82CDF"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Personal Recovery and Mental Illness</w:t>
            </w:r>
          </w:p>
        </w:tc>
        <w:tc>
          <w:tcPr>
            <w:tcW w:w="2284" w:type="dxa"/>
            <w:shd w:val="clear" w:color="auto" w:fill="D9E2F3" w:themeFill="accent1" w:themeFillTint="33"/>
          </w:tcPr>
          <w:p w14:paraId="786E6EB4"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Defines recovery-oriented practice, focusing on meaningful life outcomes beyond symptom reduction.</w:t>
            </w:r>
          </w:p>
        </w:tc>
        <w:tc>
          <w:tcPr>
            <w:tcW w:w="2268" w:type="dxa"/>
            <w:shd w:val="clear" w:color="auto" w:fill="D9E2F3" w:themeFill="accent1" w:themeFillTint="33"/>
          </w:tcPr>
          <w:p w14:paraId="3F99EDCC"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Seminal; Relevance: Recovery framework; Authority: Leading scholar; Accuracy: Conceptual; Purpose: Theory</w:t>
            </w:r>
          </w:p>
        </w:tc>
        <w:tc>
          <w:tcPr>
            <w:tcW w:w="951" w:type="dxa"/>
            <w:shd w:val="clear" w:color="auto" w:fill="D9E2F3" w:themeFill="accent1" w:themeFillTint="33"/>
          </w:tcPr>
          <w:p w14:paraId="0F446F13"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Slade_2009</w:t>
            </w:r>
          </w:p>
        </w:tc>
      </w:tr>
      <w:tr w:rsidR="00650C77" w:rsidRPr="00650C77" w14:paraId="10612011" w14:textId="77777777" w:rsidTr="004D0103">
        <w:tc>
          <w:tcPr>
            <w:tcW w:w="760" w:type="dxa"/>
            <w:shd w:val="clear" w:color="auto" w:fill="D9E2F3" w:themeFill="accent1" w:themeFillTint="33"/>
          </w:tcPr>
          <w:p w14:paraId="10C48E99"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5F9F3123" w14:textId="77777777" w:rsidR="00D632FC" w:rsidRPr="00650C77" w:rsidRDefault="00D632FC" w:rsidP="004D0103">
            <w:pPr>
              <w:jc w:val="both"/>
              <w:rPr>
                <w:rFonts w:ascii="Arial" w:hAnsi="Arial" w:cs="Arial"/>
                <w:color w:val="000000" w:themeColor="text1"/>
                <w:sz w:val="16"/>
                <w:szCs w:val="16"/>
              </w:rPr>
            </w:pPr>
            <w:proofErr w:type="spellStart"/>
            <w:r w:rsidRPr="00650C77">
              <w:rPr>
                <w:rFonts w:ascii="Arial" w:hAnsi="Arial" w:cs="Arial"/>
                <w:color w:val="000000" w:themeColor="text1"/>
                <w:sz w:val="16"/>
                <w:szCs w:val="16"/>
              </w:rPr>
              <w:t>Nazroo</w:t>
            </w:r>
            <w:proofErr w:type="spellEnd"/>
            <w:r w:rsidRPr="00650C77">
              <w:rPr>
                <w:rFonts w:ascii="Arial" w:hAnsi="Arial" w:cs="Arial"/>
                <w:color w:val="000000" w:themeColor="text1"/>
                <w:sz w:val="16"/>
                <w:szCs w:val="16"/>
              </w:rPr>
              <w:t xml:space="preserve"> et al. (2019)</w:t>
            </w:r>
          </w:p>
        </w:tc>
        <w:tc>
          <w:tcPr>
            <w:tcW w:w="1418" w:type="dxa"/>
            <w:shd w:val="clear" w:color="auto" w:fill="D9E2F3" w:themeFill="accent1" w:themeFillTint="33"/>
          </w:tcPr>
          <w:p w14:paraId="792CF656"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Structural Racism and Mental Health Inequalities</w:t>
            </w:r>
          </w:p>
        </w:tc>
        <w:tc>
          <w:tcPr>
            <w:tcW w:w="2284" w:type="dxa"/>
            <w:shd w:val="clear" w:color="auto" w:fill="D9E2F3" w:themeFill="accent1" w:themeFillTint="33"/>
          </w:tcPr>
          <w:p w14:paraId="4CF32D4A"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Analyses how structural racism contributes to inequalities in mental health care, relevant to schizophrenia services.</w:t>
            </w:r>
          </w:p>
        </w:tc>
        <w:tc>
          <w:tcPr>
            <w:tcW w:w="2268" w:type="dxa"/>
            <w:shd w:val="clear" w:color="auto" w:fill="D9E2F3" w:themeFill="accent1" w:themeFillTint="33"/>
          </w:tcPr>
          <w:p w14:paraId="281D4707"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Relevant; Relevance: Inequalities; Authority: Peer-reviewed; Accuracy: Empirical; Purpose: Analytical</w:t>
            </w:r>
          </w:p>
        </w:tc>
        <w:tc>
          <w:tcPr>
            <w:tcW w:w="951" w:type="dxa"/>
            <w:shd w:val="clear" w:color="auto" w:fill="D9E2F3" w:themeFill="accent1" w:themeFillTint="33"/>
          </w:tcPr>
          <w:p w14:paraId="063A948A"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Nazroo_2019</w:t>
            </w:r>
          </w:p>
        </w:tc>
      </w:tr>
      <w:tr w:rsidR="00650C77" w:rsidRPr="00650C77" w14:paraId="4A9C4243" w14:textId="77777777" w:rsidTr="004D0103">
        <w:tc>
          <w:tcPr>
            <w:tcW w:w="760" w:type="dxa"/>
            <w:shd w:val="clear" w:color="auto" w:fill="D9E2F3" w:themeFill="accent1" w:themeFillTint="33"/>
          </w:tcPr>
          <w:p w14:paraId="7917ECE9"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Yes</w:t>
            </w:r>
          </w:p>
        </w:tc>
        <w:tc>
          <w:tcPr>
            <w:tcW w:w="1175" w:type="dxa"/>
            <w:shd w:val="clear" w:color="auto" w:fill="D9E2F3" w:themeFill="accent1" w:themeFillTint="33"/>
          </w:tcPr>
          <w:p w14:paraId="25E8A473"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Braun &amp; Clarke (2019)</w:t>
            </w:r>
          </w:p>
        </w:tc>
        <w:tc>
          <w:tcPr>
            <w:tcW w:w="1418" w:type="dxa"/>
            <w:shd w:val="clear" w:color="auto" w:fill="D9E2F3" w:themeFill="accent1" w:themeFillTint="33"/>
          </w:tcPr>
          <w:p w14:paraId="68F9A8B7"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Reflexive Thematic Analysis</w:t>
            </w:r>
          </w:p>
        </w:tc>
        <w:tc>
          <w:tcPr>
            <w:tcW w:w="2284" w:type="dxa"/>
            <w:shd w:val="clear" w:color="auto" w:fill="D9E2F3" w:themeFill="accent1" w:themeFillTint="33"/>
          </w:tcPr>
          <w:p w14:paraId="4CCA659F"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Provides methodological guidance for thematic analysis, supporting the analytical approach used in the dissertation.</w:t>
            </w:r>
          </w:p>
        </w:tc>
        <w:tc>
          <w:tcPr>
            <w:tcW w:w="2268" w:type="dxa"/>
            <w:shd w:val="clear" w:color="auto" w:fill="D9E2F3" w:themeFill="accent1" w:themeFillTint="33"/>
          </w:tcPr>
          <w:p w14:paraId="0BA9693E"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Currency: Current; Relevance: Methods; Authority: Leading methodologists; Accuracy: Widely cited; Purpose: Methodological</w:t>
            </w:r>
          </w:p>
        </w:tc>
        <w:tc>
          <w:tcPr>
            <w:tcW w:w="951" w:type="dxa"/>
            <w:shd w:val="clear" w:color="auto" w:fill="D9E2F3" w:themeFill="accent1" w:themeFillTint="33"/>
          </w:tcPr>
          <w:p w14:paraId="7D373940" w14:textId="77777777" w:rsidR="00D632FC" w:rsidRPr="00650C77" w:rsidRDefault="00D632FC" w:rsidP="004D0103">
            <w:pPr>
              <w:jc w:val="both"/>
              <w:rPr>
                <w:rFonts w:ascii="Arial" w:hAnsi="Arial" w:cs="Arial"/>
                <w:color w:val="000000" w:themeColor="text1"/>
                <w:sz w:val="16"/>
                <w:szCs w:val="16"/>
              </w:rPr>
            </w:pPr>
            <w:r w:rsidRPr="00650C77">
              <w:rPr>
                <w:rFonts w:ascii="Arial" w:hAnsi="Arial" w:cs="Arial"/>
                <w:color w:val="000000" w:themeColor="text1"/>
                <w:sz w:val="16"/>
                <w:szCs w:val="16"/>
              </w:rPr>
              <w:t>Braun_Clarke_2019</w:t>
            </w:r>
          </w:p>
        </w:tc>
      </w:tr>
    </w:tbl>
    <w:p w14:paraId="67A6E179" w14:textId="77777777" w:rsidR="00D632FC" w:rsidRPr="00650C77" w:rsidRDefault="00D632FC" w:rsidP="00D632FC">
      <w:pPr>
        <w:jc w:val="both"/>
        <w:rPr>
          <w:rFonts w:ascii="Arial" w:hAnsi="Arial" w:cs="Arial"/>
          <w:color w:val="000000" w:themeColor="text1"/>
          <w:sz w:val="16"/>
          <w:szCs w:val="16"/>
        </w:rPr>
      </w:pPr>
    </w:p>
    <w:p w14:paraId="130B4B6C" w14:textId="08B62C11" w:rsidR="00D632FC" w:rsidRPr="00650C77" w:rsidRDefault="00D632FC" w:rsidP="00D632FC">
      <w:pPr>
        <w:keepNext/>
        <w:keepLines/>
        <w:spacing w:before="360" w:after="80"/>
        <w:outlineLvl w:val="0"/>
        <w:rPr>
          <w:rFonts w:ascii="Arial" w:eastAsiaTheme="majorEastAsia" w:hAnsi="Arial" w:cs="Arial"/>
          <w:b/>
          <w:bCs/>
          <w:color w:val="000000" w:themeColor="text1"/>
          <w:sz w:val="28"/>
          <w:szCs w:val="28"/>
        </w:rPr>
      </w:pPr>
      <w:r w:rsidRPr="00650C77">
        <w:rPr>
          <w:rFonts w:ascii="Arial" w:eastAsiaTheme="majorEastAsia" w:hAnsi="Arial" w:cs="Arial"/>
          <w:b/>
          <w:bCs/>
          <w:color w:val="000000" w:themeColor="text1"/>
          <w:sz w:val="28"/>
          <w:szCs w:val="28"/>
        </w:rPr>
        <w:lastRenderedPageBreak/>
        <w:t>Appendix -7.2   Results Summary Table</w:t>
      </w:r>
    </w:p>
    <w:tbl>
      <w:tblPr>
        <w:tblStyle w:val="TableGrid"/>
        <w:tblW w:w="0" w:type="auto"/>
        <w:tblInd w:w="-113" w:type="dxa"/>
        <w:tblLayout w:type="fixed"/>
        <w:tblLook w:val="04A0" w:firstRow="1" w:lastRow="0" w:firstColumn="1" w:lastColumn="0" w:noHBand="0" w:noVBand="1"/>
      </w:tblPr>
      <w:tblGrid>
        <w:gridCol w:w="853"/>
        <w:gridCol w:w="1079"/>
        <w:gridCol w:w="1011"/>
        <w:gridCol w:w="1201"/>
        <w:gridCol w:w="1170"/>
        <w:gridCol w:w="1457"/>
        <w:gridCol w:w="1134"/>
        <w:gridCol w:w="951"/>
      </w:tblGrid>
      <w:tr w:rsidR="00650C77" w:rsidRPr="00650C77" w14:paraId="6075186F" w14:textId="77777777" w:rsidTr="004D0103">
        <w:tc>
          <w:tcPr>
            <w:tcW w:w="853" w:type="dxa"/>
            <w:shd w:val="clear" w:color="auto" w:fill="00B0F0"/>
          </w:tcPr>
          <w:p w14:paraId="3359387D"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Author &amp; Year</w:t>
            </w:r>
          </w:p>
        </w:tc>
        <w:tc>
          <w:tcPr>
            <w:tcW w:w="1079" w:type="dxa"/>
            <w:shd w:val="clear" w:color="auto" w:fill="00B0F0"/>
          </w:tcPr>
          <w:p w14:paraId="00D8ED7A"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Article Title</w:t>
            </w:r>
          </w:p>
        </w:tc>
        <w:tc>
          <w:tcPr>
            <w:tcW w:w="1011" w:type="dxa"/>
            <w:shd w:val="clear" w:color="auto" w:fill="00B0F0"/>
          </w:tcPr>
          <w:p w14:paraId="1D1B2189"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Type of Study</w:t>
            </w:r>
          </w:p>
        </w:tc>
        <w:tc>
          <w:tcPr>
            <w:tcW w:w="1201" w:type="dxa"/>
            <w:shd w:val="clear" w:color="auto" w:fill="00B0F0"/>
          </w:tcPr>
          <w:p w14:paraId="34E251CC"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Research Method &amp; Sample Size</w:t>
            </w:r>
          </w:p>
        </w:tc>
        <w:tc>
          <w:tcPr>
            <w:tcW w:w="1170" w:type="dxa"/>
            <w:shd w:val="clear" w:color="auto" w:fill="00B0F0"/>
          </w:tcPr>
          <w:p w14:paraId="6968D9F5"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Strengths &amp; Limitations</w:t>
            </w:r>
          </w:p>
        </w:tc>
        <w:tc>
          <w:tcPr>
            <w:tcW w:w="1457" w:type="dxa"/>
            <w:shd w:val="clear" w:color="auto" w:fill="00B0F0"/>
          </w:tcPr>
          <w:p w14:paraId="767E8233"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Main Findings</w:t>
            </w:r>
          </w:p>
        </w:tc>
        <w:tc>
          <w:tcPr>
            <w:tcW w:w="1134" w:type="dxa"/>
            <w:shd w:val="clear" w:color="auto" w:fill="00B0F0"/>
          </w:tcPr>
          <w:p w14:paraId="6E55E027"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Keywords &amp; Codes</w:t>
            </w:r>
          </w:p>
        </w:tc>
        <w:tc>
          <w:tcPr>
            <w:tcW w:w="951" w:type="dxa"/>
            <w:shd w:val="clear" w:color="auto" w:fill="00B0F0"/>
          </w:tcPr>
          <w:p w14:paraId="6F851B4C"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Notes and Comments</w:t>
            </w:r>
          </w:p>
        </w:tc>
      </w:tr>
      <w:tr w:rsidR="00650C77" w:rsidRPr="00650C77" w14:paraId="0B03656B" w14:textId="77777777" w:rsidTr="004D0103">
        <w:tc>
          <w:tcPr>
            <w:tcW w:w="853" w:type="dxa"/>
            <w:shd w:val="clear" w:color="auto" w:fill="D5DCE4" w:themeFill="text2" w:themeFillTint="33"/>
          </w:tcPr>
          <w:p w14:paraId="073754D6"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WHO (2023)</w:t>
            </w:r>
          </w:p>
        </w:tc>
        <w:tc>
          <w:tcPr>
            <w:tcW w:w="1079" w:type="dxa"/>
            <w:shd w:val="clear" w:color="auto" w:fill="D5DCE4" w:themeFill="text2" w:themeFillTint="33"/>
          </w:tcPr>
          <w:p w14:paraId="70BE488A"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Schizophrenia Fact Sheet</w:t>
            </w:r>
          </w:p>
        </w:tc>
        <w:tc>
          <w:tcPr>
            <w:tcW w:w="1011" w:type="dxa"/>
            <w:shd w:val="clear" w:color="auto" w:fill="D5DCE4" w:themeFill="text2" w:themeFillTint="33"/>
          </w:tcPr>
          <w:p w14:paraId="4EF1DC2E"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Global epidemiological review</w:t>
            </w:r>
          </w:p>
        </w:tc>
        <w:tc>
          <w:tcPr>
            <w:tcW w:w="1201" w:type="dxa"/>
            <w:shd w:val="clear" w:color="auto" w:fill="D5DCE4" w:themeFill="text2" w:themeFillTint="33"/>
          </w:tcPr>
          <w:p w14:paraId="2F98A8E7"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Secondary analysis of international health data; population-level data</w:t>
            </w:r>
          </w:p>
        </w:tc>
        <w:tc>
          <w:tcPr>
            <w:tcW w:w="1170" w:type="dxa"/>
            <w:shd w:val="clear" w:color="auto" w:fill="D5DCE4" w:themeFill="text2" w:themeFillTint="33"/>
          </w:tcPr>
          <w:p w14:paraId="0E9477BE"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Strength: Authoritative global source. Limitation: Not UK-specific.</w:t>
            </w:r>
          </w:p>
        </w:tc>
        <w:tc>
          <w:tcPr>
            <w:tcW w:w="1457" w:type="dxa"/>
            <w:shd w:val="clear" w:color="auto" w:fill="D5DCE4" w:themeFill="text2" w:themeFillTint="33"/>
          </w:tcPr>
          <w:p w14:paraId="70C274FC"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Schizophrenia is a severe, chronic disorder with high global burden; effective treatment requires integrated medical and social care.</w:t>
            </w:r>
          </w:p>
        </w:tc>
        <w:tc>
          <w:tcPr>
            <w:tcW w:w="1134" w:type="dxa"/>
            <w:shd w:val="clear" w:color="auto" w:fill="D5DCE4" w:themeFill="text2" w:themeFillTint="33"/>
          </w:tcPr>
          <w:p w14:paraId="6F0ED3E4"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Prevalence; Global burden; Treatment pathways</w:t>
            </w:r>
          </w:p>
        </w:tc>
        <w:tc>
          <w:tcPr>
            <w:tcW w:w="951" w:type="dxa"/>
            <w:shd w:val="clear" w:color="auto" w:fill="D5DCE4" w:themeFill="text2" w:themeFillTint="33"/>
          </w:tcPr>
          <w:p w14:paraId="26E3C4D8"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Used for definitions and global context</w:t>
            </w:r>
          </w:p>
        </w:tc>
      </w:tr>
      <w:tr w:rsidR="00650C77" w:rsidRPr="00650C77" w14:paraId="2DC0A384" w14:textId="77777777" w:rsidTr="004D0103">
        <w:tc>
          <w:tcPr>
            <w:tcW w:w="853" w:type="dxa"/>
            <w:shd w:val="clear" w:color="auto" w:fill="D5DCE4" w:themeFill="text2" w:themeFillTint="33"/>
          </w:tcPr>
          <w:p w14:paraId="1C567046"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NHS England (2022)</w:t>
            </w:r>
          </w:p>
        </w:tc>
        <w:tc>
          <w:tcPr>
            <w:tcW w:w="1079" w:type="dxa"/>
            <w:shd w:val="clear" w:color="auto" w:fill="D5DCE4" w:themeFill="text2" w:themeFillTint="33"/>
          </w:tcPr>
          <w:p w14:paraId="3B1DDBF6"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Mental Health Services: Access and Waiting Times</w:t>
            </w:r>
          </w:p>
        </w:tc>
        <w:tc>
          <w:tcPr>
            <w:tcW w:w="1011" w:type="dxa"/>
            <w:shd w:val="clear" w:color="auto" w:fill="D5DCE4" w:themeFill="text2" w:themeFillTint="33"/>
          </w:tcPr>
          <w:p w14:paraId="038C3E7E"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National service evaluation</w:t>
            </w:r>
          </w:p>
        </w:tc>
        <w:tc>
          <w:tcPr>
            <w:tcW w:w="1201" w:type="dxa"/>
            <w:shd w:val="clear" w:color="auto" w:fill="D5DCE4" w:themeFill="text2" w:themeFillTint="33"/>
          </w:tcPr>
          <w:p w14:paraId="36461E3F"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Analysis of NHS administrative datasets across England</w:t>
            </w:r>
          </w:p>
        </w:tc>
        <w:tc>
          <w:tcPr>
            <w:tcW w:w="1170" w:type="dxa"/>
            <w:shd w:val="clear" w:color="auto" w:fill="D5DCE4" w:themeFill="text2" w:themeFillTint="33"/>
          </w:tcPr>
          <w:p w14:paraId="3B0332C0"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Strength: Comprehensive national data. Limitation: Limited qualitative insight.</w:t>
            </w:r>
          </w:p>
        </w:tc>
        <w:tc>
          <w:tcPr>
            <w:tcW w:w="1457" w:type="dxa"/>
            <w:shd w:val="clear" w:color="auto" w:fill="D5DCE4" w:themeFill="text2" w:themeFillTint="33"/>
          </w:tcPr>
          <w:p w14:paraId="04BEBDC1"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Significant variation in access and waiting times for psychosis services across regions.</w:t>
            </w:r>
          </w:p>
        </w:tc>
        <w:tc>
          <w:tcPr>
            <w:tcW w:w="1134" w:type="dxa"/>
            <w:shd w:val="clear" w:color="auto" w:fill="D5DCE4" w:themeFill="text2" w:themeFillTint="33"/>
          </w:tcPr>
          <w:p w14:paraId="24824BF6"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Accessibility; Waiting times; EIP</w:t>
            </w:r>
          </w:p>
        </w:tc>
        <w:tc>
          <w:tcPr>
            <w:tcW w:w="951" w:type="dxa"/>
            <w:shd w:val="clear" w:color="auto" w:fill="D5DCE4" w:themeFill="text2" w:themeFillTint="33"/>
          </w:tcPr>
          <w:p w14:paraId="35A8F4B5"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Key UK evidence for service access</w:t>
            </w:r>
          </w:p>
        </w:tc>
      </w:tr>
      <w:tr w:rsidR="00650C77" w:rsidRPr="00650C77" w14:paraId="4319A174" w14:textId="77777777" w:rsidTr="004D0103">
        <w:tc>
          <w:tcPr>
            <w:tcW w:w="853" w:type="dxa"/>
            <w:shd w:val="clear" w:color="auto" w:fill="D5DCE4" w:themeFill="text2" w:themeFillTint="33"/>
          </w:tcPr>
          <w:p w14:paraId="524DB7AC"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CQC (2023)</w:t>
            </w:r>
          </w:p>
        </w:tc>
        <w:tc>
          <w:tcPr>
            <w:tcW w:w="1079" w:type="dxa"/>
            <w:shd w:val="clear" w:color="auto" w:fill="D5DCE4" w:themeFill="text2" w:themeFillTint="33"/>
          </w:tcPr>
          <w:p w14:paraId="0A8C2E95"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Mental Health Services Annual Report</w:t>
            </w:r>
          </w:p>
        </w:tc>
        <w:tc>
          <w:tcPr>
            <w:tcW w:w="1011" w:type="dxa"/>
            <w:shd w:val="clear" w:color="auto" w:fill="D5DCE4" w:themeFill="text2" w:themeFillTint="33"/>
          </w:tcPr>
          <w:p w14:paraId="3EE3CF96"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Regulatory inspection report</w:t>
            </w:r>
          </w:p>
        </w:tc>
        <w:tc>
          <w:tcPr>
            <w:tcW w:w="1201" w:type="dxa"/>
            <w:shd w:val="clear" w:color="auto" w:fill="D5DCE4" w:themeFill="text2" w:themeFillTint="33"/>
          </w:tcPr>
          <w:p w14:paraId="449F95F1"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National inspection findings across NHS Trusts</w:t>
            </w:r>
          </w:p>
        </w:tc>
        <w:tc>
          <w:tcPr>
            <w:tcW w:w="1170" w:type="dxa"/>
            <w:shd w:val="clear" w:color="auto" w:fill="D5DCE4" w:themeFill="text2" w:themeFillTint="33"/>
          </w:tcPr>
          <w:p w14:paraId="39482055"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Strength: Independent regulator. Limitation: Snapshot rather than longitudinal.</w:t>
            </w:r>
          </w:p>
        </w:tc>
        <w:tc>
          <w:tcPr>
            <w:tcW w:w="1457" w:type="dxa"/>
            <w:shd w:val="clear" w:color="auto" w:fill="D5DCE4" w:themeFill="text2" w:themeFillTint="33"/>
          </w:tcPr>
          <w:p w14:paraId="1F0D384B"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Identifies workforce shortages, fragmented care, and inequalities in schizophrenia services.</w:t>
            </w:r>
          </w:p>
        </w:tc>
        <w:tc>
          <w:tcPr>
            <w:tcW w:w="1134" w:type="dxa"/>
            <w:shd w:val="clear" w:color="auto" w:fill="D5DCE4" w:themeFill="text2" w:themeFillTint="33"/>
          </w:tcPr>
          <w:p w14:paraId="59355FCC"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Service quality; Inequality; Workforce</w:t>
            </w:r>
          </w:p>
        </w:tc>
        <w:tc>
          <w:tcPr>
            <w:tcW w:w="951" w:type="dxa"/>
            <w:shd w:val="clear" w:color="auto" w:fill="D5DCE4" w:themeFill="text2" w:themeFillTint="33"/>
          </w:tcPr>
          <w:p w14:paraId="6FA90B0B"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Central to service delivery critique</w:t>
            </w:r>
          </w:p>
        </w:tc>
      </w:tr>
      <w:tr w:rsidR="00650C77" w:rsidRPr="00650C77" w14:paraId="0F2CF6B4" w14:textId="77777777" w:rsidTr="004D0103">
        <w:tc>
          <w:tcPr>
            <w:tcW w:w="853" w:type="dxa"/>
            <w:shd w:val="clear" w:color="auto" w:fill="D5DCE4" w:themeFill="text2" w:themeFillTint="33"/>
          </w:tcPr>
          <w:p w14:paraId="4953ADBD"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NICE (2020)</w:t>
            </w:r>
          </w:p>
        </w:tc>
        <w:tc>
          <w:tcPr>
            <w:tcW w:w="1079" w:type="dxa"/>
            <w:shd w:val="clear" w:color="auto" w:fill="D5DCE4" w:themeFill="text2" w:themeFillTint="33"/>
          </w:tcPr>
          <w:p w14:paraId="2A3D1A42"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Psychosis and Schizophrenia in Adults (NG222)</w:t>
            </w:r>
          </w:p>
        </w:tc>
        <w:tc>
          <w:tcPr>
            <w:tcW w:w="1011" w:type="dxa"/>
            <w:shd w:val="clear" w:color="auto" w:fill="D5DCE4" w:themeFill="text2" w:themeFillTint="33"/>
          </w:tcPr>
          <w:p w14:paraId="05250D5A"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Clinical guideline</w:t>
            </w:r>
          </w:p>
        </w:tc>
        <w:tc>
          <w:tcPr>
            <w:tcW w:w="1201" w:type="dxa"/>
            <w:shd w:val="clear" w:color="auto" w:fill="D5DCE4" w:themeFill="text2" w:themeFillTint="33"/>
          </w:tcPr>
          <w:p w14:paraId="797DF216"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 xml:space="preserve">Systematic evidence </w:t>
            </w:r>
            <w:proofErr w:type="gramStart"/>
            <w:r w:rsidRPr="00650C77">
              <w:rPr>
                <w:rFonts w:ascii="Arial" w:hAnsi="Arial" w:cs="Arial"/>
                <w:color w:val="000000" w:themeColor="text1"/>
                <w:sz w:val="16"/>
                <w:szCs w:val="16"/>
              </w:rPr>
              <w:t>review</w:t>
            </w:r>
            <w:proofErr w:type="gramEnd"/>
            <w:r w:rsidRPr="00650C77">
              <w:rPr>
                <w:rFonts w:ascii="Arial" w:hAnsi="Arial" w:cs="Arial"/>
                <w:color w:val="000000" w:themeColor="text1"/>
                <w:sz w:val="16"/>
                <w:szCs w:val="16"/>
              </w:rPr>
              <w:t>; guideline development</w:t>
            </w:r>
          </w:p>
        </w:tc>
        <w:tc>
          <w:tcPr>
            <w:tcW w:w="1170" w:type="dxa"/>
            <w:shd w:val="clear" w:color="auto" w:fill="D5DCE4" w:themeFill="text2" w:themeFillTint="33"/>
          </w:tcPr>
          <w:p w14:paraId="6FBD1F44"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Strength: Gold-standard guidance. Limitation: Implementation variability.</w:t>
            </w:r>
          </w:p>
        </w:tc>
        <w:tc>
          <w:tcPr>
            <w:tcW w:w="1457" w:type="dxa"/>
            <w:shd w:val="clear" w:color="auto" w:fill="D5DCE4" w:themeFill="text2" w:themeFillTint="33"/>
          </w:tcPr>
          <w:p w14:paraId="4565557C"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Recommends combined pharmacological, psychological, and social interventions.</w:t>
            </w:r>
          </w:p>
        </w:tc>
        <w:tc>
          <w:tcPr>
            <w:tcW w:w="1134" w:type="dxa"/>
            <w:shd w:val="clear" w:color="auto" w:fill="D5DCE4" w:themeFill="text2" w:themeFillTint="33"/>
          </w:tcPr>
          <w:p w14:paraId="5B8D5188"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 xml:space="preserve">Treatment pathways; </w:t>
            </w:r>
            <w:proofErr w:type="spellStart"/>
            <w:r w:rsidRPr="00650C77">
              <w:rPr>
                <w:rFonts w:ascii="Arial" w:hAnsi="Arial" w:cs="Arial"/>
                <w:color w:val="000000" w:themeColor="text1"/>
                <w:sz w:val="16"/>
                <w:szCs w:val="16"/>
              </w:rPr>
              <w:t>CBTp</w:t>
            </w:r>
            <w:proofErr w:type="spellEnd"/>
            <w:r w:rsidRPr="00650C77">
              <w:rPr>
                <w:rFonts w:ascii="Arial" w:hAnsi="Arial" w:cs="Arial"/>
                <w:color w:val="000000" w:themeColor="text1"/>
                <w:sz w:val="16"/>
                <w:szCs w:val="16"/>
              </w:rPr>
              <w:t>; Antipsychotics</w:t>
            </w:r>
          </w:p>
        </w:tc>
        <w:tc>
          <w:tcPr>
            <w:tcW w:w="951" w:type="dxa"/>
            <w:shd w:val="clear" w:color="auto" w:fill="D5DCE4" w:themeFill="text2" w:themeFillTint="33"/>
          </w:tcPr>
          <w:p w14:paraId="577DC64A"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Benchmark for UK treatment pathways</w:t>
            </w:r>
          </w:p>
        </w:tc>
      </w:tr>
      <w:tr w:rsidR="00650C77" w:rsidRPr="00650C77" w14:paraId="1382802F" w14:textId="77777777" w:rsidTr="004D0103">
        <w:tc>
          <w:tcPr>
            <w:tcW w:w="853" w:type="dxa"/>
            <w:shd w:val="clear" w:color="auto" w:fill="D5DCE4" w:themeFill="text2" w:themeFillTint="33"/>
          </w:tcPr>
          <w:p w14:paraId="4B01077F"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Leucht et al. (2019)</w:t>
            </w:r>
          </w:p>
        </w:tc>
        <w:tc>
          <w:tcPr>
            <w:tcW w:w="1079" w:type="dxa"/>
            <w:shd w:val="clear" w:color="auto" w:fill="D5DCE4" w:themeFill="text2" w:themeFillTint="33"/>
          </w:tcPr>
          <w:p w14:paraId="01895E25"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Antipsychotic Drugs versus Placebo for Relapse Prevention</w:t>
            </w:r>
          </w:p>
        </w:tc>
        <w:tc>
          <w:tcPr>
            <w:tcW w:w="1011" w:type="dxa"/>
            <w:shd w:val="clear" w:color="auto" w:fill="D5DCE4" w:themeFill="text2" w:themeFillTint="33"/>
          </w:tcPr>
          <w:p w14:paraId="0DED5E1A"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Systematic review and meta-analysis</w:t>
            </w:r>
          </w:p>
        </w:tc>
        <w:tc>
          <w:tcPr>
            <w:tcW w:w="1201" w:type="dxa"/>
            <w:shd w:val="clear" w:color="auto" w:fill="D5DCE4" w:themeFill="text2" w:themeFillTint="33"/>
          </w:tcPr>
          <w:p w14:paraId="663FC8D0"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Meta-analysis of RCTs; large pooled samples</w:t>
            </w:r>
          </w:p>
        </w:tc>
        <w:tc>
          <w:tcPr>
            <w:tcW w:w="1170" w:type="dxa"/>
            <w:shd w:val="clear" w:color="auto" w:fill="D5DCE4" w:themeFill="text2" w:themeFillTint="33"/>
          </w:tcPr>
          <w:p w14:paraId="3807AFD6"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 xml:space="preserve">Strength: High methodological </w:t>
            </w:r>
            <w:proofErr w:type="spellStart"/>
            <w:r w:rsidRPr="00650C77">
              <w:rPr>
                <w:rFonts w:ascii="Arial" w:hAnsi="Arial" w:cs="Arial"/>
                <w:color w:val="000000" w:themeColor="text1"/>
                <w:sz w:val="16"/>
                <w:szCs w:val="16"/>
              </w:rPr>
              <w:t>rigour</w:t>
            </w:r>
            <w:proofErr w:type="spellEnd"/>
            <w:r w:rsidRPr="00650C77">
              <w:rPr>
                <w:rFonts w:ascii="Arial" w:hAnsi="Arial" w:cs="Arial"/>
                <w:color w:val="000000" w:themeColor="text1"/>
                <w:sz w:val="16"/>
                <w:szCs w:val="16"/>
              </w:rPr>
              <w:t>. Limitation: Focus on medication only.</w:t>
            </w:r>
          </w:p>
        </w:tc>
        <w:tc>
          <w:tcPr>
            <w:tcW w:w="1457" w:type="dxa"/>
            <w:shd w:val="clear" w:color="auto" w:fill="D5DCE4" w:themeFill="text2" w:themeFillTint="33"/>
          </w:tcPr>
          <w:p w14:paraId="19F185DA"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Antipsychotics significantly reduce relapse risk compared to placebo.</w:t>
            </w:r>
          </w:p>
        </w:tc>
        <w:tc>
          <w:tcPr>
            <w:tcW w:w="1134" w:type="dxa"/>
            <w:shd w:val="clear" w:color="auto" w:fill="D5DCE4" w:themeFill="text2" w:themeFillTint="33"/>
          </w:tcPr>
          <w:p w14:paraId="61A8BF41"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Effectiveness; Medication; Relapse prevention</w:t>
            </w:r>
          </w:p>
        </w:tc>
        <w:tc>
          <w:tcPr>
            <w:tcW w:w="951" w:type="dxa"/>
            <w:shd w:val="clear" w:color="auto" w:fill="D5DCE4" w:themeFill="text2" w:themeFillTint="33"/>
          </w:tcPr>
          <w:p w14:paraId="21BE1042"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Supports pharmacological effectiveness</w:t>
            </w:r>
          </w:p>
        </w:tc>
      </w:tr>
      <w:tr w:rsidR="00650C77" w:rsidRPr="00650C77" w14:paraId="38894D34" w14:textId="77777777" w:rsidTr="004D0103">
        <w:tc>
          <w:tcPr>
            <w:tcW w:w="853" w:type="dxa"/>
            <w:shd w:val="clear" w:color="auto" w:fill="D5DCE4" w:themeFill="text2" w:themeFillTint="33"/>
          </w:tcPr>
          <w:p w14:paraId="107C3423"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Birchwood et al. (2000)</w:t>
            </w:r>
          </w:p>
        </w:tc>
        <w:tc>
          <w:tcPr>
            <w:tcW w:w="1079" w:type="dxa"/>
            <w:shd w:val="clear" w:color="auto" w:fill="D5DCE4" w:themeFill="text2" w:themeFillTint="33"/>
          </w:tcPr>
          <w:p w14:paraId="07E8EAE0"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Early Intervention in Psychosis</w:t>
            </w:r>
          </w:p>
        </w:tc>
        <w:tc>
          <w:tcPr>
            <w:tcW w:w="1011" w:type="dxa"/>
            <w:shd w:val="clear" w:color="auto" w:fill="D5DCE4" w:themeFill="text2" w:themeFillTint="33"/>
          </w:tcPr>
          <w:p w14:paraId="0D8743C8"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Longitudinal cohort study</w:t>
            </w:r>
          </w:p>
        </w:tc>
        <w:tc>
          <w:tcPr>
            <w:tcW w:w="1201" w:type="dxa"/>
            <w:shd w:val="clear" w:color="auto" w:fill="D5DCE4" w:themeFill="text2" w:themeFillTint="33"/>
          </w:tcPr>
          <w:p w14:paraId="1940102C"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Clinical outcome comparison of EIP vs standard care</w:t>
            </w:r>
          </w:p>
        </w:tc>
        <w:tc>
          <w:tcPr>
            <w:tcW w:w="1170" w:type="dxa"/>
            <w:shd w:val="clear" w:color="auto" w:fill="D5DCE4" w:themeFill="text2" w:themeFillTint="33"/>
          </w:tcPr>
          <w:p w14:paraId="49B92A85"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Strength: Foundational evidence. Limitation: Older study.</w:t>
            </w:r>
          </w:p>
        </w:tc>
        <w:tc>
          <w:tcPr>
            <w:tcW w:w="1457" w:type="dxa"/>
            <w:shd w:val="clear" w:color="auto" w:fill="D5DCE4" w:themeFill="text2" w:themeFillTint="33"/>
          </w:tcPr>
          <w:p w14:paraId="5FA1158B"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Early intervention improves long-term clinical and social outcomes.</w:t>
            </w:r>
          </w:p>
        </w:tc>
        <w:tc>
          <w:tcPr>
            <w:tcW w:w="1134" w:type="dxa"/>
            <w:shd w:val="clear" w:color="auto" w:fill="D5DCE4" w:themeFill="text2" w:themeFillTint="33"/>
          </w:tcPr>
          <w:p w14:paraId="41C45E8C"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EIP; Early treatment; Outcomes</w:t>
            </w:r>
          </w:p>
        </w:tc>
        <w:tc>
          <w:tcPr>
            <w:tcW w:w="951" w:type="dxa"/>
            <w:shd w:val="clear" w:color="auto" w:fill="D5DCE4" w:themeFill="text2" w:themeFillTint="33"/>
          </w:tcPr>
          <w:p w14:paraId="256BEDAA"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Justifies EIP model historically</w:t>
            </w:r>
          </w:p>
        </w:tc>
      </w:tr>
      <w:tr w:rsidR="00650C77" w:rsidRPr="00650C77" w14:paraId="6292D863" w14:textId="77777777" w:rsidTr="004D0103">
        <w:tc>
          <w:tcPr>
            <w:tcW w:w="853" w:type="dxa"/>
            <w:shd w:val="clear" w:color="auto" w:fill="D5DCE4" w:themeFill="text2" w:themeFillTint="33"/>
          </w:tcPr>
          <w:p w14:paraId="06639172" w14:textId="77777777" w:rsidR="00D632FC" w:rsidRPr="00650C77" w:rsidRDefault="00D632FC" w:rsidP="004D0103">
            <w:pPr>
              <w:rPr>
                <w:rFonts w:ascii="Arial" w:hAnsi="Arial" w:cs="Arial"/>
                <w:color w:val="000000" w:themeColor="text1"/>
                <w:sz w:val="16"/>
                <w:szCs w:val="16"/>
              </w:rPr>
            </w:pPr>
            <w:proofErr w:type="spellStart"/>
            <w:r w:rsidRPr="00650C77">
              <w:rPr>
                <w:rFonts w:ascii="Arial" w:hAnsi="Arial" w:cs="Arial"/>
                <w:color w:val="000000" w:themeColor="text1"/>
                <w:sz w:val="16"/>
                <w:szCs w:val="16"/>
              </w:rPr>
              <w:t>Nazroo</w:t>
            </w:r>
            <w:proofErr w:type="spellEnd"/>
            <w:r w:rsidRPr="00650C77">
              <w:rPr>
                <w:rFonts w:ascii="Arial" w:hAnsi="Arial" w:cs="Arial"/>
                <w:color w:val="000000" w:themeColor="text1"/>
                <w:sz w:val="16"/>
                <w:szCs w:val="16"/>
              </w:rPr>
              <w:t xml:space="preserve"> et al. (2019)</w:t>
            </w:r>
          </w:p>
        </w:tc>
        <w:tc>
          <w:tcPr>
            <w:tcW w:w="1079" w:type="dxa"/>
            <w:shd w:val="clear" w:color="auto" w:fill="D5DCE4" w:themeFill="text2" w:themeFillTint="33"/>
          </w:tcPr>
          <w:p w14:paraId="34CF75D1"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Structural Racism and Mental Health Inequalities</w:t>
            </w:r>
          </w:p>
        </w:tc>
        <w:tc>
          <w:tcPr>
            <w:tcW w:w="1011" w:type="dxa"/>
            <w:shd w:val="clear" w:color="auto" w:fill="D5DCE4" w:themeFill="text2" w:themeFillTint="33"/>
          </w:tcPr>
          <w:p w14:paraId="15E79DA2"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Sociological empirical study</w:t>
            </w:r>
          </w:p>
        </w:tc>
        <w:tc>
          <w:tcPr>
            <w:tcW w:w="1201" w:type="dxa"/>
            <w:shd w:val="clear" w:color="auto" w:fill="D5DCE4" w:themeFill="text2" w:themeFillTint="33"/>
          </w:tcPr>
          <w:p w14:paraId="719706FF"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Analysis of population and service-use data</w:t>
            </w:r>
          </w:p>
        </w:tc>
        <w:tc>
          <w:tcPr>
            <w:tcW w:w="1170" w:type="dxa"/>
            <w:shd w:val="clear" w:color="auto" w:fill="D5DCE4" w:themeFill="text2" w:themeFillTint="33"/>
          </w:tcPr>
          <w:p w14:paraId="49F458DA"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Strength: Strong inequality focus. Limitation: Broad mental health scope.</w:t>
            </w:r>
          </w:p>
        </w:tc>
        <w:tc>
          <w:tcPr>
            <w:tcW w:w="1457" w:type="dxa"/>
            <w:shd w:val="clear" w:color="auto" w:fill="D5DCE4" w:themeFill="text2" w:themeFillTint="33"/>
          </w:tcPr>
          <w:p w14:paraId="3E01728B"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Structural racism contributes to unequal mental health outcomes and detention rates.</w:t>
            </w:r>
          </w:p>
        </w:tc>
        <w:tc>
          <w:tcPr>
            <w:tcW w:w="1134" w:type="dxa"/>
            <w:shd w:val="clear" w:color="auto" w:fill="D5DCE4" w:themeFill="text2" w:themeFillTint="33"/>
          </w:tcPr>
          <w:p w14:paraId="5894260C"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Ethnicity; Inequality; Detention</w:t>
            </w:r>
          </w:p>
        </w:tc>
        <w:tc>
          <w:tcPr>
            <w:tcW w:w="951" w:type="dxa"/>
            <w:shd w:val="clear" w:color="auto" w:fill="D5DCE4" w:themeFill="text2" w:themeFillTint="33"/>
          </w:tcPr>
          <w:p w14:paraId="4684753F"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Supports intersectionality analysis</w:t>
            </w:r>
          </w:p>
        </w:tc>
      </w:tr>
      <w:tr w:rsidR="00650C77" w:rsidRPr="00650C77" w14:paraId="77E70EC5" w14:textId="77777777" w:rsidTr="004D0103">
        <w:tc>
          <w:tcPr>
            <w:tcW w:w="853" w:type="dxa"/>
            <w:shd w:val="clear" w:color="auto" w:fill="D5DCE4" w:themeFill="text2" w:themeFillTint="33"/>
          </w:tcPr>
          <w:p w14:paraId="36843A63"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Braun &amp; Clarke (2019)</w:t>
            </w:r>
          </w:p>
        </w:tc>
        <w:tc>
          <w:tcPr>
            <w:tcW w:w="1079" w:type="dxa"/>
            <w:shd w:val="clear" w:color="auto" w:fill="D5DCE4" w:themeFill="text2" w:themeFillTint="33"/>
          </w:tcPr>
          <w:p w14:paraId="09C0BB70"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Reflecting on Reflexive Thematic Analysis</w:t>
            </w:r>
          </w:p>
        </w:tc>
        <w:tc>
          <w:tcPr>
            <w:tcW w:w="1011" w:type="dxa"/>
            <w:shd w:val="clear" w:color="auto" w:fill="D5DCE4" w:themeFill="text2" w:themeFillTint="33"/>
          </w:tcPr>
          <w:p w14:paraId="41E37880"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Methodological paper</w:t>
            </w:r>
          </w:p>
        </w:tc>
        <w:tc>
          <w:tcPr>
            <w:tcW w:w="1201" w:type="dxa"/>
            <w:shd w:val="clear" w:color="auto" w:fill="D5DCE4" w:themeFill="text2" w:themeFillTint="33"/>
          </w:tcPr>
          <w:p w14:paraId="4E92A4E9"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Conceptual and applied qualitative methodology</w:t>
            </w:r>
          </w:p>
        </w:tc>
        <w:tc>
          <w:tcPr>
            <w:tcW w:w="1170" w:type="dxa"/>
            <w:shd w:val="clear" w:color="auto" w:fill="D5DCE4" w:themeFill="text2" w:themeFillTint="33"/>
          </w:tcPr>
          <w:p w14:paraId="6ACD5363"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Strength: Widely cited method. Limitation: Not condition-specific.</w:t>
            </w:r>
          </w:p>
        </w:tc>
        <w:tc>
          <w:tcPr>
            <w:tcW w:w="1457" w:type="dxa"/>
            <w:shd w:val="clear" w:color="auto" w:fill="D5DCE4" w:themeFill="text2" w:themeFillTint="33"/>
          </w:tcPr>
          <w:p w14:paraId="6204E783"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Provides a rigorous framework for thematic analysis in qualitative research.</w:t>
            </w:r>
          </w:p>
        </w:tc>
        <w:tc>
          <w:tcPr>
            <w:tcW w:w="1134" w:type="dxa"/>
            <w:shd w:val="clear" w:color="auto" w:fill="D5DCE4" w:themeFill="text2" w:themeFillTint="33"/>
          </w:tcPr>
          <w:p w14:paraId="713271D1"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Thematic analysis; Coding; Qualitative methods</w:t>
            </w:r>
          </w:p>
        </w:tc>
        <w:tc>
          <w:tcPr>
            <w:tcW w:w="951" w:type="dxa"/>
            <w:shd w:val="clear" w:color="auto" w:fill="D5DCE4" w:themeFill="text2" w:themeFillTint="33"/>
          </w:tcPr>
          <w:p w14:paraId="374547FA" w14:textId="77777777" w:rsidR="00D632FC" w:rsidRPr="00650C77" w:rsidRDefault="00D632FC" w:rsidP="004D0103">
            <w:pPr>
              <w:rPr>
                <w:rFonts w:ascii="Arial" w:hAnsi="Arial" w:cs="Arial"/>
                <w:color w:val="000000" w:themeColor="text1"/>
                <w:sz w:val="16"/>
                <w:szCs w:val="16"/>
              </w:rPr>
            </w:pPr>
            <w:r w:rsidRPr="00650C77">
              <w:rPr>
                <w:rFonts w:ascii="Arial" w:hAnsi="Arial" w:cs="Arial"/>
                <w:color w:val="000000" w:themeColor="text1"/>
                <w:sz w:val="16"/>
                <w:szCs w:val="16"/>
              </w:rPr>
              <w:t>Justifies analytical approach in Chapter 4</w:t>
            </w:r>
          </w:p>
        </w:tc>
      </w:tr>
    </w:tbl>
    <w:p w14:paraId="762E8A4F" w14:textId="77777777" w:rsidR="00D632FC" w:rsidRPr="00650C77" w:rsidRDefault="00D632FC" w:rsidP="00D632FC">
      <w:pPr>
        <w:spacing w:before="100" w:beforeAutospacing="1" w:after="100" w:afterAutospacing="1" w:line="240" w:lineRule="auto"/>
        <w:outlineLvl w:val="0"/>
        <w:rPr>
          <w:rFonts w:ascii="Arial" w:eastAsia="Times New Roman" w:hAnsi="Arial" w:cs="Arial"/>
          <w:b/>
          <w:bCs/>
          <w:color w:val="000000" w:themeColor="text1"/>
          <w:kern w:val="36"/>
          <w:sz w:val="48"/>
          <w:szCs w:val="48"/>
          <w:lang w:eastAsia="en-GB"/>
          <w14:ligatures w14:val="none"/>
        </w:rPr>
      </w:pPr>
    </w:p>
    <w:p w14:paraId="727CE485" w14:textId="63B83CA1" w:rsidR="00D632FC" w:rsidRPr="00650C77" w:rsidRDefault="00D632FC" w:rsidP="00D632FC">
      <w:pPr>
        <w:keepNext/>
        <w:keepLines/>
        <w:spacing w:before="360" w:after="80"/>
        <w:outlineLvl w:val="0"/>
        <w:rPr>
          <w:rFonts w:ascii="Arial" w:eastAsiaTheme="majorEastAsia" w:hAnsi="Arial" w:cs="Arial"/>
          <w:b/>
          <w:bCs/>
          <w:color w:val="000000" w:themeColor="text1"/>
          <w:sz w:val="28"/>
          <w:szCs w:val="28"/>
        </w:rPr>
      </w:pPr>
      <w:r w:rsidRPr="00650C77">
        <w:rPr>
          <w:rFonts w:ascii="Arial" w:eastAsiaTheme="majorEastAsia" w:hAnsi="Arial" w:cs="Arial"/>
          <w:b/>
          <w:bCs/>
          <w:color w:val="000000" w:themeColor="text1"/>
          <w:sz w:val="28"/>
          <w:szCs w:val="28"/>
        </w:rPr>
        <w:lastRenderedPageBreak/>
        <w:t xml:space="preserve">Appendix </w:t>
      </w:r>
      <w:r w:rsidR="00B5677C" w:rsidRPr="00650C77">
        <w:rPr>
          <w:rFonts w:ascii="Arial" w:eastAsiaTheme="majorEastAsia" w:hAnsi="Arial" w:cs="Arial"/>
          <w:b/>
          <w:bCs/>
          <w:color w:val="000000" w:themeColor="text1"/>
          <w:sz w:val="28"/>
          <w:szCs w:val="28"/>
        </w:rPr>
        <w:t>7.3</w:t>
      </w:r>
      <w:r w:rsidRPr="00650C77">
        <w:rPr>
          <w:rFonts w:ascii="Arial" w:eastAsiaTheme="majorEastAsia" w:hAnsi="Arial" w:cs="Arial"/>
          <w:b/>
          <w:bCs/>
          <w:color w:val="000000" w:themeColor="text1"/>
          <w:sz w:val="28"/>
          <w:szCs w:val="28"/>
        </w:rPr>
        <w:t>: Literature Search Tracking Sheet</w:t>
      </w:r>
    </w:p>
    <w:p w14:paraId="0A8E96C7" w14:textId="2D38C3DF" w:rsidR="00F85D58" w:rsidRPr="00650C77" w:rsidRDefault="00F85D58" w:rsidP="00D632FC">
      <w:pPr>
        <w:keepNext/>
        <w:keepLines/>
        <w:spacing w:before="360" w:after="80"/>
        <w:outlineLvl w:val="0"/>
        <w:rPr>
          <w:rStyle w:val="Strong"/>
          <w:rFonts w:ascii="Arial" w:hAnsi="Arial" w:cs="Arial"/>
          <w:color w:val="000000" w:themeColor="text1"/>
          <w:sz w:val="18"/>
          <w:szCs w:val="18"/>
        </w:rPr>
      </w:pPr>
      <w:r w:rsidRPr="00650C77">
        <w:rPr>
          <w:rFonts w:ascii="Arial" w:hAnsi="Arial" w:cs="Arial"/>
          <w:color w:val="000000" w:themeColor="text1"/>
          <w:sz w:val="18"/>
          <w:szCs w:val="18"/>
        </w:rPr>
        <w:t xml:space="preserve">[Chapter 3, Section </w:t>
      </w:r>
      <w:r w:rsidRPr="00650C77">
        <w:rPr>
          <w:rStyle w:val="Strong"/>
          <w:rFonts w:ascii="Arial" w:hAnsi="Arial" w:cs="Arial"/>
          <w:color w:val="000000" w:themeColor="text1"/>
          <w:sz w:val="18"/>
          <w:szCs w:val="18"/>
        </w:rPr>
        <w:t>3.6 (Data Analysis)]</w:t>
      </w:r>
    </w:p>
    <w:p w14:paraId="6E9C1BF4" w14:textId="77777777" w:rsidR="00F85D58" w:rsidRPr="00650C77" w:rsidRDefault="00F85D58" w:rsidP="00D632FC">
      <w:pPr>
        <w:keepNext/>
        <w:keepLines/>
        <w:spacing w:before="360" w:after="80"/>
        <w:outlineLvl w:val="0"/>
        <w:rPr>
          <w:rFonts w:ascii="Arial" w:eastAsiaTheme="majorEastAsia" w:hAnsi="Arial" w:cs="Arial"/>
          <w:color w:val="000000" w:themeColor="text1"/>
          <w:sz w:val="18"/>
          <w:szCs w:val="18"/>
        </w:rPr>
      </w:pPr>
    </w:p>
    <w:p w14:paraId="3C57AAD8" w14:textId="77777777" w:rsidR="00D632FC" w:rsidRPr="00650C77" w:rsidRDefault="00D632FC" w:rsidP="00F85D58">
      <w:pPr>
        <w:spacing w:line="360" w:lineRule="auto"/>
        <w:jc w:val="both"/>
        <w:rPr>
          <w:rFonts w:ascii="Arial" w:hAnsi="Arial" w:cs="Arial"/>
          <w:color w:val="000000" w:themeColor="text1"/>
          <w:sz w:val="20"/>
          <w:szCs w:val="20"/>
        </w:rPr>
      </w:pPr>
      <w:r w:rsidRPr="00650C77">
        <w:rPr>
          <w:rFonts w:ascii="Arial" w:hAnsi="Arial" w:cs="Arial"/>
          <w:color w:val="000000" w:themeColor="text1"/>
          <w:sz w:val="20"/>
          <w:szCs w:val="20"/>
        </w:rPr>
        <w:t>This tracking sheet documents the systematic search strategy used to identify relevant literature for the dissertation. It records databases searched, keywords used, search strings applied, and the number of results retrieved, supporting transparency and replicability.</w:t>
      </w:r>
    </w:p>
    <w:tbl>
      <w:tblPr>
        <w:tblStyle w:val="TableGrid"/>
        <w:tblW w:w="9067" w:type="dxa"/>
        <w:tblInd w:w="0" w:type="dxa"/>
        <w:tblLook w:val="04A0" w:firstRow="1" w:lastRow="0" w:firstColumn="1" w:lastColumn="0" w:noHBand="0" w:noVBand="1"/>
      </w:tblPr>
      <w:tblGrid>
        <w:gridCol w:w="1164"/>
        <w:gridCol w:w="1540"/>
        <w:gridCol w:w="1453"/>
        <w:gridCol w:w="1227"/>
        <w:gridCol w:w="1174"/>
        <w:gridCol w:w="2509"/>
      </w:tblGrid>
      <w:tr w:rsidR="00650C77" w:rsidRPr="00650C77" w14:paraId="456579C5" w14:textId="77777777" w:rsidTr="005E35D7">
        <w:tc>
          <w:tcPr>
            <w:tcW w:w="1164" w:type="dxa"/>
            <w:shd w:val="clear" w:color="auto" w:fill="5B9BD5" w:themeFill="accent5"/>
          </w:tcPr>
          <w:p w14:paraId="0A41E2EF"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Database / Source</w:t>
            </w:r>
          </w:p>
        </w:tc>
        <w:tc>
          <w:tcPr>
            <w:tcW w:w="1540" w:type="dxa"/>
            <w:shd w:val="clear" w:color="auto" w:fill="5B9BD5" w:themeFill="accent5"/>
          </w:tcPr>
          <w:p w14:paraId="1CABA2B9"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Key Terms Used</w:t>
            </w:r>
          </w:p>
        </w:tc>
        <w:tc>
          <w:tcPr>
            <w:tcW w:w="1453" w:type="dxa"/>
            <w:shd w:val="clear" w:color="auto" w:fill="5B9BD5" w:themeFill="accent5"/>
          </w:tcPr>
          <w:p w14:paraId="7F8E5A03"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Search String</w:t>
            </w:r>
          </w:p>
        </w:tc>
        <w:tc>
          <w:tcPr>
            <w:tcW w:w="1227" w:type="dxa"/>
            <w:shd w:val="clear" w:color="auto" w:fill="5B9BD5" w:themeFill="accent5"/>
          </w:tcPr>
          <w:p w14:paraId="132017E2"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Filters Applied</w:t>
            </w:r>
          </w:p>
        </w:tc>
        <w:tc>
          <w:tcPr>
            <w:tcW w:w="1174" w:type="dxa"/>
            <w:shd w:val="clear" w:color="auto" w:fill="5B9BD5" w:themeFill="accent5"/>
          </w:tcPr>
          <w:p w14:paraId="5140F711"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Results Retrieved</w:t>
            </w:r>
          </w:p>
        </w:tc>
        <w:tc>
          <w:tcPr>
            <w:tcW w:w="2509" w:type="dxa"/>
            <w:shd w:val="clear" w:color="auto" w:fill="5B9BD5" w:themeFill="accent5"/>
          </w:tcPr>
          <w:p w14:paraId="44532955"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Notes / Relevance</w:t>
            </w:r>
          </w:p>
        </w:tc>
      </w:tr>
      <w:tr w:rsidR="00650C77" w:rsidRPr="00650C77" w14:paraId="17722BE8" w14:textId="77777777" w:rsidTr="005E35D7">
        <w:tc>
          <w:tcPr>
            <w:tcW w:w="1164" w:type="dxa"/>
            <w:shd w:val="clear" w:color="auto" w:fill="DBDBDB" w:themeFill="accent3" w:themeFillTint="66"/>
          </w:tcPr>
          <w:p w14:paraId="60FD56E0"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PubMed</w:t>
            </w:r>
          </w:p>
        </w:tc>
        <w:tc>
          <w:tcPr>
            <w:tcW w:w="1540" w:type="dxa"/>
            <w:shd w:val="clear" w:color="auto" w:fill="DBDBDB" w:themeFill="accent3" w:themeFillTint="66"/>
          </w:tcPr>
          <w:p w14:paraId="71FAC72F"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Schizophrenia; treatment pathways; service delivery</w:t>
            </w:r>
          </w:p>
        </w:tc>
        <w:tc>
          <w:tcPr>
            <w:tcW w:w="1453" w:type="dxa"/>
            <w:shd w:val="clear" w:color="auto" w:fill="DBDBDB" w:themeFill="accent3" w:themeFillTint="66"/>
          </w:tcPr>
          <w:p w14:paraId="3CB840EC"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schizophrenia AND treatment pathways AND service delivery</w:t>
            </w:r>
          </w:p>
        </w:tc>
        <w:tc>
          <w:tcPr>
            <w:tcW w:w="1227" w:type="dxa"/>
            <w:shd w:val="clear" w:color="auto" w:fill="DBDBDB" w:themeFill="accent3" w:themeFillTint="66"/>
          </w:tcPr>
          <w:p w14:paraId="039F787A"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UK; English; 2015–2025</w:t>
            </w:r>
          </w:p>
        </w:tc>
        <w:tc>
          <w:tcPr>
            <w:tcW w:w="1174" w:type="dxa"/>
            <w:shd w:val="clear" w:color="auto" w:fill="DBDBDB" w:themeFill="accent3" w:themeFillTint="66"/>
          </w:tcPr>
          <w:p w14:paraId="17DD9286"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245</w:t>
            </w:r>
          </w:p>
        </w:tc>
        <w:tc>
          <w:tcPr>
            <w:tcW w:w="2509" w:type="dxa"/>
            <w:shd w:val="clear" w:color="auto" w:fill="DBDBDB" w:themeFill="accent3" w:themeFillTint="66"/>
          </w:tcPr>
          <w:p w14:paraId="2A4AECFB"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Too broad – refined search</w:t>
            </w:r>
          </w:p>
        </w:tc>
      </w:tr>
      <w:tr w:rsidR="00650C77" w:rsidRPr="00650C77" w14:paraId="223C0B35" w14:textId="77777777" w:rsidTr="005E35D7">
        <w:tc>
          <w:tcPr>
            <w:tcW w:w="1164" w:type="dxa"/>
            <w:shd w:val="clear" w:color="auto" w:fill="DBDBDB" w:themeFill="accent3" w:themeFillTint="66"/>
          </w:tcPr>
          <w:p w14:paraId="120B2B24"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PsycINFO</w:t>
            </w:r>
          </w:p>
        </w:tc>
        <w:tc>
          <w:tcPr>
            <w:tcW w:w="1540" w:type="dxa"/>
            <w:shd w:val="clear" w:color="auto" w:fill="DBDBDB" w:themeFill="accent3" w:themeFillTint="66"/>
          </w:tcPr>
          <w:p w14:paraId="5182BEF9"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Psychosis; EIP; outcomes</w:t>
            </w:r>
          </w:p>
        </w:tc>
        <w:tc>
          <w:tcPr>
            <w:tcW w:w="1453" w:type="dxa"/>
            <w:shd w:val="clear" w:color="auto" w:fill="DBDBDB" w:themeFill="accent3" w:themeFillTint="66"/>
          </w:tcPr>
          <w:p w14:paraId="1FE52775"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psychosis AND early intervention AND outcomes</w:t>
            </w:r>
          </w:p>
        </w:tc>
        <w:tc>
          <w:tcPr>
            <w:tcW w:w="1227" w:type="dxa"/>
            <w:shd w:val="clear" w:color="auto" w:fill="DBDBDB" w:themeFill="accent3" w:themeFillTint="66"/>
          </w:tcPr>
          <w:p w14:paraId="3527748B"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Peer-reviewed; UK</w:t>
            </w:r>
          </w:p>
        </w:tc>
        <w:tc>
          <w:tcPr>
            <w:tcW w:w="1174" w:type="dxa"/>
            <w:shd w:val="clear" w:color="auto" w:fill="DBDBDB" w:themeFill="accent3" w:themeFillTint="66"/>
          </w:tcPr>
          <w:p w14:paraId="45AEC573"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112</w:t>
            </w:r>
          </w:p>
        </w:tc>
        <w:tc>
          <w:tcPr>
            <w:tcW w:w="2509" w:type="dxa"/>
            <w:shd w:val="clear" w:color="auto" w:fill="DBDBDB" w:themeFill="accent3" w:themeFillTint="66"/>
          </w:tcPr>
          <w:p w14:paraId="5CD99528"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Highly relevant</w:t>
            </w:r>
          </w:p>
        </w:tc>
      </w:tr>
      <w:tr w:rsidR="00650C77" w:rsidRPr="00650C77" w14:paraId="63CFDE8B" w14:textId="77777777" w:rsidTr="005E35D7">
        <w:tc>
          <w:tcPr>
            <w:tcW w:w="1164" w:type="dxa"/>
            <w:shd w:val="clear" w:color="auto" w:fill="DBDBDB" w:themeFill="accent3" w:themeFillTint="66"/>
          </w:tcPr>
          <w:p w14:paraId="7486A467"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CINAHL</w:t>
            </w:r>
          </w:p>
        </w:tc>
        <w:tc>
          <w:tcPr>
            <w:tcW w:w="1540" w:type="dxa"/>
            <w:shd w:val="clear" w:color="auto" w:fill="DBDBDB" w:themeFill="accent3" w:themeFillTint="66"/>
          </w:tcPr>
          <w:p w14:paraId="6C5DED70"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SMI; community mental health; accessibility</w:t>
            </w:r>
          </w:p>
        </w:tc>
        <w:tc>
          <w:tcPr>
            <w:tcW w:w="1453" w:type="dxa"/>
            <w:shd w:val="clear" w:color="auto" w:fill="DBDBDB" w:themeFill="accent3" w:themeFillTint="66"/>
          </w:tcPr>
          <w:p w14:paraId="6A6AE2C9"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SMI AND community mental health AND accessibility</w:t>
            </w:r>
          </w:p>
        </w:tc>
        <w:tc>
          <w:tcPr>
            <w:tcW w:w="1227" w:type="dxa"/>
            <w:shd w:val="clear" w:color="auto" w:fill="DBDBDB" w:themeFill="accent3" w:themeFillTint="66"/>
          </w:tcPr>
          <w:p w14:paraId="218B3806"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UK; full text</w:t>
            </w:r>
          </w:p>
        </w:tc>
        <w:tc>
          <w:tcPr>
            <w:tcW w:w="1174" w:type="dxa"/>
            <w:shd w:val="clear" w:color="auto" w:fill="DBDBDB" w:themeFill="accent3" w:themeFillTint="66"/>
          </w:tcPr>
          <w:p w14:paraId="74F11372"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78</w:t>
            </w:r>
          </w:p>
        </w:tc>
        <w:tc>
          <w:tcPr>
            <w:tcW w:w="2509" w:type="dxa"/>
            <w:shd w:val="clear" w:color="auto" w:fill="DBDBDB" w:themeFill="accent3" w:themeFillTint="66"/>
          </w:tcPr>
          <w:p w14:paraId="5F83F160"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Useful service-delivery studies</w:t>
            </w:r>
          </w:p>
        </w:tc>
      </w:tr>
      <w:tr w:rsidR="00650C77" w:rsidRPr="00650C77" w14:paraId="5D599B72" w14:textId="77777777" w:rsidTr="005E35D7">
        <w:tc>
          <w:tcPr>
            <w:tcW w:w="1164" w:type="dxa"/>
            <w:shd w:val="clear" w:color="auto" w:fill="DBDBDB" w:themeFill="accent3" w:themeFillTint="66"/>
          </w:tcPr>
          <w:p w14:paraId="38995F33"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NHS England / GOV.UK</w:t>
            </w:r>
          </w:p>
        </w:tc>
        <w:tc>
          <w:tcPr>
            <w:tcW w:w="1540" w:type="dxa"/>
            <w:shd w:val="clear" w:color="auto" w:fill="DBDBDB" w:themeFill="accent3" w:themeFillTint="66"/>
          </w:tcPr>
          <w:p w14:paraId="6EE60629"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Schizophrenia; policy; NICE; ICS</w:t>
            </w:r>
          </w:p>
        </w:tc>
        <w:tc>
          <w:tcPr>
            <w:tcW w:w="1453" w:type="dxa"/>
            <w:shd w:val="clear" w:color="auto" w:fill="DBDBDB" w:themeFill="accent3" w:themeFillTint="66"/>
          </w:tcPr>
          <w:p w14:paraId="09873C8C"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schizophrenia AND NHS AND policy</w:t>
            </w:r>
          </w:p>
        </w:tc>
        <w:tc>
          <w:tcPr>
            <w:tcW w:w="1227" w:type="dxa"/>
            <w:shd w:val="clear" w:color="auto" w:fill="DBDBDB" w:themeFill="accent3" w:themeFillTint="66"/>
          </w:tcPr>
          <w:p w14:paraId="242A7ED5"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Policy documents</w:t>
            </w:r>
          </w:p>
        </w:tc>
        <w:tc>
          <w:tcPr>
            <w:tcW w:w="1174" w:type="dxa"/>
            <w:shd w:val="clear" w:color="auto" w:fill="DBDBDB" w:themeFill="accent3" w:themeFillTint="66"/>
          </w:tcPr>
          <w:p w14:paraId="0D507F28"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34</w:t>
            </w:r>
          </w:p>
        </w:tc>
        <w:tc>
          <w:tcPr>
            <w:tcW w:w="2509" w:type="dxa"/>
            <w:shd w:val="clear" w:color="auto" w:fill="DBDBDB" w:themeFill="accent3" w:themeFillTint="66"/>
          </w:tcPr>
          <w:p w14:paraId="642AE9D6" w14:textId="77777777" w:rsidR="00D632FC" w:rsidRPr="00650C77" w:rsidRDefault="00D632FC" w:rsidP="00B5677C">
            <w:pPr>
              <w:jc w:val="both"/>
              <w:rPr>
                <w:rFonts w:ascii="Arial" w:hAnsi="Arial" w:cs="Arial"/>
                <w:color w:val="000000" w:themeColor="text1"/>
                <w:sz w:val="18"/>
                <w:szCs w:val="18"/>
              </w:rPr>
            </w:pPr>
            <w:r w:rsidRPr="00650C77">
              <w:rPr>
                <w:rFonts w:ascii="Arial" w:hAnsi="Arial" w:cs="Arial"/>
                <w:color w:val="000000" w:themeColor="text1"/>
                <w:sz w:val="18"/>
                <w:szCs w:val="18"/>
              </w:rPr>
              <w:t>Key national guidance</w:t>
            </w:r>
          </w:p>
        </w:tc>
      </w:tr>
    </w:tbl>
    <w:p w14:paraId="0DE5B821" w14:textId="77777777" w:rsidR="005D4123" w:rsidRPr="00650C77" w:rsidRDefault="005D4123" w:rsidP="00B5677C">
      <w:pPr>
        <w:jc w:val="both"/>
        <w:rPr>
          <w:color w:val="000000" w:themeColor="text1"/>
          <w:sz w:val="20"/>
          <w:szCs w:val="20"/>
        </w:rPr>
      </w:pPr>
    </w:p>
    <w:p w14:paraId="11E9D76E" w14:textId="77777777" w:rsidR="00F85D58" w:rsidRPr="00650C77" w:rsidRDefault="00F85D58" w:rsidP="00C85AE5">
      <w:pPr>
        <w:spacing w:before="100" w:beforeAutospacing="1" w:after="100" w:afterAutospacing="1" w:line="360" w:lineRule="auto"/>
        <w:jc w:val="both"/>
        <w:rPr>
          <w:rFonts w:ascii="Arial" w:eastAsiaTheme="majorEastAsia" w:hAnsi="Arial" w:cs="Arial"/>
          <w:b/>
          <w:bCs/>
          <w:color w:val="000000" w:themeColor="text1"/>
          <w:sz w:val="28"/>
          <w:szCs w:val="28"/>
        </w:rPr>
      </w:pPr>
    </w:p>
    <w:p w14:paraId="68766BCE" w14:textId="77777777" w:rsidR="00F85D58" w:rsidRPr="00650C77" w:rsidRDefault="00F85D58" w:rsidP="00C85AE5">
      <w:pPr>
        <w:spacing w:before="100" w:beforeAutospacing="1" w:after="100" w:afterAutospacing="1" w:line="360" w:lineRule="auto"/>
        <w:jc w:val="both"/>
        <w:rPr>
          <w:rFonts w:ascii="Arial" w:eastAsiaTheme="majorEastAsia" w:hAnsi="Arial" w:cs="Arial"/>
          <w:b/>
          <w:bCs/>
          <w:color w:val="000000" w:themeColor="text1"/>
          <w:sz w:val="28"/>
          <w:szCs w:val="28"/>
        </w:rPr>
      </w:pPr>
    </w:p>
    <w:p w14:paraId="3FB049BE" w14:textId="77777777" w:rsidR="00F85D58" w:rsidRPr="00650C77" w:rsidRDefault="00F85D58" w:rsidP="00C85AE5">
      <w:pPr>
        <w:spacing w:before="100" w:beforeAutospacing="1" w:after="100" w:afterAutospacing="1" w:line="360" w:lineRule="auto"/>
        <w:jc w:val="both"/>
        <w:rPr>
          <w:rFonts w:ascii="Arial" w:eastAsiaTheme="majorEastAsia" w:hAnsi="Arial" w:cs="Arial"/>
          <w:b/>
          <w:bCs/>
          <w:color w:val="000000" w:themeColor="text1"/>
          <w:sz w:val="28"/>
          <w:szCs w:val="28"/>
        </w:rPr>
      </w:pPr>
    </w:p>
    <w:p w14:paraId="38FE92B8" w14:textId="77777777" w:rsidR="00F85D58" w:rsidRPr="00650C77" w:rsidRDefault="00F85D58" w:rsidP="00C85AE5">
      <w:pPr>
        <w:spacing w:before="100" w:beforeAutospacing="1" w:after="100" w:afterAutospacing="1" w:line="360" w:lineRule="auto"/>
        <w:jc w:val="both"/>
        <w:rPr>
          <w:rFonts w:ascii="Arial" w:eastAsiaTheme="majorEastAsia" w:hAnsi="Arial" w:cs="Arial"/>
          <w:b/>
          <w:bCs/>
          <w:color w:val="000000" w:themeColor="text1"/>
          <w:sz w:val="28"/>
          <w:szCs w:val="28"/>
        </w:rPr>
      </w:pPr>
    </w:p>
    <w:p w14:paraId="15474EC1" w14:textId="77777777" w:rsidR="00F85D58" w:rsidRPr="00650C77" w:rsidRDefault="00F85D58" w:rsidP="00C85AE5">
      <w:pPr>
        <w:spacing w:before="100" w:beforeAutospacing="1" w:after="100" w:afterAutospacing="1" w:line="360" w:lineRule="auto"/>
        <w:jc w:val="both"/>
        <w:rPr>
          <w:rFonts w:ascii="Arial" w:eastAsiaTheme="majorEastAsia" w:hAnsi="Arial" w:cs="Arial"/>
          <w:b/>
          <w:bCs/>
          <w:color w:val="000000" w:themeColor="text1"/>
          <w:sz w:val="28"/>
          <w:szCs w:val="28"/>
        </w:rPr>
      </w:pPr>
    </w:p>
    <w:p w14:paraId="333D6A38" w14:textId="77777777" w:rsidR="00F85D58" w:rsidRPr="00650C77" w:rsidRDefault="00F85D58" w:rsidP="00C85AE5">
      <w:pPr>
        <w:spacing w:before="100" w:beforeAutospacing="1" w:after="100" w:afterAutospacing="1" w:line="360" w:lineRule="auto"/>
        <w:jc w:val="both"/>
        <w:rPr>
          <w:rFonts w:ascii="Arial" w:eastAsiaTheme="majorEastAsia" w:hAnsi="Arial" w:cs="Arial"/>
          <w:b/>
          <w:bCs/>
          <w:color w:val="000000" w:themeColor="text1"/>
          <w:sz w:val="28"/>
          <w:szCs w:val="28"/>
        </w:rPr>
      </w:pPr>
    </w:p>
    <w:p w14:paraId="3D354DE4" w14:textId="77777777" w:rsidR="00F85D58" w:rsidRPr="00650C77" w:rsidRDefault="00F85D58" w:rsidP="00C85AE5">
      <w:pPr>
        <w:spacing w:before="100" w:beforeAutospacing="1" w:after="100" w:afterAutospacing="1" w:line="360" w:lineRule="auto"/>
        <w:jc w:val="both"/>
        <w:rPr>
          <w:rFonts w:ascii="Arial" w:eastAsiaTheme="majorEastAsia" w:hAnsi="Arial" w:cs="Arial"/>
          <w:b/>
          <w:bCs/>
          <w:color w:val="000000" w:themeColor="text1"/>
          <w:sz w:val="28"/>
          <w:szCs w:val="28"/>
        </w:rPr>
      </w:pPr>
    </w:p>
    <w:p w14:paraId="506BA777" w14:textId="77777777" w:rsidR="00F85D58" w:rsidRPr="00650C77" w:rsidRDefault="00F85D58" w:rsidP="00C85AE5">
      <w:pPr>
        <w:spacing w:before="100" w:beforeAutospacing="1" w:after="100" w:afterAutospacing="1" w:line="360" w:lineRule="auto"/>
        <w:jc w:val="both"/>
        <w:rPr>
          <w:rFonts w:ascii="Arial" w:eastAsiaTheme="majorEastAsia" w:hAnsi="Arial" w:cs="Arial"/>
          <w:b/>
          <w:bCs/>
          <w:color w:val="000000" w:themeColor="text1"/>
          <w:sz w:val="28"/>
          <w:szCs w:val="28"/>
        </w:rPr>
      </w:pPr>
    </w:p>
    <w:p w14:paraId="3DF71412" w14:textId="77777777" w:rsidR="00F85D58" w:rsidRPr="00650C77" w:rsidRDefault="00F85D58" w:rsidP="00C85AE5">
      <w:pPr>
        <w:spacing w:before="100" w:beforeAutospacing="1" w:after="100" w:afterAutospacing="1" w:line="360" w:lineRule="auto"/>
        <w:jc w:val="both"/>
        <w:rPr>
          <w:rFonts w:ascii="Arial" w:eastAsiaTheme="majorEastAsia" w:hAnsi="Arial" w:cs="Arial"/>
          <w:b/>
          <w:bCs/>
          <w:color w:val="000000" w:themeColor="text1"/>
          <w:sz w:val="28"/>
          <w:szCs w:val="28"/>
        </w:rPr>
      </w:pPr>
    </w:p>
    <w:p w14:paraId="78D9B7B1" w14:textId="4D046DDA" w:rsidR="00C85AE5" w:rsidRPr="00650C77" w:rsidRDefault="005E45D3" w:rsidP="00C85AE5">
      <w:pPr>
        <w:spacing w:before="100" w:beforeAutospacing="1" w:after="100" w:afterAutospacing="1" w:line="360" w:lineRule="auto"/>
        <w:jc w:val="both"/>
        <w:rPr>
          <w:rFonts w:ascii="Arial" w:eastAsiaTheme="majorEastAsia" w:hAnsi="Arial" w:cs="Arial"/>
          <w:b/>
          <w:bCs/>
          <w:color w:val="000000" w:themeColor="text1"/>
          <w:sz w:val="24"/>
          <w:szCs w:val="24"/>
        </w:rPr>
      </w:pPr>
      <w:r w:rsidRPr="00650C77">
        <w:rPr>
          <w:rFonts w:ascii="Arial" w:eastAsiaTheme="majorEastAsia" w:hAnsi="Arial" w:cs="Arial"/>
          <w:b/>
          <w:bCs/>
          <w:color w:val="000000" w:themeColor="text1"/>
          <w:sz w:val="28"/>
          <w:szCs w:val="28"/>
        </w:rPr>
        <w:lastRenderedPageBreak/>
        <w:t xml:space="preserve">Appendix 7.4: </w:t>
      </w:r>
      <w:r w:rsidR="00C85AE5" w:rsidRPr="00650C77">
        <w:rPr>
          <w:rFonts w:ascii="Arial" w:eastAsiaTheme="majorEastAsia" w:hAnsi="Arial" w:cs="Arial"/>
          <w:b/>
          <w:bCs/>
          <w:color w:val="000000" w:themeColor="text1"/>
          <w:sz w:val="28"/>
          <w:szCs w:val="28"/>
        </w:rPr>
        <w:t xml:space="preserve"> </w:t>
      </w:r>
      <w:r w:rsidR="00C85AE5" w:rsidRPr="00650C77">
        <w:rPr>
          <w:rFonts w:ascii="Arial" w:eastAsiaTheme="majorEastAsia" w:hAnsi="Arial" w:cs="Arial"/>
          <w:b/>
          <w:bCs/>
          <w:color w:val="000000" w:themeColor="text1"/>
          <w:sz w:val="24"/>
          <w:szCs w:val="24"/>
        </w:rPr>
        <w:t>Historical Comparison of Schizophrenia Care in the UK</w:t>
      </w:r>
    </w:p>
    <w:p w14:paraId="1B857762" w14:textId="1FFCD5EC" w:rsidR="00F85D58" w:rsidRPr="00650C77" w:rsidRDefault="00F85D58" w:rsidP="00C85AE5">
      <w:pPr>
        <w:spacing w:before="100" w:beforeAutospacing="1" w:after="100" w:afterAutospacing="1" w:line="360" w:lineRule="auto"/>
        <w:jc w:val="both"/>
        <w:rPr>
          <w:rFonts w:ascii="Arial" w:eastAsia="Times New Roman" w:hAnsi="Arial" w:cs="Arial"/>
          <w:color w:val="000000" w:themeColor="text1"/>
          <w:kern w:val="0"/>
          <w:sz w:val="18"/>
          <w:szCs w:val="18"/>
          <w:lang w:eastAsia="en-GB"/>
          <w14:ligatures w14:val="none"/>
        </w:rPr>
      </w:pPr>
      <w:r w:rsidRPr="00650C77">
        <w:rPr>
          <w:rFonts w:ascii="Arial" w:hAnsi="Arial" w:cs="Arial"/>
          <w:color w:val="000000" w:themeColor="text1"/>
          <w:sz w:val="18"/>
          <w:szCs w:val="18"/>
        </w:rPr>
        <w:t xml:space="preserve">[Chapter 2, Section </w:t>
      </w:r>
      <w:r w:rsidRPr="00650C77">
        <w:rPr>
          <w:rStyle w:val="Strong"/>
          <w:rFonts w:ascii="Arial" w:hAnsi="Arial" w:cs="Arial"/>
          <w:color w:val="000000" w:themeColor="text1"/>
          <w:sz w:val="18"/>
          <w:szCs w:val="18"/>
        </w:rPr>
        <w:t>2.3 (Historical Background)]</w:t>
      </w:r>
    </w:p>
    <w:p w14:paraId="5368E747" w14:textId="77777777" w:rsidR="00C85AE5" w:rsidRPr="00650C77" w:rsidRDefault="00C85AE5" w:rsidP="00C85AE5">
      <w:pPr>
        <w:spacing w:line="360" w:lineRule="auto"/>
        <w:jc w:val="both"/>
        <w:rPr>
          <w:rFonts w:ascii="Arial" w:hAnsi="Arial" w:cs="Arial"/>
          <w:color w:val="000000" w:themeColor="text1"/>
        </w:rPr>
      </w:pPr>
      <w:r w:rsidRPr="00650C77">
        <w:rPr>
          <w:rFonts w:ascii="Arial" w:hAnsi="Arial" w:cs="Arial"/>
          <w:color w:val="000000" w:themeColor="text1"/>
        </w:rPr>
        <w:t>The table below presents a structured comparison of the major historical periods in the development of schizophrenia treatment and mental health services in the United Kingdom.</w:t>
      </w:r>
    </w:p>
    <w:tbl>
      <w:tblPr>
        <w:tblStyle w:val="TableGrid"/>
        <w:tblW w:w="0" w:type="auto"/>
        <w:tblInd w:w="-113" w:type="dxa"/>
        <w:tblLook w:val="04A0" w:firstRow="1" w:lastRow="0" w:firstColumn="1" w:lastColumn="0" w:noHBand="0" w:noVBand="1"/>
      </w:tblPr>
      <w:tblGrid>
        <w:gridCol w:w="1359"/>
        <w:gridCol w:w="1336"/>
        <w:gridCol w:w="2178"/>
        <w:gridCol w:w="1318"/>
        <w:gridCol w:w="1535"/>
        <w:gridCol w:w="1403"/>
      </w:tblGrid>
      <w:tr w:rsidR="00650C77" w:rsidRPr="00650C77" w14:paraId="5E2D50ED" w14:textId="77777777" w:rsidTr="00881333">
        <w:tc>
          <w:tcPr>
            <w:tcW w:w="1440" w:type="dxa"/>
            <w:shd w:val="clear" w:color="auto" w:fill="BDD6EE" w:themeFill="accent5" w:themeFillTint="66"/>
          </w:tcPr>
          <w:p w14:paraId="7A7D70DF" w14:textId="77777777" w:rsidR="00C85AE5" w:rsidRPr="00974AF9" w:rsidRDefault="00C85AE5" w:rsidP="00881333">
            <w:pPr>
              <w:rPr>
                <w:rFonts w:ascii="Arial" w:hAnsi="Arial" w:cs="Arial"/>
                <w:b/>
                <w:bCs/>
                <w:color w:val="000000" w:themeColor="text1"/>
                <w:sz w:val="20"/>
                <w:szCs w:val="20"/>
              </w:rPr>
            </w:pPr>
            <w:r w:rsidRPr="00974AF9">
              <w:rPr>
                <w:rFonts w:ascii="Arial" w:hAnsi="Arial" w:cs="Arial"/>
                <w:b/>
                <w:bCs/>
                <w:color w:val="000000" w:themeColor="text1"/>
                <w:sz w:val="20"/>
                <w:szCs w:val="20"/>
              </w:rPr>
              <w:t>Comparison Criteria</w:t>
            </w:r>
          </w:p>
        </w:tc>
        <w:tc>
          <w:tcPr>
            <w:tcW w:w="1440" w:type="dxa"/>
            <w:shd w:val="clear" w:color="auto" w:fill="BDD6EE" w:themeFill="accent5" w:themeFillTint="66"/>
          </w:tcPr>
          <w:p w14:paraId="3960124C" w14:textId="77777777" w:rsidR="00C85AE5" w:rsidRPr="00974AF9" w:rsidRDefault="00C85AE5" w:rsidP="00881333">
            <w:pPr>
              <w:rPr>
                <w:rFonts w:ascii="Arial" w:hAnsi="Arial" w:cs="Arial"/>
                <w:b/>
                <w:bCs/>
                <w:color w:val="000000" w:themeColor="text1"/>
                <w:sz w:val="20"/>
                <w:szCs w:val="20"/>
              </w:rPr>
            </w:pPr>
            <w:r w:rsidRPr="00974AF9">
              <w:rPr>
                <w:rFonts w:ascii="Arial" w:hAnsi="Arial" w:cs="Arial"/>
                <w:b/>
                <w:bCs/>
                <w:color w:val="000000" w:themeColor="text1"/>
                <w:sz w:val="20"/>
                <w:szCs w:val="20"/>
              </w:rPr>
              <w:t>Asylum Era</w:t>
            </w:r>
            <w:r w:rsidRPr="00974AF9">
              <w:rPr>
                <w:rFonts w:ascii="Arial" w:hAnsi="Arial" w:cs="Arial"/>
                <w:b/>
                <w:bCs/>
                <w:color w:val="000000" w:themeColor="text1"/>
                <w:sz w:val="20"/>
                <w:szCs w:val="20"/>
              </w:rPr>
              <w:br/>
              <w:t>(1800s–1950s)</w:t>
            </w:r>
          </w:p>
        </w:tc>
        <w:tc>
          <w:tcPr>
            <w:tcW w:w="1440" w:type="dxa"/>
            <w:shd w:val="clear" w:color="auto" w:fill="BDD6EE" w:themeFill="accent5" w:themeFillTint="66"/>
          </w:tcPr>
          <w:p w14:paraId="35AACE0B" w14:textId="77777777" w:rsidR="00C85AE5" w:rsidRPr="00974AF9" w:rsidRDefault="00C85AE5" w:rsidP="00881333">
            <w:pPr>
              <w:rPr>
                <w:rFonts w:ascii="Arial" w:hAnsi="Arial" w:cs="Arial"/>
                <w:b/>
                <w:bCs/>
                <w:color w:val="000000" w:themeColor="text1"/>
                <w:sz w:val="20"/>
                <w:szCs w:val="20"/>
              </w:rPr>
            </w:pPr>
            <w:r w:rsidRPr="00974AF9">
              <w:rPr>
                <w:rFonts w:ascii="Arial" w:hAnsi="Arial" w:cs="Arial"/>
                <w:b/>
                <w:bCs/>
                <w:color w:val="000000" w:themeColor="text1"/>
                <w:sz w:val="20"/>
                <w:szCs w:val="20"/>
              </w:rPr>
              <w:t xml:space="preserve">Early </w:t>
            </w:r>
            <w:proofErr w:type="spellStart"/>
            <w:r w:rsidRPr="00974AF9">
              <w:rPr>
                <w:rFonts w:ascii="Arial" w:hAnsi="Arial" w:cs="Arial"/>
                <w:b/>
                <w:bCs/>
                <w:color w:val="000000" w:themeColor="text1"/>
                <w:sz w:val="20"/>
                <w:szCs w:val="20"/>
              </w:rPr>
              <w:t>Deinstitutionalisation</w:t>
            </w:r>
            <w:proofErr w:type="spellEnd"/>
            <w:r w:rsidRPr="00974AF9">
              <w:rPr>
                <w:rFonts w:ascii="Arial" w:hAnsi="Arial" w:cs="Arial"/>
                <w:b/>
                <w:bCs/>
                <w:color w:val="000000" w:themeColor="text1"/>
                <w:sz w:val="20"/>
                <w:szCs w:val="20"/>
              </w:rPr>
              <w:br/>
              <w:t>(1959–1980s)</w:t>
            </w:r>
          </w:p>
        </w:tc>
        <w:tc>
          <w:tcPr>
            <w:tcW w:w="1440" w:type="dxa"/>
            <w:shd w:val="clear" w:color="auto" w:fill="BDD6EE" w:themeFill="accent5" w:themeFillTint="66"/>
          </w:tcPr>
          <w:p w14:paraId="74AF4D11" w14:textId="77777777" w:rsidR="00C85AE5" w:rsidRPr="00974AF9" w:rsidRDefault="00C85AE5" w:rsidP="00881333">
            <w:pPr>
              <w:rPr>
                <w:rFonts w:ascii="Arial" w:hAnsi="Arial" w:cs="Arial"/>
                <w:b/>
                <w:bCs/>
                <w:color w:val="000000" w:themeColor="text1"/>
                <w:sz w:val="20"/>
                <w:szCs w:val="20"/>
              </w:rPr>
            </w:pPr>
            <w:r w:rsidRPr="00974AF9">
              <w:rPr>
                <w:rFonts w:ascii="Arial" w:hAnsi="Arial" w:cs="Arial"/>
                <w:b/>
                <w:bCs/>
                <w:color w:val="000000" w:themeColor="text1"/>
                <w:sz w:val="20"/>
                <w:szCs w:val="20"/>
              </w:rPr>
              <w:t>Community Care Era</w:t>
            </w:r>
            <w:r w:rsidRPr="00974AF9">
              <w:rPr>
                <w:rFonts w:ascii="Arial" w:hAnsi="Arial" w:cs="Arial"/>
                <w:b/>
                <w:bCs/>
                <w:color w:val="000000" w:themeColor="text1"/>
                <w:sz w:val="20"/>
                <w:szCs w:val="20"/>
              </w:rPr>
              <w:br/>
              <w:t>(1990s)</w:t>
            </w:r>
          </w:p>
        </w:tc>
        <w:tc>
          <w:tcPr>
            <w:tcW w:w="1440" w:type="dxa"/>
            <w:shd w:val="clear" w:color="auto" w:fill="BDD6EE" w:themeFill="accent5" w:themeFillTint="66"/>
          </w:tcPr>
          <w:p w14:paraId="042C738D" w14:textId="77777777" w:rsidR="00C85AE5" w:rsidRPr="00974AF9" w:rsidRDefault="00C85AE5" w:rsidP="00881333">
            <w:pPr>
              <w:rPr>
                <w:rFonts w:ascii="Arial" w:hAnsi="Arial" w:cs="Arial"/>
                <w:b/>
                <w:bCs/>
                <w:color w:val="000000" w:themeColor="text1"/>
                <w:sz w:val="20"/>
                <w:szCs w:val="20"/>
              </w:rPr>
            </w:pPr>
            <w:proofErr w:type="spellStart"/>
            <w:r w:rsidRPr="00974AF9">
              <w:rPr>
                <w:rFonts w:ascii="Arial" w:hAnsi="Arial" w:cs="Arial"/>
                <w:b/>
                <w:bCs/>
                <w:color w:val="000000" w:themeColor="text1"/>
                <w:sz w:val="20"/>
                <w:szCs w:val="20"/>
              </w:rPr>
              <w:t>Modernisation</w:t>
            </w:r>
            <w:proofErr w:type="spellEnd"/>
            <w:r w:rsidRPr="00974AF9">
              <w:rPr>
                <w:rFonts w:ascii="Arial" w:hAnsi="Arial" w:cs="Arial"/>
                <w:b/>
                <w:bCs/>
                <w:color w:val="000000" w:themeColor="text1"/>
                <w:sz w:val="20"/>
                <w:szCs w:val="20"/>
              </w:rPr>
              <w:t xml:space="preserve"> &amp; EIP</w:t>
            </w:r>
            <w:r w:rsidRPr="00974AF9">
              <w:rPr>
                <w:rFonts w:ascii="Arial" w:hAnsi="Arial" w:cs="Arial"/>
                <w:b/>
                <w:bCs/>
                <w:color w:val="000000" w:themeColor="text1"/>
                <w:sz w:val="20"/>
                <w:szCs w:val="20"/>
              </w:rPr>
              <w:br/>
              <w:t>(2000s–2015)</w:t>
            </w:r>
          </w:p>
        </w:tc>
        <w:tc>
          <w:tcPr>
            <w:tcW w:w="1440" w:type="dxa"/>
            <w:shd w:val="clear" w:color="auto" w:fill="BDD6EE" w:themeFill="accent5" w:themeFillTint="66"/>
          </w:tcPr>
          <w:p w14:paraId="38598AC4" w14:textId="77777777" w:rsidR="00C85AE5" w:rsidRPr="00974AF9" w:rsidRDefault="00C85AE5" w:rsidP="00881333">
            <w:pPr>
              <w:rPr>
                <w:rFonts w:ascii="Arial" w:hAnsi="Arial" w:cs="Arial"/>
                <w:b/>
                <w:bCs/>
                <w:color w:val="000000" w:themeColor="text1"/>
                <w:sz w:val="20"/>
                <w:szCs w:val="20"/>
              </w:rPr>
            </w:pPr>
            <w:r w:rsidRPr="00974AF9">
              <w:rPr>
                <w:rFonts w:ascii="Arial" w:hAnsi="Arial" w:cs="Arial"/>
                <w:b/>
                <w:bCs/>
                <w:color w:val="000000" w:themeColor="text1"/>
                <w:sz w:val="20"/>
                <w:szCs w:val="20"/>
              </w:rPr>
              <w:t>Integrated Care Era</w:t>
            </w:r>
            <w:r w:rsidRPr="00974AF9">
              <w:rPr>
                <w:rFonts w:ascii="Arial" w:hAnsi="Arial" w:cs="Arial"/>
                <w:b/>
                <w:bCs/>
                <w:color w:val="000000" w:themeColor="text1"/>
                <w:sz w:val="20"/>
                <w:szCs w:val="20"/>
              </w:rPr>
              <w:br/>
              <w:t>(2015–Present)</w:t>
            </w:r>
          </w:p>
        </w:tc>
      </w:tr>
      <w:tr w:rsidR="00650C77" w:rsidRPr="00650C77" w14:paraId="45FCD9B0" w14:textId="77777777" w:rsidTr="00881333">
        <w:tc>
          <w:tcPr>
            <w:tcW w:w="1440" w:type="dxa"/>
            <w:shd w:val="clear" w:color="auto" w:fill="BDD6EE" w:themeFill="accent5" w:themeFillTint="66"/>
          </w:tcPr>
          <w:p w14:paraId="0B867821" w14:textId="77777777" w:rsidR="00C85AE5" w:rsidRPr="00650C77" w:rsidRDefault="00C85AE5" w:rsidP="00881333">
            <w:pPr>
              <w:rPr>
                <w:rFonts w:ascii="Arial" w:hAnsi="Arial" w:cs="Arial"/>
                <w:b/>
                <w:bCs/>
                <w:color w:val="000000" w:themeColor="text1"/>
              </w:rPr>
            </w:pPr>
            <w:r w:rsidRPr="00650C77">
              <w:rPr>
                <w:rFonts w:ascii="Arial" w:hAnsi="Arial" w:cs="Arial"/>
                <w:b/>
                <w:bCs/>
                <w:color w:val="000000" w:themeColor="text1"/>
              </w:rPr>
              <w:t>Care Setting</w:t>
            </w:r>
          </w:p>
        </w:tc>
        <w:tc>
          <w:tcPr>
            <w:tcW w:w="1440" w:type="dxa"/>
            <w:shd w:val="clear" w:color="auto" w:fill="DEEAF6" w:themeFill="accent5" w:themeFillTint="33"/>
          </w:tcPr>
          <w:p w14:paraId="40BB5045"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Large county asylums</w:t>
            </w:r>
          </w:p>
        </w:tc>
        <w:tc>
          <w:tcPr>
            <w:tcW w:w="1440" w:type="dxa"/>
            <w:shd w:val="clear" w:color="auto" w:fill="DEEAF6" w:themeFill="accent5" w:themeFillTint="33"/>
          </w:tcPr>
          <w:p w14:paraId="6D034F70"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General hospitals &amp; outpatient care</w:t>
            </w:r>
          </w:p>
        </w:tc>
        <w:tc>
          <w:tcPr>
            <w:tcW w:w="1440" w:type="dxa"/>
            <w:shd w:val="clear" w:color="auto" w:fill="DEEAF6" w:themeFill="accent5" w:themeFillTint="33"/>
          </w:tcPr>
          <w:p w14:paraId="330B7CDD"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Community-based services</w:t>
            </w:r>
          </w:p>
        </w:tc>
        <w:tc>
          <w:tcPr>
            <w:tcW w:w="1440" w:type="dxa"/>
            <w:shd w:val="clear" w:color="auto" w:fill="DEEAF6" w:themeFill="accent5" w:themeFillTint="33"/>
          </w:tcPr>
          <w:p w14:paraId="5AC209D1"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Specialist community teams</w:t>
            </w:r>
          </w:p>
        </w:tc>
        <w:tc>
          <w:tcPr>
            <w:tcW w:w="1440" w:type="dxa"/>
            <w:shd w:val="clear" w:color="auto" w:fill="DEEAF6" w:themeFill="accent5" w:themeFillTint="33"/>
          </w:tcPr>
          <w:p w14:paraId="60FF8777"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Integrated community systems</w:t>
            </w:r>
          </w:p>
        </w:tc>
      </w:tr>
      <w:tr w:rsidR="00650C77" w:rsidRPr="00650C77" w14:paraId="3BEE0C6F" w14:textId="77777777" w:rsidTr="00881333">
        <w:tc>
          <w:tcPr>
            <w:tcW w:w="1440" w:type="dxa"/>
            <w:shd w:val="clear" w:color="auto" w:fill="BDD6EE" w:themeFill="accent5" w:themeFillTint="66"/>
          </w:tcPr>
          <w:p w14:paraId="10381FA3" w14:textId="77777777" w:rsidR="00C85AE5" w:rsidRPr="00650C77" w:rsidRDefault="00C85AE5" w:rsidP="00881333">
            <w:pPr>
              <w:rPr>
                <w:rFonts w:ascii="Arial" w:hAnsi="Arial" w:cs="Arial"/>
                <w:b/>
                <w:bCs/>
                <w:color w:val="000000" w:themeColor="text1"/>
              </w:rPr>
            </w:pPr>
            <w:r w:rsidRPr="00650C77">
              <w:rPr>
                <w:rFonts w:ascii="Arial" w:hAnsi="Arial" w:cs="Arial"/>
                <w:b/>
                <w:bCs/>
                <w:color w:val="000000" w:themeColor="text1"/>
              </w:rPr>
              <w:t>Care Philosophy</w:t>
            </w:r>
          </w:p>
        </w:tc>
        <w:tc>
          <w:tcPr>
            <w:tcW w:w="1440" w:type="dxa"/>
            <w:shd w:val="clear" w:color="auto" w:fill="DEEAF6" w:themeFill="accent5" w:themeFillTint="33"/>
          </w:tcPr>
          <w:p w14:paraId="54227CDE"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Custodial and containment-focused</w:t>
            </w:r>
          </w:p>
        </w:tc>
        <w:tc>
          <w:tcPr>
            <w:tcW w:w="1440" w:type="dxa"/>
            <w:shd w:val="clear" w:color="auto" w:fill="DEEAF6" w:themeFill="accent5" w:themeFillTint="33"/>
          </w:tcPr>
          <w:p w14:paraId="4A1D2385"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Medical treatment and legal reform</w:t>
            </w:r>
          </w:p>
        </w:tc>
        <w:tc>
          <w:tcPr>
            <w:tcW w:w="1440" w:type="dxa"/>
            <w:shd w:val="clear" w:color="auto" w:fill="DEEAF6" w:themeFill="accent5" w:themeFillTint="33"/>
          </w:tcPr>
          <w:p w14:paraId="5AE87B1C"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Independence and risk management</w:t>
            </w:r>
          </w:p>
        </w:tc>
        <w:tc>
          <w:tcPr>
            <w:tcW w:w="1440" w:type="dxa"/>
            <w:shd w:val="clear" w:color="auto" w:fill="DEEAF6" w:themeFill="accent5" w:themeFillTint="33"/>
          </w:tcPr>
          <w:p w14:paraId="23C7BA30"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Early intervention and recovery</w:t>
            </w:r>
          </w:p>
        </w:tc>
        <w:tc>
          <w:tcPr>
            <w:tcW w:w="1440" w:type="dxa"/>
            <w:shd w:val="clear" w:color="auto" w:fill="DEEAF6" w:themeFill="accent5" w:themeFillTint="33"/>
          </w:tcPr>
          <w:p w14:paraId="403E952F"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Person-</w:t>
            </w:r>
            <w:proofErr w:type="spellStart"/>
            <w:r w:rsidRPr="002A42EA">
              <w:rPr>
                <w:rFonts w:ascii="Arial" w:hAnsi="Arial" w:cs="Arial"/>
                <w:color w:val="000000" w:themeColor="text1"/>
                <w:sz w:val="28"/>
                <w:szCs w:val="28"/>
                <w:vertAlign w:val="superscript"/>
              </w:rPr>
              <w:t>centred</w:t>
            </w:r>
            <w:proofErr w:type="spellEnd"/>
            <w:r w:rsidRPr="002A42EA">
              <w:rPr>
                <w:rFonts w:ascii="Arial" w:hAnsi="Arial" w:cs="Arial"/>
                <w:color w:val="000000" w:themeColor="text1"/>
                <w:sz w:val="28"/>
                <w:szCs w:val="28"/>
                <w:vertAlign w:val="superscript"/>
              </w:rPr>
              <w:t xml:space="preserve"> and holistic care</w:t>
            </w:r>
          </w:p>
        </w:tc>
      </w:tr>
      <w:tr w:rsidR="00650C77" w:rsidRPr="00650C77" w14:paraId="062A77B2" w14:textId="77777777" w:rsidTr="00881333">
        <w:tc>
          <w:tcPr>
            <w:tcW w:w="1440" w:type="dxa"/>
            <w:shd w:val="clear" w:color="auto" w:fill="BDD6EE" w:themeFill="accent5" w:themeFillTint="66"/>
          </w:tcPr>
          <w:p w14:paraId="365FC86E" w14:textId="77777777" w:rsidR="00C85AE5" w:rsidRPr="00650C77" w:rsidRDefault="00C85AE5" w:rsidP="00881333">
            <w:pPr>
              <w:rPr>
                <w:rFonts w:ascii="Arial" w:hAnsi="Arial" w:cs="Arial"/>
                <w:b/>
                <w:bCs/>
                <w:color w:val="000000" w:themeColor="text1"/>
              </w:rPr>
            </w:pPr>
            <w:r w:rsidRPr="00650C77">
              <w:rPr>
                <w:rFonts w:ascii="Arial" w:hAnsi="Arial" w:cs="Arial"/>
                <w:b/>
                <w:bCs/>
                <w:color w:val="000000" w:themeColor="text1"/>
              </w:rPr>
              <w:t>Key Legislation / Policy</w:t>
            </w:r>
          </w:p>
        </w:tc>
        <w:tc>
          <w:tcPr>
            <w:tcW w:w="1440" w:type="dxa"/>
            <w:shd w:val="clear" w:color="auto" w:fill="DEEAF6" w:themeFill="accent5" w:themeFillTint="33"/>
          </w:tcPr>
          <w:p w14:paraId="1398F017"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Lunacy Acts 1845 &amp; 1890</w:t>
            </w:r>
          </w:p>
        </w:tc>
        <w:tc>
          <w:tcPr>
            <w:tcW w:w="1440" w:type="dxa"/>
            <w:shd w:val="clear" w:color="auto" w:fill="DEEAF6" w:themeFill="accent5" w:themeFillTint="33"/>
          </w:tcPr>
          <w:p w14:paraId="6D3F6ACF"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Mental Health Act 1959 &amp; 1983</w:t>
            </w:r>
          </w:p>
        </w:tc>
        <w:tc>
          <w:tcPr>
            <w:tcW w:w="1440" w:type="dxa"/>
            <w:shd w:val="clear" w:color="auto" w:fill="DEEAF6" w:themeFill="accent5" w:themeFillTint="33"/>
          </w:tcPr>
          <w:p w14:paraId="34F179D7"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NHS &amp; Community Care Act 1990; CPA</w:t>
            </w:r>
          </w:p>
        </w:tc>
        <w:tc>
          <w:tcPr>
            <w:tcW w:w="1440" w:type="dxa"/>
            <w:shd w:val="clear" w:color="auto" w:fill="DEEAF6" w:themeFill="accent5" w:themeFillTint="33"/>
          </w:tcPr>
          <w:p w14:paraId="2EDC03A6"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NSF for Mental Health; NHS Plan</w:t>
            </w:r>
          </w:p>
        </w:tc>
        <w:tc>
          <w:tcPr>
            <w:tcW w:w="1440" w:type="dxa"/>
            <w:shd w:val="clear" w:color="auto" w:fill="DEEAF6" w:themeFill="accent5" w:themeFillTint="33"/>
          </w:tcPr>
          <w:p w14:paraId="4984C947"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NHS Long Term Plan; CMH Framework</w:t>
            </w:r>
          </w:p>
        </w:tc>
      </w:tr>
      <w:tr w:rsidR="00650C77" w:rsidRPr="00650C77" w14:paraId="6DCC43FF" w14:textId="77777777" w:rsidTr="00881333">
        <w:tc>
          <w:tcPr>
            <w:tcW w:w="1440" w:type="dxa"/>
            <w:shd w:val="clear" w:color="auto" w:fill="BDD6EE" w:themeFill="accent5" w:themeFillTint="66"/>
          </w:tcPr>
          <w:p w14:paraId="263EA568" w14:textId="77777777" w:rsidR="00C85AE5" w:rsidRPr="00650C77" w:rsidRDefault="00C85AE5" w:rsidP="00881333">
            <w:pPr>
              <w:rPr>
                <w:rFonts w:ascii="Arial" w:hAnsi="Arial" w:cs="Arial"/>
                <w:b/>
                <w:bCs/>
                <w:color w:val="000000" w:themeColor="text1"/>
              </w:rPr>
            </w:pPr>
            <w:r w:rsidRPr="00650C77">
              <w:rPr>
                <w:rFonts w:ascii="Arial" w:hAnsi="Arial" w:cs="Arial"/>
                <w:b/>
                <w:bCs/>
                <w:color w:val="000000" w:themeColor="text1"/>
              </w:rPr>
              <w:t>Treatment Approach</w:t>
            </w:r>
          </w:p>
        </w:tc>
        <w:tc>
          <w:tcPr>
            <w:tcW w:w="1440" w:type="dxa"/>
            <w:shd w:val="clear" w:color="auto" w:fill="DEEAF6" w:themeFill="accent5" w:themeFillTint="33"/>
          </w:tcPr>
          <w:p w14:paraId="4C5C5408"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Minimal therapeutic input</w:t>
            </w:r>
          </w:p>
        </w:tc>
        <w:tc>
          <w:tcPr>
            <w:tcW w:w="1440" w:type="dxa"/>
            <w:shd w:val="clear" w:color="auto" w:fill="DEEAF6" w:themeFill="accent5" w:themeFillTint="33"/>
          </w:tcPr>
          <w:p w14:paraId="0D109B2A"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Introduction of antipsychotics</w:t>
            </w:r>
          </w:p>
        </w:tc>
        <w:tc>
          <w:tcPr>
            <w:tcW w:w="1440" w:type="dxa"/>
            <w:shd w:val="clear" w:color="auto" w:fill="DEEAF6" w:themeFill="accent5" w:themeFillTint="33"/>
          </w:tcPr>
          <w:p w14:paraId="511D4F15"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Medication plus social support</w:t>
            </w:r>
          </w:p>
        </w:tc>
        <w:tc>
          <w:tcPr>
            <w:tcW w:w="1440" w:type="dxa"/>
            <w:shd w:val="clear" w:color="auto" w:fill="DEEAF6" w:themeFill="accent5" w:themeFillTint="33"/>
          </w:tcPr>
          <w:p w14:paraId="6C6FB4A3"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Evidence-based early intervention</w:t>
            </w:r>
          </w:p>
        </w:tc>
        <w:tc>
          <w:tcPr>
            <w:tcW w:w="1440" w:type="dxa"/>
            <w:shd w:val="clear" w:color="auto" w:fill="DEEAF6" w:themeFill="accent5" w:themeFillTint="33"/>
          </w:tcPr>
          <w:p w14:paraId="1471D385"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Integrated mental, physical &amp; social care</w:t>
            </w:r>
          </w:p>
        </w:tc>
      </w:tr>
      <w:tr w:rsidR="00650C77" w:rsidRPr="00650C77" w14:paraId="1B8A15DF" w14:textId="77777777" w:rsidTr="00881333">
        <w:tc>
          <w:tcPr>
            <w:tcW w:w="1440" w:type="dxa"/>
            <w:shd w:val="clear" w:color="auto" w:fill="BDD6EE" w:themeFill="accent5" w:themeFillTint="66"/>
          </w:tcPr>
          <w:p w14:paraId="50596DB2" w14:textId="77777777" w:rsidR="00C85AE5" w:rsidRPr="00650C77" w:rsidRDefault="00C85AE5" w:rsidP="00881333">
            <w:pPr>
              <w:rPr>
                <w:rFonts w:ascii="Arial" w:hAnsi="Arial" w:cs="Arial"/>
                <w:b/>
                <w:bCs/>
                <w:color w:val="000000" w:themeColor="text1"/>
              </w:rPr>
            </w:pPr>
            <w:r w:rsidRPr="00650C77">
              <w:rPr>
                <w:rFonts w:ascii="Arial" w:hAnsi="Arial" w:cs="Arial"/>
                <w:b/>
                <w:bCs/>
                <w:color w:val="000000" w:themeColor="text1"/>
              </w:rPr>
              <w:t>Service Strengths</w:t>
            </w:r>
          </w:p>
        </w:tc>
        <w:tc>
          <w:tcPr>
            <w:tcW w:w="1440" w:type="dxa"/>
            <w:shd w:val="clear" w:color="auto" w:fill="DEEAF6" w:themeFill="accent5" w:themeFillTint="33"/>
          </w:tcPr>
          <w:p w14:paraId="11D21A69"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Provided shelter and supervision</w:t>
            </w:r>
          </w:p>
        </w:tc>
        <w:tc>
          <w:tcPr>
            <w:tcW w:w="1440" w:type="dxa"/>
            <w:shd w:val="clear" w:color="auto" w:fill="DEEAF6" w:themeFill="accent5" w:themeFillTint="33"/>
          </w:tcPr>
          <w:p w14:paraId="444BF254"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Improved patient rights</w:t>
            </w:r>
          </w:p>
        </w:tc>
        <w:tc>
          <w:tcPr>
            <w:tcW w:w="1440" w:type="dxa"/>
            <w:shd w:val="clear" w:color="auto" w:fill="DEEAF6" w:themeFill="accent5" w:themeFillTint="33"/>
          </w:tcPr>
          <w:p w14:paraId="309C6598"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Promoted social inclusion</w:t>
            </w:r>
          </w:p>
        </w:tc>
        <w:tc>
          <w:tcPr>
            <w:tcW w:w="1440" w:type="dxa"/>
            <w:shd w:val="clear" w:color="auto" w:fill="DEEAF6" w:themeFill="accent5" w:themeFillTint="33"/>
          </w:tcPr>
          <w:p w14:paraId="7AF25354"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Improved outcomes and relapse prevention</w:t>
            </w:r>
          </w:p>
        </w:tc>
        <w:tc>
          <w:tcPr>
            <w:tcW w:w="1440" w:type="dxa"/>
            <w:shd w:val="clear" w:color="auto" w:fill="DEEAF6" w:themeFill="accent5" w:themeFillTint="33"/>
          </w:tcPr>
          <w:p w14:paraId="3D73B8EC" w14:textId="77777777" w:rsidR="00C85AE5" w:rsidRPr="002A42EA" w:rsidRDefault="00C85AE5" w:rsidP="00881333">
            <w:pPr>
              <w:rPr>
                <w:rFonts w:ascii="Arial" w:hAnsi="Arial" w:cs="Arial"/>
                <w:color w:val="000000" w:themeColor="text1"/>
                <w:sz w:val="28"/>
                <w:szCs w:val="28"/>
                <w:vertAlign w:val="superscript"/>
              </w:rPr>
            </w:pPr>
            <w:proofErr w:type="spellStart"/>
            <w:r w:rsidRPr="002A42EA">
              <w:rPr>
                <w:rFonts w:ascii="Arial" w:hAnsi="Arial" w:cs="Arial"/>
                <w:color w:val="000000" w:themeColor="text1"/>
                <w:sz w:val="28"/>
                <w:szCs w:val="28"/>
                <w:vertAlign w:val="superscript"/>
              </w:rPr>
              <w:t>Personalisation</w:t>
            </w:r>
            <w:proofErr w:type="spellEnd"/>
            <w:r w:rsidRPr="002A42EA">
              <w:rPr>
                <w:rFonts w:ascii="Arial" w:hAnsi="Arial" w:cs="Arial"/>
                <w:color w:val="000000" w:themeColor="text1"/>
                <w:sz w:val="28"/>
                <w:szCs w:val="28"/>
                <w:vertAlign w:val="superscript"/>
              </w:rPr>
              <w:t xml:space="preserve"> and continuity of care</w:t>
            </w:r>
          </w:p>
        </w:tc>
      </w:tr>
      <w:tr w:rsidR="00650C77" w:rsidRPr="00650C77" w14:paraId="2CB68F02" w14:textId="77777777" w:rsidTr="00881333">
        <w:trPr>
          <w:trHeight w:val="1054"/>
        </w:trPr>
        <w:tc>
          <w:tcPr>
            <w:tcW w:w="1440" w:type="dxa"/>
            <w:shd w:val="clear" w:color="auto" w:fill="BDD6EE" w:themeFill="accent5" w:themeFillTint="66"/>
          </w:tcPr>
          <w:p w14:paraId="1B75C137" w14:textId="77777777" w:rsidR="00C85AE5" w:rsidRPr="00650C77" w:rsidRDefault="00C85AE5" w:rsidP="00881333">
            <w:pPr>
              <w:rPr>
                <w:rFonts w:ascii="Arial" w:hAnsi="Arial" w:cs="Arial"/>
                <w:b/>
                <w:bCs/>
                <w:color w:val="000000" w:themeColor="text1"/>
              </w:rPr>
            </w:pPr>
            <w:r w:rsidRPr="00650C77">
              <w:rPr>
                <w:rFonts w:ascii="Arial" w:hAnsi="Arial" w:cs="Arial"/>
                <w:b/>
                <w:bCs/>
                <w:color w:val="000000" w:themeColor="text1"/>
              </w:rPr>
              <w:t>Key Limitations</w:t>
            </w:r>
          </w:p>
        </w:tc>
        <w:tc>
          <w:tcPr>
            <w:tcW w:w="1440" w:type="dxa"/>
            <w:shd w:val="clear" w:color="auto" w:fill="DEEAF6" w:themeFill="accent5" w:themeFillTint="33"/>
          </w:tcPr>
          <w:p w14:paraId="0F820D1C"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Overcrowding, abuse, neglect</w:t>
            </w:r>
          </w:p>
        </w:tc>
        <w:tc>
          <w:tcPr>
            <w:tcW w:w="1440" w:type="dxa"/>
            <w:shd w:val="clear" w:color="auto" w:fill="DEEAF6" w:themeFill="accent5" w:themeFillTint="33"/>
          </w:tcPr>
          <w:p w14:paraId="0B3DB282"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Insufficient community infrastructure</w:t>
            </w:r>
          </w:p>
        </w:tc>
        <w:tc>
          <w:tcPr>
            <w:tcW w:w="1440" w:type="dxa"/>
            <w:shd w:val="clear" w:color="auto" w:fill="DEEAF6" w:themeFill="accent5" w:themeFillTint="33"/>
          </w:tcPr>
          <w:p w14:paraId="58F5D5B4"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Fragmented and underfunded services</w:t>
            </w:r>
          </w:p>
        </w:tc>
        <w:tc>
          <w:tcPr>
            <w:tcW w:w="1440" w:type="dxa"/>
            <w:shd w:val="clear" w:color="auto" w:fill="DEEAF6" w:themeFill="accent5" w:themeFillTint="33"/>
          </w:tcPr>
          <w:p w14:paraId="6A14483C"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Austerity-led service erosion</w:t>
            </w:r>
          </w:p>
        </w:tc>
        <w:tc>
          <w:tcPr>
            <w:tcW w:w="1440" w:type="dxa"/>
            <w:shd w:val="clear" w:color="auto" w:fill="DEEAF6" w:themeFill="accent5" w:themeFillTint="33"/>
          </w:tcPr>
          <w:p w14:paraId="27240A94" w14:textId="77777777" w:rsidR="00C85AE5" w:rsidRPr="002A42EA" w:rsidRDefault="00C85AE5" w:rsidP="00881333">
            <w:pPr>
              <w:rPr>
                <w:rFonts w:ascii="Arial" w:hAnsi="Arial" w:cs="Arial"/>
                <w:color w:val="000000" w:themeColor="text1"/>
                <w:sz w:val="28"/>
                <w:szCs w:val="28"/>
                <w:vertAlign w:val="superscript"/>
              </w:rPr>
            </w:pPr>
            <w:r w:rsidRPr="002A42EA">
              <w:rPr>
                <w:rFonts w:ascii="Arial" w:hAnsi="Arial" w:cs="Arial"/>
                <w:color w:val="000000" w:themeColor="text1"/>
                <w:sz w:val="28"/>
                <w:szCs w:val="28"/>
                <w:vertAlign w:val="superscript"/>
              </w:rPr>
              <w:t>Workforce shortages and inequality</w:t>
            </w:r>
          </w:p>
        </w:tc>
      </w:tr>
    </w:tbl>
    <w:p w14:paraId="28301472" w14:textId="77777777" w:rsidR="005D4123" w:rsidRPr="00650C77" w:rsidRDefault="005D4123" w:rsidP="007401FA">
      <w:pPr>
        <w:pStyle w:val="NormalWeb"/>
        <w:spacing w:line="360" w:lineRule="auto"/>
        <w:jc w:val="both"/>
        <w:rPr>
          <w:rFonts w:ascii="Arial" w:hAnsi="Arial" w:cs="Arial"/>
          <w:color w:val="000000" w:themeColor="text1"/>
          <w:sz w:val="22"/>
          <w:szCs w:val="22"/>
        </w:rPr>
      </w:pPr>
    </w:p>
    <w:p w14:paraId="3929C37C" w14:textId="77777777" w:rsidR="00F85D58" w:rsidRPr="00650C77" w:rsidRDefault="00F85D58" w:rsidP="00706D9B">
      <w:pPr>
        <w:rPr>
          <w:rStyle w:val="Strong"/>
          <w:rFonts w:ascii="Arial" w:hAnsi="Arial" w:cs="Arial"/>
          <w:color w:val="000000" w:themeColor="text1"/>
          <w:sz w:val="28"/>
          <w:szCs w:val="28"/>
        </w:rPr>
      </w:pPr>
    </w:p>
    <w:p w14:paraId="50398EF8" w14:textId="77777777" w:rsidR="00F85D58" w:rsidRPr="00650C77" w:rsidRDefault="00F85D58" w:rsidP="00706D9B">
      <w:pPr>
        <w:rPr>
          <w:rStyle w:val="Strong"/>
          <w:rFonts w:ascii="Arial" w:hAnsi="Arial" w:cs="Arial"/>
          <w:color w:val="000000" w:themeColor="text1"/>
          <w:sz w:val="28"/>
          <w:szCs w:val="28"/>
        </w:rPr>
      </w:pPr>
    </w:p>
    <w:p w14:paraId="56417295" w14:textId="77777777" w:rsidR="00F85D58" w:rsidRPr="00650C77" w:rsidRDefault="00F85D58" w:rsidP="00706D9B">
      <w:pPr>
        <w:rPr>
          <w:rStyle w:val="Strong"/>
          <w:rFonts w:ascii="Arial" w:hAnsi="Arial" w:cs="Arial"/>
          <w:color w:val="000000" w:themeColor="text1"/>
          <w:sz w:val="28"/>
          <w:szCs w:val="28"/>
        </w:rPr>
      </w:pPr>
    </w:p>
    <w:p w14:paraId="47A9DCF9" w14:textId="77777777" w:rsidR="00F85D58" w:rsidRPr="00650C77" w:rsidRDefault="00F85D58" w:rsidP="00706D9B">
      <w:pPr>
        <w:rPr>
          <w:rStyle w:val="Strong"/>
          <w:rFonts w:ascii="Arial" w:hAnsi="Arial" w:cs="Arial"/>
          <w:color w:val="000000" w:themeColor="text1"/>
          <w:sz w:val="28"/>
          <w:szCs w:val="28"/>
        </w:rPr>
      </w:pPr>
    </w:p>
    <w:p w14:paraId="7DCE87B1" w14:textId="1605021E" w:rsidR="00706D9B" w:rsidRPr="00650C77" w:rsidRDefault="00706D9B" w:rsidP="00706D9B">
      <w:pPr>
        <w:rPr>
          <w:rFonts w:ascii="Arial" w:hAnsi="Arial" w:cs="Arial"/>
          <w:b/>
          <w:bCs/>
          <w:color w:val="000000" w:themeColor="text1"/>
          <w:sz w:val="28"/>
          <w:szCs w:val="28"/>
        </w:rPr>
      </w:pPr>
      <w:r w:rsidRPr="00650C77">
        <w:rPr>
          <w:rStyle w:val="Strong"/>
          <w:rFonts w:ascii="Arial" w:hAnsi="Arial" w:cs="Arial"/>
          <w:color w:val="000000" w:themeColor="text1"/>
          <w:sz w:val="28"/>
          <w:szCs w:val="28"/>
        </w:rPr>
        <w:lastRenderedPageBreak/>
        <w:t>Appendix 7.5</w:t>
      </w:r>
      <w:r w:rsidRPr="00650C77">
        <w:rPr>
          <w:rFonts w:ascii="Arial" w:hAnsi="Arial" w:cs="Arial"/>
          <w:color w:val="000000" w:themeColor="text1"/>
          <w:sz w:val="28"/>
          <w:szCs w:val="28"/>
        </w:rPr>
        <w:t xml:space="preserve"> </w:t>
      </w:r>
      <w:r w:rsidRPr="00650C77">
        <w:rPr>
          <w:rFonts w:ascii="Arial" w:hAnsi="Arial" w:cs="Arial"/>
          <w:b/>
          <w:bCs/>
          <w:color w:val="000000" w:themeColor="text1"/>
          <w:sz w:val="28"/>
          <w:szCs w:val="28"/>
        </w:rPr>
        <w:t>Theoretical Comparison of Models Informing Schizophrenia Care</w:t>
      </w:r>
    </w:p>
    <w:p w14:paraId="6DC0214E" w14:textId="5F29F073" w:rsidR="00F85D58" w:rsidRPr="00650C77" w:rsidRDefault="00F85D58" w:rsidP="00706D9B">
      <w:pPr>
        <w:rPr>
          <w:rFonts w:ascii="Arial" w:hAnsi="Arial" w:cs="Arial"/>
          <w:color w:val="000000" w:themeColor="text1"/>
          <w:sz w:val="18"/>
          <w:szCs w:val="18"/>
        </w:rPr>
      </w:pPr>
      <w:r w:rsidRPr="00650C77">
        <w:rPr>
          <w:rFonts w:ascii="Arial" w:hAnsi="Arial" w:cs="Arial"/>
          <w:color w:val="000000" w:themeColor="text1"/>
          <w:sz w:val="18"/>
          <w:szCs w:val="18"/>
        </w:rPr>
        <w:t xml:space="preserve">[Chapter 2, Section </w:t>
      </w:r>
      <w:r w:rsidRPr="00650C77">
        <w:rPr>
          <w:rStyle w:val="Strong"/>
          <w:rFonts w:ascii="Arial" w:hAnsi="Arial" w:cs="Arial"/>
          <w:color w:val="000000" w:themeColor="text1"/>
          <w:sz w:val="18"/>
          <w:szCs w:val="18"/>
        </w:rPr>
        <w:t>2.4 (Theoretical Background)]</w:t>
      </w:r>
    </w:p>
    <w:p w14:paraId="77387E78" w14:textId="77777777" w:rsidR="00706D9B" w:rsidRPr="00650C77" w:rsidRDefault="00706D9B" w:rsidP="00706D9B">
      <w:pPr>
        <w:rPr>
          <w:rFonts w:ascii="Arial" w:hAnsi="Arial" w:cs="Arial"/>
          <w:color w:val="000000" w:themeColor="text1"/>
        </w:rPr>
      </w:pPr>
      <w:r w:rsidRPr="00650C77">
        <w:rPr>
          <w:rFonts w:ascii="Arial" w:hAnsi="Arial" w:cs="Arial"/>
          <w:color w:val="000000" w:themeColor="text1"/>
        </w:rPr>
        <w:t>This table presents a theoretical comparison of key frameworks underpinning contemporary schizophrenia care and mental health service delivery in the UK.</w:t>
      </w:r>
    </w:p>
    <w:tbl>
      <w:tblPr>
        <w:tblStyle w:val="TableGrid"/>
        <w:tblW w:w="0" w:type="auto"/>
        <w:tblInd w:w="-113" w:type="dxa"/>
        <w:tblLook w:val="04A0" w:firstRow="1" w:lastRow="0" w:firstColumn="1" w:lastColumn="0" w:noHBand="0" w:noVBand="1"/>
      </w:tblPr>
      <w:tblGrid>
        <w:gridCol w:w="1447"/>
        <w:gridCol w:w="1647"/>
        <w:gridCol w:w="1440"/>
        <w:gridCol w:w="1440"/>
        <w:gridCol w:w="1440"/>
        <w:gridCol w:w="1597"/>
      </w:tblGrid>
      <w:tr w:rsidR="00650C77" w:rsidRPr="00650C77" w14:paraId="382EC679" w14:textId="77777777" w:rsidTr="00881333">
        <w:tc>
          <w:tcPr>
            <w:tcW w:w="1440" w:type="dxa"/>
            <w:shd w:val="clear" w:color="auto" w:fill="BDD6EE" w:themeFill="accent5" w:themeFillTint="66"/>
          </w:tcPr>
          <w:p w14:paraId="4D58B475"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Comparison Criteria</w:t>
            </w:r>
          </w:p>
        </w:tc>
        <w:tc>
          <w:tcPr>
            <w:tcW w:w="1440" w:type="dxa"/>
            <w:shd w:val="clear" w:color="auto" w:fill="BDD6EE" w:themeFill="accent5" w:themeFillTint="66"/>
          </w:tcPr>
          <w:p w14:paraId="5F0FD7E0"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Biopsychosocial Model</w:t>
            </w:r>
          </w:p>
        </w:tc>
        <w:tc>
          <w:tcPr>
            <w:tcW w:w="1440" w:type="dxa"/>
            <w:shd w:val="clear" w:color="auto" w:fill="BDD6EE" w:themeFill="accent5" w:themeFillTint="66"/>
          </w:tcPr>
          <w:p w14:paraId="7DD99160"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Recovery-Oriented Framework</w:t>
            </w:r>
          </w:p>
        </w:tc>
        <w:tc>
          <w:tcPr>
            <w:tcW w:w="1440" w:type="dxa"/>
            <w:shd w:val="clear" w:color="auto" w:fill="BDD6EE" w:themeFill="accent5" w:themeFillTint="66"/>
          </w:tcPr>
          <w:p w14:paraId="1EAB0A63"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Chronic Care Model (CCM)</w:t>
            </w:r>
          </w:p>
        </w:tc>
        <w:tc>
          <w:tcPr>
            <w:tcW w:w="1440" w:type="dxa"/>
            <w:shd w:val="clear" w:color="auto" w:fill="BDD6EE" w:themeFill="accent5" w:themeFillTint="66"/>
          </w:tcPr>
          <w:p w14:paraId="22BA2AD8"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Integrated Systems Theory</w:t>
            </w:r>
          </w:p>
        </w:tc>
        <w:tc>
          <w:tcPr>
            <w:tcW w:w="1440" w:type="dxa"/>
            <w:shd w:val="clear" w:color="auto" w:fill="BDD6EE" w:themeFill="accent5" w:themeFillTint="66"/>
          </w:tcPr>
          <w:p w14:paraId="5B0A60C2"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Intersectionality &amp; Inequity</w:t>
            </w:r>
          </w:p>
        </w:tc>
      </w:tr>
      <w:tr w:rsidR="00650C77" w:rsidRPr="00650C77" w14:paraId="337A669F" w14:textId="77777777" w:rsidTr="00881333">
        <w:tc>
          <w:tcPr>
            <w:tcW w:w="1440" w:type="dxa"/>
            <w:shd w:val="clear" w:color="auto" w:fill="BDD6EE" w:themeFill="accent5" w:themeFillTint="66"/>
          </w:tcPr>
          <w:p w14:paraId="7580DB2F"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Theoretical Focus</w:t>
            </w:r>
          </w:p>
        </w:tc>
        <w:tc>
          <w:tcPr>
            <w:tcW w:w="1440" w:type="dxa"/>
            <w:shd w:val="clear" w:color="auto" w:fill="DEEAF6" w:themeFill="accent5" w:themeFillTint="33"/>
          </w:tcPr>
          <w:p w14:paraId="6B6581FF"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Interaction of biological, psychological, and social factors</w:t>
            </w:r>
          </w:p>
        </w:tc>
        <w:tc>
          <w:tcPr>
            <w:tcW w:w="1440" w:type="dxa"/>
            <w:shd w:val="clear" w:color="auto" w:fill="DEEAF6" w:themeFill="accent5" w:themeFillTint="33"/>
          </w:tcPr>
          <w:p w14:paraId="30391171"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Personal meaning, empowerment, and social inclusion</w:t>
            </w:r>
          </w:p>
        </w:tc>
        <w:tc>
          <w:tcPr>
            <w:tcW w:w="1440" w:type="dxa"/>
            <w:shd w:val="clear" w:color="auto" w:fill="DEEAF6" w:themeFill="accent5" w:themeFillTint="33"/>
          </w:tcPr>
          <w:p w14:paraId="185EF4FE"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Long-term condition management and continuity of care</w:t>
            </w:r>
          </w:p>
        </w:tc>
        <w:tc>
          <w:tcPr>
            <w:tcW w:w="1440" w:type="dxa"/>
            <w:shd w:val="clear" w:color="auto" w:fill="DEEAF6" w:themeFill="accent5" w:themeFillTint="33"/>
          </w:tcPr>
          <w:p w14:paraId="0DE97F0E"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Coordination across health, social, and voluntary sectors</w:t>
            </w:r>
          </w:p>
        </w:tc>
        <w:tc>
          <w:tcPr>
            <w:tcW w:w="1440" w:type="dxa"/>
            <w:shd w:val="clear" w:color="auto" w:fill="DEEAF6" w:themeFill="accent5" w:themeFillTint="33"/>
          </w:tcPr>
          <w:p w14:paraId="51BBFA33"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Impact of overlapping social identities on care outcomes</w:t>
            </w:r>
          </w:p>
        </w:tc>
      </w:tr>
      <w:tr w:rsidR="00650C77" w:rsidRPr="00650C77" w14:paraId="31371405" w14:textId="77777777" w:rsidTr="00881333">
        <w:tc>
          <w:tcPr>
            <w:tcW w:w="1440" w:type="dxa"/>
            <w:shd w:val="clear" w:color="auto" w:fill="BDD6EE" w:themeFill="accent5" w:themeFillTint="66"/>
          </w:tcPr>
          <w:p w14:paraId="79BFB168"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Key Contributors</w:t>
            </w:r>
          </w:p>
        </w:tc>
        <w:tc>
          <w:tcPr>
            <w:tcW w:w="1440" w:type="dxa"/>
            <w:shd w:val="clear" w:color="auto" w:fill="DEEAF6" w:themeFill="accent5" w:themeFillTint="33"/>
          </w:tcPr>
          <w:p w14:paraId="4A05E635"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Engel (1977)</w:t>
            </w:r>
          </w:p>
        </w:tc>
        <w:tc>
          <w:tcPr>
            <w:tcW w:w="1440" w:type="dxa"/>
            <w:shd w:val="clear" w:color="auto" w:fill="DEEAF6" w:themeFill="accent5" w:themeFillTint="33"/>
          </w:tcPr>
          <w:p w14:paraId="5F5D49CE"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Slade (2009); Burbach (2018)</w:t>
            </w:r>
          </w:p>
        </w:tc>
        <w:tc>
          <w:tcPr>
            <w:tcW w:w="1440" w:type="dxa"/>
            <w:shd w:val="clear" w:color="auto" w:fill="DEEAF6" w:themeFill="accent5" w:themeFillTint="33"/>
          </w:tcPr>
          <w:p w14:paraId="18E559C7"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Wagner et al.</w:t>
            </w:r>
          </w:p>
        </w:tc>
        <w:tc>
          <w:tcPr>
            <w:tcW w:w="1440" w:type="dxa"/>
            <w:shd w:val="clear" w:color="auto" w:fill="DEEAF6" w:themeFill="accent5" w:themeFillTint="33"/>
          </w:tcPr>
          <w:p w14:paraId="31B1D706"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Systems theory; policy-led ICS reforms</w:t>
            </w:r>
          </w:p>
        </w:tc>
        <w:tc>
          <w:tcPr>
            <w:tcW w:w="1440" w:type="dxa"/>
            <w:shd w:val="clear" w:color="auto" w:fill="DEEAF6" w:themeFill="accent5" w:themeFillTint="33"/>
          </w:tcPr>
          <w:p w14:paraId="0E92CFB5" w14:textId="77777777" w:rsidR="00706D9B" w:rsidRPr="00650C77" w:rsidRDefault="00706D9B" w:rsidP="00881333">
            <w:pPr>
              <w:rPr>
                <w:rFonts w:ascii="Arial" w:hAnsi="Arial" w:cs="Arial"/>
                <w:color w:val="000000" w:themeColor="text1"/>
                <w:sz w:val="18"/>
                <w:szCs w:val="18"/>
              </w:rPr>
            </w:pPr>
            <w:proofErr w:type="spellStart"/>
            <w:r w:rsidRPr="00650C77">
              <w:rPr>
                <w:rFonts w:ascii="Arial" w:hAnsi="Arial" w:cs="Arial"/>
                <w:color w:val="000000" w:themeColor="text1"/>
                <w:sz w:val="18"/>
                <w:szCs w:val="18"/>
              </w:rPr>
              <w:t>Nazroo</w:t>
            </w:r>
            <w:proofErr w:type="spellEnd"/>
            <w:r w:rsidRPr="00650C77">
              <w:rPr>
                <w:rFonts w:ascii="Arial" w:hAnsi="Arial" w:cs="Arial"/>
                <w:color w:val="000000" w:themeColor="text1"/>
                <w:sz w:val="18"/>
                <w:szCs w:val="18"/>
              </w:rPr>
              <w:t xml:space="preserve"> et al.; Keating</w:t>
            </w:r>
          </w:p>
        </w:tc>
      </w:tr>
      <w:tr w:rsidR="00650C77" w:rsidRPr="00650C77" w14:paraId="62242F18" w14:textId="77777777" w:rsidTr="00881333">
        <w:tc>
          <w:tcPr>
            <w:tcW w:w="1440" w:type="dxa"/>
            <w:shd w:val="clear" w:color="auto" w:fill="BDD6EE" w:themeFill="accent5" w:themeFillTint="66"/>
          </w:tcPr>
          <w:p w14:paraId="2907BF50"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View of Schizophrenia</w:t>
            </w:r>
          </w:p>
        </w:tc>
        <w:tc>
          <w:tcPr>
            <w:tcW w:w="1440" w:type="dxa"/>
            <w:shd w:val="clear" w:color="auto" w:fill="DEEAF6" w:themeFill="accent5" w:themeFillTint="33"/>
          </w:tcPr>
          <w:p w14:paraId="29431C15"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Multifactorial mental health condition</w:t>
            </w:r>
          </w:p>
        </w:tc>
        <w:tc>
          <w:tcPr>
            <w:tcW w:w="1440" w:type="dxa"/>
            <w:shd w:val="clear" w:color="auto" w:fill="DEEAF6" w:themeFill="accent5" w:themeFillTint="33"/>
          </w:tcPr>
          <w:p w14:paraId="0E991811"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Personal recovery journey beyond symptoms</w:t>
            </w:r>
          </w:p>
        </w:tc>
        <w:tc>
          <w:tcPr>
            <w:tcW w:w="1440" w:type="dxa"/>
            <w:shd w:val="clear" w:color="auto" w:fill="DEEAF6" w:themeFill="accent5" w:themeFillTint="33"/>
          </w:tcPr>
          <w:p w14:paraId="223CEDC3"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Chronic condition requiring proactive management</w:t>
            </w:r>
          </w:p>
        </w:tc>
        <w:tc>
          <w:tcPr>
            <w:tcW w:w="1440" w:type="dxa"/>
            <w:shd w:val="clear" w:color="auto" w:fill="DEEAF6" w:themeFill="accent5" w:themeFillTint="33"/>
          </w:tcPr>
          <w:p w14:paraId="167A246A"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Complex condition requiring system-wide response</w:t>
            </w:r>
          </w:p>
        </w:tc>
        <w:tc>
          <w:tcPr>
            <w:tcW w:w="1440" w:type="dxa"/>
            <w:shd w:val="clear" w:color="auto" w:fill="DEEAF6" w:themeFill="accent5" w:themeFillTint="33"/>
          </w:tcPr>
          <w:p w14:paraId="66D3B06D"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Condition shaped by structural inequality</w:t>
            </w:r>
          </w:p>
        </w:tc>
      </w:tr>
      <w:tr w:rsidR="00650C77" w:rsidRPr="00650C77" w14:paraId="7C667E85" w14:textId="77777777" w:rsidTr="00881333">
        <w:tc>
          <w:tcPr>
            <w:tcW w:w="1440" w:type="dxa"/>
            <w:shd w:val="clear" w:color="auto" w:fill="BDD6EE" w:themeFill="accent5" w:themeFillTint="66"/>
          </w:tcPr>
          <w:p w14:paraId="212FA255"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Implications for Practice</w:t>
            </w:r>
          </w:p>
        </w:tc>
        <w:tc>
          <w:tcPr>
            <w:tcW w:w="1440" w:type="dxa"/>
            <w:shd w:val="clear" w:color="auto" w:fill="DEEAF6" w:themeFill="accent5" w:themeFillTint="33"/>
          </w:tcPr>
          <w:p w14:paraId="3B735EF6"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Combined medication, therapy, and social support</w:t>
            </w:r>
          </w:p>
        </w:tc>
        <w:tc>
          <w:tcPr>
            <w:tcW w:w="1440" w:type="dxa"/>
            <w:shd w:val="clear" w:color="auto" w:fill="DEEAF6" w:themeFill="accent5" w:themeFillTint="33"/>
          </w:tcPr>
          <w:p w14:paraId="540ED32A"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Co-produced goals, peer support, functional recovery</w:t>
            </w:r>
          </w:p>
        </w:tc>
        <w:tc>
          <w:tcPr>
            <w:tcW w:w="1440" w:type="dxa"/>
            <w:shd w:val="clear" w:color="auto" w:fill="DEEAF6" w:themeFill="accent5" w:themeFillTint="33"/>
          </w:tcPr>
          <w:p w14:paraId="57C7DD41"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Planned, coordinated, proactive care pathways</w:t>
            </w:r>
          </w:p>
        </w:tc>
        <w:tc>
          <w:tcPr>
            <w:tcW w:w="1440" w:type="dxa"/>
            <w:shd w:val="clear" w:color="auto" w:fill="DEEAF6" w:themeFill="accent5" w:themeFillTint="33"/>
          </w:tcPr>
          <w:p w14:paraId="297FEF24"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Integrated commissioning and shared accountability</w:t>
            </w:r>
          </w:p>
        </w:tc>
        <w:tc>
          <w:tcPr>
            <w:tcW w:w="1440" w:type="dxa"/>
            <w:shd w:val="clear" w:color="auto" w:fill="DEEAF6" w:themeFill="accent5" w:themeFillTint="33"/>
          </w:tcPr>
          <w:p w14:paraId="2C05FA77"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Culturally competent and anti-oppressive care</w:t>
            </w:r>
          </w:p>
        </w:tc>
      </w:tr>
      <w:tr w:rsidR="00650C77" w:rsidRPr="00650C77" w14:paraId="179C88C0" w14:textId="77777777" w:rsidTr="00881333">
        <w:tc>
          <w:tcPr>
            <w:tcW w:w="1440" w:type="dxa"/>
            <w:shd w:val="clear" w:color="auto" w:fill="BDD6EE" w:themeFill="accent5" w:themeFillTint="66"/>
          </w:tcPr>
          <w:p w14:paraId="0310A59D"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Strengths</w:t>
            </w:r>
          </w:p>
        </w:tc>
        <w:tc>
          <w:tcPr>
            <w:tcW w:w="1440" w:type="dxa"/>
            <w:shd w:val="clear" w:color="auto" w:fill="DEEAF6" w:themeFill="accent5" w:themeFillTint="33"/>
          </w:tcPr>
          <w:p w14:paraId="30AE1DBA"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Holistic and evidence-based approach</w:t>
            </w:r>
          </w:p>
        </w:tc>
        <w:tc>
          <w:tcPr>
            <w:tcW w:w="1440" w:type="dxa"/>
            <w:shd w:val="clear" w:color="auto" w:fill="DEEAF6" w:themeFill="accent5" w:themeFillTint="33"/>
          </w:tcPr>
          <w:p w14:paraId="22B72A10"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Improves engagement and service-user satisfaction</w:t>
            </w:r>
          </w:p>
        </w:tc>
        <w:tc>
          <w:tcPr>
            <w:tcW w:w="1440" w:type="dxa"/>
            <w:shd w:val="clear" w:color="auto" w:fill="DEEAF6" w:themeFill="accent5" w:themeFillTint="33"/>
          </w:tcPr>
          <w:p w14:paraId="67D568D9"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Reduces fragmentation and crisis-driven care</w:t>
            </w:r>
          </w:p>
        </w:tc>
        <w:tc>
          <w:tcPr>
            <w:tcW w:w="1440" w:type="dxa"/>
            <w:shd w:val="clear" w:color="auto" w:fill="DEEAF6" w:themeFill="accent5" w:themeFillTint="33"/>
          </w:tcPr>
          <w:p w14:paraId="01244027"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Improves continuity and efficiency of services</w:t>
            </w:r>
          </w:p>
        </w:tc>
        <w:tc>
          <w:tcPr>
            <w:tcW w:w="1440" w:type="dxa"/>
            <w:shd w:val="clear" w:color="auto" w:fill="DEEAF6" w:themeFill="accent5" w:themeFillTint="33"/>
          </w:tcPr>
          <w:p w14:paraId="66BDBA2F"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Addresses disparities and inequitable outcomes</w:t>
            </w:r>
          </w:p>
        </w:tc>
      </w:tr>
      <w:tr w:rsidR="00650C77" w:rsidRPr="00650C77" w14:paraId="35FE93B7" w14:textId="77777777" w:rsidTr="00881333">
        <w:tc>
          <w:tcPr>
            <w:tcW w:w="1440" w:type="dxa"/>
            <w:shd w:val="clear" w:color="auto" w:fill="BDD6EE" w:themeFill="accent5" w:themeFillTint="66"/>
          </w:tcPr>
          <w:p w14:paraId="6B36ED5D" w14:textId="77777777" w:rsidR="00706D9B" w:rsidRPr="00650C77" w:rsidRDefault="00706D9B" w:rsidP="00881333">
            <w:pPr>
              <w:rPr>
                <w:rFonts w:ascii="Arial" w:hAnsi="Arial" w:cs="Arial"/>
                <w:b/>
                <w:bCs/>
                <w:color w:val="000000" w:themeColor="text1"/>
                <w:sz w:val="18"/>
                <w:szCs w:val="18"/>
              </w:rPr>
            </w:pPr>
            <w:r w:rsidRPr="00650C77">
              <w:rPr>
                <w:rFonts w:ascii="Arial" w:hAnsi="Arial" w:cs="Arial"/>
                <w:b/>
                <w:bCs/>
                <w:color w:val="000000" w:themeColor="text1"/>
                <w:sz w:val="18"/>
                <w:szCs w:val="18"/>
              </w:rPr>
              <w:t>Limitations / Critiques</w:t>
            </w:r>
          </w:p>
        </w:tc>
        <w:tc>
          <w:tcPr>
            <w:tcW w:w="1440" w:type="dxa"/>
            <w:shd w:val="clear" w:color="auto" w:fill="DEEAF6" w:themeFill="accent5" w:themeFillTint="33"/>
          </w:tcPr>
          <w:p w14:paraId="353CEACB"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Biomedical dominance in practice</w:t>
            </w:r>
          </w:p>
        </w:tc>
        <w:tc>
          <w:tcPr>
            <w:tcW w:w="1440" w:type="dxa"/>
            <w:shd w:val="clear" w:color="auto" w:fill="DEEAF6" w:themeFill="accent5" w:themeFillTint="33"/>
          </w:tcPr>
          <w:p w14:paraId="7D0837B2"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Inconsistent implementation across trusts</w:t>
            </w:r>
          </w:p>
        </w:tc>
        <w:tc>
          <w:tcPr>
            <w:tcW w:w="1440" w:type="dxa"/>
            <w:shd w:val="clear" w:color="auto" w:fill="DEEAF6" w:themeFill="accent5" w:themeFillTint="33"/>
          </w:tcPr>
          <w:p w14:paraId="3F4DB295"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Resource and workforce intensive</w:t>
            </w:r>
          </w:p>
        </w:tc>
        <w:tc>
          <w:tcPr>
            <w:tcW w:w="1440" w:type="dxa"/>
            <w:shd w:val="clear" w:color="auto" w:fill="DEEAF6" w:themeFill="accent5" w:themeFillTint="33"/>
          </w:tcPr>
          <w:p w14:paraId="22C8CEFB"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Siloed funding and data-sharing barriers</w:t>
            </w:r>
          </w:p>
        </w:tc>
        <w:tc>
          <w:tcPr>
            <w:tcW w:w="1440" w:type="dxa"/>
            <w:shd w:val="clear" w:color="auto" w:fill="DEEAF6" w:themeFill="accent5" w:themeFillTint="33"/>
          </w:tcPr>
          <w:p w14:paraId="0CB9264A" w14:textId="77777777" w:rsidR="00706D9B" w:rsidRPr="00650C77" w:rsidRDefault="00706D9B" w:rsidP="00881333">
            <w:pPr>
              <w:rPr>
                <w:rFonts w:ascii="Arial" w:hAnsi="Arial" w:cs="Arial"/>
                <w:color w:val="000000" w:themeColor="text1"/>
                <w:sz w:val="18"/>
                <w:szCs w:val="18"/>
              </w:rPr>
            </w:pPr>
            <w:r w:rsidRPr="00650C77">
              <w:rPr>
                <w:rFonts w:ascii="Arial" w:hAnsi="Arial" w:cs="Arial"/>
                <w:color w:val="000000" w:themeColor="text1"/>
                <w:sz w:val="18"/>
                <w:szCs w:val="18"/>
              </w:rPr>
              <w:t>Limited translation into routine practice</w:t>
            </w:r>
          </w:p>
        </w:tc>
      </w:tr>
    </w:tbl>
    <w:p w14:paraId="215A8C8A" w14:textId="0384CB8E" w:rsidR="00344A6B" w:rsidRPr="00650C77" w:rsidRDefault="00344A6B" w:rsidP="00F85D58">
      <w:pPr>
        <w:keepNext/>
        <w:keepLines/>
        <w:spacing w:after="80"/>
        <w:outlineLvl w:val="0"/>
        <w:rPr>
          <w:rFonts w:ascii="Arial" w:eastAsiaTheme="majorEastAsia" w:hAnsi="Arial" w:cs="Arial"/>
          <w:b/>
          <w:bCs/>
          <w:color w:val="000000" w:themeColor="text1"/>
          <w:sz w:val="24"/>
          <w:szCs w:val="24"/>
        </w:rPr>
      </w:pPr>
      <w:r w:rsidRPr="00650C77">
        <w:rPr>
          <w:rFonts w:ascii="Arial" w:hAnsi="Arial" w:cs="Arial"/>
          <w:b/>
          <w:bCs/>
          <w:color w:val="000000" w:themeColor="text1"/>
          <w:sz w:val="28"/>
          <w:szCs w:val="28"/>
        </w:rPr>
        <w:t>Appendix 7.6</w:t>
      </w:r>
      <w:r w:rsidRPr="00650C77">
        <w:rPr>
          <w:b/>
          <w:bCs/>
          <w:color w:val="000000" w:themeColor="text1"/>
        </w:rPr>
        <w:t xml:space="preserve"> </w:t>
      </w:r>
      <w:r w:rsidRPr="00650C77">
        <w:rPr>
          <w:rFonts w:ascii="Arial" w:eastAsiaTheme="majorEastAsia" w:hAnsi="Arial" w:cs="Arial"/>
          <w:b/>
          <w:bCs/>
          <w:color w:val="000000" w:themeColor="text1"/>
          <w:sz w:val="24"/>
          <w:szCs w:val="24"/>
        </w:rPr>
        <w:t>International Models of Schizophrenia Care – Summary Table</w:t>
      </w:r>
    </w:p>
    <w:p w14:paraId="717CB857" w14:textId="7A8A9563" w:rsidR="00DD578F" w:rsidRPr="00650C77" w:rsidRDefault="00DD578F" w:rsidP="00F85D58">
      <w:pPr>
        <w:keepNext/>
        <w:keepLines/>
        <w:spacing w:after="80"/>
        <w:outlineLvl w:val="0"/>
        <w:rPr>
          <w:rFonts w:ascii="Arial" w:eastAsiaTheme="majorEastAsia" w:hAnsi="Arial" w:cs="Arial"/>
          <w:b/>
          <w:bCs/>
          <w:color w:val="000000" w:themeColor="text1"/>
          <w:sz w:val="18"/>
          <w:szCs w:val="18"/>
        </w:rPr>
      </w:pPr>
      <w:r w:rsidRPr="00650C77">
        <w:rPr>
          <w:rFonts w:ascii="Arial" w:hAnsi="Arial" w:cs="Arial"/>
          <w:color w:val="000000" w:themeColor="text1"/>
          <w:sz w:val="18"/>
          <w:szCs w:val="18"/>
        </w:rPr>
        <w:t xml:space="preserve">[Chapter 2, Section </w:t>
      </w:r>
      <w:r w:rsidRPr="00650C77">
        <w:rPr>
          <w:rStyle w:val="Strong"/>
          <w:rFonts w:ascii="Arial" w:hAnsi="Arial" w:cs="Arial"/>
          <w:color w:val="000000" w:themeColor="text1"/>
          <w:sz w:val="18"/>
          <w:szCs w:val="18"/>
        </w:rPr>
        <w:t>2.4 (International Context)]</w:t>
      </w:r>
    </w:p>
    <w:tbl>
      <w:tblPr>
        <w:tblStyle w:val="TableGrid"/>
        <w:tblW w:w="0" w:type="auto"/>
        <w:tblInd w:w="0" w:type="dxa"/>
        <w:tblLook w:val="04A0" w:firstRow="1" w:lastRow="0" w:firstColumn="1" w:lastColumn="0" w:noHBand="0" w:noVBand="1"/>
      </w:tblPr>
      <w:tblGrid>
        <w:gridCol w:w="1728"/>
        <w:gridCol w:w="1287"/>
        <w:gridCol w:w="2212"/>
        <w:gridCol w:w="1728"/>
        <w:gridCol w:w="2014"/>
      </w:tblGrid>
      <w:tr w:rsidR="00650C77" w:rsidRPr="00650C77" w14:paraId="55A7EAF7" w14:textId="77777777" w:rsidTr="00344A6B">
        <w:tc>
          <w:tcPr>
            <w:tcW w:w="1728" w:type="dxa"/>
            <w:tcBorders>
              <w:top w:val="single" w:sz="4" w:space="0" w:color="auto"/>
              <w:left w:val="single" w:sz="4" w:space="0" w:color="auto"/>
              <w:bottom w:val="single" w:sz="4" w:space="0" w:color="auto"/>
              <w:right w:val="single" w:sz="4" w:space="0" w:color="auto"/>
            </w:tcBorders>
            <w:shd w:val="clear" w:color="auto" w:fill="4472C4" w:themeFill="accent1"/>
            <w:hideMark/>
          </w:tcPr>
          <w:p w14:paraId="29CE4D32" w14:textId="77777777" w:rsidR="00344A6B" w:rsidRPr="00650C77" w:rsidRDefault="00344A6B" w:rsidP="00BF0195">
            <w:pPr>
              <w:rPr>
                <w:rFonts w:ascii="Arial" w:hAnsi="Arial" w:cs="Arial"/>
                <w:b/>
                <w:bCs/>
                <w:color w:val="000000" w:themeColor="text1"/>
                <w:sz w:val="18"/>
                <w:szCs w:val="18"/>
              </w:rPr>
            </w:pPr>
            <w:r w:rsidRPr="00650C77">
              <w:rPr>
                <w:rFonts w:ascii="Arial" w:hAnsi="Arial" w:cs="Arial"/>
                <w:b/>
                <w:bCs/>
                <w:color w:val="000000" w:themeColor="text1"/>
                <w:sz w:val="18"/>
                <w:szCs w:val="18"/>
              </w:rPr>
              <w:t>Country</w:t>
            </w:r>
          </w:p>
        </w:tc>
        <w:tc>
          <w:tcPr>
            <w:tcW w:w="1244" w:type="dxa"/>
            <w:tcBorders>
              <w:top w:val="single" w:sz="4" w:space="0" w:color="auto"/>
              <w:left w:val="single" w:sz="4" w:space="0" w:color="auto"/>
              <w:bottom w:val="single" w:sz="4" w:space="0" w:color="auto"/>
              <w:right w:val="single" w:sz="4" w:space="0" w:color="auto"/>
            </w:tcBorders>
            <w:shd w:val="clear" w:color="auto" w:fill="4472C4" w:themeFill="accent1"/>
            <w:hideMark/>
          </w:tcPr>
          <w:p w14:paraId="6A744071" w14:textId="77777777" w:rsidR="00344A6B" w:rsidRPr="00650C77" w:rsidRDefault="00344A6B" w:rsidP="00BF0195">
            <w:pPr>
              <w:rPr>
                <w:rFonts w:ascii="Arial" w:hAnsi="Arial" w:cs="Arial"/>
                <w:b/>
                <w:bCs/>
                <w:color w:val="000000" w:themeColor="text1"/>
                <w:sz w:val="18"/>
                <w:szCs w:val="18"/>
              </w:rPr>
            </w:pPr>
            <w:r w:rsidRPr="00650C77">
              <w:rPr>
                <w:rFonts w:ascii="Arial" w:hAnsi="Arial" w:cs="Arial"/>
                <w:b/>
                <w:bCs/>
                <w:color w:val="000000" w:themeColor="text1"/>
                <w:sz w:val="18"/>
                <w:szCs w:val="18"/>
              </w:rPr>
              <w:t>Model of Care</w:t>
            </w:r>
          </w:p>
        </w:tc>
        <w:tc>
          <w:tcPr>
            <w:tcW w:w="2212" w:type="dxa"/>
            <w:tcBorders>
              <w:top w:val="single" w:sz="4" w:space="0" w:color="auto"/>
              <w:left w:val="single" w:sz="4" w:space="0" w:color="auto"/>
              <w:bottom w:val="single" w:sz="4" w:space="0" w:color="auto"/>
              <w:right w:val="single" w:sz="4" w:space="0" w:color="auto"/>
            </w:tcBorders>
            <w:shd w:val="clear" w:color="auto" w:fill="4472C4" w:themeFill="accent1"/>
            <w:hideMark/>
          </w:tcPr>
          <w:p w14:paraId="08D9219F" w14:textId="77777777" w:rsidR="00344A6B" w:rsidRPr="00650C77" w:rsidRDefault="00344A6B" w:rsidP="00BF0195">
            <w:pPr>
              <w:rPr>
                <w:rFonts w:ascii="Arial" w:hAnsi="Arial" w:cs="Arial"/>
                <w:b/>
                <w:bCs/>
                <w:color w:val="000000" w:themeColor="text1"/>
                <w:sz w:val="18"/>
                <w:szCs w:val="18"/>
              </w:rPr>
            </w:pPr>
            <w:r w:rsidRPr="00650C77">
              <w:rPr>
                <w:rFonts w:ascii="Arial" w:hAnsi="Arial" w:cs="Arial"/>
                <w:b/>
                <w:bCs/>
                <w:color w:val="000000" w:themeColor="text1"/>
                <w:sz w:val="18"/>
                <w:szCs w:val="18"/>
              </w:rPr>
              <w:t>Key Strengths</w:t>
            </w:r>
          </w:p>
        </w:tc>
        <w:tc>
          <w:tcPr>
            <w:tcW w:w="1728" w:type="dxa"/>
            <w:tcBorders>
              <w:top w:val="single" w:sz="4" w:space="0" w:color="auto"/>
              <w:left w:val="single" w:sz="4" w:space="0" w:color="auto"/>
              <w:bottom w:val="single" w:sz="4" w:space="0" w:color="auto"/>
              <w:right w:val="single" w:sz="4" w:space="0" w:color="auto"/>
            </w:tcBorders>
            <w:shd w:val="clear" w:color="auto" w:fill="4472C4" w:themeFill="accent1"/>
            <w:hideMark/>
          </w:tcPr>
          <w:p w14:paraId="0CEB79D3" w14:textId="77777777" w:rsidR="00344A6B" w:rsidRPr="00650C77" w:rsidRDefault="00344A6B" w:rsidP="00BF0195">
            <w:pPr>
              <w:rPr>
                <w:rFonts w:ascii="Arial" w:hAnsi="Arial" w:cs="Arial"/>
                <w:b/>
                <w:bCs/>
                <w:color w:val="000000" w:themeColor="text1"/>
                <w:sz w:val="18"/>
                <w:szCs w:val="18"/>
              </w:rPr>
            </w:pPr>
            <w:r w:rsidRPr="00650C77">
              <w:rPr>
                <w:rFonts w:ascii="Arial" w:hAnsi="Arial" w:cs="Arial"/>
                <w:b/>
                <w:bCs/>
                <w:color w:val="000000" w:themeColor="text1"/>
                <w:sz w:val="18"/>
                <w:szCs w:val="18"/>
              </w:rPr>
              <w:t>Limitations</w:t>
            </w:r>
          </w:p>
        </w:tc>
        <w:tc>
          <w:tcPr>
            <w:tcW w:w="2014" w:type="dxa"/>
            <w:tcBorders>
              <w:top w:val="single" w:sz="4" w:space="0" w:color="auto"/>
              <w:left w:val="single" w:sz="4" w:space="0" w:color="auto"/>
              <w:bottom w:val="single" w:sz="4" w:space="0" w:color="auto"/>
              <w:right w:val="single" w:sz="4" w:space="0" w:color="auto"/>
            </w:tcBorders>
            <w:shd w:val="clear" w:color="auto" w:fill="4472C4" w:themeFill="accent1"/>
            <w:hideMark/>
          </w:tcPr>
          <w:p w14:paraId="40AD5BCF" w14:textId="77777777" w:rsidR="00344A6B" w:rsidRPr="00650C77" w:rsidRDefault="00344A6B" w:rsidP="00BF0195">
            <w:pPr>
              <w:rPr>
                <w:rFonts w:ascii="Arial" w:hAnsi="Arial" w:cs="Arial"/>
                <w:b/>
                <w:bCs/>
                <w:color w:val="000000" w:themeColor="text1"/>
                <w:sz w:val="18"/>
                <w:szCs w:val="18"/>
              </w:rPr>
            </w:pPr>
            <w:r w:rsidRPr="00650C77">
              <w:rPr>
                <w:rFonts w:ascii="Arial" w:hAnsi="Arial" w:cs="Arial"/>
                <w:b/>
                <w:bCs/>
                <w:color w:val="000000" w:themeColor="text1"/>
                <w:sz w:val="18"/>
                <w:szCs w:val="18"/>
              </w:rPr>
              <w:t>Key Lessons for the UK</w:t>
            </w:r>
          </w:p>
        </w:tc>
      </w:tr>
      <w:tr w:rsidR="00650C77" w:rsidRPr="00650C77" w14:paraId="6780A0E3" w14:textId="77777777" w:rsidTr="00344A6B">
        <w:tc>
          <w:tcPr>
            <w:tcW w:w="1728" w:type="dxa"/>
            <w:tcBorders>
              <w:top w:val="single" w:sz="4" w:space="0" w:color="auto"/>
              <w:left w:val="single" w:sz="4" w:space="0" w:color="auto"/>
              <w:bottom w:val="single" w:sz="4" w:space="0" w:color="auto"/>
              <w:right w:val="single" w:sz="4" w:space="0" w:color="auto"/>
            </w:tcBorders>
            <w:shd w:val="clear" w:color="auto" w:fill="4472C4" w:themeFill="accent1"/>
            <w:hideMark/>
          </w:tcPr>
          <w:p w14:paraId="25EDEC9C" w14:textId="77777777" w:rsidR="00344A6B" w:rsidRPr="00650C77" w:rsidRDefault="00344A6B" w:rsidP="00BF0195">
            <w:pPr>
              <w:rPr>
                <w:rFonts w:ascii="Arial" w:hAnsi="Arial" w:cs="Arial"/>
                <w:b/>
                <w:bCs/>
                <w:color w:val="000000" w:themeColor="text1"/>
                <w:sz w:val="18"/>
                <w:szCs w:val="18"/>
              </w:rPr>
            </w:pPr>
            <w:r w:rsidRPr="00650C77">
              <w:rPr>
                <w:rFonts w:ascii="Arial" w:hAnsi="Arial" w:cs="Arial"/>
                <w:b/>
                <w:bCs/>
                <w:color w:val="000000" w:themeColor="text1"/>
                <w:sz w:val="18"/>
                <w:szCs w:val="18"/>
              </w:rPr>
              <w:t>Australia</w:t>
            </w:r>
          </w:p>
        </w:tc>
        <w:tc>
          <w:tcPr>
            <w:tcW w:w="1244"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339ADF36"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Headspace</w:t>
            </w:r>
          </w:p>
        </w:tc>
        <w:tc>
          <w:tcPr>
            <w:tcW w:w="2212"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5771D97B"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Early intervention; youth-friendly; integrated services</w:t>
            </w:r>
          </w:p>
        </w:tc>
        <w:tc>
          <w:tcPr>
            <w:tcW w:w="1728"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45B12CBC"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High cost; workforce and scalability challenges</w:t>
            </w:r>
          </w:p>
        </w:tc>
        <w:tc>
          <w:tcPr>
            <w:tcW w:w="2014"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390DF519"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Importance of early, co-located youth services</w:t>
            </w:r>
          </w:p>
        </w:tc>
      </w:tr>
      <w:tr w:rsidR="00650C77" w:rsidRPr="00650C77" w14:paraId="02979EA9" w14:textId="77777777" w:rsidTr="00344A6B">
        <w:tc>
          <w:tcPr>
            <w:tcW w:w="1728" w:type="dxa"/>
            <w:tcBorders>
              <w:top w:val="single" w:sz="4" w:space="0" w:color="auto"/>
              <w:left w:val="single" w:sz="4" w:space="0" w:color="auto"/>
              <w:bottom w:val="single" w:sz="4" w:space="0" w:color="auto"/>
              <w:right w:val="single" w:sz="4" w:space="0" w:color="auto"/>
            </w:tcBorders>
            <w:shd w:val="clear" w:color="auto" w:fill="4472C4" w:themeFill="accent1"/>
            <w:hideMark/>
          </w:tcPr>
          <w:p w14:paraId="4CA91861" w14:textId="77777777" w:rsidR="00344A6B" w:rsidRPr="00650C77" w:rsidRDefault="00344A6B" w:rsidP="00BF0195">
            <w:pPr>
              <w:rPr>
                <w:rFonts w:ascii="Arial" w:hAnsi="Arial" w:cs="Arial"/>
                <w:b/>
                <w:bCs/>
                <w:color w:val="000000" w:themeColor="text1"/>
                <w:sz w:val="18"/>
                <w:szCs w:val="18"/>
              </w:rPr>
            </w:pPr>
            <w:r w:rsidRPr="00650C77">
              <w:rPr>
                <w:rFonts w:ascii="Arial" w:hAnsi="Arial" w:cs="Arial"/>
                <w:b/>
                <w:bCs/>
                <w:color w:val="000000" w:themeColor="text1"/>
                <w:sz w:val="18"/>
                <w:szCs w:val="18"/>
              </w:rPr>
              <w:t>Netherlands</w:t>
            </w:r>
          </w:p>
        </w:tc>
        <w:tc>
          <w:tcPr>
            <w:tcW w:w="1244"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0E191B01"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FACT</w:t>
            </w:r>
          </w:p>
        </w:tc>
        <w:tc>
          <w:tcPr>
            <w:tcW w:w="2212"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742DC010"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Flexible intensity; continuity of care; reduced relapse</w:t>
            </w:r>
          </w:p>
        </w:tc>
        <w:tc>
          <w:tcPr>
            <w:tcW w:w="1728"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1A2E29B0"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Resource intensive; training demands</w:t>
            </w:r>
          </w:p>
        </w:tc>
        <w:tc>
          <w:tcPr>
            <w:tcW w:w="2014"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780212C9"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Value of long-term flexible community teams</w:t>
            </w:r>
          </w:p>
        </w:tc>
      </w:tr>
      <w:tr w:rsidR="00650C77" w:rsidRPr="00650C77" w14:paraId="37A0BD19" w14:textId="77777777" w:rsidTr="00344A6B">
        <w:tc>
          <w:tcPr>
            <w:tcW w:w="1728" w:type="dxa"/>
            <w:tcBorders>
              <w:top w:val="single" w:sz="4" w:space="0" w:color="auto"/>
              <w:left w:val="single" w:sz="4" w:space="0" w:color="auto"/>
              <w:bottom w:val="single" w:sz="4" w:space="0" w:color="auto"/>
              <w:right w:val="single" w:sz="4" w:space="0" w:color="auto"/>
            </w:tcBorders>
            <w:shd w:val="clear" w:color="auto" w:fill="4472C4" w:themeFill="accent1"/>
            <w:hideMark/>
          </w:tcPr>
          <w:p w14:paraId="0DAE73C4" w14:textId="77777777" w:rsidR="00344A6B" w:rsidRPr="00650C77" w:rsidRDefault="00344A6B" w:rsidP="00BF0195">
            <w:pPr>
              <w:rPr>
                <w:rFonts w:ascii="Arial" w:hAnsi="Arial" w:cs="Arial"/>
                <w:b/>
                <w:bCs/>
                <w:color w:val="000000" w:themeColor="text1"/>
                <w:sz w:val="18"/>
                <w:szCs w:val="18"/>
              </w:rPr>
            </w:pPr>
            <w:r w:rsidRPr="00650C77">
              <w:rPr>
                <w:rFonts w:ascii="Arial" w:hAnsi="Arial" w:cs="Arial"/>
                <w:b/>
                <w:bCs/>
                <w:color w:val="000000" w:themeColor="text1"/>
                <w:sz w:val="18"/>
                <w:szCs w:val="18"/>
              </w:rPr>
              <w:t>Finland</w:t>
            </w:r>
          </w:p>
        </w:tc>
        <w:tc>
          <w:tcPr>
            <w:tcW w:w="1244"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789BECC9"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Open Dialogue</w:t>
            </w:r>
          </w:p>
        </w:tc>
        <w:tc>
          <w:tcPr>
            <w:tcW w:w="2212"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10D7CFE9"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Family involvement; shared decision-making; reduced medication use</w:t>
            </w:r>
          </w:p>
        </w:tc>
        <w:tc>
          <w:tcPr>
            <w:tcW w:w="1728"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424FDEE8"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Cultural and training barriers</w:t>
            </w:r>
          </w:p>
        </w:tc>
        <w:tc>
          <w:tcPr>
            <w:tcW w:w="2014"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0D274C24"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Benefits of relational and dialogical care</w:t>
            </w:r>
          </w:p>
        </w:tc>
      </w:tr>
      <w:tr w:rsidR="00650C77" w:rsidRPr="00650C77" w14:paraId="723B9BB8" w14:textId="77777777" w:rsidTr="00344A6B">
        <w:tc>
          <w:tcPr>
            <w:tcW w:w="1728" w:type="dxa"/>
            <w:tcBorders>
              <w:top w:val="single" w:sz="4" w:space="0" w:color="auto"/>
              <w:left w:val="single" w:sz="4" w:space="0" w:color="auto"/>
              <w:bottom w:val="single" w:sz="4" w:space="0" w:color="auto"/>
              <w:right w:val="single" w:sz="4" w:space="0" w:color="auto"/>
            </w:tcBorders>
            <w:shd w:val="clear" w:color="auto" w:fill="4472C4" w:themeFill="accent1"/>
            <w:hideMark/>
          </w:tcPr>
          <w:p w14:paraId="2C832E84" w14:textId="77777777" w:rsidR="00344A6B" w:rsidRPr="00650C77" w:rsidRDefault="00344A6B" w:rsidP="00BF0195">
            <w:pPr>
              <w:rPr>
                <w:rFonts w:ascii="Arial" w:hAnsi="Arial" w:cs="Arial"/>
                <w:b/>
                <w:bCs/>
                <w:color w:val="000000" w:themeColor="text1"/>
                <w:sz w:val="18"/>
                <w:szCs w:val="18"/>
              </w:rPr>
            </w:pPr>
            <w:r w:rsidRPr="00650C77">
              <w:rPr>
                <w:rFonts w:ascii="Arial" w:hAnsi="Arial" w:cs="Arial"/>
                <w:b/>
                <w:bCs/>
                <w:color w:val="000000" w:themeColor="text1"/>
                <w:sz w:val="18"/>
                <w:szCs w:val="18"/>
              </w:rPr>
              <w:t>Canada</w:t>
            </w:r>
          </w:p>
        </w:tc>
        <w:tc>
          <w:tcPr>
            <w:tcW w:w="1244"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3F9C4DE7"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Housing First</w:t>
            </w:r>
          </w:p>
        </w:tc>
        <w:tc>
          <w:tcPr>
            <w:tcW w:w="2212"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6A65697D"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Addresses housing instability; improves quality of life</w:t>
            </w:r>
          </w:p>
        </w:tc>
        <w:tc>
          <w:tcPr>
            <w:tcW w:w="1728"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4F8CC0B1"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Limited mental health integration in some regions</w:t>
            </w:r>
          </w:p>
        </w:tc>
        <w:tc>
          <w:tcPr>
            <w:tcW w:w="2014"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65C92FCC"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Housing as a core recovery intervention</w:t>
            </w:r>
          </w:p>
        </w:tc>
      </w:tr>
      <w:tr w:rsidR="00650C77" w:rsidRPr="00650C77" w14:paraId="72B5183A" w14:textId="77777777" w:rsidTr="00344A6B">
        <w:tc>
          <w:tcPr>
            <w:tcW w:w="1728" w:type="dxa"/>
            <w:tcBorders>
              <w:top w:val="single" w:sz="4" w:space="0" w:color="auto"/>
              <w:left w:val="single" w:sz="4" w:space="0" w:color="auto"/>
              <w:bottom w:val="single" w:sz="4" w:space="0" w:color="auto"/>
              <w:right w:val="single" w:sz="4" w:space="0" w:color="auto"/>
            </w:tcBorders>
            <w:shd w:val="clear" w:color="auto" w:fill="4472C4" w:themeFill="accent1"/>
            <w:hideMark/>
          </w:tcPr>
          <w:p w14:paraId="73D1D049" w14:textId="77777777" w:rsidR="00344A6B" w:rsidRPr="00650C77" w:rsidRDefault="00344A6B" w:rsidP="00BF0195">
            <w:pPr>
              <w:rPr>
                <w:rFonts w:ascii="Arial" w:hAnsi="Arial" w:cs="Arial"/>
                <w:b/>
                <w:bCs/>
                <w:color w:val="000000" w:themeColor="text1"/>
                <w:sz w:val="18"/>
                <w:szCs w:val="18"/>
              </w:rPr>
            </w:pPr>
            <w:r w:rsidRPr="00650C77">
              <w:rPr>
                <w:rFonts w:ascii="Arial" w:hAnsi="Arial" w:cs="Arial"/>
                <w:b/>
                <w:bCs/>
                <w:color w:val="000000" w:themeColor="text1"/>
                <w:sz w:val="18"/>
                <w:szCs w:val="18"/>
              </w:rPr>
              <w:t>United Kingdom</w:t>
            </w:r>
          </w:p>
        </w:tc>
        <w:tc>
          <w:tcPr>
            <w:tcW w:w="1244"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533076D5"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EIP (Comparator)</w:t>
            </w:r>
          </w:p>
        </w:tc>
        <w:tc>
          <w:tcPr>
            <w:tcW w:w="2212"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054B9C07"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Strong early intervention; universal access</w:t>
            </w:r>
          </w:p>
        </w:tc>
        <w:tc>
          <w:tcPr>
            <w:tcW w:w="1728"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40AD796E"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Poor continuity; inequities; limited peer support</w:t>
            </w:r>
          </w:p>
        </w:tc>
        <w:tc>
          <w:tcPr>
            <w:tcW w:w="2014" w:type="dxa"/>
            <w:tcBorders>
              <w:top w:val="single" w:sz="4" w:space="0" w:color="auto"/>
              <w:left w:val="single" w:sz="4" w:space="0" w:color="auto"/>
              <w:bottom w:val="single" w:sz="4" w:space="0" w:color="auto"/>
              <w:right w:val="single" w:sz="4" w:space="0" w:color="auto"/>
            </w:tcBorders>
            <w:shd w:val="clear" w:color="auto" w:fill="A5A5A5" w:themeFill="accent3"/>
            <w:hideMark/>
          </w:tcPr>
          <w:p w14:paraId="5A185656" w14:textId="77777777" w:rsidR="00344A6B" w:rsidRPr="00650C77" w:rsidRDefault="00344A6B" w:rsidP="00BF0195">
            <w:pPr>
              <w:rPr>
                <w:rFonts w:ascii="Arial" w:hAnsi="Arial" w:cs="Arial"/>
                <w:color w:val="000000" w:themeColor="text1"/>
                <w:sz w:val="18"/>
                <w:szCs w:val="18"/>
              </w:rPr>
            </w:pPr>
            <w:r w:rsidRPr="00650C77">
              <w:rPr>
                <w:rFonts w:ascii="Arial" w:hAnsi="Arial" w:cs="Arial"/>
                <w:color w:val="000000" w:themeColor="text1"/>
                <w:sz w:val="18"/>
                <w:szCs w:val="18"/>
              </w:rPr>
              <w:t>Need to strengthen continuity and equity</w:t>
            </w:r>
          </w:p>
        </w:tc>
      </w:tr>
    </w:tbl>
    <w:p w14:paraId="6761B6D9" w14:textId="77777777" w:rsidR="00142483" w:rsidRPr="00650C77" w:rsidRDefault="00142483" w:rsidP="00344A6B">
      <w:pPr>
        <w:jc w:val="both"/>
        <w:rPr>
          <w:rFonts w:ascii="Arial" w:hAnsi="Arial" w:cs="Arial"/>
          <w:color w:val="000000" w:themeColor="text1"/>
          <w:sz w:val="18"/>
          <w:szCs w:val="18"/>
        </w:rPr>
      </w:pPr>
    </w:p>
    <w:p w14:paraId="286F53FF" w14:textId="4C8A0EAC" w:rsidR="00344A6B" w:rsidRPr="00650C77" w:rsidRDefault="00344A6B" w:rsidP="00344A6B">
      <w:pPr>
        <w:jc w:val="both"/>
        <w:rPr>
          <w:rFonts w:ascii="Arial" w:hAnsi="Arial" w:cs="Arial"/>
          <w:color w:val="000000" w:themeColor="text1"/>
          <w:sz w:val="18"/>
          <w:szCs w:val="18"/>
        </w:rPr>
      </w:pPr>
      <w:r w:rsidRPr="00650C77">
        <w:rPr>
          <w:rFonts w:ascii="Arial" w:hAnsi="Arial" w:cs="Arial"/>
          <w:color w:val="000000" w:themeColor="text1"/>
          <w:sz w:val="18"/>
          <w:szCs w:val="18"/>
        </w:rPr>
        <w:t xml:space="preserve">Sources: Rickwood et al., 2019; Van Veldhuizen, 2007; </w:t>
      </w:r>
      <w:proofErr w:type="spellStart"/>
      <w:r w:rsidRPr="00650C77">
        <w:rPr>
          <w:rFonts w:ascii="Arial" w:hAnsi="Arial" w:cs="Arial"/>
          <w:color w:val="000000" w:themeColor="text1"/>
          <w:sz w:val="18"/>
          <w:szCs w:val="18"/>
        </w:rPr>
        <w:t>Seikkula</w:t>
      </w:r>
      <w:proofErr w:type="spellEnd"/>
      <w:r w:rsidRPr="00650C77">
        <w:rPr>
          <w:rFonts w:ascii="Arial" w:hAnsi="Arial" w:cs="Arial"/>
          <w:color w:val="000000" w:themeColor="text1"/>
          <w:sz w:val="18"/>
          <w:szCs w:val="18"/>
        </w:rPr>
        <w:t xml:space="preserve"> et al., 2011; WHO, 2021).</w:t>
      </w:r>
    </w:p>
    <w:p w14:paraId="328096BF" w14:textId="77777777" w:rsidR="00142483" w:rsidRPr="00650C77" w:rsidRDefault="00142483" w:rsidP="00344A6B">
      <w:pPr>
        <w:jc w:val="both"/>
        <w:rPr>
          <w:rFonts w:ascii="Arial" w:hAnsi="Arial" w:cs="Arial"/>
          <w:color w:val="000000" w:themeColor="text1"/>
          <w:sz w:val="18"/>
          <w:szCs w:val="18"/>
        </w:rPr>
      </w:pPr>
    </w:p>
    <w:p w14:paraId="79499F54" w14:textId="77777777" w:rsidR="00142483" w:rsidRPr="00650C77" w:rsidRDefault="00142483" w:rsidP="00344A6B">
      <w:pPr>
        <w:jc w:val="both"/>
        <w:rPr>
          <w:rFonts w:ascii="Arial" w:hAnsi="Arial" w:cs="Arial"/>
          <w:b/>
          <w:bCs/>
          <w:color w:val="000000" w:themeColor="text1"/>
          <w:sz w:val="28"/>
          <w:szCs w:val="28"/>
        </w:rPr>
      </w:pPr>
    </w:p>
    <w:p w14:paraId="5001E047" w14:textId="6C8040EE" w:rsidR="00142483" w:rsidRPr="00650C77" w:rsidRDefault="00142483" w:rsidP="00344A6B">
      <w:pPr>
        <w:jc w:val="both"/>
        <w:rPr>
          <w:rFonts w:ascii="Arial" w:hAnsi="Arial" w:cs="Arial"/>
          <w:b/>
          <w:bCs/>
          <w:color w:val="000000" w:themeColor="text1"/>
          <w:sz w:val="28"/>
          <w:szCs w:val="28"/>
        </w:rPr>
      </w:pPr>
      <w:r w:rsidRPr="00650C77">
        <w:rPr>
          <w:rFonts w:ascii="Arial" w:hAnsi="Arial" w:cs="Arial"/>
          <w:b/>
          <w:bCs/>
          <w:color w:val="000000" w:themeColor="text1"/>
          <w:sz w:val="28"/>
          <w:szCs w:val="28"/>
        </w:rPr>
        <w:t>Appendix 7.7 How Theme 1,2,3 work together</w:t>
      </w:r>
    </w:p>
    <w:p w14:paraId="160891F3" w14:textId="5552C9E2" w:rsidR="00DD578F" w:rsidRPr="00650C77" w:rsidRDefault="00DD578F" w:rsidP="00344A6B">
      <w:pPr>
        <w:jc w:val="both"/>
        <w:rPr>
          <w:rFonts w:ascii="Arial" w:hAnsi="Arial" w:cs="Arial"/>
          <w:b/>
          <w:bCs/>
          <w:color w:val="000000" w:themeColor="text1"/>
          <w:sz w:val="18"/>
          <w:szCs w:val="18"/>
        </w:rPr>
      </w:pPr>
      <w:r w:rsidRPr="00650C77">
        <w:rPr>
          <w:rFonts w:ascii="Arial" w:hAnsi="Arial" w:cs="Arial"/>
          <w:color w:val="000000" w:themeColor="text1"/>
          <w:sz w:val="18"/>
          <w:szCs w:val="18"/>
        </w:rPr>
        <w:t xml:space="preserve">[Chapter 4, Section </w:t>
      </w:r>
      <w:r w:rsidRPr="00650C77">
        <w:rPr>
          <w:rStyle w:val="Strong"/>
          <w:rFonts w:ascii="Arial" w:hAnsi="Arial" w:cs="Arial"/>
          <w:color w:val="000000" w:themeColor="text1"/>
          <w:sz w:val="18"/>
          <w:szCs w:val="18"/>
        </w:rPr>
        <w:t>4.6 (How themes work together)]</w:t>
      </w:r>
    </w:p>
    <w:tbl>
      <w:tblPr>
        <w:tblStyle w:val="TableGrid"/>
        <w:tblW w:w="0" w:type="auto"/>
        <w:tblInd w:w="-113" w:type="dxa"/>
        <w:tblLook w:val="04A0" w:firstRow="1" w:lastRow="0" w:firstColumn="1" w:lastColumn="0" w:noHBand="0" w:noVBand="1"/>
      </w:tblPr>
      <w:tblGrid>
        <w:gridCol w:w="1809"/>
        <w:gridCol w:w="2268"/>
        <w:gridCol w:w="1701"/>
        <w:gridCol w:w="2862"/>
      </w:tblGrid>
      <w:tr w:rsidR="00650C77" w:rsidRPr="00650C77" w14:paraId="7639B5C7" w14:textId="77777777" w:rsidTr="001843A2">
        <w:tc>
          <w:tcPr>
            <w:tcW w:w="1809" w:type="dxa"/>
            <w:shd w:val="clear" w:color="auto" w:fill="B4C6E7" w:themeFill="accent1" w:themeFillTint="66"/>
          </w:tcPr>
          <w:p w14:paraId="28DDAFA2" w14:textId="77777777" w:rsidR="00142483" w:rsidRPr="00650C77" w:rsidRDefault="00142483" w:rsidP="001843A2">
            <w:pPr>
              <w:spacing w:line="276" w:lineRule="auto"/>
              <w:jc w:val="both"/>
              <w:rPr>
                <w:rFonts w:ascii="Arial" w:hAnsi="Arial" w:cs="Arial"/>
                <w:color w:val="000000" w:themeColor="text1"/>
              </w:rPr>
            </w:pPr>
            <w:r w:rsidRPr="00650C77">
              <w:rPr>
                <w:rFonts w:ascii="Arial" w:hAnsi="Arial" w:cs="Arial"/>
                <w:b/>
                <w:color w:val="000000" w:themeColor="text1"/>
              </w:rPr>
              <w:t>Theme</w:t>
            </w:r>
          </w:p>
        </w:tc>
        <w:tc>
          <w:tcPr>
            <w:tcW w:w="2268" w:type="dxa"/>
            <w:shd w:val="clear" w:color="auto" w:fill="B4C6E7" w:themeFill="accent1" w:themeFillTint="66"/>
          </w:tcPr>
          <w:p w14:paraId="5BA79BF0" w14:textId="77777777" w:rsidR="00142483" w:rsidRPr="00650C77" w:rsidRDefault="00142483" w:rsidP="001843A2">
            <w:pPr>
              <w:spacing w:line="276" w:lineRule="auto"/>
              <w:jc w:val="both"/>
              <w:rPr>
                <w:rFonts w:ascii="Arial" w:hAnsi="Arial" w:cs="Arial"/>
                <w:color w:val="000000" w:themeColor="text1"/>
              </w:rPr>
            </w:pPr>
            <w:r w:rsidRPr="00650C77">
              <w:rPr>
                <w:rFonts w:ascii="Arial" w:hAnsi="Arial" w:cs="Arial"/>
                <w:b/>
                <w:color w:val="000000" w:themeColor="text1"/>
              </w:rPr>
              <w:t>Main Focus</w:t>
            </w:r>
          </w:p>
        </w:tc>
        <w:tc>
          <w:tcPr>
            <w:tcW w:w="1701" w:type="dxa"/>
            <w:shd w:val="clear" w:color="auto" w:fill="B4C6E7" w:themeFill="accent1" w:themeFillTint="66"/>
          </w:tcPr>
          <w:p w14:paraId="481627F8" w14:textId="77777777" w:rsidR="00142483" w:rsidRPr="00650C77" w:rsidRDefault="00142483" w:rsidP="001843A2">
            <w:pPr>
              <w:spacing w:line="276" w:lineRule="auto"/>
              <w:jc w:val="both"/>
              <w:rPr>
                <w:rFonts w:ascii="Arial" w:hAnsi="Arial" w:cs="Arial"/>
                <w:color w:val="000000" w:themeColor="text1"/>
              </w:rPr>
            </w:pPr>
            <w:r w:rsidRPr="00650C77">
              <w:rPr>
                <w:rFonts w:ascii="Arial" w:hAnsi="Arial" w:cs="Arial"/>
                <w:b/>
                <w:color w:val="000000" w:themeColor="text1"/>
              </w:rPr>
              <w:t>Key Evidence</w:t>
            </w:r>
          </w:p>
        </w:tc>
        <w:tc>
          <w:tcPr>
            <w:tcW w:w="2862" w:type="dxa"/>
            <w:shd w:val="clear" w:color="auto" w:fill="B4C6E7" w:themeFill="accent1" w:themeFillTint="66"/>
          </w:tcPr>
          <w:p w14:paraId="15083082" w14:textId="77777777" w:rsidR="00142483" w:rsidRPr="00650C77" w:rsidRDefault="00142483" w:rsidP="001843A2">
            <w:pPr>
              <w:spacing w:line="276" w:lineRule="auto"/>
              <w:jc w:val="both"/>
              <w:rPr>
                <w:rFonts w:ascii="Arial" w:hAnsi="Arial" w:cs="Arial"/>
                <w:color w:val="000000" w:themeColor="text1"/>
              </w:rPr>
            </w:pPr>
            <w:r w:rsidRPr="00650C77">
              <w:rPr>
                <w:rFonts w:ascii="Arial" w:hAnsi="Arial" w:cs="Arial"/>
                <w:b/>
                <w:color w:val="000000" w:themeColor="text1"/>
              </w:rPr>
              <w:t>How It Links to Other Themes</w:t>
            </w:r>
          </w:p>
        </w:tc>
      </w:tr>
      <w:tr w:rsidR="00650C77" w:rsidRPr="00650C77" w14:paraId="5539313C" w14:textId="77777777" w:rsidTr="001843A2">
        <w:tc>
          <w:tcPr>
            <w:tcW w:w="1809" w:type="dxa"/>
            <w:shd w:val="clear" w:color="auto" w:fill="B4C6E7" w:themeFill="accent1" w:themeFillTint="66"/>
          </w:tcPr>
          <w:p w14:paraId="1EFF893C" w14:textId="77777777" w:rsidR="00142483" w:rsidRPr="00650C77" w:rsidRDefault="00142483" w:rsidP="001843A2">
            <w:pPr>
              <w:spacing w:line="276" w:lineRule="auto"/>
              <w:jc w:val="both"/>
              <w:rPr>
                <w:rFonts w:ascii="Arial" w:hAnsi="Arial" w:cs="Arial"/>
                <w:b/>
                <w:bCs/>
                <w:color w:val="000000" w:themeColor="text1"/>
              </w:rPr>
            </w:pPr>
            <w:r w:rsidRPr="00650C77">
              <w:rPr>
                <w:rFonts w:ascii="Arial" w:hAnsi="Arial" w:cs="Arial"/>
                <w:b/>
                <w:bCs/>
                <w:color w:val="000000" w:themeColor="text1"/>
              </w:rPr>
              <w:t>Theme 1: Treatment Effectiveness</w:t>
            </w:r>
          </w:p>
        </w:tc>
        <w:tc>
          <w:tcPr>
            <w:tcW w:w="2268" w:type="dxa"/>
            <w:shd w:val="clear" w:color="auto" w:fill="B4C6E7" w:themeFill="accent1" w:themeFillTint="66"/>
          </w:tcPr>
          <w:p w14:paraId="4C4072AD" w14:textId="77777777" w:rsidR="00142483" w:rsidRPr="00650C77" w:rsidRDefault="00142483"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 xml:space="preserve">Evidence-based treatments such as </w:t>
            </w:r>
            <w:proofErr w:type="spellStart"/>
            <w:r w:rsidRPr="00650C77">
              <w:rPr>
                <w:rFonts w:ascii="Arial" w:hAnsi="Arial" w:cs="Arial"/>
                <w:color w:val="000000" w:themeColor="text1"/>
                <w:sz w:val="20"/>
                <w:szCs w:val="20"/>
              </w:rPr>
              <w:t>CBTp</w:t>
            </w:r>
            <w:proofErr w:type="spellEnd"/>
            <w:r w:rsidRPr="00650C77">
              <w:rPr>
                <w:rFonts w:ascii="Arial" w:hAnsi="Arial" w:cs="Arial"/>
                <w:color w:val="000000" w:themeColor="text1"/>
                <w:sz w:val="20"/>
                <w:szCs w:val="20"/>
              </w:rPr>
              <w:t>, EIP, and medication</w:t>
            </w:r>
          </w:p>
        </w:tc>
        <w:tc>
          <w:tcPr>
            <w:tcW w:w="1701" w:type="dxa"/>
            <w:shd w:val="clear" w:color="auto" w:fill="B4C6E7" w:themeFill="accent1" w:themeFillTint="66"/>
          </w:tcPr>
          <w:p w14:paraId="5F7C334F" w14:textId="77777777" w:rsidR="00142483" w:rsidRPr="00650C77" w:rsidRDefault="00142483"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NICE (2020); Leucht et al. (2019)</w:t>
            </w:r>
          </w:p>
        </w:tc>
        <w:tc>
          <w:tcPr>
            <w:tcW w:w="2862" w:type="dxa"/>
            <w:shd w:val="clear" w:color="auto" w:fill="B4C6E7" w:themeFill="accent1" w:themeFillTint="66"/>
          </w:tcPr>
          <w:p w14:paraId="3AC93D15" w14:textId="77777777" w:rsidR="00142483" w:rsidRPr="00650C77" w:rsidRDefault="00142483"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Effectiveness is reduced when access is unequal (Theme 2) and when services are fragmented (Theme 3)</w:t>
            </w:r>
          </w:p>
        </w:tc>
      </w:tr>
      <w:tr w:rsidR="00650C77" w:rsidRPr="00650C77" w14:paraId="4D4B2027" w14:textId="77777777" w:rsidTr="001843A2">
        <w:tc>
          <w:tcPr>
            <w:tcW w:w="1809" w:type="dxa"/>
            <w:shd w:val="clear" w:color="auto" w:fill="B4C6E7" w:themeFill="accent1" w:themeFillTint="66"/>
          </w:tcPr>
          <w:p w14:paraId="0E22A623" w14:textId="77777777" w:rsidR="00142483" w:rsidRPr="00650C77" w:rsidRDefault="00142483" w:rsidP="001843A2">
            <w:pPr>
              <w:spacing w:line="276" w:lineRule="auto"/>
              <w:jc w:val="both"/>
              <w:rPr>
                <w:rFonts w:ascii="Arial" w:hAnsi="Arial" w:cs="Arial"/>
                <w:b/>
                <w:bCs/>
                <w:color w:val="000000" w:themeColor="text1"/>
              </w:rPr>
            </w:pPr>
            <w:r w:rsidRPr="00650C77">
              <w:rPr>
                <w:rFonts w:ascii="Arial" w:hAnsi="Arial" w:cs="Arial"/>
                <w:b/>
                <w:bCs/>
                <w:color w:val="000000" w:themeColor="text1"/>
              </w:rPr>
              <w:t>Theme 2: Inequalities and Access</w:t>
            </w:r>
          </w:p>
        </w:tc>
        <w:tc>
          <w:tcPr>
            <w:tcW w:w="2268" w:type="dxa"/>
            <w:shd w:val="clear" w:color="auto" w:fill="B4C6E7" w:themeFill="accent1" w:themeFillTint="66"/>
          </w:tcPr>
          <w:p w14:paraId="624C504C" w14:textId="77777777" w:rsidR="00142483" w:rsidRPr="00650C77" w:rsidRDefault="00142483"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Differences in access by ethnicity, location, and deprivation</w:t>
            </w:r>
          </w:p>
        </w:tc>
        <w:tc>
          <w:tcPr>
            <w:tcW w:w="1701" w:type="dxa"/>
            <w:shd w:val="clear" w:color="auto" w:fill="B4C6E7" w:themeFill="accent1" w:themeFillTint="66"/>
          </w:tcPr>
          <w:p w14:paraId="24B16DAB" w14:textId="77777777" w:rsidR="00142483" w:rsidRPr="00650C77" w:rsidRDefault="00142483" w:rsidP="001843A2">
            <w:pPr>
              <w:spacing w:line="276" w:lineRule="auto"/>
              <w:jc w:val="both"/>
              <w:rPr>
                <w:rFonts w:ascii="Arial" w:hAnsi="Arial" w:cs="Arial"/>
                <w:color w:val="000000" w:themeColor="text1"/>
                <w:sz w:val="20"/>
                <w:szCs w:val="20"/>
              </w:rPr>
            </w:pPr>
            <w:proofErr w:type="spellStart"/>
            <w:r w:rsidRPr="00650C77">
              <w:rPr>
                <w:rFonts w:ascii="Arial" w:hAnsi="Arial" w:cs="Arial"/>
                <w:color w:val="000000" w:themeColor="text1"/>
                <w:sz w:val="20"/>
                <w:szCs w:val="20"/>
              </w:rPr>
              <w:t>Nazroo</w:t>
            </w:r>
            <w:proofErr w:type="spellEnd"/>
            <w:r w:rsidRPr="00650C77">
              <w:rPr>
                <w:rFonts w:ascii="Arial" w:hAnsi="Arial" w:cs="Arial"/>
                <w:color w:val="000000" w:themeColor="text1"/>
                <w:sz w:val="20"/>
                <w:szCs w:val="20"/>
              </w:rPr>
              <w:t xml:space="preserve"> et al. (2019); CQC (2023)</w:t>
            </w:r>
          </w:p>
        </w:tc>
        <w:tc>
          <w:tcPr>
            <w:tcW w:w="2862" w:type="dxa"/>
            <w:shd w:val="clear" w:color="auto" w:fill="B4C6E7" w:themeFill="accent1" w:themeFillTint="66"/>
          </w:tcPr>
          <w:p w14:paraId="45C90ED7" w14:textId="77777777" w:rsidR="00142483" w:rsidRPr="00650C77" w:rsidRDefault="00142483"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Limits the impact of effective treatments (Theme 1) and requires integrated systems to improve equity (Theme 3)</w:t>
            </w:r>
          </w:p>
        </w:tc>
      </w:tr>
      <w:tr w:rsidR="00650C77" w:rsidRPr="00650C77" w14:paraId="4C3679D9" w14:textId="77777777" w:rsidTr="001843A2">
        <w:tc>
          <w:tcPr>
            <w:tcW w:w="1809" w:type="dxa"/>
            <w:shd w:val="clear" w:color="auto" w:fill="B4C6E7" w:themeFill="accent1" w:themeFillTint="66"/>
          </w:tcPr>
          <w:p w14:paraId="561D4E09" w14:textId="77777777" w:rsidR="00142483" w:rsidRPr="00650C77" w:rsidRDefault="00142483" w:rsidP="001843A2">
            <w:pPr>
              <w:spacing w:line="276" w:lineRule="auto"/>
              <w:jc w:val="both"/>
              <w:rPr>
                <w:rFonts w:ascii="Arial" w:hAnsi="Arial" w:cs="Arial"/>
                <w:b/>
                <w:bCs/>
                <w:color w:val="000000" w:themeColor="text1"/>
              </w:rPr>
            </w:pPr>
            <w:r w:rsidRPr="00650C77">
              <w:rPr>
                <w:rFonts w:ascii="Arial" w:hAnsi="Arial" w:cs="Arial"/>
                <w:b/>
                <w:bCs/>
                <w:color w:val="000000" w:themeColor="text1"/>
              </w:rPr>
              <w:t>Theme 3: Integrated Care</w:t>
            </w:r>
          </w:p>
        </w:tc>
        <w:tc>
          <w:tcPr>
            <w:tcW w:w="2268" w:type="dxa"/>
            <w:shd w:val="clear" w:color="auto" w:fill="B4C6E7" w:themeFill="accent1" w:themeFillTint="66"/>
          </w:tcPr>
          <w:p w14:paraId="3D478F41" w14:textId="77777777" w:rsidR="00142483" w:rsidRPr="00650C77" w:rsidRDefault="00142483"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Coordination of services across NHS, social care, and community</w:t>
            </w:r>
          </w:p>
        </w:tc>
        <w:tc>
          <w:tcPr>
            <w:tcW w:w="1701" w:type="dxa"/>
            <w:shd w:val="clear" w:color="auto" w:fill="B4C6E7" w:themeFill="accent1" w:themeFillTint="66"/>
          </w:tcPr>
          <w:p w14:paraId="7D4F7E3C" w14:textId="77777777" w:rsidR="00142483" w:rsidRPr="00650C77" w:rsidRDefault="00142483" w:rsidP="001843A2">
            <w:pPr>
              <w:spacing w:line="276" w:lineRule="auto"/>
              <w:jc w:val="both"/>
              <w:rPr>
                <w:rFonts w:ascii="Arial" w:hAnsi="Arial" w:cs="Arial"/>
                <w:color w:val="000000" w:themeColor="text1"/>
                <w:sz w:val="20"/>
                <w:szCs w:val="20"/>
              </w:rPr>
            </w:pPr>
            <w:proofErr w:type="spellStart"/>
            <w:r w:rsidRPr="00650C77">
              <w:rPr>
                <w:rFonts w:ascii="Arial" w:hAnsi="Arial" w:cs="Arial"/>
                <w:color w:val="000000" w:themeColor="text1"/>
                <w:sz w:val="20"/>
                <w:szCs w:val="20"/>
              </w:rPr>
              <w:t>Bhui</w:t>
            </w:r>
            <w:proofErr w:type="spellEnd"/>
            <w:r w:rsidRPr="00650C77">
              <w:rPr>
                <w:rFonts w:ascii="Arial" w:hAnsi="Arial" w:cs="Arial"/>
                <w:color w:val="000000" w:themeColor="text1"/>
                <w:sz w:val="20"/>
                <w:szCs w:val="20"/>
              </w:rPr>
              <w:t xml:space="preserve"> et al. (2021); Pagdon (2023); CQC (2023)</w:t>
            </w:r>
          </w:p>
        </w:tc>
        <w:tc>
          <w:tcPr>
            <w:tcW w:w="2862" w:type="dxa"/>
            <w:shd w:val="clear" w:color="auto" w:fill="B4C6E7" w:themeFill="accent1" w:themeFillTint="66"/>
          </w:tcPr>
          <w:p w14:paraId="6DAACAE4" w14:textId="77777777" w:rsidR="00142483" w:rsidRPr="00650C77" w:rsidRDefault="00142483" w:rsidP="001843A2">
            <w:pPr>
              <w:spacing w:line="276" w:lineRule="auto"/>
              <w:jc w:val="both"/>
              <w:rPr>
                <w:rFonts w:ascii="Arial" w:hAnsi="Arial" w:cs="Arial"/>
                <w:color w:val="000000" w:themeColor="text1"/>
                <w:sz w:val="20"/>
                <w:szCs w:val="20"/>
              </w:rPr>
            </w:pPr>
            <w:r w:rsidRPr="00650C77">
              <w:rPr>
                <w:rFonts w:ascii="Arial" w:hAnsi="Arial" w:cs="Arial"/>
                <w:color w:val="000000" w:themeColor="text1"/>
                <w:sz w:val="20"/>
                <w:szCs w:val="20"/>
              </w:rPr>
              <w:t>Improves continuity and access, supporting both treatment effectiveness (Theme 1) and reducing inequalities (Theme 2)</w:t>
            </w:r>
          </w:p>
        </w:tc>
      </w:tr>
    </w:tbl>
    <w:p w14:paraId="08760B23" w14:textId="77777777" w:rsidR="00142483" w:rsidRPr="00650C77" w:rsidRDefault="00142483" w:rsidP="00344A6B">
      <w:pPr>
        <w:jc w:val="both"/>
        <w:rPr>
          <w:rFonts w:ascii="Arial" w:hAnsi="Arial" w:cs="Arial"/>
          <w:b/>
          <w:bCs/>
          <w:color w:val="000000" w:themeColor="text1"/>
          <w:sz w:val="18"/>
          <w:szCs w:val="18"/>
        </w:rPr>
      </w:pPr>
    </w:p>
    <w:p w14:paraId="3E15B62F" w14:textId="60A59D22" w:rsidR="007401FA" w:rsidRPr="00650C77" w:rsidRDefault="007401FA" w:rsidP="00610101">
      <w:pPr>
        <w:jc w:val="center"/>
        <w:rPr>
          <w:color w:val="000000" w:themeColor="text1"/>
          <w:lang w:val="en-US"/>
        </w:rPr>
      </w:pPr>
    </w:p>
    <w:p w14:paraId="55E3D9DE" w14:textId="77777777" w:rsidR="00142483" w:rsidRPr="00650C77" w:rsidRDefault="00142483" w:rsidP="00610101">
      <w:pPr>
        <w:jc w:val="center"/>
        <w:rPr>
          <w:color w:val="000000" w:themeColor="text1"/>
          <w:lang w:val="en-US"/>
        </w:rPr>
      </w:pPr>
    </w:p>
    <w:sectPr w:rsidR="00142483" w:rsidRPr="00650C77">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1C77E1" w14:textId="77777777" w:rsidR="00906760" w:rsidRDefault="00906760" w:rsidP="00B7187C">
      <w:pPr>
        <w:spacing w:after="0" w:line="240" w:lineRule="auto"/>
      </w:pPr>
      <w:r>
        <w:separator/>
      </w:r>
    </w:p>
  </w:endnote>
  <w:endnote w:type="continuationSeparator" w:id="0">
    <w:p w14:paraId="314743CA" w14:textId="77777777" w:rsidR="00906760" w:rsidRDefault="00906760" w:rsidP="00B71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4061389"/>
      <w:docPartObj>
        <w:docPartGallery w:val="Page Numbers (Bottom of Page)"/>
        <w:docPartUnique/>
      </w:docPartObj>
    </w:sdtPr>
    <w:sdtEndPr>
      <w:rPr>
        <w:noProof/>
      </w:rPr>
    </w:sdtEndPr>
    <w:sdtContent>
      <w:p w14:paraId="5AFD6FDD" w14:textId="08B47DDB" w:rsidR="00CE6BFE" w:rsidRDefault="00CE6B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E38A7" w14:textId="77777777" w:rsidR="00CE6BFE" w:rsidRDefault="00CE6B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019DA" w14:textId="77777777" w:rsidR="00906760" w:rsidRDefault="00906760" w:rsidP="00B7187C">
      <w:pPr>
        <w:spacing w:after="0" w:line="240" w:lineRule="auto"/>
      </w:pPr>
      <w:r>
        <w:separator/>
      </w:r>
    </w:p>
  </w:footnote>
  <w:footnote w:type="continuationSeparator" w:id="0">
    <w:p w14:paraId="24E8230A" w14:textId="77777777" w:rsidR="00906760" w:rsidRDefault="00906760" w:rsidP="00B71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B2558"/>
    <w:multiLevelType w:val="hybridMultilevel"/>
    <w:tmpl w:val="92880C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4734A"/>
    <w:multiLevelType w:val="multilevel"/>
    <w:tmpl w:val="671E3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C94CBE"/>
    <w:multiLevelType w:val="multilevel"/>
    <w:tmpl w:val="CFAE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C172E8"/>
    <w:multiLevelType w:val="multilevel"/>
    <w:tmpl w:val="E146E968"/>
    <w:lvl w:ilvl="0">
      <w:start w:val="4"/>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5D2555B"/>
    <w:multiLevelType w:val="hybridMultilevel"/>
    <w:tmpl w:val="A50E7E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E93D79"/>
    <w:multiLevelType w:val="multilevel"/>
    <w:tmpl w:val="2656F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0A49A1"/>
    <w:multiLevelType w:val="multilevel"/>
    <w:tmpl w:val="B68A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142267"/>
    <w:multiLevelType w:val="multilevel"/>
    <w:tmpl w:val="E6920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C023C0"/>
    <w:multiLevelType w:val="multilevel"/>
    <w:tmpl w:val="8F9A8A6A"/>
    <w:lvl w:ilvl="0">
      <w:start w:val="1"/>
      <w:numFmt w:val="decimal"/>
      <w:lvlText w:val="%1"/>
      <w:lvlJc w:val="left"/>
      <w:pPr>
        <w:ind w:left="525" w:hanging="525"/>
      </w:pPr>
      <w:rPr>
        <w:rFonts w:hint="default"/>
        <w:b/>
        <w:sz w:val="24"/>
      </w:rPr>
    </w:lvl>
    <w:lvl w:ilvl="1">
      <w:start w:val="2"/>
      <w:numFmt w:val="decimal"/>
      <w:lvlText w:val="%1.%2"/>
      <w:lvlJc w:val="left"/>
      <w:pPr>
        <w:ind w:left="705" w:hanging="525"/>
      </w:pPr>
      <w:rPr>
        <w:rFonts w:hint="default"/>
        <w:b/>
        <w:sz w:val="24"/>
      </w:rPr>
    </w:lvl>
    <w:lvl w:ilvl="2">
      <w:start w:val="2"/>
      <w:numFmt w:val="decimal"/>
      <w:lvlText w:val="%1.%2.%3"/>
      <w:lvlJc w:val="left"/>
      <w:pPr>
        <w:ind w:left="1080" w:hanging="720"/>
      </w:pPr>
      <w:rPr>
        <w:rFonts w:hint="default"/>
        <w:b/>
        <w:sz w:val="24"/>
      </w:rPr>
    </w:lvl>
    <w:lvl w:ilvl="3">
      <w:start w:val="1"/>
      <w:numFmt w:val="decimal"/>
      <w:lvlText w:val="%1.%2.%3.%4"/>
      <w:lvlJc w:val="left"/>
      <w:pPr>
        <w:ind w:left="1260" w:hanging="720"/>
      </w:pPr>
      <w:rPr>
        <w:rFonts w:hint="default"/>
        <w:b/>
        <w:sz w:val="24"/>
      </w:rPr>
    </w:lvl>
    <w:lvl w:ilvl="4">
      <w:start w:val="1"/>
      <w:numFmt w:val="decimal"/>
      <w:lvlText w:val="%1.%2.%3.%4.%5"/>
      <w:lvlJc w:val="left"/>
      <w:pPr>
        <w:ind w:left="1800" w:hanging="1080"/>
      </w:pPr>
      <w:rPr>
        <w:rFonts w:hint="default"/>
        <w:b/>
        <w:sz w:val="24"/>
      </w:rPr>
    </w:lvl>
    <w:lvl w:ilvl="5">
      <w:start w:val="1"/>
      <w:numFmt w:val="decimal"/>
      <w:lvlText w:val="%1.%2.%3.%4.%5.%6"/>
      <w:lvlJc w:val="left"/>
      <w:pPr>
        <w:ind w:left="1980" w:hanging="1080"/>
      </w:pPr>
      <w:rPr>
        <w:rFonts w:hint="default"/>
        <w:b/>
        <w:sz w:val="24"/>
      </w:rPr>
    </w:lvl>
    <w:lvl w:ilvl="6">
      <w:start w:val="1"/>
      <w:numFmt w:val="decimal"/>
      <w:lvlText w:val="%1.%2.%3.%4.%5.%6.%7"/>
      <w:lvlJc w:val="left"/>
      <w:pPr>
        <w:ind w:left="2520" w:hanging="1440"/>
      </w:pPr>
      <w:rPr>
        <w:rFonts w:hint="default"/>
        <w:b/>
        <w:sz w:val="24"/>
      </w:rPr>
    </w:lvl>
    <w:lvl w:ilvl="7">
      <w:start w:val="1"/>
      <w:numFmt w:val="decimal"/>
      <w:lvlText w:val="%1.%2.%3.%4.%5.%6.%7.%8"/>
      <w:lvlJc w:val="left"/>
      <w:pPr>
        <w:ind w:left="2700" w:hanging="1440"/>
      </w:pPr>
      <w:rPr>
        <w:rFonts w:hint="default"/>
        <w:b/>
        <w:sz w:val="24"/>
      </w:rPr>
    </w:lvl>
    <w:lvl w:ilvl="8">
      <w:start w:val="1"/>
      <w:numFmt w:val="decimal"/>
      <w:lvlText w:val="%1.%2.%3.%4.%5.%6.%7.%8.%9"/>
      <w:lvlJc w:val="left"/>
      <w:pPr>
        <w:ind w:left="3240" w:hanging="1800"/>
      </w:pPr>
      <w:rPr>
        <w:rFonts w:hint="default"/>
        <w:b/>
        <w:sz w:val="24"/>
      </w:rPr>
    </w:lvl>
  </w:abstractNum>
  <w:abstractNum w:abstractNumId="9" w15:restartNumberingAfterBreak="0">
    <w:nsid w:val="2FCA2134"/>
    <w:multiLevelType w:val="multilevel"/>
    <w:tmpl w:val="E7F2E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F210A4"/>
    <w:multiLevelType w:val="multilevel"/>
    <w:tmpl w:val="3E0A6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5A2B69"/>
    <w:multiLevelType w:val="multilevel"/>
    <w:tmpl w:val="4DEA9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420CBD"/>
    <w:multiLevelType w:val="hybridMultilevel"/>
    <w:tmpl w:val="D374A0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1F58E5"/>
    <w:multiLevelType w:val="multilevel"/>
    <w:tmpl w:val="4824F426"/>
    <w:lvl w:ilvl="0">
      <w:start w:val="4"/>
      <w:numFmt w:val="decimal"/>
      <w:lvlText w:val="%1"/>
      <w:lvlJc w:val="left"/>
      <w:pPr>
        <w:ind w:left="660" w:hanging="660"/>
      </w:pPr>
      <w:rPr>
        <w:rFonts w:hint="default"/>
      </w:rPr>
    </w:lvl>
    <w:lvl w:ilvl="1">
      <w:start w:val="3"/>
      <w:numFmt w:val="decimal"/>
      <w:lvlText w:val="%1.%2"/>
      <w:lvlJc w:val="left"/>
      <w:pPr>
        <w:ind w:left="660" w:hanging="660"/>
      </w:pPr>
      <w:rPr>
        <w:rFonts w:hint="default"/>
      </w:rPr>
    </w:lvl>
    <w:lvl w:ilvl="2">
      <w:start w:val="6"/>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08735C9"/>
    <w:multiLevelType w:val="multilevel"/>
    <w:tmpl w:val="4D843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B56FEA"/>
    <w:multiLevelType w:val="multilevel"/>
    <w:tmpl w:val="6B02C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B2690F"/>
    <w:multiLevelType w:val="multilevel"/>
    <w:tmpl w:val="6E1CA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A26C49"/>
    <w:multiLevelType w:val="multilevel"/>
    <w:tmpl w:val="E20C8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9F6583"/>
    <w:multiLevelType w:val="multilevel"/>
    <w:tmpl w:val="41746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2BA64F3"/>
    <w:multiLevelType w:val="hybridMultilevel"/>
    <w:tmpl w:val="9CD076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4C4F19"/>
    <w:multiLevelType w:val="multilevel"/>
    <w:tmpl w:val="6AFA5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5224FA"/>
    <w:multiLevelType w:val="hybridMultilevel"/>
    <w:tmpl w:val="F558D0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322CC4"/>
    <w:multiLevelType w:val="multilevel"/>
    <w:tmpl w:val="336E6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9122AA"/>
    <w:multiLevelType w:val="multilevel"/>
    <w:tmpl w:val="F65CEA48"/>
    <w:lvl w:ilvl="0">
      <w:start w:val="4"/>
      <w:numFmt w:val="decimal"/>
      <w:lvlText w:val="%1"/>
      <w:lvlJc w:val="left"/>
      <w:pPr>
        <w:ind w:left="660" w:hanging="660"/>
      </w:pPr>
      <w:rPr>
        <w:rFonts w:hint="default"/>
      </w:rPr>
    </w:lvl>
    <w:lvl w:ilvl="1">
      <w:start w:val="3"/>
      <w:numFmt w:val="decimal"/>
      <w:lvlText w:val="%1.%2"/>
      <w:lvlJc w:val="left"/>
      <w:pPr>
        <w:ind w:left="660" w:hanging="660"/>
      </w:pPr>
      <w:rPr>
        <w:rFonts w:hint="default"/>
      </w:rPr>
    </w:lvl>
    <w:lvl w:ilvl="2">
      <w:start w:val="6"/>
      <w:numFmt w:val="decimal"/>
      <w:lvlText w:val="%1.%2.%3"/>
      <w:lvlJc w:val="left"/>
      <w:pPr>
        <w:ind w:left="720" w:hanging="720"/>
      </w:pPr>
      <w:rPr>
        <w:rFonts w:hint="default"/>
      </w:rPr>
    </w:lvl>
    <w:lvl w:ilvl="3">
      <w:start w:val="3"/>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EDD04C5"/>
    <w:multiLevelType w:val="multilevel"/>
    <w:tmpl w:val="556A2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CE77E4"/>
    <w:multiLevelType w:val="multilevel"/>
    <w:tmpl w:val="5C1AE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1A3341"/>
    <w:multiLevelType w:val="multilevel"/>
    <w:tmpl w:val="1C44A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911FCB"/>
    <w:multiLevelType w:val="hybridMultilevel"/>
    <w:tmpl w:val="BAB06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77523A"/>
    <w:multiLevelType w:val="multilevel"/>
    <w:tmpl w:val="73283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B1E241E"/>
    <w:multiLevelType w:val="hybridMultilevel"/>
    <w:tmpl w:val="805251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3F3AE4"/>
    <w:multiLevelType w:val="multilevel"/>
    <w:tmpl w:val="D62E3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BA0C65"/>
    <w:multiLevelType w:val="hybridMultilevel"/>
    <w:tmpl w:val="4FD27F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C71265"/>
    <w:multiLevelType w:val="multilevel"/>
    <w:tmpl w:val="C69CF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BE3F46"/>
    <w:multiLevelType w:val="multilevel"/>
    <w:tmpl w:val="58448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8247423">
    <w:abstractNumId w:val="2"/>
  </w:num>
  <w:num w:numId="2" w16cid:durableId="646787407">
    <w:abstractNumId w:val="19"/>
  </w:num>
  <w:num w:numId="3" w16cid:durableId="1589579050">
    <w:abstractNumId w:val="26"/>
  </w:num>
  <w:num w:numId="4" w16cid:durableId="255098097">
    <w:abstractNumId w:val="20"/>
  </w:num>
  <w:num w:numId="5" w16cid:durableId="1240485696">
    <w:abstractNumId w:val="7"/>
  </w:num>
  <w:num w:numId="6" w16cid:durableId="665865768">
    <w:abstractNumId w:val="5"/>
  </w:num>
  <w:num w:numId="7" w16cid:durableId="1199850678">
    <w:abstractNumId w:val="22"/>
  </w:num>
  <w:num w:numId="8" w16cid:durableId="136844897">
    <w:abstractNumId w:val="14"/>
  </w:num>
  <w:num w:numId="9" w16cid:durableId="1423989483">
    <w:abstractNumId w:val="17"/>
  </w:num>
  <w:num w:numId="10" w16cid:durableId="975063045">
    <w:abstractNumId w:val="24"/>
  </w:num>
  <w:num w:numId="11" w16cid:durableId="614601923">
    <w:abstractNumId w:val="11"/>
  </w:num>
  <w:num w:numId="12" w16cid:durableId="1809473575">
    <w:abstractNumId w:val="10"/>
  </w:num>
  <w:num w:numId="13" w16cid:durableId="56563119">
    <w:abstractNumId w:val="16"/>
  </w:num>
  <w:num w:numId="14" w16cid:durableId="1818258398">
    <w:abstractNumId w:val="6"/>
  </w:num>
  <w:num w:numId="15" w16cid:durableId="1890072719">
    <w:abstractNumId w:val="28"/>
  </w:num>
  <w:num w:numId="16" w16cid:durableId="183903837">
    <w:abstractNumId w:val="1"/>
  </w:num>
  <w:num w:numId="17" w16cid:durableId="828447955">
    <w:abstractNumId w:val="18"/>
  </w:num>
  <w:num w:numId="18" w16cid:durableId="1817144646">
    <w:abstractNumId w:val="25"/>
  </w:num>
  <w:num w:numId="19" w16cid:durableId="2093315799">
    <w:abstractNumId w:val="32"/>
  </w:num>
  <w:num w:numId="20" w16cid:durableId="806705253">
    <w:abstractNumId w:val="30"/>
  </w:num>
  <w:num w:numId="21" w16cid:durableId="326514909">
    <w:abstractNumId w:val="33"/>
  </w:num>
  <w:num w:numId="22" w16cid:durableId="322859423">
    <w:abstractNumId w:val="9"/>
  </w:num>
  <w:num w:numId="23" w16cid:durableId="1527866877">
    <w:abstractNumId w:val="15"/>
  </w:num>
  <w:num w:numId="24" w16cid:durableId="1072659809">
    <w:abstractNumId w:val="21"/>
  </w:num>
  <w:num w:numId="25" w16cid:durableId="1985815301">
    <w:abstractNumId w:val="12"/>
  </w:num>
  <w:num w:numId="26" w16cid:durableId="1519007379">
    <w:abstractNumId w:val="29"/>
  </w:num>
  <w:num w:numId="27" w16cid:durableId="1473059490">
    <w:abstractNumId w:val="31"/>
  </w:num>
  <w:num w:numId="28" w16cid:durableId="1827167415">
    <w:abstractNumId w:val="4"/>
  </w:num>
  <w:num w:numId="29" w16cid:durableId="1928222712">
    <w:abstractNumId w:val="0"/>
  </w:num>
  <w:num w:numId="30" w16cid:durableId="446243560">
    <w:abstractNumId w:val="27"/>
  </w:num>
  <w:num w:numId="31" w16cid:durableId="1785923917">
    <w:abstractNumId w:val="3"/>
  </w:num>
  <w:num w:numId="32" w16cid:durableId="1976594363">
    <w:abstractNumId w:val="13"/>
  </w:num>
  <w:num w:numId="33" w16cid:durableId="883953743">
    <w:abstractNumId w:val="23"/>
  </w:num>
  <w:num w:numId="34" w16cid:durableId="13552270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101"/>
    <w:rsid w:val="00002AD0"/>
    <w:rsid w:val="00023FAB"/>
    <w:rsid w:val="00026E95"/>
    <w:rsid w:val="00052FBD"/>
    <w:rsid w:val="0005440B"/>
    <w:rsid w:val="00067E5A"/>
    <w:rsid w:val="000C3835"/>
    <w:rsid w:val="000C6588"/>
    <w:rsid w:val="000C69F6"/>
    <w:rsid w:val="000C6B50"/>
    <w:rsid w:val="000D045B"/>
    <w:rsid w:val="000D3FEE"/>
    <w:rsid w:val="000D5D99"/>
    <w:rsid w:val="000D6CBB"/>
    <w:rsid w:val="000F0F63"/>
    <w:rsid w:val="000F4753"/>
    <w:rsid w:val="00112D80"/>
    <w:rsid w:val="00127471"/>
    <w:rsid w:val="00130586"/>
    <w:rsid w:val="0014243C"/>
    <w:rsid w:val="00142483"/>
    <w:rsid w:val="00157E5F"/>
    <w:rsid w:val="00157F01"/>
    <w:rsid w:val="00176F61"/>
    <w:rsid w:val="00185F48"/>
    <w:rsid w:val="0019190D"/>
    <w:rsid w:val="00192BA3"/>
    <w:rsid w:val="001975A3"/>
    <w:rsid w:val="001A4CB7"/>
    <w:rsid w:val="001A59F4"/>
    <w:rsid w:val="001A622A"/>
    <w:rsid w:val="001B1C43"/>
    <w:rsid w:val="001B5A2A"/>
    <w:rsid w:val="001B6210"/>
    <w:rsid w:val="001D5A34"/>
    <w:rsid w:val="0022214D"/>
    <w:rsid w:val="002231D6"/>
    <w:rsid w:val="002246C8"/>
    <w:rsid w:val="00240CAF"/>
    <w:rsid w:val="00247F79"/>
    <w:rsid w:val="0027100E"/>
    <w:rsid w:val="002906B1"/>
    <w:rsid w:val="002915E9"/>
    <w:rsid w:val="00294876"/>
    <w:rsid w:val="002A42EA"/>
    <w:rsid w:val="002A4D2B"/>
    <w:rsid w:val="002A4DB2"/>
    <w:rsid w:val="002B381B"/>
    <w:rsid w:val="002C6301"/>
    <w:rsid w:val="002C7E18"/>
    <w:rsid w:val="002D0F11"/>
    <w:rsid w:val="002E1BA2"/>
    <w:rsid w:val="002E387E"/>
    <w:rsid w:val="002F1D23"/>
    <w:rsid w:val="002F4328"/>
    <w:rsid w:val="003023E6"/>
    <w:rsid w:val="0031505C"/>
    <w:rsid w:val="00317D0B"/>
    <w:rsid w:val="00321494"/>
    <w:rsid w:val="00344A6B"/>
    <w:rsid w:val="00355E71"/>
    <w:rsid w:val="00364C60"/>
    <w:rsid w:val="0037149E"/>
    <w:rsid w:val="00380082"/>
    <w:rsid w:val="003B0614"/>
    <w:rsid w:val="003B0DA2"/>
    <w:rsid w:val="003C634B"/>
    <w:rsid w:val="003D2D03"/>
    <w:rsid w:val="003D31AA"/>
    <w:rsid w:val="003F4541"/>
    <w:rsid w:val="00422D4E"/>
    <w:rsid w:val="0044725C"/>
    <w:rsid w:val="004777A2"/>
    <w:rsid w:val="00497FD0"/>
    <w:rsid w:val="004B3567"/>
    <w:rsid w:val="004B7BCE"/>
    <w:rsid w:val="004C576C"/>
    <w:rsid w:val="005010BF"/>
    <w:rsid w:val="00511C3C"/>
    <w:rsid w:val="00553003"/>
    <w:rsid w:val="00570282"/>
    <w:rsid w:val="00586F98"/>
    <w:rsid w:val="00592FFD"/>
    <w:rsid w:val="0059655B"/>
    <w:rsid w:val="005A25B3"/>
    <w:rsid w:val="005A7E19"/>
    <w:rsid w:val="005D4123"/>
    <w:rsid w:val="005E25B8"/>
    <w:rsid w:val="005E2E58"/>
    <w:rsid w:val="005E35D7"/>
    <w:rsid w:val="005E45D3"/>
    <w:rsid w:val="006008B1"/>
    <w:rsid w:val="00610101"/>
    <w:rsid w:val="00613E86"/>
    <w:rsid w:val="0061647C"/>
    <w:rsid w:val="00625452"/>
    <w:rsid w:val="00626936"/>
    <w:rsid w:val="00631E94"/>
    <w:rsid w:val="0064229A"/>
    <w:rsid w:val="00650C77"/>
    <w:rsid w:val="0065347C"/>
    <w:rsid w:val="00653CD1"/>
    <w:rsid w:val="00670383"/>
    <w:rsid w:val="006A4827"/>
    <w:rsid w:val="006A6781"/>
    <w:rsid w:val="006F53C7"/>
    <w:rsid w:val="006F7DA7"/>
    <w:rsid w:val="00700725"/>
    <w:rsid w:val="00706D9B"/>
    <w:rsid w:val="00712DEE"/>
    <w:rsid w:val="00712FB5"/>
    <w:rsid w:val="007176B5"/>
    <w:rsid w:val="00723C0D"/>
    <w:rsid w:val="0073622E"/>
    <w:rsid w:val="007401FA"/>
    <w:rsid w:val="0074291C"/>
    <w:rsid w:val="007538C4"/>
    <w:rsid w:val="0075759C"/>
    <w:rsid w:val="007804E6"/>
    <w:rsid w:val="00787B07"/>
    <w:rsid w:val="0079454B"/>
    <w:rsid w:val="007C740E"/>
    <w:rsid w:val="007D2F3B"/>
    <w:rsid w:val="007F2AF0"/>
    <w:rsid w:val="0081298D"/>
    <w:rsid w:val="008306E7"/>
    <w:rsid w:val="008366F7"/>
    <w:rsid w:val="008415FB"/>
    <w:rsid w:val="00873A06"/>
    <w:rsid w:val="00885DAC"/>
    <w:rsid w:val="00894180"/>
    <w:rsid w:val="00897CD9"/>
    <w:rsid w:val="008C5086"/>
    <w:rsid w:val="008D1837"/>
    <w:rsid w:val="008D7430"/>
    <w:rsid w:val="008E4810"/>
    <w:rsid w:val="008F2EF0"/>
    <w:rsid w:val="008F5DC8"/>
    <w:rsid w:val="008F7F85"/>
    <w:rsid w:val="00906760"/>
    <w:rsid w:val="0091285C"/>
    <w:rsid w:val="00915C50"/>
    <w:rsid w:val="00927208"/>
    <w:rsid w:val="009306E4"/>
    <w:rsid w:val="00934AC9"/>
    <w:rsid w:val="00942661"/>
    <w:rsid w:val="0094530C"/>
    <w:rsid w:val="009551D4"/>
    <w:rsid w:val="00956E50"/>
    <w:rsid w:val="009661D6"/>
    <w:rsid w:val="00974AF9"/>
    <w:rsid w:val="00975A78"/>
    <w:rsid w:val="00981D66"/>
    <w:rsid w:val="00983D32"/>
    <w:rsid w:val="00990440"/>
    <w:rsid w:val="00991FE8"/>
    <w:rsid w:val="009950C6"/>
    <w:rsid w:val="009A405C"/>
    <w:rsid w:val="009C13C7"/>
    <w:rsid w:val="009C73D8"/>
    <w:rsid w:val="009F374E"/>
    <w:rsid w:val="00A0255C"/>
    <w:rsid w:val="00A126F2"/>
    <w:rsid w:val="00A25832"/>
    <w:rsid w:val="00A3645E"/>
    <w:rsid w:val="00A3689C"/>
    <w:rsid w:val="00A40345"/>
    <w:rsid w:val="00A926B7"/>
    <w:rsid w:val="00A95D87"/>
    <w:rsid w:val="00AA5C8F"/>
    <w:rsid w:val="00AE62FD"/>
    <w:rsid w:val="00AF053F"/>
    <w:rsid w:val="00AF06CF"/>
    <w:rsid w:val="00B239E7"/>
    <w:rsid w:val="00B32900"/>
    <w:rsid w:val="00B37D53"/>
    <w:rsid w:val="00B5677C"/>
    <w:rsid w:val="00B5753B"/>
    <w:rsid w:val="00B713F6"/>
    <w:rsid w:val="00B7187C"/>
    <w:rsid w:val="00B75759"/>
    <w:rsid w:val="00B8378D"/>
    <w:rsid w:val="00B86F80"/>
    <w:rsid w:val="00B91C97"/>
    <w:rsid w:val="00BA1E13"/>
    <w:rsid w:val="00BB468F"/>
    <w:rsid w:val="00BC4768"/>
    <w:rsid w:val="00BD5454"/>
    <w:rsid w:val="00BD69A5"/>
    <w:rsid w:val="00BD6D3F"/>
    <w:rsid w:val="00BE53E1"/>
    <w:rsid w:val="00C011A5"/>
    <w:rsid w:val="00C20D64"/>
    <w:rsid w:val="00C57C72"/>
    <w:rsid w:val="00C70072"/>
    <w:rsid w:val="00C77510"/>
    <w:rsid w:val="00C85AE5"/>
    <w:rsid w:val="00C93F06"/>
    <w:rsid w:val="00CC31A3"/>
    <w:rsid w:val="00CD1239"/>
    <w:rsid w:val="00CD51B8"/>
    <w:rsid w:val="00CE04B5"/>
    <w:rsid w:val="00CE6BFE"/>
    <w:rsid w:val="00D136F7"/>
    <w:rsid w:val="00D148B9"/>
    <w:rsid w:val="00D25AA2"/>
    <w:rsid w:val="00D32967"/>
    <w:rsid w:val="00D4422C"/>
    <w:rsid w:val="00D51363"/>
    <w:rsid w:val="00D609ED"/>
    <w:rsid w:val="00D632FC"/>
    <w:rsid w:val="00D66E11"/>
    <w:rsid w:val="00D722BA"/>
    <w:rsid w:val="00D91603"/>
    <w:rsid w:val="00D91670"/>
    <w:rsid w:val="00D96E32"/>
    <w:rsid w:val="00DA74E4"/>
    <w:rsid w:val="00DB0EE4"/>
    <w:rsid w:val="00DB403C"/>
    <w:rsid w:val="00DB7007"/>
    <w:rsid w:val="00DD1213"/>
    <w:rsid w:val="00DD578F"/>
    <w:rsid w:val="00DE00AD"/>
    <w:rsid w:val="00DE0D48"/>
    <w:rsid w:val="00DE4CD2"/>
    <w:rsid w:val="00E07EA3"/>
    <w:rsid w:val="00E1360C"/>
    <w:rsid w:val="00E24022"/>
    <w:rsid w:val="00E30447"/>
    <w:rsid w:val="00E3226C"/>
    <w:rsid w:val="00E66E2D"/>
    <w:rsid w:val="00E809ED"/>
    <w:rsid w:val="00EA061A"/>
    <w:rsid w:val="00EA0629"/>
    <w:rsid w:val="00EB28AA"/>
    <w:rsid w:val="00ED37FF"/>
    <w:rsid w:val="00ED7A93"/>
    <w:rsid w:val="00EE13DE"/>
    <w:rsid w:val="00EE1B8A"/>
    <w:rsid w:val="00F23860"/>
    <w:rsid w:val="00F248CA"/>
    <w:rsid w:val="00F273AB"/>
    <w:rsid w:val="00F3236A"/>
    <w:rsid w:val="00F4458A"/>
    <w:rsid w:val="00F46B98"/>
    <w:rsid w:val="00F54C3E"/>
    <w:rsid w:val="00F65CA7"/>
    <w:rsid w:val="00F8371C"/>
    <w:rsid w:val="00F85D58"/>
    <w:rsid w:val="00F93140"/>
    <w:rsid w:val="00F96FD0"/>
    <w:rsid w:val="00FA4851"/>
    <w:rsid w:val="00FC6C95"/>
    <w:rsid w:val="00FD4893"/>
    <w:rsid w:val="00FD6BD1"/>
    <w:rsid w:val="00FD6F38"/>
    <w:rsid w:val="00FE18A2"/>
    <w:rsid w:val="00FE4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0F48E"/>
  <w15:chartTrackingRefBased/>
  <w15:docId w15:val="{0A618776-8B3A-44A6-A6E4-5A4AB25FB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1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101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01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01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01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01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1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1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1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1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101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01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01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01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01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01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01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0101"/>
    <w:rPr>
      <w:rFonts w:eastAsiaTheme="majorEastAsia" w:cstheme="majorBidi"/>
      <w:color w:val="272727" w:themeColor="text1" w:themeTint="D8"/>
    </w:rPr>
  </w:style>
  <w:style w:type="paragraph" w:styleId="Title">
    <w:name w:val="Title"/>
    <w:basedOn w:val="Normal"/>
    <w:next w:val="Normal"/>
    <w:link w:val="TitleChar"/>
    <w:uiPriority w:val="10"/>
    <w:qFormat/>
    <w:rsid w:val="006101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01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01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01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101"/>
    <w:pPr>
      <w:spacing w:before="160"/>
      <w:jc w:val="center"/>
    </w:pPr>
    <w:rPr>
      <w:i/>
      <w:iCs/>
      <w:color w:val="404040" w:themeColor="text1" w:themeTint="BF"/>
    </w:rPr>
  </w:style>
  <w:style w:type="character" w:customStyle="1" w:styleId="QuoteChar">
    <w:name w:val="Quote Char"/>
    <w:basedOn w:val="DefaultParagraphFont"/>
    <w:link w:val="Quote"/>
    <w:uiPriority w:val="29"/>
    <w:rsid w:val="00610101"/>
    <w:rPr>
      <w:i/>
      <w:iCs/>
      <w:color w:val="404040" w:themeColor="text1" w:themeTint="BF"/>
    </w:rPr>
  </w:style>
  <w:style w:type="paragraph" w:styleId="ListParagraph">
    <w:name w:val="List Paragraph"/>
    <w:basedOn w:val="Normal"/>
    <w:uiPriority w:val="34"/>
    <w:qFormat/>
    <w:rsid w:val="00610101"/>
    <w:pPr>
      <w:ind w:left="720"/>
      <w:contextualSpacing/>
    </w:pPr>
  </w:style>
  <w:style w:type="character" w:styleId="IntenseEmphasis">
    <w:name w:val="Intense Emphasis"/>
    <w:basedOn w:val="DefaultParagraphFont"/>
    <w:uiPriority w:val="21"/>
    <w:qFormat/>
    <w:rsid w:val="00610101"/>
    <w:rPr>
      <w:i/>
      <w:iCs/>
      <w:color w:val="2F5496" w:themeColor="accent1" w:themeShade="BF"/>
    </w:rPr>
  </w:style>
  <w:style w:type="paragraph" w:styleId="IntenseQuote">
    <w:name w:val="Intense Quote"/>
    <w:basedOn w:val="Normal"/>
    <w:next w:val="Normal"/>
    <w:link w:val="IntenseQuoteChar"/>
    <w:uiPriority w:val="30"/>
    <w:qFormat/>
    <w:rsid w:val="006101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0101"/>
    <w:rPr>
      <w:i/>
      <w:iCs/>
      <w:color w:val="2F5496" w:themeColor="accent1" w:themeShade="BF"/>
    </w:rPr>
  </w:style>
  <w:style w:type="character" w:styleId="IntenseReference">
    <w:name w:val="Intense Reference"/>
    <w:basedOn w:val="DefaultParagraphFont"/>
    <w:uiPriority w:val="32"/>
    <w:qFormat/>
    <w:rsid w:val="00610101"/>
    <w:rPr>
      <w:b/>
      <w:bCs/>
      <w:smallCaps/>
      <w:color w:val="2F5496" w:themeColor="accent1" w:themeShade="BF"/>
      <w:spacing w:val="5"/>
    </w:rPr>
  </w:style>
  <w:style w:type="paragraph" w:styleId="NormalWeb">
    <w:name w:val="Normal (Web)"/>
    <w:basedOn w:val="Normal"/>
    <w:uiPriority w:val="99"/>
    <w:unhideWhenUsed/>
    <w:rsid w:val="006101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10101"/>
    <w:rPr>
      <w:b/>
      <w:bCs/>
    </w:rPr>
  </w:style>
  <w:style w:type="table" w:styleId="TableGrid">
    <w:name w:val="Table Grid"/>
    <w:basedOn w:val="TableNormal"/>
    <w:uiPriority w:val="59"/>
    <w:rsid w:val="00610101"/>
    <w:pPr>
      <w:spacing w:after="0" w:line="240" w:lineRule="auto"/>
    </w:pPr>
    <w:rPr>
      <w:rFonts w:eastAsiaTheme="minorEastAsia"/>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10101"/>
    <w:rPr>
      <w:i/>
      <w:iCs/>
    </w:rPr>
  </w:style>
  <w:style w:type="paragraph" w:styleId="Header">
    <w:name w:val="header"/>
    <w:basedOn w:val="Normal"/>
    <w:link w:val="HeaderChar"/>
    <w:uiPriority w:val="99"/>
    <w:unhideWhenUsed/>
    <w:rsid w:val="00B718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87C"/>
  </w:style>
  <w:style w:type="paragraph" w:styleId="Footer">
    <w:name w:val="footer"/>
    <w:basedOn w:val="Normal"/>
    <w:link w:val="FooterChar"/>
    <w:uiPriority w:val="99"/>
    <w:unhideWhenUsed/>
    <w:rsid w:val="00B718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87C"/>
  </w:style>
  <w:style w:type="character" w:styleId="Hyperlink">
    <w:name w:val="Hyperlink"/>
    <w:basedOn w:val="DefaultParagraphFont"/>
    <w:uiPriority w:val="99"/>
    <w:semiHidden/>
    <w:unhideWhenUsed/>
    <w:rsid w:val="007401FA"/>
    <w:rPr>
      <w:color w:val="0000FF"/>
      <w:u w:val="single"/>
    </w:rPr>
  </w:style>
  <w:style w:type="character" w:customStyle="1" w:styleId="whitespace-normal">
    <w:name w:val="whitespace-normal"/>
    <w:basedOn w:val="DefaultParagraphFont"/>
    <w:rsid w:val="00CE6BFE"/>
  </w:style>
  <w:style w:type="table" w:customStyle="1" w:styleId="TableGrid1">
    <w:name w:val="Table Grid1"/>
    <w:basedOn w:val="TableNormal"/>
    <w:next w:val="TableGrid"/>
    <w:uiPriority w:val="39"/>
    <w:rsid w:val="008D18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83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F83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702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2246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F7DA7"/>
    <w:rPr>
      <w:sz w:val="16"/>
      <w:szCs w:val="16"/>
    </w:rPr>
  </w:style>
  <w:style w:type="paragraph" w:styleId="CommentText">
    <w:name w:val="annotation text"/>
    <w:basedOn w:val="Normal"/>
    <w:link w:val="CommentTextChar"/>
    <w:uiPriority w:val="99"/>
    <w:semiHidden/>
    <w:unhideWhenUsed/>
    <w:rsid w:val="006F7DA7"/>
    <w:pPr>
      <w:spacing w:line="240" w:lineRule="auto"/>
    </w:pPr>
    <w:rPr>
      <w:sz w:val="20"/>
      <w:szCs w:val="20"/>
    </w:rPr>
  </w:style>
  <w:style w:type="character" w:customStyle="1" w:styleId="CommentTextChar">
    <w:name w:val="Comment Text Char"/>
    <w:basedOn w:val="DefaultParagraphFont"/>
    <w:link w:val="CommentText"/>
    <w:uiPriority w:val="99"/>
    <w:semiHidden/>
    <w:rsid w:val="006F7DA7"/>
    <w:rPr>
      <w:sz w:val="20"/>
      <w:szCs w:val="20"/>
    </w:rPr>
  </w:style>
  <w:style w:type="paragraph" w:styleId="CommentSubject">
    <w:name w:val="annotation subject"/>
    <w:basedOn w:val="CommentText"/>
    <w:next w:val="CommentText"/>
    <w:link w:val="CommentSubjectChar"/>
    <w:uiPriority w:val="99"/>
    <w:semiHidden/>
    <w:unhideWhenUsed/>
    <w:rsid w:val="006F7DA7"/>
    <w:rPr>
      <w:b/>
      <w:bCs/>
    </w:rPr>
  </w:style>
  <w:style w:type="character" w:customStyle="1" w:styleId="CommentSubjectChar">
    <w:name w:val="Comment Subject Char"/>
    <w:basedOn w:val="CommentTextChar"/>
    <w:link w:val="CommentSubject"/>
    <w:uiPriority w:val="99"/>
    <w:semiHidden/>
    <w:rsid w:val="006F7DA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hyperlink" Target="https://www.cqc.org.uk/publications/mental-health-act-monitoring" TargetMode="External"/><Relationship Id="rId26" Type="http://schemas.openxmlformats.org/officeDocument/2006/relationships/hyperlink" Target="https://www.england.nhs.uk/statistics/statistical-work-areas/mental-health-services" TargetMode="External"/><Relationship Id="rId39" Type="http://schemas.openxmlformats.org/officeDocument/2006/relationships/footer" Target="footer1.xml"/><Relationship Id="rId21" Type="http://schemas.openxmlformats.org/officeDocument/2006/relationships/hyperlink" Target="https://www.gov.uk/government/publications/mental-health-act-reform" TargetMode="External"/><Relationship Id="rId34" Type="http://schemas.openxmlformats.org/officeDocument/2006/relationships/hyperlink" Target="https://www.rcpsych.ac.uk/improving-care/ccqi/audit-and-quality-improvement/ei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ov.uk/government/statistics/mental-health-act-statistics-england" TargetMode="External"/><Relationship Id="rId29" Type="http://schemas.openxmlformats.org/officeDocument/2006/relationships/hyperlink" Target="https://www.nice.org.uk/guidance/ng19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hsconfed.org/publications/impact-integrated-care-systems" TargetMode="External"/><Relationship Id="rId32" Type="http://schemas.openxmlformats.org/officeDocument/2006/relationships/hyperlink" Target="https://www.niehs.nih.gov/research/resources/bioethics/whatis/index.cfm" TargetMode="External"/><Relationship Id="rId37" Type="http://schemas.openxmlformats.org/officeDocument/2006/relationships/hyperlink" Target="https://www.who.int/publications/i/item/9789240036703"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entalhealth.org.uk/publications/austerity-and-mental-health" TargetMode="External"/><Relationship Id="rId28" Type="http://schemas.openxmlformats.org/officeDocument/2006/relationships/hyperlink" Target="https://www.nice.org.uk/guidance/ng222" TargetMode="External"/><Relationship Id="rId36" Type="http://schemas.openxmlformats.org/officeDocument/2006/relationships/hyperlink" Target="https://www.gov.wales/together-for-mental-health" TargetMode="External"/><Relationship Id="rId10" Type="http://schemas.openxmlformats.org/officeDocument/2006/relationships/image" Target="media/image3.png"/><Relationship Id="rId19" Type="http://schemas.openxmlformats.org/officeDocument/2006/relationships/hyperlink" Target="https://www.gov.uk/government/publications/care-programme-approach" TargetMode="External"/><Relationship Id="rId31" Type="http://schemas.openxmlformats.org/officeDocument/2006/relationships/hyperlink" Target="https://www.england.nhs.uk/mental-health/adults/open-dialogu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kingsfund.org.uk/insight-and-analysis/long-reads/integrated-care-systems-explained" TargetMode="External"/><Relationship Id="rId27" Type="http://schemas.openxmlformats.org/officeDocument/2006/relationships/hyperlink" Target="https://www.england.nhs.uk/integratedcare/ics-design-framework" TargetMode="External"/><Relationship Id="rId30" Type="http://schemas.openxmlformats.org/officeDocument/2006/relationships/hyperlink" Target="https://www.oecd.org/health/mental-health-and-work-united-kingdom" TargetMode="External"/><Relationship Id="rId35" Type="http://schemas.openxmlformats.org/officeDocument/2006/relationships/hyperlink" Target="https://www.gov.scot/publications/mental-health-strategy-progress-repor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qc.org.uk/publications/mental-health-services-annual-report" TargetMode="External"/><Relationship Id="rId25" Type="http://schemas.openxmlformats.org/officeDocument/2006/relationships/hyperlink" Target="https://www.longtermplan.nhs.uk" TargetMode="External"/><Relationship Id="rId33" Type="http://schemas.openxmlformats.org/officeDocument/2006/relationships/hyperlink" Target="https://www.rcpsych.ac.uk/workforce" TargetMode="External"/><Relationship Id="rId38" Type="http://schemas.openxmlformats.org/officeDocument/2006/relationships/hyperlink" Target="https://www.who.int/news-room/fact-sheets/detail/schizophre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34976-524B-44EC-B6DC-D623E3B697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1865</TotalTime>
  <Pages>65</Pages>
  <Words>18342</Words>
  <Characters>104552</Characters>
  <Application>Microsoft Office Word</Application>
  <DocSecurity>0</DocSecurity>
  <Lines>871</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ARIF ULLAH</dc:creator>
  <cp:keywords/>
  <dc:description/>
  <cp:lastModifiedBy>MD ARIF ULLAH</cp:lastModifiedBy>
  <cp:revision>45</cp:revision>
  <dcterms:created xsi:type="dcterms:W3CDTF">2026-01-26T23:37:00Z</dcterms:created>
  <dcterms:modified xsi:type="dcterms:W3CDTF">2026-04-06T01:11:00Z</dcterms:modified>
</cp:coreProperties>
</file>