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7D5CD"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t>Evaluate the advantages and disadvantages of both a divisional structure and a matrix structure. Within the evaluation, you should include the reasons underpinning each structure. (AC 1.1)</w:t>
      </w:r>
    </w:p>
    <w:p w14:paraId="4DCF0B68" w14:textId="77777777" w:rsidR="00C67DF8" w:rsidRDefault="00C67DF8" w:rsidP="00BB14B6">
      <w:pPr>
        <w:spacing w:line="360" w:lineRule="auto"/>
        <w:jc w:val="both"/>
        <w:rPr>
          <w:rFonts w:ascii="Arial" w:hAnsi="Arial" w:cs="Arial"/>
          <w:b/>
          <w:bCs/>
          <w:u w:val="single"/>
        </w:rPr>
      </w:pPr>
    </w:p>
    <w:p w14:paraId="1D3EAEBA" w14:textId="77777777" w:rsidR="00C67DF8" w:rsidRDefault="00C67DF8" w:rsidP="00C67DF8">
      <w:pPr>
        <w:spacing w:line="360" w:lineRule="auto"/>
        <w:jc w:val="both"/>
        <w:rPr>
          <w:rFonts w:ascii="Arial" w:hAnsi="Arial" w:cs="Arial"/>
        </w:rPr>
      </w:pPr>
      <w:r>
        <w:rPr>
          <w:rFonts w:ascii="Arial" w:hAnsi="Arial" w:cs="Arial"/>
        </w:rPr>
        <w:t>The term structure in this context relates to how individuals within an organisation are formally organised into groups and structured into hierarchies, or not (Tingsager and Smith, 2022). Defining and constructing a structure is crucial for optimal organisational performance, otherwise organisations can slip into failure due to the impacts on working practice and culture (Tingsager and Smith, 2022). Structures are typically defined by whether they are hierarchical or non-hierarchical. Naturally, there are advantages and disadvantages to both, and the context where they’re most useful will depend on the type of organisation.</w:t>
      </w:r>
    </w:p>
    <w:p w14:paraId="08C1D09E" w14:textId="77777777" w:rsidR="00C67DF8" w:rsidRDefault="00C67DF8" w:rsidP="00C67DF8">
      <w:pPr>
        <w:spacing w:line="360" w:lineRule="auto"/>
        <w:jc w:val="both"/>
        <w:rPr>
          <w:rFonts w:ascii="Arial" w:hAnsi="Arial" w:cs="Arial"/>
        </w:rPr>
      </w:pPr>
    </w:p>
    <w:p w14:paraId="0E6CF5F9" w14:textId="77777777" w:rsidR="00C67DF8" w:rsidRDefault="00C67DF8" w:rsidP="00C67DF8">
      <w:pPr>
        <w:spacing w:line="360" w:lineRule="auto"/>
        <w:jc w:val="both"/>
        <w:rPr>
          <w:rFonts w:ascii="Arial" w:hAnsi="Arial" w:cs="Arial"/>
        </w:rPr>
      </w:pPr>
      <w:r>
        <w:rPr>
          <w:rFonts w:ascii="Arial" w:hAnsi="Arial" w:cs="Arial"/>
        </w:rPr>
        <w:t xml:space="preserve">A divisional structure is typically found in larger organisations and they often adapt/restructure to this model as they expand, either in terms of products and services or geographically (Tingsager and Smith, 2022). Each division is focused on delivering specific products and services or on a particular geography, and has its own functions, such as their own HR and IT departments (Tingsager and Smith, 2022). </w:t>
      </w:r>
    </w:p>
    <w:p w14:paraId="05250A42" w14:textId="77777777" w:rsidR="00C67DF8" w:rsidRDefault="00C67DF8" w:rsidP="00C67DF8">
      <w:pPr>
        <w:spacing w:line="360" w:lineRule="auto"/>
        <w:jc w:val="both"/>
        <w:rPr>
          <w:rFonts w:ascii="Arial" w:hAnsi="Arial" w:cs="Arial"/>
        </w:rPr>
      </w:pPr>
    </w:p>
    <w:p w14:paraId="79072D50" w14:textId="77777777" w:rsidR="00C67DF8" w:rsidRDefault="00C67DF8" w:rsidP="00C67DF8">
      <w:pPr>
        <w:spacing w:line="360" w:lineRule="auto"/>
        <w:jc w:val="both"/>
        <w:rPr>
          <w:rFonts w:ascii="Arial" w:hAnsi="Arial" w:cs="Arial"/>
        </w:rPr>
      </w:pPr>
      <w:r>
        <w:rPr>
          <w:rFonts w:ascii="Arial" w:hAnsi="Arial" w:cs="Arial"/>
        </w:rPr>
        <w:t>This structure allows a certain level of autonomy per division, which can help ensure faster decision making and better accountability for performance. Processes can be tailor-made according to the division, ultimately allowing for specialisation and greater output (Taylor and Ciachir, 2022). However, problems can arise due to a lack of standardised policies and practices across the organisation, such as unrest between employees due to perceived unfairness (Cotton, 2017a). Additionally, divisional structures are typically a victim to disconnected employees, as it’s unclear where the dictation is coming from and there is a sense of ‘us’ and ‘them’ (Tingsager and Smith, 2022).</w:t>
      </w:r>
    </w:p>
    <w:p w14:paraId="23623DC4" w14:textId="77777777" w:rsidR="00C67DF8" w:rsidRDefault="00C67DF8" w:rsidP="00C67DF8">
      <w:pPr>
        <w:spacing w:line="360" w:lineRule="auto"/>
        <w:jc w:val="both"/>
        <w:rPr>
          <w:rFonts w:ascii="Arial" w:hAnsi="Arial" w:cs="Arial"/>
        </w:rPr>
      </w:pPr>
    </w:p>
    <w:p w14:paraId="0AE84AAB" w14:textId="77777777" w:rsidR="00C67DF8" w:rsidRDefault="00C67DF8" w:rsidP="00C67DF8">
      <w:pPr>
        <w:spacing w:line="360" w:lineRule="auto"/>
        <w:jc w:val="both"/>
        <w:rPr>
          <w:rFonts w:ascii="Arial" w:hAnsi="Arial" w:cs="Arial"/>
        </w:rPr>
      </w:pPr>
      <w:r>
        <w:rPr>
          <w:rFonts w:ascii="Arial" w:hAnsi="Arial" w:cs="Arial"/>
        </w:rPr>
        <w:t>In contrast, a matrix structure is where two or more models of structures overlap, resulting in employees reporting to more than one line manager. For example, employees could report to a divisional manager as part of the hierarchical structure, alongside a project manager in relation to additional duties (Tingsager and Smith, 2022).</w:t>
      </w:r>
    </w:p>
    <w:p w14:paraId="0C853A05" w14:textId="77777777" w:rsidR="00C67DF8" w:rsidRDefault="00C67DF8" w:rsidP="00C67DF8">
      <w:pPr>
        <w:spacing w:line="360" w:lineRule="auto"/>
        <w:jc w:val="both"/>
        <w:rPr>
          <w:rFonts w:ascii="Arial" w:hAnsi="Arial" w:cs="Arial"/>
        </w:rPr>
      </w:pPr>
    </w:p>
    <w:p w14:paraId="6E0F989F" w14:textId="77777777" w:rsidR="00C67DF8" w:rsidRDefault="00C67DF8" w:rsidP="00C67DF8">
      <w:pPr>
        <w:spacing w:line="360" w:lineRule="auto"/>
        <w:jc w:val="both"/>
        <w:rPr>
          <w:rFonts w:ascii="Arial" w:hAnsi="Arial" w:cs="Arial"/>
        </w:rPr>
      </w:pPr>
      <w:r>
        <w:rPr>
          <w:rFonts w:ascii="Arial" w:hAnsi="Arial" w:cs="Arial"/>
        </w:rPr>
        <w:t>This model helps strengthen an organisation by making it more adaptable as it supports cross functional support and flexibility. Ultimately, this upskills the workforce and encourages a collaborative culture creating a dynamic and efficient working environment (Tingsager and Smith, 2022). Nevertheless, matrix structures can cause significant confusion and stress surrounding responsibilities, either due to conflicting guidance from managers or overwhelm of workload (Tingsager and Smith, 2022). If uncontrolled, employees can become inefficient which could lead to an increase of absenteeism linked to stress (Young, 2023).</w:t>
      </w:r>
    </w:p>
    <w:p w14:paraId="675EFE8D" w14:textId="77777777" w:rsidR="00C67DF8" w:rsidRDefault="00C67DF8" w:rsidP="00C67DF8">
      <w:pPr>
        <w:spacing w:line="360" w:lineRule="auto"/>
        <w:jc w:val="both"/>
        <w:rPr>
          <w:rFonts w:ascii="Arial" w:hAnsi="Arial" w:cs="Arial"/>
        </w:rPr>
      </w:pPr>
    </w:p>
    <w:p w14:paraId="42584B8D" w14:textId="77777777" w:rsidR="00C67DF8" w:rsidRDefault="00C67DF8" w:rsidP="00C67DF8">
      <w:pPr>
        <w:spacing w:line="360" w:lineRule="auto"/>
        <w:jc w:val="both"/>
        <w:rPr>
          <w:rFonts w:ascii="Arial" w:hAnsi="Arial" w:cs="Arial"/>
        </w:rPr>
      </w:pPr>
      <w:r>
        <w:rPr>
          <w:rFonts w:ascii="Arial" w:hAnsi="Arial" w:cs="Arial"/>
        </w:rPr>
        <w:t>It’s vital to recognise that all structures have disadvantages when not managed effectively. The role of HR as a function is to ensure these potentially risks are mitigated appropriately if and when needed.</w:t>
      </w:r>
    </w:p>
    <w:p w14:paraId="57817A53" w14:textId="77777777" w:rsidR="00C67DF8" w:rsidRDefault="00C67DF8" w:rsidP="00BB14B6">
      <w:pPr>
        <w:spacing w:line="360" w:lineRule="auto"/>
        <w:jc w:val="both"/>
        <w:rPr>
          <w:rFonts w:ascii="Arial" w:hAnsi="Arial" w:cs="Arial"/>
          <w:b/>
          <w:bCs/>
          <w:u w:val="single"/>
        </w:rPr>
      </w:pPr>
    </w:p>
    <w:p w14:paraId="5D792789" w14:textId="77777777" w:rsidR="00C67DF8" w:rsidRDefault="00C67DF8" w:rsidP="00BB14B6">
      <w:pPr>
        <w:spacing w:line="360" w:lineRule="auto"/>
        <w:jc w:val="both"/>
        <w:rPr>
          <w:rFonts w:ascii="Arial" w:hAnsi="Arial" w:cs="Arial"/>
          <w:b/>
          <w:bCs/>
          <w:u w:val="single"/>
        </w:rPr>
      </w:pPr>
    </w:p>
    <w:p w14:paraId="5BA316AD" w14:textId="77777777" w:rsidR="00C67DF8" w:rsidRDefault="00C67DF8" w:rsidP="00BB14B6">
      <w:pPr>
        <w:spacing w:line="360" w:lineRule="auto"/>
        <w:jc w:val="both"/>
        <w:rPr>
          <w:rFonts w:ascii="Arial" w:hAnsi="Arial" w:cs="Arial"/>
          <w:b/>
          <w:bCs/>
          <w:u w:val="single"/>
        </w:rPr>
      </w:pPr>
    </w:p>
    <w:p w14:paraId="7FD12FC0" w14:textId="77777777" w:rsidR="00C67DF8" w:rsidRDefault="00C67DF8" w:rsidP="00BB14B6">
      <w:pPr>
        <w:spacing w:line="360" w:lineRule="auto"/>
        <w:jc w:val="both"/>
        <w:rPr>
          <w:rFonts w:ascii="Arial" w:hAnsi="Arial" w:cs="Arial"/>
          <w:b/>
          <w:bCs/>
          <w:u w:val="single"/>
        </w:rPr>
      </w:pPr>
    </w:p>
    <w:p w14:paraId="0798854F" w14:textId="77777777" w:rsidR="00C67DF8" w:rsidRDefault="00C67DF8" w:rsidP="00BB14B6">
      <w:pPr>
        <w:spacing w:line="360" w:lineRule="auto"/>
        <w:jc w:val="both"/>
        <w:rPr>
          <w:rFonts w:ascii="Arial" w:hAnsi="Arial" w:cs="Arial"/>
          <w:b/>
          <w:bCs/>
          <w:u w:val="single"/>
        </w:rPr>
      </w:pPr>
    </w:p>
    <w:p w14:paraId="641A7721" w14:textId="77777777" w:rsidR="00C67DF8" w:rsidRDefault="00C67DF8" w:rsidP="00BB14B6">
      <w:pPr>
        <w:spacing w:line="360" w:lineRule="auto"/>
        <w:jc w:val="both"/>
        <w:rPr>
          <w:rFonts w:ascii="Arial" w:hAnsi="Arial" w:cs="Arial"/>
          <w:b/>
          <w:bCs/>
          <w:u w:val="single"/>
        </w:rPr>
      </w:pPr>
    </w:p>
    <w:p w14:paraId="02E8D351" w14:textId="77777777" w:rsidR="00C67DF8" w:rsidRDefault="00C67DF8" w:rsidP="00BB14B6">
      <w:pPr>
        <w:spacing w:line="360" w:lineRule="auto"/>
        <w:jc w:val="both"/>
        <w:rPr>
          <w:rFonts w:ascii="Arial" w:hAnsi="Arial" w:cs="Arial"/>
          <w:b/>
          <w:bCs/>
          <w:u w:val="single"/>
        </w:rPr>
      </w:pPr>
    </w:p>
    <w:p w14:paraId="3B8B243B" w14:textId="77777777" w:rsidR="00C67DF8" w:rsidRDefault="00C67DF8" w:rsidP="00BB14B6">
      <w:pPr>
        <w:spacing w:line="360" w:lineRule="auto"/>
        <w:jc w:val="both"/>
        <w:rPr>
          <w:rFonts w:ascii="Arial" w:hAnsi="Arial" w:cs="Arial"/>
          <w:b/>
          <w:bCs/>
          <w:u w:val="single"/>
        </w:rPr>
      </w:pPr>
    </w:p>
    <w:p w14:paraId="018A6F2A" w14:textId="77777777" w:rsidR="00C67DF8" w:rsidRDefault="00C67DF8" w:rsidP="00BB14B6">
      <w:pPr>
        <w:spacing w:line="360" w:lineRule="auto"/>
        <w:jc w:val="both"/>
        <w:rPr>
          <w:rFonts w:ascii="Arial" w:hAnsi="Arial" w:cs="Arial"/>
          <w:b/>
          <w:bCs/>
          <w:u w:val="single"/>
        </w:rPr>
      </w:pPr>
    </w:p>
    <w:p w14:paraId="7CEBD087" w14:textId="77777777" w:rsidR="00C67DF8" w:rsidRDefault="00C67DF8" w:rsidP="00BB14B6">
      <w:pPr>
        <w:spacing w:line="360" w:lineRule="auto"/>
        <w:jc w:val="both"/>
        <w:rPr>
          <w:rFonts w:ascii="Arial" w:hAnsi="Arial" w:cs="Arial"/>
          <w:b/>
          <w:bCs/>
          <w:u w:val="single"/>
        </w:rPr>
      </w:pPr>
    </w:p>
    <w:p w14:paraId="421707D7" w14:textId="77777777" w:rsidR="00C67DF8" w:rsidRDefault="00C67DF8" w:rsidP="00BB14B6">
      <w:pPr>
        <w:spacing w:line="360" w:lineRule="auto"/>
        <w:jc w:val="both"/>
        <w:rPr>
          <w:rFonts w:ascii="Arial" w:hAnsi="Arial" w:cs="Arial"/>
          <w:b/>
          <w:bCs/>
          <w:u w:val="single"/>
        </w:rPr>
      </w:pPr>
    </w:p>
    <w:p w14:paraId="4A38ABDC" w14:textId="77777777" w:rsidR="00C67DF8" w:rsidRDefault="00C67DF8" w:rsidP="00BB14B6">
      <w:pPr>
        <w:spacing w:line="360" w:lineRule="auto"/>
        <w:jc w:val="both"/>
        <w:rPr>
          <w:rFonts w:ascii="Arial" w:hAnsi="Arial" w:cs="Arial"/>
          <w:b/>
          <w:bCs/>
          <w:u w:val="single"/>
        </w:rPr>
      </w:pPr>
    </w:p>
    <w:p w14:paraId="793BFE63" w14:textId="77777777" w:rsidR="00C67DF8" w:rsidRDefault="00C67DF8" w:rsidP="00BB14B6">
      <w:pPr>
        <w:spacing w:line="360" w:lineRule="auto"/>
        <w:jc w:val="both"/>
        <w:rPr>
          <w:rFonts w:ascii="Arial" w:hAnsi="Arial" w:cs="Arial"/>
          <w:b/>
          <w:bCs/>
          <w:u w:val="single"/>
        </w:rPr>
      </w:pPr>
    </w:p>
    <w:p w14:paraId="13CAE167" w14:textId="77777777" w:rsidR="00C67DF8" w:rsidRDefault="00C67DF8" w:rsidP="00BB14B6">
      <w:pPr>
        <w:spacing w:line="360" w:lineRule="auto"/>
        <w:jc w:val="both"/>
        <w:rPr>
          <w:rFonts w:ascii="Arial" w:hAnsi="Arial" w:cs="Arial"/>
          <w:b/>
          <w:bCs/>
          <w:u w:val="single"/>
        </w:rPr>
      </w:pPr>
    </w:p>
    <w:p w14:paraId="561FA03A" w14:textId="77777777" w:rsidR="00C67DF8" w:rsidRDefault="00C67DF8" w:rsidP="00BB14B6">
      <w:pPr>
        <w:spacing w:line="360" w:lineRule="auto"/>
        <w:jc w:val="both"/>
        <w:rPr>
          <w:rFonts w:ascii="Arial" w:hAnsi="Arial" w:cs="Arial"/>
          <w:b/>
          <w:bCs/>
          <w:u w:val="single"/>
        </w:rPr>
      </w:pPr>
    </w:p>
    <w:p w14:paraId="00A3AE15" w14:textId="77777777" w:rsidR="00C67DF8" w:rsidRDefault="00C67DF8" w:rsidP="00BB14B6">
      <w:pPr>
        <w:spacing w:line="360" w:lineRule="auto"/>
        <w:jc w:val="both"/>
        <w:rPr>
          <w:rFonts w:ascii="Arial" w:hAnsi="Arial" w:cs="Arial"/>
          <w:b/>
          <w:bCs/>
          <w:u w:val="single"/>
        </w:rPr>
      </w:pPr>
    </w:p>
    <w:p w14:paraId="738C75C8" w14:textId="77777777" w:rsidR="00C67DF8" w:rsidRDefault="00C67DF8" w:rsidP="00BB14B6">
      <w:pPr>
        <w:spacing w:line="360" w:lineRule="auto"/>
        <w:jc w:val="both"/>
        <w:rPr>
          <w:rFonts w:ascii="Arial" w:hAnsi="Arial" w:cs="Arial"/>
          <w:b/>
          <w:bCs/>
          <w:u w:val="single"/>
        </w:rPr>
      </w:pPr>
    </w:p>
    <w:p w14:paraId="0F7E0301" w14:textId="77777777" w:rsidR="00C67DF8" w:rsidRPr="00BB14B6" w:rsidRDefault="00C67DF8" w:rsidP="00BB14B6">
      <w:pPr>
        <w:spacing w:line="360" w:lineRule="auto"/>
        <w:jc w:val="both"/>
        <w:rPr>
          <w:rFonts w:ascii="Arial" w:hAnsi="Arial" w:cs="Arial"/>
          <w:b/>
          <w:bCs/>
          <w:u w:val="single"/>
        </w:rPr>
      </w:pPr>
    </w:p>
    <w:p w14:paraId="7F2383CE" w14:textId="77777777" w:rsidR="00E94EC9" w:rsidRPr="00E94EC9" w:rsidRDefault="00E94EC9" w:rsidP="00E94EC9">
      <w:pPr>
        <w:spacing w:line="360" w:lineRule="auto"/>
        <w:jc w:val="both"/>
        <w:rPr>
          <w:rFonts w:ascii="Arial" w:hAnsi="Arial" w:cs="Arial"/>
          <w:b/>
          <w:bCs/>
          <w:u w:val="single"/>
        </w:rPr>
      </w:pPr>
    </w:p>
    <w:p w14:paraId="4DFA5D43"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Analyse the extent to which the organisational strategy in your organisation (or an organisation with which you are familiar) helps to ensure products or services meet customers’ needs. (AC 1.2)</w:t>
      </w:r>
    </w:p>
    <w:p w14:paraId="112A1F4A" w14:textId="77777777" w:rsidR="00F076E3" w:rsidRDefault="00F076E3" w:rsidP="00BB14B6">
      <w:pPr>
        <w:spacing w:line="360" w:lineRule="auto"/>
        <w:jc w:val="both"/>
        <w:rPr>
          <w:rFonts w:ascii="Arial" w:hAnsi="Arial" w:cs="Arial"/>
          <w:b/>
          <w:bCs/>
          <w:u w:val="single"/>
        </w:rPr>
      </w:pPr>
    </w:p>
    <w:p w14:paraId="4292FB26" w14:textId="77777777" w:rsidR="00F076E3" w:rsidRDefault="00F076E3" w:rsidP="00F076E3">
      <w:pPr>
        <w:spacing w:line="360" w:lineRule="auto"/>
        <w:jc w:val="both"/>
        <w:rPr>
          <w:rFonts w:ascii="Arial" w:hAnsi="Arial" w:cs="Arial"/>
        </w:rPr>
      </w:pPr>
      <w:r>
        <w:rPr>
          <w:rFonts w:ascii="Arial" w:hAnsi="Arial" w:cs="Arial"/>
        </w:rPr>
        <w:t xml:space="preserve">Strategy has many definitions, however, the underlying idea is that strategy surrounds an organisation’s goals and how they will be achieved (Tingsager and Smith, 2022). </w:t>
      </w:r>
    </w:p>
    <w:p w14:paraId="1BB9B9AC" w14:textId="77777777" w:rsidR="00F076E3" w:rsidRDefault="00F076E3" w:rsidP="00F076E3">
      <w:pPr>
        <w:spacing w:line="360" w:lineRule="auto"/>
        <w:jc w:val="both"/>
        <w:rPr>
          <w:rFonts w:ascii="Arial" w:hAnsi="Arial" w:cs="Arial"/>
        </w:rPr>
      </w:pPr>
    </w:p>
    <w:p w14:paraId="3F14BF4B" w14:textId="77777777" w:rsidR="00F076E3" w:rsidRDefault="00F076E3" w:rsidP="00F076E3">
      <w:pPr>
        <w:spacing w:line="360" w:lineRule="auto"/>
        <w:jc w:val="both"/>
        <w:rPr>
          <w:rFonts w:ascii="Arial" w:hAnsi="Arial" w:cs="Arial"/>
        </w:rPr>
      </w:pPr>
      <w:r>
        <w:rPr>
          <w:rFonts w:ascii="Arial" w:hAnsi="Arial" w:cs="Arial"/>
        </w:rPr>
        <w:t>Pembrokeshire County Council’s main strategy was finalised in 2023 and is entitled the ‘Future Workforce Plan’, with a goal to move from an evolutionary approach towards a strategic approach (Pembrokeshire County Council, 2023). In 2022, Pembrokeshire County Council were criticised by Audit Wales for a lack of clarity surrounding the vision for the workforce, employee engagement and fundamentally, a lack of strategy (Audit Wales, 2022). Evidently, the council took this into consideration when developing the FWP.</w:t>
      </w:r>
    </w:p>
    <w:p w14:paraId="19FB88D9" w14:textId="77777777" w:rsidR="00F076E3" w:rsidRDefault="00F076E3" w:rsidP="00F076E3">
      <w:pPr>
        <w:spacing w:line="360" w:lineRule="auto"/>
        <w:jc w:val="both"/>
        <w:rPr>
          <w:rFonts w:ascii="Arial" w:hAnsi="Arial" w:cs="Arial"/>
        </w:rPr>
      </w:pPr>
    </w:p>
    <w:p w14:paraId="61BDB62F" w14:textId="77777777" w:rsidR="00F076E3" w:rsidRDefault="00F076E3" w:rsidP="00F076E3">
      <w:pPr>
        <w:spacing w:line="360" w:lineRule="auto"/>
        <w:jc w:val="both"/>
        <w:rPr>
          <w:rFonts w:ascii="Arial" w:hAnsi="Arial" w:cs="Arial"/>
        </w:rPr>
      </w:pPr>
      <w:r>
        <w:rPr>
          <w:rFonts w:ascii="Arial" w:hAnsi="Arial" w:cs="Arial"/>
        </w:rPr>
        <w:t>Since the Audit (2022) took place, a new Head of HR has been appointed strengthening the capacity at senior level. Additionally, the HR manager role was reevaluated and redesigned into a HR/OD Business Partner with a focus on implementing and influencing strategy. Better capacity has enabled a plethora of initiatives to be developed, including the ‘Smarter Working in Transition and Change’ (SWiTCH) programme. SWiTCH helps mitigate redundancies and fill vacancies by matching and developing talent. Through active redeployment and development support, the Council have been able to redeploy employees into a suitable role, for example on medical grounds, ultimately protecting their workforce (Pembrokeshire County Council, 2023).</w:t>
      </w:r>
    </w:p>
    <w:p w14:paraId="4603229C" w14:textId="77777777" w:rsidR="00F076E3" w:rsidRDefault="00F076E3" w:rsidP="00F076E3">
      <w:pPr>
        <w:spacing w:line="360" w:lineRule="auto"/>
        <w:jc w:val="both"/>
        <w:rPr>
          <w:rFonts w:ascii="Arial" w:hAnsi="Arial" w:cs="Arial"/>
        </w:rPr>
      </w:pPr>
    </w:p>
    <w:p w14:paraId="015385FB" w14:textId="77777777" w:rsidR="00F076E3" w:rsidRDefault="00F076E3" w:rsidP="00F076E3">
      <w:pPr>
        <w:spacing w:line="360" w:lineRule="auto"/>
        <w:jc w:val="both"/>
        <w:rPr>
          <w:rFonts w:ascii="Arial" w:hAnsi="Arial" w:cs="Arial"/>
        </w:rPr>
      </w:pPr>
      <w:r w:rsidRPr="00460BEF">
        <w:rPr>
          <w:rFonts w:ascii="Arial" w:hAnsi="Arial" w:cs="Arial"/>
        </w:rPr>
        <w:t>A key focus of the FWP</w:t>
      </w:r>
      <w:r>
        <w:rPr>
          <w:rFonts w:ascii="Arial" w:hAnsi="Arial" w:cs="Arial"/>
        </w:rPr>
        <w:t xml:space="preserve"> is to address workforce shortages. Local Government experiences complex change rapidly and has been impacted by various external factors such as the pandemic and Brexit. The Council has developed a six-step strategy to assess the current workforce and their skill requirements versus what the Council needs to fulfil services in the future. The gap is analysed, and a clear, measurable plan is designed to manage the transition (Pembrokeshire County Council, 2023).</w:t>
      </w:r>
    </w:p>
    <w:p w14:paraId="7C479059" w14:textId="77777777" w:rsidR="00F076E3" w:rsidRDefault="00F076E3" w:rsidP="00F076E3">
      <w:pPr>
        <w:spacing w:line="360" w:lineRule="auto"/>
        <w:jc w:val="both"/>
        <w:rPr>
          <w:rFonts w:ascii="Arial" w:hAnsi="Arial" w:cs="Arial"/>
        </w:rPr>
      </w:pPr>
    </w:p>
    <w:p w14:paraId="60799FF1" w14:textId="77777777" w:rsidR="00F076E3" w:rsidRDefault="00F076E3" w:rsidP="00F076E3">
      <w:pPr>
        <w:spacing w:line="360" w:lineRule="auto"/>
        <w:jc w:val="both"/>
        <w:rPr>
          <w:rFonts w:ascii="Arial" w:hAnsi="Arial" w:cs="Arial"/>
        </w:rPr>
      </w:pPr>
      <w:r>
        <w:rPr>
          <w:rFonts w:ascii="Arial" w:hAnsi="Arial" w:cs="Arial"/>
        </w:rPr>
        <w:lastRenderedPageBreak/>
        <w:t>Strategies and policies can be curated to close to perfection. However, they must be embedded and brought to life by management to reap the benefits (Taylor and Ciachir, 2022). The council have prioritised this through their Leadership Development Programme, with a goal to embed culture and ensure new standards are discussed and role modelled in all service areas. This is a recognised successful method within research (Kim and Yoon, 2015).</w:t>
      </w:r>
    </w:p>
    <w:p w14:paraId="34F9BE49" w14:textId="77777777" w:rsidR="00F076E3" w:rsidRDefault="00F076E3" w:rsidP="00F076E3">
      <w:pPr>
        <w:spacing w:line="360" w:lineRule="auto"/>
        <w:jc w:val="both"/>
        <w:rPr>
          <w:rFonts w:ascii="Arial" w:hAnsi="Arial" w:cs="Arial"/>
        </w:rPr>
      </w:pPr>
    </w:p>
    <w:p w14:paraId="6C05D946" w14:textId="77777777" w:rsidR="00F076E3" w:rsidRPr="008472A0" w:rsidRDefault="00F076E3" w:rsidP="00F076E3">
      <w:pPr>
        <w:spacing w:line="360" w:lineRule="auto"/>
        <w:jc w:val="both"/>
        <w:rPr>
          <w:rFonts w:ascii="Arial" w:hAnsi="Arial" w:cs="Arial"/>
        </w:rPr>
      </w:pPr>
      <w:r>
        <w:rPr>
          <w:rFonts w:ascii="Arial" w:hAnsi="Arial" w:cs="Arial"/>
        </w:rPr>
        <w:t>Pembrokeshire County Council have established several initiatives with employees at their core, including the SWiTCH programme and pathways for residents of all backgrounds into employment (Pembrokeshire County Council, 2023). Whilst there’s always room for improvement, Pembrokeshire County Council have evidenced a great effort into addressing concerns, which have proven successful thus far.</w:t>
      </w:r>
    </w:p>
    <w:p w14:paraId="31486D39" w14:textId="77777777" w:rsidR="00F076E3" w:rsidRDefault="00F076E3" w:rsidP="00BB14B6">
      <w:pPr>
        <w:spacing w:line="360" w:lineRule="auto"/>
        <w:jc w:val="both"/>
        <w:rPr>
          <w:rFonts w:ascii="Arial" w:hAnsi="Arial" w:cs="Arial"/>
          <w:b/>
          <w:bCs/>
          <w:u w:val="single"/>
        </w:rPr>
      </w:pPr>
    </w:p>
    <w:p w14:paraId="7BA85A19" w14:textId="77777777" w:rsidR="00F076E3" w:rsidRDefault="00F076E3" w:rsidP="00BB14B6">
      <w:pPr>
        <w:spacing w:line="360" w:lineRule="auto"/>
        <w:jc w:val="both"/>
        <w:rPr>
          <w:rFonts w:ascii="Arial" w:hAnsi="Arial" w:cs="Arial"/>
          <w:b/>
          <w:bCs/>
          <w:u w:val="single"/>
        </w:rPr>
      </w:pPr>
    </w:p>
    <w:p w14:paraId="713F50AF" w14:textId="77777777" w:rsidR="00F076E3" w:rsidRDefault="00F076E3" w:rsidP="00BB14B6">
      <w:pPr>
        <w:spacing w:line="360" w:lineRule="auto"/>
        <w:jc w:val="both"/>
        <w:rPr>
          <w:rFonts w:ascii="Arial" w:hAnsi="Arial" w:cs="Arial"/>
          <w:b/>
          <w:bCs/>
          <w:u w:val="single"/>
        </w:rPr>
      </w:pPr>
    </w:p>
    <w:p w14:paraId="228F5583" w14:textId="77777777" w:rsidR="00F076E3" w:rsidRDefault="00F076E3" w:rsidP="00BB14B6">
      <w:pPr>
        <w:spacing w:line="360" w:lineRule="auto"/>
        <w:jc w:val="both"/>
        <w:rPr>
          <w:rFonts w:ascii="Arial" w:hAnsi="Arial" w:cs="Arial"/>
          <w:b/>
          <w:bCs/>
          <w:u w:val="single"/>
        </w:rPr>
      </w:pPr>
    </w:p>
    <w:p w14:paraId="240FC0D2" w14:textId="77777777" w:rsidR="00F076E3" w:rsidRDefault="00F076E3" w:rsidP="00BB14B6">
      <w:pPr>
        <w:spacing w:line="360" w:lineRule="auto"/>
        <w:jc w:val="both"/>
        <w:rPr>
          <w:rFonts w:ascii="Arial" w:hAnsi="Arial" w:cs="Arial"/>
          <w:b/>
          <w:bCs/>
          <w:u w:val="single"/>
        </w:rPr>
      </w:pPr>
    </w:p>
    <w:p w14:paraId="3CCEEC2E" w14:textId="77777777" w:rsidR="00F076E3" w:rsidRDefault="00F076E3" w:rsidP="00BB14B6">
      <w:pPr>
        <w:spacing w:line="360" w:lineRule="auto"/>
        <w:jc w:val="both"/>
        <w:rPr>
          <w:rFonts w:ascii="Arial" w:hAnsi="Arial" w:cs="Arial"/>
          <w:b/>
          <w:bCs/>
          <w:u w:val="single"/>
        </w:rPr>
      </w:pPr>
    </w:p>
    <w:p w14:paraId="78296E64" w14:textId="77777777" w:rsidR="00F076E3" w:rsidRDefault="00F076E3" w:rsidP="00BB14B6">
      <w:pPr>
        <w:spacing w:line="360" w:lineRule="auto"/>
        <w:jc w:val="both"/>
        <w:rPr>
          <w:rFonts w:ascii="Arial" w:hAnsi="Arial" w:cs="Arial"/>
          <w:b/>
          <w:bCs/>
          <w:u w:val="single"/>
        </w:rPr>
      </w:pPr>
    </w:p>
    <w:p w14:paraId="18664BB7" w14:textId="77777777" w:rsidR="00F076E3" w:rsidRDefault="00F076E3" w:rsidP="00BB14B6">
      <w:pPr>
        <w:spacing w:line="360" w:lineRule="auto"/>
        <w:jc w:val="both"/>
        <w:rPr>
          <w:rFonts w:ascii="Arial" w:hAnsi="Arial" w:cs="Arial"/>
          <w:b/>
          <w:bCs/>
          <w:u w:val="single"/>
        </w:rPr>
      </w:pPr>
    </w:p>
    <w:p w14:paraId="0F25D928" w14:textId="77777777" w:rsidR="00F076E3" w:rsidRDefault="00F076E3" w:rsidP="00BB14B6">
      <w:pPr>
        <w:spacing w:line="360" w:lineRule="auto"/>
        <w:jc w:val="both"/>
        <w:rPr>
          <w:rFonts w:ascii="Arial" w:hAnsi="Arial" w:cs="Arial"/>
          <w:b/>
          <w:bCs/>
          <w:u w:val="single"/>
        </w:rPr>
      </w:pPr>
    </w:p>
    <w:p w14:paraId="72671DF5" w14:textId="77777777" w:rsidR="00F076E3" w:rsidRDefault="00F076E3" w:rsidP="00BB14B6">
      <w:pPr>
        <w:spacing w:line="360" w:lineRule="auto"/>
        <w:jc w:val="both"/>
        <w:rPr>
          <w:rFonts w:ascii="Arial" w:hAnsi="Arial" w:cs="Arial"/>
          <w:b/>
          <w:bCs/>
          <w:u w:val="single"/>
        </w:rPr>
      </w:pPr>
    </w:p>
    <w:p w14:paraId="74119E66" w14:textId="77777777" w:rsidR="00F076E3" w:rsidRDefault="00F076E3" w:rsidP="00BB14B6">
      <w:pPr>
        <w:spacing w:line="360" w:lineRule="auto"/>
        <w:jc w:val="both"/>
        <w:rPr>
          <w:rFonts w:ascii="Arial" w:hAnsi="Arial" w:cs="Arial"/>
          <w:b/>
          <w:bCs/>
          <w:u w:val="single"/>
        </w:rPr>
      </w:pPr>
    </w:p>
    <w:p w14:paraId="2841BBAE" w14:textId="77777777" w:rsidR="00F076E3" w:rsidRDefault="00F076E3" w:rsidP="00BB14B6">
      <w:pPr>
        <w:spacing w:line="360" w:lineRule="auto"/>
        <w:jc w:val="both"/>
        <w:rPr>
          <w:rFonts w:ascii="Arial" w:hAnsi="Arial" w:cs="Arial"/>
          <w:b/>
          <w:bCs/>
          <w:u w:val="single"/>
        </w:rPr>
      </w:pPr>
    </w:p>
    <w:p w14:paraId="642331E3" w14:textId="77777777" w:rsidR="00F076E3" w:rsidRDefault="00F076E3" w:rsidP="00BB14B6">
      <w:pPr>
        <w:spacing w:line="360" w:lineRule="auto"/>
        <w:jc w:val="both"/>
        <w:rPr>
          <w:rFonts w:ascii="Arial" w:hAnsi="Arial" w:cs="Arial"/>
          <w:b/>
          <w:bCs/>
          <w:u w:val="single"/>
        </w:rPr>
      </w:pPr>
    </w:p>
    <w:p w14:paraId="1E8D6B36" w14:textId="77777777" w:rsidR="00F076E3" w:rsidRDefault="00F076E3" w:rsidP="00BB14B6">
      <w:pPr>
        <w:spacing w:line="360" w:lineRule="auto"/>
        <w:jc w:val="both"/>
        <w:rPr>
          <w:rFonts w:ascii="Arial" w:hAnsi="Arial" w:cs="Arial"/>
          <w:b/>
          <w:bCs/>
          <w:u w:val="single"/>
        </w:rPr>
      </w:pPr>
    </w:p>
    <w:p w14:paraId="463539C7" w14:textId="77777777" w:rsidR="00C67DF8" w:rsidRDefault="00C67DF8" w:rsidP="00BB14B6">
      <w:pPr>
        <w:spacing w:line="360" w:lineRule="auto"/>
        <w:jc w:val="both"/>
        <w:rPr>
          <w:rFonts w:ascii="Arial" w:hAnsi="Arial" w:cs="Arial"/>
          <w:b/>
          <w:bCs/>
          <w:u w:val="single"/>
        </w:rPr>
      </w:pPr>
    </w:p>
    <w:p w14:paraId="40E7E7CD" w14:textId="77777777" w:rsidR="00C67DF8" w:rsidRDefault="00C67DF8" w:rsidP="00BB14B6">
      <w:pPr>
        <w:spacing w:line="360" w:lineRule="auto"/>
        <w:jc w:val="both"/>
        <w:rPr>
          <w:rFonts w:ascii="Arial" w:hAnsi="Arial" w:cs="Arial"/>
          <w:b/>
          <w:bCs/>
          <w:u w:val="single"/>
        </w:rPr>
      </w:pPr>
    </w:p>
    <w:p w14:paraId="741BE70C" w14:textId="77777777" w:rsidR="00C67DF8" w:rsidRDefault="00C67DF8" w:rsidP="00BB14B6">
      <w:pPr>
        <w:spacing w:line="360" w:lineRule="auto"/>
        <w:jc w:val="both"/>
        <w:rPr>
          <w:rFonts w:ascii="Arial" w:hAnsi="Arial" w:cs="Arial"/>
          <w:b/>
          <w:bCs/>
          <w:u w:val="single"/>
        </w:rPr>
      </w:pPr>
    </w:p>
    <w:p w14:paraId="4382D879" w14:textId="77777777" w:rsidR="00F076E3" w:rsidRDefault="00F076E3" w:rsidP="00BB14B6">
      <w:pPr>
        <w:spacing w:line="360" w:lineRule="auto"/>
        <w:jc w:val="both"/>
        <w:rPr>
          <w:rFonts w:ascii="Arial" w:hAnsi="Arial" w:cs="Arial"/>
          <w:b/>
          <w:bCs/>
          <w:u w:val="single"/>
        </w:rPr>
      </w:pPr>
    </w:p>
    <w:p w14:paraId="54718D4B" w14:textId="77777777" w:rsidR="00F076E3" w:rsidRPr="00BB14B6" w:rsidRDefault="00F076E3" w:rsidP="00BB14B6">
      <w:pPr>
        <w:spacing w:line="360" w:lineRule="auto"/>
        <w:jc w:val="both"/>
        <w:rPr>
          <w:rFonts w:ascii="Arial" w:hAnsi="Arial" w:cs="Arial"/>
          <w:b/>
          <w:bCs/>
          <w:u w:val="single"/>
        </w:rPr>
      </w:pPr>
    </w:p>
    <w:p w14:paraId="773D7874" w14:textId="77777777" w:rsidR="00E94EC9" w:rsidRPr="00E94EC9" w:rsidRDefault="00E94EC9" w:rsidP="00E94EC9">
      <w:pPr>
        <w:spacing w:line="360" w:lineRule="auto"/>
        <w:jc w:val="both"/>
        <w:rPr>
          <w:rFonts w:ascii="Arial" w:hAnsi="Arial" w:cs="Arial"/>
          <w:b/>
          <w:bCs/>
          <w:u w:val="single"/>
        </w:rPr>
      </w:pPr>
    </w:p>
    <w:p w14:paraId="3E1FE633"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Analyse the current impact of interest rates, inflation and one other external factor on your organisation (or one with which you are familiar). Identify organisational priorities arising from your analysis. (AC 1.3)</w:t>
      </w:r>
    </w:p>
    <w:p w14:paraId="5E554CD0" w14:textId="77777777" w:rsidR="00F076E3" w:rsidRDefault="00F076E3" w:rsidP="00BB14B6">
      <w:pPr>
        <w:spacing w:line="360" w:lineRule="auto"/>
        <w:jc w:val="both"/>
        <w:rPr>
          <w:rFonts w:ascii="Arial" w:hAnsi="Arial" w:cs="Arial"/>
          <w:b/>
          <w:bCs/>
          <w:u w:val="single"/>
        </w:rPr>
      </w:pPr>
    </w:p>
    <w:p w14:paraId="74F204A4" w14:textId="77777777" w:rsidR="004C1B7B" w:rsidRPr="007203F1" w:rsidRDefault="004C1B7B" w:rsidP="004C1B7B">
      <w:pPr>
        <w:spacing w:line="360" w:lineRule="auto"/>
        <w:jc w:val="both"/>
        <w:rPr>
          <w:rFonts w:ascii="Arial" w:hAnsi="Arial" w:cs="Arial"/>
        </w:rPr>
      </w:pPr>
      <w:r>
        <w:rPr>
          <w:rFonts w:ascii="Arial" w:hAnsi="Arial" w:cs="Arial"/>
        </w:rPr>
        <w:t xml:space="preserve">Interest rates have skyrocketed in recent years, linked to unprecedented events such as the Pandemic. </w:t>
      </w:r>
      <w:r w:rsidRPr="007203F1">
        <w:rPr>
          <w:rFonts w:ascii="Arial" w:hAnsi="Arial" w:cs="Arial"/>
        </w:rPr>
        <w:t>Higher interest rates</w:t>
      </w:r>
      <w:r>
        <w:rPr>
          <w:rFonts w:ascii="Arial" w:hAnsi="Arial" w:cs="Arial"/>
        </w:rPr>
        <w:t xml:space="preserve"> have meant that debt repayments have been more expensive, leaving less money for other services. Ultimately, higher interest rates discourage the amount people spend, meaning that businesses can’t justify price increases. When the prices don’t increase, inflation can fall (Bank of England, 2025). Higher interest rates have impacted Pembrokeshire County Council, due to the associated higher cost with borrowing money needed for capital projects (Pembrokeshire County Council, 2025).</w:t>
      </w:r>
    </w:p>
    <w:p w14:paraId="03A903BD" w14:textId="77777777" w:rsidR="004C1B7B" w:rsidRDefault="004C1B7B" w:rsidP="004C1B7B">
      <w:pPr>
        <w:spacing w:line="360" w:lineRule="auto"/>
        <w:jc w:val="both"/>
        <w:rPr>
          <w:rFonts w:ascii="Arial" w:hAnsi="Arial" w:cs="Arial"/>
        </w:rPr>
      </w:pPr>
    </w:p>
    <w:p w14:paraId="06011C64" w14:textId="77777777" w:rsidR="004C1B7B" w:rsidRDefault="004C1B7B" w:rsidP="004C1B7B">
      <w:pPr>
        <w:spacing w:line="360" w:lineRule="auto"/>
        <w:jc w:val="both"/>
        <w:rPr>
          <w:rFonts w:ascii="Arial" w:hAnsi="Arial" w:cs="Arial"/>
        </w:rPr>
      </w:pPr>
      <w:r>
        <w:rPr>
          <w:rFonts w:ascii="Arial" w:hAnsi="Arial" w:cs="Arial"/>
        </w:rPr>
        <w:t>Inflation is correlated to interest rates and has been another critical concern for the authority. The Consumer Price Index (CPIH) is the most comprehensive measure of inflation, and this increased to 3.5% in December 2024 (ONS, 2025). Whilst this figure is half of the 9.6% peak in October 2022, inflation is still a pressing factor for the authority. Furthermore, the Council are facing a budget deficit of £34.1 million, a large portion directly impacted by inflation costs (Pembrokeshire County Council, 2025).</w:t>
      </w:r>
    </w:p>
    <w:p w14:paraId="73AADAAD" w14:textId="77777777" w:rsidR="004C1B7B" w:rsidRDefault="004C1B7B" w:rsidP="004C1B7B">
      <w:pPr>
        <w:spacing w:line="360" w:lineRule="auto"/>
        <w:jc w:val="both"/>
        <w:rPr>
          <w:rFonts w:ascii="Arial" w:hAnsi="Arial" w:cs="Arial"/>
        </w:rPr>
      </w:pPr>
    </w:p>
    <w:p w14:paraId="7C942172" w14:textId="77777777" w:rsidR="004C1B7B" w:rsidRDefault="004C1B7B" w:rsidP="004C1B7B">
      <w:pPr>
        <w:spacing w:line="360" w:lineRule="auto"/>
        <w:jc w:val="both"/>
        <w:rPr>
          <w:rFonts w:ascii="Arial" w:hAnsi="Arial" w:cs="Arial"/>
        </w:rPr>
      </w:pPr>
      <w:r>
        <w:rPr>
          <w:rFonts w:ascii="Arial" w:hAnsi="Arial" w:cs="Arial"/>
        </w:rPr>
        <w:t>Inflation is a double-edged sword, it directly impacts residents and employees through the increased cost of living, whilst also impacting the organisation forcing key services to suffer (Pembrokeshire County Council, 2025). Inflation fluctuates linked to economic shocks and unsurprisingly, the lasting effects of these shocks are still being felt by Pembrokeshire County Council.</w:t>
      </w:r>
    </w:p>
    <w:p w14:paraId="59D40354" w14:textId="77777777" w:rsidR="004C1B7B" w:rsidRDefault="004C1B7B" w:rsidP="004C1B7B">
      <w:pPr>
        <w:spacing w:line="360" w:lineRule="auto"/>
        <w:jc w:val="both"/>
        <w:rPr>
          <w:rFonts w:ascii="Arial" w:hAnsi="Arial" w:cs="Arial"/>
        </w:rPr>
      </w:pPr>
    </w:p>
    <w:p w14:paraId="3590A387" w14:textId="77777777" w:rsidR="004C1B7B" w:rsidRDefault="004C1B7B" w:rsidP="004C1B7B">
      <w:pPr>
        <w:spacing w:line="360" w:lineRule="auto"/>
        <w:jc w:val="both"/>
        <w:rPr>
          <w:rFonts w:ascii="Arial" w:hAnsi="Arial" w:cs="Arial"/>
        </w:rPr>
      </w:pPr>
      <w:r>
        <w:rPr>
          <w:rFonts w:ascii="Arial" w:hAnsi="Arial" w:cs="Arial"/>
        </w:rPr>
        <w:t xml:space="preserve">The labour shortage is massively impacting the authority, resulting in huge expenditure on agency staff (Pembrokeshire County Council, 2023). Within the public sector, wages are difficult to make competitive, therefore other initiatives are relied on (Boys, 2024). 42% of public sector organisations still have hard to fill vacancies, particularly in areas such as Education and Social Care, relevant Pembrokeshire County Council (Cockett, 2024). However, public sector employment confidence has returned to positive (Cockett, 2024). This doesn’t appear to feel relevant to Pembrokeshire County </w:t>
      </w:r>
      <w:r>
        <w:rPr>
          <w:rFonts w:ascii="Arial" w:hAnsi="Arial" w:cs="Arial"/>
        </w:rPr>
        <w:lastRenderedPageBreak/>
        <w:t>Council yet, as initiatives such as ‘golden hello payments’ are being exhausted, although it’s promising for the near future.</w:t>
      </w:r>
    </w:p>
    <w:p w14:paraId="08DE4F1C" w14:textId="77777777" w:rsidR="004C1B7B" w:rsidRDefault="004C1B7B" w:rsidP="004C1B7B">
      <w:pPr>
        <w:spacing w:line="360" w:lineRule="auto"/>
        <w:jc w:val="both"/>
        <w:rPr>
          <w:rFonts w:ascii="Arial" w:hAnsi="Arial" w:cs="Arial"/>
        </w:rPr>
      </w:pPr>
    </w:p>
    <w:p w14:paraId="538D8936" w14:textId="77777777" w:rsidR="004C1B7B" w:rsidRDefault="004C1B7B" w:rsidP="004C1B7B">
      <w:pPr>
        <w:spacing w:line="360" w:lineRule="auto"/>
        <w:jc w:val="both"/>
        <w:rPr>
          <w:rFonts w:ascii="Arial" w:hAnsi="Arial" w:cs="Arial"/>
        </w:rPr>
      </w:pPr>
      <w:r>
        <w:rPr>
          <w:rFonts w:ascii="Arial" w:hAnsi="Arial" w:cs="Arial"/>
        </w:rPr>
        <w:t>Whilst all three factors are of great importance, inflation is the most pressing factor for the Council currently. As a public organisation, Pembrokeshire County Council’s customers are both residents and employees. Increasing council tax is one of the few feasible options for the Council to reduce their funding gap (Pembrokeshire County Council, 2025). This is an extremely sensitive topic for residents, given the personal impacts of inflation and the cost-of-living crisis. Interest rates are impacted due to inflation, therefore with inflation lessening, interest rates will follow. Whilst shortage of labour is currently causing a huge cost, figures imply that we are heading in a more positive direction (Cockett, 2024).</w:t>
      </w:r>
    </w:p>
    <w:p w14:paraId="44F78F88" w14:textId="77777777" w:rsidR="00F076E3" w:rsidRDefault="00F076E3" w:rsidP="00BB14B6">
      <w:pPr>
        <w:spacing w:line="360" w:lineRule="auto"/>
        <w:jc w:val="both"/>
        <w:rPr>
          <w:rFonts w:ascii="Arial" w:hAnsi="Arial" w:cs="Arial"/>
          <w:b/>
          <w:bCs/>
          <w:u w:val="single"/>
        </w:rPr>
      </w:pPr>
    </w:p>
    <w:p w14:paraId="02AEA39D" w14:textId="77777777" w:rsidR="00F076E3" w:rsidRDefault="00F076E3" w:rsidP="00BB14B6">
      <w:pPr>
        <w:spacing w:line="360" w:lineRule="auto"/>
        <w:jc w:val="both"/>
        <w:rPr>
          <w:rFonts w:ascii="Arial" w:hAnsi="Arial" w:cs="Arial"/>
          <w:b/>
          <w:bCs/>
          <w:u w:val="single"/>
        </w:rPr>
      </w:pPr>
    </w:p>
    <w:p w14:paraId="7BF91BAE" w14:textId="77777777" w:rsidR="00F076E3" w:rsidRDefault="00F076E3" w:rsidP="00BB14B6">
      <w:pPr>
        <w:spacing w:line="360" w:lineRule="auto"/>
        <w:jc w:val="both"/>
        <w:rPr>
          <w:rFonts w:ascii="Arial" w:hAnsi="Arial" w:cs="Arial"/>
          <w:b/>
          <w:bCs/>
          <w:u w:val="single"/>
        </w:rPr>
      </w:pPr>
    </w:p>
    <w:p w14:paraId="25F99EED" w14:textId="77777777" w:rsidR="00F076E3" w:rsidRDefault="00F076E3" w:rsidP="00BB14B6">
      <w:pPr>
        <w:spacing w:line="360" w:lineRule="auto"/>
        <w:jc w:val="both"/>
        <w:rPr>
          <w:rFonts w:ascii="Arial" w:hAnsi="Arial" w:cs="Arial"/>
          <w:b/>
          <w:bCs/>
          <w:u w:val="single"/>
        </w:rPr>
      </w:pPr>
    </w:p>
    <w:p w14:paraId="23FD5957" w14:textId="77777777" w:rsidR="00F076E3" w:rsidRDefault="00F076E3" w:rsidP="00BB14B6">
      <w:pPr>
        <w:spacing w:line="360" w:lineRule="auto"/>
        <w:jc w:val="both"/>
        <w:rPr>
          <w:rFonts w:ascii="Arial" w:hAnsi="Arial" w:cs="Arial"/>
          <w:b/>
          <w:bCs/>
          <w:u w:val="single"/>
        </w:rPr>
      </w:pPr>
    </w:p>
    <w:p w14:paraId="79F7B736" w14:textId="77777777" w:rsidR="00F076E3" w:rsidRDefault="00F076E3" w:rsidP="00BB14B6">
      <w:pPr>
        <w:spacing w:line="360" w:lineRule="auto"/>
        <w:jc w:val="both"/>
        <w:rPr>
          <w:rFonts w:ascii="Arial" w:hAnsi="Arial" w:cs="Arial"/>
          <w:b/>
          <w:bCs/>
          <w:u w:val="single"/>
        </w:rPr>
      </w:pPr>
    </w:p>
    <w:p w14:paraId="3F9A6DE7" w14:textId="77777777" w:rsidR="00F076E3" w:rsidRDefault="00F076E3" w:rsidP="00BB14B6">
      <w:pPr>
        <w:spacing w:line="360" w:lineRule="auto"/>
        <w:jc w:val="both"/>
        <w:rPr>
          <w:rFonts w:ascii="Arial" w:hAnsi="Arial" w:cs="Arial"/>
          <w:b/>
          <w:bCs/>
          <w:u w:val="single"/>
        </w:rPr>
      </w:pPr>
    </w:p>
    <w:p w14:paraId="4ACDEB0A" w14:textId="77777777" w:rsidR="00F076E3" w:rsidRDefault="00F076E3" w:rsidP="00BB14B6">
      <w:pPr>
        <w:spacing w:line="360" w:lineRule="auto"/>
        <w:jc w:val="both"/>
        <w:rPr>
          <w:rFonts w:ascii="Arial" w:hAnsi="Arial" w:cs="Arial"/>
          <w:b/>
          <w:bCs/>
          <w:u w:val="single"/>
        </w:rPr>
      </w:pPr>
    </w:p>
    <w:p w14:paraId="27BAAB80" w14:textId="77777777" w:rsidR="00F076E3" w:rsidRDefault="00F076E3" w:rsidP="00BB14B6">
      <w:pPr>
        <w:spacing w:line="360" w:lineRule="auto"/>
        <w:jc w:val="both"/>
        <w:rPr>
          <w:rFonts w:ascii="Arial" w:hAnsi="Arial" w:cs="Arial"/>
          <w:b/>
          <w:bCs/>
          <w:u w:val="single"/>
        </w:rPr>
      </w:pPr>
    </w:p>
    <w:p w14:paraId="4D0CAE2A" w14:textId="77777777" w:rsidR="00F076E3" w:rsidRDefault="00F076E3" w:rsidP="00BB14B6">
      <w:pPr>
        <w:spacing w:line="360" w:lineRule="auto"/>
        <w:jc w:val="both"/>
        <w:rPr>
          <w:rFonts w:ascii="Arial" w:hAnsi="Arial" w:cs="Arial"/>
          <w:b/>
          <w:bCs/>
          <w:u w:val="single"/>
        </w:rPr>
      </w:pPr>
    </w:p>
    <w:p w14:paraId="7909DBED" w14:textId="77777777" w:rsidR="00F076E3" w:rsidRDefault="00F076E3" w:rsidP="00BB14B6">
      <w:pPr>
        <w:spacing w:line="360" w:lineRule="auto"/>
        <w:jc w:val="both"/>
        <w:rPr>
          <w:rFonts w:ascii="Arial" w:hAnsi="Arial" w:cs="Arial"/>
          <w:b/>
          <w:bCs/>
          <w:u w:val="single"/>
        </w:rPr>
      </w:pPr>
    </w:p>
    <w:p w14:paraId="65153333" w14:textId="77777777" w:rsidR="00F076E3" w:rsidRDefault="00F076E3" w:rsidP="00BB14B6">
      <w:pPr>
        <w:spacing w:line="360" w:lineRule="auto"/>
        <w:jc w:val="both"/>
        <w:rPr>
          <w:rFonts w:ascii="Arial" w:hAnsi="Arial" w:cs="Arial"/>
          <w:b/>
          <w:bCs/>
          <w:u w:val="single"/>
        </w:rPr>
      </w:pPr>
    </w:p>
    <w:p w14:paraId="0F27C654" w14:textId="77777777" w:rsidR="00F076E3" w:rsidRDefault="00F076E3" w:rsidP="00BB14B6">
      <w:pPr>
        <w:spacing w:line="360" w:lineRule="auto"/>
        <w:jc w:val="both"/>
        <w:rPr>
          <w:rFonts w:ascii="Arial" w:hAnsi="Arial" w:cs="Arial"/>
          <w:b/>
          <w:bCs/>
          <w:u w:val="single"/>
        </w:rPr>
      </w:pPr>
    </w:p>
    <w:p w14:paraId="353E734E" w14:textId="77777777" w:rsidR="00F076E3" w:rsidRDefault="00F076E3" w:rsidP="00BB14B6">
      <w:pPr>
        <w:spacing w:line="360" w:lineRule="auto"/>
        <w:jc w:val="both"/>
        <w:rPr>
          <w:rFonts w:ascii="Arial" w:hAnsi="Arial" w:cs="Arial"/>
          <w:b/>
          <w:bCs/>
          <w:u w:val="single"/>
        </w:rPr>
      </w:pPr>
    </w:p>
    <w:p w14:paraId="49F3A4DA" w14:textId="77777777" w:rsidR="00F076E3" w:rsidRDefault="00F076E3" w:rsidP="00BB14B6">
      <w:pPr>
        <w:spacing w:line="360" w:lineRule="auto"/>
        <w:jc w:val="both"/>
        <w:rPr>
          <w:rFonts w:ascii="Arial" w:hAnsi="Arial" w:cs="Arial"/>
          <w:b/>
          <w:bCs/>
          <w:u w:val="single"/>
        </w:rPr>
      </w:pPr>
    </w:p>
    <w:p w14:paraId="09227B08" w14:textId="77777777" w:rsidR="00F076E3" w:rsidRDefault="00F076E3" w:rsidP="00BB14B6">
      <w:pPr>
        <w:spacing w:line="360" w:lineRule="auto"/>
        <w:jc w:val="both"/>
        <w:rPr>
          <w:rFonts w:ascii="Arial" w:hAnsi="Arial" w:cs="Arial"/>
          <w:b/>
          <w:bCs/>
          <w:u w:val="single"/>
        </w:rPr>
      </w:pPr>
    </w:p>
    <w:p w14:paraId="64A3A87B" w14:textId="77777777" w:rsidR="00F076E3" w:rsidRDefault="00F076E3" w:rsidP="00BB14B6">
      <w:pPr>
        <w:spacing w:line="360" w:lineRule="auto"/>
        <w:jc w:val="both"/>
        <w:rPr>
          <w:rFonts w:ascii="Arial" w:hAnsi="Arial" w:cs="Arial"/>
          <w:b/>
          <w:bCs/>
          <w:u w:val="single"/>
        </w:rPr>
      </w:pPr>
    </w:p>
    <w:p w14:paraId="4A89ACC8" w14:textId="77777777" w:rsidR="00F076E3" w:rsidRDefault="00F076E3" w:rsidP="00BB14B6">
      <w:pPr>
        <w:spacing w:line="360" w:lineRule="auto"/>
        <w:jc w:val="both"/>
        <w:rPr>
          <w:rFonts w:ascii="Arial" w:hAnsi="Arial" w:cs="Arial"/>
          <w:b/>
          <w:bCs/>
          <w:u w:val="single"/>
        </w:rPr>
      </w:pPr>
    </w:p>
    <w:p w14:paraId="5327AD39" w14:textId="77777777" w:rsidR="00F076E3" w:rsidRDefault="00F076E3" w:rsidP="00BB14B6">
      <w:pPr>
        <w:spacing w:line="360" w:lineRule="auto"/>
        <w:jc w:val="both"/>
        <w:rPr>
          <w:rFonts w:ascii="Arial" w:hAnsi="Arial" w:cs="Arial"/>
          <w:b/>
          <w:bCs/>
          <w:u w:val="single"/>
        </w:rPr>
      </w:pPr>
    </w:p>
    <w:p w14:paraId="45B34023" w14:textId="77777777" w:rsidR="00F076E3" w:rsidRDefault="00F076E3" w:rsidP="00BB14B6">
      <w:pPr>
        <w:spacing w:line="360" w:lineRule="auto"/>
        <w:jc w:val="both"/>
        <w:rPr>
          <w:rFonts w:ascii="Arial" w:hAnsi="Arial" w:cs="Arial"/>
          <w:b/>
          <w:bCs/>
          <w:u w:val="single"/>
        </w:rPr>
      </w:pPr>
    </w:p>
    <w:p w14:paraId="6F171EB5" w14:textId="77777777" w:rsidR="00F076E3" w:rsidRDefault="00F076E3" w:rsidP="00BB14B6">
      <w:pPr>
        <w:spacing w:line="360" w:lineRule="auto"/>
        <w:jc w:val="both"/>
        <w:rPr>
          <w:rFonts w:ascii="Arial" w:hAnsi="Arial" w:cs="Arial"/>
          <w:b/>
          <w:bCs/>
          <w:u w:val="single"/>
        </w:rPr>
      </w:pPr>
    </w:p>
    <w:p w14:paraId="7C675858" w14:textId="77777777" w:rsidR="00E94EC9" w:rsidRPr="00E94EC9" w:rsidRDefault="00E94EC9" w:rsidP="00E94EC9">
      <w:pPr>
        <w:spacing w:line="360" w:lineRule="auto"/>
        <w:jc w:val="both"/>
        <w:rPr>
          <w:rFonts w:ascii="Arial" w:hAnsi="Arial" w:cs="Arial"/>
          <w:b/>
          <w:bCs/>
          <w:u w:val="single"/>
        </w:rPr>
      </w:pPr>
    </w:p>
    <w:p w14:paraId="1B13B523"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In February 2024, Peter Cheese, current CEO of CIPD stated, “</w:t>
      </w:r>
      <w:r w:rsidRPr="00BB14B6">
        <w:rPr>
          <w:rFonts w:ascii="Arial" w:hAnsi="Arial" w:cs="Arial"/>
          <w:b/>
          <w:bCs/>
          <w:i/>
          <w:iCs/>
          <w:u w:val="single"/>
        </w:rPr>
        <w:t>AI is transforming jobs, careers and workplaces. People professionals have a key role to play in encouraging safe experimentation and rapid learning, so that we can reap the benefits and mitigate the risks</w:t>
      </w:r>
      <w:r w:rsidRPr="00BB14B6">
        <w:rPr>
          <w:rFonts w:ascii="Arial" w:hAnsi="Arial" w:cs="Arial"/>
          <w:b/>
          <w:bCs/>
          <w:u w:val="single"/>
        </w:rPr>
        <w:t>.” Assess the extent that AI is, or could be, used in your organisation (or an organisation with which you are familiar) and assess how AI impacts work. (AC 1.4)</w:t>
      </w:r>
    </w:p>
    <w:p w14:paraId="3CF84855" w14:textId="77777777" w:rsidR="00F076E3" w:rsidRDefault="00F076E3" w:rsidP="00BB14B6">
      <w:pPr>
        <w:spacing w:line="360" w:lineRule="auto"/>
        <w:jc w:val="both"/>
        <w:rPr>
          <w:rFonts w:ascii="Arial" w:hAnsi="Arial" w:cs="Arial"/>
          <w:b/>
          <w:bCs/>
          <w:u w:val="single"/>
        </w:rPr>
      </w:pPr>
    </w:p>
    <w:p w14:paraId="3582226F" w14:textId="1A8D5960" w:rsidR="00AD1386" w:rsidRDefault="00BA6187" w:rsidP="00BA6187">
      <w:pPr>
        <w:spacing w:line="360" w:lineRule="auto"/>
        <w:jc w:val="both"/>
        <w:rPr>
          <w:rFonts w:ascii="Arial" w:hAnsi="Arial" w:cs="Arial"/>
        </w:rPr>
      </w:pPr>
      <w:r>
        <w:rPr>
          <w:rFonts w:ascii="Arial" w:hAnsi="Arial" w:cs="Arial"/>
        </w:rPr>
        <w:t xml:space="preserve">Artificial </w:t>
      </w:r>
      <w:r w:rsidR="00AD1386">
        <w:rPr>
          <w:rFonts w:ascii="Arial" w:hAnsi="Arial" w:cs="Arial"/>
        </w:rPr>
        <w:t>I</w:t>
      </w:r>
      <w:r>
        <w:rPr>
          <w:rFonts w:ascii="Arial" w:hAnsi="Arial" w:cs="Arial"/>
        </w:rPr>
        <w:t xml:space="preserve">ntelligence </w:t>
      </w:r>
      <w:r w:rsidR="00AD1386">
        <w:rPr>
          <w:rFonts w:ascii="Arial" w:hAnsi="Arial" w:cs="Arial"/>
        </w:rPr>
        <w:t xml:space="preserve">(AI) </w:t>
      </w:r>
      <w:r>
        <w:rPr>
          <w:rFonts w:ascii="Arial" w:hAnsi="Arial" w:cs="Arial"/>
        </w:rPr>
        <w:t>has</w:t>
      </w:r>
      <w:r w:rsidR="00AD1386">
        <w:rPr>
          <w:rFonts w:ascii="Arial" w:hAnsi="Arial" w:cs="Arial"/>
        </w:rPr>
        <w:t xml:space="preserve"> grown exponentially in recent years.</w:t>
      </w:r>
      <w:r w:rsidR="00291D4C">
        <w:rPr>
          <w:rFonts w:ascii="Arial" w:hAnsi="Arial" w:cs="Arial"/>
        </w:rPr>
        <w:t xml:space="preserve"> </w:t>
      </w:r>
      <w:r w:rsidR="00AD1386">
        <w:rPr>
          <w:rFonts w:ascii="Arial" w:hAnsi="Arial" w:cs="Arial"/>
        </w:rPr>
        <w:t>Naturally, concern has been raised by researchers surrounding the involvement of AI in the HR profession.</w:t>
      </w:r>
      <w:r w:rsidR="00E6282F">
        <w:rPr>
          <w:rFonts w:ascii="Arial" w:hAnsi="Arial" w:cs="Arial"/>
        </w:rPr>
        <w:t xml:space="preserve"> </w:t>
      </w:r>
      <w:r w:rsidR="007F0E59">
        <w:rPr>
          <w:rFonts w:ascii="Arial" w:hAnsi="Arial" w:cs="Arial"/>
        </w:rPr>
        <w:t>There are</w:t>
      </w:r>
      <w:r w:rsidR="00E6282F">
        <w:rPr>
          <w:rFonts w:ascii="Arial" w:hAnsi="Arial" w:cs="Arial"/>
        </w:rPr>
        <w:t xml:space="preserve"> concerns surrounding </w:t>
      </w:r>
      <w:r w:rsidR="005A00F6">
        <w:rPr>
          <w:rFonts w:ascii="Arial" w:hAnsi="Arial" w:cs="Arial"/>
        </w:rPr>
        <w:t xml:space="preserve">security </w:t>
      </w:r>
      <w:r w:rsidR="007F0E59">
        <w:rPr>
          <w:rFonts w:ascii="Arial" w:hAnsi="Arial" w:cs="Arial"/>
        </w:rPr>
        <w:t xml:space="preserve">and </w:t>
      </w:r>
      <w:r w:rsidR="00E6282F">
        <w:rPr>
          <w:rFonts w:ascii="Arial" w:hAnsi="Arial" w:cs="Arial"/>
        </w:rPr>
        <w:t xml:space="preserve">employees are uncomfortable at the idea of AI being involved in performance management </w:t>
      </w:r>
      <w:r w:rsidR="00B75A45">
        <w:rPr>
          <w:rFonts w:ascii="Arial" w:hAnsi="Arial" w:cs="Arial"/>
        </w:rPr>
        <w:t xml:space="preserve">(Brione and Day, 2023). The integrity of HR </w:t>
      </w:r>
      <w:r w:rsidR="00D464C6">
        <w:rPr>
          <w:rFonts w:ascii="Arial" w:hAnsi="Arial" w:cs="Arial"/>
        </w:rPr>
        <w:t>as a function has been a battle for professionals and the introduction of AI is believed to put this in jeopardy (Mohdzaini, 2022a).</w:t>
      </w:r>
    </w:p>
    <w:p w14:paraId="7947F20F" w14:textId="77777777" w:rsidR="007F0E59" w:rsidRDefault="007F0E59" w:rsidP="00BA6187">
      <w:pPr>
        <w:spacing w:line="360" w:lineRule="auto"/>
        <w:jc w:val="both"/>
        <w:rPr>
          <w:rFonts w:ascii="Arial" w:hAnsi="Arial" w:cs="Arial"/>
        </w:rPr>
      </w:pPr>
    </w:p>
    <w:p w14:paraId="1B2ABFAD" w14:textId="5B13BB19" w:rsidR="007F0E59" w:rsidRDefault="007F0E59" w:rsidP="007F0E59">
      <w:pPr>
        <w:spacing w:line="360" w:lineRule="auto"/>
        <w:jc w:val="both"/>
        <w:rPr>
          <w:rFonts w:ascii="Arial" w:hAnsi="Arial" w:cs="Arial"/>
        </w:rPr>
      </w:pPr>
      <w:r>
        <w:rPr>
          <w:rFonts w:ascii="Arial" w:hAnsi="Arial" w:cs="Arial"/>
        </w:rPr>
        <w:t>From research, it seems that utilisation in</w:t>
      </w:r>
      <w:r>
        <w:rPr>
          <w:rFonts w:ascii="Arial" w:hAnsi="Arial" w:cs="Arial"/>
        </w:rPr>
        <w:t xml:space="preserve"> </w:t>
      </w:r>
      <w:r>
        <w:rPr>
          <w:rFonts w:ascii="Arial" w:hAnsi="Arial" w:cs="Arial"/>
        </w:rPr>
        <w:t xml:space="preserve">organisations varies. IBM, use AI largely within their HR function and have found great success in better productivity, engagement and retention (Guenole and Feinzig, 2018). However, majority of organisations have </w:t>
      </w:r>
      <w:r>
        <w:rPr>
          <w:rFonts w:ascii="Arial" w:hAnsi="Arial" w:cs="Arial"/>
        </w:rPr>
        <w:t xml:space="preserve">explored it </w:t>
      </w:r>
      <w:r>
        <w:rPr>
          <w:rFonts w:ascii="Arial" w:hAnsi="Arial" w:cs="Arial"/>
        </w:rPr>
        <w:t xml:space="preserve">through ‘safer’ means such as recruitment processes assisting with job descriptions </w:t>
      </w:r>
      <w:r>
        <w:rPr>
          <w:rFonts w:ascii="Arial" w:hAnsi="Arial" w:cs="Arial"/>
        </w:rPr>
        <w:t xml:space="preserve">and person specifications </w:t>
      </w:r>
      <w:r>
        <w:rPr>
          <w:rFonts w:ascii="Arial" w:hAnsi="Arial" w:cs="Arial"/>
        </w:rPr>
        <w:t>(Brione and Day, 2023)</w:t>
      </w:r>
      <w:r>
        <w:rPr>
          <w:rFonts w:ascii="Arial" w:hAnsi="Arial" w:cs="Arial"/>
        </w:rPr>
        <w:t>.</w:t>
      </w:r>
    </w:p>
    <w:p w14:paraId="3E7549F5" w14:textId="77777777" w:rsidR="00BA6187" w:rsidRDefault="00BA6187" w:rsidP="00BA6187">
      <w:pPr>
        <w:spacing w:line="360" w:lineRule="auto"/>
        <w:jc w:val="both"/>
        <w:rPr>
          <w:rFonts w:ascii="Arial" w:hAnsi="Arial" w:cs="Arial"/>
        </w:rPr>
      </w:pPr>
    </w:p>
    <w:p w14:paraId="45650FB7" w14:textId="1EFDA093" w:rsidR="00BA6187" w:rsidRDefault="00D464C6" w:rsidP="00BA6187">
      <w:pPr>
        <w:spacing w:line="360" w:lineRule="auto"/>
        <w:jc w:val="both"/>
        <w:rPr>
          <w:rFonts w:ascii="Arial" w:hAnsi="Arial" w:cs="Arial"/>
        </w:rPr>
      </w:pPr>
      <w:r>
        <w:rPr>
          <w:rFonts w:ascii="Arial" w:hAnsi="Arial" w:cs="Arial"/>
        </w:rPr>
        <w:t>Pembrokeshire County Council</w:t>
      </w:r>
      <w:r w:rsidR="007F0E59">
        <w:rPr>
          <w:rFonts w:ascii="Arial" w:hAnsi="Arial" w:cs="Arial"/>
        </w:rPr>
        <w:t>’s</w:t>
      </w:r>
      <w:r>
        <w:rPr>
          <w:rFonts w:ascii="Arial" w:hAnsi="Arial" w:cs="Arial"/>
        </w:rPr>
        <w:t xml:space="preserve"> </w:t>
      </w:r>
      <w:r w:rsidR="00BA6187" w:rsidRPr="0041405B">
        <w:rPr>
          <w:rFonts w:ascii="Arial" w:hAnsi="Arial" w:cs="Arial"/>
        </w:rPr>
        <w:t xml:space="preserve">use of AI in the HR department is relatively minimal </w:t>
      </w:r>
      <w:r>
        <w:rPr>
          <w:rFonts w:ascii="Arial" w:hAnsi="Arial" w:cs="Arial"/>
        </w:rPr>
        <w:t xml:space="preserve">in the </w:t>
      </w:r>
      <w:r w:rsidR="00BA6187" w:rsidRPr="0041405B">
        <w:rPr>
          <w:rFonts w:ascii="Arial" w:hAnsi="Arial" w:cs="Arial"/>
        </w:rPr>
        <w:t>context of employee services and relations</w:t>
      </w:r>
      <w:r>
        <w:rPr>
          <w:rFonts w:ascii="Arial" w:hAnsi="Arial" w:cs="Arial"/>
        </w:rPr>
        <w:t xml:space="preserve">. Like most research, Learning and Development and </w:t>
      </w:r>
      <w:r w:rsidR="007F0E59">
        <w:rPr>
          <w:rFonts w:ascii="Arial" w:hAnsi="Arial" w:cs="Arial"/>
        </w:rPr>
        <w:t>Recruitment</w:t>
      </w:r>
      <w:r>
        <w:rPr>
          <w:rFonts w:ascii="Arial" w:hAnsi="Arial" w:cs="Arial"/>
        </w:rPr>
        <w:t xml:space="preserve"> are the areas that use</w:t>
      </w:r>
      <w:r w:rsidR="00BA6187" w:rsidRPr="0041405B">
        <w:rPr>
          <w:rFonts w:ascii="Arial" w:hAnsi="Arial" w:cs="Arial"/>
        </w:rPr>
        <w:t xml:space="preserve"> AI more frequently</w:t>
      </w:r>
      <w:r>
        <w:rPr>
          <w:rFonts w:ascii="Arial" w:hAnsi="Arial" w:cs="Arial"/>
        </w:rPr>
        <w:t xml:space="preserve"> (Brione and Day, 2023)</w:t>
      </w:r>
      <w:r w:rsidR="00BA6187" w:rsidRPr="0041405B">
        <w:rPr>
          <w:rFonts w:ascii="Arial" w:hAnsi="Arial" w:cs="Arial"/>
        </w:rPr>
        <w:t xml:space="preserve">. AI is used to help generate engaging learning material for online courses or videos. </w:t>
      </w:r>
      <w:r w:rsidR="007F0E59">
        <w:rPr>
          <w:rFonts w:ascii="Arial" w:hAnsi="Arial" w:cs="Arial"/>
        </w:rPr>
        <w:t>Additionally, it’s used to</w:t>
      </w:r>
      <w:r w:rsidR="00BA6187" w:rsidRPr="0041405B">
        <w:rPr>
          <w:rFonts w:ascii="Arial" w:hAnsi="Arial" w:cs="Arial"/>
        </w:rPr>
        <w:t xml:space="preserve"> help generate engaging job adverts</w:t>
      </w:r>
      <w:r w:rsidR="007F0E59">
        <w:rPr>
          <w:rFonts w:ascii="Arial" w:hAnsi="Arial" w:cs="Arial"/>
        </w:rPr>
        <w:t xml:space="preserve"> with visuals</w:t>
      </w:r>
      <w:r w:rsidR="00BA6187" w:rsidRPr="0041405B">
        <w:rPr>
          <w:rFonts w:ascii="Arial" w:hAnsi="Arial" w:cs="Arial"/>
        </w:rPr>
        <w:t xml:space="preserve"> for use on </w:t>
      </w:r>
      <w:r w:rsidR="007F0E59">
        <w:rPr>
          <w:rFonts w:ascii="Arial" w:hAnsi="Arial" w:cs="Arial"/>
        </w:rPr>
        <w:t>various platforms.</w:t>
      </w:r>
      <w:r w:rsidR="00BA6187" w:rsidRPr="0041405B">
        <w:rPr>
          <w:rFonts w:ascii="Arial" w:hAnsi="Arial" w:cs="Arial"/>
        </w:rPr>
        <w:t xml:space="preserve"> </w:t>
      </w:r>
      <w:r w:rsidR="007F0E59">
        <w:rPr>
          <w:rFonts w:ascii="Arial" w:hAnsi="Arial" w:cs="Arial"/>
        </w:rPr>
        <w:t>Recruitment also</w:t>
      </w:r>
      <w:r w:rsidR="00BA6187" w:rsidRPr="0041405B">
        <w:rPr>
          <w:rFonts w:ascii="Arial" w:hAnsi="Arial" w:cs="Arial"/>
        </w:rPr>
        <w:t xml:space="preserve"> </w:t>
      </w:r>
      <w:r w:rsidR="007F0E59" w:rsidRPr="0041405B">
        <w:rPr>
          <w:rFonts w:ascii="Arial" w:hAnsi="Arial" w:cs="Arial"/>
        </w:rPr>
        <w:t>offers</w:t>
      </w:r>
      <w:r w:rsidR="00BA6187" w:rsidRPr="0041405B">
        <w:rPr>
          <w:rFonts w:ascii="Arial" w:hAnsi="Arial" w:cs="Arial"/>
        </w:rPr>
        <w:t xml:space="preserve"> the use of AI to help assist managers with </w:t>
      </w:r>
      <w:r w:rsidR="007F0E59">
        <w:rPr>
          <w:rFonts w:ascii="Arial" w:hAnsi="Arial" w:cs="Arial"/>
        </w:rPr>
        <w:t>bodies of text, such as job descriptions or adverts.</w:t>
      </w:r>
    </w:p>
    <w:p w14:paraId="4B8C683D" w14:textId="77777777" w:rsidR="00291D4C" w:rsidRDefault="00291D4C" w:rsidP="00BA6187">
      <w:pPr>
        <w:spacing w:line="360" w:lineRule="auto"/>
        <w:jc w:val="both"/>
        <w:rPr>
          <w:rFonts w:ascii="Arial" w:hAnsi="Arial" w:cs="Arial"/>
        </w:rPr>
      </w:pPr>
    </w:p>
    <w:p w14:paraId="5532E130" w14:textId="3D096E4B" w:rsidR="00BA6187" w:rsidRDefault="00BA6187" w:rsidP="00BA6187">
      <w:pPr>
        <w:spacing w:line="360" w:lineRule="auto"/>
        <w:jc w:val="both"/>
        <w:rPr>
          <w:rFonts w:ascii="Arial" w:hAnsi="Arial" w:cs="Arial"/>
        </w:rPr>
      </w:pPr>
      <w:r>
        <w:rPr>
          <w:rFonts w:ascii="Arial" w:hAnsi="Arial" w:cs="Arial"/>
        </w:rPr>
        <w:t xml:space="preserve">IBM view AI positively as an accelerator and have framed </w:t>
      </w:r>
      <w:r w:rsidR="00291D4C">
        <w:rPr>
          <w:rFonts w:ascii="Arial" w:hAnsi="Arial" w:cs="Arial"/>
        </w:rPr>
        <w:t xml:space="preserve">AI in such a way that </w:t>
      </w:r>
      <w:r>
        <w:rPr>
          <w:rFonts w:ascii="Arial" w:hAnsi="Arial" w:cs="Arial"/>
        </w:rPr>
        <w:t>autonomy is empowered and not replaced (Guenole and Feinzig, 2018).</w:t>
      </w:r>
      <w:r w:rsidR="00291D4C">
        <w:rPr>
          <w:rFonts w:ascii="Arial" w:hAnsi="Arial" w:cs="Arial"/>
        </w:rPr>
        <w:t xml:space="preserve"> Outside of safer, transactional processes, there is evidence to suggest </w:t>
      </w:r>
      <w:r>
        <w:rPr>
          <w:rFonts w:ascii="Arial" w:hAnsi="Arial" w:cs="Arial"/>
        </w:rPr>
        <w:t>that it works in organisations for performance appraisals (Mohdzaini, 2022b</w:t>
      </w:r>
      <w:r w:rsidR="00291D4C">
        <w:rPr>
          <w:rFonts w:ascii="Arial" w:hAnsi="Arial" w:cs="Arial"/>
        </w:rPr>
        <w:t xml:space="preserve">; </w:t>
      </w:r>
      <w:r w:rsidR="00540A17" w:rsidRPr="00592403">
        <w:rPr>
          <w:rFonts w:ascii="Arial" w:hAnsi="Arial" w:cs="Arial"/>
        </w:rPr>
        <w:t>Chukwuk</w:t>
      </w:r>
      <w:r w:rsidR="00540A17">
        <w:rPr>
          <w:rFonts w:ascii="Arial" w:hAnsi="Arial" w:cs="Arial"/>
        </w:rPr>
        <w:t xml:space="preserve">a </w:t>
      </w:r>
      <w:r>
        <w:rPr>
          <w:rFonts w:ascii="Arial" w:hAnsi="Arial" w:cs="Arial"/>
        </w:rPr>
        <w:t>and Dibie, 2024</w:t>
      </w:r>
      <w:r w:rsidR="00291D4C">
        <w:rPr>
          <w:rFonts w:ascii="Arial" w:hAnsi="Arial" w:cs="Arial"/>
        </w:rPr>
        <w:t>).</w:t>
      </w:r>
    </w:p>
    <w:p w14:paraId="10C955E7" w14:textId="77777777" w:rsidR="00BA6187" w:rsidRDefault="00BA6187" w:rsidP="00BA6187">
      <w:pPr>
        <w:spacing w:line="360" w:lineRule="auto"/>
        <w:jc w:val="both"/>
        <w:rPr>
          <w:rFonts w:ascii="Arial" w:hAnsi="Arial" w:cs="Arial"/>
        </w:rPr>
      </w:pPr>
    </w:p>
    <w:p w14:paraId="0EC55431" w14:textId="4932CDAE" w:rsidR="00D464C6" w:rsidRDefault="00247542" w:rsidP="00D464C6">
      <w:pPr>
        <w:spacing w:line="360" w:lineRule="auto"/>
        <w:jc w:val="both"/>
        <w:rPr>
          <w:rFonts w:ascii="Arial" w:hAnsi="Arial" w:cs="Arial"/>
        </w:rPr>
      </w:pPr>
      <w:r>
        <w:rPr>
          <w:rFonts w:ascii="Arial" w:hAnsi="Arial" w:cs="Arial"/>
        </w:rPr>
        <w:lastRenderedPageBreak/>
        <w:t>Th</w:t>
      </w:r>
      <w:r w:rsidR="00D464C6">
        <w:rPr>
          <w:rFonts w:ascii="Arial" w:hAnsi="Arial" w:cs="Arial"/>
        </w:rPr>
        <w:t>e UK G</w:t>
      </w:r>
      <w:r w:rsidR="00D464C6">
        <w:rPr>
          <w:rFonts w:ascii="Arial" w:hAnsi="Arial" w:cs="Arial"/>
        </w:rPr>
        <w:t>overnment are taking the steps to creating a framework surrounding AI, advocating for a context-specific approach (Brione and Day, 2023).</w:t>
      </w:r>
      <w:r w:rsidR="00D464C6">
        <w:rPr>
          <w:rFonts w:ascii="Arial" w:hAnsi="Arial" w:cs="Arial"/>
        </w:rPr>
        <w:t xml:space="preserve"> ‘People Matter’ is a key part of the professional standards, therefore treating people fairly is crucial. Therefore, HR professionals should ensure that where AI is used, that it’s human-centred and transparent (CIPD, n.d.)</w:t>
      </w:r>
    </w:p>
    <w:p w14:paraId="08D1B8AA" w14:textId="77777777" w:rsidR="00BA6187" w:rsidRDefault="00BA6187" w:rsidP="00BA6187">
      <w:pPr>
        <w:spacing w:line="360" w:lineRule="auto"/>
        <w:jc w:val="both"/>
        <w:rPr>
          <w:rFonts w:ascii="Arial" w:hAnsi="Arial" w:cs="Arial"/>
        </w:rPr>
      </w:pPr>
    </w:p>
    <w:p w14:paraId="48CD0852" w14:textId="28E8FC1D" w:rsidR="00C064BB" w:rsidRDefault="00D464C6" w:rsidP="00C064BB">
      <w:pPr>
        <w:spacing w:line="360" w:lineRule="auto"/>
        <w:jc w:val="both"/>
        <w:rPr>
          <w:rFonts w:ascii="Arial" w:hAnsi="Arial" w:cs="Arial"/>
        </w:rPr>
      </w:pPr>
      <w:r>
        <w:rPr>
          <w:rFonts w:ascii="Arial" w:hAnsi="Arial" w:cs="Arial"/>
        </w:rPr>
        <w:t xml:space="preserve">Some researchers do not believe that AI can mitigate the input of HR skills whilst others believe it can soon replace HR professionals being ‘mistake free’ and ‘speedy’ (Rana, 2019). </w:t>
      </w:r>
      <w:r w:rsidR="00BA6187">
        <w:rPr>
          <w:rFonts w:ascii="Arial" w:hAnsi="Arial" w:cs="Arial"/>
        </w:rPr>
        <w:t xml:space="preserve">Whilst the trust and suitability of AI is varied, </w:t>
      </w:r>
      <w:r w:rsidR="00C064BB">
        <w:rPr>
          <w:rFonts w:ascii="Arial" w:hAnsi="Arial" w:cs="Arial"/>
        </w:rPr>
        <w:t>most</w:t>
      </w:r>
      <w:r w:rsidR="00BA6187">
        <w:rPr>
          <w:rFonts w:ascii="Arial" w:hAnsi="Arial" w:cs="Arial"/>
        </w:rPr>
        <w:t xml:space="preserve"> research can agree that AI should be implemented as a tool to support the function, not replace it (Rana, 201</w:t>
      </w:r>
      <w:r w:rsidR="00540A17">
        <w:rPr>
          <w:rFonts w:ascii="Arial" w:hAnsi="Arial" w:cs="Arial"/>
        </w:rPr>
        <w:t>9; Chukwuka and Dibie, 2024</w:t>
      </w:r>
      <w:r w:rsidR="00BA6187">
        <w:rPr>
          <w:rFonts w:ascii="Arial" w:hAnsi="Arial" w:cs="Arial"/>
        </w:rPr>
        <w:t>)</w:t>
      </w:r>
      <w:r>
        <w:rPr>
          <w:rFonts w:ascii="Arial" w:hAnsi="Arial" w:cs="Arial"/>
        </w:rPr>
        <w:t>.</w:t>
      </w:r>
      <w:r w:rsidR="00C064BB">
        <w:rPr>
          <w:rFonts w:ascii="Arial" w:hAnsi="Arial" w:cs="Arial"/>
        </w:rPr>
        <w:t xml:space="preserve"> </w:t>
      </w:r>
      <w:r w:rsidR="00DC71E8">
        <w:rPr>
          <w:rFonts w:ascii="Arial" w:hAnsi="Arial" w:cs="Arial"/>
        </w:rPr>
        <w:t>With the hope to automate some services, AI could be easily integrated to some of these functions within Pembrokeshire County Council at a relatively low risk</w:t>
      </w:r>
      <w:r w:rsidR="002F3EED">
        <w:rPr>
          <w:rFonts w:ascii="Arial" w:hAnsi="Arial" w:cs="Arial"/>
        </w:rPr>
        <w:t xml:space="preserve">, </w:t>
      </w:r>
      <w:r w:rsidR="007F0E59">
        <w:rPr>
          <w:rFonts w:ascii="Arial" w:hAnsi="Arial" w:cs="Arial"/>
        </w:rPr>
        <w:t>such as 24/7 employee support to common queries (Guenole and Feinzig, 2018).</w:t>
      </w:r>
    </w:p>
    <w:p w14:paraId="7F3DBA3E" w14:textId="7CC50C60" w:rsidR="00AD1386" w:rsidRDefault="00AD1386" w:rsidP="00AD1386">
      <w:pPr>
        <w:spacing w:line="360" w:lineRule="auto"/>
        <w:jc w:val="both"/>
        <w:rPr>
          <w:rFonts w:ascii="Arial" w:hAnsi="Arial" w:cs="Arial"/>
        </w:rPr>
      </w:pPr>
    </w:p>
    <w:p w14:paraId="4AFF6B8C" w14:textId="77777777" w:rsidR="00AD1386" w:rsidRDefault="00AD1386" w:rsidP="00E94EC9">
      <w:pPr>
        <w:spacing w:line="360" w:lineRule="auto"/>
        <w:jc w:val="both"/>
        <w:rPr>
          <w:rFonts w:ascii="Arial" w:hAnsi="Arial" w:cs="Arial"/>
          <w:b/>
          <w:bCs/>
          <w:u w:val="single"/>
        </w:rPr>
      </w:pPr>
    </w:p>
    <w:p w14:paraId="4A0585AD" w14:textId="77777777" w:rsidR="00291D4C" w:rsidRDefault="00291D4C" w:rsidP="00E94EC9">
      <w:pPr>
        <w:spacing w:line="360" w:lineRule="auto"/>
        <w:jc w:val="both"/>
        <w:rPr>
          <w:rFonts w:ascii="Arial" w:hAnsi="Arial" w:cs="Arial"/>
          <w:b/>
          <w:bCs/>
          <w:u w:val="single"/>
        </w:rPr>
      </w:pPr>
    </w:p>
    <w:p w14:paraId="286F125C" w14:textId="77777777" w:rsidR="00291D4C" w:rsidRDefault="00291D4C" w:rsidP="00E94EC9">
      <w:pPr>
        <w:spacing w:line="360" w:lineRule="auto"/>
        <w:jc w:val="both"/>
        <w:rPr>
          <w:rFonts w:ascii="Arial" w:hAnsi="Arial" w:cs="Arial"/>
          <w:b/>
          <w:bCs/>
          <w:u w:val="single"/>
        </w:rPr>
      </w:pPr>
    </w:p>
    <w:p w14:paraId="10C0CB34" w14:textId="77777777" w:rsidR="00291D4C" w:rsidRDefault="00291D4C" w:rsidP="00E94EC9">
      <w:pPr>
        <w:spacing w:line="360" w:lineRule="auto"/>
        <w:jc w:val="both"/>
        <w:rPr>
          <w:rFonts w:ascii="Arial" w:hAnsi="Arial" w:cs="Arial"/>
          <w:b/>
          <w:bCs/>
          <w:u w:val="single"/>
        </w:rPr>
      </w:pPr>
    </w:p>
    <w:p w14:paraId="6E7C30F2" w14:textId="77777777" w:rsidR="00291D4C" w:rsidRDefault="00291D4C" w:rsidP="00E94EC9">
      <w:pPr>
        <w:spacing w:line="360" w:lineRule="auto"/>
        <w:jc w:val="both"/>
        <w:rPr>
          <w:rFonts w:ascii="Arial" w:hAnsi="Arial" w:cs="Arial"/>
          <w:b/>
          <w:bCs/>
          <w:u w:val="single"/>
        </w:rPr>
      </w:pPr>
    </w:p>
    <w:p w14:paraId="0B8D8E3D" w14:textId="77777777" w:rsidR="00291D4C" w:rsidRDefault="00291D4C" w:rsidP="00E94EC9">
      <w:pPr>
        <w:spacing w:line="360" w:lineRule="auto"/>
        <w:jc w:val="both"/>
        <w:rPr>
          <w:rFonts w:ascii="Arial" w:hAnsi="Arial" w:cs="Arial"/>
          <w:b/>
          <w:bCs/>
          <w:u w:val="single"/>
        </w:rPr>
      </w:pPr>
    </w:p>
    <w:p w14:paraId="4602D85C" w14:textId="77777777" w:rsidR="00291D4C" w:rsidRDefault="00291D4C" w:rsidP="00E94EC9">
      <w:pPr>
        <w:spacing w:line="360" w:lineRule="auto"/>
        <w:jc w:val="both"/>
        <w:rPr>
          <w:rFonts w:ascii="Arial" w:hAnsi="Arial" w:cs="Arial"/>
          <w:b/>
          <w:bCs/>
          <w:u w:val="single"/>
        </w:rPr>
      </w:pPr>
    </w:p>
    <w:p w14:paraId="1546C8F7" w14:textId="77777777" w:rsidR="005A00F6" w:rsidRDefault="005A00F6" w:rsidP="00E94EC9">
      <w:pPr>
        <w:spacing w:line="360" w:lineRule="auto"/>
        <w:jc w:val="both"/>
        <w:rPr>
          <w:rFonts w:ascii="Arial" w:hAnsi="Arial" w:cs="Arial"/>
          <w:b/>
          <w:bCs/>
          <w:u w:val="single"/>
        </w:rPr>
      </w:pPr>
    </w:p>
    <w:p w14:paraId="0C721B74" w14:textId="77777777" w:rsidR="005A00F6" w:rsidRDefault="005A00F6" w:rsidP="00E94EC9">
      <w:pPr>
        <w:spacing w:line="360" w:lineRule="auto"/>
        <w:jc w:val="both"/>
        <w:rPr>
          <w:rFonts w:ascii="Arial" w:hAnsi="Arial" w:cs="Arial"/>
          <w:b/>
          <w:bCs/>
          <w:u w:val="single"/>
        </w:rPr>
      </w:pPr>
    </w:p>
    <w:p w14:paraId="165CE010" w14:textId="77777777" w:rsidR="005A00F6" w:rsidRDefault="005A00F6" w:rsidP="00E94EC9">
      <w:pPr>
        <w:spacing w:line="360" w:lineRule="auto"/>
        <w:jc w:val="both"/>
        <w:rPr>
          <w:rFonts w:ascii="Arial" w:hAnsi="Arial" w:cs="Arial"/>
          <w:b/>
          <w:bCs/>
          <w:u w:val="single"/>
        </w:rPr>
      </w:pPr>
    </w:p>
    <w:p w14:paraId="6EB8307D" w14:textId="77777777" w:rsidR="005A00F6" w:rsidRDefault="005A00F6" w:rsidP="00E94EC9">
      <w:pPr>
        <w:spacing w:line="360" w:lineRule="auto"/>
        <w:jc w:val="both"/>
        <w:rPr>
          <w:rFonts w:ascii="Arial" w:hAnsi="Arial" w:cs="Arial"/>
          <w:b/>
          <w:bCs/>
          <w:u w:val="single"/>
        </w:rPr>
      </w:pPr>
    </w:p>
    <w:p w14:paraId="66470E86" w14:textId="77777777" w:rsidR="005A00F6" w:rsidRDefault="005A00F6" w:rsidP="00E94EC9">
      <w:pPr>
        <w:spacing w:line="360" w:lineRule="auto"/>
        <w:jc w:val="both"/>
        <w:rPr>
          <w:rFonts w:ascii="Arial" w:hAnsi="Arial" w:cs="Arial"/>
          <w:b/>
          <w:bCs/>
          <w:u w:val="single"/>
        </w:rPr>
      </w:pPr>
    </w:p>
    <w:p w14:paraId="109EFC11" w14:textId="77777777" w:rsidR="005A00F6" w:rsidRDefault="005A00F6" w:rsidP="00E94EC9">
      <w:pPr>
        <w:spacing w:line="360" w:lineRule="auto"/>
        <w:jc w:val="both"/>
        <w:rPr>
          <w:rFonts w:ascii="Arial" w:hAnsi="Arial" w:cs="Arial"/>
          <w:b/>
          <w:bCs/>
          <w:u w:val="single"/>
        </w:rPr>
      </w:pPr>
    </w:p>
    <w:p w14:paraId="7981C60D" w14:textId="77777777" w:rsidR="00247542" w:rsidRDefault="00247542" w:rsidP="00E94EC9">
      <w:pPr>
        <w:spacing w:line="360" w:lineRule="auto"/>
        <w:jc w:val="both"/>
        <w:rPr>
          <w:rFonts w:ascii="Arial" w:hAnsi="Arial" w:cs="Arial"/>
          <w:b/>
          <w:bCs/>
          <w:u w:val="single"/>
        </w:rPr>
      </w:pPr>
    </w:p>
    <w:p w14:paraId="164C64E7" w14:textId="77777777" w:rsidR="00247542" w:rsidRDefault="00247542" w:rsidP="00E94EC9">
      <w:pPr>
        <w:spacing w:line="360" w:lineRule="auto"/>
        <w:jc w:val="both"/>
        <w:rPr>
          <w:rFonts w:ascii="Arial" w:hAnsi="Arial" w:cs="Arial"/>
          <w:b/>
          <w:bCs/>
          <w:u w:val="single"/>
        </w:rPr>
      </w:pPr>
    </w:p>
    <w:p w14:paraId="08543783" w14:textId="77777777" w:rsidR="00247542" w:rsidRDefault="00247542" w:rsidP="00E94EC9">
      <w:pPr>
        <w:spacing w:line="360" w:lineRule="auto"/>
        <w:jc w:val="both"/>
        <w:rPr>
          <w:rFonts w:ascii="Arial" w:hAnsi="Arial" w:cs="Arial"/>
          <w:b/>
          <w:bCs/>
          <w:u w:val="single"/>
        </w:rPr>
      </w:pPr>
    </w:p>
    <w:p w14:paraId="02EFA4CD" w14:textId="77777777" w:rsidR="00247542" w:rsidRDefault="00247542" w:rsidP="00E94EC9">
      <w:pPr>
        <w:spacing w:line="360" w:lineRule="auto"/>
        <w:jc w:val="both"/>
        <w:rPr>
          <w:rFonts w:ascii="Arial" w:hAnsi="Arial" w:cs="Arial"/>
          <w:b/>
          <w:bCs/>
          <w:u w:val="single"/>
        </w:rPr>
      </w:pPr>
    </w:p>
    <w:p w14:paraId="24932FB6" w14:textId="77777777" w:rsidR="005A00F6" w:rsidRPr="00E94EC9" w:rsidRDefault="005A00F6" w:rsidP="00E94EC9">
      <w:pPr>
        <w:spacing w:line="360" w:lineRule="auto"/>
        <w:jc w:val="both"/>
        <w:rPr>
          <w:rFonts w:ascii="Arial" w:hAnsi="Arial" w:cs="Arial"/>
          <w:b/>
          <w:bCs/>
          <w:u w:val="single"/>
        </w:rPr>
      </w:pPr>
    </w:p>
    <w:p w14:paraId="559C182F"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Explain Charles Handy’s model of organisational culture and explain David Rock’s SCARF theory. (AC 2.1)</w:t>
      </w:r>
    </w:p>
    <w:p w14:paraId="47FB84A6" w14:textId="77777777" w:rsidR="00855FB4" w:rsidRDefault="00855FB4" w:rsidP="00BB14B6">
      <w:pPr>
        <w:spacing w:line="360" w:lineRule="auto"/>
        <w:jc w:val="both"/>
        <w:rPr>
          <w:rFonts w:ascii="Arial" w:hAnsi="Arial" w:cs="Arial"/>
          <w:b/>
          <w:bCs/>
          <w:u w:val="single"/>
        </w:rPr>
      </w:pPr>
    </w:p>
    <w:p w14:paraId="3C4F8E63" w14:textId="77777777" w:rsidR="00855FB4" w:rsidRDefault="00855FB4" w:rsidP="00855FB4">
      <w:pPr>
        <w:spacing w:line="360" w:lineRule="auto"/>
        <w:jc w:val="both"/>
        <w:rPr>
          <w:rFonts w:ascii="Arial" w:hAnsi="Arial" w:cs="Arial"/>
        </w:rPr>
      </w:pPr>
      <w:r>
        <w:rPr>
          <w:rFonts w:ascii="Arial" w:hAnsi="Arial" w:cs="Arial"/>
        </w:rPr>
        <w:t>Charles Handy was a famous philosopher specialising in organisational culture. Handy developed a model in 1995, based on an analogy between Greek Gods and different types of management (Handy, 1995). Handy’s goal was to emphasise that management is a creative and political process, therefore one size does not fit all.</w:t>
      </w:r>
    </w:p>
    <w:p w14:paraId="53164F3E" w14:textId="77777777" w:rsidR="00855FB4" w:rsidRDefault="00855FB4" w:rsidP="00855FB4">
      <w:pPr>
        <w:spacing w:line="360" w:lineRule="auto"/>
        <w:jc w:val="both"/>
        <w:rPr>
          <w:rFonts w:ascii="Arial" w:hAnsi="Arial" w:cs="Arial"/>
        </w:rPr>
      </w:pPr>
    </w:p>
    <w:p w14:paraId="19EAF137" w14:textId="77777777" w:rsidR="00855FB4" w:rsidRDefault="00855FB4" w:rsidP="00855FB4">
      <w:pPr>
        <w:spacing w:line="360" w:lineRule="auto"/>
        <w:jc w:val="both"/>
        <w:rPr>
          <w:rFonts w:ascii="Arial" w:hAnsi="Arial" w:cs="Arial"/>
        </w:rPr>
      </w:pPr>
      <w:r>
        <w:rPr>
          <w:rFonts w:ascii="Arial" w:hAnsi="Arial" w:cs="Arial"/>
        </w:rPr>
        <w:t>Cultural confusion can be detrimental to an organisation, therefore awareness of which ‘God’ an organisation likens to helps them to understand what cultural choices are available or suitable for adaptation.</w:t>
      </w:r>
    </w:p>
    <w:p w14:paraId="65348FD6" w14:textId="77777777" w:rsidR="00855FB4" w:rsidRDefault="00855FB4" w:rsidP="00855FB4">
      <w:pPr>
        <w:spacing w:line="360" w:lineRule="auto"/>
        <w:jc w:val="both"/>
        <w:rPr>
          <w:rFonts w:ascii="Arial" w:hAnsi="Arial" w:cs="Arial"/>
        </w:rPr>
      </w:pPr>
    </w:p>
    <w:p w14:paraId="2C7F022C" w14:textId="77777777" w:rsidR="00855FB4" w:rsidRDefault="00855FB4" w:rsidP="00855FB4">
      <w:pPr>
        <w:spacing w:line="360" w:lineRule="auto"/>
        <w:jc w:val="both"/>
        <w:rPr>
          <w:rFonts w:ascii="Arial" w:hAnsi="Arial" w:cs="Arial"/>
        </w:rPr>
      </w:pPr>
      <w:r>
        <w:rPr>
          <w:rFonts w:ascii="Arial" w:hAnsi="Arial" w:cs="Arial"/>
        </w:rPr>
        <w:t>The four types are: Power, Role, Task and People. Power culture is typical within an organisation that is centralised and has a top-down power influence. This culture is fast paced and focused on results (Handy, 1995). Role culture is bureaucratic with narrowly defined roles and strict procedures. Predictability and stability are used to help employees understand their role, therefore it’s only efficient when circumstances are predictable (Handy, 1995).</w:t>
      </w:r>
    </w:p>
    <w:p w14:paraId="1F832E60" w14:textId="77777777" w:rsidR="00855FB4" w:rsidRDefault="00855FB4" w:rsidP="00855FB4">
      <w:pPr>
        <w:spacing w:line="360" w:lineRule="auto"/>
        <w:jc w:val="both"/>
        <w:rPr>
          <w:rFonts w:ascii="Arial" w:hAnsi="Arial" w:cs="Arial"/>
        </w:rPr>
      </w:pPr>
    </w:p>
    <w:p w14:paraId="0696CAEE" w14:textId="77777777" w:rsidR="00855FB4" w:rsidRDefault="00855FB4" w:rsidP="00855FB4">
      <w:pPr>
        <w:spacing w:line="360" w:lineRule="auto"/>
        <w:jc w:val="both"/>
        <w:rPr>
          <w:rFonts w:ascii="Arial" w:hAnsi="Arial" w:cs="Arial"/>
        </w:rPr>
      </w:pPr>
      <w:r>
        <w:rPr>
          <w:rFonts w:ascii="Arial" w:hAnsi="Arial" w:cs="Arial"/>
        </w:rPr>
        <w:t>Task culture judges organisational success based on performance, either through results or solved problems. This culture is flexible and adaptable and relies on drawing resources from every part of the organisation to solve a problem (Handy, 1995). Lastly, people culture exists for the individual, rather than the individual being a subordinate to the organisation (Handy, 1995).</w:t>
      </w:r>
    </w:p>
    <w:p w14:paraId="61F3CCD3" w14:textId="77777777" w:rsidR="00855FB4" w:rsidRDefault="00855FB4" w:rsidP="00855FB4">
      <w:pPr>
        <w:spacing w:line="360" w:lineRule="auto"/>
        <w:jc w:val="both"/>
        <w:rPr>
          <w:rFonts w:ascii="Arial" w:hAnsi="Arial" w:cs="Arial"/>
        </w:rPr>
      </w:pPr>
    </w:p>
    <w:p w14:paraId="6105959D" w14:textId="77777777" w:rsidR="00855FB4" w:rsidRDefault="00855FB4" w:rsidP="00855FB4">
      <w:pPr>
        <w:spacing w:line="360" w:lineRule="auto"/>
        <w:jc w:val="both"/>
        <w:rPr>
          <w:rFonts w:ascii="Arial" w:hAnsi="Arial" w:cs="Arial"/>
        </w:rPr>
      </w:pPr>
      <w:r>
        <w:rPr>
          <w:rFonts w:ascii="Arial" w:hAnsi="Arial" w:cs="Arial"/>
        </w:rPr>
        <w:t xml:space="preserve">Dr David Rock is a neuroscientist specialising on leadership. In 2008, Rock developed the acronym ‘SCARF’ which is a psychological theory to motivation (Rock, 2009). The impacts of neural responses both positive and negative are evident within organisations. </w:t>
      </w:r>
    </w:p>
    <w:p w14:paraId="2E499582" w14:textId="77777777" w:rsidR="00855FB4" w:rsidRDefault="00855FB4" w:rsidP="00855FB4">
      <w:pPr>
        <w:spacing w:line="360" w:lineRule="auto"/>
        <w:jc w:val="both"/>
        <w:rPr>
          <w:rFonts w:ascii="Arial" w:hAnsi="Arial" w:cs="Arial"/>
        </w:rPr>
      </w:pPr>
    </w:p>
    <w:p w14:paraId="57F95E2A" w14:textId="77777777" w:rsidR="00855FB4" w:rsidRDefault="00855FB4" w:rsidP="00855FB4">
      <w:pPr>
        <w:spacing w:line="360" w:lineRule="auto"/>
        <w:jc w:val="both"/>
        <w:rPr>
          <w:rFonts w:ascii="Arial" w:hAnsi="Arial" w:cs="Arial"/>
        </w:rPr>
      </w:pPr>
      <w:r>
        <w:rPr>
          <w:rFonts w:ascii="Arial" w:hAnsi="Arial" w:cs="Arial"/>
        </w:rPr>
        <w:t xml:space="preserve">‘SCARF’ relates to five qualities that enable employees/executives alike to minimise the threat response and enable the reward response. Status refers to the feeling of comparison, Rock (2009) recognises that perception of status can be enhanced more effectively through praise or recognition of skills rather than seniority. Certainty is </w:t>
      </w:r>
      <w:r>
        <w:rPr>
          <w:rFonts w:ascii="Arial" w:hAnsi="Arial" w:cs="Arial"/>
        </w:rPr>
        <w:lastRenderedPageBreak/>
        <w:t xml:space="preserve">yearned for by people due to the uncomfortableness of uncertainty, which can ultimately undercut performance and trust. Transparency is the foundation on which perception of certainty rests (Rock, 2009). </w:t>
      </w:r>
    </w:p>
    <w:p w14:paraId="149E451B" w14:textId="77777777" w:rsidR="00855FB4" w:rsidRDefault="00855FB4" w:rsidP="00855FB4">
      <w:pPr>
        <w:spacing w:line="360" w:lineRule="auto"/>
        <w:jc w:val="both"/>
        <w:rPr>
          <w:rFonts w:ascii="Arial" w:hAnsi="Arial" w:cs="Arial"/>
        </w:rPr>
      </w:pPr>
    </w:p>
    <w:p w14:paraId="16CDDA1A" w14:textId="77777777" w:rsidR="00855FB4" w:rsidRDefault="00855FB4" w:rsidP="00855FB4">
      <w:pPr>
        <w:spacing w:line="360" w:lineRule="auto"/>
        <w:jc w:val="both"/>
        <w:rPr>
          <w:rFonts w:ascii="Arial" w:hAnsi="Arial" w:cs="Arial"/>
        </w:rPr>
      </w:pPr>
      <w:r>
        <w:rPr>
          <w:rFonts w:ascii="Arial" w:hAnsi="Arial" w:cs="Arial"/>
        </w:rPr>
        <w:t>Being micromanaged triggers a threat response, therefore Autonomy is of great importance. Rock (2009) found that the perception of autonomy is what matters rather than the actual level of autonomy or decision-making given. Feeling different is associated with uncomfortableness, therefore Relatedness is the fourth quality in Rock’s theory. Relatedness requires time and repeated exposure to acquire trust (Rock, 2009).</w:t>
      </w:r>
    </w:p>
    <w:p w14:paraId="7234E13F" w14:textId="77777777" w:rsidR="00855FB4" w:rsidRDefault="00855FB4" w:rsidP="00855FB4">
      <w:pPr>
        <w:spacing w:line="360" w:lineRule="auto"/>
        <w:jc w:val="both"/>
        <w:rPr>
          <w:rFonts w:ascii="Arial" w:hAnsi="Arial" w:cs="Arial"/>
        </w:rPr>
      </w:pPr>
    </w:p>
    <w:p w14:paraId="71B22ADD" w14:textId="77777777" w:rsidR="00855FB4" w:rsidRDefault="00855FB4" w:rsidP="00855FB4">
      <w:pPr>
        <w:spacing w:line="360" w:lineRule="auto"/>
        <w:jc w:val="both"/>
        <w:rPr>
          <w:rFonts w:ascii="Arial" w:hAnsi="Arial" w:cs="Arial"/>
        </w:rPr>
      </w:pPr>
      <w:r>
        <w:rPr>
          <w:rFonts w:ascii="Arial" w:hAnsi="Arial" w:cs="Arial"/>
        </w:rPr>
        <w:t>The last and possibly most profound quality is Fairness. The cognitive need is so strong, and it’s perceived in relative terms. Fairness is considered key in the psychological contract, therefore if this is perceived to be breached, trust is broken, and hostility prevails (Rock, 2009).</w:t>
      </w:r>
    </w:p>
    <w:p w14:paraId="5B235F96" w14:textId="77777777" w:rsidR="00855FB4" w:rsidRDefault="00855FB4" w:rsidP="00855FB4">
      <w:pPr>
        <w:spacing w:line="360" w:lineRule="auto"/>
        <w:jc w:val="both"/>
        <w:rPr>
          <w:rFonts w:ascii="Arial" w:hAnsi="Arial" w:cs="Arial"/>
        </w:rPr>
      </w:pPr>
    </w:p>
    <w:p w14:paraId="7716EEB5" w14:textId="77777777" w:rsidR="00855FB4" w:rsidRPr="00525337" w:rsidRDefault="00855FB4" w:rsidP="00855FB4">
      <w:pPr>
        <w:spacing w:line="360" w:lineRule="auto"/>
        <w:jc w:val="both"/>
        <w:rPr>
          <w:rFonts w:ascii="Arial" w:hAnsi="Arial" w:cs="Arial"/>
        </w:rPr>
      </w:pPr>
      <w:r>
        <w:rPr>
          <w:rFonts w:ascii="Arial" w:hAnsi="Arial" w:cs="Arial"/>
        </w:rPr>
        <w:t>Rock’s ‘SCARF’ model (2009) helps bring a conscious awareness to leaders and builds a better understanding of the state of engagement of employees, helping organisations operate optimally.</w:t>
      </w:r>
    </w:p>
    <w:p w14:paraId="453FD15C" w14:textId="77777777" w:rsidR="00855FB4" w:rsidRDefault="00855FB4" w:rsidP="00BB14B6">
      <w:pPr>
        <w:spacing w:line="360" w:lineRule="auto"/>
        <w:jc w:val="both"/>
        <w:rPr>
          <w:rFonts w:ascii="Arial" w:hAnsi="Arial" w:cs="Arial"/>
          <w:b/>
          <w:bCs/>
          <w:u w:val="single"/>
        </w:rPr>
      </w:pPr>
    </w:p>
    <w:p w14:paraId="7E207269" w14:textId="77777777" w:rsidR="00855FB4" w:rsidRDefault="00855FB4" w:rsidP="00BB14B6">
      <w:pPr>
        <w:spacing w:line="360" w:lineRule="auto"/>
        <w:jc w:val="both"/>
        <w:rPr>
          <w:rFonts w:ascii="Arial" w:hAnsi="Arial" w:cs="Arial"/>
          <w:b/>
          <w:bCs/>
          <w:u w:val="single"/>
        </w:rPr>
      </w:pPr>
    </w:p>
    <w:p w14:paraId="40AEA62B" w14:textId="77777777" w:rsidR="00855FB4" w:rsidRDefault="00855FB4" w:rsidP="00BB14B6">
      <w:pPr>
        <w:spacing w:line="360" w:lineRule="auto"/>
        <w:jc w:val="both"/>
        <w:rPr>
          <w:rFonts w:ascii="Arial" w:hAnsi="Arial" w:cs="Arial"/>
          <w:b/>
          <w:bCs/>
          <w:u w:val="single"/>
        </w:rPr>
      </w:pPr>
    </w:p>
    <w:p w14:paraId="3CA22618" w14:textId="77777777" w:rsidR="00855FB4" w:rsidRDefault="00855FB4" w:rsidP="00BB14B6">
      <w:pPr>
        <w:spacing w:line="360" w:lineRule="auto"/>
        <w:jc w:val="both"/>
        <w:rPr>
          <w:rFonts w:ascii="Arial" w:hAnsi="Arial" w:cs="Arial"/>
          <w:b/>
          <w:bCs/>
          <w:u w:val="single"/>
        </w:rPr>
      </w:pPr>
    </w:p>
    <w:p w14:paraId="69BC1DE3" w14:textId="77777777" w:rsidR="00855FB4" w:rsidRDefault="00855FB4" w:rsidP="00BB14B6">
      <w:pPr>
        <w:spacing w:line="360" w:lineRule="auto"/>
        <w:jc w:val="both"/>
        <w:rPr>
          <w:rFonts w:ascii="Arial" w:hAnsi="Arial" w:cs="Arial"/>
          <w:b/>
          <w:bCs/>
          <w:u w:val="single"/>
        </w:rPr>
      </w:pPr>
    </w:p>
    <w:p w14:paraId="799F07F6" w14:textId="77777777" w:rsidR="00855FB4" w:rsidRDefault="00855FB4" w:rsidP="00BB14B6">
      <w:pPr>
        <w:spacing w:line="360" w:lineRule="auto"/>
        <w:jc w:val="both"/>
        <w:rPr>
          <w:rFonts w:ascii="Arial" w:hAnsi="Arial" w:cs="Arial"/>
          <w:b/>
          <w:bCs/>
          <w:u w:val="single"/>
        </w:rPr>
      </w:pPr>
    </w:p>
    <w:p w14:paraId="00F047FB" w14:textId="77777777" w:rsidR="00855FB4" w:rsidRDefault="00855FB4" w:rsidP="00BB14B6">
      <w:pPr>
        <w:spacing w:line="360" w:lineRule="auto"/>
        <w:jc w:val="both"/>
        <w:rPr>
          <w:rFonts w:ascii="Arial" w:hAnsi="Arial" w:cs="Arial"/>
          <w:b/>
          <w:bCs/>
          <w:u w:val="single"/>
        </w:rPr>
      </w:pPr>
    </w:p>
    <w:p w14:paraId="0F1ACBAA" w14:textId="77777777" w:rsidR="00855FB4" w:rsidRDefault="00855FB4" w:rsidP="00BB14B6">
      <w:pPr>
        <w:spacing w:line="360" w:lineRule="auto"/>
        <w:jc w:val="both"/>
        <w:rPr>
          <w:rFonts w:ascii="Arial" w:hAnsi="Arial" w:cs="Arial"/>
          <w:b/>
          <w:bCs/>
          <w:u w:val="single"/>
        </w:rPr>
      </w:pPr>
    </w:p>
    <w:p w14:paraId="3D4C673B" w14:textId="77777777" w:rsidR="00855FB4" w:rsidRDefault="00855FB4" w:rsidP="00BB14B6">
      <w:pPr>
        <w:spacing w:line="360" w:lineRule="auto"/>
        <w:jc w:val="both"/>
        <w:rPr>
          <w:rFonts w:ascii="Arial" w:hAnsi="Arial" w:cs="Arial"/>
          <w:b/>
          <w:bCs/>
          <w:u w:val="single"/>
        </w:rPr>
      </w:pPr>
    </w:p>
    <w:p w14:paraId="0A6AC08C" w14:textId="77777777" w:rsidR="00855FB4" w:rsidRDefault="00855FB4" w:rsidP="00BB14B6">
      <w:pPr>
        <w:spacing w:line="360" w:lineRule="auto"/>
        <w:jc w:val="both"/>
        <w:rPr>
          <w:rFonts w:ascii="Arial" w:hAnsi="Arial" w:cs="Arial"/>
          <w:b/>
          <w:bCs/>
          <w:u w:val="single"/>
        </w:rPr>
      </w:pPr>
    </w:p>
    <w:p w14:paraId="32E8D45B" w14:textId="77777777" w:rsidR="00855FB4" w:rsidRDefault="00855FB4" w:rsidP="00BB14B6">
      <w:pPr>
        <w:spacing w:line="360" w:lineRule="auto"/>
        <w:jc w:val="both"/>
        <w:rPr>
          <w:rFonts w:ascii="Arial" w:hAnsi="Arial" w:cs="Arial"/>
          <w:b/>
          <w:bCs/>
          <w:u w:val="single"/>
        </w:rPr>
      </w:pPr>
    </w:p>
    <w:p w14:paraId="6A8EB47A" w14:textId="77777777" w:rsidR="00855FB4" w:rsidRDefault="00855FB4" w:rsidP="00BB14B6">
      <w:pPr>
        <w:spacing w:line="360" w:lineRule="auto"/>
        <w:jc w:val="both"/>
        <w:rPr>
          <w:rFonts w:ascii="Arial" w:hAnsi="Arial" w:cs="Arial"/>
          <w:b/>
          <w:bCs/>
          <w:u w:val="single"/>
        </w:rPr>
      </w:pPr>
    </w:p>
    <w:p w14:paraId="67492E73" w14:textId="77777777" w:rsidR="00855FB4" w:rsidRDefault="00855FB4" w:rsidP="00BB14B6">
      <w:pPr>
        <w:spacing w:line="360" w:lineRule="auto"/>
        <w:jc w:val="both"/>
        <w:rPr>
          <w:rFonts w:ascii="Arial" w:hAnsi="Arial" w:cs="Arial"/>
          <w:b/>
          <w:bCs/>
          <w:u w:val="single"/>
        </w:rPr>
      </w:pPr>
    </w:p>
    <w:p w14:paraId="612D54F1" w14:textId="77777777" w:rsidR="00855FB4" w:rsidRDefault="00855FB4" w:rsidP="00BB14B6">
      <w:pPr>
        <w:spacing w:line="360" w:lineRule="auto"/>
        <w:jc w:val="both"/>
        <w:rPr>
          <w:rFonts w:ascii="Arial" w:hAnsi="Arial" w:cs="Arial"/>
          <w:b/>
          <w:bCs/>
          <w:u w:val="single"/>
        </w:rPr>
      </w:pPr>
    </w:p>
    <w:p w14:paraId="4767BB5D" w14:textId="77777777" w:rsidR="00E94EC9" w:rsidRPr="00E94EC9" w:rsidRDefault="00E94EC9" w:rsidP="00E94EC9">
      <w:pPr>
        <w:spacing w:line="360" w:lineRule="auto"/>
        <w:jc w:val="both"/>
        <w:rPr>
          <w:rFonts w:ascii="Arial" w:hAnsi="Arial" w:cs="Arial"/>
          <w:b/>
          <w:bCs/>
          <w:u w:val="single"/>
        </w:rPr>
      </w:pPr>
    </w:p>
    <w:p w14:paraId="7B1A4932"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Assess how employee selection or employee development impacts organisational culture and behaviour in your organisation (or one with which you are familiar). (AC 2.2)</w:t>
      </w:r>
    </w:p>
    <w:p w14:paraId="59979DA1" w14:textId="77777777" w:rsidR="008165FA" w:rsidRDefault="008165FA" w:rsidP="00BB14B6">
      <w:pPr>
        <w:spacing w:line="360" w:lineRule="auto"/>
        <w:jc w:val="both"/>
        <w:rPr>
          <w:rFonts w:ascii="Arial" w:hAnsi="Arial" w:cs="Arial"/>
          <w:b/>
          <w:bCs/>
          <w:u w:val="single"/>
        </w:rPr>
      </w:pPr>
    </w:p>
    <w:p w14:paraId="6FD356A7"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Employee Development</w:t>
      </w:r>
    </w:p>
    <w:p w14:paraId="19B031C4"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 xml:space="preserve">Can be a </w:t>
      </w:r>
      <w:proofErr w:type="gramStart"/>
      <w:r>
        <w:rPr>
          <w:rFonts w:ascii="Arial" w:hAnsi="Arial" w:cs="Arial"/>
        </w:rPr>
        <w:t>double edged</w:t>
      </w:r>
      <w:proofErr w:type="gramEnd"/>
      <w:r>
        <w:rPr>
          <w:rFonts w:ascii="Arial" w:hAnsi="Arial" w:cs="Arial"/>
        </w:rPr>
        <w:t xml:space="preserve"> sword – low retention = employee’s don’t develop enough. </w:t>
      </w:r>
      <w:proofErr w:type="gramStart"/>
      <w:r>
        <w:rPr>
          <w:rFonts w:ascii="Arial" w:hAnsi="Arial" w:cs="Arial"/>
        </w:rPr>
        <w:t>High cost,</w:t>
      </w:r>
      <w:proofErr w:type="gramEnd"/>
      <w:r>
        <w:rPr>
          <w:rFonts w:ascii="Arial" w:hAnsi="Arial" w:cs="Arial"/>
        </w:rPr>
        <w:t xml:space="preserve"> doesn’t give people chance to see real life evidence of growth within the organisation.</w:t>
      </w:r>
    </w:p>
    <w:p w14:paraId="1771F1AA" w14:textId="5A988B14"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 xml:space="preserve">High retention low turnover = employees that have been there for years, can cause toxicity. Resistance to change, been there for years therefore seen everything before, not willing to try new ideas. Bad apple </w:t>
      </w:r>
      <w:r w:rsidR="00BA6187">
        <w:rPr>
          <w:rFonts w:ascii="Arial" w:hAnsi="Arial" w:cs="Arial"/>
        </w:rPr>
        <w:t>rotten</w:t>
      </w:r>
      <w:r>
        <w:rPr>
          <w:rFonts w:ascii="Arial" w:hAnsi="Arial" w:cs="Arial"/>
        </w:rPr>
        <w:t xml:space="preserve"> barrel. Can demotivate </w:t>
      </w:r>
      <w:proofErr w:type="gramStart"/>
      <w:r>
        <w:rPr>
          <w:rFonts w:ascii="Arial" w:hAnsi="Arial" w:cs="Arial"/>
        </w:rPr>
        <w:t>new comers</w:t>
      </w:r>
      <w:proofErr w:type="gramEnd"/>
      <w:r>
        <w:rPr>
          <w:rFonts w:ascii="Arial" w:hAnsi="Arial" w:cs="Arial"/>
        </w:rPr>
        <w:t>.</w:t>
      </w:r>
    </w:p>
    <w:p w14:paraId="0950C8D9"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Large organisation can be harder to manage PCC LA, so many different areas therefore a blanket approach doesn’t necessarily work or fit for all areas. E.g. refuse need different assistance to finance.</w:t>
      </w:r>
    </w:p>
    <w:p w14:paraId="7B35E83F"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 xml:space="preserve">Development/CPD opportunities need to be managed well and carefully. Ensure fair processes/opportunities to allow all to be involved. Can be secretive at times, things </w:t>
      </w:r>
      <w:proofErr w:type="gramStart"/>
      <w:r>
        <w:rPr>
          <w:rFonts w:ascii="Arial" w:hAnsi="Arial" w:cs="Arial"/>
        </w:rPr>
        <w:t>not open</w:t>
      </w:r>
      <w:proofErr w:type="gramEnd"/>
      <w:r>
        <w:rPr>
          <w:rFonts w:ascii="Arial" w:hAnsi="Arial" w:cs="Arial"/>
        </w:rPr>
        <w:t xml:space="preserve"> to everybody, hear through the grapevine. Employees should not have to seek their own CPD opportunities and present them to their line manager. To an extent, employees can seek their own opportunities and present them, but employees should be clear on what’s available</w:t>
      </w:r>
    </w:p>
    <w:p w14:paraId="5E1BBAA9"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 xml:space="preserve">PCC have a Microsoft teams chat with everyone within HR (including L&amp;D, </w:t>
      </w:r>
      <w:proofErr w:type="spellStart"/>
      <w:r>
        <w:rPr>
          <w:rFonts w:ascii="Arial" w:hAnsi="Arial" w:cs="Arial"/>
        </w:rPr>
        <w:t>Occ</w:t>
      </w:r>
      <w:proofErr w:type="spellEnd"/>
      <w:r>
        <w:rPr>
          <w:rFonts w:ascii="Arial" w:hAnsi="Arial" w:cs="Arial"/>
        </w:rPr>
        <w:t xml:space="preserve"> Health) </w:t>
      </w:r>
      <w:r w:rsidRPr="0039230F">
        <w:rPr>
          <w:rFonts w:ascii="Arial" w:hAnsi="Arial" w:cs="Arial"/>
        </w:rPr>
        <w:sym w:font="Wingdings" w:char="F0E0"/>
      </w:r>
      <w:r>
        <w:rPr>
          <w:rFonts w:ascii="Arial" w:hAnsi="Arial" w:cs="Arial"/>
        </w:rPr>
        <w:t xml:space="preserve"> CPD opportunities constantly posted in there, courses.</w:t>
      </w:r>
    </w:p>
    <w:p w14:paraId="68D4D64F"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Actual opportunities to shadow roles, assist in additional meetings/duties to gain exposure and experience is where it massively lacks.</w:t>
      </w:r>
    </w:p>
    <w:p w14:paraId="482E8AA3"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Funded training not available often, if it is usually limited number of individuals -</w:t>
      </w:r>
      <w:r w:rsidRPr="006168BD">
        <w:rPr>
          <w:rFonts w:ascii="Arial" w:hAnsi="Arial" w:cs="Arial"/>
        </w:rPr>
        <w:sym w:font="Wingdings" w:char="F0E0"/>
      </w:r>
      <w:r>
        <w:rPr>
          <w:rFonts w:ascii="Arial" w:hAnsi="Arial" w:cs="Arial"/>
        </w:rPr>
        <w:t xml:space="preserve"> targeted training with can help benefit roles, e.g. mediation, only a few in the dept trained and confident to deliver. Service requirements, not able to train and pass skills on effectively.</w:t>
      </w:r>
    </w:p>
    <w:p w14:paraId="3C89654F" w14:textId="77777777" w:rsidR="00373EAF" w:rsidRDefault="00373EAF" w:rsidP="00373EAF">
      <w:pPr>
        <w:pStyle w:val="ListParagraph"/>
        <w:numPr>
          <w:ilvl w:val="1"/>
          <w:numId w:val="3"/>
        </w:numPr>
        <w:spacing w:line="360" w:lineRule="auto"/>
        <w:jc w:val="both"/>
        <w:rPr>
          <w:rFonts w:ascii="Arial" w:hAnsi="Arial" w:cs="Arial"/>
        </w:rPr>
      </w:pPr>
      <w:r>
        <w:rPr>
          <w:rFonts w:ascii="Arial" w:hAnsi="Arial" w:cs="Arial"/>
        </w:rPr>
        <w:t xml:space="preserve">Wilkinson and Taylor, 2022 </w:t>
      </w:r>
      <w:r w:rsidRPr="004B31F2">
        <w:rPr>
          <w:rFonts w:ascii="Arial" w:hAnsi="Arial" w:cs="Arial"/>
        </w:rPr>
        <w:sym w:font="Wingdings" w:char="F0E0"/>
      </w:r>
      <w:r>
        <w:rPr>
          <w:rFonts w:ascii="Arial" w:hAnsi="Arial" w:cs="Arial"/>
        </w:rPr>
        <w:t xml:space="preserve"> psychological contract</w:t>
      </w:r>
    </w:p>
    <w:p w14:paraId="7E005638" w14:textId="77777777" w:rsidR="00373EAF" w:rsidRDefault="00373EAF" w:rsidP="00373EAF">
      <w:pPr>
        <w:pStyle w:val="ListParagraph"/>
        <w:numPr>
          <w:ilvl w:val="0"/>
          <w:numId w:val="3"/>
        </w:numPr>
        <w:spacing w:line="360" w:lineRule="auto"/>
        <w:jc w:val="both"/>
        <w:rPr>
          <w:rFonts w:ascii="Arial" w:hAnsi="Arial" w:cs="Arial"/>
        </w:rPr>
      </w:pPr>
      <w:r>
        <w:rPr>
          <w:rFonts w:ascii="Arial" w:hAnsi="Arial" w:cs="Arial"/>
        </w:rPr>
        <w:t>Kloot and Martin!</w:t>
      </w:r>
    </w:p>
    <w:p w14:paraId="6DF8B055" w14:textId="77777777" w:rsidR="00373EAF" w:rsidRPr="00A631AC" w:rsidRDefault="00373EAF" w:rsidP="00373EAF">
      <w:pPr>
        <w:pStyle w:val="ListParagraph"/>
        <w:numPr>
          <w:ilvl w:val="0"/>
          <w:numId w:val="3"/>
        </w:numPr>
        <w:spacing w:line="360" w:lineRule="auto"/>
        <w:jc w:val="both"/>
        <w:rPr>
          <w:rFonts w:ascii="Arial" w:hAnsi="Arial" w:cs="Arial"/>
        </w:rPr>
      </w:pPr>
      <w:r>
        <w:rPr>
          <w:rFonts w:ascii="Arial" w:hAnsi="Arial" w:cs="Arial"/>
        </w:rPr>
        <w:lastRenderedPageBreak/>
        <w:t>Valuable, talented employees will not generate value unless they’re in a supportive environment with a good working relationship with manager (peters, 2024)</w:t>
      </w:r>
    </w:p>
    <w:p w14:paraId="62129718" w14:textId="77777777" w:rsidR="008165FA" w:rsidRDefault="008165FA" w:rsidP="00BB14B6">
      <w:pPr>
        <w:spacing w:line="360" w:lineRule="auto"/>
        <w:jc w:val="both"/>
        <w:rPr>
          <w:rFonts w:ascii="Arial" w:hAnsi="Arial" w:cs="Arial"/>
          <w:b/>
          <w:bCs/>
          <w:u w:val="single"/>
        </w:rPr>
      </w:pPr>
    </w:p>
    <w:p w14:paraId="480F0B19" w14:textId="77777777" w:rsidR="008165FA" w:rsidRDefault="008165FA" w:rsidP="00BB14B6">
      <w:pPr>
        <w:spacing w:line="360" w:lineRule="auto"/>
        <w:jc w:val="both"/>
        <w:rPr>
          <w:rFonts w:ascii="Arial" w:hAnsi="Arial" w:cs="Arial"/>
          <w:b/>
          <w:bCs/>
          <w:u w:val="single"/>
        </w:rPr>
      </w:pPr>
    </w:p>
    <w:p w14:paraId="4BB8BEC4" w14:textId="77777777" w:rsidR="008165FA" w:rsidRDefault="008165FA" w:rsidP="00BB14B6">
      <w:pPr>
        <w:spacing w:line="360" w:lineRule="auto"/>
        <w:jc w:val="both"/>
        <w:rPr>
          <w:rFonts w:ascii="Arial" w:hAnsi="Arial" w:cs="Arial"/>
          <w:b/>
          <w:bCs/>
          <w:u w:val="single"/>
        </w:rPr>
      </w:pPr>
    </w:p>
    <w:p w14:paraId="0CDB5A52" w14:textId="77777777" w:rsidR="00855FB4" w:rsidRDefault="00855FB4" w:rsidP="00BB14B6">
      <w:pPr>
        <w:spacing w:line="360" w:lineRule="auto"/>
        <w:jc w:val="both"/>
        <w:rPr>
          <w:rFonts w:ascii="Arial" w:hAnsi="Arial" w:cs="Arial"/>
          <w:b/>
          <w:bCs/>
          <w:u w:val="single"/>
        </w:rPr>
      </w:pPr>
    </w:p>
    <w:p w14:paraId="5BC00EB5" w14:textId="77777777" w:rsidR="00855FB4" w:rsidRDefault="00855FB4" w:rsidP="00BB14B6">
      <w:pPr>
        <w:spacing w:line="360" w:lineRule="auto"/>
        <w:jc w:val="both"/>
        <w:rPr>
          <w:rFonts w:ascii="Arial" w:hAnsi="Arial" w:cs="Arial"/>
          <w:b/>
          <w:bCs/>
          <w:u w:val="single"/>
        </w:rPr>
      </w:pPr>
    </w:p>
    <w:p w14:paraId="2CFF748F" w14:textId="77777777" w:rsidR="00855FB4" w:rsidRDefault="00855FB4" w:rsidP="00BB14B6">
      <w:pPr>
        <w:spacing w:line="360" w:lineRule="auto"/>
        <w:jc w:val="both"/>
        <w:rPr>
          <w:rFonts w:ascii="Arial" w:hAnsi="Arial" w:cs="Arial"/>
          <w:b/>
          <w:bCs/>
          <w:u w:val="single"/>
        </w:rPr>
      </w:pPr>
    </w:p>
    <w:p w14:paraId="01B32BDC" w14:textId="77777777" w:rsidR="00855FB4" w:rsidRDefault="00855FB4" w:rsidP="00BB14B6">
      <w:pPr>
        <w:spacing w:line="360" w:lineRule="auto"/>
        <w:jc w:val="both"/>
        <w:rPr>
          <w:rFonts w:ascii="Arial" w:hAnsi="Arial" w:cs="Arial"/>
          <w:b/>
          <w:bCs/>
          <w:u w:val="single"/>
        </w:rPr>
      </w:pPr>
    </w:p>
    <w:p w14:paraId="71A3D232" w14:textId="77777777" w:rsidR="00855FB4" w:rsidRDefault="00855FB4" w:rsidP="00BB14B6">
      <w:pPr>
        <w:spacing w:line="360" w:lineRule="auto"/>
        <w:jc w:val="both"/>
        <w:rPr>
          <w:rFonts w:ascii="Arial" w:hAnsi="Arial" w:cs="Arial"/>
          <w:b/>
          <w:bCs/>
          <w:u w:val="single"/>
        </w:rPr>
      </w:pPr>
    </w:p>
    <w:p w14:paraId="5294D63B" w14:textId="77777777" w:rsidR="00855FB4" w:rsidRDefault="00855FB4" w:rsidP="00BB14B6">
      <w:pPr>
        <w:spacing w:line="360" w:lineRule="auto"/>
        <w:jc w:val="both"/>
        <w:rPr>
          <w:rFonts w:ascii="Arial" w:hAnsi="Arial" w:cs="Arial"/>
          <w:b/>
          <w:bCs/>
          <w:u w:val="single"/>
        </w:rPr>
      </w:pPr>
    </w:p>
    <w:p w14:paraId="0C7A8938" w14:textId="77777777" w:rsidR="00855FB4" w:rsidRDefault="00855FB4" w:rsidP="00BB14B6">
      <w:pPr>
        <w:spacing w:line="360" w:lineRule="auto"/>
        <w:jc w:val="both"/>
        <w:rPr>
          <w:rFonts w:ascii="Arial" w:hAnsi="Arial" w:cs="Arial"/>
          <w:b/>
          <w:bCs/>
          <w:u w:val="single"/>
        </w:rPr>
      </w:pPr>
    </w:p>
    <w:p w14:paraId="0D01DCD2" w14:textId="77777777" w:rsidR="00855FB4" w:rsidRDefault="00855FB4" w:rsidP="00BB14B6">
      <w:pPr>
        <w:spacing w:line="360" w:lineRule="auto"/>
        <w:jc w:val="both"/>
        <w:rPr>
          <w:rFonts w:ascii="Arial" w:hAnsi="Arial" w:cs="Arial"/>
          <w:b/>
          <w:bCs/>
          <w:u w:val="single"/>
        </w:rPr>
      </w:pPr>
    </w:p>
    <w:p w14:paraId="40A500F5" w14:textId="77777777" w:rsidR="00855FB4" w:rsidRDefault="00855FB4" w:rsidP="00BB14B6">
      <w:pPr>
        <w:spacing w:line="360" w:lineRule="auto"/>
        <w:jc w:val="both"/>
        <w:rPr>
          <w:rFonts w:ascii="Arial" w:hAnsi="Arial" w:cs="Arial"/>
          <w:b/>
          <w:bCs/>
          <w:u w:val="single"/>
        </w:rPr>
      </w:pPr>
    </w:p>
    <w:p w14:paraId="6738C160" w14:textId="77777777" w:rsidR="00855FB4" w:rsidRDefault="00855FB4" w:rsidP="00BB14B6">
      <w:pPr>
        <w:spacing w:line="360" w:lineRule="auto"/>
        <w:jc w:val="both"/>
        <w:rPr>
          <w:rFonts w:ascii="Arial" w:hAnsi="Arial" w:cs="Arial"/>
          <w:b/>
          <w:bCs/>
          <w:u w:val="single"/>
        </w:rPr>
      </w:pPr>
    </w:p>
    <w:p w14:paraId="736E4BB5" w14:textId="77777777" w:rsidR="00855FB4" w:rsidRDefault="00855FB4" w:rsidP="00BB14B6">
      <w:pPr>
        <w:spacing w:line="360" w:lineRule="auto"/>
        <w:jc w:val="both"/>
        <w:rPr>
          <w:rFonts w:ascii="Arial" w:hAnsi="Arial" w:cs="Arial"/>
          <w:b/>
          <w:bCs/>
          <w:u w:val="single"/>
        </w:rPr>
      </w:pPr>
    </w:p>
    <w:p w14:paraId="6CE18204" w14:textId="77777777" w:rsidR="00855FB4" w:rsidRDefault="00855FB4" w:rsidP="00BB14B6">
      <w:pPr>
        <w:spacing w:line="360" w:lineRule="auto"/>
        <w:jc w:val="both"/>
        <w:rPr>
          <w:rFonts w:ascii="Arial" w:hAnsi="Arial" w:cs="Arial"/>
          <w:b/>
          <w:bCs/>
          <w:u w:val="single"/>
        </w:rPr>
      </w:pPr>
    </w:p>
    <w:p w14:paraId="5A05C575" w14:textId="77777777" w:rsidR="008165FA" w:rsidRDefault="008165FA" w:rsidP="00BB14B6">
      <w:pPr>
        <w:spacing w:line="360" w:lineRule="auto"/>
        <w:jc w:val="both"/>
        <w:rPr>
          <w:rFonts w:ascii="Arial" w:hAnsi="Arial" w:cs="Arial"/>
          <w:b/>
          <w:bCs/>
          <w:u w:val="single"/>
        </w:rPr>
      </w:pPr>
    </w:p>
    <w:p w14:paraId="65CA7011" w14:textId="77777777" w:rsidR="008165FA" w:rsidRDefault="008165FA" w:rsidP="00BB14B6">
      <w:pPr>
        <w:spacing w:line="360" w:lineRule="auto"/>
        <w:jc w:val="both"/>
        <w:rPr>
          <w:rFonts w:ascii="Arial" w:hAnsi="Arial" w:cs="Arial"/>
          <w:b/>
          <w:bCs/>
          <w:u w:val="single"/>
        </w:rPr>
      </w:pPr>
    </w:p>
    <w:p w14:paraId="6692EDC6" w14:textId="77777777" w:rsidR="00855FB4" w:rsidRDefault="00855FB4" w:rsidP="00BB14B6">
      <w:pPr>
        <w:spacing w:line="360" w:lineRule="auto"/>
        <w:jc w:val="both"/>
        <w:rPr>
          <w:rFonts w:ascii="Arial" w:hAnsi="Arial" w:cs="Arial"/>
          <w:b/>
          <w:bCs/>
          <w:u w:val="single"/>
        </w:rPr>
      </w:pPr>
    </w:p>
    <w:p w14:paraId="2435FD9D" w14:textId="77777777" w:rsidR="00855FB4" w:rsidRDefault="00855FB4" w:rsidP="00BB14B6">
      <w:pPr>
        <w:spacing w:line="360" w:lineRule="auto"/>
        <w:jc w:val="both"/>
        <w:rPr>
          <w:rFonts w:ascii="Arial" w:hAnsi="Arial" w:cs="Arial"/>
          <w:b/>
          <w:bCs/>
          <w:u w:val="single"/>
        </w:rPr>
      </w:pPr>
    </w:p>
    <w:p w14:paraId="65DB6135" w14:textId="77777777" w:rsidR="00855FB4" w:rsidRDefault="00855FB4" w:rsidP="00BB14B6">
      <w:pPr>
        <w:spacing w:line="360" w:lineRule="auto"/>
        <w:jc w:val="both"/>
        <w:rPr>
          <w:rFonts w:ascii="Arial" w:hAnsi="Arial" w:cs="Arial"/>
          <w:b/>
          <w:bCs/>
          <w:u w:val="single"/>
        </w:rPr>
      </w:pPr>
    </w:p>
    <w:p w14:paraId="594E335A" w14:textId="77777777" w:rsidR="00855FB4" w:rsidRDefault="00855FB4" w:rsidP="00BB14B6">
      <w:pPr>
        <w:spacing w:line="360" w:lineRule="auto"/>
        <w:jc w:val="both"/>
        <w:rPr>
          <w:rFonts w:ascii="Arial" w:hAnsi="Arial" w:cs="Arial"/>
          <w:b/>
          <w:bCs/>
          <w:u w:val="single"/>
        </w:rPr>
      </w:pPr>
    </w:p>
    <w:p w14:paraId="44B454BC" w14:textId="77777777" w:rsidR="00855FB4" w:rsidRDefault="00855FB4" w:rsidP="00BB14B6">
      <w:pPr>
        <w:spacing w:line="360" w:lineRule="auto"/>
        <w:jc w:val="both"/>
        <w:rPr>
          <w:rFonts w:ascii="Arial" w:hAnsi="Arial" w:cs="Arial"/>
          <w:b/>
          <w:bCs/>
          <w:u w:val="single"/>
        </w:rPr>
      </w:pPr>
    </w:p>
    <w:p w14:paraId="4D2CCCC5" w14:textId="77777777" w:rsidR="00855FB4" w:rsidRDefault="00855FB4" w:rsidP="00BB14B6">
      <w:pPr>
        <w:spacing w:line="360" w:lineRule="auto"/>
        <w:jc w:val="both"/>
        <w:rPr>
          <w:rFonts w:ascii="Arial" w:hAnsi="Arial" w:cs="Arial"/>
          <w:b/>
          <w:bCs/>
          <w:u w:val="single"/>
        </w:rPr>
      </w:pPr>
    </w:p>
    <w:p w14:paraId="21D35CEC" w14:textId="77777777" w:rsidR="00855FB4" w:rsidRDefault="00855FB4" w:rsidP="00BB14B6">
      <w:pPr>
        <w:spacing w:line="360" w:lineRule="auto"/>
        <w:jc w:val="both"/>
        <w:rPr>
          <w:rFonts w:ascii="Arial" w:hAnsi="Arial" w:cs="Arial"/>
          <w:b/>
          <w:bCs/>
          <w:u w:val="single"/>
        </w:rPr>
      </w:pPr>
    </w:p>
    <w:p w14:paraId="5E013A7E" w14:textId="77777777" w:rsidR="00855FB4" w:rsidRDefault="00855FB4" w:rsidP="00BB14B6">
      <w:pPr>
        <w:spacing w:line="360" w:lineRule="auto"/>
        <w:jc w:val="both"/>
        <w:rPr>
          <w:rFonts w:ascii="Arial" w:hAnsi="Arial" w:cs="Arial"/>
          <w:b/>
          <w:bCs/>
          <w:u w:val="single"/>
        </w:rPr>
      </w:pPr>
    </w:p>
    <w:p w14:paraId="297D82F7" w14:textId="77777777" w:rsidR="00855FB4" w:rsidRDefault="00855FB4" w:rsidP="00BB14B6">
      <w:pPr>
        <w:spacing w:line="360" w:lineRule="auto"/>
        <w:jc w:val="both"/>
        <w:rPr>
          <w:rFonts w:ascii="Arial" w:hAnsi="Arial" w:cs="Arial"/>
          <w:b/>
          <w:bCs/>
          <w:u w:val="single"/>
        </w:rPr>
      </w:pPr>
    </w:p>
    <w:p w14:paraId="1C179EC9" w14:textId="77777777" w:rsidR="00855FB4" w:rsidRDefault="00855FB4" w:rsidP="00BB14B6">
      <w:pPr>
        <w:spacing w:line="360" w:lineRule="auto"/>
        <w:jc w:val="both"/>
        <w:rPr>
          <w:rFonts w:ascii="Arial" w:hAnsi="Arial" w:cs="Arial"/>
          <w:b/>
          <w:bCs/>
          <w:u w:val="single"/>
        </w:rPr>
      </w:pPr>
    </w:p>
    <w:p w14:paraId="360266B0" w14:textId="77777777" w:rsidR="00855FB4" w:rsidRDefault="00855FB4" w:rsidP="00BB14B6">
      <w:pPr>
        <w:spacing w:line="360" w:lineRule="auto"/>
        <w:jc w:val="both"/>
        <w:rPr>
          <w:rFonts w:ascii="Arial" w:hAnsi="Arial" w:cs="Arial"/>
          <w:b/>
          <w:bCs/>
          <w:u w:val="single"/>
        </w:rPr>
      </w:pPr>
    </w:p>
    <w:p w14:paraId="2CBE42D9" w14:textId="77777777" w:rsidR="008165FA" w:rsidRPr="00BB14B6" w:rsidRDefault="008165FA" w:rsidP="00BB14B6">
      <w:pPr>
        <w:spacing w:line="360" w:lineRule="auto"/>
        <w:jc w:val="both"/>
        <w:rPr>
          <w:rFonts w:ascii="Arial" w:hAnsi="Arial" w:cs="Arial"/>
          <w:b/>
          <w:bCs/>
          <w:u w:val="single"/>
        </w:rPr>
      </w:pPr>
    </w:p>
    <w:p w14:paraId="4881475D" w14:textId="77777777" w:rsidR="00E94EC9" w:rsidRPr="00E94EC9" w:rsidRDefault="00E94EC9" w:rsidP="00E94EC9">
      <w:pPr>
        <w:spacing w:line="360" w:lineRule="auto"/>
        <w:jc w:val="both"/>
        <w:rPr>
          <w:rFonts w:ascii="Arial" w:hAnsi="Arial" w:cs="Arial"/>
          <w:b/>
          <w:bCs/>
          <w:u w:val="single"/>
        </w:rPr>
      </w:pPr>
    </w:p>
    <w:p w14:paraId="558E8A6D" w14:textId="77777777" w:rsidR="00BB14B6" w:rsidRP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5CF956A4" w14:textId="77777777" w:rsidR="00E94EC9" w:rsidRDefault="00E94EC9" w:rsidP="00E94EC9">
      <w:pPr>
        <w:spacing w:line="360" w:lineRule="auto"/>
        <w:jc w:val="both"/>
        <w:rPr>
          <w:rFonts w:ascii="Arial" w:hAnsi="Arial" w:cs="Arial"/>
          <w:b/>
          <w:bCs/>
          <w:u w:val="single"/>
        </w:rPr>
      </w:pPr>
    </w:p>
    <w:p w14:paraId="59A28623" w14:textId="77777777" w:rsidR="008165FA" w:rsidRPr="00BB14B6" w:rsidRDefault="008165FA" w:rsidP="008165FA">
      <w:pPr>
        <w:spacing w:line="360" w:lineRule="auto"/>
        <w:jc w:val="both"/>
        <w:rPr>
          <w:rFonts w:ascii="Arial" w:hAnsi="Arial" w:cs="Arial"/>
          <w:b/>
          <w:bCs/>
          <w:u w:val="single"/>
        </w:rPr>
      </w:pPr>
    </w:p>
    <w:p w14:paraId="4B00D5EA" w14:textId="77777777" w:rsidR="008165FA" w:rsidRDefault="008165FA" w:rsidP="008165FA">
      <w:pPr>
        <w:spacing w:line="360" w:lineRule="auto"/>
        <w:jc w:val="both"/>
        <w:rPr>
          <w:rFonts w:ascii="Arial" w:hAnsi="Arial" w:cs="Arial"/>
          <w:b/>
          <w:bCs/>
          <w:u w:val="single"/>
        </w:rPr>
      </w:pPr>
      <w:r w:rsidRPr="000E6EF3">
        <w:rPr>
          <w:rFonts w:ascii="Arial" w:hAnsi="Arial" w:cs="Arial"/>
          <w:noProof/>
        </w:rPr>
        <w:drawing>
          <wp:anchor distT="0" distB="0" distL="114300" distR="114300" simplePos="0" relativeHeight="251661312" behindDoc="0" locked="0" layoutInCell="1" allowOverlap="1" wp14:anchorId="0B35FBE5" wp14:editId="310D2F3F">
            <wp:simplePos x="0" y="0"/>
            <wp:positionH relativeFrom="column">
              <wp:posOffset>798195</wp:posOffset>
            </wp:positionH>
            <wp:positionV relativeFrom="paragraph">
              <wp:posOffset>262890</wp:posOffset>
            </wp:positionV>
            <wp:extent cx="4305300" cy="4203700"/>
            <wp:effectExtent l="0" t="0" r="0" b="0"/>
            <wp:wrapTopAndBottom/>
            <wp:docPr id="1931551136" name="Picture 1" descr="A diagram of a company's company's company's company's company's company's company's company's company's company's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551136" name="Picture 1" descr="A diagram of a company's company's company's company's company's company's company's company's company's company's company's company'&#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305300" cy="4203700"/>
                    </a:xfrm>
                    <a:prstGeom prst="rect">
                      <a:avLst/>
                    </a:prstGeom>
                  </pic:spPr>
                </pic:pic>
              </a:graphicData>
            </a:graphic>
            <wp14:sizeRelH relativeFrom="page">
              <wp14:pctWidth>0</wp14:pctWidth>
            </wp14:sizeRelH>
            <wp14:sizeRelV relativeFrom="page">
              <wp14:pctHeight>0</wp14:pctHeight>
            </wp14:sizeRelV>
          </wp:anchor>
        </w:drawing>
      </w:r>
    </w:p>
    <w:p w14:paraId="7A1B4CBE" w14:textId="77777777" w:rsidR="008165FA" w:rsidRPr="003E72DA" w:rsidRDefault="008165FA" w:rsidP="008165FA">
      <w:pPr>
        <w:pStyle w:val="Caption"/>
        <w:spacing w:line="360" w:lineRule="auto"/>
        <w:jc w:val="center"/>
        <w:rPr>
          <w:rFonts w:ascii="Arial" w:hAnsi="Arial" w:cs="Arial"/>
          <w:color w:val="000000" w:themeColor="text1"/>
        </w:rPr>
      </w:pPr>
      <w:r w:rsidRPr="003E72DA">
        <w:rPr>
          <w:rFonts w:ascii="Arial" w:hAnsi="Arial" w:cs="Arial"/>
          <w:color w:val="000000" w:themeColor="text1"/>
        </w:rPr>
        <w:t xml:space="preserve">Figure </w:t>
      </w:r>
      <w:r w:rsidRPr="003E72DA">
        <w:rPr>
          <w:rFonts w:ascii="Arial" w:hAnsi="Arial" w:cs="Arial"/>
          <w:color w:val="000000" w:themeColor="text1"/>
        </w:rPr>
        <w:fldChar w:fldCharType="begin"/>
      </w:r>
      <w:r w:rsidRPr="003E72DA">
        <w:rPr>
          <w:rFonts w:ascii="Arial" w:hAnsi="Arial" w:cs="Arial"/>
          <w:color w:val="000000" w:themeColor="text1"/>
        </w:rPr>
        <w:instrText xml:space="preserve"> SEQ Figure \* ARABIC </w:instrText>
      </w:r>
      <w:r w:rsidRPr="003E72DA">
        <w:rPr>
          <w:rFonts w:ascii="Arial" w:hAnsi="Arial" w:cs="Arial"/>
          <w:color w:val="000000" w:themeColor="text1"/>
        </w:rPr>
        <w:fldChar w:fldCharType="separate"/>
      </w:r>
      <w:r w:rsidRPr="003E72DA">
        <w:rPr>
          <w:rFonts w:ascii="Arial" w:hAnsi="Arial" w:cs="Arial"/>
          <w:noProof/>
          <w:color w:val="000000" w:themeColor="text1"/>
        </w:rPr>
        <w:t>1</w:t>
      </w:r>
      <w:r w:rsidRPr="003E72DA">
        <w:rPr>
          <w:rFonts w:ascii="Arial" w:hAnsi="Arial" w:cs="Arial"/>
          <w:color w:val="000000" w:themeColor="text1"/>
        </w:rPr>
        <w:fldChar w:fldCharType="end"/>
      </w:r>
      <w:r w:rsidRPr="003E72DA">
        <w:rPr>
          <w:rFonts w:ascii="Arial" w:hAnsi="Arial" w:cs="Arial"/>
          <w:color w:val="000000" w:themeColor="text1"/>
        </w:rPr>
        <w:t xml:space="preserve"> - Kotter's model of eight steps to accelerate change (Kotter, 2025)</w:t>
      </w:r>
    </w:p>
    <w:p w14:paraId="045C13F5" w14:textId="77777777" w:rsidR="008165FA" w:rsidRDefault="008165FA" w:rsidP="008165FA">
      <w:pPr>
        <w:spacing w:line="360" w:lineRule="auto"/>
        <w:jc w:val="both"/>
        <w:rPr>
          <w:rFonts w:ascii="Arial" w:hAnsi="Arial" w:cs="Arial"/>
        </w:rPr>
      </w:pPr>
      <w:r>
        <w:rPr>
          <w:rFonts w:ascii="Arial" w:hAnsi="Arial" w:cs="Arial"/>
        </w:rPr>
        <w:t>Kotter developed his eight steps to change model in 1966 to build on existing research to change management (Taylor, 2022). Figure 1 depicts the updated eight steps to accelerating change (Kotter, 2025).</w:t>
      </w:r>
    </w:p>
    <w:p w14:paraId="5B7645F0" w14:textId="77777777" w:rsidR="008165FA" w:rsidRDefault="008165FA" w:rsidP="008165FA">
      <w:pPr>
        <w:spacing w:line="360" w:lineRule="auto"/>
        <w:jc w:val="both"/>
        <w:rPr>
          <w:rFonts w:ascii="Arial" w:hAnsi="Arial" w:cs="Arial"/>
        </w:rPr>
      </w:pPr>
    </w:p>
    <w:p w14:paraId="63660145" w14:textId="77777777" w:rsidR="008165FA" w:rsidRDefault="008165FA" w:rsidP="008165FA">
      <w:pPr>
        <w:spacing w:line="360" w:lineRule="auto"/>
        <w:jc w:val="both"/>
        <w:rPr>
          <w:rFonts w:ascii="Arial" w:hAnsi="Arial" w:cs="Arial"/>
        </w:rPr>
      </w:pPr>
      <w:r>
        <w:rPr>
          <w:rFonts w:ascii="Arial" w:hAnsi="Arial" w:cs="Arial"/>
        </w:rPr>
        <w:t xml:space="preserve">Firstly, a sense of urgency should be created. This is the opportunity to inspire, build momentum and exhibit passion and purpose for the change (Kotter, 2025). In this context, moving to hybrid working allows colleagues to work face-to-face, which is </w:t>
      </w:r>
      <w:r>
        <w:rPr>
          <w:rFonts w:ascii="Arial" w:hAnsi="Arial" w:cs="Arial"/>
        </w:rPr>
        <w:lastRenderedPageBreak/>
        <w:t>associated with huge advantages such as easier communication and collaboration. The angle in which this stage is approached will be vital in shaping the following stages (Kotter, 2025).</w:t>
      </w:r>
    </w:p>
    <w:p w14:paraId="5B4BA249" w14:textId="77777777" w:rsidR="008165FA" w:rsidRDefault="008165FA" w:rsidP="008165FA">
      <w:pPr>
        <w:spacing w:line="360" w:lineRule="auto"/>
        <w:jc w:val="both"/>
        <w:rPr>
          <w:rFonts w:ascii="Arial" w:hAnsi="Arial" w:cs="Arial"/>
        </w:rPr>
      </w:pPr>
    </w:p>
    <w:p w14:paraId="7F9DABC6" w14:textId="77777777" w:rsidR="008165FA" w:rsidRDefault="008165FA" w:rsidP="008165FA">
      <w:pPr>
        <w:spacing w:line="360" w:lineRule="auto"/>
        <w:jc w:val="both"/>
        <w:rPr>
          <w:rFonts w:ascii="Arial" w:hAnsi="Arial" w:cs="Arial"/>
        </w:rPr>
      </w:pPr>
      <w:r>
        <w:rPr>
          <w:rFonts w:ascii="Arial" w:hAnsi="Arial" w:cs="Arial"/>
        </w:rPr>
        <w:t>A guiding coalition should be created of committed people with the ability and willingness to work across hierarchy. Diversity is crucial at this stage, ensuring employees from a variety of roles are included. This helps achieve a greater understanding but also helps implementation (Kotter, 2025).  Next, the vision needs to be created. This needs to be communicable, flexible and imaginable (Kotter, 2025). In this context, it’s crucial for the organisation to be clear on their definition of hybrid-working to ensure transparency and manage expectations (Dale, 2021).</w:t>
      </w:r>
    </w:p>
    <w:p w14:paraId="5ED3C24A" w14:textId="77777777" w:rsidR="008165FA" w:rsidRDefault="008165FA" w:rsidP="008165FA">
      <w:pPr>
        <w:spacing w:line="360" w:lineRule="auto"/>
        <w:jc w:val="both"/>
        <w:rPr>
          <w:rFonts w:ascii="Arial" w:hAnsi="Arial" w:cs="Arial"/>
        </w:rPr>
      </w:pPr>
    </w:p>
    <w:p w14:paraId="7CD1785B" w14:textId="77777777" w:rsidR="008165FA" w:rsidRDefault="008165FA" w:rsidP="008165FA">
      <w:pPr>
        <w:spacing w:line="360" w:lineRule="auto"/>
        <w:jc w:val="both"/>
        <w:rPr>
          <w:rFonts w:ascii="Arial" w:hAnsi="Arial" w:cs="Arial"/>
        </w:rPr>
      </w:pPr>
      <w:r>
        <w:rPr>
          <w:rFonts w:ascii="Arial" w:hAnsi="Arial" w:cs="Arial"/>
        </w:rPr>
        <w:t>Enlisting more volunteers is the next step, individually they must want to contribute, but collectively they need to be unified to achieve the end goal (Kotter, 2025). Reason and motivation are central to this stage, reiterating the sense of purpose. Next, barriers must be removed. The organisation needs to be objective at this stage and criticise why other changes may have been unsuccessful. Mitigation against common barriers should be sought, such as complacency (Kotter, 2025). Managers need to be aware of the challenges associated with hybrid working, whilst policies need to be reviewed to ensure they align with working arrangements (Dale, 2021).</w:t>
      </w:r>
    </w:p>
    <w:p w14:paraId="0B033558" w14:textId="77777777" w:rsidR="008165FA" w:rsidRDefault="008165FA" w:rsidP="008165FA">
      <w:pPr>
        <w:spacing w:line="360" w:lineRule="auto"/>
        <w:jc w:val="both"/>
        <w:rPr>
          <w:rFonts w:ascii="Arial" w:hAnsi="Arial" w:cs="Arial"/>
        </w:rPr>
      </w:pPr>
    </w:p>
    <w:p w14:paraId="1522353B" w14:textId="77777777" w:rsidR="008165FA" w:rsidRDefault="008165FA" w:rsidP="008165FA">
      <w:pPr>
        <w:spacing w:line="360" w:lineRule="auto"/>
        <w:jc w:val="both"/>
        <w:rPr>
          <w:rFonts w:ascii="Arial" w:hAnsi="Arial" w:cs="Arial"/>
        </w:rPr>
      </w:pPr>
      <w:r>
        <w:rPr>
          <w:rFonts w:ascii="Arial" w:hAnsi="Arial" w:cs="Arial"/>
        </w:rPr>
        <w:t>Next, progress should be tracked continually and small wins that are tangible and meaningful should be celebrated (Kotter, 2025). For example, design of office space, amenities that will be available, initiatives available for office days. Penultimately, acceleration needs to be sustained. It’s easy to lose sight of the end goal at this stage due to focusing on other aspects. Urgency needs to be revisited to ensure that credibility is achieved (Kotter, 2025).</w:t>
      </w:r>
    </w:p>
    <w:p w14:paraId="5C60DE1E" w14:textId="77777777" w:rsidR="008165FA" w:rsidRPr="004D2BA8" w:rsidRDefault="008165FA" w:rsidP="008165FA">
      <w:pPr>
        <w:spacing w:line="360" w:lineRule="auto"/>
        <w:jc w:val="both"/>
        <w:rPr>
          <w:rFonts w:ascii="Arial" w:hAnsi="Arial" w:cs="Arial"/>
        </w:rPr>
      </w:pPr>
      <w:r>
        <w:rPr>
          <w:rFonts w:ascii="Arial" w:hAnsi="Arial" w:cs="Arial"/>
        </w:rPr>
        <w:br/>
        <w:t>The last step is instituting the change, ensuring it’s anchored and communicated effectively. In this context, management and HR should be tangible in the office to role-model and available for support if needed. Initiatives such as a wellness walk at lunch should be prioritised to ensure proper integration (Dale, 2021).</w:t>
      </w:r>
    </w:p>
    <w:p w14:paraId="4F3905DB" w14:textId="77777777" w:rsidR="008165FA" w:rsidRPr="00E94EC9" w:rsidRDefault="008165FA" w:rsidP="00E94EC9">
      <w:pPr>
        <w:spacing w:line="360" w:lineRule="auto"/>
        <w:jc w:val="both"/>
        <w:rPr>
          <w:rFonts w:ascii="Arial" w:hAnsi="Arial" w:cs="Arial"/>
          <w:b/>
          <w:bCs/>
          <w:u w:val="single"/>
        </w:rPr>
      </w:pPr>
    </w:p>
    <w:p w14:paraId="52CC1F75" w14:textId="15D53224" w:rsidR="008165FA" w:rsidRPr="008165FA" w:rsidRDefault="008165FA" w:rsidP="008165FA">
      <w:pPr>
        <w:spacing w:line="360" w:lineRule="auto"/>
        <w:jc w:val="both"/>
        <w:rPr>
          <w:rFonts w:ascii="Arial" w:hAnsi="Arial" w:cs="Arial"/>
          <w:b/>
          <w:bCs/>
          <w:u w:val="single"/>
        </w:rPr>
      </w:pPr>
      <w:r>
        <w:rPr>
          <w:noProof/>
        </w:rPr>
        <w:lastRenderedPageBreak/>
        <w:drawing>
          <wp:anchor distT="0" distB="0" distL="114300" distR="114300" simplePos="0" relativeHeight="251659264" behindDoc="0" locked="0" layoutInCell="1" allowOverlap="1" wp14:anchorId="16E0D9D0" wp14:editId="689770A6">
            <wp:simplePos x="0" y="0"/>
            <wp:positionH relativeFrom="column">
              <wp:posOffset>354741</wp:posOffset>
            </wp:positionH>
            <wp:positionV relativeFrom="paragraph">
              <wp:posOffset>534371</wp:posOffset>
            </wp:positionV>
            <wp:extent cx="4735195" cy="3622675"/>
            <wp:effectExtent l="0" t="0" r="1905" b="0"/>
            <wp:wrapTopAndBottom/>
            <wp:docPr id="1435209374" name="Picture 1" descr="A diagram of a person's mental heal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209374" name="Picture 1" descr="A diagram of a person's mental health&#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5195" cy="362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4B6" w:rsidRPr="00BB14B6">
        <w:rPr>
          <w:rFonts w:ascii="Arial" w:hAnsi="Arial" w:cs="Arial"/>
          <w:b/>
          <w:bCs/>
          <w:u w:val="single"/>
        </w:rPr>
        <w:t>Using the Kubler-Ross change curve, discuss how change is experienced. (AC 2.4)</w:t>
      </w:r>
    </w:p>
    <w:p w14:paraId="111BDB09" w14:textId="77777777" w:rsidR="008165FA" w:rsidRDefault="008165FA" w:rsidP="008165FA">
      <w:pPr>
        <w:pStyle w:val="Caption"/>
        <w:spacing w:line="360" w:lineRule="auto"/>
        <w:jc w:val="center"/>
        <w:rPr>
          <w:rFonts w:ascii="Arial" w:hAnsi="Arial" w:cs="Arial"/>
          <w:color w:val="000000" w:themeColor="text1"/>
        </w:rPr>
      </w:pPr>
    </w:p>
    <w:p w14:paraId="4EFF1C53" w14:textId="74AE9C6B" w:rsidR="008165FA" w:rsidRDefault="008165FA" w:rsidP="008165FA">
      <w:pPr>
        <w:pStyle w:val="Caption"/>
        <w:spacing w:line="360" w:lineRule="auto"/>
        <w:jc w:val="center"/>
        <w:rPr>
          <w:rFonts w:ascii="Arial" w:hAnsi="Arial" w:cs="Arial"/>
          <w:color w:val="000000" w:themeColor="text1"/>
        </w:rPr>
      </w:pPr>
      <w:r w:rsidRPr="003E72DA">
        <w:rPr>
          <w:rFonts w:ascii="Arial" w:hAnsi="Arial" w:cs="Arial"/>
          <w:color w:val="000000" w:themeColor="text1"/>
        </w:rPr>
        <w:t xml:space="preserve">Figure </w:t>
      </w:r>
      <w:r w:rsidRPr="003E72DA">
        <w:rPr>
          <w:rFonts w:ascii="Arial" w:hAnsi="Arial" w:cs="Arial"/>
          <w:color w:val="000000" w:themeColor="text1"/>
        </w:rPr>
        <w:fldChar w:fldCharType="begin"/>
      </w:r>
      <w:r w:rsidRPr="003E72DA">
        <w:rPr>
          <w:rFonts w:ascii="Arial" w:hAnsi="Arial" w:cs="Arial"/>
          <w:color w:val="000000" w:themeColor="text1"/>
        </w:rPr>
        <w:instrText xml:space="preserve"> SEQ Figure \* ARABIC </w:instrText>
      </w:r>
      <w:r w:rsidRPr="003E72DA">
        <w:rPr>
          <w:rFonts w:ascii="Arial" w:hAnsi="Arial" w:cs="Arial"/>
          <w:color w:val="000000" w:themeColor="text1"/>
        </w:rPr>
        <w:fldChar w:fldCharType="separate"/>
      </w:r>
      <w:r>
        <w:rPr>
          <w:rFonts w:ascii="Arial" w:hAnsi="Arial" w:cs="Arial"/>
          <w:noProof/>
          <w:color w:val="000000" w:themeColor="text1"/>
        </w:rPr>
        <w:t>2</w:t>
      </w:r>
      <w:r w:rsidRPr="003E72DA">
        <w:rPr>
          <w:rFonts w:ascii="Arial" w:hAnsi="Arial" w:cs="Arial"/>
          <w:color w:val="000000" w:themeColor="text1"/>
        </w:rPr>
        <w:fldChar w:fldCharType="end"/>
      </w:r>
      <w:r w:rsidRPr="003E72DA">
        <w:rPr>
          <w:rFonts w:ascii="Arial" w:hAnsi="Arial" w:cs="Arial"/>
          <w:color w:val="000000" w:themeColor="text1"/>
        </w:rPr>
        <w:t xml:space="preserve"> - Kubler-Ross Change Curve (Kubler-Ross Foundation, 2024)</w:t>
      </w:r>
    </w:p>
    <w:p w14:paraId="2AE391EE" w14:textId="77777777" w:rsidR="008165FA" w:rsidRPr="008165FA" w:rsidRDefault="008165FA" w:rsidP="008165FA"/>
    <w:p w14:paraId="2BEE6A01" w14:textId="77777777" w:rsidR="008165FA" w:rsidRDefault="008165FA" w:rsidP="008165FA">
      <w:pPr>
        <w:spacing w:line="360" w:lineRule="auto"/>
        <w:jc w:val="both"/>
        <w:rPr>
          <w:rFonts w:ascii="Arial" w:hAnsi="Arial" w:cs="Arial"/>
        </w:rPr>
      </w:pPr>
      <w:r>
        <w:rPr>
          <w:rFonts w:ascii="Arial" w:hAnsi="Arial" w:cs="Arial"/>
        </w:rPr>
        <w:t>Change is recognised to be a bruising experience for some people. Therefore, organisations may find it beneficial to be aware of how people cope psychologically using the Kubler-Ross framework (Taylor, 2022). Kubler-Ross was a psychologist that introduced the five stages of death/grief model in 1969: Denial, Anger, Bargaining, Depression and Acceptance. This model has since developed into seven stages, as depicted in Figure 2 (Kubler-Ross Foundation, 2024).</w:t>
      </w:r>
    </w:p>
    <w:p w14:paraId="746577A2" w14:textId="77777777" w:rsidR="008165FA" w:rsidRDefault="008165FA" w:rsidP="008165FA">
      <w:pPr>
        <w:spacing w:line="360" w:lineRule="auto"/>
        <w:jc w:val="both"/>
        <w:rPr>
          <w:rFonts w:ascii="Arial" w:hAnsi="Arial" w:cs="Arial"/>
        </w:rPr>
      </w:pPr>
    </w:p>
    <w:p w14:paraId="73AB88CB" w14:textId="77777777" w:rsidR="008165FA" w:rsidRDefault="008165FA" w:rsidP="008165FA">
      <w:pPr>
        <w:spacing w:line="360" w:lineRule="auto"/>
        <w:jc w:val="both"/>
        <w:rPr>
          <w:rFonts w:ascii="Arial" w:hAnsi="Arial" w:cs="Arial"/>
        </w:rPr>
      </w:pPr>
      <w:r>
        <w:rPr>
          <w:rFonts w:ascii="Arial" w:hAnsi="Arial" w:cs="Arial"/>
        </w:rPr>
        <w:t>Kubler-Ross emphasised throughout her work that although the model is often depicted as linear for clarity, the stages are not experienced in a fixed order for a fixed period, nor do all people experience every stage (Kubler-Ross Foundation, 2024).</w:t>
      </w:r>
    </w:p>
    <w:p w14:paraId="16ABD932" w14:textId="77777777" w:rsidR="008165FA" w:rsidRDefault="008165FA" w:rsidP="008165FA">
      <w:pPr>
        <w:spacing w:line="360" w:lineRule="auto"/>
        <w:jc w:val="both"/>
        <w:rPr>
          <w:rFonts w:ascii="Arial" w:hAnsi="Arial" w:cs="Arial"/>
        </w:rPr>
      </w:pPr>
    </w:p>
    <w:p w14:paraId="59B819F8" w14:textId="77777777" w:rsidR="008165FA" w:rsidRDefault="008165FA" w:rsidP="008165FA">
      <w:pPr>
        <w:spacing w:line="360" w:lineRule="auto"/>
        <w:jc w:val="both"/>
        <w:rPr>
          <w:rFonts w:ascii="Arial" w:hAnsi="Arial" w:cs="Arial"/>
        </w:rPr>
      </w:pPr>
      <w:r>
        <w:rPr>
          <w:rFonts w:ascii="Arial" w:hAnsi="Arial" w:cs="Arial"/>
        </w:rPr>
        <w:t xml:space="preserve">The first stage is shock, where people often experience disbelief and numbness. During this stage people may be disoriented and unable to grasp the concept of the change. Denial occurs typically after shock, where people’s defensive mechanism is triggered to avoid anxiety and protect their ego (Chavan and Bhattacharya, 2022). </w:t>
      </w:r>
      <w:r>
        <w:rPr>
          <w:rFonts w:ascii="Arial" w:hAnsi="Arial" w:cs="Arial"/>
        </w:rPr>
        <w:lastRenderedPageBreak/>
        <w:t>Frustration occurs when the feelings of numbness dissipate, resulting in a better understanding of the change and its disruption. This causes feelings of anger and the likelihood of challenge, which is an opportunity to help someone navigate the change emotionally (Kubler-Ross Foundation, 2024).</w:t>
      </w:r>
    </w:p>
    <w:p w14:paraId="06C931E3" w14:textId="77777777" w:rsidR="008165FA" w:rsidRDefault="008165FA" w:rsidP="008165FA">
      <w:pPr>
        <w:spacing w:line="360" w:lineRule="auto"/>
        <w:jc w:val="both"/>
        <w:rPr>
          <w:rFonts w:ascii="Arial" w:hAnsi="Arial" w:cs="Arial"/>
        </w:rPr>
      </w:pPr>
    </w:p>
    <w:p w14:paraId="6F8B8F6E" w14:textId="77777777" w:rsidR="008165FA" w:rsidRDefault="008165FA" w:rsidP="008165FA">
      <w:pPr>
        <w:spacing w:line="360" w:lineRule="auto"/>
        <w:jc w:val="both"/>
        <w:rPr>
          <w:rFonts w:ascii="Arial" w:hAnsi="Arial" w:cs="Arial"/>
        </w:rPr>
      </w:pPr>
      <w:r>
        <w:rPr>
          <w:rFonts w:ascii="Arial" w:hAnsi="Arial" w:cs="Arial"/>
        </w:rPr>
        <w:t>Energy plummets after realisation that the change is happening, and the Depression stage begins. This stage is often reoccurring and can coexist alongside other stages. The feelings of sadness and emotional struggle fluctuate and can present themselves at certain trigger points before the change is considered integrated (Kubler-Ross Foundation, 2024).</w:t>
      </w:r>
    </w:p>
    <w:p w14:paraId="580A511E" w14:textId="77777777" w:rsidR="008165FA" w:rsidRDefault="008165FA" w:rsidP="008165FA">
      <w:pPr>
        <w:spacing w:line="360" w:lineRule="auto"/>
        <w:jc w:val="both"/>
        <w:rPr>
          <w:rFonts w:ascii="Arial" w:hAnsi="Arial" w:cs="Arial"/>
        </w:rPr>
      </w:pPr>
    </w:p>
    <w:p w14:paraId="1ED6C3CB" w14:textId="77777777" w:rsidR="008165FA" w:rsidRDefault="008165FA" w:rsidP="008165FA">
      <w:pPr>
        <w:spacing w:line="360" w:lineRule="auto"/>
        <w:jc w:val="both"/>
        <w:rPr>
          <w:rFonts w:ascii="Arial" w:hAnsi="Arial" w:cs="Arial"/>
        </w:rPr>
      </w:pPr>
      <w:r>
        <w:rPr>
          <w:rFonts w:ascii="Arial" w:hAnsi="Arial" w:cs="Arial"/>
        </w:rPr>
        <w:t xml:space="preserve">During the Experimentation stage, people begin to try methods of understanding or coping with the change. This stage is the opportunity for managers to be delicate yet proactive as attitudes can be reformed at this stage (Kubler-Ross Foundation, 2024). Decision is the next stage, characterised by definitive processes being made and commitment to new ways of thinking and adaptability. Finally, integration represents where the change has become a reality. The new circumstances are accepted, and stability is achieved. Despite being the final stage, any of the previous stages can present themselves at this time during the period of adjustment (Kubler-Ross Foundation, 2024).  </w:t>
      </w:r>
    </w:p>
    <w:p w14:paraId="3021F8B2" w14:textId="77777777" w:rsidR="008165FA" w:rsidRDefault="008165FA" w:rsidP="008165FA">
      <w:pPr>
        <w:spacing w:line="360" w:lineRule="auto"/>
        <w:jc w:val="both"/>
        <w:rPr>
          <w:rFonts w:ascii="Arial" w:hAnsi="Arial" w:cs="Arial"/>
        </w:rPr>
      </w:pPr>
    </w:p>
    <w:p w14:paraId="0CD94AD9" w14:textId="77777777" w:rsidR="008165FA" w:rsidRDefault="008165FA" w:rsidP="008165FA">
      <w:pPr>
        <w:spacing w:line="360" w:lineRule="auto"/>
        <w:jc w:val="both"/>
        <w:rPr>
          <w:rFonts w:ascii="Arial" w:hAnsi="Arial" w:cs="Arial"/>
        </w:rPr>
      </w:pPr>
      <w:r>
        <w:rPr>
          <w:rFonts w:ascii="Arial" w:hAnsi="Arial" w:cs="Arial"/>
        </w:rPr>
        <w:t xml:space="preserve">Approaching change mindfully will help increase the probability of success, therefore managers should be cautious that this model is fundamentally based on grief/loss, portraying change as threatening rather than beneficial or positive (Roberts and Tracey, 2024) Crucially, managers need to follow emotional intelligence and common sense when implementing change. </w:t>
      </w:r>
    </w:p>
    <w:p w14:paraId="6804E687" w14:textId="77777777" w:rsidR="008165FA" w:rsidRDefault="008165FA" w:rsidP="008165FA">
      <w:pPr>
        <w:spacing w:line="360" w:lineRule="auto"/>
        <w:jc w:val="both"/>
        <w:rPr>
          <w:rFonts w:ascii="Arial" w:hAnsi="Arial" w:cs="Arial"/>
        </w:rPr>
      </w:pPr>
    </w:p>
    <w:p w14:paraId="43500415" w14:textId="77777777" w:rsidR="008165FA" w:rsidRDefault="008165FA" w:rsidP="008165FA">
      <w:pPr>
        <w:spacing w:line="360" w:lineRule="auto"/>
        <w:jc w:val="both"/>
        <w:rPr>
          <w:rFonts w:ascii="Arial" w:hAnsi="Arial" w:cs="Arial"/>
        </w:rPr>
      </w:pPr>
    </w:p>
    <w:p w14:paraId="3A10C2F0" w14:textId="77777777" w:rsidR="008165FA" w:rsidRDefault="008165FA" w:rsidP="008165FA">
      <w:pPr>
        <w:spacing w:line="360" w:lineRule="auto"/>
        <w:jc w:val="both"/>
        <w:rPr>
          <w:rFonts w:ascii="Arial" w:hAnsi="Arial" w:cs="Arial"/>
        </w:rPr>
      </w:pPr>
    </w:p>
    <w:p w14:paraId="6CDC381D" w14:textId="77777777" w:rsidR="008165FA" w:rsidRDefault="008165FA" w:rsidP="008165FA">
      <w:pPr>
        <w:spacing w:line="360" w:lineRule="auto"/>
        <w:jc w:val="both"/>
        <w:rPr>
          <w:rFonts w:ascii="Arial" w:hAnsi="Arial" w:cs="Arial"/>
        </w:rPr>
      </w:pPr>
    </w:p>
    <w:p w14:paraId="224E961D" w14:textId="30133B71" w:rsidR="008165FA" w:rsidRPr="00E61F05" w:rsidRDefault="008165FA" w:rsidP="008165FA">
      <w:pPr>
        <w:spacing w:line="360" w:lineRule="auto"/>
        <w:jc w:val="both"/>
        <w:rPr>
          <w:rFonts w:ascii="Arial" w:hAnsi="Arial" w:cs="Arial"/>
        </w:rPr>
      </w:pPr>
      <w:r>
        <w:fldChar w:fldCharType="begin"/>
      </w:r>
      <w:r>
        <w:instrText xml:space="preserve"> INCLUDEPICTURE "https://i0.wp.com/www.ekrfoundation.org/wp-content/uploads/2020/10/K%C3%BCbler-Ross-Change-Curve.jpg?resize=840%2C643&amp;ssl=1" \* MERGEFORMATINET </w:instrText>
      </w:r>
      <w:r>
        <w:fldChar w:fldCharType="separate"/>
      </w:r>
      <w:r>
        <w:fldChar w:fldCharType="end"/>
      </w:r>
    </w:p>
    <w:p w14:paraId="169C3596" w14:textId="77777777" w:rsidR="008165FA" w:rsidRPr="00BB14B6" w:rsidRDefault="008165FA" w:rsidP="00BB14B6">
      <w:pPr>
        <w:spacing w:line="360" w:lineRule="auto"/>
        <w:jc w:val="both"/>
        <w:rPr>
          <w:rFonts w:ascii="Arial" w:hAnsi="Arial" w:cs="Arial"/>
          <w:b/>
          <w:bCs/>
          <w:u w:val="single"/>
        </w:rPr>
      </w:pPr>
    </w:p>
    <w:p w14:paraId="5F751B6E" w14:textId="77777777" w:rsidR="00E94EC9" w:rsidRPr="00E94EC9" w:rsidRDefault="00E94EC9" w:rsidP="00E94EC9">
      <w:pPr>
        <w:spacing w:line="360" w:lineRule="auto"/>
        <w:jc w:val="both"/>
        <w:rPr>
          <w:rFonts w:ascii="Arial" w:hAnsi="Arial" w:cs="Arial"/>
          <w:b/>
          <w:bCs/>
          <w:u w:val="single"/>
        </w:rPr>
      </w:pPr>
    </w:p>
    <w:p w14:paraId="4B95EF73"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080B85B3" w14:textId="77777777" w:rsidR="008165FA" w:rsidRDefault="008165FA" w:rsidP="00BB14B6">
      <w:pPr>
        <w:spacing w:line="360" w:lineRule="auto"/>
        <w:jc w:val="both"/>
        <w:rPr>
          <w:rFonts w:ascii="Arial" w:hAnsi="Arial" w:cs="Arial"/>
          <w:b/>
          <w:bCs/>
          <w:u w:val="single"/>
        </w:rPr>
      </w:pPr>
    </w:p>
    <w:p w14:paraId="1E3689A1" w14:textId="77777777" w:rsidR="00BB1CC2" w:rsidRDefault="00BB1CC2" w:rsidP="00BB1CC2">
      <w:pPr>
        <w:pStyle w:val="ListParagraph"/>
        <w:numPr>
          <w:ilvl w:val="0"/>
          <w:numId w:val="4"/>
        </w:numPr>
        <w:spacing w:line="360" w:lineRule="auto"/>
        <w:jc w:val="both"/>
        <w:rPr>
          <w:rFonts w:ascii="Arial" w:hAnsi="Arial" w:cs="Arial"/>
        </w:rPr>
      </w:pPr>
      <w:r>
        <w:rPr>
          <w:rFonts w:ascii="Arial" w:hAnsi="Arial" w:cs="Arial"/>
        </w:rPr>
        <w:t>Assess importance of wellbeing at work</w:t>
      </w:r>
    </w:p>
    <w:p w14:paraId="2D4AB178" w14:textId="38AEBE35" w:rsidR="00BB1CC2" w:rsidRDefault="00BB1CC2" w:rsidP="00BB1CC2">
      <w:pPr>
        <w:pStyle w:val="ListParagraph"/>
        <w:numPr>
          <w:ilvl w:val="1"/>
          <w:numId w:val="4"/>
        </w:numPr>
        <w:spacing w:line="360" w:lineRule="auto"/>
        <w:jc w:val="both"/>
        <w:rPr>
          <w:rFonts w:ascii="Arial" w:hAnsi="Arial" w:cs="Arial"/>
        </w:rPr>
      </w:pPr>
      <w:r>
        <w:rPr>
          <w:rFonts w:ascii="Arial" w:hAnsi="Arial" w:cs="Arial"/>
        </w:rPr>
        <w:t xml:space="preserve">Times have </w:t>
      </w:r>
      <w:proofErr w:type="gramStart"/>
      <w:r>
        <w:rPr>
          <w:rFonts w:ascii="Arial" w:hAnsi="Arial" w:cs="Arial"/>
        </w:rPr>
        <w:t>changed,</w:t>
      </w:r>
      <w:proofErr w:type="gramEnd"/>
      <w:r>
        <w:rPr>
          <w:rFonts w:ascii="Arial" w:hAnsi="Arial" w:cs="Arial"/>
        </w:rPr>
        <w:t xml:space="preserve"> mental health is now recognised as just as important</w:t>
      </w:r>
      <w:r w:rsidR="00DC4CAF">
        <w:rPr>
          <w:rFonts w:ascii="Arial" w:hAnsi="Arial" w:cs="Arial"/>
        </w:rPr>
        <w:t xml:space="preserve"> as</w:t>
      </w:r>
      <w:r>
        <w:rPr>
          <w:rFonts w:ascii="Arial" w:hAnsi="Arial" w:cs="Arial"/>
        </w:rPr>
        <w:t xml:space="preserve"> physical health. Awareness is massive, problems are less of a taboo now than ever, encouraged more people to talk and not to struggle in silence. </w:t>
      </w:r>
    </w:p>
    <w:p w14:paraId="2587031D" w14:textId="77777777" w:rsidR="00BB1CC2" w:rsidRDefault="00BB1CC2" w:rsidP="00BB1CC2">
      <w:pPr>
        <w:pStyle w:val="ListParagraph"/>
        <w:numPr>
          <w:ilvl w:val="1"/>
          <w:numId w:val="4"/>
        </w:numPr>
        <w:spacing w:line="360" w:lineRule="auto"/>
        <w:jc w:val="both"/>
        <w:rPr>
          <w:rFonts w:ascii="Arial" w:hAnsi="Arial" w:cs="Arial"/>
        </w:rPr>
      </w:pPr>
      <w:r>
        <w:rPr>
          <w:rFonts w:ascii="Arial" w:hAnsi="Arial" w:cs="Arial"/>
        </w:rPr>
        <w:t>Evident how much external circumstances can impact work OR how work can exacerbate existing issues. Looking after staff crucial and being aware of how the environment can be improved.</w:t>
      </w:r>
    </w:p>
    <w:p w14:paraId="478F440E" w14:textId="77777777" w:rsidR="00BB1CC2" w:rsidRDefault="00BB1CC2" w:rsidP="00BB1CC2">
      <w:pPr>
        <w:pStyle w:val="ListParagraph"/>
        <w:numPr>
          <w:ilvl w:val="1"/>
          <w:numId w:val="4"/>
        </w:numPr>
        <w:spacing w:line="360" w:lineRule="auto"/>
        <w:jc w:val="both"/>
        <w:rPr>
          <w:rFonts w:ascii="Arial" w:hAnsi="Arial" w:cs="Arial"/>
        </w:rPr>
      </w:pPr>
      <w:r>
        <w:rPr>
          <w:rFonts w:ascii="Arial" w:hAnsi="Arial" w:cs="Arial"/>
        </w:rPr>
        <w:t xml:space="preserve">Wellbeing is crucial, recognising wellbeing as high importance will improve organisational performance (reference) </w:t>
      </w:r>
      <w:r w:rsidRPr="00910805">
        <w:rPr>
          <w:rFonts w:ascii="Arial" w:hAnsi="Arial" w:cs="Arial"/>
        </w:rPr>
        <w:sym w:font="Wingdings" w:char="F0E0"/>
      </w:r>
      <w:r>
        <w:rPr>
          <w:rFonts w:ascii="Arial" w:hAnsi="Arial" w:cs="Arial"/>
        </w:rPr>
        <w:t xml:space="preserve"> less absenteeism, greater morale, honesty and integrity from bottom to top. Sense of value. Higher retention, more attractive to work for </w:t>
      </w:r>
      <w:r w:rsidRPr="00910805">
        <w:rPr>
          <w:rFonts w:ascii="Arial" w:hAnsi="Arial" w:cs="Arial"/>
        </w:rPr>
        <w:sym w:font="Wingdings" w:char="F0E0"/>
      </w:r>
      <w:r>
        <w:rPr>
          <w:rFonts w:ascii="Arial" w:hAnsi="Arial" w:cs="Arial"/>
        </w:rPr>
        <w:t xml:space="preserve"> increased intrinsic motivation, greater performance – profitability, sales etc.</w:t>
      </w:r>
    </w:p>
    <w:p w14:paraId="5E32A2BA" w14:textId="77777777" w:rsidR="00BB1CC2" w:rsidRDefault="00BB1CC2" w:rsidP="00BB1CC2">
      <w:pPr>
        <w:pStyle w:val="ListParagraph"/>
        <w:numPr>
          <w:ilvl w:val="1"/>
          <w:numId w:val="4"/>
        </w:numPr>
        <w:spacing w:line="360" w:lineRule="auto"/>
        <w:jc w:val="both"/>
        <w:rPr>
          <w:rFonts w:ascii="Arial" w:hAnsi="Arial" w:cs="Arial"/>
        </w:rPr>
      </w:pPr>
      <w:r>
        <w:rPr>
          <w:rFonts w:ascii="Arial" w:hAnsi="Arial" w:cs="Arial"/>
        </w:rPr>
        <w:t>Implementing a wellbeing strategy shouldn’t be overwhelming, should be greater legislation or at the very least government guidance/support on why it’s important, how to structure a strategy etc. Will look very different between a small organisation and a bigger organisation.</w:t>
      </w:r>
    </w:p>
    <w:p w14:paraId="5799AB03" w14:textId="77777777" w:rsidR="00BB1CC2" w:rsidRDefault="00BB1CC2" w:rsidP="00BB1CC2">
      <w:pPr>
        <w:pStyle w:val="ListParagraph"/>
        <w:numPr>
          <w:ilvl w:val="0"/>
          <w:numId w:val="4"/>
        </w:numPr>
        <w:spacing w:line="360" w:lineRule="auto"/>
        <w:jc w:val="both"/>
        <w:rPr>
          <w:rFonts w:ascii="Arial" w:hAnsi="Arial" w:cs="Arial"/>
        </w:rPr>
      </w:pPr>
      <w:r>
        <w:rPr>
          <w:rFonts w:ascii="Arial" w:hAnsi="Arial" w:cs="Arial"/>
        </w:rPr>
        <w:t>Assess how good work could impact wellbeing</w:t>
      </w:r>
    </w:p>
    <w:p w14:paraId="3D426C14" w14:textId="77777777" w:rsidR="00BB1CC2" w:rsidRPr="00910805" w:rsidRDefault="00BB1CC2" w:rsidP="00BB1CC2">
      <w:pPr>
        <w:pStyle w:val="ListParagraph"/>
        <w:numPr>
          <w:ilvl w:val="1"/>
          <w:numId w:val="4"/>
        </w:numPr>
        <w:spacing w:line="360" w:lineRule="auto"/>
        <w:jc w:val="both"/>
        <w:rPr>
          <w:rFonts w:ascii="Arial" w:hAnsi="Arial" w:cs="Arial"/>
        </w:rPr>
      </w:pPr>
      <w:r>
        <w:rPr>
          <w:rFonts w:ascii="Arial" w:hAnsi="Arial" w:cs="Arial"/>
        </w:rPr>
        <w:t xml:space="preserve">Pressures could </w:t>
      </w:r>
      <w:proofErr w:type="gramStart"/>
      <w:r>
        <w:rPr>
          <w:rFonts w:ascii="Arial" w:hAnsi="Arial" w:cs="Arial"/>
        </w:rPr>
        <w:t>effect?</w:t>
      </w:r>
      <w:proofErr w:type="gramEnd"/>
    </w:p>
    <w:p w14:paraId="6642A303" w14:textId="77777777" w:rsidR="008165FA" w:rsidRDefault="008165FA" w:rsidP="00BB14B6">
      <w:pPr>
        <w:spacing w:line="360" w:lineRule="auto"/>
        <w:jc w:val="both"/>
        <w:rPr>
          <w:rFonts w:ascii="Arial" w:hAnsi="Arial" w:cs="Arial"/>
          <w:b/>
          <w:bCs/>
          <w:u w:val="single"/>
        </w:rPr>
      </w:pPr>
    </w:p>
    <w:p w14:paraId="059F28FA" w14:textId="77777777" w:rsidR="008165FA" w:rsidRDefault="008165FA" w:rsidP="00BB14B6">
      <w:pPr>
        <w:spacing w:line="360" w:lineRule="auto"/>
        <w:jc w:val="both"/>
        <w:rPr>
          <w:rFonts w:ascii="Arial" w:hAnsi="Arial" w:cs="Arial"/>
          <w:b/>
          <w:bCs/>
          <w:u w:val="single"/>
        </w:rPr>
      </w:pPr>
    </w:p>
    <w:p w14:paraId="30DDE15A" w14:textId="77777777" w:rsidR="008165FA" w:rsidRDefault="008165FA" w:rsidP="00BB14B6">
      <w:pPr>
        <w:spacing w:line="360" w:lineRule="auto"/>
        <w:jc w:val="both"/>
        <w:rPr>
          <w:rFonts w:ascii="Arial" w:hAnsi="Arial" w:cs="Arial"/>
          <w:b/>
          <w:bCs/>
          <w:u w:val="single"/>
        </w:rPr>
      </w:pPr>
    </w:p>
    <w:p w14:paraId="671A13D7" w14:textId="77777777" w:rsidR="008165FA" w:rsidRDefault="008165FA" w:rsidP="00BB14B6">
      <w:pPr>
        <w:spacing w:line="360" w:lineRule="auto"/>
        <w:jc w:val="both"/>
        <w:rPr>
          <w:rFonts w:ascii="Arial" w:hAnsi="Arial" w:cs="Arial"/>
          <w:b/>
          <w:bCs/>
          <w:u w:val="single"/>
        </w:rPr>
      </w:pPr>
    </w:p>
    <w:p w14:paraId="0C2BA6DD" w14:textId="77777777" w:rsidR="008165FA" w:rsidRDefault="008165FA" w:rsidP="00BB14B6">
      <w:pPr>
        <w:spacing w:line="360" w:lineRule="auto"/>
        <w:jc w:val="both"/>
        <w:rPr>
          <w:rFonts w:ascii="Arial" w:hAnsi="Arial" w:cs="Arial"/>
          <w:b/>
          <w:bCs/>
          <w:u w:val="single"/>
        </w:rPr>
      </w:pPr>
    </w:p>
    <w:p w14:paraId="6BF872DE" w14:textId="77777777" w:rsidR="008165FA" w:rsidRDefault="008165FA" w:rsidP="00BB14B6">
      <w:pPr>
        <w:spacing w:line="360" w:lineRule="auto"/>
        <w:jc w:val="both"/>
        <w:rPr>
          <w:rFonts w:ascii="Arial" w:hAnsi="Arial" w:cs="Arial"/>
          <w:b/>
          <w:bCs/>
          <w:u w:val="single"/>
        </w:rPr>
      </w:pPr>
    </w:p>
    <w:p w14:paraId="3B30D4CF" w14:textId="77777777" w:rsidR="008165FA" w:rsidRPr="00BB14B6" w:rsidRDefault="008165FA" w:rsidP="00BB14B6">
      <w:pPr>
        <w:spacing w:line="360" w:lineRule="auto"/>
        <w:jc w:val="both"/>
        <w:rPr>
          <w:rFonts w:ascii="Arial" w:hAnsi="Arial" w:cs="Arial"/>
          <w:b/>
          <w:bCs/>
          <w:u w:val="single"/>
        </w:rPr>
      </w:pPr>
    </w:p>
    <w:p w14:paraId="378EFC7E" w14:textId="77777777" w:rsidR="00E94EC9" w:rsidRPr="00E94EC9" w:rsidRDefault="00E94EC9" w:rsidP="00E94EC9">
      <w:pPr>
        <w:spacing w:line="360" w:lineRule="auto"/>
        <w:jc w:val="both"/>
        <w:rPr>
          <w:rFonts w:ascii="Arial" w:hAnsi="Arial" w:cs="Arial"/>
          <w:b/>
          <w:bCs/>
          <w:u w:val="single"/>
        </w:rPr>
      </w:pPr>
    </w:p>
    <w:p w14:paraId="474B2373"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t>Provide a brief overview of the employee lifecycle</w:t>
      </w:r>
      <w:r w:rsidRPr="00BB14B6">
        <w:rPr>
          <w:rFonts w:ascii="Arial" w:hAnsi="Arial" w:cs="Arial"/>
          <w:b/>
          <w:bCs/>
          <w:i/>
          <w:iCs/>
          <w:u w:val="single"/>
        </w:rPr>
        <w:t xml:space="preserve"> </w:t>
      </w:r>
      <w:r w:rsidRPr="00BB14B6">
        <w:rPr>
          <w:rFonts w:ascii="Arial" w:hAnsi="Arial" w:cs="Arial"/>
          <w:b/>
          <w:bCs/>
          <w:u w:val="single"/>
        </w:rPr>
        <w:t>and discuss people practice roles at the recruitment, development and separation stages of the lifecycle. (AC 3.1)</w:t>
      </w:r>
    </w:p>
    <w:p w14:paraId="5A4D4072" w14:textId="77777777" w:rsidR="005C3BAE" w:rsidRDefault="005C3BAE" w:rsidP="00BB14B6">
      <w:pPr>
        <w:spacing w:line="360" w:lineRule="auto"/>
        <w:jc w:val="both"/>
        <w:rPr>
          <w:rFonts w:ascii="Arial" w:hAnsi="Arial" w:cs="Arial"/>
          <w:b/>
          <w:bCs/>
          <w:u w:val="single"/>
        </w:rPr>
      </w:pPr>
    </w:p>
    <w:p w14:paraId="675CFB1F" w14:textId="77777777" w:rsidR="005C3BAE" w:rsidRDefault="005C3BAE" w:rsidP="005C3BAE">
      <w:pPr>
        <w:spacing w:line="360" w:lineRule="auto"/>
        <w:jc w:val="both"/>
        <w:rPr>
          <w:rFonts w:ascii="Arial" w:hAnsi="Arial" w:cs="Arial"/>
        </w:rPr>
      </w:pPr>
      <w:r>
        <w:rPr>
          <w:rFonts w:ascii="Arial" w:hAnsi="Arial" w:cs="Arial"/>
        </w:rPr>
        <w:t>There are several ways for an organisation to measure how an organisation interacts with its employees, but one of the most common methods is to assess the ‘Employee Lifecycle’ (Smith and Mitchell, 2022).</w:t>
      </w:r>
    </w:p>
    <w:p w14:paraId="751AB18B" w14:textId="77777777" w:rsidR="005C3BAE" w:rsidRDefault="005C3BAE" w:rsidP="005C3BAE">
      <w:pPr>
        <w:spacing w:line="360" w:lineRule="auto"/>
        <w:jc w:val="both"/>
        <w:rPr>
          <w:rFonts w:ascii="Arial" w:hAnsi="Arial" w:cs="Arial"/>
        </w:rPr>
      </w:pPr>
    </w:p>
    <w:p w14:paraId="1C1A272C" w14:textId="77777777" w:rsidR="005C3BAE" w:rsidRDefault="005C3BAE" w:rsidP="005C3BAE">
      <w:pPr>
        <w:spacing w:line="360" w:lineRule="auto"/>
        <w:jc w:val="both"/>
        <w:rPr>
          <w:rFonts w:ascii="Arial" w:hAnsi="Arial" w:cs="Arial"/>
        </w:rPr>
      </w:pPr>
      <w:r>
        <w:rPr>
          <w:rFonts w:ascii="Arial" w:hAnsi="Arial" w:cs="Arial"/>
        </w:rPr>
        <w:t>Understanding this cycle is crucial for HR professionals as it provides insight into metrics such as employee engagement and development. Many models exist, however the most recognised is a seven-step model: Attraction, Recruitment, Selection, Onboarding, Development, Retention and Separation. All stages of the cycle are interconnected and highlight that every employee is on a journey with the organisation (Smith and Mitchell, 2022)</w:t>
      </w:r>
    </w:p>
    <w:p w14:paraId="325D7842" w14:textId="77777777" w:rsidR="005C3BAE" w:rsidRDefault="005C3BAE" w:rsidP="005C3BAE">
      <w:pPr>
        <w:spacing w:line="360" w:lineRule="auto"/>
        <w:jc w:val="both"/>
        <w:rPr>
          <w:rFonts w:ascii="Arial" w:hAnsi="Arial" w:cs="Arial"/>
        </w:rPr>
      </w:pPr>
    </w:p>
    <w:p w14:paraId="46DB5B6F" w14:textId="77777777" w:rsidR="005C3BAE" w:rsidRPr="007E136C" w:rsidRDefault="005C3BAE" w:rsidP="005C3BAE">
      <w:pPr>
        <w:spacing w:line="360" w:lineRule="auto"/>
        <w:jc w:val="both"/>
        <w:rPr>
          <w:rFonts w:ascii="Arial" w:hAnsi="Arial" w:cs="Arial"/>
        </w:rPr>
      </w:pPr>
      <w:r>
        <w:rPr>
          <w:rFonts w:ascii="Arial" w:hAnsi="Arial" w:cs="Arial"/>
        </w:rPr>
        <w:t>Recruitment is an integral stage at the beginning of the cycle. This stage runs from workforce planning through to approval, advertising up until candidates are available to be reviewed (Smith and Mitchell, 2022). Good recruitment is crucial, especially in the current climate (CIPD, 2024). HR involvement within the recruitment stage ensures that processes are appropriately designed (CIPD, 2024). Also, HR can assist in evaluating the job role, curating the job description and person specification. This is usually a collaborative process between HR and the recruiting manager, however HR offer insight that the recruiting manager may not consider such as inclusive language and transparency, which relates to the psychological contract at later stages (Smith and Mitchell, 2022).</w:t>
      </w:r>
    </w:p>
    <w:p w14:paraId="684F9AE5" w14:textId="77777777" w:rsidR="005C3BAE" w:rsidRDefault="005C3BAE" w:rsidP="005C3BAE">
      <w:pPr>
        <w:spacing w:line="360" w:lineRule="auto"/>
        <w:jc w:val="both"/>
        <w:rPr>
          <w:rFonts w:ascii="Arial" w:hAnsi="Arial" w:cs="Arial"/>
        </w:rPr>
      </w:pPr>
    </w:p>
    <w:p w14:paraId="50F640C5" w14:textId="77777777" w:rsidR="005C3BAE" w:rsidRDefault="005C3BAE" w:rsidP="005C3BAE">
      <w:pPr>
        <w:spacing w:line="360" w:lineRule="auto"/>
        <w:jc w:val="both"/>
        <w:rPr>
          <w:rFonts w:ascii="Arial" w:hAnsi="Arial" w:cs="Arial"/>
        </w:rPr>
      </w:pPr>
      <w:r>
        <w:rPr>
          <w:rFonts w:ascii="Arial" w:hAnsi="Arial" w:cs="Arial"/>
        </w:rPr>
        <w:t xml:space="preserve">The development stage relates to the opportunity of professional growth for an employee (Smith and Mitchell, 2022). Development drives business performance, it increases intrinsic and extrinsic motivation and increases retention by upskilling existing staff either laterally or vertically (Young, 2024a). A key reason for employee’s leaving an organisation is lack of development opportunity, therefore robust performance management practices need to be designed and integrated by HR to ensure employee’s goals and desires are listened to and met when possible (Garton, </w:t>
      </w:r>
      <w:r>
        <w:rPr>
          <w:rFonts w:ascii="Arial" w:hAnsi="Arial" w:cs="Arial"/>
        </w:rPr>
        <w:lastRenderedPageBreak/>
        <w:t>2017). Whilst HR are fundamental to the creation and sustenance of performance management and development, it must be embedded by managers to be fruitful (Peters, 2024).</w:t>
      </w:r>
    </w:p>
    <w:p w14:paraId="121FAFE5" w14:textId="77777777" w:rsidR="005C3BAE" w:rsidRDefault="005C3BAE" w:rsidP="005C3BAE">
      <w:pPr>
        <w:spacing w:line="360" w:lineRule="auto"/>
        <w:jc w:val="both"/>
        <w:rPr>
          <w:rFonts w:ascii="Arial" w:hAnsi="Arial" w:cs="Arial"/>
        </w:rPr>
      </w:pPr>
    </w:p>
    <w:p w14:paraId="64AB8E00" w14:textId="77777777" w:rsidR="005C3BAE" w:rsidRDefault="005C3BAE" w:rsidP="005C3BAE">
      <w:pPr>
        <w:spacing w:line="360" w:lineRule="auto"/>
        <w:jc w:val="both"/>
        <w:rPr>
          <w:rFonts w:ascii="Arial" w:hAnsi="Arial" w:cs="Arial"/>
        </w:rPr>
      </w:pPr>
      <w:r>
        <w:rPr>
          <w:rFonts w:ascii="Arial" w:hAnsi="Arial" w:cs="Arial"/>
        </w:rPr>
        <w:t>Separation is the final stage of the lifecycle. This stage relates to employees leaving the organisation through voluntary and involuntary means (Smith and Mitchell, 2022). Arguably, this is the most important stage as understanding attrition can help improve attraction and retention (Smith and Mitchell, 2022). It’s vital to establish whether employees are leaving due to push (lack of opportunity or poor management) or pull (attractive salary/perks) factors (Suff, 2017).</w:t>
      </w:r>
    </w:p>
    <w:p w14:paraId="24737D7A" w14:textId="77777777" w:rsidR="005C3BAE" w:rsidRDefault="005C3BAE" w:rsidP="005C3BAE">
      <w:pPr>
        <w:spacing w:line="360" w:lineRule="auto"/>
        <w:jc w:val="both"/>
        <w:rPr>
          <w:rFonts w:ascii="Arial" w:hAnsi="Arial" w:cs="Arial"/>
        </w:rPr>
      </w:pPr>
    </w:p>
    <w:p w14:paraId="7DA1853D" w14:textId="77777777" w:rsidR="005C3BAE" w:rsidRDefault="005C3BAE" w:rsidP="005C3BAE">
      <w:pPr>
        <w:spacing w:line="360" w:lineRule="auto"/>
        <w:jc w:val="both"/>
        <w:rPr>
          <w:rFonts w:ascii="Arial" w:hAnsi="Arial" w:cs="Arial"/>
        </w:rPr>
      </w:pPr>
      <w:r>
        <w:rPr>
          <w:rFonts w:ascii="Arial" w:hAnsi="Arial" w:cs="Arial"/>
        </w:rPr>
        <w:t>Ultimately, all stages should be reviewed regularly, however focusing on recruitment, development and separation provides greater insights on whether the organisation is performing effectively (Smith and Mitchell, 2022).</w:t>
      </w:r>
    </w:p>
    <w:p w14:paraId="1817E29A" w14:textId="77777777" w:rsidR="005C3BAE" w:rsidRDefault="005C3BAE" w:rsidP="00BB14B6">
      <w:pPr>
        <w:spacing w:line="360" w:lineRule="auto"/>
        <w:jc w:val="both"/>
        <w:rPr>
          <w:rFonts w:ascii="Arial" w:hAnsi="Arial" w:cs="Arial"/>
          <w:b/>
          <w:bCs/>
          <w:u w:val="single"/>
        </w:rPr>
      </w:pPr>
    </w:p>
    <w:p w14:paraId="2D26082B" w14:textId="77777777" w:rsidR="005C3BAE" w:rsidRDefault="005C3BAE" w:rsidP="00BB14B6">
      <w:pPr>
        <w:spacing w:line="360" w:lineRule="auto"/>
        <w:jc w:val="both"/>
        <w:rPr>
          <w:rFonts w:ascii="Arial" w:hAnsi="Arial" w:cs="Arial"/>
          <w:b/>
          <w:bCs/>
          <w:u w:val="single"/>
        </w:rPr>
      </w:pPr>
    </w:p>
    <w:p w14:paraId="4D910155" w14:textId="77777777" w:rsidR="005C3BAE" w:rsidRDefault="005C3BAE" w:rsidP="00BB14B6">
      <w:pPr>
        <w:spacing w:line="360" w:lineRule="auto"/>
        <w:jc w:val="both"/>
        <w:rPr>
          <w:rFonts w:ascii="Arial" w:hAnsi="Arial" w:cs="Arial"/>
          <w:b/>
          <w:bCs/>
          <w:u w:val="single"/>
        </w:rPr>
      </w:pPr>
    </w:p>
    <w:p w14:paraId="725776A3" w14:textId="77777777" w:rsidR="005C3BAE" w:rsidRDefault="005C3BAE" w:rsidP="00BB14B6">
      <w:pPr>
        <w:spacing w:line="360" w:lineRule="auto"/>
        <w:jc w:val="both"/>
        <w:rPr>
          <w:rFonts w:ascii="Arial" w:hAnsi="Arial" w:cs="Arial"/>
          <w:b/>
          <w:bCs/>
          <w:u w:val="single"/>
        </w:rPr>
      </w:pPr>
    </w:p>
    <w:p w14:paraId="643ACCD4" w14:textId="77777777" w:rsidR="005C3BAE" w:rsidRDefault="005C3BAE" w:rsidP="00BB14B6">
      <w:pPr>
        <w:spacing w:line="360" w:lineRule="auto"/>
        <w:jc w:val="both"/>
        <w:rPr>
          <w:rFonts w:ascii="Arial" w:hAnsi="Arial" w:cs="Arial"/>
          <w:b/>
          <w:bCs/>
          <w:u w:val="single"/>
        </w:rPr>
      </w:pPr>
    </w:p>
    <w:p w14:paraId="6CB0A648" w14:textId="77777777" w:rsidR="005C3BAE" w:rsidRDefault="005C3BAE" w:rsidP="00BB14B6">
      <w:pPr>
        <w:spacing w:line="360" w:lineRule="auto"/>
        <w:jc w:val="both"/>
        <w:rPr>
          <w:rFonts w:ascii="Arial" w:hAnsi="Arial" w:cs="Arial"/>
          <w:b/>
          <w:bCs/>
          <w:u w:val="single"/>
        </w:rPr>
      </w:pPr>
    </w:p>
    <w:p w14:paraId="15F2B37C" w14:textId="77777777" w:rsidR="005C3BAE" w:rsidRDefault="005C3BAE" w:rsidP="00BB14B6">
      <w:pPr>
        <w:spacing w:line="360" w:lineRule="auto"/>
        <w:jc w:val="both"/>
        <w:rPr>
          <w:rFonts w:ascii="Arial" w:hAnsi="Arial" w:cs="Arial"/>
          <w:b/>
          <w:bCs/>
          <w:u w:val="single"/>
        </w:rPr>
      </w:pPr>
    </w:p>
    <w:p w14:paraId="2F96A0EF" w14:textId="77777777" w:rsidR="008165FA" w:rsidRDefault="008165FA" w:rsidP="00BB14B6">
      <w:pPr>
        <w:spacing w:line="360" w:lineRule="auto"/>
        <w:jc w:val="both"/>
        <w:rPr>
          <w:rFonts w:ascii="Arial" w:hAnsi="Arial" w:cs="Arial"/>
          <w:b/>
          <w:bCs/>
          <w:u w:val="single"/>
        </w:rPr>
      </w:pPr>
    </w:p>
    <w:p w14:paraId="25AD565B" w14:textId="77777777" w:rsidR="008165FA" w:rsidRDefault="008165FA" w:rsidP="00BB14B6">
      <w:pPr>
        <w:spacing w:line="360" w:lineRule="auto"/>
        <w:jc w:val="both"/>
        <w:rPr>
          <w:rFonts w:ascii="Arial" w:hAnsi="Arial" w:cs="Arial"/>
          <w:b/>
          <w:bCs/>
          <w:u w:val="single"/>
        </w:rPr>
      </w:pPr>
    </w:p>
    <w:p w14:paraId="165A62EF" w14:textId="77777777" w:rsidR="008165FA" w:rsidRDefault="008165FA" w:rsidP="00BB14B6">
      <w:pPr>
        <w:spacing w:line="360" w:lineRule="auto"/>
        <w:jc w:val="both"/>
        <w:rPr>
          <w:rFonts w:ascii="Arial" w:hAnsi="Arial" w:cs="Arial"/>
          <w:b/>
          <w:bCs/>
          <w:u w:val="single"/>
        </w:rPr>
      </w:pPr>
    </w:p>
    <w:p w14:paraId="147063D9" w14:textId="77777777" w:rsidR="008165FA" w:rsidRDefault="008165FA" w:rsidP="00BB14B6">
      <w:pPr>
        <w:spacing w:line="360" w:lineRule="auto"/>
        <w:jc w:val="both"/>
        <w:rPr>
          <w:rFonts w:ascii="Arial" w:hAnsi="Arial" w:cs="Arial"/>
          <w:b/>
          <w:bCs/>
          <w:u w:val="single"/>
        </w:rPr>
      </w:pPr>
    </w:p>
    <w:p w14:paraId="1219A7A9" w14:textId="77777777" w:rsidR="008165FA" w:rsidRDefault="008165FA" w:rsidP="00BB14B6">
      <w:pPr>
        <w:spacing w:line="360" w:lineRule="auto"/>
        <w:jc w:val="both"/>
        <w:rPr>
          <w:rFonts w:ascii="Arial" w:hAnsi="Arial" w:cs="Arial"/>
          <w:b/>
          <w:bCs/>
          <w:u w:val="single"/>
        </w:rPr>
      </w:pPr>
    </w:p>
    <w:p w14:paraId="5D6E1CE1" w14:textId="77777777" w:rsidR="008165FA" w:rsidRDefault="008165FA" w:rsidP="00BB14B6">
      <w:pPr>
        <w:spacing w:line="360" w:lineRule="auto"/>
        <w:jc w:val="both"/>
        <w:rPr>
          <w:rFonts w:ascii="Arial" w:hAnsi="Arial" w:cs="Arial"/>
          <w:b/>
          <w:bCs/>
          <w:u w:val="single"/>
        </w:rPr>
      </w:pPr>
    </w:p>
    <w:p w14:paraId="70BED0E6" w14:textId="77777777" w:rsidR="008165FA" w:rsidRDefault="008165FA" w:rsidP="00BB14B6">
      <w:pPr>
        <w:spacing w:line="360" w:lineRule="auto"/>
        <w:jc w:val="both"/>
        <w:rPr>
          <w:rFonts w:ascii="Arial" w:hAnsi="Arial" w:cs="Arial"/>
          <w:b/>
          <w:bCs/>
          <w:u w:val="single"/>
        </w:rPr>
      </w:pPr>
    </w:p>
    <w:p w14:paraId="19379479" w14:textId="77777777" w:rsidR="008165FA" w:rsidRDefault="008165FA" w:rsidP="00BB14B6">
      <w:pPr>
        <w:spacing w:line="360" w:lineRule="auto"/>
        <w:jc w:val="both"/>
        <w:rPr>
          <w:rFonts w:ascii="Arial" w:hAnsi="Arial" w:cs="Arial"/>
          <w:b/>
          <w:bCs/>
          <w:u w:val="single"/>
        </w:rPr>
      </w:pPr>
    </w:p>
    <w:p w14:paraId="4A7421E2" w14:textId="77777777" w:rsidR="008165FA" w:rsidRDefault="008165FA" w:rsidP="00BB14B6">
      <w:pPr>
        <w:spacing w:line="360" w:lineRule="auto"/>
        <w:jc w:val="both"/>
        <w:rPr>
          <w:rFonts w:ascii="Arial" w:hAnsi="Arial" w:cs="Arial"/>
          <w:b/>
          <w:bCs/>
          <w:u w:val="single"/>
        </w:rPr>
      </w:pPr>
    </w:p>
    <w:p w14:paraId="3B542DEC" w14:textId="77777777" w:rsidR="008165FA" w:rsidRDefault="008165FA" w:rsidP="00BB14B6">
      <w:pPr>
        <w:spacing w:line="360" w:lineRule="auto"/>
        <w:jc w:val="both"/>
        <w:rPr>
          <w:rFonts w:ascii="Arial" w:hAnsi="Arial" w:cs="Arial"/>
          <w:b/>
          <w:bCs/>
          <w:u w:val="single"/>
        </w:rPr>
      </w:pPr>
    </w:p>
    <w:p w14:paraId="6EBCE49E" w14:textId="77777777" w:rsidR="008165FA" w:rsidRPr="00BB14B6" w:rsidRDefault="008165FA" w:rsidP="00BB14B6">
      <w:pPr>
        <w:spacing w:line="360" w:lineRule="auto"/>
        <w:jc w:val="both"/>
        <w:rPr>
          <w:rFonts w:ascii="Arial" w:hAnsi="Arial" w:cs="Arial"/>
          <w:b/>
          <w:bCs/>
          <w:u w:val="single"/>
        </w:rPr>
      </w:pPr>
    </w:p>
    <w:p w14:paraId="153A6DD4" w14:textId="77777777" w:rsidR="00E94EC9" w:rsidRPr="00E94EC9" w:rsidRDefault="00E94EC9" w:rsidP="00E94EC9">
      <w:pPr>
        <w:spacing w:line="360" w:lineRule="auto"/>
        <w:jc w:val="both"/>
        <w:rPr>
          <w:rFonts w:ascii="Arial" w:hAnsi="Arial" w:cs="Arial"/>
          <w:b/>
          <w:bCs/>
          <w:u w:val="single"/>
        </w:rPr>
      </w:pPr>
    </w:p>
    <w:p w14:paraId="5A93150D" w14:textId="77777777"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Analyse how people practice supports organisational strategy through vertical integration and how people practice supports wider people strategies through horizontal integration. (AC 3.2)</w:t>
      </w:r>
    </w:p>
    <w:p w14:paraId="6441D067" w14:textId="77777777" w:rsidR="00801F86" w:rsidRDefault="00801F86" w:rsidP="00BB14B6">
      <w:pPr>
        <w:spacing w:line="360" w:lineRule="auto"/>
        <w:jc w:val="both"/>
        <w:rPr>
          <w:rFonts w:ascii="Arial" w:hAnsi="Arial" w:cs="Arial"/>
          <w:b/>
          <w:bCs/>
          <w:u w:val="single"/>
        </w:rPr>
      </w:pPr>
    </w:p>
    <w:p w14:paraId="0DDAFC43" w14:textId="77777777" w:rsidR="00801F86" w:rsidRDefault="00801F86" w:rsidP="00801F86">
      <w:pPr>
        <w:spacing w:line="360" w:lineRule="auto"/>
        <w:jc w:val="both"/>
        <w:rPr>
          <w:rFonts w:ascii="Arial" w:hAnsi="Arial" w:cs="Arial"/>
        </w:rPr>
      </w:pPr>
      <w:r>
        <w:rPr>
          <w:rFonts w:ascii="Arial" w:hAnsi="Arial" w:cs="Arial"/>
        </w:rPr>
        <w:t>Strategy is usually analysed, developed and implemented by the senior leaders of an organisation. HR are usually represented on this panel and can contribute directly or indirectly (Tingsager and Smith, 2022). HR involvement is necessary to ensure compliance and other key drivers for performance are considered (Peters, 2024).</w:t>
      </w:r>
    </w:p>
    <w:p w14:paraId="250C57AE" w14:textId="77777777" w:rsidR="00801F86" w:rsidRDefault="00801F86" w:rsidP="00801F86">
      <w:pPr>
        <w:spacing w:line="360" w:lineRule="auto"/>
        <w:jc w:val="both"/>
        <w:rPr>
          <w:rFonts w:ascii="Arial" w:hAnsi="Arial" w:cs="Arial"/>
        </w:rPr>
      </w:pPr>
    </w:p>
    <w:p w14:paraId="658C70AC" w14:textId="77777777" w:rsidR="00801F86" w:rsidRDefault="00801F86" w:rsidP="00801F86">
      <w:pPr>
        <w:spacing w:line="360" w:lineRule="auto"/>
        <w:jc w:val="both"/>
        <w:rPr>
          <w:rFonts w:ascii="Arial" w:hAnsi="Arial" w:cs="Arial"/>
        </w:rPr>
      </w:pPr>
      <w:r>
        <w:rPr>
          <w:rFonts w:ascii="Arial" w:hAnsi="Arial" w:cs="Arial"/>
        </w:rPr>
        <w:t xml:space="preserve">The framework which connects HR strategy to organisational strategy is called ‘Strategic Human Resource Management’, better known as SHRM (Tingsager and Smith, 2022). This allows for </w:t>
      </w:r>
      <w:r w:rsidRPr="00A631AC">
        <w:rPr>
          <w:rFonts w:ascii="Arial" w:hAnsi="Arial" w:cs="Arial"/>
        </w:rPr>
        <w:t>understanding and measuring the value of the workforce and how this converts into organisational value</w:t>
      </w:r>
      <w:r>
        <w:rPr>
          <w:rFonts w:ascii="Arial" w:hAnsi="Arial" w:cs="Arial"/>
        </w:rPr>
        <w:t>, an instrumental insight to organisational success (Peters, 2024).</w:t>
      </w:r>
    </w:p>
    <w:p w14:paraId="57CB54BE" w14:textId="77777777" w:rsidR="00801F86" w:rsidRDefault="00801F86" w:rsidP="00801F86">
      <w:pPr>
        <w:spacing w:line="360" w:lineRule="auto"/>
        <w:jc w:val="both"/>
        <w:rPr>
          <w:rFonts w:ascii="Arial" w:hAnsi="Arial" w:cs="Arial"/>
        </w:rPr>
      </w:pPr>
    </w:p>
    <w:p w14:paraId="2E7EEA32" w14:textId="77777777" w:rsidR="00801F86" w:rsidRDefault="00801F86" w:rsidP="00801F86">
      <w:pPr>
        <w:spacing w:line="360" w:lineRule="auto"/>
        <w:jc w:val="both"/>
        <w:rPr>
          <w:rFonts w:ascii="Arial" w:hAnsi="Arial" w:cs="Arial"/>
        </w:rPr>
      </w:pPr>
      <w:r>
        <w:rPr>
          <w:rFonts w:ascii="Arial" w:hAnsi="Arial" w:cs="Arial"/>
        </w:rPr>
        <w:t>Vertical integration ensures that HR initiatives support the strategic goals of the organisation. Therefore, HR practices and policies should be designed with the leaderships goals in mind (Tingsager and Smith, 2022). For example, if global market expansion is an organisational goal, HR practices should be built to support this. This could be achieved through upskilling existing managers on international markets or hiring staff with specific expertise that would be a culturally good fit (Webster, 2023).</w:t>
      </w:r>
    </w:p>
    <w:p w14:paraId="55EB4C97" w14:textId="77777777" w:rsidR="00801F86" w:rsidRDefault="00801F86" w:rsidP="00801F86">
      <w:pPr>
        <w:spacing w:line="360" w:lineRule="auto"/>
        <w:jc w:val="both"/>
        <w:rPr>
          <w:rFonts w:ascii="Arial" w:hAnsi="Arial" w:cs="Arial"/>
        </w:rPr>
      </w:pPr>
    </w:p>
    <w:p w14:paraId="3EE6212F" w14:textId="77777777" w:rsidR="00801F86" w:rsidRDefault="00801F86" w:rsidP="00801F86">
      <w:pPr>
        <w:spacing w:line="360" w:lineRule="auto"/>
        <w:jc w:val="both"/>
        <w:rPr>
          <w:rFonts w:ascii="Arial" w:hAnsi="Arial" w:cs="Arial"/>
        </w:rPr>
      </w:pPr>
      <w:r>
        <w:rPr>
          <w:rFonts w:ascii="Arial" w:hAnsi="Arial" w:cs="Arial"/>
        </w:rPr>
        <w:t>Conversely, horizontal integration ensures that HR practices and policies are aligned across different departments within the organisation to ensure consistency, and support a wider strategy (Tingsager and Smith, 2022). Opposed to vertical integration, horizontal integration focuses on supporting the broader objects of the organisation. As a result, practices from recruitment through to development should work harmoniously, allowing for consistency and a perception of fairness. In turn, this should optimise organisational performance through better employee engagement (Peters, 2024).</w:t>
      </w:r>
    </w:p>
    <w:p w14:paraId="1D93EA3C" w14:textId="77777777" w:rsidR="00801F86" w:rsidRDefault="00801F86" w:rsidP="00801F86">
      <w:pPr>
        <w:spacing w:line="360" w:lineRule="auto"/>
        <w:jc w:val="both"/>
        <w:rPr>
          <w:rFonts w:ascii="Arial" w:hAnsi="Arial" w:cs="Arial"/>
        </w:rPr>
      </w:pPr>
    </w:p>
    <w:p w14:paraId="4E8DB153" w14:textId="77777777" w:rsidR="00801F86" w:rsidRPr="00A631AC" w:rsidRDefault="00801F86" w:rsidP="00801F86">
      <w:pPr>
        <w:spacing w:line="360" w:lineRule="auto"/>
        <w:jc w:val="both"/>
        <w:rPr>
          <w:rFonts w:ascii="Arial" w:hAnsi="Arial" w:cs="Arial"/>
        </w:rPr>
      </w:pPr>
      <w:r>
        <w:rPr>
          <w:rFonts w:ascii="Arial" w:hAnsi="Arial" w:cs="Arial"/>
        </w:rPr>
        <w:t xml:space="preserve">Effective implementation is the hardest element of SHRM. Vertical integration is evident in larger organisations such as Google and is clearly successful (Webster, 2024). However, an organisation like Google can mitigate and cope with resistance </w:t>
      </w:r>
      <w:r>
        <w:rPr>
          <w:rFonts w:ascii="Arial" w:hAnsi="Arial" w:cs="Arial"/>
        </w:rPr>
        <w:lastRenderedPageBreak/>
        <w:t>and issues far better than a smaller organisation. Vertical integration is likely to cause greater issues as the HR policies are moulded to accelerate the organisational goals. For example, Amazon have continually upset employees through their strategies (Ovide, 2021). Horizontal integration often results in better engagement and performance, due to cohesion across the organisation, satisfying ‘SCARF’ qualities (Rock, 2009). However, horizontal integration is reliant on practices and policies being embedded and adhered to without exception, which is difficult to manage (Peters, 2024).</w:t>
      </w:r>
    </w:p>
    <w:p w14:paraId="2CD89977" w14:textId="77777777" w:rsidR="00801F86" w:rsidRDefault="00801F86" w:rsidP="00801F86">
      <w:pPr>
        <w:spacing w:line="360" w:lineRule="auto"/>
        <w:jc w:val="both"/>
        <w:rPr>
          <w:rFonts w:ascii="Arial" w:hAnsi="Arial" w:cs="Arial"/>
          <w:b/>
          <w:bCs/>
          <w:u w:val="single"/>
        </w:rPr>
      </w:pPr>
    </w:p>
    <w:p w14:paraId="263301DB" w14:textId="65BB1FD6" w:rsidR="00801F86" w:rsidRPr="00801F86" w:rsidRDefault="00801F86" w:rsidP="00BB14B6">
      <w:pPr>
        <w:spacing w:line="360" w:lineRule="auto"/>
        <w:jc w:val="both"/>
        <w:rPr>
          <w:rFonts w:ascii="Arial" w:hAnsi="Arial" w:cs="Arial"/>
        </w:rPr>
      </w:pPr>
      <w:r>
        <w:rPr>
          <w:rFonts w:ascii="Arial" w:hAnsi="Arial" w:cs="Arial"/>
        </w:rPr>
        <w:t xml:space="preserve">The premise of SHRM is that everything will perform well if HR strategies are aligned with the business strategy. However, alignment isn’t easy. Even with proficient planning, contextual challenges often arise which means plans cannot always be adhered to (Armstrong and Brown, 2019). </w:t>
      </w:r>
    </w:p>
    <w:p w14:paraId="6F87CDF2" w14:textId="77777777" w:rsidR="00BB14B6" w:rsidRDefault="00BB14B6" w:rsidP="00BB14B6">
      <w:pPr>
        <w:spacing w:line="360" w:lineRule="auto"/>
        <w:jc w:val="both"/>
        <w:rPr>
          <w:rFonts w:ascii="Arial" w:hAnsi="Arial" w:cs="Arial"/>
          <w:b/>
          <w:bCs/>
          <w:u w:val="single"/>
        </w:rPr>
      </w:pPr>
    </w:p>
    <w:p w14:paraId="6C41F62B" w14:textId="77777777" w:rsidR="005C3BAE" w:rsidRDefault="005C3BAE" w:rsidP="00BB14B6">
      <w:pPr>
        <w:spacing w:line="360" w:lineRule="auto"/>
        <w:jc w:val="both"/>
        <w:rPr>
          <w:rFonts w:ascii="Arial" w:hAnsi="Arial" w:cs="Arial"/>
          <w:b/>
          <w:bCs/>
          <w:u w:val="single"/>
        </w:rPr>
      </w:pPr>
    </w:p>
    <w:p w14:paraId="0B5A3DA7" w14:textId="77777777" w:rsidR="005C3BAE" w:rsidRDefault="005C3BAE" w:rsidP="00BB14B6">
      <w:pPr>
        <w:spacing w:line="360" w:lineRule="auto"/>
        <w:jc w:val="both"/>
        <w:rPr>
          <w:rFonts w:ascii="Arial" w:hAnsi="Arial" w:cs="Arial"/>
          <w:b/>
          <w:bCs/>
          <w:u w:val="single"/>
        </w:rPr>
      </w:pPr>
    </w:p>
    <w:p w14:paraId="1FC6D747" w14:textId="77777777" w:rsidR="005C3BAE" w:rsidRDefault="005C3BAE" w:rsidP="00BB14B6">
      <w:pPr>
        <w:spacing w:line="360" w:lineRule="auto"/>
        <w:jc w:val="both"/>
        <w:rPr>
          <w:rFonts w:ascii="Arial" w:hAnsi="Arial" w:cs="Arial"/>
          <w:b/>
          <w:bCs/>
          <w:u w:val="single"/>
        </w:rPr>
      </w:pPr>
    </w:p>
    <w:p w14:paraId="12ACA4CB" w14:textId="77777777" w:rsidR="005C3BAE" w:rsidRDefault="005C3BAE" w:rsidP="00BB14B6">
      <w:pPr>
        <w:spacing w:line="360" w:lineRule="auto"/>
        <w:jc w:val="both"/>
        <w:rPr>
          <w:rFonts w:ascii="Arial" w:hAnsi="Arial" w:cs="Arial"/>
          <w:b/>
          <w:bCs/>
          <w:u w:val="single"/>
        </w:rPr>
      </w:pPr>
    </w:p>
    <w:p w14:paraId="5A734975" w14:textId="77777777" w:rsidR="005C3BAE" w:rsidRDefault="005C3BAE" w:rsidP="00BB14B6">
      <w:pPr>
        <w:spacing w:line="360" w:lineRule="auto"/>
        <w:jc w:val="both"/>
        <w:rPr>
          <w:rFonts w:ascii="Arial" w:hAnsi="Arial" w:cs="Arial"/>
          <w:b/>
          <w:bCs/>
          <w:u w:val="single"/>
        </w:rPr>
      </w:pPr>
    </w:p>
    <w:p w14:paraId="104F8A30" w14:textId="77777777" w:rsidR="005C3BAE" w:rsidRDefault="005C3BAE" w:rsidP="00BB14B6">
      <w:pPr>
        <w:spacing w:line="360" w:lineRule="auto"/>
        <w:jc w:val="both"/>
        <w:rPr>
          <w:rFonts w:ascii="Arial" w:hAnsi="Arial" w:cs="Arial"/>
          <w:b/>
          <w:bCs/>
          <w:u w:val="single"/>
        </w:rPr>
      </w:pPr>
    </w:p>
    <w:p w14:paraId="6249742B" w14:textId="77777777" w:rsidR="005C3BAE" w:rsidRDefault="005C3BAE" w:rsidP="00BB14B6">
      <w:pPr>
        <w:spacing w:line="360" w:lineRule="auto"/>
        <w:jc w:val="both"/>
        <w:rPr>
          <w:rFonts w:ascii="Arial" w:hAnsi="Arial" w:cs="Arial"/>
          <w:b/>
          <w:bCs/>
          <w:u w:val="single"/>
        </w:rPr>
      </w:pPr>
    </w:p>
    <w:p w14:paraId="45AEB8B2" w14:textId="77777777" w:rsidR="005C3BAE" w:rsidRDefault="005C3BAE" w:rsidP="00BB14B6">
      <w:pPr>
        <w:spacing w:line="360" w:lineRule="auto"/>
        <w:jc w:val="both"/>
        <w:rPr>
          <w:rFonts w:ascii="Arial" w:hAnsi="Arial" w:cs="Arial"/>
          <w:b/>
          <w:bCs/>
          <w:u w:val="single"/>
        </w:rPr>
      </w:pPr>
    </w:p>
    <w:p w14:paraId="530A252A" w14:textId="77777777" w:rsidR="005C3BAE" w:rsidRDefault="005C3BAE" w:rsidP="00BB14B6">
      <w:pPr>
        <w:spacing w:line="360" w:lineRule="auto"/>
        <w:jc w:val="both"/>
        <w:rPr>
          <w:rFonts w:ascii="Arial" w:hAnsi="Arial" w:cs="Arial"/>
          <w:b/>
          <w:bCs/>
          <w:u w:val="single"/>
        </w:rPr>
      </w:pPr>
    </w:p>
    <w:p w14:paraId="1304B7AE" w14:textId="77777777" w:rsidR="005C3BAE" w:rsidRDefault="005C3BAE" w:rsidP="00BB14B6">
      <w:pPr>
        <w:spacing w:line="360" w:lineRule="auto"/>
        <w:jc w:val="both"/>
        <w:rPr>
          <w:rFonts w:ascii="Arial" w:hAnsi="Arial" w:cs="Arial"/>
          <w:b/>
          <w:bCs/>
          <w:u w:val="single"/>
        </w:rPr>
      </w:pPr>
    </w:p>
    <w:p w14:paraId="2EBD1419" w14:textId="77777777" w:rsidR="005C3BAE" w:rsidRDefault="005C3BAE" w:rsidP="00BB14B6">
      <w:pPr>
        <w:spacing w:line="360" w:lineRule="auto"/>
        <w:jc w:val="both"/>
        <w:rPr>
          <w:rFonts w:ascii="Arial" w:hAnsi="Arial" w:cs="Arial"/>
          <w:b/>
          <w:bCs/>
          <w:u w:val="single"/>
        </w:rPr>
      </w:pPr>
    </w:p>
    <w:p w14:paraId="1CCF3D9B" w14:textId="77777777" w:rsidR="005C3BAE" w:rsidRDefault="005C3BAE" w:rsidP="00BB14B6">
      <w:pPr>
        <w:spacing w:line="360" w:lineRule="auto"/>
        <w:jc w:val="both"/>
        <w:rPr>
          <w:rFonts w:ascii="Arial" w:hAnsi="Arial" w:cs="Arial"/>
          <w:b/>
          <w:bCs/>
          <w:u w:val="single"/>
        </w:rPr>
      </w:pPr>
    </w:p>
    <w:p w14:paraId="72D498C2" w14:textId="77777777" w:rsidR="005C3BAE" w:rsidRDefault="005C3BAE" w:rsidP="00BB14B6">
      <w:pPr>
        <w:spacing w:line="360" w:lineRule="auto"/>
        <w:jc w:val="both"/>
        <w:rPr>
          <w:rFonts w:ascii="Arial" w:hAnsi="Arial" w:cs="Arial"/>
          <w:b/>
          <w:bCs/>
          <w:u w:val="single"/>
        </w:rPr>
      </w:pPr>
    </w:p>
    <w:p w14:paraId="3E5B5A14" w14:textId="77777777" w:rsidR="005C3BAE" w:rsidRDefault="005C3BAE" w:rsidP="00BB14B6">
      <w:pPr>
        <w:spacing w:line="360" w:lineRule="auto"/>
        <w:jc w:val="both"/>
        <w:rPr>
          <w:rFonts w:ascii="Arial" w:hAnsi="Arial" w:cs="Arial"/>
          <w:b/>
          <w:bCs/>
          <w:u w:val="single"/>
        </w:rPr>
      </w:pPr>
    </w:p>
    <w:p w14:paraId="593CA512" w14:textId="77777777" w:rsidR="005C3BAE" w:rsidRDefault="005C3BAE" w:rsidP="00BB14B6">
      <w:pPr>
        <w:spacing w:line="360" w:lineRule="auto"/>
        <w:jc w:val="both"/>
        <w:rPr>
          <w:rFonts w:ascii="Arial" w:hAnsi="Arial" w:cs="Arial"/>
          <w:b/>
          <w:bCs/>
          <w:u w:val="single"/>
        </w:rPr>
      </w:pPr>
    </w:p>
    <w:p w14:paraId="3319BFD4" w14:textId="77777777" w:rsidR="005C3BAE" w:rsidRDefault="005C3BAE" w:rsidP="00BB14B6">
      <w:pPr>
        <w:spacing w:line="360" w:lineRule="auto"/>
        <w:jc w:val="both"/>
        <w:rPr>
          <w:rFonts w:ascii="Arial" w:hAnsi="Arial" w:cs="Arial"/>
          <w:b/>
          <w:bCs/>
          <w:u w:val="single"/>
        </w:rPr>
      </w:pPr>
    </w:p>
    <w:p w14:paraId="3C2ADF11" w14:textId="77777777" w:rsidR="005C3BAE" w:rsidRDefault="005C3BAE" w:rsidP="00BB14B6">
      <w:pPr>
        <w:spacing w:line="360" w:lineRule="auto"/>
        <w:jc w:val="both"/>
        <w:rPr>
          <w:rFonts w:ascii="Arial" w:hAnsi="Arial" w:cs="Arial"/>
          <w:b/>
          <w:bCs/>
          <w:u w:val="single"/>
        </w:rPr>
      </w:pPr>
    </w:p>
    <w:p w14:paraId="7E380E92" w14:textId="77777777" w:rsidR="005C3BAE" w:rsidRDefault="005C3BAE" w:rsidP="00BB14B6">
      <w:pPr>
        <w:spacing w:line="360" w:lineRule="auto"/>
        <w:jc w:val="both"/>
        <w:rPr>
          <w:rFonts w:ascii="Arial" w:hAnsi="Arial" w:cs="Arial"/>
          <w:b/>
          <w:bCs/>
          <w:u w:val="single"/>
        </w:rPr>
      </w:pPr>
    </w:p>
    <w:p w14:paraId="10C62B31" w14:textId="77777777" w:rsidR="005C3BAE" w:rsidRDefault="005C3BAE" w:rsidP="00BB14B6">
      <w:pPr>
        <w:spacing w:line="360" w:lineRule="auto"/>
        <w:jc w:val="both"/>
        <w:rPr>
          <w:rFonts w:ascii="Arial" w:hAnsi="Arial" w:cs="Arial"/>
          <w:b/>
          <w:bCs/>
          <w:u w:val="single"/>
        </w:rPr>
      </w:pPr>
    </w:p>
    <w:p w14:paraId="1286708B" w14:textId="77777777" w:rsidR="005C3BAE" w:rsidRDefault="005C3BAE" w:rsidP="00BB14B6">
      <w:pPr>
        <w:spacing w:line="360" w:lineRule="auto"/>
        <w:jc w:val="both"/>
        <w:rPr>
          <w:rFonts w:ascii="Arial" w:hAnsi="Arial" w:cs="Arial"/>
          <w:b/>
          <w:bCs/>
          <w:u w:val="single"/>
        </w:rPr>
      </w:pPr>
    </w:p>
    <w:p w14:paraId="278590A1" w14:textId="2A3D738B" w:rsidR="00BB14B6" w:rsidRDefault="00BB14B6" w:rsidP="00BB14B6">
      <w:pPr>
        <w:spacing w:line="360" w:lineRule="auto"/>
        <w:jc w:val="both"/>
        <w:rPr>
          <w:rFonts w:ascii="Arial" w:hAnsi="Arial" w:cs="Arial"/>
          <w:b/>
          <w:bCs/>
          <w:u w:val="single"/>
        </w:rPr>
      </w:pPr>
      <w:r w:rsidRPr="00BB14B6">
        <w:rPr>
          <w:rFonts w:ascii="Arial" w:hAnsi="Arial" w:cs="Arial"/>
          <w:b/>
          <w:bCs/>
          <w:u w:val="single"/>
        </w:rPr>
        <w:lastRenderedPageBreak/>
        <w:t>An organisation is planning to introduce a four-day working week. Discuss the processes the people function could use to consult and engage with managers and employees to understand their needs when moving from a five-day to four-day working week. (AC 3.3)</w:t>
      </w:r>
    </w:p>
    <w:p w14:paraId="4D96B265" w14:textId="77777777" w:rsidR="005C3BAE" w:rsidRDefault="005C3BAE" w:rsidP="00BB14B6">
      <w:pPr>
        <w:spacing w:line="360" w:lineRule="auto"/>
        <w:jc w:val="both"/>
        <w:rPr>
          <w:rFonts w:ascii="Arial" w:hAnsi="Arial" w:cs="Arial"/>
          <w:b/>
          <w:bCs/>
          <w:u w:val="single"/>
        </w:rPr>
      </w:pPr>
    </w:p>
    <w:p w14:paraId="3A5419E6" w14:textId="77777777" w:rsidR="004D2BBA" w:rsidRDefault="004D2BBA" w:rsidP="004D2BBA">
      <w:pPr>
        <w:pStyle w:val="ListParagraph"/>
        <w:numPr>
          <w:ilvl w:val="0"/>
          <w:numId w:val="2"/>
        </w:numPr>
        <w:spacing w:line="360" w:lineRule="auto"/>
        <w:jc w:val="both"/>
        <w:rPr>
          <w:rFonts w:ascii="Arial" w:hAnsi="Arial" w:cs="Arial"/>
        </w:rPr>
      </w:pPr>
      <w:r>
        <w:rPr>
          <w:rFonts w:ascii="Arial" w:hAnsi="Arial" w:cs="Arial"/>
        </w:rPr>
        <w:t>How can/should HR approach this proposition. How is best to manage this consultation process?</w:t>
      </w:r>
    </w:p>
    <w:p w14:paraId="477251DD" w14:textId="41136B6F" w:rsidR="004D2BBA" w:rsidRDefault="004D2BBA" w:rsidP="004D2BBA">
      <w:pPr>
        <w:pStyle w:val="ListParagraph"/>
        <w:numPr>
          <w:ilvl w:val="0"/>
          <w:numId w:val="2"/>
        </w:numPr>
        <w:spacing w:line="360" w:lineRule="auto"/>
        <w:jc w:val="both"/>
        <w:rPr>
          <w:rFonts w:ascii="Arial" w:hAnsi="Arial" w:cs="Arial"/>
        </w:rPr>
      </w:pPr>
      <w:r>
        <w:rPr>
          <w:rFonts w:ascii="Arial" w:hAnsi="Arial" w:cs="Arial"/>
        </w:rPr>
        <w:t xml:space="preserve">Informal discussions etc, why do they want to introduce a </w:t>
      </w:r>
      <w:r w:rsidR="00373EAF">
        <w:rPr>
          <w:rFonts w:ascii="Arial" w:hAnsi="Arial" w:cs="Arial"/>
        </w:rPr>
        <w:t>4-day</w:t>
      </w:r>
      <w:r>
        <w:rPr>
          <w:rFonts w:ascii="Arial" w:hAnsi="Arial" w:cs="Arial"/>
        </w:rPr>
        <w:t xml:space="preserve"> week? Is it off the back of a survey etc.</w:t>
      </w:r>
    </w:p>
    <w:p w14:paraId="07BB65CD" w14:textId="77777777" w:rsidR="004D2BBA" w:rsidRPr="004D5DDB" w:rsidRDefault="004D2BBA" w:rsidP="004D2BBA">
      <w:pPr>
        <w:pStyle w:val="ListParagraph"/>
        <w:numPr>
          <w:ilvl w:val="0"/>
          <w:numId w:val="2"/>
        </w:numPr>
        <w:spacing w:line="360" w:lineRule="auto"/>
        <w:jc w:val="both"/>
        <w:rPr>
          <w:rFonts w:ascii="Arial" w:hAnsi="Arial" w:cs="Arial"/>
        </w:rPr>
      </w:pPr>
      <w:r>
        <w:rPr>
          <w:rFonts w:ascii="Arial" w:hAnsi="Arial" w:cs="Arial"/>
        </w:rPr>
        <w:t>Have they put this to managers/employees already? Informally ask for anonymous opinions first, gauge any concerns. Regular meetings updates, specific contact per team/department for people to speak to as a representative to ask questions.</w:t>
      </w:r>
    </w:p>
    <w:p w14:paraId="16D9DC4C" w14:textId="0A421C63" w:rsidR="005C3BAE" w:rsidRDefault="005C3BAE" w:rsidP="00BB14B6">
      <w:pPr>
        <w:spacing w:line="360" w:lineRule="auto"/>
        <w:jc w:val="both"/>
        <w:rPr>
          <w:rFonts w:ascii="Arial" w:hAnsi="Arial" w:cs="Arial"/>
          <w:b/>
          <w:bCs/>
          <w:u w:val="single"/>
        </w:rPr>
      </w:pPr>
    </w:p>
    <w:p w14:paraId="60979BD7" w14:textId="38F880C1" w:rsidR="00E94EC9" w:rsidRPr="00E94EC9" w:rsidRDefault="005C3BAE" w:rsidP="005C3BAE">
      <w:pPr>
        <w:rPr>
          <w:rFonts w:ascii="Arial" w:hAnsi="Arial" w:cs="Arial"/>
          <w:b/>
          <w:bCs/>
          <w:u w:val="single"/>
        </w:rPr>
      </w:pPr>
      <w:r>
        <w:rPr>
          <w:rFonts w:ascii="Arial" w:hAnsi="Arial" w:cs="Arial"/>
          <w:b/>
          <w:bCs/>
          <w:u w:val="single"/>
        </w:rPr>
        <w:br w:type="page"/>
      </w:r>
    </w:p>
    <w:p w14:paraId="4FCA22B3" w14:textId="40290C0B" w:rsidR="00E94EC9" w:rsidRDefault="00E94EC9" w:rsidP="00E94EC9">
      <w:pPr>
        <w:spacing w:line="360" w:lineRule="auto"/>
        <w:jc w:val="both"/>
        <w:rPr>
          <w:rFonts w:ascii="Arial" w:hAnsi="Arial" w:cs="Arial"/>
          <w:b/>
          <w:bCs/>
          <w:u w:val="single"/>
        </w:rPr>
      </w:pPr>
      <w:r w:rsidRPr="00E94EC9">
        <w:rPr>
          <w:rFonts w:ascii="Arial" w:hAnsi="Arial" w:cs="Arial"/>
          <w:b/>
          <w:bCs/>
          <w:u w:val="single"/>
        </w:rPr>
        <w:lastRenderedPageBreak/>
        <w:t>Bibliography</w:t>
      </w:r>
    </w:p>
    <w:p w14:paraId="2009F920" w14:textId="77777777" w:rsidR="00801F86" w:rsidRDefault="00801F86" w:rsidP="00E94EC9">
      <w:pPr>
        <w:spacing w:line="360" w:lineRule="auto"/>
        <w:jc w:val="both"/>
        <w:rPr>
          <w:rFonts w:ascii="Arial" w:hAnsi="Arial" w:cs="Arial"/>
          <w:b/>
          <w:bCs/>
          <w:u w:val="single"/>
        </w:rPr>
      </w:pPr>
    </w:p>
    <w:p w14:paraId="5BFB1F22" w14:textId="26D209BA" w:rsidR="00801F86" w:rsidRPr="00592403" w:rsidRDefault="00801F86" w:rsidP="00801F86">
      <w:pPr>
        <w:spacing w:line="360" w:lineRule="auto"/>
        <w:jc w:val="both"/>
      </w:pPr>
      <w:r w:rsidRPr="00592403">
        <w:rPr>
          <w:rFonts w:ascii="Arial" w:hAnsi="Arial" w:cs="Arial"/>
        </w:rPr>
        <w:t xml:space="preserve">Appelbaum, S.H. et al. (2012) ‘Back to the future: Revisiting </w:t>
      </w:r>
      <w:r w:rsidR="004D2BBA" w:rsidRPr="00592403">
        <w:rPr>
          <w:rFonts w:ascii="Arial" w:hAnsi="Arial" w:cs="Arial"/>
        </w:rPr>
        <w:t>Kotter’s</w:t>
      </w:r>
      <w:r w:rsidRPr="00592403">
        <w:rPr>
          <w:rFonts w:ascii="Arial" w:hAnsi="Arial" w:cs="Arial"/>
        </w:rPr>
        <w:t xml:space="preserve"> 1996 change model’, Journal of Management Development, 31(8), pp. 764–782. doi:10.1108/02621711211253231. </w:t>
      </w:r>
    </w:p>
    <w:p w14:paraId="4BE637D0" w14:textId="77777777" w:rsidR="00801F86" w:rsidRPr="00592403" w:rsidRDefault="00801F86" w:rsidP="00801F86">
      <w:pPr>
        <w:spacing w:line="360" w:lineRule="auto"/>
        <w:jc w:val="both"/>
        <w:rPr>
          <w:rFonts w:ascii="Arial" w:hAnsi="Arial" w:cs="Arial"/>
        </w:rPr>
      </w:pPr>
    </w:p>
    <w:p w14:paraId="59F805F2" w14:textId="77777777" w:rsidR="00801F86" w:rsidRDefault="00801F86" w:rsidP="00801F86">
      <w:pPr>
        <w:spacing w:line="360" w:lineRule="auto"/>
        <w:jc w:val="both"/>
        <w:rPr>
          <w:rFonts w:ascii="Arial" w:hAnsi="Arial" w:cs="Arial"/>
        </w:rPr>
      </w:pPr>
      <w:r w:rsidRPr="00592403">
        <w:rPr>
          <w:rFonts w:ascii="Arial" w:hAnsi="Arial" w:cs="Arial"/>
        </w:rPr>
        <w:t xml:space="preserve">Armstrong, M. and Brown, D. (2019) Strategic Human Resource Management: Back to the future?, Institute for Employment Studies . Available at: https://www.employment-studies.co.uk/system/files/resources/files/517_Strategic-Human-Resource-Management-Back-to-the-future-IES-CIPD-2019.pdf (Accessed: 01 February 2025). </w:t>
      </w:r>
    </w:p>
    <w:p w14:paraId="1B08F786" w14:textId="77777777" w:rsidR="00801F86" w:rsidRPr="00592403" w:rsidRDefault="00801F86" w:rsidP="00801F86">
      <w:pPr>
        <w:spacing w:line="360" w:lineRule="auto"/>
        <w:jc w:val="both"/>
        <w:rPr>
          <w:rFonts w:ascii="Arial" w:hAnsi="Arial" w:cs="Arial"/>
        </w:rPr>
      </w:pPr>
    </w:p>
    <w:p w14:paraId="420C84A7" w14:textId="77777777" w:rsidR="00801F86" w:rsidRDefault="00801F86" w:rsidP="00801F86">
      <w:pPr>
        <w:spacing w:line="360" w:lineRule="auto"/>
        <w:jc w:val="both"/>
        <w:rPr>
          <w:rFonts w:ascii="Arial" w:hAnsi="Arial" w:cs="Arial"/>
        </w:rPr>
      </w:pPr>
      <w:r w:rsidRPr="00592403">
        <w:rPr>
          <w:rFonts w:ascii="Arial" w:hAnsi="Arial" w:cs="Arial"/>
        </w:rPr>
        <w:t xml:space="preserve">Automation, AI and technology (no date) CIPD. Available at: https://www.cipd.org/uk/views-and-insights/cipd-viewpoint/automation-ai-technology/ (Accessed: 01 February 2025). </w:t>
      </w:r>
    </w:p>
    <w:p w14:paraId="7549E49D" w14:textId="77777777" w:rsidR="00801F86" w:rsidRPr="00592403" w:rsidRDefault="00801F86" w:rsidP="00801F86">
      <w:pPr>
        <w:spacing w:line="360" w:lineRule="auto"/>
        <w:jc w:val="both"/>
        <w:rPr>
          <w:rFonts w:ascii="Arial" w:hAnsi="Arial" w:cs="Arial"/>
        </w:rPr>
      </w:pPr>
    </w:p>
    <w:p w14:paraId="2ED45518" w14:textId="77777777" w:rsidR="00801F86" w:rsidRDefault="00801F86" w:rsidP="00801F86">
      <w:pPr>
        <w:spacing w:line="360" w:lineRule="auto"/>
        <w:jc w:val="both"/>
        <w:rPr>
          <w:rFonts w:ascii="Arial" w:hAnsi="Arial" w:cs="Arial"/>
        </w:rPr>
      </w:pPr>
      <w:r w:rsidRPr="00592403">
        <w:rPr>
          <w:rFonts w:ascii="Arial" w:hAnsi="Arial" w:cs="Arial"/>
        </w:rPr>
        <w:t xml:space="preserve">Boys, J. (2024) Understanding Economy &amp; Labour Market: Factsheets, CIPD. Available at: https://www.cipd.org/uk/knowledge/factsheets/economy-labour-market-factsheet/ (Accessed: 01 February 2025). </w:t>
      </w:r>
    </w:p>
    <w:p w14:paraId="09024F6B" w14:textId="77777777" w:rsidR="00801F86" w:rsidRPr="00592403" w:rsidRDefault="00801F86" w:rsidP="00801F86">
      <w:pPr>
        <w:spacing w:line="360" w:lineRule="auto"/>
        <w:jc w:val="both"/>
        <w:rPr>
          <w:rFonts w:ascii="Arial" w:hAnsi="Arial" w:cs="Arial"/>
        </w:rPr>
      </w:pPr>
    </w:p>
    <w:p w14:paraId="22D14F84" w14:textId="77777777" w:rsidR="00801F86" w:rsidRDefault="00801F86" w:rsidP="00801F86">
      <w:pPr>
        <w:spacing w:line="360" w:lineRule="auto"/>
        <w:jc w:val="both"/>
        <w:rPr>
          <w:rFonts w:ascii="Arial" w:hAnsi="Arial" w:cs="Arial"/>
        </w:rPr>
      </w:pPr>
      <w:r w:rsidRPr="00592403">
        <w:rPr>
          <w:rFonts w:ascii="Arial" w:hAnsi="Arial" w:cs="Arial"/>
        </w:rPr>
        <w:t xml:space="preserve">Briône, P. and Day, S. (2023) Artificial Intelligence and Employment Law. UK Parliament . Available at: https://commonslibrary.parliament.uk/research-briefings/cbp-9817/ (Accessed: 01 February 2025). </w:t>
      </w:r>
    </w:p>
    <w:p w14:paraId="16C10339" w14:textId="77777777" w:rsidR="009C7522" w:rsidRDefault="009C7522" w:rsidP="00801F86">
      <w:pPr>
        <w:spacing w:line="360" w:lineRule="auto"/>
        <w:jc w:val="both"/>
        <w:rPr>
          <w:rFonts w:ascii="Arial" w:hAnsi="Arial" w:cs="Arial"/>
        </w:rPr>
      </w:pPr>
    </w:p>
    <w:p w14:paraId="358D7D8B" w14:textId="5CB714DC" w:rsidR="009C7522" w:rsidRDefault="009C7522" w:rsidP="00801F86">
      <w:pPr>
        <w:spacing w:line="360" w:lineRule="auto"/>
        <w:jc w:val="both"/>
        <w:rPr>
          <w:rFonts w:ascii="Arial" w:hAnsi="Arial" w:cs="Arial"/>
        </w:rPr>
      </w:pPr>
      <w:r w:rsidRPr="009C7522">
        <w:rPr>
          <w:rFonts w:ascii="Arial" w:hAnsi="Arial" w:cs="Arial"/>
          <w:i/>
          <w:iCs/>
        </w:rPr>
        <w:t>Budget consultation 2025-26</w:t>
      </w:r>
      <w:r w:rsidRPr="009C7522">
        <w:rPr>
          <w:rFonts w:ascii="Arial" w:hAnsi="Arial" w:cs="Arial"/>
        </w:rPr>
        <w:t xml:space="preserve"> (2025) </w:t>
      </w:r>
      <w:r w:rsidRPr="009C7522">
        <w:rPr>
          <w:rFonts w:ascii="Arial" w:hAnsi="Arial" w:cs="Arial"/>
          <w:i/>
          <w:iCs/>
        </w:rPr>
        <w:t>Budget Consultation 2025-26 - Pembrokeshire County Council</w:t>
      </w:r>
      <w:r w:rsidRPr="009C7522">
        <w:rPr>
          <w:rFonts w:ascii="Arial" w:hAnsi="Arial" w:cs="Arial"/>
        </w:rPr>
        <w:t xml:space="preserve">. Available at: https://www.pembrokeshire.gov.uk/have-your-say/budget-consultation-2025-26 (Accessed: 10 February 2025). </w:t>
      </w:r>
    </w:p>
    <w:p w14:paraId="52E42D9B" w14:textId="77777777" w:rsidR="00801F86" w:rsidRPr="00592403" w:rsidRDefault="00801F86" w:rsidP="00801F86">
      <w:pPr>
        <w:spacing w:line="360" w:lineRule="auto"/>
        <w:jc w:val="both"/>
        <w:rPr>
          <w:rFonts w:ascii="Arial" w:hAnsi="Arial" w:cs="Arial"/>
        </w:rPr>
      </w:pPr>
    </w:p>
    <w:p w14:paraId="16B6650F" w14:textId="77777777" w:rsidR="00801F86" w:rsidRDefault="00801F86" w:rsidP="00801F86">
      <w:pPr>
        <w:spacing w:line="360" w:lineRule="auto"/>
        <w:jc w:val="both"/>
        <w:rPr>
          <w:rFonts w:ascii="Arial" w:hAnsi="Arial" w:cs="Arial"/>
        </w:rPr>
      </w:pPr>
      <w:r w:rsidRPr="00592403">
        <w:rPr>
          <w:rFonts w:ascii="Arial" w:hAnsi="Arial" w:cs="Arial"/>
        </w:rPr>
        <w:t xml:space="preserve">Can AI change the future of HR? (2022) CIPD. Available at: https://www.cipd.org/uk/knowledge/bitesize-research/future-hr/ (Accessed: 01 February 2025). </w:t>
      </w:r>
    </w:p>
    <w:p w14:paraId="6E4FAA71" w14:textId="77777777" w:rsidR="00801F86" w:rsidRPr="00592403" w:rsidRDefault="00801F86" w:rsidP="00801F86">
      <w:pPr>
        <w:spacing w:line="360" w:lineRule="auto"/>
        <w:jc w:val="both"/>
        <w:rPr>
          <w:rFonts w:ascii="Arial" w:hAnsi="Arial" w:cs="Arial"/>
        </w:rPr>
      </w:pPr>
    </w:p>
    <w:p w14:paraId="014AA186" w14:textId="0D7CCA2D" w:rsidR="00801F86" w:rsidRDefault="00801F86" w:rsidP="00801F86">
      <w:pPr>
        <w:spacing w:line="360" w:lineRule="auto"/>
        <w:jc w:val="both"/>
        <w:rPr>
          <w:rFonts w:ascii="Arial" w:hAnsi="Arial" w:cs="Arial"/>
        </w:rPr>
      </w:pPr>
      <w:r w:rsidRPr="00592403">
        <w:rPr>
          <w:rFonts w:ascii="Arial" w:hAnsi="Arial" w:cs="Arial"/>
        </w:rPr>
        <w:lastRenderedPageBreak/>
        <w:t xml:space="preserve">Chavan, S. and Bhattacharya, S. (2022) ‘Study of employees’ </w:t>
      </w:r>
      <w:r w:rsidR="004D2BBA" w:rsidRPr="00592403">
        <w:rPr>
          <w:rFonts w:ascii="Arial" w:hAnsi="Arial" w:cs="Arial"/>
        </w:rPr>
        <w:t>behaviour</w:t>
      </w:r>
      <w:r w:rsidRPr="00592403">
        <w:rPr>
          <w:rFonts w:ascii="Arial" w:hAnsi="Arial" w:cs="Arial"/>
        </w:rPr>
        <w:t xml:space="preserve"> during organizational change: Effects of Business Theatre on Kübler-Ross Model’, CARDIOMETRY, (22), pp. 237–243. doi:10.18137/cardiometry.2022.22.237243. </w:t>
      </w:r>
    </w:p>
    <w:p w14:paraId="27233785" w14:textId="77777777" w:rsidR="00801F86" w:rsidRPr="00592403" w:rsidRDefault="00801F86" w:rsidP="00801F86">
      <w:pPr>
        <w:spacing w:line="360" w:lineRule="auto"/>
        <w:jc w:val="both"/>
        <w:rPr>
          <w:rFonts w:ascii="Arial" w:hAnsi="Arial" w:cs="Arial"/>
        </w:rPr>
      </w:pPr>
    </w:p>
    <w:p w14:paraId="0D15B8BF" w14:textId="77777777" w:rsidR="00801F86" w:rsidRDefault="00801F86" w:rsidP="00801F86">
      <w:pPr>
        <w:spacing w:line="360" w:lineRule="auto"/>
        <w:jc w:val="both"/>
        <w:rPr>
          <w:rFonts w:ascii="Arial" w:hAnsi="Arial" w:cs="Arial"/>
        </w:rPr>
      </w:pPr>
      <w:r w:rsidRPr="00592403">
        <w:rPr>
          <w:rFonts w:ascii="Arial" w:hAnsi="Arial" w:cs="Arial"/>
        </w:rPr>
        <w:t xml:space="preserve">Chukwuka, E.J. and Dibie, K.E. (2024) ‘Strategic role of Artificial Intelligence (AI) on Human Resource Management (HR) employee performance evaluation function’, International Journal of Entrepreneurship and Business Innovation, 7(2), pp. 269–282. doi:10.52589/ijebi-het5styk. </w:t>
      </w:r>
    </w:p>
    <w:p w14:paraId="155D24AF" w14:textId="77777777" w:rsidR="00801F86" w:rsidRPr="00592403" w:rsidRDefault="00801F86" w:rsidP="00801F86">
      <w:pPr>
        <w:spacing w:line="360" w:lineRule="auto"/>
        <w:jc w:val="both"/>
        <w:rPr>
          <w:rFonts w:ascii="Arial" w:hAnsi="Arial" w:cs="Arial"/>
        </w:rPr>
      </w:pPr>
    </w:p>
    <w:p w14:paraId="31550CA1" w14:textId="77777777" w:rsidR="00801F86" w:rsidRDefault="00801F86" w:rsidP="00801F86">
      <w:pPr>
        <w:spacing w:line="360" w:lineRule="auto"/>
        <w:jc w:val="both"/>
        <w:rPr>
          <w:rFonts w:ascii="Arial" w:hAnsi="Arial" w:cs="Arial"/>
        </w:rPr>
      </w:pPr>
      <w:r w:rsidRPr="00592403">
        <w:rPr>
          <w:rFonts w:ascii="Arial" w:hAnsi="Arial" w:cs="Arial"/>
        </w:rPr>
        <w:t xml:space="preserve">CIPD Manifesto for Good Work (2023) CIPD. Available at: https://www.cipd.org/uk/about/public-policy/our-priorities/manifesto-good-work/ (Accessed: 30 January 2025). </w:t>
      </w:r>
    </w:p>
    <w:p w14:paraId="26D23D6A" w14:textId="77777777" w:rsidR="00801F86" w:rsidRPr="00592403" w:rsidRDefault="00801F86" w:rsidP="00801F86">
      <w:pPr>
        <w:spacing w:line="360" w:lineRule="auto"/>
        <w:jc w:val="both"/>
        <w:rPr>
          <w:rFonts w:ascii="Arial" w:hAnsi="Arial" w:cs="Arial"/>
        </w:rPr>
      </w:pPr>
    </w:p>
    <w:p w14:paraId="6A8AE130" w14:textId="77777777" w:rsidR="00801F86" w:rsidRDefault="00801F86" w:rsidP="00801F86">
      <w:pPr>
        <w:spacing w:line="360" w:lineRule="auto"/>
        <w:jc w:val="both"/>
        <w:rPr>
          <w:rFonts w:ascii="Arial" w:hAnsi="Arial" w:cs="Arial"/>
        </w:rPr>
      </w:pPr>
      <w:r w:rsidRPr="00592403">
        <w:rPr>
          <w:rFonts w:ascii="Arial" w:hAnsi="Arial" w:cs="Arial"/>
        </w:rPr>
        <w:t xml:space="preserve">Cockett, J. (2022) Grappling with the cost of living: How will employers respond?, CIPD. Available at: https://www.cipd.org/uk/views-and-insights/thought-leadership/cipd-voice/grappling-cost-living-employers-respond/ (Accessed: 01 February 2025). </w:t>
      </w:r>
    </w:p>
    <w:p w14:paraId="6CEDD02E" w14:textId="77777777" w:rsidR="00801F86" w:rsidRPr="00592403" w:rsidRDefault="00801F86" w:rsidP="00801F86">
      <w:pPr>
        <w:spacing w:line="360" w:lineRule="auto"/>
        <w:jc w:val="both"/>
        <w:rPr>
          <w:rFonts w:ascii="Arial" w:hAnsi="Arial" w:cs="Arial"/>
        </w:rPr>
      </w:pPr>
    </w:p>
    <w:p w14:paraId="7A585FDB" w14:textId="77777777" w:rsidR="00801F86" w:rsidRDefault="00801F86" w:rsidP="00801F86">
      <w:pPr>
        <w:spacing w:line="360" w:lineRule="auto"/>
        <w:jc w:val="both"/>
        <w:rPr>
          <w:rFonts w:ascii="Arial" w:hAnsi="Arial" w:cs="Arial"/>
        </w:rPr>
      </w:pPr>
      <w:r w:rsidRPr="00592403">
        <w:rPr>
          <w:rFonts w:ascii="Arial" w:hAnsi="Arial" w:cs="Arial"/>
        </w:rPr>
        <w:t xml:space="preserve">Cockett, J. (2024) Labour Market Outlook, CIPD. Available at: https://www.cipd.org/uk/knowledge/reports/labour-market-outlook/ (Accessed: 01 February 2025). </w:t>
      </w:r>
    </w:p>
    <w:p w14:paraId="2B624B06" w14:textId="77777777" w:rsidR="00801F86" w:rsidRPr="00592403" w:rsidRDefault="00801F86" w:rsidP="00801F86">
      <w:pPr>
        <w:spacing w:line="360" w:lineRule="auto"/>
        <w:jc w:val="both"/>
        <w:rPr>
          <w:rFonts w:ascii="Arial" w:hAnsi="Arial" w:cs="Arial"/>
        </w:rPr>
      </w:pPr>
    </w:p>
    <w:p w14:paraId="74E4DF65" w14:textId="77777777" w:rsidR="00801F86" w:rsidRDefault="00801F86" w:rsidP="00801F86">
      <w:pPr>
        <w:spacing w:line="360" w:lineRule="auto"/>
        <w:jc w:val="both"/>
        <w:rPr>
          <w:rFonts w:ascii="Arial" w:hAnsi="Arial" w:cs="Arial"/>
        </w:rPr>
      </w:pPr>
      <w:r w:rsidRPr="00592403">
        <w:rPr>
          <w:rFonts w:ascii="Arial" w:hAnsi="Arial" w:cs="Arial"/>
        </w:rPr>
        <w:t xml:space="preserve">Consulting – changing your employees’ contracts (2024) ACAS. Available at: https://www.acas.org.uk/changing-an-employment-contract/employer-responsibilities/consulting-about-employment-contract-changes (Accessed: 01 February 2025). </w:t>
      </w:r>
    </w:p>
    <w:p w14:paraId="0B5B2B11" w14:textId="77777777" w:rsidR="00801F86" w:rsidRPr="00592403" w:rsidRDefault="00801F86" w:rsidP="00801F86">
      <w:pPr>
        <w:spacing w:line="360" w:lineRule="auto"/>
        <w:jc w:val="both"/>
        <w:rPr>
          <w:rFonts w:ascii="Arial" w:hAnsi="Arial" w:cs="Arial"/>
        </w:rPr>
      </w:pPr>
    </w:p>
    <w:p w14:paraId="438FEAF1" w14:textId="77777777" w:rsidR="00801F86" w:rsidRDefault="00801F86" w:rsidP="00801F86">
      <w:pPr>
        <w:spacing w:line="360" w:lineRule="auto"/>
        <w:jc w:val="both"/>
        <w:rPr>
          <w:rFonts w:ascii="Arial" w:hAnsi="Arial" w:cs="Arial"/>
        </w:rPr>
      </w:pPr>
      <w:r w:rsidRPr="00592403">
        <w:rPr>
          <w:rFonts w:ascii="Arial" w:hAnsi="Arial" w:cs="Arial"/>
        </w:rPr>
        <w:t xml:space="preserve">Consumer price inflation, UK: December 2024 (2025) Consumer price inflation, UK - Office for National Statistics. Available at: https://www.ons.gov.uk/economy/inflationandpriceindices/bulletins/consumerpriceinflation/december2024 (Accessed: 01 February 2025). </w:t>
      </w:r>
    </w:p>
    <w:p w14:paraId="0334E922" w14:textId="77777777" w:rsidR="00801F86" w:rsidRPr="00592403" w:rsidRDefault="00801F86" w:rsidP="00801F86">
      <w:pPr>
        <w:spacing w:line="360" w:lineRule="auto"/>
        <w:jc w:val="both"/>
        <w:rPr>
          <w:rFonts w:ascii="Arial" w:hAnsi="Arial" w:cs="Arial"/>
        </w:rPr>
      </w:pPr>
    </w:p>
    <w:p w14:paraId="1FE07F11" w14:textId="77777777" w:rsidR="00801F86" w:rsidRDefault="00801F86" w:rsidP="00801F86">
      <w:pPr>
        <w:spacing w:line="360" w:lineRule="auto"/>
        <w:jc w:val="both"/>
        <w:rPr>
          <w:rFonts w:ascii="Arial" w:hAnsi="Arial" w:cs="Arial"/>
        </w:rPr>
      </w:pPr>
      <w:r w:rsidRPr="00592403">
        <w:rPr>
          <w:rFonts w:ascii="Arial" w:hAnsi="Arial" w:cs="Arial"/>
        </w:rPr>
        <w:lastRenderedPageBreak/>
        <w:t xml:space="preserve">Cotton, C. (2017) How HR influences the change cynics, CIPD. Available at: https://www.cipd.org/uk/knowledge/bitesize-research/change-cynics/ (Accessed: 01 February 2025). </w:t>
      </w:r>
    </w:p>
    <w:p w14:paraId="02776E1F" w14:textId="77777777" w:rsidR="00801F86" w:rsidRPr="00592403" w:rsidRDefault="00801F86" w:rsidP="00801F86">
      <w:pPr>
        <w:spacing w:line="360" w:lineRule="auto"/>
        <w:jc w:val="both"/>
        <w:rPr>
          <w:rFonts w:ascii="Arial" w:hAnsi="Arial" w:cs="Arial"/>
        </w:rPr>
      </w:pPr>
    </w:p>
    <w:p w14:paraId="3AC8558E" w14:textId="77777777" w:rsidR="00801F86" w:rsidRDefault="00801F86" w:rsidP="00801F86">
      <w:pPr>
        <w:spacing w:line="360" w:lineRule="auto"/>
        <w:jc w:val="both"/>
        <w:rPr>
          <w:rFonts w:ascii="Arial" w:hAnsi="Arial" w:cs="Arial"/>
        </w:rPr>
      </w:pPr>
      <w:r w:rsidRPr="00592403">
        <w:rPr>
          <w:rFonts w:ascii="Arial" w:hAnsi="Arial" w:cs="Arial"/>
        </w:rPr>
        <w:t>Cotton, C. (2017</w:t>
      </w:r>
      <w:r>
        <w:rPr>
          <w:rFonts w:ascii="Arial" w:hAnsi="Arial" w:cs="Arial"/>
        </w:rPr>
        <w:t>a</w:t>
      </w:r>
      <w:r w:rsidRPr="00592403">
        <w:rPr>
          <w:rFonts w:ascii="Arial" w:hAnsi="Arial" w:cs="Arial"/>
        </w:rPr>
        <w:t xml:space="preserve">) Rewarding top managers – mind the pay gaps, CIPD. Available at: https://www.cipd.org/uk/knowledge/bitesize-research/mind-pay-gaps/ (Accessed: 01 February 2025). </w:t>
      </w:r>
    </w:p>
    <w:p w14:paraId="32870E91" w14:textId="77777777" w:rsidR="00801F86" w:rsidRPr="00592403" w:rsidRDefault="00801F86" w:rsidP="00801F86">
      <w:pPr>
        <w:spacing w:line="360" w:lineRule="auto"/>
        <w:jc w:val="both"/>
        <w:rPr>
          <w:rFonts w:ascii="Arial" w:hAnsi="Arial" w:cs="Arial"/>
        </w:rPr>
      </w:pPr>
    </w:p>
    <w:p w14:paraId="0246A353" w14:textId="77777777" w:rsidR="00801F86" w:rsidRDefault="00801F86" w:rsidP="00801F86">
      <w:pPr>
        <w:spacing w:line="360" w:lineRule="auto"/>
        <w:jc w:val="both"/>
        <w:rPr>
          <w:rFonts w:ascii="Arial" w:hAnsi="Arial" w:cs="Arial"/>
        </w:rPr>
      </w:pPr>
      <w:r w:rsidRPr="00592403">
        <w:rPr>
          <w:rFonts w:ascii="Arial" w:hAnsi="Arial" w:cs="Arial"/>
        </w:rPr>
        <w:t xml:space="preserve">Dale, G. (2021) Effective hybrid working: Practical guidance, CIPD. Available at: https://www.cipd.org/uk/knowledge/guides/effective-hybrid-working/ (Accessed: 01 February 2025). </w:t>
      </w:r>
    </w:p>
    <w:p w14:paraId="6AF4680A" w14:textId="77777777" w:rsidR="00801F86" w:rsidRDefault="00801F86" w:rsidP="00801F86">
      <w:pPr>
        <w:spacing w:line="360" w:lineRule="auto"/>
        <w:jc w:val="both"/>
        <w:rPr>
          <w:rFonts w:ascii="Arial" w:hAnsi="Arial" w:cs="Arial"/>
        </w:rPr>
      </w:pPr>
    </w:p>
    <w:p w14:paraId="3D482D03" w14:textId="77777777" w:rsidR="00801F86" w:rsidRDefault="00801F86" w:rsidP="00801F86">
      <w:pPr>
        <w:spacing w:line="360" w:lineRule="auto"/>
        <w:jc w:val="both"/>
        <w:rPr>
          <w:rFonts w:ascii="Arial" w:hAnsi="Arial" w:cs="Arial"/>
        </w:rPr>
      </w:pPr>
      <w:r w:rsidRPr="004B31F2">
        <w:rPr>
          <w:rFonts w:ascii="Arial" w:hAnsi="Arial" w:cs="Arial"/>
        </w:rPr>
        <w:t xml:space="preserve">Garton, E. (2017) </w:t>
      </w:r>
      <w:r w:rsidRPr="004B31F2">
        <w:rPr>
          <w:rFonts w:ascii="Arial" w:hAnsi="Arial" w:cs="Arial"/>
          <w:i/>
          <w:iCs/>
        </w:rPr>
        <w:t>The case for investing more in people</w:t>
      </w:r>
      <w:r w:rsidRPr="004B31F2">
        <w:rPr>
          <w:rFonts w:ascii="Arial" w:hAnsi="Arial" w:cs="Arial"/>
        </w:rPr>
        <w:t xml:space="preserve">, </w:t>
      </w:r>
      <w:r w:rsidRPr="004B31F2">
        <w:rPr>
          <w:rFonts w:ascii="Arial" w:hAnsi="Arial" w:cs="Arial"/>
          <w:i/>
          <w:iCs/>
        </w:rPr>
        <w:t>The Case for Investing More in People</w:t>
      </w:r>
      <w:r w:rsidRPr="004B31F2">
        <w:rPr>
          <w:rFonts w:ascii="Arial" w:hAnsi="Arial" w:cs="Arial"/>
        </w:rPr>
        <w:t xml:space="preserve">. Available at: https://hbr.org/2017/09/the-case-for-investing-more-in-people (Accessed: 10 February 2025). </w:t>
      </w:r>
    </w:p>
    <w:p w14:paraId="14F3B3B8" w14:textId="77777777" w:rsidR="00801F86" w:rsidRPr="00592403" w:rsidRDefault="00801F86" w:rsidP="00801F86">
      <w:pPr>
        <w:spacing w:line="360" w:lineRule="auto"/>
        <w:jc w:val="both"/>
        <w:rPr>
          <w:rFonts w:ascii="Arial" w:hAnsi="Arial" w:cs="Arial"/>
        </w:rPr>
      </w:pPr>
    </w:p>
    <w:p w14:paraId="64425556" w14:textId="77777777" w:rsidR="00801F86" w:rsidRDefault="00801F86" w:rsidP="00801F86">
      <w:pPr>
        <w:spacing w:line="360" w:lineRule="auto"/>
        <w:jc w:val="both"/>
        <w:rPr>
          <w:rFonts w:ascii="Arial" w:hAnsi="Arial" w:cs="Arial"/>
        </w:rPr>
      </w:pPr>
      <w:r w:rsidRPr="00592403">
        <w:rPr>
          <w:rFonts w:ascii="Arial" w:hAnsi="Arial" w:cs="Arial"/>
        </w:rPr>
        <w:t xml:space="preserve">Green, M., Peters, R. and Young, J. (2020) People profession 2030: a collective view of future trends, CIPD. Available at: https://www.cipd.org/uk/knowledge/reports/people-profession-2030-future-trends?_gl=1%2Aqvpm6d%2A_ga%2AMTg5MTAwMDA2MS4xNzI3MjY0MTE0%2A_ga_D9HN5GYHYY%2AMTczODQxMjUyOC4xNy4xLjE3Mzg0MTY0MTQuMjguMC4w (Accessed: 01 February 2025). </w:t>
      </w:r>
    </w:p>
    <w:p w14:paraId="5FD0A69F" w14:textId="77777777" w:rsidR="00801F86" w:rsidRPr="00592403" w:rsidRDefault="00801F86" w:rsidP="00801F86">
      <w:pPr>
        <w:spacing w:line="360" w:lineRule="auto"/>
        <w:jc w:val="both"/>
        <w:rPr>
          <w:rFonts w:ascii="Arial" w:hAnsi="Arial" w:cs="Arial"/>
        </w:rPr>
      </w:pPr>
    </w:p>
    <w:p w14:paraId="62950E8E" w14:textId="77777777" w:rsidR="00801F86" w:rsidRDefault="00801F86" w:rsidP="00801F86">
      <w:pPr>
        <w:spacing w:line="360" w:lineRule="auto"/>
        <w:jc w:val="both"/>
        <w:rPr>
          <w:rFonts w:ascii="Arial" w:hAnsi="Arial" w:cs="Arial"/>
        </w:rPr>
      </w:pPr>
      <w:r w:rsidRPr="00592403">
        <w:rPr>
          <w:rFonts w:ascii="Arial" w:hAnsi="Arial" w:cs="Arial"/>
        </w:rPr>
        <w:t xml:space="preserve">Guenole, N. and Feinzig, S. (2018) The Business Case for AI in HR, IBM Smarter Workforce Institute. Available at: https://forms.workday.com/content/dam/web/en-us/documents/case-studies/ibm-business-case-ai-in-hr.pdf (Accessed: 01 February 2025). </w:t>
      </w:r>
    </w:p>
    <w:p w14:paraId="0B5C53E7" w14:textId="77777777" w:rsidR="00801F86" w:rsidRPr="00592403" w:rsidRDefault="00801F86" w:rsidP="00801F86">
      <w:pPr>
        <w:spacing w:line="360" w:lineRule="auto"/>
        <w:jc w:val="both"/>
        <w:rPr>
          <w:rFonts w:ascii="Arial" w:hAnsi="Arial" w:cs="Arial"/>
        </w:rPr>
      </w:pPr>
    </w:p>
    <w:p w14:paraId="700B7120" w14:textId="77777777" w:rsidR="00801F86" w:rsidRDefault="00801F86" w:rsidP="00801F86">
      <w:pPr>
        <w:spacing w:line="360" w:lineRule="auto"/>
        <w:jc w:val="both"/>
        <w:rPr>
          <w:rFonts w:ascii="Arial" w:hAnsi="Arial" w:cs="Arial"/>
        </w:rPr>
      </w:pPr>
      <w:r w:rsidRPr="00592403">
        <w:rPr>
          <w:rFonts w:ascii="Arial" w:hAnsi="Arial" w:cs="Arial"/>
        </w:rPr>
        <w:t xml:space="preserve">Handy, C.B. (1995) Gods of Management: The Changing Work of Organisations. 3rd edn. Oxford, UK: Oxford University Press. Available at: https://books.google.co.uk/books?hl=en&amp;lr=&amp;id=cG6f-mxkJo0C&amp;oi=fnd&amp;pg=PR11&amp;dq=charles+handy+model&amp;ots=VDnc33RKHP&amp;sig=_7ZQ8NbvTWLY0uWqOixnFCnr8z0#v=onepage&amp;q=charles%20handy%20model&amp;f=false (Accessed: 01 February 2025). </w:t>
      </w:r>
    </w:p>
    <w:p w14:paraId="01FFB8E9" w14:textId="77777777" w:rsidR="00801F86" w:rsidRDefault="00801F86" w:rsidP="00801F86">
      <w:pPr>
        <w:spacing w:line="360" w:lineRule="auto"/>
        <w:jc w:val="both"/>
        <w:rPr>
          <w:rFonts w:ascii="Arial" w:hAnsi="Arial" w:cs="Arial"/>
        </w:rPr>
      </w:pPr>
    </w:p>
    <w:p w14:paraId="4A6585DB" w14:textId="77777777" w:rsidR="00801F86" w:rsidRDefault="00801F86" w:rsidP="00801F86">
      <w:pPr>
        <w:spacing w:line="360" w:lineRule="auto"/>
        <w:jc w:val="both"/>
        <w:rPr>
          <w:rFonts w:ascii="Arial" w:hAnsi="Arial" w:cs="Arial"/>
        </w:rPr>
      </w:pPr>
      <w:r w:rsidRPr="004B6148">
        <w:rPr>
          <w:rFonts w:ascii="Arial" w:hAnsi="Arial" w:cs="Arial"/>
        </w:rPr>
        <w:t xml:space="preserve">Huselid, M.A. (1995) ‘The Impact of Human Resource Management Practices on Turnover, Productivity and Corporate Financial Performance’, </w:t>
      </w:r>
      <w:r w:rsidRPr="004B6148">
        <w:rPr>
          <w:rFonts w:ascii="Arial" w:hAnsi="Arial" w:cs="Arial"/>
          <w:i/>
          <w:iCs/>
        </w:rPr>
        <w:t>Academy of Management Journal</w:t>
      </w:r>
      <w:r w:rsidRPr="004B6148">
        <w:rPr>
          <w:rFonts w:ascii="Arial" w:hAnsi="Arial" w:cs="Arial"/>
        </w:rPr>
        <w:t xml:space="preserve">, 38(3), pp. 635–872. Available at: https://www.markhuselid.com/pdfs/articles/1995_AMJ_HPWS_Paper.pdf (Accessed: 09 February 2025). </w:t>
      </w:r>
    </w:p>
    <w:p w14:paraId="33CCF9C7" w14:textId="77777777" w:rsidR="00801F86" w:rsidRPr="00592403" w:rsidRDefault="00801F86" w:rsidP="00801F86">
      <w:pPr>
        <w:spacing w:line="360" w:lineRule="auto"/>
        <w:jc w:val="both"/>
        <w:rPr>
          <w:rFonts w:ascii="Arial" w:hAnsi="Arial" w:cs="Arial"/>
        </w:rPr>
      </w:pPr>
    </w:p>
    <w:p w14:paraId="59972241" w14:textId="77777777" w:rsidR="00801F86" w:rsidRDefault="00801F86" w:rsidP="00801F86">
      <w:pPr>
        <w:spacing w:line="360" w:lineRule="auto"/>
        <w:jc w:val="both"/>
        <w:rPr>
          <w:rFonts w:ascii="Arial" w:hAnsi="Arial" w:cs="Arial"/>
        </w:rPr>
      </w:pPr>
      <w:r w:rsidRPr="00592403">
        <w:rPr>
          <w:rFonts w:ascii="Arial" w:hAnsi="Arial" w:cs="Arial"/>
        </w:rPr>
        <w:t xml:space="preserve">Kim, S. and Yoon, G. (2015) ‘An Innovation-Driven Culture in Local Government: Do Senior Manager’s Transformational Leadership and the Climate for Creativity Matter?’, Public Personnel Management, 44(2), pp. 147–168. doi:10.1177/0091026014568896. </w:t>
      </w:r>
    </w:p>
    <w:p w14:paraId="160A0516" w14:textId="77777777" w:rsidR="00801F86" w:rsidRPr="00592403" w:rsidRDefault="00801F86" w:rsidP="00801F86">
      <w:pPr>
        <w:spacing w:line="360" w:lineRule="auto"/>
        <w:jc w:val="both"/>
        <w:rPr>
          <w:rFonts w:ascii="Arial" w:hAnsi="Arial" w:cs="Arial"/>
        </w:rPr>
      </w:pPr>
    </w:p>
    <w:p w14:paraId="1971DEEF" w14:textId="77777777" w:rsidR="00801F86" w:rsidRDefault="00801F86" w:rsidP="00801F86">
      <w:pPr>
        <w:spacing w:line="360" w:lineRule="auto"/>
        <w:jc w:val="both"/>
        <w:rPr>
          <w:rFonts w:ascii="Arial" w:hAnsi="Arial" w:cs="Arial"/>
        </w:rPr>
      </w:pPr>
      <w:r w:rsidRPr="00592403">
        <w:rPr>
          <w:rFonts w:ascii="Arial" w:hAnsi="Arial" w:cs="Arial"/>
        </w:rPr>
        <w:t xml:space="preserve">Kloot, L. and Martin, J. (2007) ‘Public sector change, organisational culture and financial information: A study of local government’, Australian Journal of Public Administration, 66(4), pp. 485–497. doi:10.1111/j.1467-8500.2007.00558.x. </w:t>
      </w:r>
    </w:p>
    <w:p w14:paraId="4082244E" w14:textId="77777777" w:rsidR="00801F86" w:rsidRPr="00592403" w:rsidRDefault="00801F86" w:rsidP="00801F86">
      <w:pPr>
        <w:spacing w:line="360" w:lineRule="auto"/>
        <w:jc w:val="both"/>
        <w:rPr>
          <w:rFonts w:ascii="Arial" w:hAnsi="Arial" w:cs="Arial"/>
        </w:rPr>
      </w:pPr>
    </w:p>
    <w:p w14:paraId="5BB7A7FD" w14:textId="77777777" w:rsidR="00801F86" w:rsidRDefault="00801F86" w:rsidP="00801F86">
      <w:pPr>
        <w:spacing w:line="360" w:lineRule="auto"/>
        <w:jc w:val="both"/>
        <w:rPr>
          <w:rFonts w:ascii="Arial" w:hAnsi="Arial" w:cs="Arial"/>
        </w:rPr>
      </w:pPr>
      <w:r w:rsidRPr="00592403">
        <w:rPr>
          <w:rFonts w:ascii="Arial" w:hAnsi="Arial" w:cs="Arial"/>
        </w:rPr>
        <w:t xml:space="preserve">Kotter, J. (2025) 8 Steps to Accelerate Change in your Organisation, The 8 Steps for Leading Change. Available at: https://www.kotterinc.com/methodology/8-steps/ (Accessed: 01 February 2025). </w:t>
      </w:r>
    </w:p>
    <w:p w14:paraId="2FB48514" w14:textId="77777777" w:rsidR="00801F86" w:rsidRPr="00592403" w:rsidRDefault="00801F86" w:rsidP="00801F86">
      <w:pPr>
        <w:spacing w:line="360" w:lineRule="auto"/>
        <w:jc w:val="both"/>
        <w:rPr>
          <w:rFonts w:ascii="Arial" w:hAnsi="Arial" w:cs="Arial"/>
        </w:rPr>
      </w:pPr>
    </w:p>
    <w:p w14:paraId="3B6226E2" w14:textId="77777777" w:rsidR="00801F86" w:rsidRDefault="00801F86" w:rsidP="00801F86">
      <w:pPr>
        <w:spacing w:line="360" w:lineRule="auto"/>
        <w:jc w:val="both"/>
        <w:rPr>
          <w:rFonts w:ascii="Arial" w:hAnsi="Arial" w:cs="Arial"/>
        </w:rPr>
      </w:pPr>
      <w:r w:rsidRPr="00592403">
        <w:rPr>
          <w:rFonts w:ascii="Arial" w:hAnsi="Arial" w:cs="Arial"/>
        </w:rPr>
        <w:t xml:space="preserve">Kübler-Ross Change Curve® (2024) Elisabeth Kübler-Ross Foundation. Available at: https://www.ekrfoundation.org/5-stages-of-grief/change-curve/ (Accessed: 01 February 2025). </w:t>
      </w:r>
    </w:p>
    <w:p w14:paraId="3F7A850B" w14:textId="77777777" w:rsidR="00801F86" w:rsidRPr="00592403" w:rsidRDefault="00801F86" w:rsidP="00801F86">
      <w:pPr>
        <w:spacing w:line="360" w:lineRule="auto"/>
        <w:jc w:val="both"/>
        <w:rPr>
          <w:rFonts w:ascii="Arial" w:hAnsi="Arial" w:cs="Arial"/>
        </w:rPr>
      </w:pPr>
    </w:p>
    <w:p w14:paraId="5A4EC1C6" w14:textId="77777777" w:rsidR="00801F86" w:rsidRDefault="00801F86" w:rsidP="00801F86">
      <w:pPr>
        <w:spacing w:line="360" w:lineRule="auto"/>
        <w:jc w:val="both"/>
        <w:rPr>
          <w:rFonts w:ascii="Arial" w:hAnsi="Arial" w:cs="Arial"/>
        </w:rPr>
      </w:pPr>
      <w:r w:rsidRPr="00592403">
        <w:rPr>
          <w:rFonts w:ascii="Arial" w:hAnsi="Arial" w:cs="Arial"/>
        </w:rPr>
        <w:t xml:space="preserve">McDonald, P., Pini, B. and Bradley, L. (2007) ‘Freedom or fallout in local government? how work–life culture impacts employees using flexible work practices’, The International Journal of Human Resource Management, 18(4), pp. 602–622. doi:10.1080/09585190601178968. </w:t>
      </w:r>
    </w:p>
    <w:p w14:paraId="1A6CAD69" w14:textId="77777777" w:rsidR="00801F86" w:rsidRPr="00592403" w:rsidRDefault="00801F86" w:rsidP="00801F86">
      <w:pPr>
        <w:spacing w:line="360" w:lineRule="auto"/>
        <w:jc w:val="both"/>
        <w:rPr>
          <w:rFonts w:ascii="Arial" w:hAnsi="Arial" w:cs="Arial"/>
        </w:rPr>
      </w:pPr>
    </w:p>
    <w:p w14:paraId="56455EDF" w14:textId="77777777" w:rsidR="00801F86" w:rsidRDefault="00801F86" w:rsidP="00801F86">
      <w:pPr>
        <w:spacing w:line="360" w:lineRule="auto"/>
        <w:jc w:val="both"/>
        <w:rPr>
          <w:rFonts w:ascii="Arial" w:hAnsi="Arial" w:cs="Arial"/>
        </w:rPr>
      </w:pPr>
      <w:r w:rsidRPr="00592403">
        <w:rPr>
          <w:rFonts w:ascii="Arial" w:hAnsi="Arial" w:cs="Arial"/>
        </w:rPr>
        <w:t xml:space="preserve">McRae, E.R. et al. (2024) 9 Trends That Will Shape Work in 2024 and Beyond, Harvard Business Review. Available at: https://hbr.org/2024/01/9-trends-that-will-shape-work-in-2024-and-beyond (Accessed: 30 January 2025). </w:t>
      </w:r>
    </w:p>
    <w:p w14:paraId="3E558706" w14:textId="77777777" w:rsidR="00801F86" w:rsidRPr="00592403" w:rsidRDefault="00801F86" w:rsidP="00801F86">
      <w:pPr>
        <w:spacing w:line="360" w:lineRule="auto"/>
        <w:jc w:val="both"/>
        <w:rPr>
          <w:rFonts w:ascii="Arial" w:hAnsi="Arial" w:cs="Arial"/>
        </w:rPr>
      </w:pPr>
    </w:p>
    <w:p w14:paraId="7229CE3D" w14:textId="77777777" w:rsidR="00801F86" w:rsidRDefault="00801F86" w:rsidP="00801F86">
      <w:pPr>
        <w:spacing w:line="360" w:lineRule="auto"/>
        <w:jc w:val="both"/>
        <w:rPr>
          <w:rFonts w:ascii="Arial" w:hAnsi="Arial" w:cs="Arial"/>
        </w:rPr>
      </w:pPr>
      <w:r w:rsidRPr="00592403">
        <w:rPr>
          <w:rFonts w:ascii="Arial" w:hAnsi="Arial" w:cs="Arial"/>
        </w:rPr>
        <w:lastRenderedPageBreak/>
        <w:t xml:space="preserve">Miller, J. (2017) Reinvigorating the productivity cycle: The people factor, CIPD. Available at: https://www.cipd.org/uk/knowledge/bitesize-research/productivity-cycle/ (Accessed: 01 February 2025). </w:t>
      </w:r>
    </w:p>
    <w:p w14:paraId="48D9EAED" w14:textId="77777777" w:rsidR="00801F86" w:rsidRPr="00592403" w:rsidRDefault="00801F86" w:rsidP="00801F86">
      <w:pPr>
        <w:spacing w:line="360" w:lineRule="auto"/>
        <w:jc w:val="both"/>
        <w:rPr>
          <w:rFonts w:ascii="Arial" w:hAnsi="Arial" w:cs="Arial"/>
        </w:rPr>
      </w:pPr>
    </w:p>
    <w:p w14:paraId="6B166E2C" w14:textId="77777777" w:rsidR="00801F86" w:rsidRDefault="00801F86" w:rsidP="00801F86">
      <w:pPr>
        <w:spacing w:line="360" w:lineRule="auto"/>
        <w:jc w:val="both"/>
        <w:rPr>
          <w:rFonts w:ascii="Arial" w:hAnsi="Arial" w:cs="Arial"/>
        </w:rPr>
      </w:pPr>
      <w:r w:rsidRPr="00D91B16">
        <w:rPr>
          <w:rFonts w:ascii="Arial" w:hAnsi="Arial" w:cs="Arial"/>
        </w:rPr>
        <w:t>Mohdzaini, H. (2022</w:t>
      </w:r>
      <w:r>
        <w:rPr>
          <w:rFonts w:ascii="Arial" w:hAnsi="Arial" w:cs="Arial"/>
        </w:rPr>
        <w:t>a</w:t>
      </w:r>
      <w:r w:rsidRPr="00D91B16">
        <w:rPr>
          <w:rFonts w:ascii="Arial" w:hAnsi="Arial" w:cs="Arial"/>
        </w:rPr>
        <w:t>) Can AI change the future of HR? CIPD. Available at: https://www.cipd.org/uk/knowledge/bitesize-research/future-hr/ (Accessed: 01 February 2025).</w:t>
      </w:r>
    </w:p>
    <w:p w14:paraId="568D7349" w14:textId="77777777" w:rsidR="00801F86" w:rsidRDefault="00801F86" w:rsidP="00801F86">
      <w:pPr>
        <w:spacing w:line="360" w:lineRule="auto"/>
        <w:jc w:val="both"/>
        <w:rPr>
          <w:rFonts w:ascii="Arial" w:hAnsi="Arial" w:cs="Arial"/>
        </w:rPr>
      </w:pPr>
    </w:p>
    <w:p w14:paraId="0B8CA78A" w14:textId="77777777" w:rsidR="00801F86" w:rsidRDefault="00801F86" w:rsidP="00801F86">
      <w:pPr>
        <w:spacing w:line="360" w:lineRule="auto"/>
        <w:jc w:val="both"/>
        <w:rPr>
          <w:rFonts w:ascii="Arial" w:hAnsi="Arial" w:cs="Arial"/>
        </w:rPr>
      </w:pPr>
      <w:r w:rsidRPr="00592403">
        <w:rPr>
          <w:rFonts w:ascii="Arial" w:hAnsi="Arial" w:cs="Arial"/>
        </w:rPr>
        <w:t>Mohdzaini, H. (2022</w:t>
      </w:r>
      <w:r>
        <w:rPr>
          <w:rFonts w:ascii="Arial" w:hAnsi="Arial" w:cs="Arial"/>
        </w:rPr>
        <w:t>b</w:t>
      </w:r>
      <w:r w:rsidRPr="00592403">
        <w:rPr>
          <w:rFonts w:ascii="Arial" w:hAnsi="Arial" w:cs="Arial"/>
        </w:rPr>
        <w:t xml:space="preserve">) Can AI feedback improve employee performance?, CIPD. Available at: https://www.cipd.org/uk/knowledge/bitesize-research/ai-feedback-employee-performance/ (Accessed: 01 February 2025). </w:t>
      </w:r>
    </w:p>
    <w:p w14:paraId="2E0421D1" w14:textId="77777777" w:rsidR="00801F86" w:rsidRPr="00592403" w:rsidRDefault="00801F86" w:rsidP="00801F86">
      <w:pPr>
        <w:spacing w:line="360" w:lineRule="auto"/>
        <w:jc w:val="both"/>
        <w:rPr>
          <w:rFonts w:ascii="Arial" w:hAnsi="Arial" w:cs="Arial"/>
        </w:rPr>
      </w:pPr>
    </w:p>
    <w:p w14:paraId="6F9209BE" w14:textId="77777777" w:rsidR="00801F86" w:rsidRDefault="00801F86" w:rsidP="00801F86">
      <w:pPr>
        <w:spacing w:line="360" w:lineRule="auto"/>
        <w:jc w:val="both"/>
        <w:rPr>
          <w:rFonts w:ascii="Arial" w:hAnsi="Arial" w:cs="Arial"/>
        </w:rPr>
      </w:pPr>
      <w:r w:rsidRPr="00592403">
        <w:rPr>
          <w:rFonts w:ascii="Arial" w:hAnsi="Arial" w:cs="Arial"/>
        </w:rPr>
        <w:t xml:space="preserve">Norris-Green, M. and Maxwell, G. (2022) Effective cross-functional collaboration in a changing world of work, CIPD. Available at: https://www.cipd.org/uk/knowledge/reports/cross-functional-collaboration/ (Accessed: 01 February 2025). </w:t>
      </w:r>
    </w:p>
    <w:p w14:paraId="508CAE6A" w14:textId="77777777" w:rsidR="00801F86" w:rsidRDefault="00801F86" w:rsidP="00801F86">
      <w:pPr>
        <w:spacing w:line="360" w:lineRule="auto"/>
        <w:jc w:val="both"/>
        <w:rPr>
          <w:rFonts w:ascii="Arial" w:hAnsi="Arial" w:cs="Arial"/>
        </w:rPr>
      </w:pPr>
    </w:p>
    <w:p w14:paraId="400C0408" w14:textId="77777777" w:rsidR="00801F86" w:rsidRDefault="00801F86" w:rsidP="00801F86">
      <w:pPr>
        <w:spacing w:line="360" w:lineRule="auto"/>
        <w:jc w:val="both"/>
        <w:rPr>
          <w:rFonts w:ascii="Arial" w:hAnsi="Arial" w:cs="Arial"/>
        </w:rPr>
      </w:pPr>
      <w:r w:rsidRPr="004B204B">
        <w:rPr>
          <w:rFonts w:ascii="Arial" w:hAnsi="Arial" w:cs="Arial"/>
        </w:rPr>
        <w:t xml:space="preserve">Ovide, S. (2021) </w:t>
      </w:r>
      <w:r w:rsidRPr="004B204B">
        <w:rPr>
          <w:rFonts w:ascii="Arial" w:hAnsi="Arial" w:cs="Arial"/>
          <w:i/>
          <w:iCs/>
        </w:rPr>
        <w:t>Amazon is brilliant. why not at H.R.?</w:t>
      </w:r>
      <w:r w:rsidRPr="004B204B">
        <w:rPr>
          <w:rFonts w:ascii="Arial" w:hAnsi="Arial" w:cs="Arial"/>
        </w:rPr>
        <w:t xml:space="preserve">, </w:t>
      </w:r>
      <w:r w:rsidRPr="004B204B">
        <w:rPr>
          <w:rFonts w:ascii="Arial" w:hAnsi="Arial" w:cs="Arial"/>
          <w:i/>
          <w:iCs/>
        </w:rPr>
        <w:t>The New York Times</w:t>
      </w:r>
      <w:r w:rsidRPr="004B204B">
        <w:rPr>
          <w:rFonts w:ascii="Arial" w:hAnsi="Arial" w:cs="Arial"/>
        </w:rPr>
        <w:t xml:space="preserve">. Available at: https://www.nytimes.com/2021/06/16/technology/amazon-work-force.html (Accessed: 10 February 2025). </w:t>
      </w:r>
    </w:p>
    <w:p w14:paraId="2803737C" w14:textId="77777777" w:rsidR="00801F86" w:rsidRPr="00592403" w:rsidRDefault="00801F86" w:rsidP="00801F86">
      <w:pPr>
        <w:spacing w:line="360" w:lineRule="auto"/>
        <w:jc w:val="both"/>
        <w:rPr>
          <w:rFonts w:ascii="Arial" w:hAnsi="Arial" w:cs="Arial"/>
        </w:rPr>
      </w:pPr>
    </w:p>
    <w:p w14:paraId="277227F3" w14:textId="77777777" w:rsidR="00801F86" w:rsidRDefault="00801F86" w:rsidP="00801F86">
      <w:pPr>
        <w:spacing w:line="360" w:lineRule="auto"/>
        <w:jc w:val="both"/>
        <w:rPr>
          <w:rFonts w:ascii="Arial" w:hAnsi="Arial" w:cs="Arial"/>
        </w:rPr>
      </w:pPr>
      <w:r w:rsidRPr="00592403">
        <w:rPr>
          <w:rFonts w:ascii="Arial" w:hAnsi="Arial" w:cs="Arial"/>
        </w:rPr>
        <w:t xml:space="preserve">Pembrokeshire County Council – Springing Forward: Audit Wales (2022) Pembrokeshire County Council – Springing Forward | Audit Wales. Available at: https://www.wao.gov.uk/publication/pembrokeshire-county-council-springing-forward (Accessed: 01 February 2025). </w:t>
      </w:r>
    </w:p>
    <w:p w14:paraId="61736F31" w14:textId="77777777" w:rsidR="00801F86" w:rsidRPr="00592403" w:rsidRDefault="00801F86" w:rsidP="00801F86">
      <w:pPr>
        <w:spacing w:line="360" w:lineRule="auto"/>
        <w:jc w:val="both"/>
        <w:rPr>
          <w:rFonts w:ascii="Arial" w:hAnsi="Arial" w:cs="Arial"/>
        </w:rPr>
      </w:pPr>
    </w:p>
    <w:p w14:paraId="247D8371" w14:textId="77777777" w:rsidR="00801F86" w:rsidRDefault="00801F86" w:rsidP="00801F86">
      <w:pPr>
        <w:spacing w:line="360" w:lineRule="auto"/>
        <w:jc w:val="both"/>
        <w:rPr>
          <w:rFonts w:ascii="Arial" w:hAnsi="Arial" w:cs="Arial"/>
        </w:rPr>
      </w:pPr>
      <w:r w:rsidRPr="00592403">
        <w:rPr>
          <w:rFonts w:ascii="Arial" w:hAnsi="Arial" w:cs="Arial"/>
        </w:rPr>
        <w:t>Pembrokeshire County Council (2023) Future Workforce Plan. Pembrokeshire County Council. Unpublished.</w:t>
      </w:r>
    </w:p>
    <w:p w14:paraId="7E285B51" w14:textId="77777777" w:rsidR="00801F86" w:rsidRPr="00592403" w:rsidRDefault="00801F86" w:rsidP="00801F86">
      <w:pPr>
        <w:spacing w:line="360" w:lineRule="auto"/>
        <w:jc w:val="both"/>
        <w:rPr>
          <w:rFonts w:ascii="Arial" w:hAnsi="Arial" w:cs="Arial"/>
        </w:rPr>
      </w:pPr>
    </w:p>
    <w:p w14:paraId="6D442763" w14:textId="77777777" w:rsidR="00801F86" w:rsidRDefault="00801F86" w:rsidP="00801F86">
      <w:pPr>
        <w:spacing w:line="360" w:lineRule="auto"/>
        <w:jc w:val="both"/>
        <w:rPr>
          <w:rFonts w:ascii="Arial" w:hAnsi="Arial" w:cs="Arial"/>
        </w:rPr>
      </w:pPr>
      <w:r w:rsidRPr="00592403">
        <w:rPr>
          <w:rFonts w:ascii="Arial" w:hAnsi="Arial" w:cs="Arial"/>
        </w:rPr>
        <w:t xml:space="preserve">Peters, R. (2024) Strategic Human Resource Management: Factsheets, CIPD. Available at: https://www.cipd.org/uk/knowledge/factsheets/strategic-hrm-factsheet/ (Accessed: 01 February 2025). </w:t>
      </w:r>
    </w:p>
    <w:p w14:paraId="6AA7EFA2" w14:textId="77777777" w:rsidR="00801F86" w:rsidRPr="00592403" w:rsidRDefault="00801F86" w:rsidP="00801F86">
      <w:pPr>
        <w:spacing w:line="360" w:lineRule="auto"/>
        <w:jc w:val="both"/>
        <w:rPr>
          <w:rFonts w:ascii="Arial" w:hAnsi="Arial" w:cs="Arial"/>
        </w:rPr>
      </w:pPr>
    </w:p>
    <w:p w14:paraId="47A0FEA1" w14:textId="77777777" w:rsidR="00801F86" w:rsidRDefault="00801F86" w:rsidP="00801F86">
      <w:pPr>
        <w:spacing w:line="360" w:lineRule="auto"/>
        <w:jc w:val="both"/>
        <w:rPr>
          <w:rFonts w:ascii="Arial" w:hAnsi="Arial" w:cs="Arial"/>
        </w:rPr>
      </w:pPr>
      <w:r w:rsidRPr="00592403">
        <w:rPr>
          <w:rFonts w:ascii="Arial" w:hAnsi="Arial" w:cs="Arial"/>
        </w:rPr>
        <w:lastRenderedPageBreak/>
        <w:t xml:space="preserve">Pollack, J. and Pollack, R. (2014) ‘Using Kotter’s eight stage process to manage an organisational change program: Presentation and practice’, Systemic Practice and Action Research, 28(1), pp. 51–66. doi:10.1007/s11213-014-9317-0. </w:t>
      </w:r>
    </w:p>
    <w:p w14:paraId="06554C18" w14:textId="77777777" w:rsidR="00801F86" w:rsidRPr="00592403" w:rsidRDefault="00801F86" w:rsidP="00801F86">
      <w:pPr>
        <w:spacing w:line="360" w:lineRule="auto"/>
        <w:jc w:val="both"/>
        <w:rPr>
          <w:rFonts w:ascii="Arial" w:hAnsi="Arial" w:cs="Arial"/>
        </w:rPr>
      </w:pPr>
    </w:p>
    <w:p w14:paraId="1154F3E3" w14:textId="77777777" w:rsidR="00801F86" w:rsidRDefault="00801F86" w:rsidP="00801F86">
      <w:pPr>
        <w:spacing w:line="360" w:lineRule="auto"/>
        <w:jc w:val="both"/>
        <w:rPr>
          <w:rFonts w:ascii="Arial" w:hAnsi="Arial" w:cs="Arial"/>
        </w:rPr>
      </w:pPr>
      <w:r w:rsidRPr="00592403">
        <w:rPr>
          <w:rFonts w:ascii="Arial" w:hAnsi="Arial" w:cs="Arial"/>
        </w:rPr>
        <w:t xml:space="preserve">Rana, T. (2019) The future of HR in the presence of AI: A conceptual study, SSRN. Available at: https://papers.ssrn.com/sol3/papers.cfm?abstract_id=3335670 (Accessed: 01 February 2025). </w:t>
      </w:r>
    </w:p>
    <w:p w14:paraId="031D03AA" w14:textId="77777777" w:rsidR="00801F86" w:rsidRPr="00592403" w:rsidRDefault="00801F86" w:rsidP="00801F86">
      <w:pPr>
        <w:spacing w:line="360" w:lineRule="auto"/>
        <w:jc w:val="both"/>
        <w:rPr>
          <w:rFonts w:ascii="Arial" w:hAnsi="Arial" w:cs="Arial"/>
        </w:rPr>
      </w:pPr>
    </w:p>
    <w:p w14:paraId="0B224D14" w14:textId="77777777" w:rsidR="00801F86" w:rsidRDefault="00801F86" w:rsidP="00801F86">
      <w:pPr>
        <w:spacing w:line="360" w:lineRule="auto"/>
        <w:jc w:val="both"/>
        <w:rPr>
          <w:rFonts w:ascii="Arial" w:hAnsi="Arial" w:cs="Arial"/>
        </w:rPr>
      </w:pPr>
      <w:r w:rsidRPr="00592403">
        <w:rPr>
          <w:rFonts w:ascii="Arial" w:hAnsi="Arial" w:cs="Arial"/>
        </w:rPr>
        <w:t xml:space="preserve">Recruitment: An Introduction (2024) CIPD. Available at: https://www.cipd.org/uk/knowledge/factsheets/recruitment-factsheet/ (Accessed: 01 February 2025). </w:t>
      </w:r>
    </w:p>
    <w:p w14:paraId="3DF3B436" w14:textId="77777777" w:rsidR="00801F86" w:rsidRPr="00592403" w:rsidRDefault="00801F86" w:rsidP="00801F86">
      <w:pPr>
        <w:spacing w:line="360" w:lineRule="auto"/>
        <w:jc w:val="both"/>
        <w:rPr>
          <w:rFonts w:ascii="Arial" w:hAnsi="Arial" w:cs="Arial"/>
        </w:rPr>
      </w:pPr>
    </w:p>
    <w:p w14:paraId="49555213" w14:textId="77777777" w:rsidR="00801F86" w:rsidRPr="00592403" w:rsidRDefault="00801F86" w:rsidP="00801F86">
      <w:pPr>
        <w:spacing w:line="360" w:lineRule="auto"/>
        <w:jc w:val="both"/>
        <w:rPr>
          <w:rFonts w:ascii="Arial" w:hAnsi="Arial" w:cs="Arial"/>
        </w:rPr>
      </w:pPr>
      <w:r w:rsidRPr="00592403">
        <w:rPr>
          <w:rFonts w:ascii="Arial" w:hAnsi="Arial" w:cs="Arial"/>
        </w:rPr>
        <w:t xml:space="preserve">Roberts, A. and Tracey, H. (2024) Change management: A guide for people professionals, CIPD. Available at: https://www.cipd.org/uk/knowledge/guides/change-management/ (Accessed: 01 February 2025). </w:t>
      </w:r>
    </w:p>
    <w:p w14:paraId="693A84FB" w14:textId="77777777" w:rsidR="00801F86" w:rsidRDefault="00801F86" w:rsidP="00801F86">
      <w:pPr>
        <w:spacing w:line="360" w:lineRule="auto"/>
        <w:jc w:val="both"/>
        <w:rPr>
          <w:rFonts w:ascii="Arial" w:hAnsi="Arial" w:cs="Arial"/>
        </w:rPr>
      </w:pPr>
    </w:p>
    <w:p w14:paraId="050C8879" w14:textId="77777777" w:rsidR="00801F86" w:rsidRDefault="00801F86" w:rsidP="00801F86">
      <w:pPr>
        <w:spacing w:line="360" w:lineRule="auto"/>
        <w:jc w:val="both"/>
        <w:rPr>
          <w:rFonts w:ascii="Arial" w:hAnsi="Arial" w:cs="Arial"/>
        </w:rPr>
      </w:pPr>
      <w:r w:rsidRPr="00592403">
        <w:rPr>
          <w:rFonts w:ascii="Arial" w:hAnsi="Arial" w:cs="Arial"/>
        </w:rPr>
        <w:t>Rock, D. (2009) ‘Managing with the Brain in Mind’, Strategy + Business, (56), pp. 1–15.</w:t>
      </w:r>
      <w:r>
        <w:rPr>
          <w:rFonts w:ascii="Arial" w:hAnsi="Arial" w:cs="Arial"/>
        </w:rPr>
        <w:t xml:space="preserve"> </w:t>
      </w:r>
      <w:r w:rsidRPr="00592403">
        <w:rPr>
          <w:rFonts w:ascii="Arial" w:hAnsi="Arial" w:cs="Arial"/>
        </w:rPr>
        <w:t xml:space="preserve">doi:http://lpcazure.laspositascollege.edu/gv/pdc/assets/docs/mandatoryflex/archives/fall2018/WTArticle.pdf. </w:t>
      </w:r>
    </w:p>
    <w:p w14:paraId="4CDC4407" w14:textId="77777777" w:rsidR="00801F86" w:rsidRPr="00592403" w:rsidRDefault="00801F86" w:rsidP="00801F86">
      <w:pPr>
        <w:spacing w:line="360" w:lineRule="auto"/>
        <w:jc w:val="both"/>
        <w:rPr>
          <w:rFonts w:ascii="Arial" w:hAnsi="Arial" w:cs="Arial"/>
        </w:rPr>
      </w:pPr>
    </w:p>
    <w:p w14:paraId="392A919E" w14:textId="77777777" w:rsidR="00801F86" w:rsidRDefault="00801F86" w:rsidP="00801F86">
      <w:pPr>
        <w:spacing w:line="360" w:lineRule="auto"/>
        <w:jc w:val="both"/>
        <w:rPr>
          <w:rFonts w:ascii="Arial" w:hAnsi="Arial" w:cs="Arial"/>
        </w:rPr>
      </w:pPr>
      <w:r w:rsidRPr="00592403">
        <w:rPr>
          <w:rFonts w:ascii="Arial" w:hAnsi="Arial" w:cs="Arial"/>
        </w:rPr>
        <w:t>Smith, J. and Mitchell, J. (2022) ‘Shaping People Practice to Benefit Your Organisation’, in Studying Human Resource Management: A Guide to the Study, Context and Practice of HR. 3rd edn. London: Kogan Page, pp. 89–112.</w:t>
      </w:r>
    </w:p>
    <w:p w14:paraId="31212268" w14:textId="77777777" w:rsidR="00801F86" w:rsidRPr="00592403" w:rsidRDefault="00801F86" w:rsidP="00801F86">
      <w:pPr>
        <w:spacing w:line="360" w:lineRule="auto"/>
        <w:jc w:val="both"/>
        <w:rPr>
          <w:rFonts w:ascii="Arial" w:hAnsi="Arial" w:cs="Arial"/>
        </w:rPr>
      </w:pPr>
    </w:p>
    <w:p w14:paraId="5F31B89C" w14:textId="77777777" w:rsidR="00801F86" w:rsidRDefault="00801F86" w:rsidP="00801F86">
      <w:pPr>
        <w:spacing w:line="360" w:lineRule="auto"/>
        <w:jc w:val="both"/>
        <w:rPr>
          <w:rFonts w:ascii="Arial" w:hAnsi="Arial" w:cs="Arial"/>
        </w:rPr>
      </w:pPr>
      <w:r w:rsidRPr="00592403">
        <w:rPr>
          <w:rFonts w:ascii="Arial" w:hAnsi="Arial" w:cs="Arial"/>
        </w:rPr>
        <w:t xml:space="preserve">Smith, J. and Mitchell, J. (2022) ‘The Behaviour of the People Professional’, in Studying Human Resource Management: A Guide to the Study, Context and Practice of HR. 3rd edn. London: Kogan Page, pp. 141–170. </w:t>
      </w:r>
    </w:p>
    <w:p w14:paraId="118427CB" w14:textId="77777777" w:rsidR="00801F86" w:rsidRPr="00592403" w:rsidRDefault="00801F86" w:rsidP="00801F86">
      <w:pPr>
        <w:spacing w:line="360" w:lineRule="auto"/>
        <w:jc w:val="both"/>
        <w:rPr>
          <w:rFonts w:ascii="Arial" w:hAnsi="Arial" w:cs="Arial"/>
        </w:rPr>
      </w:pPr>
    </w:p>
    <w:p w14:paraId="15F75889" w14:textId="77777777" w:rsidR="00801F86" w:rsidRDefault="00801F86" w:rsidP="00801F86">
      <w:pPr>
        <w:spacing w:line="360" w:lineRule="auto"/>
        <w:jc w:val="both"/>
        <w:rPr>
          <w:rFonts w:ascii="Arial" w:hAnsi="Arial" w:cs="Arial"/>
        </w:rPr>
      </w:pPr>
      <w:r w:rsidRPr="00592403">
        <w:rPr>
          <w:rFonts w:ascii="Arial" w:hAnsi="Arial" w:cs="Arial"/>
        </w:rPr>
        <w:t xml:space="preserve">Strategic workforce planning: Guide for people professionals (2023) CIPD. Available at: https://www.cipd.org/uk/knowledge/guides/strategic-workforce-planning/ (Accessed: 01 February 2025). </w:t>
      </w:r>
    </w:p>
    <w:p w14:paraId="4D0C45AD" w14:textId="77777777" w:rsidR="00801F86" w:rsidRPr="00592403" w:rsidRDefault="00801F86" w:rsidP="00801F86">
      <w:pPr>
        <w:spacing w:line="360" w:lineRule="auto"/>
        <w:jc w:val="both"/>
        <w:rPr>
          <w:rFonts w:ascii="Arial" w:hAnsi="Arial" w:cs="Arial"/>
        </w:rPr>
      </w:pPr>
    </w:p>
    <w:p w14:paraId="6AD9E9BE" w14:textId="77777777" w:rsidR="00801F86" w:rsidRDefault="00801F86" w:rsidP="00801F86">
      <w:pPr>
        <w:spacing w:line="360" w:lineRule="auto"/>
        <w:jc w:val="both"/>
        <w:rPr>
          <w:rFonts w:ascii="Arial" w:hAnsi="Arial" w:cs="Arial"/>
        </w:rPr>
      </w:pPr>
      <w:r w:rsidRPr="00592403">
        <w:rPr>
          <w:rFonts w:ascii="Arial" w:hAnsi="Arial" w:cs="Arial"/>
        </w:rPr>
        <w:lastRenderedPageBreak/>
        <w:t xml:space="preserve">Suff, R. (2017) Turning around employee turnover, CIPD. Available at: https://www.cipd.org/uk/knowledge/bitesize-research/employee-turnover/ (Accessed: 01 February 2025). </w:t>
      </w:r>
    </w:p>
    <w:p w14:paraId="44E90D71" w14:textId="77777777" w:rsidR="00801F86" w:rsidRPr="00592403" w:rsidRDefault="00801F86" w:rsidP="00801F86">
      <w:pPr>
        <w:spacing w:line="360" w:lineRule="auto"/>
        <w:jc w:val="both"/>
        <w:rPr>
          <w:rFonts w:ascii="Arial" w:hAnsi="Arial" w:cs="Arial"/>
        </w:rPr>
      </w:pPr>
    </w:p>
    <w:p w14:paraId="3BB585C9" w14:textId="77777777" w:rsidR="00801F86" w:rsidRDefault="00801F86" w:rsidP="00801F86">
      <w:pPr>
        <w:spacing w:line="360" w:lineRule="auto"/>
        <w:jc w:val="both"/>
        <w:rPr>
          <w:rFonts w:ascii="Arial" w:hAnsi="Arial" w:cs="Arial"/>
        </w:rPr>
      </w:pPr>
      <w:r w:rsidRPr="00592403">
        <w:rPr>
          <w:rFonts w:ascii="Arial" w:hAnsi="Arial" w:cs="Arial"/>
        </w:rPr>
        <w:t xml:space="preserve">Taylor, S. (2022) ‘Contemporary People Management Issues’, in Studying Human Resource Management: A Guide to the Study, Context and Practice of HR. 3rd edn. London: Kogan Page, pp. 65–88. </w:t>
      </w:r>
    </w:p>
    <w:p w14:paraId="3DDA52C7" w14:textId="77777777" w:rsidR="00801F86" w:rsidRPr="00592403" w:rsidRDefault="00801F86" w:rsidP="00801F86">
      <w:pPr>
        <w:spacing w:line="360" w:lineRule="auto"/>
        <w:jc w:val="both"/>
        <w:rPr>
          <w:rFonts w:ascii="Arial" w:hAnsi="Arial" w:cs="Arial"/>
        </w:rPr>
      </w:pPr>
    </w:p>
    <w:p w14:paraId="7BA65F33" w14:textId="77777777" w:rsidR="00801F86" w:rsidRDefault="00801F86" w:rsidP="00801F86">
      <w:pPr>
        <w:spacing w:line="360" w:lineRule="auto"/>
        <w:jc w:val="both"/>
        <w:rPr>
          <w:rFonts w:ascii="Arial" w:hAnsi="Arial" w:cs="Arial"/>
        </w:rPr>
      </w:pPr>
      <w:r w:rsidRPr="00592403">
        <w:rPr>
          <w:rFonts w:ascii="Arial" w:hAnsi="Arial" w:cs="Arial"/>
        </w:rPr>
        <w:t xml:space="preserve">Taylor, S. and Ciachir, C. (2022) ‘Improving Organisational Performance’, in Human Resource Management: People and Organisations. 3rd edn. New York, NY: Kogan Page, pp. 145–170. </w:t>
      </w:r>
    </w:p>
    <w:p w14:paraId="389F2F99" w14:textId="77777777" w:rsidR="00801F86" w:rsidRPr="00592403" w:rsidRDefault="00801F86" w:rsidP="00801F86">
      <w:pPr>
        <w:spacing w:line="360" w:lineRule="auto"/>
        <w:jc w:val="both"/>
        <w:rPr>
          <w:rFonts w:ascii="Arial" w:hAnsi="Arial" w:cs="Arial"/>
        </w:rPr>
      </w:pPr>
    </w:p>
    <w:p w14:paraId="4DF1D507" w14:textId="77777777" w:rsidR="00801F86" w:rsidRPr="00592403" w:rsidRDefault="00801F86" w:rsidP="00801F86">
      <w:pPr>
        <w:spacing w:line="360" w:lineRule="auto"/>
        <w:jc w:val="both"/>
        <w:rPr>
          <w:rFonts w:ascii="Arial" w:hAnsi="Arial" w:cs="Arial"/>
        </w:rPr>
      </w:pPr>
      <w:r w:rsidRPr="00592403">
        <w:rPr>
          <w:rFonts w:ascii="Arial" w:hAnsi="Arial" w:cs="Arial"/>
        </w:rPr>
        <w:t xml:space="preserve">Taylor, S. and Wilkinson, K. (2022) ‘The People Management Business Environment’, in Studying Human Resource Management: A Guide to the Study, Context and Practice of HR. 3rd edn. London: Kogan Page, pp. 21–39. </w:t>
      </w:r>
    </w:p>
    <w:p w14:paraId="51863C38" w14:textId="77777777" w:rsidR="00801F86" w:rsidRDefault="00801F86" w:rsidP="00801F86">
      <w:pPr>
        <w:spacing w:line="360" w:lineRule="auto"/>
        <w:jc w:val="both"/>
        <w:rPr>
          <w:rFonts w:ascii="Arial" w:hAnsi="Arial" w:cs="Arial"/>
        </w:rPr>
      </w:pPr>
    </w:p>
    <w:p w14:paraId="25C0FF8B" w14:textId="77777777" w:rsidR="00801F86" w:rsidRPr="00592403" w:rsidRDefault="00801F86" w:rsidP="00801F86">
      <w:pPr>
        <w:spacing w:line="360" w:lineRule="auto"/>
        <w:jc w:val="both"/>
        <w:rPr>
          <w:rFonts w:ascii="Arial" w:hAnsi="Arial" w:cs="Arial"/>
        </w:rPr>
      </w:pPr>
      <w:r w:rsidRPr="00592403">
        <w:rPr>
          <w:rFonts w:ascii="Arial" w:hAnsi="Arial" w:cs="Arial"/>
        </w:rPr>
        <w:t xml:space="preserve">Tingsager, C. and Smith, F. (2022) ‘Strategy and Structure’, in Studying Human Resource Management: A Guide to the Study, Context and Practice of HR. 3rd edn. London: Kogan Page, pp. 41–63. </w:t>
      </w:r>
    </w:p>
    <w:p w14:paraId="7818511B" w14:textId="77777777" w:rsidR="00801F86" w:rsidRDefault="00801F86" w:rsidP="00801F86">
      <w:pPr>
        <w:spacing w:line="360" w:lineRule="auto"/>
        <w:jc w:val="both"/>
        <w:rPr>
          <w:rFonts w:ascii="Arial" w:hAnsi="Arial" w:cs="Arial"/>
        </w:rPr>
      </w:pPr>
    </w:p>
    <w:p w14:paraId="57EC824D" w14:textId="77777777" w:rsidR="00801F86" w:rsidRDefault="00801F86" w:rsidP="00801F86">
      <w:pPr>
        <w:spacing w:line="360" w:lineRule="auto"/>
        <w:jc w:val="both"/>
        <w:rPr>
          <w:rFonts w:ascii="Arial" w:hAnsi="Arial" w:cs="Arial"/>
        </w:rPr>
      </w:pPr>
      <w:r w:rsidRPr="00592403">
        <w:rPr>
          <w:rFonts w:ascii="Arial" w:hAnsi="Arial" w:cs="Arial"/>
        </w:rPr>
        <w:t xml:space="preserve">Tracey, H. (2024) Change Management, CIPD. Available at: https://www.cipd.org/uk/knowledge/factsheets/change-management-factsheet/ (Accessed: 01 February 2025). </w:t>
      </w:r>
    </w:p>
    <w:p w14:paraId="274FA9CD" w14:textId="77777777" w:rsidR="00801F86" w:rsidRPr="00592403" w:rsidRDefault="00801F86" w:rsidP="00801F86">
      <w:pPr>
        <w:spacing w:line="360" w:lineRule="auto"/>
        <w:jc w:val="both"/>
        <w:rPr>
          <w:rFonts w:ascii="Arial" w:hAnsi="Arial" w:cs="Arial"/>
        </w:rPr>
      </w:pPr>
    </w:p>
    <w:p w14:paraId="3631F18B" w14:textId="77777777" w:rsidR="00801F86" w:rsidRDefault="00801F86" w:rsidP="00801F86">
      <w:pPr>
        <w:spacing w:line="360" w:lineRule="auto"/>
        <w:jc w:val="both"/>
        <w:rPr>
          <w:rFonts w:ascii="Arial" w:hAnsi="Arial" w:cs="Arial"/>
        </w:rPr>
      </w:pPr>
      <w:r w:rsidRPr="00592403">
        <w:rPr>
          <w:rFonts w:ascii="Arial" w:hAnsi="Arial" w:cs="Arial"/>
        </w:rPr>
        <w:t xml:space="preserve">What consultation is – consulting employees and representatives (2021) ACAS. Available at: https://www.acas.org.uk/consulting-employees (Accessed: 01 February 2025). </w:t>
      </w:r>
    </w:p>
    <w:p w14:paraId="350C33B2" w14:textId="77777777" w:rsidR="00801F86" w:rsidRPr="00592403" w:rsidRDefault="00801F86" w:rsidP="00801F86">
      <w:pPr>
        <w:spacing w:line="360" w:lineRule="auto"/>
        <w:jc w:val="both"/>
        <w:rPr>
          <w:rFonts w:ascii="Arial" w:hAnsi="Arial" w:cs="Arial"/>
        </w:rPr>
      </w:pPr>
    </w:p>
    <w:p w14:paraId="3027F11B" w14:textId="77777777" w:rsidR="00801F86" w:rsidRDefault="00801F86" w:rsidP="00801F86">
      <w:pPr>
        <w:spacing w:line="360" w:lineRule="auto"/>
        <w:jc w:val="both"/>
        <w:rPr>
          <w:rFonts w:ascii="Arial" w:hAnsi="Arial" w:cs="Arial"/>
        </w:rPr>
      </w:pPr>
      <w:r w:rsidRPr="00592403">
        <w:rPr>
          <w:rFonts w:ascii="Arial" w:hAnsi="Arial" w:cs="Arial"/>
        </w:rPr>
        <w:t xml:space="preserve">Wilkinson, K. and Taylor, S. (2022) ‘02 - Talent Management and Workforce Planning’, in Human Resource Management: People and Organisations. 3rd edn. New York, NY: Kogan Page, pp. 29–59. </w:t>
      </w:r>
    </w:p>
    <w:p w14:paraId="0759708E" w14:textId="77777777" w:rsidR="00801F86" w:rsidRPr="00592403" w:rsidRDefault="00801F86" w:rsidP="00801F86">
      <w:pPr>
        <w:spacing w:line="360" w:lineRule="auto"/>
        <w:jc w:val="both"/>
        <w:rPr>
          <w:rFonts w:ascii="Arial" w:hAnsi="Arial" w:cs="Arial"/>
        </w:rPr>
      </w:pPr>
    </w:p>
    <w:p w14:paraId="0D3F9F9A" w14:textId="77777777" w:rsidR="00801F86" w:rsidRDefault="00801F86" w:rsidP="00801F86">
      <w:pPr>
        <w:spacing w:line="360" w:lineRule="auto"/>
        <w:jc w:val="both"/>
        <w:rPr>
          <w:rFonts w:ascii="Arial" w:hAnsi="Arial" w:cs="Arial"/>
        </w:rPr>
      </w:pPr>
      <w:r w:rsidRPr="00592403">
        <w:rPr>
          <w:rFonts w:ascii="Arial" w:hAnsi="Arial" w:cs="Arial"/>
        </w:rPr>
        <w:lastRenderedPageBreak/>
        <w:t xml:space="preserve">Young, J. (2023) Health and Wellbeing at Work 2023: Views of Employees, CIPD. Available at: https://www.cipd.org/uk/knowledge/reports/health-well-being-work/ (Accessed: 30 January 2025). </w:t>
      </w:r>
    </w:p>
    <w:p w14:paraId="5CDA8A45" w14:textId="77777777" w:rsidR="00801F86" w:rsidRPr="00592403" w:rsidRDefault="00801F86" w:rsidP="00801F86">
      <w:pPr>
        <w:spacing w:line="360" w:lineRule="auto"/>
        <w:jc w:val="both"/>
        <w:rPr>
          <w:rFonts w:ascii="Arial" w:hAnsi="Arial" w:cs="Arial"/>
        </w:rPr>
      </w:pPr>
    </w:p>
    <w:p w14:paraId="230424AC" w14:textId="70FFB11A" w:rsidR="00801F86" w:rsidRDefault="00801F86" w:rsidP="00801F86">
      <w:pPr>
        <w:spacing w:line="360" w:lineRule="auto"/>
        <w:jc w:val="both"/>
        <w:rPr>
          <w:rFonts w:ascii="Arial" w:hAnsi="Arial" w:cs="Arial"/>
        </w:rPr>
      </w:pPr>
      <w:r w:rsidRPr="00592403">
        <w:rPr>
          <w:rFonts w:ascii="Arial" w:hAnsi="Arial" w:cs="Arial"/>
        </w:rPr>
        <w:t xml:space="preserve">Young, J. (2024) CIPD Good Work Index: Wales, CIPD. Available at: https://www.cipd.org/en/knowledge/reports/goodwork/wales/ (Accessed: 30 January 2025). </w:t>
      </w:r>
    </w:p>
    <w:p w14:paraId="7BFB86FC" w14:textId="77777777" w:rsidR="00801F86" w:rsidRPr="00592403" w:rsidRDefault="00801F86" w:rsidP="00801F86">
      <w:pPr>
        <w:spacing w:line="360" w:lineRule="auto"/>
        <w:jc w:val="both"/>
        <w:rPr>
          <w:rFonts w:ascii="Arial" w:hAnsi="Arial" w:cs="Arial"/>
        </w:rPr>
      </w:pPr>
    </w:p>
    <w:p w14:paraId="0301AF4F" w14:textId="77777777" w:rsidR="00801F86" w:rsidRDefault="00801F86" w:rsidP="00801F86">
      <w:pPr>
        <w:spacing w:line="360" w:lineRule="auto"/>
        <w:jc w:val="both"/>
        <w:rPr>
          <w:rFonts w:ascii="Arial" w:hAnsi="Arial" w:cs="Arial"/>
        </w:rPr>
      </w:pPr>
      <w:r w:rsidRPr="00592403">
        <w:rPr>
          <w:rFonts w:ascii="Arial" w:hAnsi="Arial" w:cs="Arial"/>
        </w:rPr>
        <w:t>Young, J. (2024</w:t>
      </w:r>
      <w:r>
        <w:rPr>
          <w:rFonts w:ascii="Arial" w:hAnsi="Arial" w:cs="Arial"/>
        </w:rPr>
        <w:t>a</w:t>
      </w:r>
      <w:r w:rsidRPr="00592403">
        <w:rPr>
          <w:rFonts w:ascii="Arial" w:hAnsi="Arial" w:cs="Arial"/>
        </w:rPr>
        <w:t xml:space="preserve">) Organisation Development: Factsheets, CIPD. Available at: https://www.cipd.org/uk/knowledge/factsheets/organisational-development-factsheet/ (Accessed: 01 February 2025). </w:t>
      </w:r>
    </w:p>
    <w:p w14:paraId="72AF1621" w14:textId="77777777" w:rsidR="00801F86" w:rsidRPr="00592403" w:rsidRDefault="00801F86" w:rsidP="00801F86">
      <w:pPr>
        <w:spacing w:line="360" w:lineRule="auto"/>
        <w:jc w:val="both"/>
        <w:rPr>
          <w:rFonts w:ascii="Arial" w:hAnsi="Arial" w:cs="Arial"/>
        </w:rPr>
      </w:pPr>
    </w:p>
    <w:p w14:paraId="41F0E52E" w14:textId="77777777" w:rsidR="00801F86" w:rsidRDefault="00801F86" w:rsidP="00801F86">
      <w:pPr>
        <w:spacing w:line="360" w:lineRule="auto"/>
        <w:jc w:val="both"/>
        <w:rPr>
          <w:rFonts w:ascii="Arial" w:hAnsi="Arial" w:cs="Arial"/>
        </w:rPr>
      </w:pPr>
      <w:r w:rsidRPr="00592403">
        <w:rPr>
          <w:rFonts w:ascii="Arial" w:hAnsi="Arial" w:cs="Arial"/>
        </w:rPr>
        <w:t xml:space="preserve">Young, J. (2024) Organisational Climate and Culture: Factsheets, CIPD. Available at: https://www.cipd.org/uk/knowledge/factsheets/organisation-culture-change-factsheet/ (Accessed: 01 February 2025). </w:t>
      </w:r>
    </w:p>
    <w:p w14:paraId="5194E369" w14:textId="77777777" w:rsidR="00801F86" w:rsidRDefault="00801F86" w:rsidP="00801F86">
      <w:pPr>
        <w:spacing w:line="360" w:lineRule="auto"/>
        <w:jc w:val="both"/>
        <w:rPr>
          <w:rFonts w:ascii="Arial" w:hAnsi="Arial" w:cs="Arial"/>
        </w:rPr>
      </w:pPr>
    </w:p>
    <w:p w14:paraId="57E51AD8" w14:textId="77777777" w:rsidR="00801F86" w:rsidRDefault="00801F86" w:rsidP="00801F86">
      <w:pPr>
        <w:spacing w:line="360" w:lineRule="auto"/>
        <w:jc w:val="both"/>
        <w:rPr>
          <w:rFonts w:ascii="Arial" w:hAnsi="Arial" w:cs="Arial"/>
        </w:rPr>
      </w:pPr>
      <w:r w:rsidRPr="0018247C">
        <w:rPr>
          <w:rFonts w:ascii="Arial" w:hAnsi="Arial" w:cs="Arial"/>
        </w:rPr>
        <w:t xml:space="preserve">Webster, J. (2023) </w:t>
      </w:r>
      <w:r w:rsidRPr="0018247C">
        <w:rPr>
          <w:rFonts w:ascii="Arial" w:hAnsi="Arial" w:cs="Arial"/>
          <w:i/>
          <w:iCs/>
        </w:rPr>
        <w:t>HR strategy</w:t>
      </w:r>
      <w:r w:rsidRPr="0018247C">
        <w:rPr>
          <w:rFonts w:ascii="Arial" w:hAnsi="Arial" w:cs="Arial"/>
        </w:rPr>
        <w:t xml:space="preserve">, </w:t>
      </w:r>
      <w:r w:rsidRPr="0018247C">
        <w:rPr>
          <w:rFonts w:ascii="Arial" w:hAnsi="Arial" w:cs="Arial"/>
          <w:i/>
          <w:iCs/>
        </w:rPr>
        <w:t>Practicus</w:t>
      </w:r>
      <w:r w:rsidRPr="0018247C">
        <w:rPr>
          <w:rFonts w:ascii="Arial" w:hAnsi="Arial" w:cs="Arial"/>
        </w:rPr>
        <w:t xml:space="preserve">. Available at: https://www.practicus.com/what-we-do/hr/hr-strategy (Accessed: 10 February 2025). </w:t>
      </w:r>
    </w:p>
    <w:p w14:paraId="0B43B94C" w14:textId="77777777" w:rsidR="00801F86" w:rsidRDefault="00801F86" w:rsidP="00801F86">
      <w:pPr>
        <w:spacing w:line="360" w:lineRule="auto"/>
        <w:jc w:val="both"/>
        <w:rPr>
          <w:rFonts w:ascii="Arial" w:hAnsi="Arial" w:cs="Arial"/>
        </w:rPr>
      </w:pPr>
    </w:p>
    <w:p w14:paraId="40285082" w14:textId="77777777" w:rsidR="00801F86" w:rsidRPr="0088109A" w:rsidRDefault="00801F86" w:rsidP="00801F86">
      <w:pPr>
        <w:spacing w:line="360" w:lineRule="auto"/>
        <w:jc w:val="both"/>
        <w:rPr>
          <w:rFonts w:ascii="Arial" w:hAnsi="Arial" w:cs="Arial"/>
        </w:rPr>
      </w:pPr>
      <w:r w:rsidRPr="0088109A">
        <w:rPr>
          <w:rFonts w:ascii="Arial" w:hAnsi="Arial" w:cs="Arial"/>
          <w:i/>
          <w:iCs/>
        </w:rPr>
        <w:t>Why are interest rates high and how quickly might they fall?</w:t>
      </w:r>
      <w:r w:rsidRPr="0088109A">
        <w:rPr>
          <w:rFonts w:ascii="Arial" w:hAnsi="Arial" w:cs="Arial"/>
        </w:rPr>
        <w:t xml:space="preserve"> (2025) </w:t>
      </w:r>
      <w:r w:rsidRPr="0088109A">
        <w:rPr>
          <w:rFonts w:ascii="Arial" w:hAnsi="Arial" w:cs="Arial"/>
          <w:i/>
          <w:iCs/>
        </w:rPr>
        <w:t>Bank of England</w:t>
      </w:r>
      <w:r w:rsidRPr="0088109A">
        <w:rPr>
          <w:rFonts w:ascii="Arial" w:hAnsi="Arial" w:cs="Arial"/>
        </w:rPr>
        <w:t xml:space="preserve">. Available at: https://www.bankofengland.co.uk/explainers/current-interest-rate (Accessed: 08 February 2025). </w:t>
      </w:r>
    </w:p>
    <w:p w14:paraId="65A55208" w14:textId="77777777" w:rsidR="00801F86" w:rsidRPr="00592403" w:rsidRDefault="00801F86" w:rsidP="00801F86">
      <w:pPr>
        <w:rPr>
          <w:rFonts w:ascii="Arial" w:hAnsi="Arial" w:cs="Arial"/>
        </w:rPr>
      </w:pPr>
    </w:p>
    <w:p w14:paraId="555C9634" w14:textId="77777777" w:rsidR="00801F86" w:rsidRPr="00E94EC9" w:rsidRDefault="00801F86" w:rsidP="00E94EC9">
      <w:pPr>
        <w:spacing w:line="360" w:lineRule="auto"/>
        <w:jc w:val="both"/>
        <w:rPr>
          <w:rFonts w:ascii="Arial" w:hAnsi="Arial" w:cs="Arial"/>
          <w:b/>
          <w:bCs/>
          <w:u w:val="single"/>
        </w:rPr>
      </w:pPr>
    </w:p>
    <w:sectPr w:rsidR="00801F86" w:rsidRPr="00E94EC9" w:rsidSect="00D91FA0">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6217C" w14:textId="77777777" w:rsidR="00A229E3" w:rsidRDefault="00A229E3" w:rsidP="00E94EC9">
      <w:r>
        <w:separator/>
      </w:r>
    </w:p>
  </w:endnote>
  <w:endnote w:type="continuationSeparator" w:id="0">
    <w:p w14:paraId="6F24A8C6" w14:textId="77777777" w:rsidR="00A229E3" w:rsidRDefault="00A229E3" w:rsidP="00E94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15D34" w14:textId="77777777" w:rsidR="00A229E3" w:rsidRDefault="00A229E3" w:rsidP="00E94EC9">
      <w:r>
        <w:separator/>
      </w:r>
    </w:p>
  </w:footnote>
  <w:footnote w:type="continuationSeparator" w:id="0">
    <w:p w14:paraId="7E203DBD" w14:textId="77777777" w:rsidR="00A229E3" w:rsidRDefault="00A229E3" w:rsidP="00E94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CF2B8" w14:textId="5ED59A69" w:rsidR="00E94EC9" w:rsidRDefault="00E94EC9">
    <w:pPr>
      <w:pStyle w:val="Header"/>
    </w:pPr>
    <w:r>
      <w:t>2418482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22F9"/>
    <w:multiLevelType w:val="hybridMultilevel"/>
    <w:tmpl w:val="C18A76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97800"/>
    <w:multiLevelType w:val="hybridMultilevel"/>
    <w:tmpl w:val="CA28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5B3FC6"/>
    <w:multiLevelType w:val="hybridMultilevel"/>
    <w:tmpl w:val="B60C58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B3396"/>
    <w:multiLevelType w:val="hybridMultilevel"/>
    <w:tmpl w:val="18F25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2"/>
  </w:num>
  <w:num w:numId="2" w16cid:durableId="884029698">
    <w:abstractNumId w:val="1"/>
  </w:num>
  <w:num w:numId="3" w16cid:durableId="1182668062">
    <w:abstractNumId w:val="3"/>
  </w:num>
  <w:num w:numId="4" w16cid:durableId="578176114">
    <w:abstractNumId w:val="0"/>
  </w:num>
  <w:num w:numId="5" w16cid:durableId="168378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50A"/>
    <w:rsid w:val="00082C4A"/>
    <w:rsid w:val="001825F5"/>
    <w:rsid w:val="00247542"/>
    <w:rsid w:val="00291D4C"/>
    <w:rsid w:val="002F3EED"/>
    <w:rsid w:val="00373EAF"/>
    <w:rsid w:val="0038382E"/>
    <w:rsid w:val="00396081"/>
    <w:rsid w:val="004C1B7B"/>
    <w:rsid w:val="004D2BBA"/>
    <w:rsid w:val="004E0951"/>
    <w:rsid w:val="004E329B"/>
    <w:rsid w:val="00540A17"/>
    <w:rsid w:val="005A00F6"/>
    <w:rsid w:val="005A2408"/>
    <w:rsid w:val="005C3BAE"/>
    <w:rsid w:val="00697361"/>
    <w:rsid w:val="006D41CD"/>
    <w:rsid w:val="007F0E59"/>
    <w:rsid w:val="00801F86"/>
    <w:rsid w:val="008165FA"/>
    <w:rsid w:val="00855FB4"/>
    <w:rsid w:val="008720E0"/>
    <w:rsid w:val="009C7522"/>
    <w:rsid w:val="00A0050A"/>
    <w:rsid w:val="00A229E3"/>
    <w:rsid w:val="00AD1386"/>
    <w:rsid w:val="00B11322"/>
    <w:rsid w:val="00B75A45"/>
    <w:rsid w:val="00BA6187"/>
    <w:rsid w:val="00BB14B6"/>
    <w:rsid w:val="00BB1CC2"/>
    <w:rsid w:val="00C02DB5"/>
    <w:rsid w:val="00C064BB"/>
    <w:rsid w:val="00C67DF8"/>
    <w:rsid w:val="00D464C6"/>
    <w:rsid w:val="00D91FA0"/>
    <w:rsid w:val="00DA57B6"/>
    <w:rsid w:val="00DC0E86"/>
    <w:rsid w:val="00DC4CAF"/>
    <w:rsid w:val="00DC71E8"/>
    <w:rsid w:val="00E372C5"/>
    <w:rsid w:val="00E6282F"/>
    <w:rsid w:val="00E94EC9"/>
    <w:rsid w:val="00EF41BA"/>
    <w:rsid w:val="00F076E3"/>
    <w:rsid w:val="00F3174E"/>
    <w:rsid w:val="00FA03B9"/>
    <w:rsid w:val="00FA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784345"/>
  <w14:defaultImageDpi w14:val="32767"/>
  <w15:chartTrackingRefBased/>
  <w15:docId w15:val="{CE9C42DC-EDAC-B545-8418-5D4FD4B7E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5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05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05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05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05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05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5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5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5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5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05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05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05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05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05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5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5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50A"/>
    <w:rPr>
      <w:rFonts w:eastAsiaTheme="majorEastAsia" w:cstheme="majorBidi"/>
      <w:color w:val="272727" w:themeColor="text1" w:themeTint="D8"/>
    </w:rPr>
  </w:style>
  <w:style w:type="paragraph" w:styleId="Title">
    <w:name w:val="Title"/>
    <w:basedOn w:val="Normal"/>
    <w:next w:val="Normal"/>
    <w:link w:val="TitleChar"/>
    <w:uiPriority w:val="10"/>
    <w:qFormat/>
    <w:rsid w:val="00A005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5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5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5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050A"/>
    <w:rPr>
      <w:i/>
      <w:iCs/>
      <w:color w:val="404040" w:themeColor="text1" w:themeTint="BF"/>
    </w:rPr>
  </w:style>
  <w:style w:type="paragraph" w:styleId="ListParagraph">
    <w:name w:val="List Paragraph"/>
    <w:basedOn w:val="Normal"/>
    <w:uiPriority w:val="34"/>
    <w:qFormat/>
    <w:rsid w:val="00A0050A"/>
    <w:pPr>
      <w:ind w:left="720"/>
      <w:contextualSpacing/>
    </w:pPr>
  </w:style>
  <w:style w:type="character" w:styleId="IntenseEmphasis">
    <w:name w:val="Intense Emphasis"/>
    <w:basedOn w:val="DefaultParagraphFont"/>
    <w:uiPriority w:val="21"/>
    <w:qFormat/>
    <w:rsid w:val="00A0050A"/>
    <w:rPr>
      <w:i/>
      <w:iCs/>
      <w:color w:val="2F5496" w:themeColor="accent1" w:themeShade="BF"/>
    </w:rPr>
  </w:style>
  <w:style w:type="paragraph" w:styleId="IntenseQuote">
    <w:name w:val="Intense Quote"/>
    <w:basedOn w:val="Normal"/>
    <w:next w:val="Normal"/>
    <w:link w:val="IntenseQuoteChar"/>
    <w:uiPriority w:val="30"/>
    <w:qFormat/>
    <w:rsid w:val="00A005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050A"/>
    <w:rPr>
      <w:i/>
      <w:iCs/>
      <w:color w:val="2F5496" w:themeColor="accent1" w:themeShade="BF"/>
    </w:rPr>
  </w:style>
  <w:style w:type="character" w:styleId="IntenseReference">
    <w:name w:val="Intense Reference"/>
    <w:basedOn w:val="DefaultParagraphFont"/>
    <w:uiPriority w:val="32"/>
    <w:qFormat/>
    <w:rsid w:val="00A0050A"/>
    <w:rPr>
      <w:b/>
      <w:bCs/>
      <w:smallCaps/>
      <w:color w:val="2F5496" w:themeColor="accent1" w:themeShade="BF"/>
      <w:spacing w:val="5"/>
    </w:rPr>
  </w:style>
  <w:style w:type="paragraph" w:styleId="Header">
    <w:name w:val="header"/>
    <w:basedOn w:val="Normal"/>
    <w:link w:val="HeaderChar"/>
    <w:uiPriority w:val="99"/>
    <w:unhideWhenUsed/>
    <w:rsid w:val="00E94EC9"/>
    <w:pPr>
      <w:tabs>
        <w:tab w:val="center" w:pos="4513"/>
        <w:tab w:val="right" w:pos="9026"/>
      </w:tabs>
    </w:pPr>
  </w:style>
  <w:style w:type="character" w:customStyle="1" w:styleId="HeaderChar">
    <w:name w:val="Header Char"/>
    <w:basedOn w:val="DefaultParagraphFont"/>
    <w:link w:val="Header"/>
    <w:uiPriority w:val="99"/>
    <w:rsid w:val="00E94EC9"/>
  </w:style>
  <w:style w:type="paragraph" w:styleId="Footer">
    <w:name w:val="footer"/>
    <w:basedOn w:val="Normal"/>
    <w:link w:val="FooterChar"/>
    <w:uiPriority w:val="99"/>
    <w:unhideWhenUsed/>
    <w:rsid w:val="00E94EC9"/>
    <w:pPr>
      <w:tabs>
        <w:tab w:val="center" w:pos="4513"/>
        <w:tab w:val="right" w:pos="9026"/>
      </w:tabs>
    </w:pPr>
  </w:style>
  <w:style w:type="character" w:customStyle="1" w:styleId="FooterChar">
    <w:name w:val="Footer Char"/>
    <w:basedOn w:val="DefaultParagraphFont"/>
    <w:link w:val="Footer"/>
    <w:uiPriority w:val="99"/>
    <w:rsid w:val="00E94EC9"/>
  </w:style>
  <w:style w:type="paragraph" w:styleId="Caption">
    <w:name w:val="caption"/>
    <w:basedOn w:val="Normal"/>
    <w:next w:val="Normal"/>
    <w:uiPriority w:val="35"/>
    <w:unhideWhenUsed/>
    <w:qFormat/>
    <w:rsid w:val="008165FA"/>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9808355">
      <w:bodyDiv w:val="1"/>
      <w:marLeft w:val="0"/>
      <w:marRight w:val="0"/>
      <w:marTop w:val="0"/>
      <w:marBottom w:val="0"/>
      <w:divBdr>
        <w:top w:val="none" w:sz="0" w:space="0" w:color="auto"/>
        <w:left w:val="none" w:sz="0" w:space="0" w:color="auto"/>
        <w:bottom w:val="none" w:sz="0" w:space="0" w:color="auto"/>
        <w:right w:val="none" w:sz="0" w:space="0" w:color="auto"/>
      </w:divBdr>
    </w:div>
    <w:div w:id="21303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30</Pages>
  <Words>6639</Words>
  <Characters>37844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dc:creator>
  <cp:keywords/>
  <dc:description/>
  <cp:lastModifiedBy>Ffion Morgan</cp:lastModifiedBy>
  <cp:revision>25</cp:revision>
  <dcterms:created xsi:type="dcterms:W3CDTF">2025-01-30T21:44:00Z</dcterms:created>
  <dcterms:modified xsi:type="dcterms:W3CDTF">2025-02-10T23:54:00Z</dcterms:modified>
</cp:coreProperties>
</file>