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CB80D" w14:textId="42DCA9C7" w:rsidR="0027773B" w:rsidRPr="00E55DED" w:rsidRDefault="00E55DED" w:rsidP="00E55DED">
      <w:pPr>
        <w:rPr>
          <w:b/>
          <w:bCs/>
          <w:sz w:val="28"/>
          <w:szCs w:val="28"/>
        </w:rPr>
      </w:pPr>
      <w:r w:rsidRPr="00E55DED">
        <w:rPr>
          <w:b/>
          <w:bCs/>
          <w:sz w:val="28"/>
          <w:szCs w:val="28"/>
        </w:rPr>
        <w:t>E</w:t>
      </w:r>
      <w:r w:rsidRPr="00E55DED">
        <w:rPr>
          <w:b/>
          <w:bCs/>
          <w:sz w:val="28"/>
          <w:szCs w:val="28"/>
        </w:rPr>
        <w:t>ssential academic and employment skills</w:t>
      </w:r>
    </w:p>
    <w:p w14:paraId="4C99289C" w14:textId="45915727" w:rsidR="00E55DED" w:rsidRPr="00E55DED" w:rsidRDefault="00E55DED" w:rsidP="00E55DED">
      <w:pPr>
        <w:rPr>
          <w:b/>
          <w:bCs/>
        </w:rPr>
      </w:pPr>
      <w:r w:rsidRPr="00E55DED">
        <w:rPr>
          <w:b/>
          <w:bCs/>
        </w:rPr>
        <w:t xml:space="preserve">Definition of Academic and employability skills </w:t>
      </w:r>
    </w:p>
    <w:p w14:paraId="2AB80264" w14:textId="5BAE1743" w:rsidR="00E55DED" w:rsidRDefault="00E55DED" w:rsidP="00E55DED">
      <w:pPr>
        <w:jc w:val="both"/>
      </w:pPr>
      <w:r>
        <w:t>T</w:t>
      </w:r>
      <w:r w:rsidRPr="00E55DED">
        <w:t xml:space="preserve">his document is an exploratory study of issues and evidence related to academic skills, </w:t>
      </w:r>
      <w:r w:rsidRPr="00E55DED">
        <w:t>non-academic</w:t>
      </w:r>
      <w:r w:rsidRPr="00E55DED">
        <w:t>, and work along three lines of inquiry. Section 1 is an introduction that explains the three lines of inquiry: literature review to identify empirical studies and salient issues pertinent to academic skill needs; new analysis of existing data from a previous study of seven technical jobs; and analysis of existing longitudinal survey data on high school students to define different types of skills and example their relationship to a variety of postschool outcomes. Section 2 discusses the literature on the following</w:t>
      </w:r>
      <w:r>
        <w:t>.</w:t>
      </w:r>
      <w:sdt>
        <w:sdtPr>
          <w:id w:val="641157873"/>
          <w:citation/>
        </w:sdtPr>
        <w:sdtContent>
          <w:r>
            <w:fldChar w:fldCharType="begin"/>
          </w:r>
          <w:r>
            <w:instrText xml:space="preserve"> CITATION Sta99 \l 2057 </w:instrText>
          </w:r>
          <w:r>
            <w:fldChar w:fldCharType="separate"/>
          </w:r>
          <w:r w:rsidR="008A50F5">
            <w:rPr>
              <w:noProof/>
            </w:rPr>
            <w:t xml:space="preserve"> </w:t>
          </w:r>
          <w:r w:rsidR="008A50F5" w:rsidRPr="008A50F5">
            <w:rPr>
              <w:noProof/>
            </w:rPr>
            <w:t>[1]</w:t>
          </w:r>
          <w:r>
            <w:fldChar w:fldCharType="end"/>
          </w:r>
        </w:sdtContent>
      </w:sdt>
    </w:p>
    <w:p w14:paraId="73A06490" w14:textId="77777777" w:rsidR="00E55DED" w:rsidRDefault="00E55DED" w:rsidP="00E55DED">
      <w:pPr>
        <w:jc w:val="both"/>
      </w:pPr>
    </w:p>
    <w:p w14:paraId="66F22721" w14:textId="305A24CC" w:rsidR="00E55DED" w:rsidRDefault="008A50F5" w:rsidP="00E55DED">
      <w:pPr>
        <w:jc w:val="both"/>
      </w:pPr>
      <w:r w:rsidRPr="00E55DED">
        <w:rPr>
          <w:b/>
          <w:bCs/>
          <w:sz w:val="28"/>
          <w:szCs w:val="28"/>
        </w:rPr>
        <w:t>Essential academic</w:t>
      </w:r>
      <w:r>
        <w:rPr>
          <w:b/>
          <w:bCs/>
          <w:sz w:val="28"/>
          <w:szCs w:val="28"/>
        </w:rPr>
        <w:t>s required for your higher studies</w:t>
      </w:r>
    </w:p>
    <w:p w14:paraId="4C9F076C" w14:textId="60EB8E0D" w:rsidR="00E55DED" w:rsidRDefault="008A50F5" w:rsidP="00E55DED">
      <w:pPr>
        <w:jc w:val="both"/>
      </w:pPr>
      <w:r w:rsidRPr="008A50F5">
        <w:t>The discourse on the implementation of the digital technologies in higher education settings focuses mainly on students’ learning rather than on professors’ teaching. The little attention paid to the crucial role of teachers in online settings results in a restricted and moderate adaptation of the technologies in higher education worldwide.</w:t>
      </w:r>
      <w:sdt>
        <w:sdtPr>
          <w:id w:val="399483463"/>
          <w:citation/>
        </w:sdtPr>
        <w:sdtContent>
          <w:r>
            <w:fldChar w:fldCharType="begin"/>
          </w:r>
          <w:r>
            <w:instrText xml:space="preserve"> CITATION And18 \l 2057 </w:instrText>
          </w:r>
          <w:r>
            <w:fldChar w:fldCharType="separate"/>
          </w:r>
          <w:r>
            <w:rPr>
              <w:noProof/>
            </w:rPr>
            <w:t xml:space="preserve"> </w:t>
          </w:r>
          <w:r w:rsidRPr="008A50F5">
            <w:rPr>
              <w:noProof/>
            </w:rPr>
            <w:t>[2]</w:t>
          </w:r>
          <w:r>
            <w:fldChar w:fldCharType="end"/>
          </w:r>
        </w:sdtContent>
      </w:sdt>
      <w:r w:rsidRPr="008A50F5">
        <w:t> </w:t>
      </w:r>
    </w:p>
    <w:p w14:paraId="103854B6" w14:textId="77777777" w:rsidR="00E55DED" w:rsidRDefault="00E55DED" w:rsidP="00E55DED">
      <w:pPr>
        <w:jc w:val="both"/>
      </w:pPr>
    </w:p>
    <w:p w14:paraId="68C2A086" w14:textId="77777777" w:rsidR="00E55DED" w:rsidRDefault="00E55DED" w:rsidP="00E55DED">
      <w:pPr>
        <w:jc w:val="both"/>
      </w:pPr>
    </w:p>
    <w:p w14:paraId="2BED43E2" w14:textId="77777777" w:rsidR="00E55DED" w:rsidRDefault="00E55DED" w:rsidP="00E55DED">
      <w:pPr>
        <w:jc w:val="both"/>
      </w:pPr>
    </w:p>
    <w:p w14:paraId="0EC94897" w14:textId="77777777" w:rsidR="00E55DED" w:rsidRDefault="00E55DED" w:rsidP="00E55DED">
      <w:pPr>
        <w:jc w:val="both"/>
      </w:pPr>
    </w:p>
    <w:p w14:paraId="2256A90A" w14:textId="77777777" w:rsidR="00E55DED" w:rsidRDefault="00E55DED" w:rsidP="00E55DED">
      <w:pPr>
        <w:jc w:val="both"/>
      </w:pPr>
    </w:p>
    <w:sdt>
      <w:sdtPr>
        <w:id w:val="1629120734"/>
        <w:docPartObj>
          <w:docPartGallery w:val="Bibliographies"/>
          <w:docPartUnique/>
        </w:docPartObj>
      </w:sdtPr>
      <w:sdtEndPr>
        <w:rPr>
          <w:rFonts w:asciiTheme="minorHAnsi" w:eastAsiaTheme="minorEastAsia" w:hAnsiTheme="minorHAnsi" w:cstheme="minorBidi"/>
          <w:color w:val="auto"/>
          <w:sz w:val="24"/>
          <w:szCs w:val="24"/>
        </w:rPr>
      </w:sdtEndPr>
      <w:sdtContent>
        <w:p w14:paraId="6E30C23A" w14:textId="32062383" w:rsidR="00E55DED" w:rsidRDefault="00E55DED">
          <w:pPr>
            <w:pStyle w:val="Heading1"/>
          </w:pPr>
          <w:r>
            <w:t>References</w:t>
          </w:r>
        </w:p>
        <w:sdt>
          <w:sdtPr>
            <w:id w:val="-573587230"/>
            <w:bibliography/>
          </w:sdtPr>
          <w:sdtContent>
            <w:p w14:paraId="03447824" w14:textId="77777777" w:rsidR="008A50F5" w:rsidRDefault="00E55DE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A50F5" w14:paraId="660A555D" w14:textId="77777777">
                <w:trPr>
                  <w:divId w:val="1576666492"/>
                  <w:tblCellSpacing w:w="15" w:type="dxa"/>
                </w:trPr>
                <w:tc>
                  <w:tcPr>
                    <w:tcW w:w="50" w:type="pct"/>
                    <w:hideMark/>
                  </w:tcPr>
                  <w:p w14:paraId="75A93E9A" w14:textId="5B486480" w:rsidR="008A50F5" w:rsidRDefault="008A50F5">
                    <w:pPr>
                      <w:pStyle w:val="Bibliography"/>
                      <w:rPr>
                        <w:noProof/>
                        <w:kern w:val="0"/>
                        <w14:ligatures w14:val="none"/>
                      </w:rPr>
                    </w:pPr>
                    <w:r>
                      <w:rPr>
                        <w:noProof/>
                      </w:rPr>
                      <w:t xml:space="preserve">[1] </w:t>
                    </w:r>
                  </w:p>
                </w:tc>
                <w:tc>
                  <w:tcPr>
                    <w:tcW w:w="0" w:type="auto"/>
                    <w:hideMark/>
                  </w:tcPr>
                  <w:p w14:paraId="78D387B6" w14:textId="77777777" w:rsidR="008A50F5" w:rsidRDefault="008A50F5">
                    <w:pPr>
                      <w:pStyle w:val="Bibliography"/>
                      <w:rPr>
                        <w:noProof/>
                      </w:rPr>
                    </w:pPr>
                    <w:r>
                      <w:rPr>
                        <w:noProof/>
                      </w:rPr>
                      <w:t>Stasz, Cathleen; Brewer, Dominic J., “eric.ed.gov,” May 1999. [Online]. Available: https://eric.ed.gov/?id=ED431137. [Accessed 26 February 2026].</w:t>
                    </w:r>
                  </w:p>
                </w:tc>
              </w:tr>
              <w:tr w:rsidR="008A50F5" w14:paraId="62DE370A" w14:textId="77777777">
                <w:trPr>
                  <w:divId w:val="1576666492"/>
                  <w:tblCellSpacing w:w="15" w:type="dxa"/>
                </w:trPr>
                <w:tc>
                  <w:tcPr>
                    <w:tcW w:w="50" w:type="pct"/>
                    <w:hideMark/>
                  </w:tcPr>
                  <w:p w14:paraId="3579C18E" w14:textId="77777777" w:rsidR="008A50F5" w:rsidRDefault="008A50F5">
                    <w:pPr>
                      <w:pStyle w:val="Bibliography"/>
                      <w:rPr>
                        <w:noProof/>
                      </w:rPr>
                    </w:pPr>
                    <w:r>
                      <w:rPr>
                        <w:noProof/>
                      </w:rPr>
                      <w:t xml:space="preserve">[2] </w:t>
                    </w:r>
                  </w:p>
                </w:tc>
                <w:tc>
                  <w:tcPr>
                    <w:tcW w:w="0" w:type="auto"/>
                    <w:hideMark/>
                  </w:tcPr>
                  <w:p w14:paraId="1B03263A" w14:textId="77777777" w:rsidR="008A50F5" w:rsidRDefault="008A50F5">
                    <w:pPr>
                      <w:pStyle w:val="Bibliography"/>
                      <w:rPr>
                        <w:noProof/>
                      </w:rPr>
                    </w:pPr>
                    <w:r>
                      <w:rPr>
                        <w:noProof/>
                      </w:rPr>
                      <w:t>M. S. Andrade, “link.springer.com,” 18 July 2018. [Online]. Available: https://link.springer.com/article/10.7821/naer.2018.7.298. [Accessed 26 February 2026].</w:t>
                    </w:r>
                  </w:p>
                </w:tc>
              </w:tr>
            </w:tbl>
            <w:p w14:paraId="01F26EC7" w14:textId="77777777" w:rsidR="008A50F5" w:rsidRDefault="008A50F5">
              <w:pPr>
                <w:divId w:val="1576666492"/>
                <w:rPr>
                  <w:rFonts w:eastAsia="Times New Roman"/>
                  <w:noProof/>
                </w:rPr>
              </w:pPr>
            </w:p>
            <w:p w14:paraId="5F982C65" w14:textId="75E374D6" w:rsidR="00E55DED" w:rsidRDefault="00E55DED">
              <w:r>
                <w:rPr>
                  <w:b/>
                  <w:bCs/>
                </w:rPr>
                <w:fldChar w:fldCharType="end"/>
              </w:r>
            </w:p>
          </w:sdtContent>
        </w:sdt>
      </w:sdtContent>
    </w:sdt>
    <w:p w14:paraId="0D0F123B" w14:textId="5AF273F0" w:rsidR="00E55DED" w:rsidRPr="00E55DED" w:rsidRDefault="00E55DED" w:rsidP="00E55DED">
      <w:pPr>
        <w:jc w:val="both"/>
      </w:pPr>
      <w:r>
        <w:t xml:space="preserve"> </w:t>
      </w:r>
      <w:r w:rsidRPr="00E55DED">
        <w:t> </w:t>
      </w:r>
    </w:p>
    <w:sectPr w:rsidR="00E55DED" w:rsidRPr="00E55D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DED"/>
    <w:rsid w:val="0027773B"/>
    <w:rsid w:val="00572CF5"/>
    <w:rsid w:val="008A50F5"/>
    <w:rsid w:val="009F67BA"/>
    <w:rsid w:val="00E4701A"/>
    <w:rsid w:val="00E55D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69079"/>
  <w15:chartTrackingRefBased/>
  <w15:docId w15:val="{D05A84CD-A6EC-468A-B2C1-73133A868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D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D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D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D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D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D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D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DED"/>
    <w:rPr>
      <w:rFonts w:eastAsiaTheme="majorEastAsia" w:cstheme="majorBidi"/>
      <w:color w:val="272727" w:themeColor="text1" w:themeTint="D8"/>
    </w:rPr>
  </w:style>
  <w:style w:type="paragraph" w:styleId="Title">
    <w:name w:val="Title"/>
    <w:basedOn w:val="Normal"/>
    <w:next w:val="Normal"/>
    <w:link w:val="TitleChar"/>
    <w:uiPriority w:val="10"/>
    <w:qFormat/>
    <w:rsid w:val="00E55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DED"/>
    <w:pPr>
      <w:spacing w:before="160"/>
      <w:jc w:val="center"/>
    </w:pPr>
    <w:rPr>
      <w:i/>
      <w:iCs/>
      <w:color w:val="404040" w:themeColor="text1" w:themeTint="BF"/>
    </w:rPr>
  </w:style>
  <w:style w:type="character" w:customStyle="1" w:styleId="QuoteChar">
    <w:name w:val="Quote Char"/>
    <w:basedOn w:val="DefaultParagraphFont"/>
    <w:link w:val="Quote"/>
    <w:uiPriority w:val="29"/>
    <w:rsid w:val="00E55DED"/>
    <w:rPr>
      <w:i/>
      <w:iCs/>
      <w:color w:val="404040" w:themeColor="text1" w:themeTint="BF"/>
    </w:rPr>
  </w:style>
  <w:style w:type="paragraph" w:styleId="ListParagraph">
    <w:name w:val="List Paragraph"/>
    <w:basedOn w:val="Normal"/>
    <w:uiPriority w:val="34"/>
    <w:qFormat/>
    <w:rsid w:val="00E55DED"/>
    <w:pPr>
      <w:ind w:left="720"/>
      <w:contextualSpacing/>
    </w:pPr>
  </w:style>
  <w:style w:type="character" w:styleId="IntenseEmphasis">
    <w:name w:val="Intense Emphasis"/>
    <w:basedOn w:val="DefaultParagraphFont"/>
    <w:uiPriority w:val="21"/>
    <w:qFormat/>
    <w:rsid w:val="00E55DED"/>
    <w:rPr>
      <w:i/>
      <w:iCs/>
      <w:color w:val="0F4761" w:themeColor="accent1" w:themeShade="BF"/>
    </w:rPr>
  </w:style>
  <w:style w:type="paragraph" w:styleId="IntenseQuote">
    <w:name w:val="Intense Quote"/>
    <w:basedOn w:val="Normal"/>
    <w:next w:val="Normal"/>
    <w:link w:val="IntenseQuoteChar"/>
    <w:uiPriority w:val="30"/>
    <w:qFormat/>
    <w:rsid w:val="00E55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DED"/>
    <w:rPr>
      <w:i/>
      <w:iCs/>
      <w:color w:val="0F4761" w:themeColor="accent1" w:themeShade="BF"/>
    </w:rPr>
  </w:style>
  <w:style w:type="character" w:styleId="IntenseReference">
    <w:name w:val="Intense Reference"/>
    <w:basedOn w:val="DefaultParagraphFont"/>
    <w:uiPriority w:val="32"/>
    <w:qFormat/>
    <w:rsid w:val="00E55DED"/>
    <w:rPr>
      <w:b/>
      <w:bCs/>
      <w:smallCaps/>
      <w:color w:val="0F4761" w:themeColor="accent1" w:themeShade="BF"/>
      <w:spacing w:val="5"/>
    </w:rPr>
  </w:style>
  <w:style w:type="paragraph" w:styleId="Bibliography">
    <w:name w:val="Bibliography"/>
    <w:basedOn w:val="Normal"/>
    <w:next w:val="Normal"/>
    <w:uiPriority w:val="37"/>
    <w:unhideWhenUsed/>
    <w:rsid w:val="00E55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981916">
      <w:bodyDiv w:val="1"/>
      <w:marLeft w:val="0"/>
      <w:marRight w:val="0"/>
      <w:marTop w:val="0"/>
      <w:marBottom w:val="0"/>
      <w:divBdr>
        <w:top w:val="none" w:sz="0" w:space="0" w:color="auto"/>
        <w:left w:val="none" w:sz="0" w:space="0" w:color="auto"/>
        <w:bottom w:val="none" w:sz="0" w:space="0" w:color="auto"/>
        <w:right w:val="none" w:sz="0" w:space="0" w:color="auto"/>
      </w:divBdr>
    </w:div>
    <w:div w:id="958756622">
      <w:bodyDiv w:val="1"/>
      <w:marLeft w:val="0"/>
      <w:marRight w:val="0"/>
      <w:marTop w:val="0"/>
      <w:marBottom w:val="0"/>
      <w:divBdr>
        <w:top w:val="none" w:sz="0" w:space="0" w:color="auto"/>
        <w:left w:val="none" w:sz="0" w:space="0" w:color="auto"/>
        <w:bottom w:val="none" w:sz="0" w:space="0" w:color="auto"/>
        <w:right w:val="none" w:sz="0" w:space="0" w:color="auto"/>
      </w:divBdr>
    </w:div>
    <w:div w:id="977340622">
      <w:bodyDiv w:val="1"/>
      <w:marLeft w:val="0"/>
      <w:marRight w:val="0"/>
      <w:marTop w:val="0"/>
      <w:marBottom w:val="0"/>
      <w:divBdr>
        <w:top w:val="none" w:sz="0" w:space="0" w:color="auto"/>
        <w:left w:val="none" w:sz="0" w:space="0" w:color="auto"/>
        <w:bottom w:val="none" w:sz="0" w:space="0" w:color="auto"/>
        <w:right w:val="none" w:sz="0" w:space="0" w:color="auto"/>
      </w:divBdr>
    </w:div>
    <w:div w:id="1117721623">
      <w:bodyDiv w:val="1"/>
      <w:marLeft w:val="0"/>
      <w:marRight w:val="0"/>
      <w:marTop w:val="0"/>
      <w:marBottom w:val="0"/>
      <w:divBdr>
        <w:top w:val="none" w:sz="0" w:space="0" w:color="auto"/>
        <w:left w:val="none" w:sz="0" w:space="0" w:color="auto"/>
        <w:bottom w:val="none" w:sz="0" w:space="0" w:color="auto"/>
        <w:right w:val="none" w:sz="0" w:space="0" w:color="auto"/>
      </w:divBdr>
    </w:div>
    <w:div w:id="1319043644">
      <w:bodyDiv w:val="1"/>
      <w:marLeft w:val="0"/>
      <w:marRight w:val="0"/>
      <w:marTop w:val="0"/>
      <w:marBottom w:val="0"/>
      <w:divBdr>
        <w:top w:val="none" w:sz="0" w:space="0" w:color="auto"/>
        <w:left w:val="none" w:sz="0" w:space="0" w:color="auto"/>
        <w:bottom w:val="none" w:sz="0" w:space="0" w:color="auto"/>
        <w:right w:val="none" w:sz="0" w:space="0" w:color="auto"/>
      </w:divBdr>
    </w:div>
    <w:div w:id="157666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Sta99</b:Tag>
    <b:SourceType>DocumentFromInternetSite</b:SourceType>
    <b:Guid>{BD74CB9C-0ABE-428C-8735-ABE63B462FDF}</b:Guid>
    <b:Author>
      <b:Author>
        <b:Corporate>Stasz, Cathleen; Brewer, Dominic J.</b:Corporate>
      </b:Author>
    </b:Author>
    <b:Title>eric.ed.gov</b:Title>
    <b:Year>1999</b:Year>
    <b:Month>May</b:Month>
    <b:YearAccessed>2026</b:YearAccessed>
    <b:MonthAccessed>February</b:MonthAccessed>
    <b:DayAccessed>26</b:DayAccessed>
    <b:URL>https://eric.ed.gov/?id=ED431137</b:URL>
    <b:RefOrder>1</b:RefOrder>
  </b:Source>
  <b:Source>
    <b:Tag>And18</b:Tag>
    <b:SourceType>InternetSite</b:SourceType>
    <b:Guid>{3933302C-72A0-4811-9FCF-068EC8F5866D}</b:Guid>
    <b:Title>link.springer.com</b:Title>
    <b:Year>2018</b:Year>
    <b:Month>July</b:Month>
    <b:Day>18</b:Day>
    <b:YearAccessed>2026</b:YearAccessed>
    <b:MonthAccessed>February</b:MonthAccessed>
    <b:DayAccessed>26</b:DayAccessed>
    <b:URL>https://link.springer.com/article/10.7821/naer.2018.7.298</b:URL>
    <b:Author>
      <b:Author>
        <b:NameList>
          <b:Person>
            <b:Last>Andrade</b:Last>
            <b:First>M.</b:First>
            <b:Middle>S.</b:Middle>
          </b:Person>
        </b:NameList>
      </b:Author>
    </b:Author>
    <b:RefOrder>2</b:RefOrder>
  </b:Source>
</b:Sources>
</file>

<file path=customXml/itemProps1.xml><?xml version="1.0" encoding="utf-8"?>
<ds:datastoreItem xmlns:ds="http://schemas.openxmlformats.org/officeDocument/2006/customXml" ds:itemID="{80383CD8-6C6A-45FB-B1A5-681BCAA3B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229</Words>
  <Characters>1306</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Suneth Fernando</cp:lastModifiedBy>
  <cp:revision>1</cp:revision>
  <dcterms:created xsi:type="dcterms:W3CDTF">2026-02-26T10:35:00Z</dcterms:created>
  <dcterms:modified xsi:type="dcterms:W3CDTF">2026-02-26T10:53:00Z</dcterms:modified>
</cp:coreProperties>
</file>