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79ABF" w14:textId="3EBB15CB" w:rsidR="00C90CD6" w:rsidRDefault="00565EA9" w:rsidP="0056588A">
      <w:pPr>
        <w:pStyle w:val="Title"/>
      </w:pPr>
      <w:r>
        <w:t>Death and Funerals</w:t>
      </w:r>
      <w:r w:rsidR="0056588A">
        <w:t xml:space="preserve"> Portfolio</w:t>
      </w:r>
    </w:p>
    <w:p w14:paraId="733E4045" w14:textId="2A3FE1B7" w:rsidR="003A7C5D" w:rsidRDefault="003A7C5D" w:rsidP="003A7C5D"/>
    <w:p w14:paraId="6FC30291" w14:textId="6F7A7EB3" w:rsidR="00565EA9" w:rsidRDefault="00565EA9" w:rsidP="003A7C5D">
      <w:r>
        <w:t>Death and funerals will play a part in every person’s life at some point or another, and thus it is no surprise that these events play a large part in people’s cultures and tradit</w:t>
      </w:r>
      <w:r w:rsidR="006E5022">
        <w:t>i</w:t>
      </w:r>
      <w:r>
        <w:t>ons</w:t>
      </w:r>
      <w:r w:rsidR="004361BC">
        <w:t>. Whole traditions and customs form around the correct procedures required to respectfully see off the dead, and there are different ways of giving this respect depending on which group you look at.</w:t>
      </w:r>
    </w:p>
    <w:p w14:paraId="495B7DA8" w14:textId="73B039C5" w:rsidR="004361BC" w:rsidRDefault="004361BC" w:rsidP="003A7C5D">
      <w:r>
        <w:t xml:space="preserve">The first group I will examine is the tradition of Northern Thailand. Death may not be a nice experience, but the funerary tradition of Buddhism can make the pain of grief lessened for those involved. In an article focusing broadly on funeral practices Rebecca Halls talks about how symbolism in banners and textiles influences funerals but looks at funerals in general. One point she brings up is that “For the living, the funeral ceremony is simultaneously an opportunity to support the </w:t>
      </w:r>
      <w:r>
        <w:rPr>
          <w:i/>
          <w:iCs/>
        </w:rPr>
        <w:t>sangha</w:t>
      </w:r>
      <w:r>
        <w:t xml:space="preserve"> and to say goodbye to the deceased” </w:t>
      </w:r>
      <w:sdt>
        <w:sdtPr>
          <w:id w:val="-710568272"/>
          <w:citation/>
        </w:sdtPr>
        <w:sdtEndPr/>
        <w:sdtContent>
          <w:r>
            <w:fldChar w:fldCharType="begin"/>
          </w:r>
          <w:r>
            <w:instrText xml:space="preserve">CITATION Reb16 \p 45 \l 2057 </w:instrText>
          </w:r>
          <w:r>
            <w:fldChar w:fldCharType="separate"/>
          </w:r>
          <w:r w:rsidR="00CE295A">
            <w:rPr>
              <w:noProof/>
            </w:rPr>
            <w:t>(Hall, 2016, p. 45)</w:t>
          </w:r>
          <w:r>
            <w:fldChar w:fldCharType="end"/>
          </w:r>
        </w:sdtContent>
      </w:sdt>
      <w:r>
        <w:t xml:space="preserve">. </w:t>
      </w:r>
      <w:r w:rsidR="00C3627B">
        <w:t xml:space="preserve">Not only do the funeral rites function as a coping mechanism for the bereaved, </w:t>
      </w:r>
      <w:r w:rsidR="00A25E77">
        <w:t xml:space="preserve">it also reinforces the social status that monks hold within the wider community. Without diving too deep into the religion and its practices, the Buddhist monks who conduct the funeral receive a lot of hospitality which includes “family and friends offer food, money and other gifts to the monks, thus making a merit on behalf of the deceased” </w:t>
      </w:r>
      <w:sdt>
        <w:sdtPr>
          <w:id w:val="1368029658"/>
          <w:citation/>
        </w:sdtPr>
        <w:sdtEndPr/>
        <w:sdtContent>
          <w:r w:rsidR="00A25E77">
            <w:fldChar w:fldCharType="begin"/>
          </w:r>
          <w:r w:rsidR="00A25E77">
            <w:instrText xml:space="preserve">CITATION Reb16 \p 46 \l 2057 </w:instrText>
          </w:r>
          <w:r w:rsidR="00A25E77">
            <w:fldChar w:fldCharType="separate"/>
          </w:r>
          <w:r w:rsidR="00CE295A">
            <w:rPr>
              <w:noProof/>
            </w:rPr>
            <w:t>(Hall, 2016, p. 46)</w:t>
          </w:r>
          <w:r w:rsidR="00A25E77">
            <w:fldChar w:fldCharType="end"/>
          </w:r>
        </w:sdtContent>
      </w:sdt>
      <w:r w:rsidR="00A25E77">
        <w:t xml:space="preserve">. </w:t>
      </w:r>
      <w:r w:rsidR="00EB2612">
        <w:t xml:space="preserve">Whilst seeming like </w:t>
      </w:r>
      <w:r w:rsidR="002B1F80">
        <w:t>due</w:t>
      </w:r>
      <w:r w:rsidR="00EB2612">
        <w:t xml:space="preserve"> compensation for the funeral</w:t>
      </w:r>
      <w:r w:rsidR="002B1F80">
        <w:t xml:space="preserve"> rites</w:t>
      </w:r>
      <w:r w:rsidR="00EB2612">
        <w:t xml:space="preserve">, the offerings </w:t>
      </w:r>
      <w:r w:rsidR="002B1F80">
        <w:t>are</w:t>
      </w:r>
      <w:r w:rsidR="00EB2612">
        <w:t xml:space="preserve"> </w:t>
      </w:r>
      <w:r w:rsidR="002B1F80">
        <w:t xml:space="preserve">in </w:t>
      </w:r>
      <w:r w:rsidR="00EB2612">
        <w:t xml:space="preserve">a similar </w:t>
      </w:r>
      <w:r w:rsidR="002B1F80">
        <w:t>vein</w:t>
      </w:r>
      <w:r w:rsidR="00EB2612">
        <w:t xml:space="preserve"> to Japanese </w:t>
      </w:r>
      <w:proofErr w:type="spellStart"/>
      <w:r w:rsidR="00EB2612" w:rsidRPr="00EB2612">
        <w:rPr>
          <w:i/>
          <w:iCs/>
        </w:rPr>
        <w:t>kouden</w:t>
      </w:r>
      <w:proofErr w:type="spellEnd"/>
      <w:r w:rsidR="00EB2612">
        <w:t xml:space="preserve"> (</w:t>
      </w:r>
      <w:r w:rsidR="00EB2612">
        <w:rPr>
          <w:rFonts w:hint="eastAsia"/>
        </w:rPr>
        <w:t>香典</w:t>
      </w:r>
      <w:r w:rsidR="00EB2612">
        <w:t>), which will be discussed later</w:t>
      </w:r>
      <w:r w:rsidR="002B1F80">
        <w:t xml:space="preserve">. In terms of the spirituality surrounding the deceased, the Thai see it as a very delicate time for the person’s soul. If the body is not properly treated and the person’s soul gets lost, it will stay in the local area and cause problems for the local community; and as such the funeral practices are tailored to help the soul find its way to the next realm of existence </w:t>
      </w:r>
      <w:sdt>
        <w:sdtPr>
          <w:id w:val="611866839"/>
          <w:citation/>
        </w:sdtPr>
        <w:sdtEndPr/>
        <w:sdtContent>
          <w:r w:rsidR="002B1F80">
            <w:fldChar w:fldCharType="begin"/>
          </w:r>
          <w:r w:rsidR="002B1F80">
            <w:instrText xml:space="preserve">CITATION Reb16 \p 45 \l 2057 </w:instrText>
          </w:r>
          <w:r w:rsidR="002B1F80">
            <w:fldChar w:fldCharType="separate"/>
          </w:r>
          <w:r w:rsidR="00CE295A">
            <w:rPr>
              <w:noProof/>
            </w:rPr>
            <w:t>(Hall, 2016, p. 45)</w:t>
          </w:r>
          <w:r w:rsidR="002B1F80">
            <w:fldChar w:fldCharType="end"/>
          </w:r>
        </w:sdtContent>
      </w:sdt>
      <w:r w:rsidR="002B1F80">
        <w:t xml:space="preserve">. </w:t>
      </w:r>
      <w:r w:rsidR="00FA18B8">
        <w:t xml:space="preserve">This idea of the dead needing to be guided to the next realm, plane or existence is a pervasive idea throughout many global cultures: Europe has the idea of a spectre or ghost haunting a building or a location out of malice, the </w:t>
      </w:r>
      <w:proofErr w:type="spellStart"/>
      <w:r w:rsidR="00FA18B8">
        <w:t>Tallensi</w:t>
      </w:r>
      <w:proofErr w:type="spellEnd"/>
      <w:r w:rsidR="00FA18B8">
        <w:t xml:space="preserve"> tribe has specific funeral practices to make sure the deceased move on and Okinawa has a practice of extended remembrance for the deceased. </w:t>
      </w:r>
      <w:r w:rsidR="008D37AF">
        <w:t xml:space="preserve">Briefly examining the main part of Hall’s essay, the three-tailed banner plays an essential role in Thai funerals, as it serves as a link between the material and ethereal. Hall describes the flag’s function as a “reassurance that the proper order will continue once the liminal time period ends” </w:t>
      </w:r>
      <w:sdt>
        <w:sdtPr>
          <w:id w:val="-1135862235"/>
          <w:citation/>
        </w:sdtPr>
        <w:sdtEndPr/>
        <w:sdtContent>
          <w:r w:rsidR="008D37AF">
            <w:fldChar w:fldCharType="begin"/>
          </w:r>
          <w:r w:rsidR="008D37AF">
            <w:instrText xml:space="preserve">CITATION Reb16 \p 56 \l 2057 </w:instrText>
          </w:r>
          <w:r w:rsidR="008D37AF">
            <w:fldChar w:fldCharType="separate"/>
          </w:r>
          <w:r w:rsidR="00CE295A">
            <w:rPr>
              <w:noProof/>
            </w:rPr>
            <w:t>(Hall, 2016, p. 56)</w:t>
          </w:r>
          <w:r w:rsidR="008D37AF">
            <w:fldChar w:fldCharType="end"/>
          </w:r>
        </w:sdtContent>
      </w:sdt>
      <w:r w:rsidR="008D37AF">
        <w:t xml:space="preserve">, meaning that when the flag is cremated with the deceased it shows that the soul of that person has been sent off respectfully and the normal way of life can continue for the bereaved. Parallels can be drawn between the sending off of a soul by a Buddhist monk and a traditional Christian funeral in the West: a priest will pray for the deceased’s soul to </w:t>
      </w:r>
      <w:r w:rsidR="005C249E">
        <w:t xml:space="preserve">be accepted and join other relatives in their next life, in this case, in heaven. And a similar case in Islam when the person’s soul is wished on to Paradise if they lived a pious life. </w:t>
      </w:r>
    </w:p>
    <w:p w14:paraId="24DB5CAD" w14:textId="4284D52A" w:rsidR="008C78AD" w:rsidRDefault="00992D5D" w:rsidP="00222AE1">
      <w:r>
        <w:t xml:space="preserve">The next tradition I shall examine is that of the </w:t>
      </w:r>
      <w:proofErr w:type="spellStart"/>
      <w:r>
        <w:t>Tallensi</w:t>
      </w:r>
      <w:proofErr w:type="spellEnd"/>
      <w:r>
        <w:t xml:space="preserve"> tribe of Central Africa. One </w:t>
      </w:r>
      <w:r w:rsidR="00672D6A">
        <w:t xml:space="preserve">of the central pillars of their community is “avoidance observed by first-born children towards their parents of like sex” meaning that sons will avoid and act with contempt towards their father and likewise with daughters to mothers; this extents through all aspects of their life as they are forbidden to eat from the same bowl, they may not wear his clothes, use his bow and arrows or look inside his granary </w:t>
      </w:r>
      <w:sdt>
        <w:sdtPr>
          <w:id w:val="2070836796"/>
          <w:citation/>
        </w:sdtPr>
        <w:sdtEndPr/>
        <w:sdtContent>
          <w:r w:rsidR="00672D6A">
            <w:fldChar w:fldCharType="begin"/>
          </w:r>
          <w:r w:rsidR="00672D6A">
            <w:instrText xml:space="preserve">CITATION For61 \p 169 \l 2057 </w:instrText>
          </w:r>
          <w:r w:rsidR="00672D6A">
            <w:fldChar w:fldCharType="separate"/>
          </w:r>
          <w:r w:rsidR="00CE295A">
            <w:rPr>
              <w:noProof/>
            </w:rPr>
            <w:t>(Fortes, 1961, p. 169)</w:t>
          </w:r>
          <w:r w:rsidR="00672D6A">
            <w:fldChar w:fldCharType="end"/>
          </w:r>
        </w:sdtContent>
      </w:sdt>
      <w:r w:rsidR="00672D6A">
        <w:t xml:space="preserve">. Without the context to surround this custom, it can seem cold and antagonistic for both parties but it is not as such for “Tale fathers are devoted to their children and are not denied by custom the freedom to show affection and familiarity towards their sons” </w:t>
      </w:r>
      <w:sdt>
        <w:sdtPr>
          <w:id w:val="-192454941"/>
          <w:citation/>
        </w:sdtPr>
        <w:sdtEndPr/>
        <w:sdtContent>
          <w:r w:rsidR="00672D6A">
            <w:fldChar w:fldCharType="begin"/>
          </w:r>
          <w:r w:rsidR="00672D6A">
            <w:instrText xml:space="preserve">CITATION For61 \p 169 \l 2057 </w:instrText>
          </w:r>
          <w:r w:rsidR="00672D6A">
            <w:fldChar w:fldCharType="separate"/>
          </w:r>
          <w:r w:rsidR="00CE295A">
            <w:rPr>
              <w:noProof/>
            </w:rPr>
            <w:t>(Fortes, 1961, p. 169)</w:t>
          </w:r>
          <w:r w:rsidR="00672D6A">
            <w:fldChar w:fldCharType="end"/>
          </w:r>
        </w:sdtContent>
      </w:sdt>
      <w:r w:rsidR="00672D6A">
        <w:t xml:space="preserve">; all of this tradition revolves around </w:t>
      </w:r>
      <w:r w:rsidR="00222AE1">
        <w:t>the son performing specific rituals of inheritance, both of material things and titles</w:t>
      </w:r>
      <w:r w:rsidR="009D741D">
        <w:t xml:space="preserve">. </w:t>
      </w:r>
      <w:r w:rsidR="00222AE1">
        <w:t xml:space="preserve">In brief, after the father dies the son must perform rites to change his father from a person into an ancestor. He then inherits his father’s titles and rights to ancestral </w:t>
      </w:r>
      <w:r w:rsidR="00222AE1">
        <w:lastRenderedPageBreak/>
        <w:t>shrines that he must then visit to announce his father’s death to other ancestors after which he will attend divinations to determine the cause of death. Whilst all of this is happening, there is a strict taboo against showing grief, for if they showed grief the ritual silence would be broken, and the deceased would punish the purveyor</w:t>
      </w:r>
      <w:sdt>
        <w:sdtPr>
          <w:id w:val="-40745951"/>
          <w:citation/>
        </w:sdtPr>
        <w:sdtEndPr/>
        <w:sdtContent>
          <w:r w:rsidR="00222AE1">
            <w:fldChar w:fldCharType="begin"/>
          </w:r>
          <w:r w:rsidR="00222AE1">
            <w:instrText xml:space="preserve">CITATION For61 \p 175 \l 2057 </w:instrText>
          </w:r>
          <w:r w:rsidR="00222AE1">
            <w:fldChar w:fldCharType="separate"/>
          </w:r>
          <w:r w:rsidR="00CE295A">
            <w:rPr>
              <w:noProof/>
            </w:rPr>
            <w:t xml:space="preserve"> (Fortes, 1961, p. 175)</w:t>
          </w:r>
          <w:r w:rsidR="00222AE1">
            <w:fldChar w:fldCharType="end"/>
          </w:r>
        </w:sdtContent>
      </w:sdt>
      <w:r w:rsidR="00222AE1">
        <w:t>. These extensive traditions must be observed by the son, as once they have been completed he will fully assume his new role as head of the family</w:t>
      </w:r>
      <w:r w:rsidR="00C565D1">
        <w:t xml:space="preserve">, and although not mentioned, it can be assumed the same stands for a first-born daughter and her mother but likely in different areas. </w:t>
      </w:r>
      <w:r w:rsidR="00197801">
        <w:t>But arguably the main function of these rituals is to show filial piety; as the son must trust his father and still hold a relationship with him despite the outwardly cold relationship, which is shown through a conversation Fortes had with someone during his fieldwork. The person was complaining to him about his father who has argued with him for leaving his garden to weed his own private land, but despite the anger initially the conversation ended on a more sorrowful not as he felt guilty for leaving his ailing father</w:t>
      </w:r>
      <w:sdt>
        <w:sdtPr>
          <w:id w:val="-1055541378"/>
          <w:citation/>
        </w:sdtPr>
        <w:sdtEndPr/>
        <w:sdtContent>
          <w:r w:rsidR="00197801">
            <w:fldChar w:fldCharType="begin"/>
          </w:r>
          <w:r w:rsidR="00197801">
            <w:instrText xml:space="preserve">CITATION For61 \p 174 \l 2057 </w:instrText>
          </w:r>
          <w:r w:rsidR="00197801">
            <w:fldChar w:fldCharType="separate"/>
          </w:r>
          <w:r w:rsidR="00CE295A">
            <w:rPr>
              <w:noProof/>
            </w:rPr>
            <w:t xml:space="preserve"> (Fortes, 1961, p. 174)</w:t>
          </w:r>
          <w:r w:rsidR="00197801">
            <w:fldChar w:fldCharType="end"/>
          </w:r>
        </w:sdtContent>
      </w:sdt>
      <w:r w:rsidR="00197801">
        <w:t xml:space="preserve">. Though the rituals vary when compared to the more ‘intimate’ and ‘warm’ Thai Buddhist funerals, the </w:t>
      </w:r>
      <w:proofErr w:type="spellStart"/>
      <w:r w:rsidR="00197801">
        <w:t>Tallensi</w:t>
      </w:r>
      <w:proofErr w:type="spellEnd"/>
      <w:r w:rsidR="00197801">
        <w:t xml:space="preserve"> funerals have some sombre solidarity to them with the son inheriting all of his father’s roles within the community and continuing on the traditions of the group.</w:t>
      </w:r>
    </w:p>
    <w:p w14:paraId="54C15D95" w14:textId="71AB4988" w:rsidR="00197801" w:rsidRDefault="00D31C60" w:rsidP="00222AE1">
      <w:r>
        <w:t xml:space="preserve">In comparison to </w:t>
      </w:r>
      <w:r w:rsidR="00A47944">
        <w:t>both</w:t>
      </w:r>
      <w:r>
        <w:t xml:space="preserve"> examples, the </w:t>
      </w:r>
      <w:r w:rsidR="00A47944">
        <w:t xml:space="preserve">funeral </w:t>
      </w:r>
      <w:r>
        <w:t xml:space="preserve">traditions of the Okinawa archipelago seem much more temporal and </w:t>
      </w:r>
      <w:r w:rsidR="00232DC7">
        <w:t xml:space="preserve">spatial in place of spiritual. </w:t>
      </w:r>
      <w:r w:rsidR="00ED211A">
        <w:t xml:space="preserve">Mabuchi notes in their article that there has been a degree of cultural diffusion to the archipelago from mainland Japan and China, with the most important one being the </w:t>
      </w:r>
      <w:r w:rsidR="00ED211A">
        <w:rPr>
          <w:i/>
          <w:iCs/>
        </w:rPr>
        <w:t>bon</w:t>
      </w:r>
      <w:r w:rsidR="00ED211A">
        <w:t xml:space="preserve"> ritual; this ritual, in short, is about giving the souls of the dead without any living descendants meals to appease them to prevent disaster</w:t>
      </w:r>
      <w:sdt>
        <w:sdtPr>
          <w:id w:val="979957959"/>
          <w:citation/>
        </w:sdtPr>
        <w:sdtEndPr/>
        <w:sdtContent>
          <w:r w:rsidR="00ED211A">
            <w:fldChar w:fldCharType="begin"/>
          </w:r>
          <w:r w:rsidR="00ED211A">
            <w:instrText xml:space="preserve">CITATION Mab80 \p 8 \l 2057 </w:instrText>
          </w:r>
          <w:r w:rsidR="00ED211A">
            <w:fldChar w:fldCharType="separate"/>
          </w:r>
          <w:r w:rsidR="00CE295A">
            <w:rPr>
              <w:noProof/>
            </w:rPr>
            <w:t xml:space="preserve"> (Mabuchi, 1980, p. 8)</w:t>
          </w:r>
          <w:r w:rsidR="00ED211A">
            <w:fldChar w:fldCharType="end"/>
          </w:r>
        </w:sdtContent>
      </w:sdt>
      <w:r w:rsidR="00ED211A">
        <w:t xml:space="preserve">. </w:t>
      </w:r>
      <w:r w:rsidR="00D95E69">
        <w:t>One instance</w:t>
      </w:r>
      <w:r w:rsidR="00CE295A">
        <w:t xml:space="preserve"> </w:t>
      </w:r>
      <w:r w:rsidR="00D95E69">
        <w:t xml:space="preserve">of the </w:t>
      </w:r>
      <w:r w:rsidR="00D95E69">
        <w:rPr>
          <w:i/>
          <w:iCs/>
        </w:rPr>
        <w:t>bon</w:t>
      </w:r>
      <w:r w:rsidR="00D95E69">
        <w:t xml:space="preserve"> ritual that is highlighted is one in </w:t>
      </w:r>
      <w:r w:rsidR="00CE295A">
        <w:t>the</w:t>
      </w:r>
      <w:r w:rsidR="00D95E69">
        <w:t xml:space="preserve"> hamlet </w:t>
      </w:r>
      <w:proofErr w:type="spellStart"/>
      <w:r w:rsidR="00D95E69">
        <w:t>Urukawa</w:t>
      </w:r>
      <w:proofErr w:type="spellEnd"/>
      <w:r w:rsidR="00D95E69">
        <w:t xml:space="preserve">. “In the night they performed the ritual for the souls of the dead and some ancestors in the same way as ordinary families” but they varied from the regular ritual as “in the daytime the ritual for remote ancestors whom they offered the rice or millet wine specially brewed” </w:t>
      </w:r>
      <w:sdt>
        <w:sdtPr>
          <w:id w:val="-1462654502"/>
          <w:citation/>
        </w:sdtPr>
        <w:sdtEndPr/>
        <w:sdtContent>
          <w:r w:rsidR="00D95E69">
            <w:fldChar w:fldCharType="begin"/>
          </w:r>
          <w:r w:rsidR="00D95E69">
            <w:instrText xml:space="preserve">CITATION Mab80 \p 12 \l 2057 </w:instrText>
          </w:r>
          <w:r w:rsidR="00D95E69">
            <w:fldChar w:fldCharType="separate"/>
          </w:r>
          <w:r w:rsidR="00CE295A">
            <w:rPr>
              <w:noProof/>
            </w:rPr>
            <w:t>(Mabuchi, 1980, p. 12)</w:t>
          </w:r>
          <w:r w:rsidR="00D95E69">
            <w:fldChar w:fldCharType="end"/>
          </w:r>
        </w:sdtContent>
      </w:sdt>
      <w:r w:rsidR="00D95E69">
        <w:t xml:space="preserve">. </w:t>
      </w:r>
      <w:r w:rsidR="00ED211A">
        <w:t xml:space="preserve">As a ritual, this shows an extended concern for the spirits others, with what can be perceived as a concern for their wellbeing as incorporeal humans, which runs contrary to the ideas of many other cultures, particularly the Thai interpretation where they fear the arrival of </w:t>
      </w:r>
      <w:proofErr w:type="spellStart"/>
      <w:r w:rsidR="00ED211A">
        <w:rPr>
          <w:i/>
          <w:iCs/>
        </w:rPr>
        <w:t>preta</w:t>
      </w:r>
      <w:proofErr w:type="spellEnd"/>
      <w:r w:rsidR="00ED211A">
        <w:rPr>
          <w:i/>
          <w:iCs/>
        </w:rPr>
        <w:t xml:space="preserve"> </w:t>
      </w:r>
      <w:r w:rsidR="00ED211A">
        <w:t>(hungry ghosts)</w:t>
      </w:r>
      <w:r w:rsidR="00ED211A">
        <w:rPr>
          <w:i/>
          <w:iCs/>
        </w:rPr>
        <w:t xml:space="preserve">, </w:t>
      </w:r>
      <w:proofErr w:type="spellStart"/>
      <w:r w:rsidR="00ED211A">
        <w:rPr>
          <w:i/>
          <w:iCs/>
        </w:rPr>
        <w:t>thewada</w:t>
      </w:r>
      <w:proofErr w:type="spellEnd"/>
      <w:r w:rsidR="00ED211A">
        <w:t xml:space="preserve"> and </w:t>
      </w:r>
      <w:r w:rsidR="00ED211A">
        <w:rPr>
          <w:i/>
          <w:iCs/>
        </w:rPr>
        <w:t>phi</w:t>
      </w:r>
      <w:r w:rsidR="00ED211A">
        <w:t xml:space="preserve"> (malevolent spirits) </w:t>
      </w:r>
      <w:sdt>
        <w:sdtPr>
          <w:id w:val="-948390821"/>
          <w:citation/>
        </w:sdtPr>
        <w:sdtEndPr/>
        <w:sdtContent>
          <w:r w:rsidR="00ED211A">
            <w:fldChar w:fldCharType="begin"/>
          </w:r>
          <w:r w:rsidR="00ED211A">
            <w:instrText xml:space="preserve">CITATION Reb16 \p 53 \l 2057 </w:instrText>
          </w:r>
          <w:r w:rsidR="00ED211A">
            <w:fldChar w:fldCharType="separate"/>
          </w:r>
          <w:r w:rsidR="00CE295A">
            <w:rPr>
              <w:noProof/>
            </w:rPr>
            <w:t>(Hall, 2016, p. 53)</w:t>
          </w:r>
          <w:r w:rsidR="00ED211A">
            <w:fldChar w:fldCharType="end"/>
          </w:r>
        </w:sdtContent>
      </w:sdt>
      <w:r w:rsidR="00ED211A">
        <w:t xml:space="preserve"> and must have the correct guidance administered by monks. </w:t>
      </w:r>
      <w:r w:rsidR="00CE4CFA">
        <w:t>Mabuchi goes on to explain another tradition of the archipelago, in which on the 33</w:t>
      </w:r>
      <w:r w:rsidR="00D95E69" w:rsidRPr="00D95E69">
        <w:rPr>
          <w:vertAlign w:val="superscript"/>
        </w:rPr>
        <w:t>rd</w:t>
      </w:r>
      <w:r w:rsidR="00D95E69">
        <w:t xml:space="preserve"> anniversary of the person’s death, their named tablet is withdrawn from the family shrine in the house as they have now lost their individual identity and have now merged with their deified ancestors </w:t>
      </w:r>
      <w:sdt>
        <w:sdtPr>
          <w:id w:val="-1970431810"/>
          <w:citation/>
        </w:sdtPr>
        <w:sdtEndPr/>
        <w:sdtContent>
          <w:r w:rsidR="00D95E69">
            <w:fldChar w:fldCharType="begin"/>
          </w:r>
          <w:r w:rsidR="00D95E69">
            <w:instrText xml:space="preserve">CITATION Mab80 \p 8 \l 2057 </w:instrText>
          </w:r>
          <w:r w:rsidR="00D95E69">
            <w:fldChar w:fldCharType="separate"/>
          </w:r>
          <w:r w:rsidR="00CE295A">
            <w:rPr>
              <w:noProof/>
            </w:rPr>
            <w:t>(Mabuchi, 1980, p. 8)</w:t>
          </w:r>
          <w:r w:rsidR="00D95E69">
            <w:fldChar w:fldCharType="end"/>
          </w:r>
        </w:sdtContent>
      </w:sdt>
      <w:r w:rsidR="00D95E69">
        <w:t xml:space="preserve">. </w:t>
      </w:r>
      <w:r w:rsidR="00BA2882">
        <w:t>This can give the family a sense of closure, knowing that their deceased relative’s spirit has now merged with their wider ancestral family who have become deities in their own sense.</w:t>
      </w:r>
    </w:p>
    <w:p w14:paraId="0BA0CF1A" w14:textId="2D6BADF0" w:rsidR="00CE295A" w:rsidRDefault="00CE295A" w:rsidP="00222AE1">
      <w:r>
        <w:t xml:space="preserve">Somewhat related to Okinawa are the practices of mainland Japan, which have been influenced more by Buddhism and Shinto. </w:t>
      </w:r>
      <w:r w:rsidR="00957A36">
        <w:t xml:space="preserve">There are two main forces that act within a Japanese funeral and its rites: </w:t>
      </w:r>
      <w:proofErr w:type="spellStart"/>
      <w:r w:rsidR="00957A36" w:rsidRPr="00957A36">
        <w:rPr>
          <w:i/>
          <w:iCs/>
        </w:rPr>
        <w:t>Shoukou</w:t>
      </w:r>
      <w:proofErr w:type="spellEnd"/>
      <w:r w:rsidR="00957A36">
        <w:t xml:space="preserve"> (incense burning ceremony) and </w:t>
      </w:r>
      <w:proofErr w:type="spellStart"/>
      <w:r w:rsidR="00957A36" w:rsidRPr="00957A36">
        <w:rPr>
          <w:i/>
          <w:iCs/>
        </w:rPr>
        <w:t>Kouden</w:t>
      </w:r>
      <w:proofErr w:type="spellEnd"/>
      <w:r w:rsidR="00957A36">
        <w:rPr>
          <w:i/>
          <w:iCs/>
        </w:rPr>
        <w:t xml:space="preserve"> </w:t>
      </w:r>
      <w:r w:rsidR="00957A36">
        <w:t xml:space="preserve">(a mutual assured monetary gift). </w:t>
      </w:r>
      <w:proofErr w:type="spellStart"/>
      <w:r w:rsidR="00957A36">
        <w:rPr>
          <w:i/>
          <w:iCs/>
        </w:rPr>
        <w:t>Shoukou</w:t>
      </w:r>
      <w:proofErr w:type="spellEnd"/>
      <w:r w:rsidR="00957A36">
        <w:t xml:space="preserve"> receives a short description in Tsuji’s extensive article and is surmised as mourners being called to burn ceremonial incense depending on the person’s rank in the familial hierarchy, and people ‘external’ to the family are called randomly in a separate and simultaneous ceremony outside the house</w:t>
      </w:r>
      <w:sdt>
        <w:sdtPr>
          <w:id w:val="-1789740152"/>
          <w:citation/>
        </w:sdtPr>
        <w:sdtEndPr/>
        <w:sdtContent>
          <w:r w:rsidR="00710C93">
            <w:fldChar w:fldCharType="begin"/>
          </w:r>
          <w:r w:rsidR="00710C93">
            <w:instrText xml:space="preserve">CITATION Yoh06 \p 399 \l 2057 </w:instrText>
          </w:r>
          <w:r w:rsidR="00710C93">
            <w:fldChar w:fldCharType="separate"/>
          </w:r>
          <w:r w:rsidR="00710C93">
            <w:rPr>
              <w:noProof/>
            </w:rPr>
            <w:t xml:space="preserve"> (Tsuji, 2006, p. 399)</w:t>
          </w:r>
          <w:r w:rsidR="00710C93">
            <w:fldChar w:fldCharType="end"/>
          </w:r>
        </w:sdtContent>
      </w:sdt>
      <w:r w:rsidR="00957A36">
        <w:t xml:space="preserve">. </w:t>
      </w:r>
      <w:r w:rsidR="00710C93">
        <w:t xml:space="preserve">Whilst the </w:t>
      </w:r>
      <w:proofErr w:type="spellStart"/>
      <w:r w:rsidR="00710C93">
        <w:rPr>
          <w:i/>
          <w:iCs/>
        </w:rPr>
        <w:t>kouden</w:t>
      </w:r>
      <w:proofErr w:type="spellEnd"/>
      <w:r w:rsidR="00710C93">
        <w:t xml:space="preserve"> receives a more fleshed out explanation; this is a tradition of a financial gift given to the bereaved family based on their ties, which is then used to pay for the immediate costs of the funeral, and as a sort of insurance for the donor receiving the same kind of donation on their passing, a </w:t>
      </w:r>
      <w:proofErr w:type="spellStart"/>
      <w:r w:rsidR="00710C93">
        <w:rPr>
          <w:i/>
          <w:iCs/>
        </w:rPr>
        <w:t>kouden</w:t>
      </w:r>
      <w:proofErr w:type="spellEnd"/>
      <w:r w:rsidR="00710C93">
        <w:rPr>
          <w:i/>
          <w:iCs/>
        </w:rPr>
        <w:t xml:space="preserve"> </w:t>
      </w:r>
      <w:proofErr w:type="spellStart"/>
      <w:r w:rsidR="00710C93">
        <w:rPr>
          <w:i/>
          <w:iCs/>
        </w:rPr>
        <w:t>gaeshi</w:t>
      </w:r>
      <w:proofErr w:type="spellEnd"/>
      <w:sdt>
        <w:sdtPr>
          <w:id w:val="497856073"/>
          <w:citation/>
        </w:sdtPr>
        <w:sdtEndPr/>
        <w:sdtContent>
          <w:r w:rsidR="00710C93">
            <w:fldChar w:fldCharType="begin"/>
          </w:r>
          <w:r w:rsidR="00710C93">
            <w:instrText xml:space="preserve">CITATION Yoh06 \p 395-396 \l 2057 </w:instrText>
          </w:r>
          <w:r w:rsidR="00710C93">
            <w:fldChar w:fldCharType="separate"/>
          </w:r>
          <w:r w:rsidR="00710C93">
            <w:rPr>
              <w:noProof/>
            </w:rPr>
            <w:t xml:space="preserve"> (Tsuji, 2006, pp. 395-396)</w:t>
          </w:r>
          <w:r w:rsidR="00710C93">
            <w:fldChar w:fldCharType="end"/>
          </w:r>
        </w:sdtContent>
      </w:sdt>
      <w:r w:rsidR="00710C93">
        <w:t xml:space="preserve">. This exchange of gifts then binds the giver and receiver in a contract of </w:t>
      </w:r>
      <w:r w:rsidR="00710C93">
        <w:rPr>
          <w:i/>
          <w:iCs/>
        </w:rPr>
        <w:t>‘</w:t>
      </w:r>
      <w:proofErr w:type="spellStart"/>
      <w:r w:rsidR="00710C93">
        <w:rPr>
          <w:i/>
          <w:iCs/>
        </w:rPr>
        <w:t>giri</w:t>
      </w:r>
      <w:proofErr w:type="spellEnd"/>
      <w:r w:rsidR="00710C93">
        <w:rPr>
          <w:i/>
          <w:iCs/>
        </w:rPr>
        <w:t>’</w:t>
      </w:r>
      <w:r w:rsidR="00710C93">
        <w:t xml:space="preserve"> or ‘duty’</w:t>
      </w:r>
      <w:r w:rsidR="00731F6D">
        <w:t xml:space="preserve"> and reinforces the traditional values of community and honour that are so pervasive in Japanese culture, their “intensive, long-term involvement with groups”</w:t>
      </w:r>
      <w:sdt>
        <w:sdtPr>
          <w:id w:val="-255443450"/>
          <w:citation/>
        </w:sdtPr>
        <w:sdtEndPr/>
        <w:sdtContent>
          <w:r w:rsidR="00731F6D">
            <w:fldChar w:fldCharType="begin"/>
          </w:r>
          <w:r w:rsidR="00731F6D">
            <w:instrText xml:space="preserve">CITATION Yoh06 \p 417 \l 2057 </w:instrText>
          </w:r>
          <w:r w:rsidR="00731F6D">
            <w:fldChar w:fldCharType="separate"/>
          </w:r>
          <w:r w:rsidR="00731F6D">
            <w:rPr>
              <w:noProof/>
            </w:rPr>
            <w:t xml:space="preserve"> (Tsuji, 2006, p. 417)</w:t>
          </w:r>
          <w:r w:rsidR="00731F6D">
            <w:fldChar w:fldCharType="end"/>
          </w:r>
        </w:sdtContent>
      </w:sdt>
      <w:r w:rsidR="00731F6D">
        <w:t xml:space="preserve">. Both the mainland Japanese and ‘external’ Okinawan funerals both have a similar sense of community and bonding, as both place emphasis on bringing </w:t>
      </w:r>
      <w:r w:rsidR="00731F6D">
        <w:lastRenderedPageBreak/>
        <w:t xml:space="preserve">any and all connections the person had (as on the mainland), and taking care of ancestral spirits so they might be kept comfortable with human comforts till they become deified (as on Okinawa); both these funerary customs also lack the fear that the Thai ones have in lost or malevolent spirits. The customs of mainland Japan do bear some semblance to those of the </w:t>
      </w:r>
      <w:proofErr w:type="spellStart"/>
      <w:r w:rsidR="00731F6D">
        <w:t>Tallensi</w:t>
      </w:r>
      <w:proofErr w:type="spellEnd"/>
      <w:r w:rsidR="00731F6D">
        <w:t xml:space="preserve"> as </w:t>
      </w:r>
      <w:r w:rsidR="00A36B01">
        <w:t xml:space="preserve">both these practices see the ascension of a new family head, through confirmation with ancestor shrines the father once tended </w:t>
      </w:r>
      <w:sdt>
        <w:sdtPr>
          <w:id w:val="87364741"/>
          <w:citation/>
        </w:sdtPr>
        <w:sdtEndPr/>
        <w:sdtContent>
          <w:r w:rsidR="00A36B01">
            <w:fldChar w:fldCharType="begin"/>
          </w:r>
          <w:r w:rsidR="00A36B01">
            <w:instrText xml:space="preserve">CITATION For61 \p 175 \l 2057 </w:instrText>
          </w:r>
          <w:r w:rsidR="00A36B01">
            <w:fldChar w:fldCharType="separate"/>
          </w:r>
          <w:r w:rsidR="00A36B01">
            <w:rPr>
              <w:noProof/>
            </w:rPr>
            <w:t>(Fortes, 1961, p. 175)</w:t>
          </w:r>
          <w:r w:rsidR="00A36B01">
            <w:fldChar w:fldCharType="end"/>
          </w:r>
        </w:sdtContent>
      </w:sdt>
      <w:r w:rsidR="00A36B01">
        <w:t xml:space="preserve"> and the eldest son of the deceased being called forward first to burn incense at </w:t>
      </w:r>
      <w:proofErr w:type="spellStart"/>
      <w:r w:rsidR="00A36B01">
        <w:rPr>
          <w:i/>
          <w:iCs/>
        </w:rPr>
        <w:t>shoukou</w:t>
      </w:r>
      <w:proofErr w:type="spellEnd"/>
      <w:r w:rsidR="00A36B01">
        <w:t xml:space="preserve"> as the primary mourner </w:t>
      </w:r>
      <w:sdt>
        <w:sdtPr>
          <w:id w:val="44114400"/>
          <w:citation/>
        </w:sdtPr>
        <w:sdtEndPr/>
        <w:sdtContent>
          <w:r w:rsidR="00A36B01">
            <w:fldChar w:fldCharType="begin"/>
          </w:r>
          <w:r w:rsidR="00A36B01">
            <w:instrText xml:space="preserve">CITATION Yoh06 \p 401 \l 2057 </w:instrText>
          </w:r>
          <w:r w:rsidR="00A36B01">
            <w:fldChar w:fldCharType="separate"/>
          </w:r>
          <w:r w:rsidR="00A36B01">
            <w:rPr>
              <w:noProof/>
            </w:rPr>
            <w:t>(Tsuji, 2006, p. 401)</w:t>
          </w:r>
          <w:r w:rsidR="00A36B01">
            <w:fldChar w:fldCharType="end"/>
          </w:r>
        </w:sdtContent>
      </w:sdt>
      <w:r w:rsidR="00A36B01">
        <w:t>.</w:t>
      </w:r>
    </w:p>
    <w:p w14:paraId="16FC9BA5" w14:textId="0B6C1F65" w:rsidR="00A36B01" w:rsidRPr="00A36B01" w:rsidRDefault="00BA2882" w:rsidP="00222AE1">
      <w:r>
        <w:t xml:space="preserve">All these different customs may vary in their interpretation of what happens after death, as with the Buddhist funerals requiring guidance for the soul and the almost cynical seeming funeral practices of the </w:t>
      </w:r>
      <w:proofErr w:type="spellStart"/>
      <w:r>
        <w:t>Tallensi</w:t>
      </w:r>
      <w:proofErr w:type="spellEnd"/>
      <w:r>
        <w:t xml:space="preserve">. But all bear some semblance in having a sense of grounded honesty in treating the deceased with the greatest respect, and in some cases, wishing the best in their next life or realm. What can be drawn from these examples is the common threads of lineage, ascension and community can be seen in these examples, each displaying it in a different manner but with the same sincerity to the deceased and the grieving family. </w:t>
      </w:r>
    </w:p>
    <w:p w14:paraId="378DB3CF" w14:textId="3309DF90" w:rsidR="00CC2FB5" w:rsidRPr="00CC2FB5" w:rsidRDefault="004B18D6" w:rsidP="00CC2FB5">
      <w:pPr>
        <w:pStyle w:val="Heading1"/>
      </w:pPr>
      <w:r>
        <w:t>Glossary</w:t>
      </w:r>
    </w:p>
    <w:p w14:paraId="25C03596" w14:textId="0085F979" w:rsidR="004B18D6" w:rsidRDefault="004B18D6" w:rsidP="004B18D6">
      <w:pPr>
        <w:pStyle w:val="ListParagraph"/>
        <w:numPr>
          <w:ilvl w:val="0"/>
          <w:numId w:val="1"/>
        </w:numPr>
        <w:rPr>
          <w:lang w:val="en-US" w:eastAsia="en-US"/>
        </w:rPr>
      </w:pPr>
      <w:r>
        <w:rPr>
          <w:lang w:val="en-US" w:eastAsia="en-US"/>
        </w:rPr>
        <w:t>Ancestor</w:t>
      </w:r>
    </w:p>
    <w:p w14:paraId="167681A6" w14:textId="6F55876E" w:rsidR="004B18D6" w:rsidRDefault="00B54078" w:rsidP="004B18D6">
      <w:pPr>
        <w:pStyle w:val="ListParagraph"/>
        <w:numPr>
          <w:ilvl w:val="1"/>
          <w:numId w:val="1"/>
        </w:numPr>
        <w:rPr>
          <w:lang w:val="en-US" w:eastAsia="en-US"/>
        </w:rPr>
      </w:pPr>
      <w:r>
        <w:rPr>
          <w:lang w:val="en-US" w:eastAsia="en-US"/>
        </w:rPr>
        <w:t>A person from whom another is directly descended, esp</w:t>
      </w:r>
      <w:r w:rsidR="003A7C5D">
        <w:rPr>
          <w:lang w:val="en-US" w:eastAsia="en-US"/>
        </w:rPr>
        <w:t>.</w:t>
      </w:r>
      <w:r>
        <w:rPr>
          <w:lang w:val="en-US" w:eastAsia="en-US"/>
        </w:rPr>
        <w:t xml:space="preserve"> someone more distant than a grandparent; forefather </w:t>
      </w:r>
      <w:sdt>
        <w:sdtPr>
          <w:rPr>
            <w:lang w:val="en-US" w:eastAsia="en-US"/>
          </w:rPr>
          <w:id w:val="-1603178397"/>
          <w:citation/>
        </w:sdtPr>
        <w:sdtEndPr/>
        <w:sdtContent>
          <w:r>
            <w:rPr>
              <w:lang w:val="en-US" w:eastAsia="en-US"/>
            </w:rPr>
            <w:fldChar w:fldCharType="begin"/>
          </w:r>
          <w:r>
            <w:rPr>
              <w:lang w:eastAsia="en-US"/>
            </w:rPr>
            <w:instrText xml:space="preserve">CITATION Col20 \p Ancestor \l 2057 </w:instrText>
          </w:r>
          <w:r>
            <w:rPr>
              <w:lang w:val="en-US" w:eastAsia="en-US"/>
            </w:rPr>
            <w:fldChar w:fldCharType="separate"/>
          </w:r>
          <w:r w:rsidR="00CE295A">
            <w:rPr>
              <w:noProof/>
              <w:lang w:eastAsia="en-US"/>
            </w:rPr>
            <w:t>(Collins, 2020, p. Ancestor)</w:t>
          </w:r>
          <w:r>
            <w:rPr>
              <w:lang w:val="en-US" w:eastAsia="en-US"/>
            </w:rPr>
            <w:fldChar w:fldCharType="end"/>
          </w:r>
        </w:sdtContent>
      </w:sdt>
    </w:p>
    <w:p w14:paraId="2A240C89" w14:textId="7CB95A03" w:rsidR="00A47944" w:rsidRDefault="00A47944" w:rsidP="00A47944">
      <w:pPr>
        <w:pStyle w:val="ListParagraph"/>
        <w:numPr>
          <w:ilvl w:val="0"/>
          <w:numId w:val="1"/>
        </w:numPr>
        <w:rPr>
          <w:lang w:val="en-US" w:eastAsia="en-US"/>
        </w:rPr>
      </w:pPr>
      <w:r>
        <w:rPr>
          <w:lang w:val="en-US" w:eastAsia="en-US"/>
        </w:rPr>
        <w:t>Bon</w:t>
      </w:r>
      <w:r w:rsidR="00957A36">
        <w:rPr>
          <w:lang w:val="en-US" w:eastAsia="en-US"/>
        </w:rPr>
        <w:t xml:space="preserve"> (</w:t>
      </w:r>
      <w:r w:rsidR="00957A36">
        <w:rPr>
          <w:rFonts w:hint="eastAsia"/>
          <w:lang w:val="en-US"/>
        </w:rPr>
        <w:t>盆祭り</w:t>
      </w:r>
      <w:r w:rsidR="00957A36">
        <w:rPr>
          <w:lang w:val="en-US" w:eastAsia="en-US"/>
        </w:rPr>
        <w:t>)</w:t>
      </w:r>
    </w:p>
    <w:p w14:paraId="4158EAA7" w14:textId="3F9E168C" w:rsidR="00A47944" w:rsidRDefault="00A47944" w:rsidP="00A47944">
      <w:pPr>
        <w:pStyle w:val="ListParagraph"/>
        <w:numPr>
          <w:ilvl w:val="1"/>
          <w:numId w:val="1"/>
        </w:numPr>
        <w:rPr>
          <w:lang w:val="en-US" w:eastAsia="en-US"/>
        </w:rPr>
      </w:pPr>
      <w:r>
        <w:rPr>
          <w:lang w:val="en-US" w:eastAsia="en-US"/>
        </w:rPr>
        <w:t>Taking place on the 15</w:t>
      </w:r>
      <w:r w:rsidRPr="00A47944">
        <w:rPr>
          <w:vertAlign w:val="superscript"/>
          <w:lang w:val="en-US" w:eastAsia="en-US"/>
        </w:rPr>
        <w:t>th</w:t>
      </w:r>
      <w:r>
        <w:rPr>
          <w:lang w:val="en-US" w:eastAsia="en-US"/>
        </w:rPr>
        <w:t xml:space="preserve"> day of the 7</w:t>
      </w:r>
      <w:r w:rsidRPr="00A47944">
        <w:rPr>
          <w:vertAlign w:val="superscript"/>
          <w:lang w:val="en-US" w:eastAsia="en-US"/>
        </w:rPr>
        <w:t>th</w:t>
      </w:r>
      <w:r>
        <w:rPr>
          <w:lang w:val="en-US" w:eastAsia="en-US"/>
        </w:rPr>
        <w:t xml:space="preserve"> month in the Lunar Calendar, people invite the souls of the dead and the “ancestors” to serve them with dishes indoors and politely see them off </w:t>
      </w:r>
      <w:sdt>
        <w:sdtPr>
          <w:rPr>
            <w:lang w:val="en-US" w:eastAsia="en-US"/>
          </w:rPr>
          <w:id w:val="819081633"/>
          <w:citation/>
        </w:sdtPr>
        <w:sdtEndPr/>
        <w:sdtContent>
          <w:r>
            <w:rPr>
              <w:lang w:val="en-US" w:eastAsia="en-US"/>
            </w:rPr>
            <w:fldChar w:fldCharType="begin"/>
          </w:r>
          <w:r>
            <w:rPr>
              <w:lang w:eastAsia="en-US"/>
            </w:rPr>
            <w:instrText xml:space="preserve">CITATION Mab80 \p 8 \l 2057 </w:instrText>
          </w:r>
          <w:r>
            <w:rPr>
              <w:lang w:val="en-US" w:eastAsia="en-US"/>
            </w:rPr>
            <w:fldChar w:fldCharType="separate"/>
          </w:r>
          <w:r w:rsidR="00CE295A">
            <w:rPr>
              <w:noProof/>
              <w:lang w:eastAsia="en-US"/>
            </w:rPr>
            <w:t>(Mabuchi, 1980, p. 8)</w:t>
          </w:r>
          <w:r>
            <w:rPr>
              <w:lang w:val="en-US" w:eastAsia="en-US"/>
            </w:rPr>
            <w:fldChar w:fldCharType="end"/>
          </w:r>
        </w:sdtContent>
      </w:sdt>
    </w:p>
    <w:p w14:paraId="4A7B69DB" w14:textId="59668193" w:rsidR="00197801" w:rsidRDefault="00197801" w:rsidP="00197801">
      <w:pPr>
        <w:pStyle w:val="ListParagraph"/>
        <w:numPr>
          <w:ilvl w:val="0"/>
          <w:numId w:val="1"/>
        </w:numPr>
        <w:rPr>
          <w:lang w:val="en-US" w:eastAsia="en-US"/>
        </w:rPr>
      </w:pPr>
      <w:r>
        <w:rPr>
          <w:lang w:val="en-US" w:eastAsia="en-US"/>
        </w:rPr>
        <w:t>Filial piety</w:t>
      </w:r>
    </w:p>
    <w:p w14:paraId="2909AD61" w14:textId="0CB8C344" w:rsidR="00197801" w:rsidRDefault="00197801" w:rsidP="00197801">
      <w:pPr>
        <w:pStyle w:val="ListParagraph"/>
        <w:numPr>
          <w:ilvl w:val="1"/>
          <w:numId w:val="1"/>
        </w:numPr>
        <w:rPr>
          <w:lang w:val="en-US" w:eastAsia="en-US"/>
        </w:rPr>
      </w:pPr>
      <w:r>
        <w:rPr>
          <w:lang w:val="en-US" w:eastAsia="en-US"/>
        </w:rPr>
        <w:t xml:space="preserve">Used to describe the duties, feelings or relationships which exist between a son or daughter and his or her parents </w:t>
      </w:r>
      <w:sdt>
        <w:sdtPr>
          <w:rPr>
            <w:lang w:val="en-US" w:eastAsia="en-US"/>
          </w:rPr>
          <w:id w:val="1855536991"/>
          <w:citation/>
        </w:sdtPr>
        <w:sdtEndPr/>
        <w:sdtContent>
          <w:r>
            <w:rPr>
              <w:lang w:val="en-US" w:eastAsia="en-US"/>
            </w:rPr>
            <w:fldChar w:fldCharType="begin"/>
          </w:r>
          <w:r>
            <w:rPr>
              <w:lang w:eastAsia="en-US"/>
            </w:rPr>
            <w:instrText xml:space="preserve">CITATION Col20 \p Filial \l 2057 </w:instrText>
          </w:r>
          <w:r>
            <w:rPr>
              <w:lang w:val="en-US" w:eastAsia="en-US"/>
            </w:rPr>
            <w:fldChar w:fldCharType="separate"/>
          </w:r>
          <w:r w:rsidR="00CE295A">
            <w:rPr>
              <w:noProof/>
              <w:lang w:eastAsia="en-US"/>
            </w:rPr>
            <w:t>(Collins, 2020, p. Filial)</w:t>
          </w:r>
          <w:r>
            <w:rPr>
              <w:lang w:val="en-US" w:eastAsia="en-US"/>
            </w:rPr>
            <w:fldChar w:fldCharType="end"/>
          </w:r>
        </w:sdtContent>
      </w:sdt>
    </w:p>
    <w:p w14:paraId="2085D83E" w14:textId="769405B4" w:rsidR="00197801" w:rsidRDefault="00197801" w:rsidP="00197801">
      <w:pPr>
        <w:pStyle w:val="ListParagraph"/>
        <w:numPr>
          <w:ilvl w:val="1"/>
          <w:numId w:val="1"/>
        </w:numPr>
        <w:rPr>
          <w:lang w:val="en-US" w:eastAsia="en-US"/>
        </w:rPr>
      </w:pPr>
      <w:r>
        <w:rPr>
          <w:lang w:val="en-US" w:eastAsia="en-US"/>
        </w:rPr>
        <w:t xml:space="preserve">Devotion and obedience to parents or superiors </w:t>
      </w:r>
      <w:sdt>
        <w:sdtPr>
          <w:rPr>
            <w:lang w:val="en-US" w:eastAsia="en-US"/>
          </w:rPr>
          <w:id w:val="894856716"/>
          <w:citation/>
        </w:sdtPr>
        <w:sdtEndPr/>
        <w:sdtContent>
          <w:r>
            <w:rPr>
              <w:lang w:val="en-US" w:eastAsia="en-US"/>
            </w:rPr>
            <w:fldChar w:fldCharType="begin"/>
          </w:r>
          <w:r>
            <w:rPr>
              <w:lang w:eastAsia="en-US"/>
            </w:rPr>
            <w:instrText xml:space="preserve">CITATION Col20 \p Piety \l 2057 </w:instrText>
          </w:r>
          <w:r>
            <w:rPr>
              <w:lang w:val="en-US" w:eastAsia="en-US"/>
            </w:rPr>
            <w:fldChar w:fldCharType="separate"/>
          </w:r>
          <w:r w:rsidR="00CE295A">
            <w:rPr>
              <w:noProof/>
              <w:lang w:eastAsia="en-US"/>
            </w:rPr>
            <w:t>(Collins, 2020, p. Piety)</w:t>
          </w:r>
          <w:r>
            <w:rPr>
              <w:lang w:val="en-US" w:eastAsia="en-US"/>
            </w:rPr>
            <w:fldChar w:fldCharType="end"/>
          </w:r>
        </w:sdtContent>
      </w:sdt>
    </w:p>
    <w:p w14:paraId="53B7ECF7" w14:textId="5A927FEB" w:rsidR="00C565D1" w:rsidRDefault="00C565D1" w:rsidP="00C565D1">
      <w:pPr>
        <w:pStyle w:val="ListParagraph"/>
        <w:numPr>
          <w:ilvl w:val="0"/>
          <w:numId w:val="1"/>
        </w:numPr>
        <w:rPr>
          <w:lang w:val="en-US" w:eastAsia="en-US"/>
        </w:rPr>
      </w:pPr>
      <w:r>
        <w:rPr>
          <w:lang w:val="en-US" w:eastAsia="en-US"/>
        </w:rPr>
        <w:t>Funeral rites</w:t>
      </w:r>
    </w:p>
    <w:p w14:paraId="41423290" w14:textId="37195B98" w:rsidR="00C565D1" w:rsidRDefault="00C565D1" w:rsidP="00C565D1">
      <w:pPr>
        <w:pStyle w:val="ListParagraph"/>
        <w:numPr>
          <w:ilvl w:val="1"/>
          <w:numId w:val="1"/>
        </w:numPr>
        <w:rPr>
          <w:lang w:val="en-US" w:eastAsia="en-US"/>
        </w:rPr>
      </w:pPr>
      <w:r>
        <w:rPr>
          <w:lang w:val="en-US" w:eastAsia="en-US"/>
        </w:rPr>
        <w:t xml:space="preserve">Rites involving the disposal of the physical remains of a dead person and often the transition of that person’s spirit from one culturally defined realm to another. Funeral rites may include burial, reburial, cremation, or other means of disposal </w:t>
      </w:r>
      <w:sdt>
        <w:sdtPr>
          <w:rPr>
            <w:lang w:val="en-US" w:eastAsia="en-US"/>
          </w:rPr>
          <w:id w:val="25771561"/>
          <w:citation/>
        </w:sdtPr>
        <w:sdtEndPr/>
        <w:sdtContent>
          <w:r>
            <w:rPr>
              <w:lang w:val="en-US" w:eastAsia="en-US"/>
            </w:rPr>
            <w:fldChar w:fldCharType="begin"/>
          </w:r>
          <w:r>
            <w:rPr>
              <w:lang w:eastAsia="en-US"/>
            </w:rPr>
            <w:instrText xml:space="preserve">CITATION Ala96 \p 906 \l 2057 </w:instrText>
          </w:r>
          <w:r>
            <w:rPr>
              <w:lang w:val="en-US" w:eastAsia="en-US"/>
            </w:rPr>
            <w:fldChar w:fldCharType="separate"/>
          </w:r>
          <w:r w:rsidR="00CE295A">
            <w:rPr>
              <w:noProof/>
              <w:lang w:eastAsia="en-US"/>
            </w:rPr>
            <w:t>(Barnard &amp; Spencer, 1996, p. 906)</w:t>
          </w:r>
          <w:r>
            <w:rPr>
              <w:lang w:val="en-US" w:eastAsia="en-US"/>
            </w:rPr>
            <w:fldChar w:fldCharType="end"/>
          </w:r>
        </w:sdtContent>
      </w:sdt>
    </w:p>
    <w:p w14:paraId="62DB9EE6" w14:textId="2DCC3227" w:rsidR="00710C93" w:rsidRDefault="00710C93" w:rsidP="00710C93">
      <w:pPr>
        <w:pStyle w:val="ListParagraph"/>
        <w:numPr>
          <w:ilvl w:val="0"/>
          <w:numId w:val="1"/>
        </w:numPr>
        <w:rPr>
          <w:lang w:val="en-US" w:eastAsia="en-US"/>
        </w:rPr>
      </w:pPr>
      <w:proofErr w:type="spellStart"/>
      <w:r>
        <w:rPr>
          <w:lang w:val="en-US" w:eastAsia="en-US"/>
        </w:rPr>
        <w:t>Giri</w:t>
      </w:r>
      <w:proofErr w:type="spellEnd"/>
      <w:r>
        <w:rPr>
          <w:lang w:val="en-US" w:eastAsia="en-US"/>
        </w:rPr>
        <w:t xml:space="preserve"> (</w:t>
      </w:r>
      <w:r>
        <w:rPr>
          <w:rFonts w:hint="eastAsia"/>
          <w:lang w:val="en-US"/>
        </w:rPr>
        <w:t>義理</w:t>
      </w:r>
      <w:r>
        <w:rPr>
          <w:lang w:val="en-US" w:eastAsia="en-US"/>
        </w:rPr>
        <w:t>)</w:t>
      </w:r>
    </w:p>
    <w:p w14:paraId="31DE9628" w14:textId="751DE957" w:rsidR="00710C93" w:rsidRDefault="00710C93" w:rsidP="00710C93">
      <w:pPr>
        <w:pStyle w:val="ListParagraph"/>
        <w:numPr>
          <w:ilvl w:val="1"/>
          <w:numId w:val="1"/>
        </w:numPr>
        <w:rPr>
          <w:lang w:val="en-US" w:eastAsia="en-US"/>
        </w:rPr>
      </w:pPr>
      <w:r>
        <w:rPr>
          <w:lang w:eastAsia="en-US"/>
        </w:rPr>
        <w:t xml:space="preserve">A sense of honour or duty to another. In this case, a mutual guarantee of reciprocal gifts in </w:t>
      </w:r>
      <w:proofErr w:type="spellStart"/>
      <w:r>
        <w:rPr>
          <w:i/>
          <w:iCs/>
          <w:lang w:eastAsia="en-US"/>
        </w:rPr>
        <w:t>kouden</w:t>
      </w:r>
      <w:proofErr w:type="spellEnd"/>
      <w:r>
        <w:rPr>
          <w:lang w:eastAsia="en-US"/>
        </w:rPr>
        <w:t xml:space="preserve"> </w:t>
      </w:r>
      <w:sdt>
        <w:sdtPr>
          <w:rPr>
            <w:lang w:eastAsia="en-US"/>
          </w:rPr>
          <w:id w:val="-1795828449"/>
          <w:citation/>
        </w:sdtPr>
        <w:sdtEndPr/>
        <w:sdtContent>
          <w:r>
            <w:rPr>
              <w:lang w:eastAsia="en-US"/>
            </w:rPr>
            <w:fldChar w:fldCharType="begin"/>
          </w:r>
          <w:r>
            <w:rPr>
              <w:lang w:eastAsia="en-US"/>
            </w:rPr>
            <w:instrText xml:space="preserve">CITATION Yoh06 \p 400 \l 2057 </w:instrText>
          </w:r>
          <w:r>
            <w:rPr>
              <w:lang w:eastAsia="en-US"/>
            </w:rPr>
            <w:fldChar w:fldCharType="separate"/>
          </w:r>
          <w:r>
            <w:rPr>
              <w:noProof/>
              <w:lang w:eastAsia="en-US"/>
            </w:rPr>
            <w:t>(Tsuji, 2006, p. 400)</w:t>
          </w:r>
          <w:r>
            <w:rPr>
              <w:lang w:eastAsia="en-US"/>
            </w:rPr>
            <w:fldChar w:fldCharType="end"/>
          </w:r>
        </w:sdtContent>
      </w:sdt>
    </w:p>
    <w:p w14:paraId="4AF6E21F" w14:textId="71DFD35D" w:rsidR="004361BC" w:rsidRDefault="004361BC" w:rsidP="004361BC">
      <w:pPr>
        <w:pStyle w:val="ListParagraph"/>
        <w:numPr>
          <w:ilvl w:val="0"/>
          <w:numId w:val="1"/>
        </w:numPr>
        <w:rPr>
          <w:lang w:val="en-US" w:eastAsia="en-US"/>
        </w:rPr>
      </w:pPr>
      <w:r>
        <w:rPr>
          <w:lang w:val="en-US" w:eastAsia="en-US"/>
        </w:rPr>
        <w:t>Sangha</w:t>
      </w:r>
      <w:r w:rsidR="00957A36">
        <w:rPr>
          <w:lang w:val="en-US" w:eastAsia="en-US"/>
        </w:rPr>
        <w:t xml:space="preserve"> (</w:t>
      </w:r>
      <w:proofErr w:type="spellStart"/>
      <w:r w:rsidR="00957A36" w:rsidRPr="00957A36">
        <w:rPr>
          <w:rFonts w:ascii="Leelawadee UI" w:hAnsi="Leelawadee UI" w:cs="Leelawadee UI"/>
          <w:lang w:val="en-US" w:eastAsia="en-US"/>
        </w:rPr>
        <w:t>สังฆะ</w:t>
      </w:r>
      <w:proofErr w:type="spellEnd"/>
      <w:r w:rsidR="00957A36">
        <w:rPr>
          <w:rFonts w:ascii="Leelawadee UI" w:hAnsi="Leelawadee UI" w:cs="Leelawadee UI"/>
          <w:lang w:val="en-US" w:eastAsia="en-US"/>
        </w:rPr>
        <w:t>)</w:t>
      </w:r>
    </w:p>
    <w:p w14:paraId="61C373E3" w14:textId="4327A244" w:rsidR="004361BC" w:rsidRDefault="00C3627B" w:rsidP="004361BC">
      <w:pPr>
        <w:pStyle w:val="ListParagraph"/>
        <w:numPr>
          <w:ilvl w:val="1"/>
          <w:numId w:val="1"/>
        </w:numPr>
        <w:rPr>
          <w:lang w:val="en-US" w:eastAsia="en-US"/>
        </w:rPr>
      </w:pPr>
      <w:r>
        <w:rPr>
          <w:lang w:val="en-US" w:eastAsia="en-US"/>
        </w:rPr>
        <w:t xml:space="preserve">A community of Buddhist monks </w:t>
      </w:r>
      <w:sdt>
        <w:sdtPr>
          <w:rPr>
            <w:lang w:val="en-US" w:eastAsia="en-US"/>
          </w:rPr>
          <w:id w:val="-1300458773"/>
          <w:citation/>
        </w:sdtPr>
        <w:sdtEndPr/>
        <w:sdtContent>
          <w:r>
            <w:rPr>
              <w:lang w:val="en-US" w:eastAsia="en-US"/>
            </w:rPr>
            <w:fldChar w:fldCharType="begin"/>
          </w:r>
          <w:r>
            <w:rPr>
              <w:lang w:eastAsia="en-US"/>
            </w:rPr>
            <w:instrText xml:space="preserve">CITATION Reb16 \p 44 \l 2057 </w:instrText>
          </w:r>
          <w:r>
            <w:rPr>
              <w:lang w:val="en-US" w:eastAsia="en-US"/>
            </w:rPr>
            <w:fldChar w:fldCharType="separate"/>
          </w:r>
          <w:r w:rsidR="00CE295A">
            <w:rPr>
              <w:noProof/>
              <w:lang w:eastAsia="en-US"/>
            </w:rPr>
            <w:t>(Hall, 2016, p. 44)</w:t>
          </w:r>
          <w:r>
            <w:rPr>
              <w:lang w:val="en-US" w:eastAsia="en-US"/>
            </w:rPr>
            <w:fldChar w:fldCharType="end"/>
          </w:r>
        </w:sdtContent>
      </w:sdt>
    </w:p>
    <w:p w14:paraId="493C047C" w14:textId="5DC70C03" w:rsidR="00CE295A" w:rsidRDefault="00CE295A" w:rsidP="00CE295A">
      <w:pPr>
        <w:pStyle w:val="ListParagraph"/>
        <w:numPr>
          <w:ilvl w:val="0"/>
          <w:numId w:val="1"/>
        </w:numPr>
        <w:rPr>
          <w:lang w:val="en-US" w:eastAsia="en-US"/>
        </w:rPr>
      </w:pPr>
      <w:proofErr w:type="spellStart"/>
      <w:r>
        <w:rPr>
          <w:lang w:val="en-US" w:eastAsia="en-US"/>
        </w:rPr>
        <w:t>Shoukou</w:t>
      </w:r>
      <w:proofErr w:type="spellEnd"/>
      <w:r>
        <w:rPr>
          <w:lang w:val="en-US" w:eastAsia="en-US"/>
        </w:rPr>
        <w:t xml:space="preserve"> (</w:t>
      </w:r>
      <w:r>
        <w:rPr>
          <w:rFonts w:hint="eastAsia"/>
          <w:lang w:val="en-US"/>
        </w:rPr>
        <w:t>焼香</w:t>
      </w:r>
      <w:r>
        <w:rPr>
          <w:lang w:val="en-US" w:eastAsia="en-US"/>
        </w:rPr>
        <w:t>)</w:t>
      </w:r>
    </w:p>
    <w:p w14:paraId="22A63ADD" w14:textId="28FC173B" w:rsidR="00CE295A" w:rsidRDefault="00CE295A" w:rsidP="00CE295A">
      <w:pPr>
        <w:pStyle w:val="ListParagraph"/>
        <w:numPr>
          <w:ilvl w:val="1"/>
          <w:numId w:val="1"/>
        </w:numPr>
        <w:rPr>
          <w:lang w:val="en-US" w:eastAsia="en-US"/>
        </w:rPr>
      </w:pPr>
      <w:r>
        <w:rPr>
          <w:lang w:val="en-US" w:eastAsia="en-US"/>
        </w:rPr>
        <w:t xml:space="preserve">An incense burning ceremony which is performed whilst a Buddhist priest chants sutras. Relatives perform the ceremony inside, and the rest perform it outside </w:t>
      </w:r>
      <w:sdt>
        <w:sdtPr>
          <w:rPr>
            <w:lang w:val="en-US" w:eastAsia="en-US"/>
          </w:rPr>
          <w:id w:val="-1692593146"/>
          <w:citation/>
        </w:sdtPr>
        <w:sdtEndPr/>
        <w:sdtContent>
          <w:r>
            <w:rPr>
              <w:lang w:val="en-US" w:eastAsia="en-US"/>
            </w:rPr>
            <w:fldChar w:fldCharType="begin"/>
          </w:r>
          <w:r>
            <w:rPr>
              <w:lang w:eastAsia="en-US"/>
            </w:rPr>
            <w:instrText xml:space="preserve">CITATION Yoh06 \p 399 \l 1053 </w:instrText>
          </w:r>
          <w:r>
            <w:rPr>
              <w:lang w:val="en-US" w:eastAsia="en-US"/>
            </w:rPr>
            <w:fldChar w:fldCharType="separate"/>
          </w:r>
          <w:r w:rsidRPr="00CE295A">
            <w:rPr>
              <w:noProof/>
              <w:lang w:eastAsia="en-US"/>
            </w:rPr>
            <w:t>(Tsuji, 2006, s. 399)</w:t>
          </w:r>
          <w:r>
            <w:rPr>
              <w:lang w:val="en-US" w:eastAsia="en-US"/>
            </w:rPr>
            <w:fldChar w:fldCharType="end"/>
          </w:r>
        </w:sdtContent>
      </w:sdt>
    </w:p>
    <w:p w14:paraId="6042270B" w14:textId="1E938BAF" w:rsidR="002B1F80" w:rsidRPr="002B1F80" w:rsidRDefault="002B1F80" w:rsidP="002B1F80">
      <w:pPr>
        <w:pStyle w:val="ListParagraph"/>
        <w:numPr>
          <w:ilvl w:val="0"/>
          <w:numId w:val="1"/>
        </w:numPr>
        <w:rPr>
          <w:lang w:val="en-US" w:eastAsia="en-US"/>
        </w:rPr>
      </w:pPr>
      <w:proofErr w:type="spellStart"/>
      <w:r>
        <w:rPr>
          <w:lang w:val="en-US" w:eastAsia="en-US"/>
        </w:rPr>
        <w:t>Kouden</w:t>
      </w:r>
      <w:proofErr w:type="spellEnd"/>
      <w:r>
        <w:rPr>
          <w:lang w:val="en-US" w:eastAsia="en-US"/>
        </w:rPr>
        <w:t xml:space="preserve"> (</w:t>
      </w:r>
      <w:r>
        <w:rPr>
          <w:rFonts w:hint="eastAsia"/>
          <w:lang w:val="en-US"/>
        </w:rPr>
        <w:t>香典</w:t>
      </w:r>
      <w:r>
        <w:t>)</w:t>
      </w:r>
    </w:p>
    <w:p w14:paraId="1D628D2C" w14:textId="29F71743" w:rsidR="002B1F80" w:rsidRDefault="002B1F80" w:rsidP="002B1F80">
      <w:pPr>
        <w:pStyle w:val="ListParagraph"/>
        <w:numPr>
          <w:ilvl w:val="1"/>
          <w:numId w:val="1"/>
        </w:numPr>
        <w:rPr>
          <w:lang w:val="en-US" w:eastAsia="en-US"/>
        </w:rPr>
      </w:pPr>
      <w:r>
        <w:t>A culturally obligatory gift of money to the deceased’s family pay for the funeral. Traditionally called ‘incense money’</w:t>
      </w:r>
    </w:p>
    <w:sdt>
      <w:sdtPr>
        <w:rPr>
          <w:rFonts w:asciiTheme="minorHAnsi" w:eastAsiaTheme="minorEastAsia" w:hAnsiTheme="minorHAnsi" w:cstheme="minorBidi"/>
          <w:color w:val="auto"/>
          <w:sz w:val="22"/>
          <w:szCs w:val="22"/>
          <w:lang w:val="en-GB" w:eastAsia="ja-JP"/>
        </w:rPr>
        <w:id w:val="982889089"/>
        <w:docPartObj>
          <w:docPartGallery w:val="Bibliographies"/>
          <w:docPartUnique/>
        </w:docPartObj>
      </w:sdtPr>
      <w:sdtEndPr/>
      <w:sdtContent>
        <w:p w14:paraId="16ADAE92" w14:textId="37673F1E" w:rsidR="001D0733" w:rsidRDefault="001D0733">
          <w:pPr>
            <w:pStyle w:val="Heading1"/>
          </w:pPr>
          <w:r>
            <w:t>Bibliography</w:t>
          </w:r>
        </w:p>
        <w:sdt>
          <w:sdtPr>
            <w:id w:val="111145805"/>
            <w:bibliography/>
          </w:sdtPr>
          <w:sdtEndPr/>
          <w:sdtContent>
            <w:p w14:paraId="4F5DA14B" w14:textId="77777777" w:rsidR="00CE295A" w:rsidRPr="00CE295A" w:rsidRDefault="001D0733" w:rsidP="00CE295A">
              <w:pPr>
                <w:pStyle w:val="Bibliography"/>
                <w:ind w:left="720" w:hanging="720"/>
                <w:rPr>
                  <w:noProof/>
                  <w:sz w:val="24"/>
                  <w:szCs w:val="24"/>
                  <w:lang w:val="sv-SE"/>
                </w:rPr>
              </w:pPr>
              <w:r w:rsidRPr="005968FE">
                <w:fldChar w:fldCharType="begin"/>
              </w:r>
              <w:r w:rsidRPr="005968FE">
                <w:instrText xml:space="preserve"> BIBLIOGRAPHY </w:instrText>
              </w:r>
              <w:r w:rsidRPr="005968FE">
                <w:fldChar w:fldCharType="separate"/>
              </w:r>
              <w:r w:rsidR="00CE295A">
                <w:rPr>
                  <w:noProof/>
                  <w:lang w:val="en-US"/>
                </w:rPr>
                <w:t xml:space="preserve">Aston, W. (1906). Ancestor-Worship in Japan. </w:t>
              </w:r>
              <w:r w:rsidR="00CE295A" w:rsidRPr="00CE295A">
                <w:rPr>
                  <w:i/>
                  <w:iCs/>
                  <w:noProof/>
                  <w:lang w:val="sv-SE"/>
                </w:rPr>
                <w:t>MAN</w:t>
              </w:r>
              <w:r w:rsidR="00CE295A" w:rsidRPr="00CE295A">
                <w:rPr>
                  <w:noProof/>
                  <w:lang w:val="sv-SE"/>
                </w:rPr>
                <w:t>, 35-37.</w:t>
              </w:r>
            </w:p>
            <w:p w14:paraId="5601ACA9" w14:textId="77777777" w:rsidR="00CE295A" w:rsidRDefault="00CE295A" w:rsidP="00CE295A">
              <w:pPr>
                <w:pStyle w:val="Bibliography"/>
                <w:ind w:left="720" w:hanging="720"/>
                <w:rPr>
                  <w:noProof/>
                  <w:lang w:val="en-US"/>
                </w:rPr>
              </w:pPr>
              <w:r w:rsidRPr="00CE295A">
                <w:rPr>
                  <w:noProof/>
                  <w:lang w:val="sv-SE"/>
                </w:rPr>
                <w:t xml:space="preserve">Barnard, A., &amp; Spencer, J. (Eds.). </w:t>
              </w:r>
              <w:r>
                <w:rPr>
                  <w:noProof/>
                  <w:lang w:val="en-US"/>
                </w:rPr>
                <w:t xml:space="preserve">(1996). </w:t>
              </w:r>
              <w:r>
                <w:rPr>
                  <w:i/>
                  <w:iCs/>
                  <w:noProof/>
                  <w:lang w:val="en-US"/>
                </w:rPr>
                <w:t>Encylopedia of Social and Cultural Anthropology.</w:t>
              </w:r>
              <w:r>
                <w:rPr>
                  <w:noProof/>
                  <w:lang w:val="en-US"/>
                </w:rPr>
                <w:t xml:space="preserve"> London: Routledge.</w:t>
              </w:r>
            </w:p>
            <w:p w14:paraId="1949B73F" w14:textId="77777777" w:rsidR="00CE295A" w:rsidRDefault="00CE295A" w:rsidP="00CE295A">
              <w:pPr>
                <w:pStyle w:val="Bibliography"/>
                <w:ind w:left="720" w:hanging="720"/>
                <w:rPr>
                  <w:noProof/>
                  <w:lang w:val="en-US"/>
                </w:rPr>
              </w:pPr>
              <w:r>
                <w:rPr>
                  <w:noProof/>
                  <w:lang w:val="en-US"/>
                </w:rPr>
                <w:t xml:space="preserve">Barua, D. K. (2003). Funeral Rituals of Buddhist Bangladesh: A Study on Barua Community. </w:t>
              </w:r>
              <w:r>
                <w:rPr>
                  <w:i/>
                  <w:iCs/>
                  <w:noProof/>
                  <w:lang w:val="en-US"/>
                </w:rPr>
                <w:t>Journal of Indian and Buddhist Studies</w:t>
              </w:r>
              <w:r>
                <w:rPr>
                  <w:noProof/>
                  <w:lang w:val="en-US"/>
                </w:rPr>
                <w:t>, 12-16.</w:t>
              </w:r>
            </w:p>
            <w:p w14:paraId="3C07BC49" w14:textId="77777777" w:rsidR="00CE295A" w:rsidRDefault="00CE295A" w:rsidP="00CE295A">
              <w:pPr>
                <w:pStyle w:val="Bibliography"/>
                <w:ind w:left="720" w:hanging="720"/>
                <w:rPr>
                  <w:noProof/>
                  <w:lang w:val="en-US"/>
                </w:rPr>
              </w:pPr>
              <w:r>
                <w:rPr>
                  <w:noProof/>
                  <w:lang w:val="en-US"/>
                </w:rPr>
                <w:t>Collins. (2020, February 27). Retrieved from Collins English Dictionary: https://www.collinsdictionary.com/dictionary/english</w:t>
              </w:r>
            </w:p>
            <w:p w14:paraId="0FCF128A" w14:textId="77777777" w:rsidR="00CE295A" w:rsidRDefault="00CE295A" w:rsidP="00CE295A">
              <w:pPr>
                <w:pStyle w:val="Bibliography"/>
                <w:ind w:left="720" w:hanging="720"/>
                <w:rPr>
                  <w:noProof/>
                  <w:lang w:val="en-US"/>
                </w:rPr>
              </w:pPr>
              <w:r>
                <w:rPr>
                  <w:noProof/>
                  <w:lang w:val="en-US"/>
                </w:rPr>
                <w:t xml:space="preserve">Fortes, M. (1961). Pietas in Ancestor Worship. </w:t>
              </w:r>
              <w:r>
                <w:rPr>
                  <w:i/>
                  <w:iCs/>
                  <w:noProof/>
                  <w:lang w:val="en-US"/>
                </w:rPr>
                <w:t>Journal of the Royal Anthropological Institute of Great Britain and Ireland, XCI</w:t>
              </w:r>
              <w:r>
                <w:rPr>
                  <w:noProof/>
                  <w:lang w:val="en-US"/>
                </w:rPr>
                <w:t>(2), 166-191.</w:t>
              </w:r>
            </w:p>
            <w:p w14:paraId="1606FFB1" w14:textId="77777777" w:rsidR="00CE295A" w:rsidRDefault="00CE295A" w:rsidP="00CE295A">
              <w:pPr>
                <w:pStyle w:val="Bibliography"/>
                <w:ind w:left="720" w:hanging="720"/>
                <w:rPr>
                  <w:noProof/>
                  <w:lang w:val="en-US"/>
                </w:rPr>
              </w:pPr>
              <w:r>
                <w:rPr>
                  <w:noProof/>
                  <w:lang w:val="en-US"/>
                </w:rPr>
                <w:t xml:space="preserve">Hall, R. S. (2016). Between the Living and the Dead: Three-Tail Funeral Banners of Northern Thailand. </w:t>
              </w:r>
              <w:r>
                <w:rPr>
                  <w:i/>
                  <w:iCs/>
                  <w:noProof/>
                  <w:lang w:val="en-US"/>
                </w:rPr>
                <w:t>Ars Orientalis</w:t>
              </w:r>
              <w:r>
                <w:rPr>
                  <w:noProof/>
                  <w:lang w:val="en-US"/>
                </w:rPr>
                <w:t>, 40-60.</w:t>
              </w:r>
            </w:p>
            <w:p w14:paraId="258BEEB0" w14:textId="77777777" w:rsidR="00CE295A" w:rsidRDefault="00CE295A" w:rsidP="00CE295A">
              <w:pPr>
                <w:pStyle w:val="Bibliography"/>
                <w:ind w:left="720" w:hanging="720"/>
                <w:rPr>
                  <w:noProof/>
                  <w:lang w:val="en-US"/>
                </w:rPr>
              </w:pPr>
              <w:r>
                <w:rPr>
                  <w:noProof/>
                  <w:lang w:val="en-US"/>
                </w:rPr>
                <w:t xml:space="preserve">Mabuchi, T. (1980). Space and Time in Ryukyuan Cosmology. </w:t>
              </w:r>
              <w:r>
                <w:rPr>
                  <w:i/>
                  <w:iCs/>
                  <w:noProof/>
                  <w:lang w:val="en-US"/>
                </w:rPr>
                <w:t>Asian Folklore Studies, XXXIX</w:t>
              </w:r>
              <w:r>
                <w:rPr>
                  <w:noProof/>
                  <w:lang w:val="en-US"/>
                </w:rPr>
                <w:t>(1), 1-19.</w:t>
              </w:r>
            </w:p>
            <w:p w14:paraId="0450910F" w14:textId="77777777" w:rsidR="00CE295A" w:rsidRDefault="00CE295A" w:rsidP="00CE295A">
              <w:pPr>
                <w:pStyle w:val="Bibliography"/>
                <w:ind w:left="720" w:hanging="720"/>
                <w:rPr>
                  <w:noProof/>
                  <w:lang w:val="en-US"/>
                </w:rPr>
              </w:pPr>
              <w:r>
                <w:rPr>
                  <w:noProof/>
                  <w:lang w:val="en-US"/>
                </w:rPr>
                <w:t xml:space="preserve">Tsuji, Y. (2006). Mortuary Rituals in Japan: The Hegemony of Tradition and the Motivations of Individuals. </w:t>
              </w:r>
              <w:r>
                <w:rPr>
                  <w:i/>
                  <w:iCs/>
                  <w:noProof/>
                  <w:lang w:val="en-US"/>
                </w:rPr>
                <w:t>Ethos</w:t>
              </w:r>
              <w:r>
                <w:rPr>
                  <w:noProof/>
                  <w:lang w:val="en-US"/>
                </w:rPr>
                <w:t>, 391-431.</w:t>
              </w:r>
            </w:p>
            <w:p w14:paraId="200ED05D" w14:textId="36A7E3F3" w:rsidR="001D0733" w:rsidRPr="00FA18B8" w:rsidRDefault="001D0733" w:rsidP="00CE295A">
              <w:pPr>
                <w:pStyle w:val="Bibliography"/>
                <w:ind w:left="720" w:hanging="720"/>
                <w:rPr>
                  <w:noProof/>
                  <w:lang w:val="en-US"/>
                </w:rPr>
              </w:pPr>
              <w:r w:rsidRPr="005968FE">
                <w:rPr>
                  <w:b/>
                  <w:bCs/>
                  <w:noProof/>
                </w:rPr>
                <w:fldChar w:fldCharType="end"/>
              </w:r>
            </w:p>
          </w:sdtContent>
        </w:sdt>
      </w:sdtContent>
    </w:sdt>
    <w:p w14:paraId="5A0421F8" w14:textId="2E847BBE" w:rsidR="005968FE" w:rsidRPr="005968FE" w:rsidRDefault="005968FE" w:rsidP="005968FE">
      <w:pPr>
        <w:rPr>
          <w:lang w:val="en-US"/>
        </w:rPr>
      </w:pPr>
      <w:r>
        <w:rPr>
          <w:b/>
          <w:bCs/>
          <w:lang w:val="en-US"/>
        </w:rPr>
        <w:t xml:space="preserve">Ancestor-worship in Japan: </w:t>
      </w:r>
      <w:r w:rsidRPr="005968FE">
        <w:rPr>
          <w:lang w:val="en-US"/>
        </w:rPr>
        <w:t>A very short article, briefly outlining a common misconception about traditional Shinto being a religion of ancestor worship, where it is rather a religion where descent is claimed from gods instead of ancestors becoming gods</w:t>
      </w:r>
    </w:p>
    <w:p w14:paraId="23695C6C" w14:textId="78835649" w:rsidR="000108F1" w:rsidRDefault="000108F1" w:rsidP="005968FE">
      <w:pPr>
        <w:rPr>
          <w:lang w:val="en-US"/>
        </w:rPr>
      </w:pPr>
      <w:r>
        <w:rPr>
          <w:b/>
          <w:bCs/>
          <w:lang w:val="en-US"/>
        </w:rPr>
        <w:t xml:space="preserve">Encyclopedia of Social and Cultural Anthropology: </w:t>
      </w:r>
      <w:r>
        <w:rPr>
          <w:lang w:val="en-US"/>
        </w:rPr>
        <w:t>A comprehensive encyclopedia containing a wealth of information relating to definitions, theory overviews and anthropologist profiles</w:t>
      </w:r>
    </w:p>
    <w:p w14:paraId="619239BC" w14:textId="1FDE6ADC" w:rsidR="00124998" w:rsidRPr="00124998" w:rsidRDefault="00124998" w:rsidP="005968FE">
      <w:pPr>
        <w:rPr>
          <w:lang w:val="en-US"/>
        </w:rPr>
      </w:pPr>
      <w:r>
        <w:rPr>
          <w:b/>
          <w:bCs/>
          <w:lang w:val="en-US"/>
        </w:rPr>
        <w:t xml:space="preserve">Funeral Rituals of Buddhist Bangladesh: </w:t>
      </w:r>
      <w:r>
        <w:rPr>
          <w:lang w:val="en-US"/>
        </w:rPr>
        <w:t>A very short script like article which brushes over most aspects of Buddhist funeral practices</w:t>
      </w:r>
    </w:p>
    <w:p w14:paraId="3F380CFC" w14:textId="28B7B636" w:rsidR="000108F1" w:rsidRPr="000108F1" w:rsidRDefault="000108F1" w:rsidP="005968FE">
      <w:r>
        <w:rPr>
          <w:b/>
          <w:bCs/>
          <w:lang w:val="en-US"/>
        </w:rPr>
        <w:t xml:space="preserve">Pietas in Ancestor Worship: </w:t>
      </w:r>
      <w:r>
        <w:rPr>
          <w:lang w:val="en-US"/>
        </w:rPr>
        <w:t xml:space="preserve">Not focusing solely on one group, this article examines the role of filial piety in Tallensi culture, and compares it briefly to Chinese Confucianism and patriarchy in ancient Rome, with a view of </w:t>
      </w:r>
      <w:r w:rsidRPr="000108F1">
        <w:t>analysing</w:t>
      </w:r>
      <w:r>
        <w:rPr>
          <w:lang w:val="en-US"/>
        </w:rPr>
        <w:t xml:space="preserve"> </w:t>
      </w:r>
      <w:r w:rsidR="004B18D6">
        <w:rPr>
          <w:lang w:val="en-US"/>
        </w:rPr>
        <w:t>the relationship between father and son</w:t>
      </w:r>
      <w:r w:rsidR="00124998">
        <w:rPr>
          <w:lang w:val="en-US"/>
        </w:rPr>
        <w:t xml:space="preserve"> and their roles during and after life </w:t>
      </w:r>
    </w:p>
    <w:p w14:paraId="1C22D49C" w14:textId="1EC72C44" w:rsidR="004B18D6" w:rsidRDefault="005968FE" w:rsidP="0056588A">
      <w:pPr>
        <w:rPr>
          <w:lang w:val="en-US"/>
        </w:rPr>
      </w:pPr>
      <w:r>
        <w:rPr>
          <w:b/>
          <w:bCs/>
          <w:lang w:val="en-US"/>
        </w:rPr>
        <w:t xml:space="preserve">Space and Time in Ryukyuan Cosmology: </w:t>
      </w:r>
      <w:r w:rsidRPr="005968FE">
        <w:rPr>
          <w:lang w:val="en-US"/>
        </w:rPr>
        <w:t>This article investigates the cultural practices and significance of rituals on the islands of the Okinawa archipelago</w:t>
      </w:r>
      <w:r w:rsidR="000108F1">
        <w:rPr>
          <w:lang w:val="en-US"/>
        </w:rPr>
        <w:t>, with a focus on long standing traditions</w:t>
      </w:r>
      <w:r w:rsidR="00124998">
        <w:rPr>
          <w:lang w:val="en-US"/>
        </w:rPr>
        <w:t xml:space="preserve"> relating to funerals and seasonal festivals</w:t>
      </w:r>
    </w:p>
    <w:p w14:paraId="59F9DEAE" w14:textId="5DD093D4" w:rsidR="00124998" w:rsidRPr="00124998" w:rsidRDefault="00124998" w:rsidP="0056588A">
      <w:pPr>
        <w:rPr>
          <w:lang w:val="en-US"/>
        </w:rPr>
      </w:pPr>
      <w:r>
        <w:rPr>
          <w:b/>
          <w:bCs/>
          <w:lang w:val="en-US"/>
        </w:rPr>
        <w:t xml:space="preserve">Mortuary Rituals in Japan: </w:t>
      </w:r>
      <w:r>
        <w:rPr>
          <w:lang w:val="en-US"/>
        </w:rPr>
        <w:t xml:space="preserve">A long and detailed journal article investigating traditional funeral practices but then goes on to </w:t>
      </w:r>
      <w:proofErr w:type="spellStart"/>
      <w:r>
        <w:rPr>
          <w:lang w:val="en-US"/>
        </w:rPr>
        <w:t>analyse</w:t>
      </w:r>
      <w:proofErr w:type="spellEnd"/>
      <w:r>
        <w:rPr>
          <w:lang w:val="en-US"/>
        </w:rPr>
        <w:t xml:space="preserve"> the wider social institutions which influence the rituals and traditions</w:t>
      </w:r>
      <w:bookmarkStart w:id="0" w:name="_GoBack"/>
      <w:bookmarkEnd w:id="0"/>
    </w:p>
    <w:sectPr w:rsidR="00124998" w:rsidRPr="001249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A06B2" w14:textId="77777777" w:rsidR="00D30424" w:rsidRDefault="00D30424" w:rsidP="004B18D6">
      <w:pPr>
        <w:spacing w:after="0" w:line="240" w:lineRule="auto"/>
      </w:pPr>
      <w:r>
        <w:separator/>
      </w:r>
    </w:p>
  </w:endnote>
  <w:endnote w:type="continuationSeparator" w:id="0">
    <w:p w14:paraId="58C378F2" w14:textId="77777777" w:rsidR="00D30424" w:rsidRDefault="00D30424" w:rsidP="004B1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eelawadee UI">
    <w:panose1 w:val="020B0502040204020203"/>
    <w:charset w:val="00"/>
    <w:family w:val="swiss"/>
    <w:pitch w:val="variable"/>
    <w:sig w:usb0="A3000003" w:usb1="00000000" w:usb2="00010000" w:usb3="00000000" w:csb0="000101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1FCD0" w14:textId="77777777" w:rsidR="00D30424" w:rsidRDefault="00D30424" w:rsidP="004B18D6">
      <w:pPr>
        <w:spacing w:after="0" w:line="240" w:lineRule="auto"/>
      </w:pPr>
      <w:r>
        <w:separator/>
      </w:r>
    </w:p>
  </w:footnote>
  <w:footnote w:type="continuationSeparator" w:id="0">
    <w:p w14:paraId="59A1F9A8" w14:textId="77777777" w:rsidR="00D30424" w:rsidRDefault="00D30424" w:rsidP="004B1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D724A"/>
    <w:multiLevelType w:val="hybridMultilevel"/>
    <w:tmpl w:val="91D2B7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88A"/>
    <w:rsid w:val="000108F1"/>
    <w:rsid w:val="000B77A9"/>
    <w:rsid w:val="00124998"/>
    <w:rsid w:val="00172794"/>
    <w:rsid w:val="00197801"/>
    <w:rsid w:val="001D0733"/>
    <w:rsid w:val="001E7CD1"/>
    <w:rsid w:val="00222AE1"/>
    <w:rsid w:val="00232DC7"/>
    <w:rsid w:val="002B1F80"/>
    <w:rsid w:val="00374ED1"/>
    <w:rsid w:val="003A7C5D"/>
    <w:rsid w:val="004361BC"/>
    <w:rsid w:val="004960FE"/>
    <w:rsid w:val="004B18D6"/>
    <w:rsid w:val="0056588A"/>
    <w:rsid w:val="00565EA9"/>
    <w:rsid w:val="005968FE"/>
    <w:rsid w:val="005C23C5"/>
    <w:rsid w:val="005C249E"/>
    <w:rsid w:val="00672D6A"/>
    <w:rsid w:val="006E5022"/>
    <w:rsid w:val="00710C93"/>
    <w:rsid w:val="00731F6D"/>
    <w:rsid w:val="00746096"/>
    <w:rsid w:val="008C78AD"/>
    <w:rsid w:val="008D37AF"/>
    <w:rsid w:val="00901978"/>
    <w:rsid w:val="00957A36"/>
    <w:rsid w:val="00992D5D"/>
    <w:rsid w:val="009D741D"/>
    <w:rsid w:val="00A029FD"/>
    <w:rsid w:val="00A25E77"/>
    <w:rsid w:val="00A36B01"/>
    <w:rsid w:val="00A47944"/>
    <w:rsid w:val="00B363C8"/>
    <w:rsid w:val="00B54078"/>
    <w:rsid w:val="00B75225"/>
    <w:rsid w:val="00BA2882"/>
    <w:rsid w:val="00BE6615"/>
    <w:rsid w:val="00C3627B"/>
    <w:rsid w:val="00C565D1"/>
    <w:rsid w:val="00C72E7F"/>
    <w:rsid w:val="00C90CD6"/>
    <w:rsid w:val="00CC2FB5"/>
    <w:rsid w:val="00CE295A"/>
    <w:rsid w:val="00CE4CFA"/>
    <w:rsid w:val="00D30424"/>
    <w:rsid w:val="00D31C60"/>
    <w:rsid w:val="00D95E69"/>
    <w:rsid w:val="00D96241"/>
    <w:rsid w:val="00DC78ED"/>
    <w:rsid w:val="00E3486C"/>
    <w:rsid w:val="00EB2612"/>
    <w:rsid w:val="00ED211A"/>
    <w:rsid w:val="00ED7C70"/>
    <w:rsid w:val="00F01C60"/>
    <w:rsid w:val="00FA1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41F5C"/>
  <w15:chartTrackingRefBased/>
  <w15:docId w15:val="{E87059C0-FA9C-4324-B7C1-977A98CEC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733"/>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658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88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D0733"/>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1D0733"/>
  </w:style>
  <w:style w:type="paragraph" w:styleId="Header">
    <w:name w:val="header"/>
    <w:basedOn w:val="Normal"/>
    <w:link w:val="HeaderChar"/>
    <w:uiPriority w:val="99"/>
    <w:unhideWhenUsed/>
    <w:rsid w:val="004B1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8D6"/>
  </w:style>
  <w:style w:type="paragraph" w:styleId="Footer">
    <w:name w:val="footer"/>
    <w:basedOn w:val="Normal"/>
    <w:link w:val="FooterChar"/>
    <w:uiPriority w:val="99"/>
    <w:unhideWhenUsed/>
    <w:rsid w:val="004B1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8D6"/>
  </w:style>
  <w:style w:type="paragraph" w:styleId="ListParagraph">
    <w:name w:val="List Paragraph"/>
    <w:basedOn w:val="Normal"/>
    <w:uiPriority w:val="34"/>
    <w:qFormat/>
    <w:rsid w:val="004B18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0290">
      <w:bodyDiv w:val="1"/>
      <w:marLeft w:val="0"/>
      <w:marRight w:val="0"/>
      <w:marTop w:val="0"/>
      <w:marBottom w:val="0"/>
      <w:divBdr>
        <w:top w:val="none" w:sz="0" w:space="0" w:color="auto"/>
        <w:left w:val="none" w:sz="0" w:space="0" w:color="auto"/>
        <w:bottom w:val="none" w:sz="0" w:space="0" w:color="auto"/>
        <w:right w:val="none" w:sz="0" w:space="0" w:color="auto"/>
      </w:divBdr>
    </w:div>
    <w:div w:id="13580537">
      <w:bodyDiv w:val="1"/>
      <w:marLeft w:val="0"/>
      <w:marRight w:val="0"/>
      <w:marTop w:val="0"/>
      <w:marBottom w:val="0"/>
      <w:divBdr>
        <w:top w:val="none" w:sz="0" w:space="0" w:color="auto"/>
        <w:left w:val="none" w:sz="0" w:space="0" w:color="auto"/>
        <w:bottom w:val="none" w:sz="0" w:space="0" w:color="auto"/>
        <w:right w:val="none" w:sz="0" w:space="0" w:color="auto"/>
      </w:divBdr>
    </w:div>
    <w:div w:id="21444054">
      <w:bodyDiv w:val="1"/>
      <w:marLeft w:val="0"/>
      <w:marRight w:val="0"/>
      <w:marTop w:val="0"/>
      <w:marBottom w:val="0"/>
      <w:divBdr>
        <w:top w:val="none" w:sz="0" w:space="0" w:color="auto"/>
        <w:left w:val="none" w:sz="0" w:space="0" w:color="auto"/>
        <w:bottom w:val="none" w:sz="0" w:space="0" w:color="auto"/>
        <w:right w:val="none" w:sz="0" w:space="0" w:color="auto"/>
      </w:divBdr>
    </w:div>
    <w:div w:id="24018816">
      <w:bodyDiv w:val="1"/>
      <w:marLeft w:val="0"/>
      <w:marRight w:val="0"/>
      <w:marTop w:val="0"/>
      <w:marBottom w:val="0"/>
      <w:divBdr>
        <w:top w:val="none" w:sz="0" w:space="0" w:color="auto"/>
        <w:left w:val="none" w:sz="0" w:space="0" w:color="auto"/>
        <w:bottom w:val="none" w:sz="0" w:space="0" w:color="auto"/>
        <w:right w:val="none" w:sz="0" w:space="0" w:color="auto"/>
      </w:divBdr>
    </w:div>
    <w:div w:id="28533835">
      <w:bodyDiv w:val="1"/>
      <w:marLeft w:val="0"/>
      <w:marRight w:val="0"/>
      <w:marTop w:val="0"/>
      <w:marBottom w:val="0"/>
      <w:divBdr>
        <w:top w:val="none" w:sz="0" w:space="0" w:color="auto"/>
        <w:left w:val="none" w:sz="0" w:space="0" w:color="auto"/>
        <w:bottom w:val="none" w:sz="0" w:space="0" w:color="auto"/>
        <w:right w:val="none" w:sz="0" w:space="0" w:color="auto"/>
      </w:divBdr>
    </w:div>
    <w:div w:id="57288560">
      <w:bodyDiv w:val="1"/>
      <w:marLeft w:val="0"/>
      <w:marRight w:val="0"/>
      <w:marTop w:val="0"/>
      <w:marBottom w:val="0"/>
      <w:divBdr>
        <w:top w:val="none" w:sz="0" w:space="0" w:color="auto"/>
        <w:left w:val="none" w:sz="0" w:space="0" w:color="auto"/>
        <w:bottom w:val="none" w:sz="0" w:space="0" w:color="auto"/>
        <w:right w:val="none" w:sz="0" w:space="0" w:color="auto"/>
      </w:divBdr>
    </w:div>
    <w:div w:id="57631247">
      <w:bodyDiv w:val="1"/>
      <w:marLeft w:val="0"/>
      <w:marRight w:val="0"/>
      <w:marTop w:val="0"/>
      <w:marBottom w:val="0"/>
      <w:divBdr>
        <w:top w:val="none" w:sz="0" w:space="0" w:color="auto"/>
        <w:left w:val="none" w:sz="0" w:space="0" w:color="auto"/>
        <w:bottom w:val="none" w:sz="0" w:space="0" w:color="auto"/>
        <w:right w:val="none" w:sz="0" w:space="0" w:color="auto"/>
      </w:divBdr>
    </w:div>
    <w:div w:id="72824233">
      <w:bodyDiv w:val="1"/>
      <w:marLeft w:val="0"/>
      <w:marRight w:val="0"/>
      <w:marTop w:val="0"/>
      <w:marBottom w:val="0"/>
      <w:divBdr>
        <w:top w:val="none" w:sz="0" w:space="0" w:color="auto"/>
        <w:left w:val="none" w:sz="0" w:space="0" w:color="auto"/>
        <w:bottom w:val="none" w:sz="0" w:space="0" w:color="auto"/>
        <w:right w:val="none" w:sz="0" w:space="0" w:color="auto"/>
      </w:divBdr>
    </w:div>
    <w:div w:id="110365818">
      <w:bodyDiv w:val="1"/>
      <w:marLeft w:val="0"/>
      <w:marRight w:val="0"/>
      <w:marTop w:val="0"/>
      <w:marBottom w:val="0"/>
      <w:divBdr>
        <w:top w:val="none" w:sz="0" w:space="0" w:color="auto"/>
        <w:left w:val="none" w:sz="0" w:space="0" w:color="auto"/>
        <w:bottom w:val="none" w:sz="0" w:space="0" w:color="auto"/>
        <w:right w:val="none" w:sz="0" w:space="0" w:color="auto"/>
      </w:divBdr>
    </w:div>
    <w:div w:id="115300482">
      <w:bodyDiv w:val="1"/>
      <w:marLeft w:val="0"/>
      <w:marRight w:val="0"/>
      <w:marTop w:val="0"/>
      <w:marBottom w:val="0"/>
      <w:divBdr>
        <w:top w:val="none" w:sz="0" w:space="0" w:color="auto"/>
        <w:left w:val="none" w:sz="0" w:space="0" w:color="auto"/>
        <w:bottom w:val="none" w:sz="0" w:space="0" w:color="auto"/>
        <w:right w:val="none" w:sz="0" w:space="0" w:color="auto"/>
      </w:divBdr>
    </w:div>
    <w:div w:id="116725142">
      <w:bodyDiv w:val="1"/>
      <w:marLeft w:val="0"/>
      <w:marRight w:val="0"/>
      <w:marTop w:val="0"/>
      <w:marBottom w:val="0"/>
      <w:divBdr>
        <w:top w:val="none" w:sz="0" w:space="0" w:color="auto"/>
        <w:left w:val="none" w:sz="0" w:space="0" w:color="auto"/>
        <w:bottom w:val="none" w:sz="0" w:space="0" w:color="auto"/>
        <w:right w:val="none" w:sz="0" w:space="0" w:color="auto"/>
      </w:divBdr>
    </w:div>
    <w:div w:id="145556121">
      <w:bodyDiv w:val="1"/>
      <w:marLeft w:val="0"/>
      <w:marRight w:val="0"/>
      <w:marTop w:val="0"/>
      <w:marBottom w:val="0"/>
      <w:divBdr>
        <w:top w:val="none" w:sz="0" w:space="0" w:color="auto"/>
        <w:left w:val="none" w:sz="0" w:space="0" w:color="auto"/>
        <w:bottom w:val="none" w:sz="0" w:space="0" w:color="auto"/>
        <w:right w:val="none" w:sz="0" w:space="0" w:color="auto"/>
      </w:divBdr>
    </w:div>
    <w:div w:id="146240301">
      <w:bodyDiv w:val="1"/>
      <w:marLeft w:val="0"/>
      <w:marRight w:val="0"/>
      <w:marTop w:val="0"/>
      <w:marBottom w:val="0"/>
      <w:divBdr>
        <w:top w:val="none" w:sz="0" w:space="0" w:color="auto"/>
        <w:left w:val="none" w:sz="0" w:space="0" w:color="auto"/>
        <w:bottom w:val="none" w:sz="0" w:space="0" w:color="auto"/>
        <w:right w:val="none" w:sz="0" w:space="0" w:color="auto"/>
      </w:divBdr>
    </w:div>
    <w:div w:id="147791049">
      <w:bodyDiv w:val="1"/>
      <w:marLeft w:val="0"/>
      <w:marRight w:val="0"/>
      <w:marTop w:val="0"/>
      <w:marBottom w:val="0"/>
      <w:divBdr>
        <w:top w:val="none" w:sz="0" w:space="0" w:color="auto"/>
        <w:left w:val="none" w:sz="0" w:space="0" w:color="auto"/>
        <w:bottom w:val="none" w:sz="0" w:space="0" w:color="auto"/>
        <w:right w:val="none" w:sz="0" w:space="0" w:color="auto"/>
      </w:divBdr>
    </w:div>
    <w:div w:id="149445936">
      <w:bodyDiv w:val="1"/>
      <w:marLeft w:val="0"/>
      <w:marRight w:val="0"/>
      <w:marTop w:val="0"/>
      <w:marBottom w:val="0"/>
      <w:divBdr>
        <w:top w:val="none" w:sz="0" w:space="0" w:color="auto"/>
        <w:left w:val="none" w:sz="0" w:space="0" w:color="auto"/>
        <w:bottom w:val="none" w:sz="0" w:space="0" w:color="auto"/>
        <w:right w:val="none" w:sz="0" w:space="0" w:color="auto"/>
      </w:divBdr>
    </w:div>
    <w:div w:id="180365902">
      <w:bodyDiv w:val="1"/>
      <w:marLeft w:val="0"/>
      <w:marRight w:val="0"/>
      <w:marTop w:val="0"/>
      <w:marBottom w:val="0"/>
      <w:divBdr>
        <w:top w:val="none" w:sz="0" w:space="0" w:color="auto"/>
        <w:left w:val="none" w:sz="0" w:space="0" w:color="auto"/>
        <w:bottom w:val="none" w:sz="0" w:space="0" w:color="auto"/>
        <w:right w:val="none" w:sz="0" w:space="0" w:color="auto"/>
      </w:divBdr>
    </w:div>
    <w:div w:id="186723206">
      <w:bodyDiv w:val="1"/>
      <w:marLeft w:val="0"/>
      <w:marRight w:val="0"/>
      <w:marTop w:val="0"/>
      <w:marBottom w:val="0"/>
      <w:divBdr>
        <w:top w:val="none" w:sz="0" w:space="0" w:color="auto"/>
        <w:left w:val="none" w:sz="0" w:space="0" w:color="auto"/>
        <w:bottom w:val="none" w:sz="0" w:space="0" w:color="auto"/>
        <w:right w:val="none" w:sz="0" w:space="0" w:color="auto"/>
      </w:divBdr>
    </w:div>
    <w:div w:id="188567855">
      <w:bodyDiv w:val="1"/>
      <w:marLeft w:val="0"/>
      <w:marRight w:val="0"/>
      <w:marTop w:val="0"/>
      <w:marBottom w:val="0"/>
      <w:divBdr>
        <w:top w:val="none" w:sz="0" w:space="0" w:color="auto"/>
        <w:left w:val="none" w:sz="0" w:space="0" w:color="auto"/>
        <w:bottom w:val="none" w:sz="0" w:space="0" w:color="auto"/>
        <w:right w:val="none" w:sz="0" w:space="0" w:color="auto"/>
      </w:divBdr>
    </w:div>
    <w:div w:id="205260457">
      <w:bodyDiv w:val="1"/>
      <w:marLeft w:val="0"/>
      <w:marRight w:val="0"/>
      <w:marTop w:val="0"/>
      <w:marBottom w:val="0"/>
      <w:divBdr>
        <w:top w:val="none" w:sz="0" w:space="0" w:color="auto"/>
        <w:left w:val="none" w:sz="0" w:space="0" w:color="auto"/>
        <w:bottom w:val="none" w:sz="0" w:space="0" w:color="auto"/>
        <w:right w:val="none" w:sz="0" w:space="0" w:color="auto"/>
      </w:divBdr>
    </w:div>
    <w:div w:id="222982240">
      <w:bodyDiv w:val="1"/>
      <w:marLeft w:val="0"/>
      <w:marRight w:val="0"/>
      <w:marTop w:val="0"/>
      <w:marBottom w:val="0"/>
      <w:divBdr>
        <w:top w:val="none" w:sz="0" w:space="0" w:color="auto"/>
        <w:left w:val="none" w:sz="0" w:space="0" w:color="auto"/>
        <w:bottom w:val="none" w:sz="0" w:space="0" w:color="auto"/>
        <w:right w:val="none" w:sz="0" w:space="0" w:color="auto"/>
      </w:divBdr>
    </w:div>
    <w:div w:id="226503335">
      <w:bodyDiv w:val="1"/>
      <w:marLeft w:val="0"/>
      <w:marRight w:val="0"/>
      <w:marTop w:val="0"/>
      <w:marBottom w:val="0"/>
      <w:divBdr>
        <w:top w:val="none" w:sz="0" w:space="0" w:color="auto"/>
        <w:left w:val="none" w:sz="0" w:space="0" w:color="auto"/>
        <w:bottom w:val="none" w:sz="0" w:space="0" w:color="auto"/>
        <w:right w:val="none" w:sz="0" w:space="0" w:color="auto"/>
      </w:divBdr>
    </w:div>
    <w:div w:id="229117383">
      <w:bodyDiv w:val="1"/>
      <w:marLeft w:val="0"/>
      <w:marRight w:val="0"/>
      <w:marTop w:val="0"/>
      <w:marBottom w:val="0"/>
      <w:divBdr>
        <w:top w:val="none" w:sz="0" w:space="0" w:color="auto"/>
        <w:left w:val="none" w:sz="0" w:space="0" w:color="auto"/>
        <w:bottom w:val="none" w:sz="0" w:space="0" w:color="auto"/>
        <w:right w:val="none" w:sz="0" w:space="0" w:color="auto"/>
      </w:divBdr>
    </w:div>
    <w:div w:id="237175155">
      <w:bodyDiv w:val="1"/>
      <w:marLeft w:val="0"/>
      <w:marRight w:val="0"/>
      <w:marTop w:val="0"/>
      <w:marBottom w:val="0"/>
      <w:divBdr>
        <w:top w:val="none" w:sz="0" w:space="0" w:color="auto"/>
        <w:left w:val="none" w:sz="0" w:space="0" w:color="auto"/>
        <w:bottom w:val="none" w:sz="0" w:space="0" w:color="auto"/>
        <w:right w:val="none" w:sz="0" w:space="0" w:color="auto"/>
      </w:divBdr>
    </w:div>
    <w:div w:id="243682459">
      <w:bodyDiv w:val="1"/>
      <w:marLeft w:val="0"/>
      <w:marRight w:val="0"/>
      <w:marTop w:val="0"/>
      <w:marBottom w:val="0"/>
      <w:divBdr>
        <w:top w:val="none" w:sz="0" w:space="0" w:color="auto"/>
        <w:left w:val="none" w:sz="0" w:space="0" w:color="auto"/>
        <w:bottom w:val="none" w:sz="0" w:space="0" w:color="auto"/>
        <w:right w:val="none" w:sz="0" w:space="0" w:color="auto"/>
      </w:divBdr>
    </w:div>
    <w:div w:id="278033206">
      <w:bodyDiv w:val="1"/>
      <w:marLeft w:val="0"/>
      <w:marRight w:val="0"/>
      <w:marTop w:val="0"/>
      <w:marBottom w:val="0"/>
      <w:divBdr>
        <w:top w:val="none" w:sz="0" w:space="0" w:color="auto"/>
        <w:left w:val="none" w:sz="0" w:space="0" w:color="auto"/>
        <w:bottom w:val="none" w:sz="0" w:space="0" w:color="auto"/>
        <w:right w:val="none" w:sz="0" w:space="0" w:color="auto"/>
      </w:divBdr>
    </w:div>
    <w:div w:id="281234556">
      <w:bodyDiv w:val="1"/>
      <w:marLeft w:val="0"/>
      <w:marRight w:val="0"/>
      <w:marTop w:val="0"/>
      <w:marBottom w:val="0"/>
      <w:divBdr>
        <w:top w:val="none" w:sz="0" w:space="0" w:color="auto"/>
        <w:left w:val="none" w:sz="0" w:space="0" w:color="auto"/>
        <w:bottom w:val="none" w:sz="0" w:space="0" w:color="auto"/>
        <w:right w:val="none" w:sz="0" w:space="0" w:color="auto"/>
      </w:divBdr>
    </w:div>
    <w:div w:id="286277351">
      <w:bodyDiv w:val="1"/>
      <w:marLeft w:val="0"/>
      <w:marRight w:val="0"/>
      <w:marTop w:val="0"/>
      <w:marBottom w:val="0"/>
      <w:divBdr>
        <w:top w:val="none" w:sz="0" w:space="0" w:color="auto"/>
        <w:left w:val="none" w:sz="0" w:space="0" w:color="auto"/>
        <w:bottom w:val="none" w:sz="0" w:space="0" w:color="auto"/>
        <w:right w:val="none" w:sz="0" w:space="0" w:color="auto"/>
      </w:divBdr>
    </w:div>
    <w:div w:id="292711220">
      <w:bodyDiv w:val="1"/>
      <w:marLeft w:val="0"/>
      <w:marRight w:val="0"/>
      <w:marTop w:val="0"/>
      <w:marBottom w:val="0"/>
      <w:divBdr>
        <w:top w:val="none" w:sz="0" w:space="0" w:color="auto"/>
        <w:left w:val="none" w:sz="0" w:space="0" w:color="auto"/>
        <w:bottom w:val="none" w:sz="0" w:space="0" w:color="auto"/>
        <w:right w:val="none" w:sz="0" w:space="0" w:color="auto"/>
      </w:divBdr>
    </w:div>
    <w:div w:id="311057463">
      <w:bodyDiv w:val="1"/>
      <w:marLeft w:val="0"/>
      <w:marRight w:val="0"/>
      <w:marTop w:val="0"/>
      <w:marBottom w:val="0"/>
      <w:divBdr>
        <w:top w:val="none" w:sz="0" w:space="0" w:color="auto"/>
        <w:left w:val="none" w:sz="0" w:space="0" w:color="auto"/>
        <w:bottom w:val="none" w:sz="0" w:space="0" w:color="auto"/>
        <w:right w:val="none" w:sz="0" w:space="0" w:color="auto"/>
      </w:divBdr>
    </w:div>
    <w:div w:id="327490514">
      <w:bodyDiv w:val="1"/>
      <w:marLeft w:val="0"/>
      <w:marRight w:val="0"/>
      <w:marTop w:val="0"/>
      <w:marBottom w:val="0"/>
      <w:divBdr>
        <w:top w:val="none" w:sz="0" w:space="0" w:color="auto"/>
        <w:left w:val="none" w:sz="0" w:space="0" w:color="auto"/>
        <w:bottom w:val="none" w:sz="0" w:space="0" w:color="auto"/>
        <w:right w:val="none" w:sz="0" w:space="0" w:color="auto"/>
      </w:divBdr>
    </w:div>
    <w:div w:id="350686596">
      <w:bodyDiv w:val="1"/>
      <w:marLeft w:val="0"/>
      <w:marRight w:val="0"/>
      <w:marTop w:val="0"/>
      <w:marBottom w:val="0"/>
      <w:divBdr>
        <w:top w:val="none" w:sz="0" w:space="0" w:color="auto"/>
        <w:left w:val="none" w:sz="0" w:space="0" w:color="auto"/>
        <w:bottom w:val="none" w:sz="0" w:space="0" w:color="auto"/>
        <w:right w:val="none" w:sz="0" w:space="0" w:color="auto"/>
      </w:divBdr>
    </w:div>
    <w:div w:id="414089124">
      <w:bodyDiv w:val="1"/>
      <w:marLeft w:val="0"/>
      <w:marRight w:val="0"/>
      <w:marTop w:val="0"/>
      <w:marBottom w:val="0"/>
      <w:divBdr>
        <w:top w:val="none" w:sz="0" w:space="0" w:color="auto"/>
        <w:left w:val="none" w:sz="0" w:space="0" w:color="auto"/>
        <w:bottom w:val="none" w:sz="0" w:space="0" w:color="auto"/>
        <w:right w:val="none" w:sz="0" w:space="0" w:color="auto"/>
      </w:divBdr>
    </w:div>
    <w:div w:id="427240549">
      <w:bodyDiv w:val="1"/>
      <w:marLeft w:val="0"/>
      <w:marRight w:val="0"/>
      <w:marTop w:val="0"/>
      <w:marBottom w:val="0"/>
      <w:divBdr>
        <w:top w:val="none" w:sz="0" w:space="0" w:color="auto"/>
        <w:left w:val="none" w:sz="0" w:space="0" w:color="auto"/>
        <w:bottom w:val="none" w:sz="0" w:space="0" w:color="auto"/>
        <w:right w:val="none" w:sz="0" w:space="0" w:color="auto"/>
      </w:divBdr>
    </w:div>
    <w:div w:id="435640715">
      <w:bodyDiv w:val="1"/>
      <w:marLeft w:val="0"/>
      <w:marRight w:val="0"/>
      <w:marTop w:val="0"/>
      <w:marBottom w:val="0"/>
      <w:divBdr>
        <w:top w:val="none" w:sz="0" w:space="0" w:color="auto"/>
        <w:left w:val="none" w:sz="0" w:space="0" w:color="auto"/>
        <w:bottom w:val="none" w:sz="0" w:space="0" w:color="auto"/>
        <w:right w:val="none" w:sz="0" w:space="0" w:color="auto"/>
      </w:divBdr>
    </w:div>
    <w:div w:id="503478618">
      <w:bodyDiv w:val="1"/>
      <w:marLeft w:val="0"/>
      <w:marRight w:val="0"/>
      <w:marTop w:val="0"/>
      <w:marBottom w:val="0"/>
      <w:divBdr>
        <w:top w:val="none" w:sz="0" w:space="0" w:color="auto"/>
        <w:left w:val="none" w:sz="0" w:space="0" w:color="auto"/>
        <w:bottom w:val="none" w:sz="0" w:space="0" w:color="auto"/>
        <w:right w:val="none" w:sz="0" w:space="0" w:color="auto"/>
      </w:divBdr>
    </w:div>
    <w:div w:id="539821608">
      <w:bodyDiv w:val="1"/>
      <w:marLeft w:val="0"/>
      <w:marRight w:val="0"/>
      <w:marTop w:val="0"/>
      <w:marBottom w:val="0"/>
      <w:divBdr>
        <w:top w:val="none" w:sz="0" w:space="0" w:color="auto"/>
        <w:left w:val="none" w:sz="0" w:space="0" w:color="auto"/>
        <w:bottom w:val="none" w:sz="0" w:space="0" w:color="auto"/>
        <w:right w:val="none" w:sz="0" w:space="0" w:color="auto"/>
      </w:divBdr>
    </w:div>
    <w:div w:id="559100604">
      <w:bodyDiv w:val="1"/>
      <w:marLeft w:val="0"/>
      <w:marRight w:val="0"/>
      <w:marTop w:val="0"/>
      <w:marBottom w:val="0"/>
      <w:divBdr>
        <w:top w:val="none" w:sz="0" w:space="0" w:color="auto"/>
        <w:left w:val="none" w:sz="0" w:space="0" w:color="auto"/>
        <w:bottom w:val="none" w:sz="0" w:space="0" w:color="auto"/>
        <w:right w:val="none" w:sz="0" w:space="0" w:color="auto"/>
      </w:divBdr>
    </w:div>
    <w:div w:id="581986752">
      <w:bodyDiv w:val="1"/>
      <w:marLeft w:val="0"/>
      <w:marRight w:val="0"/>
      <w:marTop w:val="0"/>
      <w:marBottom w:val="0"/>
      <w:divBdr>
        <w:top w:val="none" w:sz="0" w:space="0" w:color="auto"/>
        <w:left w:val="none" w:sz="0" w:space="0" w:color="auto"/>
        <w:bottom w:val="none" w:sz="0" w:space="0" w:color="auto"/>
        <w:right w:val="none" w:sz="0" w:space="0" w:color="auto"/>
      </w:divBdr>
    </w:div>
    <w:div w:id="590553224">
      <w:bodyDiv w:val="1"/>
      <w:marLeft w:val="0"/>
      <w:marRight w:val="0"/>
      <w:marTop w:val="0"/>
      <w:marBottom w:val="0"/>
      <w:divBdr>
        <w:top w:val="none" w:sz="0" w:space="0" w:color="auto"/>
        <w:left w:val="none" w:sz="0" w:space="0" w:color="auto"/>
        <w:bottom w:val="none" w:sz="0" w:space="0" w:color="auto"/>
        <w:right w:val="none" w:sz="0" w:space="0" w:color="auto"/>
      </w:divBdr>
    </w:div>
    <w:div w:id="606549347">
      <w:bodyDiv w:val="1"/>
      <w:marLeft w:val="0"/>
      <w:marRight w:val="0"/>
      <w:marTop w:val="0"/>
      <w:marBottom w:val="0"/>
      <w:divBdr>
        <w:top w:val="none" w:sz="0" w:space="0" w:color="auto"/>
        <w:left w:val="none" w:sz="0" w:space="0" w:color="auto"/>
        <w:bottom w:val="none" w:sz="0" w:space="0" w:color="auto"/>
        <w:right w:val="none" w:sz="0" w:space="0" w:color="auto"/>
      </w:divBdr>
    </w:div>
    <w:div w:id="617956344">
      <w:bodyDiv w:val="1"/>
      <w:marLeft w:val="0"/>
      <w:marRight w:val="0"/>
      <w:marTop w:val="0"/>
      <w:marBottom w:val="0"/>
      <w:divBdr>
        <w:top w:val="none" w:sz="0" w:space="0" w:color="auto"/>
        <w:left w:val="none" w:sz="0" w:space="0" w:color="auto"/>
        <w:bottom w:val="none" w:sz="0" w:space="0" w:color="auto"/>
        <w:right w:val="none" w:sz="0" w:space="0" w:color="auto"/>
      </w:divBdr>
    </w:div>
    <w:div w:id="653487059">
      <w:bodyDiv w:val="1"/>
      <w:marLeft w:val="0"/>
      <w:marRight w:val="0"/>
      <w:marTop w:val="0"/>
      <w:marBottom w:val="0"/>
      <w:divBdr>
        <w:top w:val="none" w:sz="0" w:space="0" w:color="auto"/>
        <w:left w:val="none" w:sz="0" w:space="0" w:color="auto"/>
        <w:bottom w:val="none" w:sz="0" w:space="0" w:color="auto"/>
        <w:right w:val="none" w:sz="0" w:space="0" w:color="auto"/>
      </w:divBdr>
    </w:div>
    <w:div w:id="678234823">
      <w:bodyDiv w:val="1"/>
      <w:marLeft w:val="0"/>
      <w:marRight w:val="0"/>
      <w:marTop w:val="0"/>
      <w:marBottom w:val="0"/>
      <w:divBdr>
        <w:top w:val="none" w:sz="0" w:space="0" w:color="auto"/>
        <w:left w:val="none" w:sz="0" w:space="0" w:color="auto"/>
        <w:bottom w:val="none" w:sz="0" w:space="0" w:color="auto"/>
        <w:right w:val="none" w:sz="0" w:space="0" w:color="auto"/>
      </w:divBdr>
    </w:div>
    <w:div w:id="694114295">
      <w:bodyDiv w:val="1"/>
      <w:marLeft w:val="0"/>
      <w:marRight w:val="0"/>
      <w:marTop w:val="0"/>
      <w:marBottom w:val="0"/>
      <w:divBdr>
        <w:top w:val="none" w:sz="0" w:space="0" w:color="auto"/>
        <w:left w:val="none" w:sz="0" w:space="0" w:color="auto"/>
        <w:bottom w:val="none" w:sz="0" w:space="0" w:color="auto"/>
        <w:right w:val="none" w:sz="0" w:space="0" w:color="auto"/>
      </w:divBdr>
    </w:div>
    <w:div w:id="695159746">
      <w:bodyDiv w:val="1"/>
      <w:marLeft w:val="0"/>
      <w:marRight w:val="0"/>
      <w:marTop w:val="0"/>
      <w:marBottom w:val="0"/>
      <w:divBdr>
        <w:top w:val="none" w:sz="0" w:space="0" w:color="auto"/>
        <w:left w:val="none" w:sz="0" w:space="0" w:color="auto"/>
        <w:bottom w:val="none" w:sz="0" w:space="0" w:color="auto"/>
        <w:right w:val="none" w:sz="0" w:space="0" w:color="auto"/>
      </w:divBdr>
    </w:div>
    <w:div w:id="695277046">
      <w:bodyDiv w:val="1"/>
      <w:marLeft w:val="0"/>
      <w:marRight w:val="0"/>
      <w:marTop w:val="0"/>
      <w:marBottom w:val="0"/>
      <w:divBdr>
        <w:top w:val="none" w:sz="0" w:space="0" w:color="auto"/>
        <w:left w:val="none" w:sz="0" w:space="0" w:color="auto"/>
        <w:bottom w:val="none" w:sz="0" w:space="0" w:color="auto"/>
        <w:right w:val="none" w:sz="0" w:space="0" w:color="auto"/>
      </w:divBdr>
    </w:div>
    <w:div w:id="717360120">
      <w:bodyDiv w:val="1"/>
      <w:marLeft w:val="0"/>
      <w:marRight w:val="0"/>
      <w:marTop w:val="0"/>
      <w:marBottom w:val="0"/>
      <w:divBdr>
        <w:top w:val="none" w:sz="0" w:space="0" w:color="auto"/>
        <w:left w:val="none" w:sz="0" w:space="0" w:color="auto"/>
        <w:bottom w:val="none" w:sz="0" w:space="0" w:color="auto"/>
        <w:right w:val="none" w:sz="0" w:space="0" w:color="auto"/>
      </w:divBdr>
    </w:div>
    <w:div w:id="723598209">
      <w:bodyDiv w:val="1"/>
      <w:marLeft w:val="0"/>
      <w:marRight w:val="0"/>
      <w:marTop w:val="0"/>
      <w:marBottom w:val="0"/>
      <w:divBdr>
        <w:top w:val="none" w:sz="0" w:space="0" w:color="auto"/>
        <w:left w:val="none" w:sz="0" w:space="0" w:color="auto"/>
        <w:bottom w:val="none" w:sz="0" w:space="0" w:color="auto"/>
        <w:right w:val="none" w:sz="0" w:space="0" w:color="auto"/>
      </w:divBdr>
    </w:div>
    <w:div w:id="742138560">
      <w:bodyDiv w:val="1"/>
      <w:marLeft w:val="0"/>
      <w:marRight w:val="0"/>
      <w:marTop w:val="0"/>
      <w:marBottom w:val="0"/>
      <w:divBdr>
        <w:top w:val="none" w:sz="0" w:space="0" w:color="auto"/>
        <w:left w:val="none" w:sz="0" w:space="0" w:color="auto"/>
        <w:bottom w:val="none" w:sz="0" w:space="0" w:color="auto"/>
        <w:right w:val="none" w:sz="0" w:space="0" w:color="auto"/>
      </w:divBdr>
    </w:div>
    <w:div w:id="751894962">
      <w:bodyDiv w:val="1"/>
      <w:marLeft w:val="0"/>
      <w:marRight w:val="0"/>
      <w:marTop w:val="0"/>
      <w:marBottom w:val="0"/>
      <w:divBdr>
        <w:top w:val="none" w:sz="0" w:space="0" w:color="auto"/>
        <w:left w:val="none" w:sz="0" w:space="0" w:color="auto"/>
        <w:bottom w:val="none" w:sz="0" w:space="0" w:color="auto"/>
        <w:right w:val="none" w:sz="0" w:space="0" w:color="auto"/>
      </w:divBdr>
    </w:div>
    <w:div w:id="755833376">
      <w:bodyDiv w:val="1"/>
      <w:marLeft w:val="0"/>
      <w:marRight w:val="0"/>
      <w:marTop w:val="0"/>
      <w:marBottom w:val="0"/>
      <w:divBdr>
        <w:top w:val="none" w:sz="0" w:space="0" w:color="auto"/>
        <w:left w:val="none" w:sz="0" w:space="0" w:color="auto"/>
        <w:bottom w:val="none" w:sz="0" w:space="0" w:color="auto"/>
        <w:right w:val="none" w:sz="0" w:space="0" w:color="auto"/>
      </w:divBdr>
    </w:div>
    <w:div w:id="798840975">
      <w:bodyDiv w:val="1"/>
      <w:marLeft w:val="0"/>
      <w:marRight w:val="0"/>
      <w:marTop w:val="0"/>
      <w:marBottom w:val="0"/>
      <w:divBdr>
        <w:top w:val="none" w:sz="0" w:space="0" w:color="auto"/>
        <w:left w:val="none" w:sz="0" w:space="0" w:color="auto"/>
        <w:bottom w:val="none" w:sz="0" w:space="0" w:color="auto"/>
        <w:right w:val="none" w:sz="0" w:space="0" w:color="auto"/>
      </w:divBdr>
    </w:div>
    <w:div w:id="805195672">
      <w:bodyDiv w:val="1"/>
      <w:marLeft w:val="0"/>
      <w:marRight w:val="0"/>
      <w:marTop w:val="0"/>
      <w:marBottom w:val="0"/>
      <w:divBdr>
        <w:top w:val="none" w:sz="0" w:space="0" w:color="auto"/>
        <w:left w:val="none" w:sz="0" w:space="0" w:color="auto"/>
        <w:bottom w:val="none" w:sz="0" w:space="0" w:color="auto"/>
        <w:right w:val="none" w:sz="0" w:space="0" w:color="auto"/>
      </w:divBdr>
    </w:div>
    <w:div w:id="835269433">
      <w:bodyDiv w:val="1"/>
      <w:marLeft w:val="0"/>
      <w:marRight w:val="0"/>
      <w:marTop w:val="0"/>
      <w:marBottom w:val="0"/>
      <w:divBdr>
        <w:top w:val="none" w:sz="0" w:space="0" w:color="auto"/>
        <w:left w:val="none" w:sz="0" w:space="0" w:color="auto"/>
        <w:bottom w:val="none" w:sz="0" w:space="0" w:color="auto"/>
        <w:right w:val="none" w:sz="0" w:space="0" w:color="auto"/>
      </w:divBdr>
    </w:div>
    <w:div w:id="844978018">
      <w:bodyDiv w:val="1"/>
      <w:marLeft w:val="0"/>
      <w:marRight w:val="0"/>
      <w:marTop w:val="0"/>
      <w:marBottom w:val="0"/>
      <w:divBdr>
        <w:top w:val="none" w:sz="0" w:space="0" w:color="auto"/>
        <w:left w:val="none" w:sz="0" w:space="0" w:color="auto"/>
        <w:bottom w:val="none" w:sz="0" w:space="0" w:color="auto"/>
        <w:right w:val="none" w:sz="0" w:space="0" w:color="auto"/>
      </w:divBdr>
    </w:div>
    <w:div w:id="865026061">
      <w:bodyDiv w:val="1"/>
      <w:marLeft w:val="0"/>
      <w:marRight w:val="0"/>
      <w:marTop w:val="0"/>
      <w:marBottom w:val="0"/>
      <w:divBdr>
        <w:top w:val="none" w:sz="0" w:space="0" w:color="auto"/>
        <w:left w:val="none" w:sz="0" w:space="0" w:color="auto"/>
        <w:bottom w:val="none" w:sz="0" w:space="0" w:color="auto"/>
        <w:right w:val="none" w:sz="0" w:space="0" w:color="auto"/>
      </w:divBdr>
    </w:div>
    <w:div w:id="907763743">
      <w:bodyDiv w:val="1"/>
      <w:marLeft w:val="0"/>
      <w:marRight w:val="0"/>
      <w:marTop w:val="0"/>
      <w:marBottom w:val="0"/>
      <w:divBdr>
        <w:top w:val="none" w:sz="0" w:space="0" w:color="auto"/>
        <w:left w:val="none" w:sz="0" w:space="0" w:color="auto"/>
        <w:bottom w:val="none" w:sz="0" w:space="0" w:color="auto"/>
        <w:right w:val="none" w:sz="0" w:space="0" w:color="auto"/>
      </w:divBdr>
    </w:div>
    <w:div w:id="920987185">
      <w:bodyDiv w:val="1"/>
      <w:marLeft w:val="0"/>
      <w:marRight w:val="0"/>
      <w:marTop w:val="0"/>
      <w:marBottom w:val="0"/>
      <w:divBdr>
        <w:top w:val="none" w:sz="0" w:space="0" w:color="auto"/>
        <w:left w:val="none" w:sz="0" w:space="0" w:color="auto"/>
        <w:bottom w:val="none" w:sz="0" w:space="0" w:color="auto"/>
        <w:right w:val="none" w:sz="0" w:space="0" w:color="auto"/>
      </w:divBdr>
    </w:div>
    <w:div w:id="931209642">
      <w:bodyDiv w:val="1"/>
      <w:marLeft w:val="0"/>
      <w:marRight w:val="0"/>
      <w:marTop w:val="0"/>
      <w:marBottom w:val="0"/>
      <w:divBdr>
        <w:top w:val="none" w:sz="0" w:space="0" w:color="auto"/>
        <w:left w:val="none" w:sz="0" w:space="0" w:color="auto"/>
        <w:bottom w:val="none" w:sz="0" w:space="0" w:color="auto"/>
        <w:right w:val="none" w:sz="0" w:space="0" w:color="auto"/>
      </w:divBdr>
    </w:div>
    <w:div w:id="944196926">
      <w:bodyDiv w:val="1"/>
      <w:marLeft w:val="0"/>
      <w:marRight w:val="0"/>
      <w:marTop w:val="0"/>
      <w:marBottom w:val="0"/>
      <w:divBdr>
        <w:top w:val="none" w:sz="0" w:space="0" w:color="auto"/>
        <w:left w:val="none" w:sz="0" w:space="0" w:color="auto"/>
        <w:bottom w:val="none" w:sz="0" w:space="0" w:color="auto"/>
        <w:right w:val="none" w:sz="0" w:space="0" w:color="auto"/>
      </w:divBdr>
    </w:div>
    <w:div w:id="993921264">
      <w:bodyDiv w:val="1"/>
      <w:marLeft w:val="0"/>
      <w:marRight w:val="0"/>
      <w:marTop w:val="0"/>
      <w:marBottom w:val="0"/>
      <w:divBdr>
        <w:top w:val="none" w:sz="0" w:space="0" w:color="auto"/>
        <w:left w:val="none" w:sz="0" w:space="0" w:color="auto"/>
        <w:bottom w:val="none" w:sz="0" w:space="0" w:color="auto"/>
        <w:right w:val="none" w:sz="0" w:space="0" w:color="auto"/>
      </w:divBdr>
    </w:div>
    <w:div w:id="1040086374">
      <w:bodyDiv w:val="1"/>
      <w:marLeft w:val="0"/>
      <w:marRight w:val="0"/>
      <w:marTop w:val="0"/>
      <w:marBottom w:val="0"/>
      <w:divBdr>
        <w:top w:val="none" w:sz="0" w:space="0" w:color="auto"/>
        <w:left w:val="none" w:sz="0" w:space="0" w:color="auto"/>
        <w:bottom w:val="none" w:sz="0" w:space="0" w:color="auto"/>
        <w:right w:val="none" w:sz="0" w:space="0" w:color="auto"/>
      </w:divBdr>
    </w:div>
    <w:div w:id="1087456635">
      <w:bodyDiv w:val="1"/>
      <w:marLeft w:val="0"/>
      <w:marRight w:val="0"/>
      <w:marTop w:val="0"/>
      <w:marBottom w:val="0"/>
      <w:divBdr>
        <w:top w:val="none" w:sz="0" w:space="0" w:color="auto"/>
        <w:left w:val="none" w:sz="0" w:space="0" w:color="auto"/>
        <w:bottom w:val="none" w:sz="0" w:space="0" w:color="auto"/>
        <w:right w:val="none" w:sz="0" w:space="0" w:color="auto"/>
      </w:divBdr>
    </w:div>
    <w:div w:id="1127118613">
      <w:bodyDiv w:val="1"/>
      <w:marLeft w:val="0"/>
      <w:marRight w:val="0"/>
      <w:marTop w:val="0"/>
      <w:marBottom w:val="0"/>
      <w:divBdr>
        <w:top w:val="none" w:sz="0" w:space="0" w:color="auto"/>
        <w:left w:val="none" w:sz="0" w:space="0" w:color="auto"/>
        <w:bottom w:val="none" w:sz="0" w:space="0" w:color="auto"/>
        <w:right w:val="none" w:sz="0" w:space="0" w:color="auto"/>
      </w:divBdr>
    </w:div>
    <w:div w:id="1137340812">
      <w:bodyDiv w:val="1"/>
      <w:marLeft w:val="0"/>
      <w:marRight w:val="0"/>
      <w:marTop w:val="0"/>
      <w:marBottom w:val="0"/>
      <w:divBdr>
        <w:top w:val="none" w:sz="0" w:space="0" w:color="auto"/>
        <w:left w:val="none" w:sz="0" w:space="0" w:color="auto"/>
        <w:bottom w:val="none" w:sz="0" w:space="0" w:color="auto"/>
        <w:right w:val="none" w:sz="0" w:space="0" w:color="auto"/>
      </w:divBdr>
    </w:div>
    <w:div w:id="1146318577">
      <w:bodyDiv w:val="1"/>
      <w:marLeft w:val="0"/>
      <w:marRight w:val="0"/>
      <w:marTop w:val="0"/>
      <w:marBottom w:val="0"/>
      <w:divBdr>
        <w:top w:val="none" w:sz="0" w:space="0" w:color="auto"/>
        <w:left w:val="none" w:sz="0" w:space="0" w:color="auto"/>
        <w:bottom w:val="none" w:sz="0" w:space="0" w:color="auto"/>
        <w:right w:val="none" w:sz="0" w:space="0" w:color="auto"/>
      </w:divBdr>
    </w:div>
    <w:div w:id="1164737267">
      <w:bodyDiv w:val="1"/>
      <w:marLeft w:val="0"/>
      <w:marRight w:val="0"/>
      <w:marTop w:val="0"/>
      <w:marBottom w:val="0"/>
      <w:divBdr>
        <w:top w:val="none" w:sz="0" w:space="0" w:color="auto"/>
        <w:left w:val="none" w:sz="0" w:space="0" w:color="auto"/>
        <w:bottom w:val="none" w:sz="0" w:space="0" w:color="auto"/>
        <w:right w:val="none" w:sz="0" w:space="0" w:color="auto"/>
      </w:divBdr>
    </w:div>
    <w:div w:id="1187593788">
      <w:bodyDiv w:val="1"/>
      <w:marLeft w:val="0"/>
      <w:marRight w:val="0"/>
      <w:marTop w:val="0"/>
      <w:marBottom w:val="0"/>
      <w:divBdr>
        <w:top w:val="none" w:sz="0" w:space="0" w:color="auto"/>
        <w:left w:val="none" w:sz="0" w:space="0" w:color="auto"/>
        <w:bottom w:val="none" w:sz="0" w:space="0" w:color="auto"/>
        <w:right w:val="none" w:sz="0" w:space="0" w:color="auto"/>
      </w:divBdr>
    </w:div>
    <w:div w:id="1188980051">
      <w:bodyDiv w:val="1"/>
      <w:marLeft w:val="0"/>
      <w:marRight w:val="0"/>
      <w:marTop w:val="0"/>
      <w:marBottom w:val="0"/>
      <w:divBdr>
        <w:top w:val="none" w:sz="0" w:space="0" w:color="auto"/>
        <w:left w:val="none" w:sz="0" w:space="0" w:color="auto"/>
        <w:bottom w:val="none" w:sz="0" w:space="0" w:color="auto"/>
        <w:right w:val="none" w:sz="0" w:space="0" w:color="auto"/>
      </w:divBdr>
    </w:div>
    <w:div w:id="1214930729">
      <w:bodyDiv w:val="1"/>
      <w:marLeft w:val="0"/>
      <w:marRight w:val="0"/>
      <w:marTop w:val="0"/>
      <w:marBottom w:val="0"/>
      <w:divBdr>
        <w:top w:val="none" w:sz="0" w:space="0" w:color="auto"/>
        <w:left w:val="none" w:sz="0" w:space="0" w:color="auto"/>
        <w:bottom w:val="none" w:sz="0" w:space="0" w:color="auto"/>
        <w:right w:val="none" w:sz="0" w:space="0" w:color="auto"/>
      </w:divBdr>
    </w:div>
    <w:div w:id="1234464854">
      <w:bodyDiv w:val="1"/>
      <w:marLeft w:val="0"/>
      <w:marRight w:val="0"/>
      <w:marTop w:val="0"/>
      <w:marBottom w:val="0"/>
      <w:divBdr>
        <w:top w:val="none" w:sz="0" w:space="0" w:color="auto"/>
        <w:left w:val="none" w:sz="0" w:space="0" w:color="auto"/>
        <w:bottom w:val="none" w:sz="0" w:space="0" w:color="auto"/>
        <w:right w:val="none" w:sz="0" w:space="0" w:color="auto"/>
      </w:divBdr>
    </w:div>
    <w:div w:id="1241907934">
      <w:bodyDiv w:val="1"/>
      <w:marLeft w:val="0"/>
      <w:marRight w:val="0"/>
      <w:marTop w:val="0"/>
      <w:marBottom w:val="0"/>
      <w:divBdr>
        <w:top w:val="none" w:sz="0" w:space="0" w:color="auto"/>
        <w:left w:val="none" w:sz="0" w:space="0" w:color="auto"/>
        <w:bottom w:val="none" w:sz="0" w:space="0" w:color="auto"/>
        <w:right w:val="none" w:sz="0" w:space="0" w:color="auto"/>
      </w:divBdr>
    </w:div>
    <w:div w:id="1244949664">
      <w:bodyDiv w:val="1"/>
      <w:marLeft w:val="0"/>
      <w:marRight w:val="0"/>
      <w:marTop w:val="0"/>
      <w:marBottom w:val="0"/>
      <w:divBdr>
        <w:top w:val="none" w:sz="0" w:space="0" w:color="auto"/>
        <w:left w:val="none" w:sz="0" w:space="0" w:color="auto"/>
        <w:bottom w:val="none" w:sz="0" w:space="0" w:color="auto"/>
        <w:right w:val="none" w:sz="0" w:space="0" w:color="auto"/>
      </w:divBdr>
    </w:div>
    <w:div w:id="1251739398">
      <w:bodyDiv w:val="1"/>
      <w:marLeft w:val="0"/>
      <w:marRight w:val="0"/>
      <w:marTop w:val="0"/>
      <w:marBottom w:val="0"/>
      <w:divBdr>
        <w:top w:val="none" w:sz="0" w:space="0" w:color="auto"/>
        <w:left w:val="none" w:sz="0" w:space="0" w:color="auto"/>
        <w:bottom w:val="none" w:sz="0" w:space="0" w:color="auto"/>
        <w:right w:val="none" w:sz="0" w:space="0" w:color="auto"/>
      </w:divBdr>
    </w:div>
    <w:div w:id="1294822447">
      <w:bodyDiv w:val="1"/>
      <w:marLeft w:val="0"/>
      <w:marRight w:val="0"/>
      <w:marTop w:val="0"/>
      <w:marBottom w:val="0"/>
      <w:divBdr>
        <w:top w:val="none" w:sz="0" w:space="0" w:color="auto"/>
        <w:left w:val="none" w:sz="0" w:space="0" w:color="auto"/>
        <w:bottom w:val="none" w:sz="0" w:space="0" w:color="auto"/>
        <w:right w:val="none" w:sz="0" w:space="0" w:color="auto"/>
      </w:divBdr>
    </w:div>
    <w:div w:id="1324699720">
      <w:bodyDiv w:val="1"/>
      <w:marLeft w:val="0"/>
      <w:marRight w:val="0"/>
      <w:marTop w:val="0"/>
      <w:marBottom w:val="0"/>
      <w:divBdr>
        <w:top w:val="none" w:sz="0" w:space="0" w:color="auto"/>
        <w:left w:val="none" w:sz="0" w:space="0" w:color="auto"/>
        <w:bottom w:val="none" w:sz="0" w:space="0" w:color="auto"/>
        <w:right w:val="none" w:sz="0" w:space="0" w:color="auto"/>
      </w:divBdr>
    </w:div>
    <w:div w:id="1337608480">
      <w:bodyDiv w:val="1"/>
      <w:marLeft w:val="0"/>
      <w:marRight w:val="0"/>
      <w:marTop w:val="0"/>
      <w:marBottom w:val="0"/>
      <w:divBdr>
        <w:top w:val="none" w:sz="0" w:space="0" w:color="auto"/>
        <w:left w:val="none" w:sz="0" w:space="0" w:color="auto"/>
        <w:bottom w:val="none" w:sz="0" w:space="0" w:color="auto"/>
        <w:right w:val="none" w:sz="0" w:space="0" w:color="auto"/>
      </w:divBdr>
    </w:div>
    <w:div w:id="1341807963">
      <w:bodyDiv w:val="1"/>
      <w:marLeft w:val="0"/>
      <w:marRight w:val="0"/>
      <w:marTop w:val="0"/>
      <w:marBottom w:val="0"/>
      <w:divBdr>
        <w:top w:val="none" w:sz="0" w:space="0" w:color="auto"/>
        <w:left w:val="none" w:sz="0" w:space="0" w:color="auto"/>
        <w:bottom w:val="none" w:sz="0" w:space="0" w:color="auto"/>
        <w:right w:val="none" w:sz="0" w:space="0" w:color="auto"/>
      </w:divBdr>
    </w:div>
    <w:div w:id="1363557165">
      <w:bodyDiv w:val="1"/>
      <w:marLeft w:val="0"/>
      <w:marRight w:val="0"/>
      <w:marTop w:val="0"/>
      <w:marBottom w:val="0"/>
      <w:divBdr>
        <w:top w:val="none" w:sz="0" w:space="0" w:color="auto"/>
        <w:left w:val="none" w:sz="0" w:space="0" w:color="auto"/>
        <w:bottom w:val="none" w:sz="0" w:space="0" w:color="auto"/>
        <w:right w:val="none" w:sz="0" w:space="0" w:color="auto"/>
      </w:divBdr>
    </w:div>
    <w:div w:id="1366098075">
      <w:bodyDiv w:val="1"/>
      <w:marLeft w:val="0"/>
      <w:marRight w:val="0"/>
      <w:marTop w:val="0"/>
      <w:marBottom w:val="0"/>
      <w:divBdr>
        <w:top w:val="none" w:sz="0" w:space="0" w:color="auto"/>
        <w:left w:val="none" w:sz="0" w:space="0" w:color="auto"/>
        <w:bottom w:val="none" w:sz="0" w:space="0" w:color="auto"/>
        <w:right w:val="none" w:sz="0" w:space="0" w:color="auto"/>
      </w:divBdr>
    </w:div>
    <w:div w:id="1371563924">
      <w:bodyDiv w:val="1"/>
      <w:marLeft w:val="0"/>
      <w:marRight w:val="0"/>
      <w:marTop w:val="0"/>
      <w:marBottom w:val="0"/>
      <w:divBdr>
        <w:top w:val="none" w:sz="0" w:space="0" w:color="auto"/>
        <w:left w:val="none" w:sz="0" w:space="0" w:color="auto"/>
        <w:bottom w:val="none" w:sz="0" w:space="0" w:color="auto"/>
        <w:right w:val="none" w:sz="0" w:space="0" w:color="auto"/>
      </w:divBdr>
    </w:div>
    <w:div w:id="1379091511">
      <w:bodyDiv w:val="1"/>
      <w:marLeft w:val="0"/>
      <w:marRight w:val="0"/>
      <w:marTop w:val="0"/>
      <w:marBottom w:val="0"/>
      <w:divBdr>
        <w:top w:val="none" w:sz="0" w:space="0" w:color="auto"/>
        <w:left w:val="none" w:sz="0" w:space="0" w:color="auto"/>
        <w:bottom w:val="none" w:sz="0" w:space="0" w:color="auto"/>
        <w:right w:val="none" w:sz="0" w:space="0" w:color="auto"/>
      </w:divBdr>
    </w:div>
    <w:div w:id="1389379035">
      <w:bodyDiv w:val="1"/>
      <w:marLeft w:val="0"/>
      <w:marRight w:val="0"/>
      <w:marTop w:val="0"/>
      <w:marBottom w:val="0"/>
      <w:divBdr>
        <w:top w:val="none" w:sz="0" w:space="0" w:color="auto"/>
        <w:left w:val="none" w:sz="0" w:space="0" w:color="auto"/>
        <w:bottom w:val="none" w:sz="0" w:space="0" w:color="auto"/>
        <w:right w:val="none" w:sz="0" w:space="0" w:color="auto"/>
      </w:divBdr>
    </w:div>
    <w:div w:id="1396585113">
      <w:bodyDiv w:val="1"/>
      <w:marLeft w:val="0"/>
      <w:marRight w:val="0"/>
      <w:marTop w:val="0"/>
      <w:marBottom w:val="0"/>
      <w:divBdr>
        <w:top w:val="none" w:sz="0" w:space="0" w:color="auto"/>
        <w:left w:val="none" w:sz="0" w:space="0" w:color="auto"/>
        <w:bottom w:val="none" w:sz="0" w:space="0" w:color="auto"/>
        <w:right w:val="none" w:sz="0" w:space="0" w:color="auto"/>
      </w:divBdr>
    </w:div>
    <w:div w:id="1412507103">
      <w:bodyDiv w:val="1"/>
      <w:marLeft w:val="0"/>
      <w:marRight w:val="0"/>
      <w:marTop w:val="0"/>
      <w:marBottom w:val="0"/>
      <w:divBdr>
        <w:top w:val="none" w:sz="0" w:space="0" w:color="auto"/>
        <w:left w:val="none" w:sz="0" w:space="0" w:color="auto"/>
        <w:bottom w:val="none" w:sz="0" w:space="0" w:color="auto"/>
        <w:right w:val="none" w:sz="0" w:space="0" w:color="auto"/>
      </w:divBdr>
    </w:div>
    <w:div w:id="1452937868">
      <w:bodyDiv w:val="1"/>
      <w:marLeft w:val="0"/>
      <w:marRight w:val="0"/>
      <w:marTop w:val="0"/>
      <w:marBottom w:val="0"/>
      <w:divBdr>
        <w:top w:val="none" w:sz="0" w:space="0" w:color="auto"/>
        <w:left w:val="none" w:sz="0" w:space="0" w:color="auto"/>
        <w:bottom w:val="none" w:sz="0" w:space="0" w:color="auto"/>
        <w:right w:val="none" w:sz="0" w:space="0" w:color="auto"/>
      </w:divBdr>
    </w:div>
    <w:div w:id="1475216230">
      <w:bodyDiv w:val="1"/>
      <w:marLeft w:val="0"/>
      <w:marRight w:val="0"/>
      <w:marTop w:val="0"/>
      <w:marBottom w:val="0"/>
      <w:divBdr>
        <w:top w:val="none" w:sz="0" w:space="0" w:color="auto"/>
        <w:left w:val="none" w:sz="0" w:space="0" w:color="auto"/>
        <w:bottom w:val="none" w:sz="0" w:space="0" w:color="auto"/>
        <w:right w:val="none" w:sz="0" w:space="0" w:color="auto"/>
      </w:divBdr>
    </w:div>
    <w:div w:id="1483547926">
      <w:bodyDiv w:val="1"/>
      <w:marLeft w:val="0"/>
      <w:marRight w:val="0"/>
      <w:marTop w:val="0"/>
      <w:marBottom w:val="0"/>
      <w:divBdr>
        <w:top w:val="none" w:sz="0" w:space="0" w:color="auto"/>
        <w:left w:val="none" w:sz="0" w:space="0" w:color="auto"/>
        <w:bottom w:val="none" w:sz="0" w:space="0" w:color="auto"/>
        <w:right w:val="none" w:sz="0" w:space="0" w:color="auto"/>
      </w:divBdr>
    </w:div>
    <w:div w:id="1496022600">
      <w:bodyDiv w:val="1"/>
      <w:marLeft w:val="0"/>
      <w:marRight w:val="0"/>
      <w:marTop w:val="0"/>
      <w:marBottom w:val="0"/>
      <w:divBdr>
        <w:top w:val="none" w:sz="0" w:space="0" w:color="auto"/>
        <w:left w:val="none" w:sz="0" w:space="0" w:color="auto"/>
        <w:bottom w:val="none" w:sz="0" w:space="0" w:color="auto"/>
        <w:right w:val="none" w:sz="0" w:space="0" w:color="auto"/>
      </w:divBdr>
    </w:div>
    <w:div w:id="1547721790">
      <w:bodyDiv w:val="1"/>
      <w:marLeft w:val="0"/>
      <w:marRight w:val="0"/>
      <w:marTop w:val="0"/>
      <w:marBottom w:val="0"/>
      <w:divBdr>
        <w:top w:val="none" w:sz="0" w:space="0" w:color="auto"/>
        <w:left w:val="none" w:sz="0" w:space="0" w:color="auto"/>
        <w:bottom w:val="none" w:sz="0" w:space="0" w:color="auto"/>
        <w:right w:val="none" w:sz="0" w:space="0" w:color="auto"/>
      </w:divBdr>
    </w:div>
    <w:div w:id="1555241823">
      <w:bodyDiv w:val="1"/>
      <w:marLeft w:val="0"/>
      <w:marRight w:val="0"/>
      <w:marTop w:val="0"/>
      <w:marBottom w:val="0"/>
      <w:divBdr>
        <w:top w:val="none" w:sz="0" w:space="0" w:color="auto"/>
        <w:left w:val="none" w:sz="0" w:space="0" w:color="auto"/>
        <w:bottom w:val="none" w:sz="0" w:space="0" w:color="auto"/>
        <w:right w:val="none" w:sz="0" w:space="0" w:color="auto"/>
      </w:divBdr>
    </w:div>
    <w:div w:id="1601068233">
      <w:bodyDiv w:val="1"/>
      <w:marLeft w:val="0"/>
      <w:marRight w:val="0"/>
      <w:marTop w:val="0"/>
      <w:marBottom w:val="0"/>
      <w:divBdr>
        <w:top w:val="none" w:sz="0" w:space="0" w:color="auto"/>
        <w:left w:val="none" w:sz="0" w:space="0" w:color="auto"/>
        <w:bottom w:val="none" w:sz="0" w:space="0" w:color="auto"/>
        <w:right w:val="none" w:sz="0" w:space="0" w:color="auto"/>
      </w:divBdr>
    </w:div>
    <w:div w:id="1605726856">
      <w:bodyDiv w:val="1"/>
      <w:marLeft w:val="0"/>
      <w:marRight w:val="0"/>
      <w:marTop w:val="0"/>
      <w:marBottom w:val="0"/>
      <w:divBdr>
        <w:top w:val="none" w:sz="0" w:space="0" w:color="auto"/>
        <w:left w:val="none" w:sz="0" w:space="0" w:color="auto"/>
        <w:bottom w:val="none" w:sz="0" w:space="0" w:color="auto"/>
        <w:right w:val="none" w:sz="0" w:space="0" w:color="auto"/>
      </w:divBdr>
    </w:div>
    <w:div w:id="1609120789">
      <w:bodyDiv w:val="1"/>
      <w:marLeft w:val="0"/>
      <w:marRight w:val="0"/>
      <w:marTop w:val="0"/>
      <w:marBottom w:val="0"/>
      <w:divBdr>
        <w:top w:val="none" w:sz="0" w:space="0" w:color="auto"/>
        <w:left w:val="none" w:sz="0" w:space="0" w:color="auto"/>
        <w:bottom w:val="none" w:sz="0" w:space="0" w:color="auto"/>
        <w:right w:val="none" w:sz="0" w:space="0" w:color="auto"/>
      </w:divBdr>
    </w:div>
    <w:div w:id="1613979104">
      <w:bodyDiv w:val="1"/>
      <w:marLeft w:val="0"/>
      <w:marRight w:val="0"/>
      <w:marTop w:val="0"/>
      <w:marBottom w:val="0"/>
      <w:divBdr>
        <w:top w:val="none" w:sz="0" w:space="0" w:color="auto"/>
        <w:left w:val="none" w:sz="0" w:space="0" w:color="auto"/>
        <w:bottom w:val="none" w:sz="0" w:space="0" w:color="auto"/>
        <w:right w:val="none" w:sz="0" w:space="0" w:color="auto"/>
      </w:divBdr>
    </w:div>
    <w:div w:id="1616869992">
      <w:bodyDiv w:val="1"/>
      <w:marLeft w:val="0"/>
      <w:marRight w:val="0"/>
      <w:marTop w:val="0"/>
      <w:marBottom w:val="0"/>
      <w:divBdr>
        <w:top w:val="none" w:sz="0" w:space="0" w:color="auto"/>
        <w:left w:val="none" w:sz="0" w:space="0" w:color="auto"/>
        <w:bottom w:val="none" w:sz="0" w:space="0" w:color="auto"/>
        <w:right w:val="none" w:sz="0" w:space="0" w:color="auto"/>
      </w:divBdr>
    </w:div>
    <w:div w:id="1616981343">
      <w:bodyDiv w:val="1"/>
      <w:marLeft w:val="0"/>
      <w:marRight w:val="0"/>
      <w:marTop w:val="0"/>
      <w:marBottom w:val="0"/>
      <w:divBdr>
        <w:top w:val="none" w:sz="0" w:space="0" w:color="auto"/>
        <w:left w:val="none" w:sz="0" w:space="0" w:color="auto"/>
        <w:bottom w:val="none" w:sz="0" w:space="0" w:color="auto"/>
        <w:right w:val="none" w:sz="0" w:space="0" w:color="auto"/>
      </w:divBdr>
    </w:div>
    <w:div w:id="1623532160">
      <w:bodyDiv w:val="1"/>
      <w:marLeft w:val="0"/>
      <w:marRight w:val="0"/>
      <w:marTop w:val="0"/>
      <w:marBottom w:val="0"/>
      <w:divBdr>
        <w:top w:val="none" w:sz="0" w:space="0" w:color="auto"/>
        <w:left w:val="none" w:sz="0" w:space="0" w:color="auto"/>
        <w:bottom w:val="none" w:sz="0" w:space="0" w:color="auto"/>
        <w:right w:val="none" w:sz="0" w:space="0" w:color="auto"/>
      </w:divBdr>
    </w:div>
    <w:div w:id="1629044787">
      <w:bodyDiv w:val="1"/>
      <w:marLeft w:val="0"/>
      <w:marRight w:val="0"/>
      <w:marTop w:val="0"/>
      <w:marBottom w:val="0"/>
      <w:divBdr>
        <w:top w:val="none" w:sz="0" w:space="0" w:color="auto"/>
        <w:left w:val="none" w:sz="0" w:space="0" w:color="auto"/>
        <w:bottom w:val="none" w:sz="0" w:space="0" w:color="auto"/>
        <w:right w:val="none" w:sz="0" w:space="0" w:color="auto"/>
      </w:divBdr>
    </w:div>
    <w:div w:id="1695690178">
      <w:bodyDiv w:val="1"/>
      <w:marLeft w:val="0"/>
      <w:marRight w:val="0"/>
      <w:marTop w:val="0"/>
      <w:marBottom w:val="0"/>
      <w:divBdr>
        <w:top w:val="none" w:sz="0" w:space="0" w:color="auto"/>
        <w:left w:val="none" w:sz="0" w:space="0" w:color="auto"/>
        <w:bottom w:val="none" w:sz="0" w:space="0" w:color="auto"/>
        <w:right w:val="none" w:sz="0" w:space="0" w:color="auto"/>
      </w:divBdr>
    </w:div>
    <w:div w:id="1695693424">
      <w:bodyDiv w:val="1"/>
      <w:marLeft w:val="0"/>
      <w:marRight w:val="0"/>
      <w:marTop w:val="0"/>
      <w:marBottom w:val="0"/>
      <w:divBdr>
        <w:top w:val="none" w:sz="0" w:space="0" w:color="auto"/>
        <w:left w:val="none" w:sz="0" w:space="0" w:color="auto"/>
        <w:bottom w:val="none" w:sz="0" w:space="0" w:color="auto"/>
        <w:right w:val="none" w:sz="0" w:space="0" w:color="auto"/>
      </w:divBdr>
    </w:div>
    <w:div w:id="1708409216">
      <w:bodyDiv w:val="1"/>
      <w:marLeft w:val="0"/>
      <w:marRight w:val="0"/>
      <w:marTop w:val="0"/>
      <w:marBottom w:val="0"/>
      <w:divBdr>
        <w:top w:val="none" w:sz="0" w:space="0" w:color="auto"/>
        <w:left w:val="none" w:sz="0" w:space="0" w:color="auto"/>
        <w:bottom w:val="none" w:sz="0" w:space="0" w:color="auto"/>
        <w:right w:val="none" w:sz="0" w:space="0" w:color="auto"/>
      </w:divBdr>
    </w:div>
    <w:div w:id="1721129629">
      <w:bodyDiv w:val="1"/>
      <w:marLeft w:val="0"/>
      <w:marRight w:val="0"/>
      <w:marTop w:val="0"/>
      <w:marBottom w:val="0"/>
      <w:divBdr>
        <w:top w:val="none" w:sz="0" w:space="0" w:color="auto"/>
        <w:left w:val="none" w:sz="0" w:space="0" w:color="auto"/>
        <w:bottom w:val="none" w:sz="0" w:space="0" w:color="auto"/>
        <w:right w:val="none" w:sz="0" w:space="0" w:color="auto"/>
      </w:divBdr>
    </w:div>
    <w:div w:id="1739786550">
      <w:bodyDiv w:val="1"/>
      <w:marLeft w:val="0"/>
      <w:marRight w:val="0"/>
      <w:marTop w:val="0"/>
      <w:marBottom w:val="0"/>
      <w:divBdr>
        <w:top w:val="none" w:sz="0" w:space="0" w:color="auto"/>
        <w:left w:val="none" w:sz="0" w:space="0" w:color="auto"/>
        <w:bottom w:val="none" w:sz="0" w:space="0" w:color="auto"/>
        <w:right w:val="none" w:sz="0" w:space="0" w:color="auto"/>
      </w:divBdr>
    </w:div>
    <w:div w:id="1791389773">
      <w:bodyDiv w:val="1"/>
      <w:marLeft w:val="0"/>
      <w:marRight w:val="0"/>
      <w:marTop w:val="0"/>
      <w:marBottom w:val="0"/>
      <w:divBdr>
        <w:top w:val="none" w:sz="0" w:space="0" w:color="auto"/>
        <w:left w:val="none" w:sz="0" w:space="0" w:color="auto"/>
        <w:bottom w:val="none" w:sz="0" w:space="0" w:color="auto"/>
        <w:right w:val="none" w:sz="0" w:space="0" w:color="auto"/>
      </w:divBdr>
    </w:div>
    <w:div w:id="1823964246">
      <w:bodyDiv w:val="1"/>
      <w:marLeft w:val="0"/>
      <w:marRight w:val="0"/>
      <w:marTop w:val="0"/>
      <w:marBottom w:val="0"/>
      <w:divBdr>
        <w:top w:val="none" w:sz="0" w:space="0" w:color="auto"/>
        <w:left w:val="none" w:sz="0" w:space="0" w:color="auto"/>
        <w:bottom w:val="none" w:sz="0" w:space="0" w:color="auto"/>
        <w:right w:val="none" w:sz="0" w:space="0" w:color="auto"/>
      </w:divBdr>
    </w:div>
    <w:div w:id="1839078435">
      <w:bodyDiv w:val="1"/>
      <w:marLeft w:val="0"/>
      <w:marRight w:val="0"/>
      <w:marTop w:val="0"/>
      <w:marBottom w:val="0"/>
      <w:divBdr>
        <w:top w:val="none" w:sz="0" w:space="0" w:color="auto"/>
        <w:left w:val="none" w:sz="0" w:space="0" w:color="auto"/>
        <w:bottom w:val="none" w:sz="0" w:space="0" w:color="auto"/>
        <w:right w:val="none" w:sz="0" w:space="0" w:color="auto"/>
      </w:divBdr>
    </w:div>
    <w:div w:id="1875651561">
      <w:bodyDiv w:val="1"/>
      <w:marLeft w:val="0"/>
      <w:marRight w:val="0"/>
      <w:marTop w:val="0"/>
      <w:marBottom w:val="0"/>
      <w:divBdr>
        <w:top w:val="none" w:sz="0" w:space="0" w:color="auto"/>
        <w:left w:val="none" w:sz="0" w:space="0" w:color="auto"/>
        <w:bottom w:val="none" w:sz="0" w:space="0" w:color="auto"/>
        <w:right w:val="none" w:sz="0" w:space="0" w:color="auto"/>
      </w:divBdr>
    </w:div>
    <w:div w:id="1937400526">
      <w:bodyDiv w:val="1"/>
      <w:marLeft w:val="0"/>
      <w:marRight w:val="0"/>
      <w:marTop w:val="0"/>
      <w:marBottom w:val="0"/>
      <w:divBdr>
        <w:top w:val="none" w:sz="0" w:space="0" w:color="auto"/>
        <w:left w:val="none" w:sz="0" w:space="0" w:color="auto"/>
        <w:bottom w:val="none" w:sz="0" w:space="0" w:color="auto"/>
        <w:right w:val="none" w:sz="0" w:space="0" w:color="auto"/>
      </w:divBdr>
    </w:div>
    <w:div w:id="1944608943">
      <w:bodyDiv w:val="1"/>
      <w:marLeft w:val="0"/>
      <w:marRight w:val="0"/>
      <w:marTop w:val="0"/>
      <w:marBottom w:val="0"/>
      <w:divBdr>
        <w:top w:val="none" w:sz="0" w:space="0" w:color="auto"/>
        <w:left w:val="none" w:sz="0" w:space="0" w:color="auto"/>
        <w:bottom w:val="none" w:sz="0" w:space="0" w:color="auto"/>
        <w:right w:val="none" w:sz="0" w:space="0" w:color="auto"/>
      </w:divBdr>
    </w:div>
    <w:div w:id="1956673206">
      <w:bodyDiv w:val="1"/>
      <w:marLeft w:val="0"/>
      <w:marRight w:val="0"/>
      <w:marTop w:val="0"/>
      <w:marBottom w:val="0"/>
      <w:divBdr>
        <w:top w:val="none" w:sz="0" w:space="0" w:color="auto"/>
        <w:left w:val="none" w:sz="0" w:space="0" w:color="auto"/>
        <w:bottom w:val="none" w:sz="0" w:space="0" w:color="auto"/>
        <w:right w:val="none" w:sz="0" w:space="0" w:color="auto"/>
      </w:divBdr>
    </w:div>
    <w:div w:id="1978219465">
      <w:bodyDiv w:val="1"/>
      <w:marLeft w:val="0"/>
      <w:marRight w:val="0"/>
      <w:marTop w:val="0"/>
      <w:marBottom w:val="0"/>
      <w:divBdr>
        <w:top w:val="none" w:sz="0" w:space="0" w:color="auto"/>
        <w:left w:val="none" w:sz="0" w:space="0" w:color="auto"/>
        <w:bottom w:val="none" w:sz="0" w:space="0" w:color="auto"/>
        <w:right w:val="none" w:sz="0" w:space="0" w:color="auto"/>
      </w:divBdr>
    </w:div>
    <w:div w:id="1987510973">
      <w:bodyDiv w:val="1"/>
      <w:marLeft w:val="0"/>
      <w:marRight w:val="0"/>
      <w:marTop w:val="0"/>
      <w:marBottom w:val="0"/>
      <w:divBdr>
        <w:top w:val="none" w:sz="0" w:space="0" w:color="auto"/>
        <w:left w:val="none" w:sz="0" w:space="0" w:color="auto"/>
        <w:bottom w:val="none" w:sz="0" w:space="0" w:color="auto"/>
        <w:right w:val="none" w:sz="0" w:space="0" w:color="auto"/>
      </w:divBdr>
    </w:div>
    <w:div w:id="2034963618">
      <w:bodyDiv w:val="1"/>
      <w:marLeft w:val="0"/>
      <w:marRight w:val="0"/>
      <w:marTop w:val="0"/>
      <w:marBottom w:val="0"/>
      <w:divBdr>
        <w:top w:val="none" w:sz="0" w:space="0" w:color="auto"/>
        <w:left w:val="none" w:sz="0" w:space="0" w:color="auto"/>
        <w:bottom w:val="none" w:sz="0" w:space="0" w:color="auto"/>
        <w:right w:val="none" w:sz="0" w:space="0" w:color="auto"/>
      </w:divBdr>
    </w:div>
    <w:div w:id="2066954037">
      <w:bodyDiv w:val="1"/>
      <w:marLeft w:val="0"/>
      <w:marRight w:val="0"/>
      <w:marTop w:val="0"/>
      <w:marBottom w:val="0"/>
      <w:divBdr>
        <w:top w:val="none" w:sz="0" w:space="0" w:color="auto"/>
        <w:left w:val="none" w:sz="0" w:space="0" w:color="auto"/>
        <w:bottom w:val="none" w:sz="0" w:space="0" w:color="auto"/>
        <w:right w:val="none" w:sz="0" w:space="0" w:color="auto"/>
      </w:divBdr>
    </w:div>
    <w:div w:id="2072145472">
      <w:bodyDiv w:val="1"/>
      <w:marLeft w:val="0"/>
      <w:marRight w:val="0"/>
      <w:marTop w:val="0"/>
      <w:marBottom w:val="0"/>
      <w:divBdr>
        <w:top w:val="none" w:sz="0" w:space="0" w:color="auto"/>
        <w:left w:val="none" w:sz="0" w:space="0" w:color="auto"/>
        <w:bottom w:val="none" w:sz="0" w:space="0" w:color="auto"/>
        <w:right w:val="none" w:sz="0" w:space="0" w:color="auto"/>
      </w:divBdr>
    </w:div>
    <w:div w:id="2092390175">
      <w:bodyDiv w:val="1"/>
      <w:marLeft w:val="0"/>
      <w:marRight w:val="0"/>
      <w:marTop w:val="0"/>
      <w:marBottom w:val="0"/>
      <w:divBdr>
        <w:top w:val="none" w:sz="0" w:space="0" w:color="auto"/>
        <w:left w:val="none" w:sz="0" w:space="0" w:color="auto"/>
        <w:bottom w:val="none" w:sz="0" w:space="0" w:color="auto"/>
        <w:right w:val="none" w:sz="0" w:space="0" w:color="auto"/>
      </w:divBdr>
    </w:div>
    <w:div w:id="2095274989">
      <w:bodyDiv w:val="1"/>
      <w:marLeft w:val="0"/>
      <w:marRight w:val="0"/>
      <w:marTop w:val="0"/>
      <w:marBottom w:val="0"/>
      <w:divBdr>
        <w:top w:val="none" w:sz="0" w:space="0" w:color="auto"/>
        <w:left w:val="none" w:sz="0" w:space="0" w:color="auto"/>
        <w:bottom w:val="none" w:sz="0" w:space="0" w:color="auto"/>
        <w:right w:val="none" w:sz="0" w:space="0" w:color="auto"/>
      </w:divBdr>
    </w:div>
    <w:div w:id="2098792602">
      <w:bodyDiv w:val="1"/>
      <w:marLeft w:val="0"/>
      <w:marRight w:val="0"/>
      <w:marTop w:val="0"/>
      <w:marBottom w:val="0"/>
      <w:divBdr>
        <w:top w:val="none" w:sz="0" w:space="0" w:color="auto"/>
        <w:left w:val="none" w:sz="0" w:space="0" w:color="auto"/>
        <w:bottom w:val="none" w:sz="0" w:space="0" w:color="auto"/>
        <w:right w:val="none" w:sz="0" w:space="0" w:color="auto"/>
      </w:divBdr>
    </w:div>
    <w:div w:id="2104567599">
      <w:bodyDiv w:val="1"/>
      <w:marLeft w:val="0"/>
      <w:marRight w:val="0"/>
      <w:marTop w:val="0"/>
      <w:marBottom w:val="0"/>
      <w:divBdr>
        <w:top w:val="none" w:sz="0" w:space="0" w:color="auto"/>
        <w:left w:val="none" w:sz="0" w:space="0" w:color="auto"/>
        <w:bottom w:val="none" w:sz="0" w:space="0" w:color="auto"/>
        <w:right w:val="none" w:sz="0" w:space="0" w:color="auto"/>
      </w:divBdr>
    </w:div>
    <w:div w:id="2106001358">
      <w:bodyDiv w:val="1"/>
      <w:marLeft w:val="0"/>
      <w:marRight w:val="0"/>
      <w:marTop w:val="0"/>
      <w:marBottom w:val="0"/>
      <w:divBdr>
        <w:top w:val="none" w:sz="0" w:space="0" w:color="auto"/>
        <w:left w:val="none" w:sz="0" w:space="0" w:color="auto"/>
        <w:bottom w:val="none" w:sz="0" w:space="0" w:color="auto"/>
        <w:right w:val="none" w:sz="0" w:space="0" w:color="auto"/>
      </w:divBdr>
    </w:div>
    <w:div w:id="2118789967">
      <w:bodyDiv w:val="1"/>
      <w:marLeft w:val="0"/>
      <w:marRight w:val="0"/>
      <w:marTop w:val="0"/>
      <w:marBottom w:val="0"/>
      <w:divBdr>
        <w:top w:val="none" w:sz="0" w:space="0" w:color="auto"/>
        <w:left w:val="none" w:sz="0" w:space="0" w:color="auto"/>
        <w:bottom w:val="none" w:sz="0" w:space="0" w:color="auto"/>
        <w:right w:val="none" w:sz="0" w:space="0" w:color="auto"/>
      </w:divBdr>
    </w:div>
    <w:div w:id="2141071180">
      <w:bodyDiv w:val="1"/>
      <w:marLeft w:val="0"/>
      <w:marRight w:val="0"/>
      <w:marTop w:val="0"/>
      <w:marBottom w:val="0"/>
      <w:divBdr>
        <w:top w:val="none" w:sz="0" w:space="0" w:color="auto"/>
        <w:left w:val="none" w:sz="0" w:space="0" w:color="auto"/>
        <w:bottom w:val="none" w:sz="0" w:space="0" w:color="auto"/>
        <w:right w:val="none" w:sz="0" w:space="0" w:color="auto"/>
      </w:divBdr>
    </w:div>
    <w:div w:id="2141146752">
      <w:bodyDiv w:val="1"/>
      <w:marLeft w:val="0"/>
      <w:marRight w:val="0"/>
      <w:marTop w:val="0"/>
      <w:marBottom w:val="0"/>
      <w:divBdr>
        <w:top w:val="none" w:sz="0" w:space="0" w:color="auto"/>
        <w:left w:val="none" w:sz="0" w:space="0" w:color="auto"/>
        <w:bottom w:val="none" w:sz="0" w:space="0" w:color="auto"/>
        <w:right w:val="none" w:sz="0" w:space="0" w:color="auto"/>
      </w:divBdr>
    </w:div>
    <w:div w:id="2145538164">
      <w:bodyDiv w:val="1"/>
      <w:marLeft w:val="0"/>
      <w:marRight w:val="0"/>
      <w:marTop w:val="0"/>
      <w:marBottom w:val="0"/>
      <w:divBdr>
        <w:top w:val="none" w:sz="0" w:space="0" w:color="auto"/>
        <w:left w:val="none" w:sz="0" w:space="0" w:color="auto"/>
        <w:bottom w:val="none" w:sz="0" w:space="0" w:color="auto"/>
        <w:right w:val="none" w:sz="0" w:space="0" w:color="auto"/>
      </w:divBdr>
    </w:div>
    <w:div w:id="214638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WGA06</b:Tag>
    <b:SourceType>JournalArticle</b:SourceType>
    <b:Guid>{59311898-DCE0-4E10-9E0D-B2A6F728176D}</b:Guid>
    <b:Title>Ancestor-Worship in Japan</b:Title>
    <b:Year>1906</b:Year>
    <b:Pages>35-37</b:Pages>
    <b:Author>
      <b:Author>
        <b:NameList>
          <b:Person>
            <b:Last>Aston</b:Last>
            <b:First>W.G.</b:First>
          </b:Person>
        </b:NameList>
      </b:Author>
    </b:Author>
    <b:JournalName>MAN</b:JournalName>
    <b:RefOrder>7</b:RefOrder>
  </b:Source>
  <b:Source>
    <b:Tag>Mab80</b:Tag>
    <b:SourceType>JournalArticle</b:SourceType>
    <b:Guid>{45D4D67F-5981-4298-8EC5-E67876EF9ECD}</b:Guid>
    <b:Author>
      <b:Author>
        <b:NameList>
          <b:Person>
            <b:Last>Mabuchi</b:Last>
            <b:First>Toichi</b:First>
          </b:Person>
        </b:NameList>
      </b:Author>
    </b:Author>
    <b:Title>Space and Time in Ryukyuan Cosmology</b:Title>
    <b:JournalName>Asian Folklore Studies</b:JournalName>
    <b:Year>1980</b:Year>
    <b:Pages>1-19</b:Pages>
    <b:Volume>XXXIX</b:Volume>
    <b:Issue>1</b:Issue>
    <b:RefOrder>3</b:RefOrder>
  </b:Source>
  <b:Source>
    <b:Tag>Ala96</b:Tag>
    <b:SourceType>Book</b:SourceType>
    <b:Guid>{17847AB2-3265-48BA-9411-67CCE77D8582}</b:Guid>
    <b:Title>Encylopedia of Social and Cultural Anthropology</b:Title>
    <b:Year>1996</b:Year>
    <b:City>London</b:City>
    <b:Publisher>Routledge</b:Publisher>
    <b:Author>
      <b:Editor>
        <b:NameList>
          <b:Person>
            <b:Last>Barnard</b:Last>
            <b:First>Alan</b:First>
          </b:Person>
          <b:Person>
            <b:Last>Spencer</b:Last>
            <b:First>Jonathan</b:First>
          </b:Person>
        </b:NameList>
      </b:Editor>
    </b:Author>
    <b:RefOrder>6</b:RefOrder>
  </b:Source>
  <b:Source>
    <b:Tag>For61</b:Tag>
    <b:SourceType>JournalArticle</b:SourceType>
    <b:Guid>{76048887-C659-4B68-A425-893A9EDBD4A1}</b:Guid>
    <b:Author>
      <b:Author>
        <b:NameList>
          <b:Person>
            <b:Last>Fortes</b:Last>
            <b:First>Meyer</b:First>
          </b:Person>
        </b:NameList>
      </b:Author>
    </b:Author>
    <b:Title>Pietas in Ancestor Worship</b:Title>
    <b:JournalName>Journal of the Royal Anthropological Institute of Great Britain and Ireland</b:JournalName>
    <b:Year>1961</b:Year>
    <b:Pages>166-191</b:Pages>
    <b:Volume>XCI</b:Volume>
    <b:Issue>2</b:Issue>
    <b:RefOrder>2</b:RefOrder>
  </b:Source>
  <b:Source>
    <b:Tag>Col20</b:Tag>
    <b:SourceType>InternetSite</b:SourceType>
    <b:Guid>{ABB3381E-3924-44A4-8B11-9588FE2FABCC}</b:Guid>
    <b:Year>2020</b:Year>
    <b:Author>
      <b:Author>
        <b:Corporate>Collins</b:Corporate>
      </b:Author>
    </b:Author>
    <b:InternetSiteTitle>Collins English Dictionary</b:InternetSiteTitle>
    <b:Month>February</b:Month>
    <b:Day>27</b:Day>
    <b:URL>https://www.collinsdictionary.com/dictionary/english</b:URL>
    <b:RefOrder>5</b:RefOrder>
  </b:Source>
  <b:Source>
    <b:Tag>Yoh06</b:Tag>
    <b:SourceType>JournalArticle</b:SourceType>
    <b:Guid>{8BBBD518-BB84-4C05-92FD-6144880AA7CD}</b:Guid>
    <b:Title>Mortuary Rituals in Japan: The Hegemony of Tradition and the Motivations of Individuals</b:Title>
    <b:Year>2006</b:Year>
    <b:Pages>391-431</b:Pages>
    <b:Author>
      <b:Author>
        <b:NameList>
          <b:Person>
            <b:Last>Tsuji</b:Last>
            <b:First>Yohko</b:First>
          </b:Person>
        </b:NameList>
      </b:Author>
    </b:Author>
    <b:JournalName>Ethos</b:JournalName>
    <b:RefOrder>4</b:RefOrder>
  </b:Source>
  <b:Source>
    <b:Tag>Reb16</b:Tag>
    <b:SourceType>JournalArticle</b:SourceType>
    <b:Guid>{A768CE32-E460-4543-8D77-DB7E6B5C5A89}</b:Guid>
    <b:Title>Between the Living and the Dead: Three-Tail Funeral Banners of Northern Thailand</b:Title>
    <b:JournalName>Ars Orientalis</b:JournalName>
    <b:Year>2016</b:Year>
    <b:Pages>40-60</b:Pages>
    <b:Author>
      <b:Author>
        <b:NameList>
          <b:Person>
            <b:Last>Hall</b:Last>
            <b:First>Rebecca</b:First>
            <b:Middle>S.</b:Middle>
          </b:Person>
        </b:NameList>
      </b:Author>
    </b:Author>
    <b:RefOrder>1</b:RefOrder>
  </b:Source>
  <b:Source>
    <b:Tag>Dil03</b:Tag>
    <b:SourceType>JournalArticle</b:SourceType>
    <b:Guid>{1F0B4D9E-AD4D-4B92-B48E-B9490B366296}</b:Guid>
    <b:Author>
      <b:Author>
        <b:NameList>
          <b:Person>
            <b:Last>Barua</b:Last>
            <b:First>Dilip</b:First>
            <b:Middle>Kumar</b:Middle>
          </b:Person>
        </b:NameList>
      </b:Author>
    </b:Author>
    <b:Title>Funeral Rituals of Buddhist Bangladesh: A Study on Barua Community</b:Title>
    <b:JournalName>Journal of Indian and Buddhist Studies</b:JournalName>
    <b:Year>2003</b:Year>
    <b:Pages>12-16</b:Pages>
    <b:RefOrder>8</b:RefOrder>
  </b:Source>
</b:Sources>
</file>

<file path=customXml/itemProps1.xml><?xml version="1.0" encoding="utf-8"?>
<ds:datastoreItem xmlns:ds="http://schemas.openxmlformats.org/officeDocument/2006/customXml" ds:itemID="{72FAA004-66EF-4186-B798-11F5294D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4</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Murray</dc:creator>
  <cp:keywords/>
  <dc:description/>
  <cp:lastModifiedBy>Joshua Murray</cp:lastModifiedBy>
  <cp:revision>25</cp:revision>
  <dcterms:created xsi:type="dcterms:W3CDTF">2020-02-26T13:05:00Z</dcterms:created>
  <dcterms:modified xsi:type="dcterms:W3CDTF">2020-02-29T11:04:00Z</dcterms:modified>
</cp:coreProperties>
</file>