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992B2" w14:textId="77777777" w:rsidR="008378EB" w:rsidRDefault="008378EB" w:rsidP="008378EB">
      <w:pPr>
        <w:pStyle w:val="NormalWeb"/>
        <w:spacing w:before="0" w:beforeAutospacing="0" w:after="0" w:afterAutospacing="0"/>
        <w:ind w:left="-180" w:right="-334"/>
      </w:pPr>
      <w:bookmarkStart w:id="0" w:name="_Int_KysCXX60"/>
      <w:r>
        <w:rPr>
          <w:noProof/>
        </w:rPr>
        <w:drawing>
          <wp:inline distT="0" distB="0" distL="0" distR="0" wp14:anchorId="2CFFA505" wp14:editId="666A7406">
            <wp:extent cx="1905000" cy="638175"/>
            <wp:effectExtent l="25400" t="25400" r="12700" b="952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F6F6F6"/>
                      </a:solidFill>
                      <a:miter lim="800000"/>
                      <a:headEnd/>
                      <a:tailEnd/>
                    </a:ln>
                    <a:effectLst/>
                  </pic:spPr>
                </pic:pic>
              </a:graphicData>
            </a:graphic>
          </wp:inline>
        </w:drawing>
      </w:r>
    </w:p>
    <w:p w14:paraId="55ED6FFC" w14:textId="77777777" w:rsidR="008378EB" w:rsidRDefault="008378EB" w:rsidP="008378EB">
      <w:pPr>
        <w:pStyle w:val="NormalWeb"/>
        <w:spacing w:before="0" w:beforeAutospacing="0" w:after="0" w:afterAutospacing="0"/>
        <w:ind w:left="-180" w:right="-334"/>
      </w:pPr>
    </w:p>
    <w:p w14:paraId="10EDEEAB" w14:textId="77777777" w:rsidR="008378EB" w:rsidRDefault="008378EB" w:rsidP="008378EB">
      <w:pPr>
        <w:pStyle w:val="NormalWeb"/>
        <w:spacing w:before="0" w:beforeAutospacing="0" w:after="0" w:afterAutospacing="0"/>
        <w:ind w:left="-180" w:right="-334"/>
      </w:pPr>
    </w:p>
    <w:p w14:paraId="12E9C900" w14:textId="77777777" w:rsidR="008378EB" w:rsidRDefault="008378EB" w:rsidP="008378E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DD0C54A" w14:textId="77777777" w:rsidR="008378EB" w:rsidRPr="00230F35" w:rsidRDefault="008378EB" w:rsidP="008378E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D2D7BE1" w14:textId="77777777" w:rsidR="008378EB" w:rsidRPr="00230F35" w:rsidRDefault="008378EB" w:rsidP="008378EB">
      <w:pPr>
        <w:rPr>
          <w:rFonts w:ascii="Arial" w:hAnsi="Arial" w:cs="Arial"/>
          <w:sz w:val="28"/>
          <w:szCs w:val="28"/>
          <w:lang w:val="cy-GB"/>
        </w:rPr>
      </w:pPr>
    </w:p>
    <w:p w14:paraId="14F631F8" w14:textId="77777777" w:rsidR="008378EB" w:rsidRDefault="008378EB" w:rsidP="008378EB">
      <w:pPr>
        <w:pStyle w:val="Heading3"/>
        <w:jc w:val="center"/>
        <w:rPr>
          <w:lang w:val="cy-GB"/>
        </w:rPr>
      </w:pPr>
      <w:r>
        <w:rPr>
          <w:lang w:val="cy-GB"/>
        </w:rPr>
        <w:t>THIS SHEET MUST BE THE FIRST PAGE OF THE ASSIGNMENT YOU ARE SUBMITTING  (DO NOT SEND AS A SEPARATE FILE)</w:t>
      </w:r>
    </w:p>
    <w:p w14:paraId="43E7B8A8" w14:textId="77777777" w:rsidR="008378EB" w:rsidRDefault="008378EB" w:rsidP="008378E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378EB" w:rsidRPr="00230F35" w14:paraId="484B06F3" w14:textId="77777777" w:rsidTr="00DA2195">
        <w:trPr>
          <w:trHeight w:val="614"/>
        </w:trPr>
        <w:tc>
          <w:tcPr>
            <w:tcW w:w="8856" w:type="dxa"/>
            <w:gridSpan w:val="5"/>
          </w:tcPr>
          <w:p w14:paraId="2BA3DC66" w14:textId="3F9BEF97" w:rsidR="008378EB" w:rsidRPr="00230F35" w:rsidRDefault="008378EB" w:rsidP="00DA219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r>
              <w:rPr>
                <w:rFonts w:ascii="Arial" w:hAnsi="Arial" w:cs="Arial"/>
                <w:sz w:val="22"/>
                <w:szCs w:val="22"/>
              </w:rPr>
              <w:t xml:space="preserve"> </w:t>
            </w:r>
          </w:p>
        </w:tc>
      </w:tr>
      <w:tr w:rsidR="008378EB" w:rsidRPr="00230F35" w14:paraId="61207914" w14:textId="77777777" w:rsidTr="00DA2195">
        <w:trPr>
          <w:trHeight w:val="718"/>
        </w:trPr>
        <w:tc>
          <w:tcPr>
            <w:tcW w:w="8856" w:type="dxa"/>
            <w:gridSpan w:val="5"/>
          </w:tcPr>
          <w:p w14:paraId="01568693" w14:textId="37210186" w:rsidR="008378EB" w:rsidRDefault="008378EB" w:rsidP="00DA21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Amelia Jane Nicol</w:t>
            </w:r>
          </w:p>
          <w:p w14:paraId="6F757743" w14:textId="77777777" w:rsidR="008378EB" w:rsidRPr="00230F35" w:rsidRDefault="008378EB" w:rsidP="00DA2195">
            <w:pPr>
              <w:pStyle w:val="NormalWeb"/>
              <w:spacing w:before="0" w:beforeAutospacing="0" w:after="0" w:afterAutospacing="0"/>
              <w:ind w:right="34"/>
              <w:rPr>
                <w:rFonts w:ascii="Arial" w:hAnsi="Arial" w:cs="Arial"/>
                <w:sz w:val="22"/>
                <w:szCs w:val="22"/>
              </w:rPr>
            </w:pPr>
          </w:p>
          <w:p w14:paraId="086D3896" w14:textId="04358A25" w:rsidR="008378EB" w:rsidRPr="00230F35" w:rsidRDefault="008378EB" w:rsidP="00DA21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2220140@uwtsd.ac.uk</w:t>
            </w:r>
          </w:p>
        </w:tc>
      </w:tr>
      <w:tr w:rsidR="008378EB" w:rsidRPr="00230F35" w14:paraId="4D26745E" w14:textId="77777777" w:rsidTr="00DA2195">
        <w:trPr>
          <w:trHeight w:val="849"/>
        </w:trPr>
        <w:tc>
          <w:tcPr>
            <w:tcW w:w="4788" w:type="dxa"/>
          </w:tcPr>
          <w:p w14:paraId="35D1E303" w14:textId="68641069" w:rsidR="008378EB" w:rsidRPr="00230F35" w:rsidRDefault="008378EB" w:rsidP="00DA21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7E66E3">
              <w:rPr>
                <w:rFonts w:ascii="Arial" w:hAnsi="Arial" w:cs="Arial"/>
                <w:sz w:val="22"/>
                <w:szCs w:val="22"/>
              </w:rPr>
              <w:t xml:space="preserve"> HPCA7016</w:t>
            </w:r>
          </w:p>
          <w:p w14:paraId="4FFEAF66" w14:textId="77777777" w:rsidR="008378EB" w:rsidRPr="00230F35" w:rsidRDefault="008378EB" w:rsidP="00DA2195">
            <w:pPr>
              <w:pStyle w:val="NormalWeb"/>
              <w:spacing w:before="0" w:beforeAutospacing="0" w:after="0" w:afterAutospacing="0"/>
              <w:ind w:right="34"/>
              <w:rPr>
                <w:rFonts w:ascii="Arial" w:hAnsi="Arial" w:cs="Arial"/>
                <w:sz w:val="22"/>
                <w:szCs w:val="22"/>
              </w:rPr>
            </w:pPr>
          </w:p>
          <w:p w14:paraId="789BB691" w14:textId="425D1582" w:rsidR="008378EB" w:rsidRDefault="008378EB" w:rsidP="00DA21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7E66E3">
              <w:rPr>
                <w:rFonts w:ascii="Arial" w:hAnsi="Arial" w:cs="Arial"/>
                <w:sz w:val="22"/>
                <w:szCs w:val="22"/>
              </w:rPr>
              <w:t xml:space="preserve"> Researching Contemporary Cosmologies</w:t>
            </w:r>
          </w:p>
          <w:p w14:paraId="08B7C2B4" w14:textId="77777777" w:rsidR="008378EB" w:rsidRDefault="008378EB" w:rsidP="00DA2195">
            <w:pPr>
              <w:pStyle w:val="NormalWeb"/>
              <w:spacing w:before="0" w:beforeAutospacing="0" w:after="0" w:afterAutospacing="0"/>
              <w:ind w:right="34"/>
              <w:rPr>
                <w:rFonts w:ascii="Arial" w:hAnsi="Arial" w:cs="Arial"/>
                <w:sz w:val="22"/>
                <w:szCs w:val="22"/>
              </w:rPr>
            </w:pPr>
          </w:p>
          <w:p w14:paraId="0CB527C5" w14:textId="77777777" w:rsidR="008378EB" w:rsidRPr="00230F35" w:rsidRDefault="008378EB" w:rsidP="00DA2195">
            <w:pPr>
              <w:pStyle w:val="NormalWeb"/>
              <w:spacing w:before="0" w:beforeAutospacing="0" w:after="0" w:afterAutospacing="0"/>
              <w:ind w:right="34"/>
              <w:rPr>
                <w:rFonts w:ascii="Arial" w:hAnsi="Arial" w:cs="Arial"/>
                <w:sz w:val="22"/>
                <w:szCs w:val="22"/>
              </w:rPr>
            </w:pPr>
          </w:p>
        </w:tc>
        <w:tc>
          <w:tcPr>
            <w:tcW w:w="2266" w:type="dxa"/>
            <w:gridSpan w:val="3"/>
          </w:tcPr>
          <w:p w14:paraId="43783F86" w14:textId="77777777" w:rsidR="008378EB" w:rsidRDefault="008378EB" w:rsidP="00DA21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CC362C5" w14:textId="18144A36" w:rsidR="007E66E3" w:rsidRPr="00230F35" w:rsidRDefault="007E66E3" w:rsidP="00DA2195">
            <w:pPr>
              <w:pStyle w:val="NormalWeb"/>
              <w:spacing w:before="0" w:beforeAutospacing="0" w:after="0" w:afterAutospacing="0"/>
              <w:ind w:right="34"/>
              <w:rPr>
                <w:rFonts w:ascii="Arial" w:hAnsi="Arial" w:cs="Arial"/>
                <w:sz w:val="22"/>
                <w:szCs w:val="22"/>
              </w:rPr>
            </w:pPr>
            <w:r>
              <w:rPr>
                <w:rFonts w:ascii="Arial" w:hAnsi="Arial" w:cs="Arial"/>
                <w:sz w:val="22"/>
                <w:szCs w:val="22"/>
              </w:rPr>
              <w:t>2220140</w:t>
            </w:r>
          </w:p>
        </w:tc>
        <w:tc>
          <w:tcPr>
            <w:tcW w:w="1802" w:type="dxa"/>
          </w:tcPr>
          <w:p w14:paraId="0EB0EDDF" w14:textId="77777777" w:rsidR="008378EB" w:rsidRPr="00230F35" w:rsidRDefault="008378EB" w:rsidP="00DA21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4A2305F" w14:textId="70A8FA62" w:rsidR="008378EB" w:rsidRPr="00230F35" w:rsidRDefault="008378EB" w:rsidP="00DA21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007E66E3">
              <w:rPr>
                <w:rFonts w:ascii="Arial" w:hAnsi="Arial" w:cs="Arial"/>
                <w:sz w:val="22"/>
                <w:szCs w:val="22"/>
              </w:rPr>
              <w:t xml:space="preserve"> – Differentiated deadline</w:t>
            </w:r>
          </w:p>
        </w:tc>
      </w:tr>
      <w:tr w:rsidR="008378EB" w:rsidRPr="00230F35" w14:paraId="5FFDB4C7" w14:textId="77777777" w:rsidTr="00DA2195">
        <w:trPr>
          <w:trHeight w:val="1139"/>
        </w:trPr>
        <w:tc>
          <w:tcPr>
            <w:tcW w:w="8856" w:type="dxa"/>
            <w:gridSpan w:val="5"/>
          </w:tcPr>
          <w:p w14:paraId="574B1B67" w14:textId="71E311DC" w:rsidR="008378EB" w:rsidRPr="00230F35" w:rsidRDefault="008378EB" w:rsidP="00DA21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7E66E3">
              <w:rPr>
                <w:rFonts w:ascii="Arial" w:hAnsi="Arial" w:cs="Arial"/>
                <w:sz w:val="22"/>
                <w:szCs w:val="22"/>
              </w:rPr>
              <w:t xml:space="preserve"> A critical comparison of two secondary sources</w:t>
            </w:r>
          </w:p>
          <w:p w14:paraId="776735C7" w14:textId="77777777" w:rsidR="008378EB" w:rsidRPr="00230F35" w:rsidRDefault="008378EB" w:rsidP="00DA2195">
            <w:pPr>
              <w:pStyle w:val="NormalWeb"/>
              <w:spacing w:before="0" w:beforeAutospacing="0" w:after="0" w:afterAutospacing="0"/>
              <w:ind w:right="34"/>
              <w:rPr>
                <w:rFonts w:ascii="Arial" w:hAnsi="Arial" w:cs="Arial"/>
                <w:sz w:val="22"/>
                <w:szCs w:val="22"/>
              </w:rPr>
            </w:pPr>
          </w:p>
          <w:p w14:paraId="4D86FAB2" w14:textId="77777777" w:rsidR="008378EB" w:rsidRDefault="008378EB" w:rsidP="00DA2195">
            <w:pPr>
              <w:pStyle w:val="NormalWeb"/>
              <w:spacing w:before="0" w:beforeAutospacing="0" w:after="0" w:afterAutospacing="0"/>
              <w:ind w:right="34"/>
              <w:rPr>
                <w:rFonts w:ascii="Arial" w:hAnsi="Arial" w:cs="Arial"/>
                <w:sz w:val="22"/>
                <w:szCs w:val="22"/>
              </w:rPr>
            </w:pPr>
          </w:p>
          <w:p w14:paraId="4E4C4B9D" w14:textId="46C579AC" w:rsidR="008378EB" w:rsidRPr="00230F35" w:rsidRDefault="008378EB" w:rsidP="00DA21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8057FC">
              <w:rPr>
                <w:rFonts w:ascii="Arial" w:hAnsi="Arial" w:cs="Arial"/>
                <w:sz w:val="22"/>
                <w:szCs w:val="22"/>
              </w:rPr>
              <w:t xml:space="preserve"> 16</w:t>
            </w:r>
            <w:r w:rsidR="008057FC" w:rsidRPr="008057FC">
              <w:rPr>
                <w:rFonts w:ascii="Arial" w:hAnsi="Arial" w:cs="Arial"/>
                <w:sz w:val="22"/>
                <w:szCs w:val="22"/>
                <w:vertAlign w:val="superscript"/>
              </w:rPr>
              <w:t>th</w:t>
            </w:r>
            <w:r w:rsidR="008057FC">
              <w:rPr>
                <w:rFonts w:ascii="Arial" w:hAnsi="Arial" w:cs="Arial"/>
                <w:sz w:val="22"/>
                <w:szCs w:val="22"/>
              </w:rPr>
              <w:t xml:space="preserve"> March 2023 (Differentiated deadline: 23</w:t>
            </w:r>
            <w:r w:rsidR="008057FC" w:rsidRPr="008057FC">
              <w:rPr>
                <w:rFonts w:ascii="Arial" w:hAnsi="Arial" w:cs="Arial"/>
                <w:sz w:val="22"/>
                <w:szCs w:val="22"/>
                <w:vertAlign w:val="superscript"/>
              </w:rPr>
              <w:t>rd</w:t>
            </w:r>
            <w:r w:rsidR="008057FC">
              <w:rPr>
                <w:rFonts w:ascii="Arial" w:hAnsi="Arial" w:cs="Arial"/>
                <w:sz w:val="22"/>
                <w:szCs w:val="22"/>
              </w:rPr>
              <w:t xml:space="preserve"> </w:t>
            </w:r>
            <w:proofErr w:type="spellStart"/>
            <w:r w:rsidR="008057FC">
              <w:rPr>
                <w:rFonts w:ascii="Arial" w:hAnsi="Arial" w:cs="Arial"/>
                <w:sz w:val="22"/>
                <w:szCs w:val="22"/>
              </w:rPr>
              <w:t>March</w:t>
            </w:r>
            <w:proofErr w:type="spellEnd"/>
            <w:r w:rsidR="008057FC">
              <w:rPr>
                <w:rFonts w:ascii="Arial" w:hAnsi="Arial" w:cs="Arial"/>
                <w:sz w:val="22"/>
                <w:szCs w:val="22"/>
              </w:rPr>
              <w:t xml:space="preserve"> 2023)</w:t>
            </w:r>
          </w:p>
        </w:tc>
      </w:tr>
      <w:tr w:rsidR="008378EB" w:rsidRPr="00230F35" w14:paraId="49DCDB3E" w14:textId="77777777" w:rsidTr="00DA2195">
        <w:trPr>
          <w:trHeight w:val="978"/>
        </w:trPr>
        <w:tc>
          <w:tcPr>
            <w:tcW w:w="8856" w:type="dxa"/>
            <w:gridSpan w:val="5"/>
            <w:tcBorders>
              <w:bottom w:val="single" w:sz="4" w:space="0" w:color="000000"/>
            </w:tcBorders>
          </w:tcPr>
          <w:p w14:paraId="230D21F8" w14:textId="2F311338" w:rsidR="008378EB" w:rsidRPr="00230F35" w:rsidRDefault="008378EB" w:rsidP="00DA2195">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1"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3</w:t>
            </w:r>
            <w:proofErr w:type="gramStart"/>
            <w:r w:rsidRPr="00230F35">
              <w:rPr>
                <w:rFonts w:ascii="Arial" w:hAnsi="Arial" w:cs="Arial"/>
                <w:vertAlign w:val="superscript"/>
              </w:rPr>
              <w:t>rd</w:t>
            </w:r>
            <w:r w:rsidRPr="00230F35">
              <w:rPr>
                <w:rFonts w:ascii="Arial" w:hAnsi="Arial" w:cs="Arial"/>
              </w:rPr>
              <w:t xml:space="preserve">  </w:t>
            </w:r>
            <w:r w:rsidR="007E66E3">
              <w:rPr>
                <w:rFonts w:ascii="Arial" w:hAnsi="Arial" w:cs="Arial"/>
              </w:rPr>
              <w:t>x</w:t>
            </w:r>
            <w:proofErr w:type="gramEnd"/>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6"/>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8378EB" w:rsidRPr="00230F35" w14:paraId="1C29E054" w14:textId="77777777" w:rsidTr="00DA2195">
        <w:trPr>
          <w:trHeight w:val="978"/>
        </w:trPr>
        <w:tc>
          <w:tcPr>
            <w:tcW w:w="8856" w:type="dxa"/>
            <w:gridSpan w:val="5"/>
            <w:shd w:val="clear" w:color="auto" w:fill="D9D9D9"/>
          </w:tcPr>
          <w:p w14:paraId="38D3C38C" w14:textId="77777777" w:rsidR="008378EB" w:rsidRPr="00230F35" w:rsidRDefault="008378EB" w:rsidP="00DA21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F01AC86" w14:textId="71350295" w:rsidR="008378EB" w:rsidRDefault="008378EB" w:rsidP="00DA21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7E66E3">
              <w:rPr>
                <w:rFonts w:ascii="Arial" w:hAnsi="Arial" w:cs="Arial"/>
                <w:sz w:val="22"/>
                <w:szCs w:val="22"/>
              </w:rPr>
              <w:t>Amelia Nicol</w:t>
            </w:r>
            <w:r w:rsidRPr="00230F35">
              <w:rPr>
                <w:rFonts w:ascii="Arial" w:hAnsi="Arial" w:cs="Arial"/>
                <w:sz w:val="22"/>
                <w:szCs w:val="22"/>
              </w:rPr>
              <w:t>………………………………………</w:t>
            </w:r>
          </w:p>
          <w:p w14:paraId="6E446246" w14:textId="77777777" w:rsidR="008378EB" w:rsidRDefault="008378EB" w:rsidP="00DA219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507B1037" w14:textId="77777777" w:rsidR="008378EB" w:rsidRPr="00230F35" w:rsidRDefault="008378EB" w:rsidP="00DA2195">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8378EB" w:rsidRPr="00230F35" w14:paraId="2AFBA173" w14:textId="77777777" w:rsidTr="00DA2195">
        <w:trPr>
          <w:trHeight w:val="3972"/>
        </w:trPr>
        <w:tc>
          <w:tcPr>
            <w:tcW w:w="8856" w:type="dxa"/>
            <w:gridSpan w:val="5"/>
          </w:tcPr>
          <w:p w14:paraId="0D8FC1E6" w14:textId="77777777" w:rsidR="008378EB" w:rsidRDefault="008378EB" w:rsidP="00DA2195">
            <w:pPr>
              <w:rPr>
                <w:rFonts w:ascii="Arial" w:hAnsi="Arial"/>
                <w:b/>
              </w:rPr>
            </w:pPr>
          </w:p>
          <w:p w14:paraId="5F0E3DB0" w14:textId="77777777" w:rsidR="008378EB" w:rsidRPr="00116CE6" w:rsidRDefault="008378EB" w:rsidP="00DA219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378EB" w:rsidRPr="00116CE6" w14:paraId="2C443C76" w14:textId="77777777" w:rsidTr="00DA2195">
              <w:tc>
                <w:tcPr>
                  <w:tcW w:w="6970" w:type="dxa"/>
                </w:tcPr>
                <w:p w14:paraId="40617E6D" w14:textId="77777777" w:rsidR="008378EB" w:rsidRPr="00116CE6" w:rsidRDefault="008378EB" w:rsidP="00DA2195">
                  <w:pPr>
                    <w:rPr>
                      <w:rFonts w:ascii="Arial" w:hAnsi="Arial"/>
                      <w:sz w:val="20"/>
                      <w:szCs w:val="20"/>
                    </w:rPr>
                  </w:pPr>
                </w:p>
                <w:p w14:paraId="773BEE3E" w14:textId="77777777" w:rsidR="008378EB" w:rsidRPr="00116CE6" w:rsidRDefault="008378EB" w:rsidP="00DA219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12FA7C6" w14:textId="77777777" w:rsidR="008378EB" w:rsidRPr="00116CE6" w:rsidRDefault="008378EB" w:rsidP="00DA2195">
                  <w:pPr>
                    <w:rPr>
                      <w:rFonts w:ascii="Arial" w:hAnsi="Arial"/>
                      <w:sz w:val="20"/>
                      <w:szCs w:val="20"/>
                    </w:rPr>
                  </w:pPr>
                </w:p>
              </w:tc>
            </w:tr>
            <w:tr w:rsidR="008378EB" w:rsidRPr="00116CE6" w14:paraId="30C2A018" w14:textId="77777777" w:rsidTr="00DA2195">
              <w:tc>
                <w:tcPr>
                  <w:tcW w:w="6970" w:type="dxa"/>
                </w:tcPr>
                <w:p w14:paraId="50D03310" w14:textId="77777777" w:rsidR="008378EB" w:rsidRPr="00116CE6" w:rsidRDefault="008378EB" w:rsidP="00DA2195">
                  <w:pPr>
                    <w:rPr>
                      <w:rFonts w:ascii="Arial" w:hAnsi="Arial"/>
                      <w:sz w:val="20"/>
                      <w:szCs w:val="20"/>
                    </w:rPr>
                  </w:pPr>
                </w:p>
                <w:p w14:paraId="5E43CF7E" w14:textId="77777777" w:rsidR="008378EB" w:rsidRPr="00116CE6" w:rsidRDefault="008378EB" w:rsidP="00DA219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A7BF714" w14:textId="77777777" w:rsidR="008378EB" w:rsidRPr="00116CE6" w:rsidRDefault="008378EB" w:rsidP="00DA2195">
                  <w:pPr>
                    <w:rPr>
                      <w:rFonts w:ascii="Arial" w:hAnsi="Arial"/>
                      <w:sz w:val="20"/>
                      <w:szCs w:val="20"/>
                    </w:rPr>
                  </w:pPr>
                </w:p>
              </w:tc>
            </w:tr>
            <w:tr w:rsidR="008378EB" w:rsidRPr="00116CE6" w14:paraId="762CB0C7" w14:textId="77777777" w:rsidTr="00DA2195">
              <w:tc>
                <w:tcPr>
                  <w:tcW w:w="6970" w:type="dxa"/>
                </w:tcPr>
                <w:p w14:paraId="35848CCA" w14:textId="77777777" w:rsidR="008378EB" w:rsidRPr="00116CE6" w:rsidRDefault="008378EB" w:rsidP="00DA2195">
                  <w:pPr>
                    <w:rPr>
                      <w:rFonts w:ascii="Arial" w:hAnsi="Arial"/>
                      <w:sz w:val="20"/>
                      <w:szCs w:val="20"/>
                    </w:rPr>
                  </w:pPr>
                </w:p>
                <w:p w14:paraId="3919F394" w14:textId="77777777" w:rsidR="008378EB" w:rsidRPr="00116CE6" w:rsidRDefault="008378EB" w:rsidP="00DA219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3A25892" w14:textId="77777777" w:rsidR="008378EB" w:rsidRPr="00116CE6" w:rsidRDefault="008378EB" w:rsidP="00DA2195">
                  <w:pPr>
                    <w:rPr>
                      <w:rFonts w:ascii="Arial" w:hAnsi="Arial"/>
                      <w:sz w:val="20"/>
                      <w:szCs w:val="20"/>
                    </w:rPr>
                  </w:pPr>
                </w:p>
              </w:tc>
            </w:tr>
            <w:tr w:rsidR="008378EB" w:rsidRPr="00116CE6" w14:paraId="69721A54" w14:textId="77777777" w:rsidTr="00DA2195">
              <w:tc>
                <w:tcPr>
                  <w:tcW w:w="6970" w:type="dxa"/>
                </w:tcPr>
                <w:p w14:paraId="2B86B708" w14:textId="77777777" w:rsidR="008378EB" w:rsidRDefault="008378EB" w:rsidP="00DA2195">
                  <w:pPr>
                    <w:rPr>
                      <w:rFonts w:ascii="Arial" w:hAnsi="Arial"/>
                      <w:sz w:val="20"/>
                      <w:szCs w:val="20"/>
                    </w:rPr>
                  </w:pPr>
                </w:p>
                <w:p w14:paraId="6A2887BE" w14:textId="77777777" w:rsidR="008378EB" w:rsidRPr="00022345" w:rsidRDefault="008378EB" w:rsidP="00DA2195">
                  <w:pPr>
                    <w:rPr>
                      <w:rFonts w:ascii="Arial" w:hAnsi="Arial"/>
                      <w:b/>
                      <w:sz w:val="20"/>
                      <w:szCs w:val="20"/>
                    </w:rPr>
                  </w:pPr>
                  <w:r w:rsidRPr="00022345">
                    <w:rPr>
                      <w:rFonts w:ascii="Arial" w:hAnsi="Arial"/>
                      <w:b/>
                      <w:sz w:val="20"/>
                      <w:szCs w:val="20"/>
                    </w:rPr>
                    <w:t>Final Mark</w:t>
                  </w:r>
                </w:p>
                <w:p w14:paraId="2FEC7C0F" w14:textId="77777777" w:rsidR="008378EB" w:rsidRPr="00116CE6" w:rsidRDefault="008378EB" w:rsidP="00DA2195">
                  <w:pPr>
                    <w:rPr>
                      <w:rFonts w:ascii="Arial" w:hAnsi="Arial"/>
                      <w:sz w:val="20"/>
                      <w:szCs w:val="20"/>
                    </w:rPr>
                  </w:pPr>
                </w:p>
              </w:tc>
              <w:tc>
                <w:tcPr>
                  <w:tcW w:w="1660" w:type="dxa"/>
                </w:tcPr>
                <w:p w14:paraId="1E6024D7" w14:textId="77777777" w:rsidR="008378EB" w:rsidRPr="00116CE6" w:rsidRDefault="008378EB" w:rsidP="00DA2195">
                  <w:pPr>
                    <w:rPr>
                      <w:rFonts w:ascii="Arial" w:hAnsi="Arial"/>
                      <w:sz w:val="20"/>
                      <w:szCs w:val="20"/>
                    </w:rPr>
                  </w:pPr>
                </w:p>
              </w:tc>
            </w:tr>
          </w:tbl>
          <w:p w14:paraId="5968FAA1" w14:textId="77777777" w:rsidR="008378EB" w:rsidRDefault="008378EB" w:rsidP="00DA2195">
            <w:pPr>
              <w:pStyle w:val="NormalWeb"/>
              <w:spacing w:before="0" w:beforeAutospacing="0" w:after="0" w:afterAutospacing="0"/>
              <w:ind w:left="142" w:right="34"/>
              <w:rPr>
                <w:rFonts w:ascii="Arial" w:hAnsi="Arial" w:cs="Arial"/>
                <w:b/>
                <w:sz w:val="22"/>
                <w:szCs w:val="22"/>
              </w:rPr>
            </w:pPr>
          </w:p>
          <w:p w14:paraId="2B63E4D5" w14:textId="77777777" w:rsidR="008378EB" w:rsidRPr="00230F35" w:rsidRDefault="008378EB" w:rsidP="00DA219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24E79E6" w14:textId="77777777" w:rsidR="008378EB" w:rsidRDefault="008378EB" w:rsidP="00DA2195">
            <w:pPr>
              <w:pStyle w:val="NormalWeb"/>
              <w:spacing w:before="0" w:beforeAutospacing="0" w:after="0" w:afterAutospacing="0"/>
              <w:rPr>
                <w:rFonts w:ascii="Arial" w:hAnsi="Arial" w:cs="Arial"/>
                <w:b/>
                <w:sz w:val="22"/>
                <w:szCs w:val="22"/>
              </w:rPr>
            </w:pPr>
          </w:p>
          <w:p w14:paraId="07A74114" w14:textId="77777777" w:rsidR="008378EB" w:rsidRDefault="008378EB" w:rsidP="00DA2195">
            <w:pPr>
              <w:pStyle w:val="NormalWeb"/>
              <w:spacing w:before="0" w:beforeAutospacing="0" w:after="0" w:afterAutospacing="0"/>
              <w:rPr>
                <w:rFonts w:ascii="Arial" w:hAnsi="Arial" w:cs="Arial"/>
                <w:b/>
                <w:sz w:val="22"/>
                <w:szCs w:val="22"/>
              </w:rPr>
            </w:pPr>
          </w:p>
          <w:p w14:paraId="36784B8C" w14:textId="77777777" w:rsidR="008378EB" w:rsidRDefault="008378EB" w:rsidP="00DA2195">
            <w:pPr>
              <w:pStyle w:val="NormalWeb"/>
              <w:spacing w:before="0" w:beforeAutospacing="0" w:after="0" w:afterAutospacing="0"/>
              <w:rPr>
                <w:rFonts w:ascii="Arial" w:hAnsi="Arial" w:cs="Arial"/>
                <w:b/>
                <w:sz w:val="22"/>
                <w:szCs w:val="22"/>
              </w:rPr>
            </w:pPr>
          </w:p>
          <w:p w14:paraId="3FF704F0" w14:textId="77777777" w:rsidR="008378EB" w:rsidRDefault="008378EB" w:rsidP="00DA2195">
            <w:pPr>
              <w:pStyle w:val="NormalWeb"/>
              <w:spacing w:before="0" w:beforeAutospacing="0" w:after="0" w:afterAutospacing="0"/>
              <w:rPr>
                <w:rFonts w:ascii="Arial" w:hAnsi="Arial" w:cs="Arial"/>
                <w:b/>
                <w:sz w:val="22"/>
                <w:szCs w:val="22"/>
              </w:rPr>
            </w:pPr>
          </w:p>
          <w:p w14:paraId="0285452E" w14:textId="77777777" w:rsidR="008378EB" w:rsidRDefault="008378EB" w:rsidP="00DA2195">
            <w:pPr>
              <w:pStyle w:val="NormalWeb"/>
              <w:spacing w:before="0" w:beforeAutospacing="0" w:after="0" w:afterAutospacing="0"/>
              <w:rPr>
                <w:rFonts w:ascii="Arial" w:hAnsi="Arial" w:cs="Arial"/>
                <w:b/>
                <w:sz w:val="22"/>
                <w:szCs w:val="22"/>
              </w:rPr>
            </w:pPr>
          </w:p>
          <w:p w14:paraId="4DBBAEF5" w14:textId="77777777" w:rsidR="008378EB" w:rsidRPr="00230F35" w:rsidRDefault="008378EB" w:rsidP="00DA219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433BE28" w14:textId="77777777" w:rsidR="008378EB" w:rsidRDefault="008378EB" w:rsidP="00DA219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012C425" w14:textId="77777777" w:rsidR="008378EB" w:rsidRPr="00001C3B" w:rsidRDefault="008378EB" w:rsidP="00DA2195">
            <w:pPr>
              <w:pStyle w:val="NormalWeb"/>
              <w:rPr>
                <w:rFonts w:ascii="Arial" w:hAnsi="Arial" w:cs="Arial"/>
                <w:sz w:val="22"/>
                <w:szCs w:val="22"/>
              </w:rPr>
            </w:pPr>
          </w:p>
        </w:tc>
      </w:tr>
      <w:tr w:rsidR="008378EB" w:rsidRPr="00230F35" w14:paraId="5AADA01B" w14:textId="77777777" w:rsidTr="00DA2195">
        <w:trPr>
          <w:trHeight w:val="492"/>
        </w:trPr>
        <w:tc>
          <w:tcPr>
            <w:tcW w:w="6768" w:type="dxa"/>
            <w:gridSpan w:val="3"/>
          </w:tcPr>
          <w:p w14:paraId="126D82BC" w14:textId="77777777" w:rsidR="008378EB" w:rsidRPr="00230F35" w:rsidRDefault="008378EB" w:rsidP="00DA219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E3D247E" w14:textId="77777777" w:rsidR="008378EB" w:rsidRPr="00230F35" w:rsidRDefault="008378EB" w:rsidP="00DA2195">
            <w:pPr>
              <w:pStyle w:val="NormalWeb"/>
              <w:spacing w:after="0"/>
              <w:ind w:left="142" w:right="34"/>
              <w:rPr>
                <w:rFonts w:ascii="Arial" w:hAnsi="Arial" w:cs="Arial"/>
                <w:sz w:val="22"/>
                <w:szCs w:val="22"/>
              </w:rPr>
            </w:pPr>
            <w:r w:rsidRPr="00230F35">
              <w:rPr>
                <w:rFonts w:ascii="Arial" w:hAnsi="Arial" w:cs="Arial"/>
                <w:sz w:val="22"/>
                <w:szCs w:val="22"/>
              </w:rPr>
              <w:t>Date:</w:t>
            </w:r>
          </w:p>
        </w:tc>
      </w:tr>
      <w:tr w:rsidR="008378EB" w:rsidRPr="002F467C" w14:paraId="3B088E10" w14:textId="77777777" w:rsidTr="00DA2195">
        <w:tc>
          <w:tcPr>
            <w:tcW w:w="8856" w:type="dxa"/>
            <w:gridSpan w:val="5"/>
          </w:tcPr>
          <w:p w14:paraId="51E41DB3" w14:textId="77777777" w:rsidR="008378EB" w:rsidRPr="00230F35" w:rsidRDefault="008378EB" w:rsidP="00DA2195">
            <w:pPr>
              <w:pStyle w:val="NormalWeb"/>
              <w:spacing w:before="0" w:beforeAutospacing="0" w:after="0" w:afterAutospacing="0"/>
              <w:ind w:right="-334"/>
              <w:rPr>
                <w:rFonts w:ascii="Arial" w:hAnsi="Arial" w:cs="Arial"/>
                <w:bCs/>
                <w:i/>
                <w:sz w:val="22"/>
                <w:szCs w:val="22"/>
              </w:rPr>
            </w:pPr>
          </w:p>
          <w:p w14:paraId="37543977" w14:textId="77777777" w:rsidR="008378EB" w:rsidRPr="00230F35" w:rsidRDefault="008378EB" w:rsidP="00DA219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52D511D" w14:textId="77777777" w:rsidR="008378EB" w:rsidRPr="00230F35" w:rsidRDefault="008378EB" w:rsidP="00DA2195">
            <w:pPr>
              <w:pStyle w:val="NormalWeb"/>
              <w:spacing w:before="0" w:beforeAutospacing="0" w:after="0" w:afterAutospacing="0"/>
              <w:ind w:right="-334"/>
              <w:rPr>
                <w:rFonts w:ascii="Arial" w:hAnsi="Arial" w:cs="Arial"/>
                <w:b/>
                <w:bCs/>
                <w:sz w:val="22"/>
                <w:szCs w:val="22"/>
              </w:rPr>
            </w:pPr>
          </w:p>
          <w:p w14:paraId="268D98EF"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130C2AC"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66A8FCA6"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7BF16709"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770AB256"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706886FF"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750FEB48"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7EC212BA"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76556739"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4565E713" w14:textId="77777777" w:rsidR="008378EB" w:rsidRDefault="008378EB" w:rsidP="00DA2195">
            <w:pPr>
              <w:pStyle w:val="NormalWeb"/>
              <w:spacing w:before="0" w:beforeAutospacing="0" w:after="0" w:afterAutospacing="0"/>
              <w:ind w:right="-334"/>
              <w:rPr>
                <w:rFonts w:ascii="Arial" w:hAnsi="Arial" w:cs="Arial"/>
                <w:bCs/>
                <w:sz w:val="22"/>
                <w:szCs w:val="22"/>
              </w:rPr>
            </w:pPr>
          </w:p>
          <w:p w14:paraId="715E96FF"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54D39F55"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559472E5"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tc>
      </w:tr>
      <w:tr w:rsidR="008378EB" w:rsidRPr="002F467C" w14:paraId="34A541E6" w14:textId="77777777" w:rsidTr="00DA2195">
        <w:trPr>
          <w:trHeight w:val="720"/>
        </w:trPr>
        <w:tc>
          <w:tcPr>
            <w:tcW w:w="5211" w:type="dxa"/>
            <w:gridSpan w:val="2"/>
          </w:tcPr>
          <w:p w14:paraId="523ED19B"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4EFC0053"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378EB" w:rsidRPr="002F467C" w14:paraId="0906B4E4" w14:textId="77777777" w:rsidTr="00DA2195">
        <w:trPr>
          <w:trHeight w:val="720"/>
        </w:trPr>
        <w:tc>
          <w:tcPr>
            <w:tcW w:w="8856" w:type="dxa"/>
            <w:gridSpan w:val="5"/>
          </w:tcPr>
          <w:p w14:paraId="42DDF4EA" w14:textId="77777777" w:rsidR="008378EB" w:rsidRPr="00B34964" w:rsidRDefault="008378EB" w:rsidP="00DA2195">
            <w:pPr>
              <w:rPr>
                <w:rFonts w:ascii="Arial" w:hAnsi="Arial" w:cs="Arial"/>
                <w:b/>
              </w:rPr>
            </w:pPr>
            <w:r w:rsidRPr="00B34964">
              <w:rPr>
                <w:rFonts w:ascii="Arial" w:hAnsi="Arial" w:cs="Arial"/>
                <w:b/>
              </w:rPr>
              <w:t>External Examiner’s comments (if relevant)</w:t>
            </w:r>
          </w:p>
          <w:p w14:paraId="58097F1C"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7F5E47A9"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5EF00D36"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3A37C355"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084D713E"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1DFE1771"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37D5FB34"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2712D9BA"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19377443" w14:textId="77777777" w:rsidR="008378EB" w:rsidRDefault="008378EB" w:rsidP="00DA2195">
            <w:pPr>
              <w:pStyle w:val="NormalWeb"/>
              <w:spacing w:before="0" w:beforeAutospacing="0" w:after="0" w:afterAutospacing="0"/>
              <w:ind w:right="-334"/>
              <w:rPr>
                <w:rFonts w:ascii="Arial" w:hAnsi="Arial" w:cs="Arial"/>
                <w:bCs/>
                <w:sz w:val="22"/>
                <w:szCs w:val="22"/>
              </w:rPr>
            </w:pPr>
          </w:p>
          <w:p w14:paraId="7F73F0F3"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p w14:paraId="1DEF867A" w14:textId="77777777" w:rsidR="008378EB" w:rsidRPr="00230F35" w:rsidRDefault="008378EB" w:rsidP="00DA2195">
            <w:pPr>
              <w:pStyle w:val="NormalWeb"/>
              <w:spacing w:before="0" w:beforeAutospacing="0" w:after="0" w:afterAutospacing="0"/>
              <w:ind w:right="-334"/>
              <w:rPr>
                <w:rFonts w:ascii="Arial" w:hAnsi="Arial" w:cs="Arial"/>
                <w:bCs/>
                <w:sz w:val="22"/>
                <w:szCs w:val="22"/>
              </w:rPr>
            </w:pPr>
          </w:p>
        </w:tc>
      </w:tr>
      <w:tr w:rsidR="008378EB" w:rsidRPr="002F467C" w14:paraId="23384A99" w14:textId="77777777" w:rsidTr="00DA2195">
        <w:trPr>
          <w:trHeight w:val="720"/>
        </w:trPr>
        <w:tc>
          <w:tcPr>
            <w:tcW w:w="5211" w:type="dxa"/>
            <w:gridSpan w:val="2"/>
          </w:tcPr>
          <w:p w14:paraId="615635A4" w14:textId="77777777" w:rsidR="008378EB" w:rsidRPr="00230F35" w:rsidRDefault="008378EB" w:rsidP="00DA2195">
            <w:pPr>
              <w:rPr>
                <w:rFonts w:ascii="Arial" w:hAnsi="Arial" w:cs="Arial"/>
              </w:rPr>
            </w:pPr>
            <w:r w:rsidRPr="00230F35">
              <w:rPr>
                <w:rFonts w:ascii="Arial" w:hAnsi="Arial" w:cs="Arial"/>
              </w:rPr>
              <w:t>External Examiner’s Signature:</w:t>
            </w:r>
          </w:p>
        </w:tc>
        <w:tc>
          <w:tcPr>
            <w:tcW w:w="3645" w:type="dxa"/>
            <w:gridSpan w:val="3"/>
          </w:tcPr>
          <w:p w14:paraId="4354B1DD" w14:textId="77777777" w:rsidR="008378EB" w:rsidRPr="00230F35" w:rsidRDefault="008378EB" w:rsidP="00DA2195">
            <w:pPr>
              <w:rPr>
                <w:rFonts w:ascii="Arial" w:hAnsi="Arial" w:cs="Arial"/>
              </w:rPr>
            </w:pPr>
            <w:r w:rsidRPr="00230F35">
              <w:rPr>
                <w:rFonts w:ascii="Arial" w:hAnsi="Arial" w:cs="Arial"/>
              </w:rPr>
              <w:t>Date:</w:t>
            </w:r>
          </w:p>
        </w:tc>
      </w:tr>
    </w:tbl>
    <w:p w14:paraId="419284DB" w14:textId="77777777" w:rsidR="008378EB" w:rsidRPr="00D67BF8" w:rsidRDefault="008378EB" w:rsidP="008378EB">
      <w:pPr>
        <w:pStyle w:val="NormalWeb"/>
        <w:spacing w:before="0" w:beforeAutospacing="0" w:after="0" w:afterAutospacing="0"/>
        <w:ind w:right="-334"/>
        <w:rPr>
          <w:rFonts w:ascii="Trebuchet MS" w:hAnsi="Trebuchet MS" w:cs="Tahoma"/>
          <w:bCs/>
          <w:sz w:val="24"/>
          <w:szCs w:val="24"/>
        </w:rPr>
      </w:pPr>
    </w:p>
    <w:p w14:paraId="38211B19" w14:textId="24622C66" w:rsidR="5EFCDA02" w:rsidRPr="008378EB" w:rsidRDefault="5EFCDA02" w:rsidP="008378EB">
      <w:pPr>
        <w:contextualSpacing/>
        <w:jc w:val="center"/>
        <w:rPr>
          <w:rFonts w:eastAsia="Calibri" w:cstheme="minorHAnsi"/>
          <w:color w:val="000000" w:themeColor="text1"/>
          <w:u w:val="single"/>
        </w:rPr>
      </w:pPr>
      <w:r w:rsidRPr="008378EB">
        <w:rPr>
          <w:rFonts w:eastAsia="Calibri" w:cstheme="minorHAnsi"/>
          <w:color w:val="000000" w:themeColor="text1"/>
          <w:u w:val="single"/>
        </w:rPr>
        <w:t>A Critical Comparison of two Secondary Sources</w:t>
      </w:r>
      <w:bookmarkEnd w:id="0"/>
    </w:p>
    <w:p w14:paraId="0293D4E0" w14:textId="0C900D2D" w:rsidR="00715D14" w:rsidRPr="008378EB" w:rsidRDefault="008378EB" w:rsidP="008378EB">
      <w:pPr>
        <w:contextualSpacing/>
        <w:jc w:val="center"/>
        <w:rPr>
          <w:rFonts w:eastAsia="Calibri" w:cstheme="minorHAnsi"/>
          <w:color w:val="000000" w:themeColor="text1"/>
          <w:u w:val="single"/>
        </w:rPr>
      </w:pPr>
      <w:r w:rsidRPr="008378EB">
        <w:rPr>
          <w:rFonts w:eastAsia="Calibri" w:cstheme="minorHAnsi"/>
          <w:color w:val="000000" w:themeColor="text1"/>
          <w:u w:val="single"/>
        </w:rPr>
        <w:t>Word Count:  2622</w:t>
      </w:r>
    </w:p>
    <w:p w14:paraId="3B06B5F9" w14:textId="7419E154" w:rsidR="00715D14" w:rsidRPr="006B3081" w:rsidRDefault="00715D14" w:rsidP="6BB0E553">
      <w:pPr>
        <w:contextualSpacing/>
        <w:rPr>
          <w:rFonts w:eastAsia="Calibri" w:cstheme="minorHAnsi"/>
          <w:color w:val="000000" w:themeColor="text1"/>
        </w:rPr>
      </w:pPr>
    </w:p>
    <w:p w14:paraId="6DDB0CB7" w14:textId="3F79A894" w:rsidR="00715D14" w:rsidRPr="006B3081" w:rsidRDefault="66DCC012" w:rsidP="00B87A6F">
      <w:pPr>
        <w:ind w:firstLine="720"/>
        <w:contextualSpacing/>
        <w:rPr>
          <w:rFonts w:eastAsia="Calibri" w:cstheme="minorHAnsi"/>
          <w:color w:val="000000" w:themeColor="text1"/>
        </w:rPr>
      </w:pPr>
      <w:r w:rsidRPr="006B3081">
        <w:rPr>
          <w:rFonts w:eastAsia="Calibri" w:cstheme="minorHAnsi"/>
          <w:color w:val="000000" w:themeColor="text1"/>
        </w:rPr>
        <w:t xml:space="preserve">This essay will </w:t>
      </w:r>
      <w:proofErr w:type="gramStart"/>
      <w:r w:rsidRPr="006B3081">
        <w:rPr>
          <w:rFonts w:eastAsia="Calibri" w:cstheme="minorHAnsi"/>
          <w:color w:val="000000" w:themeColor="text1"/>
        </w:rPr>
        <w:t>compare and contrast</w:t>
      </w:r>
      <w:proofErr w:type="gramEnd"/>
      <w:r w:rsidRPr="006B3081">
        <w:rPr>
          <w:rFonts w:eastAsia="Calibri" w:cstheme="minorHAnsi"/>
          <w:color w:val="000000" w:themeColor="text1"/>
        </w:rPr>
        <w:t xml:space="preserve"> the </w:t>
      </w:r>
      <w:r w:rsidR="00497A16" w:rsidRPr="006B3081">
        <w:rPr>
          <w:rFonts w:eastAsia="Calibri" w:cstheme="minorHAnsi"/>
          <w:color w:val="000000" w:themeColor="text1"/>
        </w:rPr>
        <w:t xml:space="preserve">aims, </w:t>
      </w:r>
      <w:r w:rsidR="00BA7AAD" w:rsidRPr="006B3081">
        <w:rPr>
          <w:rFonts w:eastAsia="Calibri" w:cstheme="minorHAnsi"/>
          <w:color w:val="000000" w:themeColor="text1"/>
        </w:rPr>
        <w:t xml:space="preserve">literature reviews </w:t>
      </w:r>
      <w:r w:rsidR="004F23B7">
        <w:rPr>
          <w:rFonts w:eastAsia="Calibri" w:cstheme="minorHAnsi"/>
          <w:color w:val="000000" w:themeColor="text1"/>
        </w:rPr>
        <w:t xml:space="preserve">and </w:t>
      </w:r>
      <w:r w:rsidRPr="006B3081">
        <w:rPr>
          <w:rFonts w:eastAsia="Calibri" w:cstheme="minorHAnsi"/>
          <w:color w:val="000000" w:themeColor="text1"/>
        </w:rPr>
        <w:t xml:space="preserve">methodologies of </w:t>
      </w:r>
      <w:r w:rsidR="006B3081" w:rsidRPr="006B3081">
        <w:rPr>
          <w:rStyle w:val="normaltextrun"/>
          <w:rFonts w:cstheme="minorHAnsi"/>
        </w:rPr>
        <w:t>Walter, T. &amp; Waterhouse, H. 1999. ‘</w:t>
      </w:r>
      <w:r w:rsidR="006B3081" w:rsidRPr="00383BB7">
        <w:rPr>
          <w:rStyle w:val="normaltextrun"/>
          <w:rFonts w:cstheme="minorHAnsi"/>
          <w:i/>
          <w:iCs/>
        </w:rPr>
        <w:t>A Very Private Belief: Reincarnation in Contemporary England’</w:t>
      </w:r>
      <w:r w:rsidR="006B3081" w:rsidRPr="006B3081">
        <w:rPr>
          <w:rStyle w:val="normaltextrun"/>
          <w:rFonts w:cstheme="minorHAnsi"/>
        </w:rPr>
        <w:t>. Sociology of Religion, 60, pp.187-197</w:t>
      </w:r>
      <w:r w:rsidR="004F23B7">
        <w:rPr>
          <w:rStyle w:val="normaltextrun"/>
          <w:rFonts w:cstheme="minorHAnsi"/>
        </w:rPr>
        <w:t xml:space="preserve">, with </w:t>
      </w:r>
      <w:r w:rsidR="006B3081" w:rsidRPr="006B3081">
        <w:rPr>
          <w:rFonts w:cstheme="minorHAnsi"/>
          <w:shd w:val="clear" w:color="auto" w:fill="FFFFFF"/>
        </w:rPr>
        <w:t>Brink, T. L. 1978. ‘</w:t>
      </w:r>
      <w:r w:rsidR="006B3081" w:rsidRPr="00383BB7">
        <w:rPr>
          <w:rFonts w:cstheme="minorHAnsi"/>
          <w:i/>
          <w:iCs/>
          <w:shd w:val="clear" w:color="auto" w:fill="FFFFFF"/>
        </w:rPr>
        <w:t>Inconsistency of Belief among Roman Catholic Girls: Concerning Religion, Astrology, Reincarnation</w:t>
      </w:r>
      <w:r w:rsidR="006B3081" w:rsidRPr="006B3081">
        <w:rPr>
          <w:rFonts w:cstheme="minorHAnsi"/>
          <w:shd w:val="clear" w:color="auto" w:fill="FFFFFF"/>
        </w:rPr>
        <w:t>.’ Review of Religious Research, 20, pp.82-85</w:t>
      </w:r>
      <w:r w:rsidR="00383BB7">
        <w:rPr>
          <w:rFonts w:cstheme="minorHAnsi"/>
          <w:shd w:val="clear" w:color="auto" w:fill="FFFFFF"/>
        </w:rPr>
        <w:t xml:space="preserve">. </w:t>
      </w:r>
      <w:r w:rsidRPr="006B3081">
        <w:rPr>
          <w:rFonts w:eastAsia="Calibri" w:cstheme="minorHAnsi"/>
          <w:i/>
          <w:iCs/>
          <w:color w:val="000000" w:themeColor="text1"/>
        </w:rPr>
        <w:t>A Very Private Belief</w:t>
      </w:r>
      <w:r w:rsidRPr="006B3081">
        <w:rPr>
          <w:rFonts w:eastAsia="Calibri" w:cstheme="minorHAnsi"/>
          <w:color w:val="000000" w:themeColor="text1"/>
        </w:rPr>
        <w:t xml:space="preserve"> was written by Walter during his time as Reader in Sociology at University of Reading</w:t>
      </w:r>
      <w:r w:rsidR="00C03ABB" w:rsidRPr="006B3081">
        <w:rPr>
          <w:rFonts w:eastAsia="Calibri" w:cstheme="minorHAnsi"/>
          <w:color w:val="000000" w:themeColor="text1"/>
        </w:rPr>
        <w:t>, whose academic</w:t>
      </w:r>
      <w:r w:rsidR="00C03ABB" w:rsidRPr="006B3081">
        <w:rPr>
          <w:rFonts w:eastAsia="Calibri" w:cstheme="minorHAnsi"/>
          <w:color w:val="000000" w:themeColor="text1"/>
        </w:rPr>
        <w:t xml:space="preserve"> interests focus on the sociology surrounding topics of death, bereavement, beliefs in the afterlife and how societies </w:t>
      </w:r>
      <w:proofErr w:type="spellStart"/>
      <w:r w:rsidR="00C03ABB" w:rsidRPr="006B3081">
        <w:rPr>
          <w:rFonts w:eastAsia="Calibri" w:cstheme="minorHAnsi"/>
          <w:color w:val="000000" w:themeColor="text1"/>
        </w:rPr>
        <w:t>symbolise</w:t>
      </w:r>
      <w:proofErr w:type="spellEnd"/>
      <w:r w:rsidR="00C03ABB" w:rsidRPr="006B3081">
        <w:rPr>
          <w:rFonts w:eastAsia="Calibri" w:cstheme="minorHAnsi"/>
          <w:color w:val="000000" w:themeColor="text1"/>
        </w:rPr>
        <w:t xml:space="preserve"> and respect the passing of their members</w:t>
      </w:r>
      <w:r w:rsidR="00C03ABB" w:rsidRPr="006B3081">
        <w:rPr>
          <w:rFonts w:eastAsia="Calibri" w:cstheme="minorHAnsi"/>
          <w:color w:val="000000" w:themeColor="text1"/>
        </w:rPr>
        <w:t>.</w:t>
      </w:r>
      <w:r w:rsidR="00B50CAF" w:rsidRPr="006B3081">
        <w:rPr>
          <w:rStyle w:val="FootnoteReference"/>
          <w:rFonts w:eastAsia="Calibri" w:cstheme="minorHAnsi"/>
          <w:color w:val="000000" w:themeColor="text1"/>
        </w:rPr>
        <w:footnoteReference w:id="1"/>
      </w:r>
      <w:r w:rsidR="00C03ABB" w:rsidRPr="006B3081">
        <w:rPr>
          <w:rFonts w:eastAsia="Calibri" w:cstheme="minorHAnsi"/>
          <w:color w:val="000000" w:themeColor="text1"/>
        </w:rPr>
        <w:t xml:space="preserve"> He authors the paper</w:t>
      </w:r>
      <w:r w:rsidRPr="006B3081">
        <w:rPr>
          <w:rFonts w:eastAsia="Calibri" w:cstheme="minorHAnsi"/>
          <w:color w:val="000000" w:themeColor="text1"/>
        </w:rPr>
        <w:t xml:space="preserve"> alongside Helen Waterhouse, who</w:t>
      </w:r>
      <w:r w:rsidR="00C03ABB" w:rsidRPr="006B3081">
        <w:rPr>
          <w:rFonts w:eastAsia="Calibri" w:cstheme="minorHAnsi"/>
          <w:color w:val="000000" w:themeColor="text1"/>
        </w:rPr>
        <w:t xml:space="preserve">se </w:t>
      </w:r>
      <w:r w:rsidRPr="006B3081">
        <w:rPr>
          <w:rFonts w:eastAsia="Calibri" w:cstheme="minorHAnsi"/>
          <w:color w:val="000000" w:themeColor="text1"/>
        </w:rPr>
        <w:t>academic interests focus mainly on Buddhism</w:t>
      </w:r>
      <w:r w:rsidR="00FE25E3">
        <w:rPr>
          <w:rFonts w:eastAsia="Calibri" w:cstheme="minorHAnsi"/>
          <w:color w:val="000000" w:themeColor="text1"/>
        </w:rPr>
        <w:t>.</w:t>
      </w:r>
      <w:r w:rsidR="00B50CAF" w:rsidRPr="006B3081">
        <w:rPr>
          <w:rStyle w:val="FootnoteReference"/>
          <w:rFonts w:eastAsia="Calibri" w:cstheme="minorHAnsi"/>
          <w:color w:val="000000" w:themeColor="text1"/>
        </w:rPr>
        <w:footnoteReference w:id="2"/>
      </w:r>
      <w:r w:rsidR="00C03ABB" w:rsidRPr="006B3081">
        <w:rPr>
          <w:rFonts w:eastAsia="Calibri" w:cstheme="minorHAnsi"/>
          <w:color w:val="000000" w:themeColor="text1"/>
        </w:rPr>
        <w:t xml:space="preserve"> </w:t>
      </w:r>
      <w:r w:rsidRPr="006B3081">
        <w:rPr>
          <w:rFonts w:eastAsia="Calibri" w:cstheme="minorHAnsi"/>
          <w:color w:val="000000" w:themeColor="text1"/>
        </w:rPr>
        <w:t>Conversely,</w:t>
      </w:r>
      <w:r w:rsidRPr="006B3081">
        <w:rPr>
          <w:rFonts w:eastAsia="Calibri" w:cstheme="minorHAnsi"/>
          <w:i/>
          <w:iCs/>
          <w:color w:val="000000" w:themeColor="text1"/>
        </w:rPr>
        <w:t xml:space="preserve"> </w:t>
      </w:r>
      <w:r w:rsidR="00B50CAF" w:rsidRPr="006B3081">
        <w:rPr>
          <w:rFonts w:eastAsia="Calibri" w:cstheme="minorHAnsi"/>
          <w:i/>
          <w:iCs/>
          <w:color w:val="000000" w:themeColor="text1"/>
        </w:rPr>
        <w:t>‘</w:t>
      </w:r>
      <w:r w:rsidRPr="006B3081">
        <w:rPr>
          <w:rFonts w:eastAsia="Calibri" w:cstheme="minorHAnsi"/>
          <w:i/>
          <w:iCs/>
          <w:color w:val="000000" w:themeColor="text1"/>
        </w:rPr>
        <w:t>Inconsistency of Belief</w:t>
      </w:r>
      <w:r w:rsidR="00B50CAF" w:rsidRPr="006B3081">
        <w:rPr>
          <w:rFonts w:eastAsia="Calibri" w:cstheme="minorHAnsi"/>
          <w:i/>
          <w:iCs/>
          <w:color w:val="000000" w:themeColor="text1"/>
        </w:rPr>
        <w:t>’</w:t>
      </w:r>
      <w:r w:rsidRPr="006B3081">
        <w:rPr>
          <w:rFonts w:eastAsia="Calibri" w:cstheme="minorHAnsi"/>
          <w:color w:val="000000" w:themeColor="text1"/>
        </w:rPr>
        <w:t xml:space="preserve"> was written by T.L Brink, who has been a professor of Psychology at Crafton Hills College for over 30 years.</w:t>
      </w:r>
      <w:r w:rsidR="00141F17" w:rsidRPr="006B3081">
        <w:rPr>
          <w:rFonts w:eastAsia="Calibri" w:cstheme="minorHAnsi"/>
          <w:color w:val="000000" w:themeColor="text1"/>
        </w:rPr>
        <w:t xml:space="preserve"> </w:t>
      </w:r>
      <w:r w:rsidR="00FE25E3">
        <w:rPr>
          <w:rFonts w:eastAsia="Calibri" w:cstheme="minorHAnsi"/>
          <w:color w:val="000000" w:themeColor="text1"/>
        </w:rPr>
        <w:t>A</w:t>
      </w:r>
      <w:r w:rsidRPr="006B3081">
        <w:rPr>
          <w:rFonts w:eastAsia="Calibri" w:cstheme="minorHAnsi"/>
          <w:color w:val="000000" w:themeColor="text1"/>
        </w:rPr>
        <w:t>t the time of writing the paper in 1976, Brink appears to have been a PHD student at the University of Chicago, in his early twenties.</w:t>
      </w:r>
      <w:r w:rsidR="00BE77FD" w:rsidRPr="006B3081">
        <w:rPr>
          <w:rStyle w:val="FootnoteReference"/>
          <w:rFonts w:eastAsia="Calibri" w:cstheme="minorHAnsi"/>
          <w:color w:val="000000" w:themeColor="text1"/>
        </w:rPr>
        <w:footnoteReference w:id="3"/>
      </w:r>
      <w:r w:rsidRPr="006B3081">
        <w:rPr>
          <w:rFonts w:eastAsia="Calibri" w:cstheme="minorHAnsi"/>
          <w:color w:val="000000" w:themeColor="text1"/>
        </w:rPr>
        <w:t xml:space="preserve"> Brink’s</w:t>
      </w:r>
      <w:r w:rsidR="00C156F7">
        <w:rPr>
          <w:rFonts w:eastAsia="Calibri" w:cstheme="minorHAnsi"/>
          <w:color w:val="000000" w:themeColor="text1"/>
        </w:rPr>
        <w:t xml:space="preserve"> main</w:t>
      </w:r>
      <w:r w:rsidRPr="006B3081">
        <w:rPr>
          <w:rFonts w:eastAsia="Calibri" w:cstheme="minorHAnsi"/>
          <w:color w:val="000000" w:themeColor="text1"/>
        </w:rPr>
        <w:t xml:space="preserve"> </w:t>
      </w:r>
      <w:r w:rsidR="00A004AE">
        <w:rPr>
          <w:rFonts w:eastAsia="Calibri" w:cstheme="minorHAnsi"/>
          <w:color w:val="000000" w:themeColor="text1"/>
        </w:rPr>
        <w:t xml:space="preserve">research and academic </w:t>
      </w:r>
      <w:r w:rsidR="00C156F7">
        <w:rPr>
          <w:rFonts w:eastAsia="Calibri" w:cstheme="minorHAnsi"/>
          <w:color w:val="000000" w:themeColor="text1"/>
        </w:rPr>
        <w:t>topic</w:t>
      </w:r>
      <w:r w:rsidRPr="006B3081">
        <w:rPr>
          <w:rFonts w:eastAsia="Calibri" w:cstheme="minorHAnsi"/>
          <w:color w:val="000000" w:themeColor="text1"/>
        </w:rPr>
        <w:t xml:space="preserve"> include the diagnosis and treatment of mental health issues more recently, whilst in the past he focused on methods of qualitative research, as well as theories surrounding religion and faith</w:t>
      </w:r>
      <w:r w:rsidR="00B50CAF" w:rsidRPr="006B3081">
        <w:rPr>
          <w:rFonts w:eastAsia="Calibri" w:cstheme="minorHAnsi"/>
          <w:color w:val="000000" w:themeColor="text1"/>
        </w:rPr>
        <w:t xml:space="preserve">, suggesting he would be an appropriate researcher on this topic at the time, </w:t>
      </w:r>
      <w:r w:rsidR="00BE77FD" w:rsidRPr="006B3081">
        <w:rPr>
          <w:rFonts w:eastAsia="Calibri" w:cstheme="minorHAnsi"/>
          <w:color w:val="000000" w:themeColor="text1"/>
        </w:rPr>
        <w:t xml:space="preserve">though </w:t>
      </w:r>
      <w:r w:rsidR="000D4A9E" w:rsidRPr="006B3081">
        <w:rPr>
          <w:rFonts w:eastAsia="Calibri" w:cstheme="minorHAnsi"/>
          <w:color w:val="000000" w:themeColor="text1"/>
        </w:rPr>
        <w:t>inexperienced academically.</w:t>
      </w:r>
    </w:p>
    <w:p w14:paraId="567F5D43" w14:textId="14D4DE99" w:rsidR="02163D9C" w:rsidRPr="006B3081" w:rsidRDefault="02163D9C" w:rsidP="02163D9C">
      <w:pPr>
        <w:contextualSpacing/>
        <w:rPr>
          <w:rFonts w:eastAsia="Calibri" w:cstheme="minorHAnsi"/>
          <w:b/>
          <w:bCs/>
          <w:color w:val="000000" w:themeColor="text1"/>
        </w:rPr>
      </w:pPr>
    </w:p>
    <w:p w14:paraId="516A44EF" w14:textId="2878D074" w:rsidR="00715D14" w:rsidRPr="006B3081" w:rsidRDefault="66DCC012" w:rsidP="02163D9C">
      <w:pPr>
        <w:widowControl w:val="0"/>
        <w:ind w:firstLine="720"/>
        <w:contextualSpacing/>
        <w:rPr>
          <w:rFonts w:eastAsia="Calibri" w:cstheme="minorHAnsi"/>
          <w:color w:val="000000" w:themeColor="text1"/>
        </w:rPr>
      </w:pPr>
      <w:r w:rsidRPr="006B3081">
        <w:rPr>
          <w:rFonts w:eastAsia="Calibri" w:cstheme="minorHAnsi"/>
          <w:color w:val="000000" w:themeColor="text1"/>
        </w:rPr>
        <w:t xml:space="preserve">Both papers </w:t>
      </w:r>
      <w:proofErr w:type="spellStart"/>
      <w:r w:rsidRPr="006B3081">
        <w:rPr>
          <w:rFonts w:eastAsia="Calibri" w:cstheme="minorHAnsi"/>
          <w:color w:val="000000" w:themeColor="text1"/>
        </w:rPr>
        <w:t>centralise</w:t>
      </w:r>
      <w:proofErr w:type="spellEnd"/>
      <w:r w:rsidRPr="006B3081">
        <w:rPr>
          <w:rFonts w:eastAsia="Calibri" w:cstheme="minorHAnsi"/>
          <w:color w:val="000000" w:themeColor="text1"/>
        </w:rPr>
        <w:t xml:space="preserve"> the topic of belief in their titles, </w:t>
      </w:r>
      <w:r w:rsidR="00141F17" w:rsidRPr="006B3081">
        <w:rPr>
          <w:rFonts w:eastAsia="Calibri" w:cstheme="minorHAnsi"/>
          <w:color w:val="000000" w:themeColor="text1"/>
        </w:rPr>
        <w:t>signaling</w:t>
      </w:r>
      <w:r w:rsidR="000D4A9E" w:rsidRPr="006B3081">
        <w:rPr>
          <w:rFonts w:eastAsia="Calibri" w:cstheme="minorHAnsi"/>
          <w:color w:val="000000" w:themeColor="text1"/>
        </w:rPr>
        <w:t xml:space="preserve"> that</w:t>
      </w:r>
      <w:r w:rsidRPr="006B3081">
        <w:rPr>
          <w:rFonts w:eastAsia="Calibri" w:cstheme="minorHAnsi"/>
          <w:color w:val="000000" w:themeColor="text1"/>
        </w:rPr>
        <w:t xml:space="preserve"> this is a key notion within each research</w:t>
      </w:r>
      <w:r w:rsidR="000D4A9E" w:rsidRPr="006B3081">
        <w:rPr>
          <w:rFonts w:eastAsia="Calibri" w:cstheme="minorHAnsi"/>
          <w:color w:val="000000" w:themeColor="text1"/>
        </w:rPr>
        <w:t xml:space="preserve"> paper</w:t>
      </w:r>
      <w:r w:rsidRPr="006B3081">
        <w:rPr>
          <w:rFonts w:eastAsia="Calibri" w:cstheme="minorHAnsi"/>
          <w:color w:val="000000" w:themeColor="text1"/>
        </w:rPr>
        <w:t xml:space="preserve">. Walter and Waterhouse contend that contemporary </w:t>
      </w:r>
      <w:r w:rsidR="000D4A9E" w:rsidRPr="006B3081">
        <w:rPr>
          <w:rFonts w:eastAsia="Calibri" w:cstheme="minorHAnsi"/>
          <w:color w:val="000000" w:themeColor="text1"/>
        </w:rPr>
        <w:t>secularization h</w:t>
      </w:r>
      <w:r w:rsidRPr="006B3081">
        <w:rPr>
          <w:rFonts w:eastAsia="Calibri" w:cstheme="minorHAnsi"/>
          <w:color w:val="000000" w:themeColor="text1"/>
        </w:rPr>
        <w:t xml:space="preserve">as </w:t>
      </w:r>
      <w:r w:rsidR="000D4A9E" w:rsidRPr="006B3081">
        <w:rPr>
          <w:rFonts w:eastAsia="Calibri" w:cstheme="minorHAnsi"/>
          <w:color w:val="000000" w:themeColor="text1"/>
        </w:rPr>
        <w:t>meant that belief has become</w:t>
      </w:r>
      <w:r w:rsidRPr="006B3081">
        <w:rPr>
          <w:rFonts w:eastAsia="Calibri" w:cstheme="minorHAnsi"/>
          <w:color w:val="000000" w:themeColor="text1"/>
        </w:rPr>
        <w:t xml:space="preserve"> an instance of personal choice</w:t>
      </w:r>
      <w:r w:rsidR="000D4A9E" w:rsidRPr="006B3081">
        <w:rPr>
          <w:rFonts w:eastAsia="Calibri" w:cstheme="minorHAnsi"/>
          <w:color w:val="000000" w:themeColor="text1"/>
        </w:rPr>
        <w:t xml:space="preserve">, </w:t>
      </w:r>
      <w:r w:rsidR="00F6162A">
        <w:rPr>
          <w:rFonts w:eastAsia="Calibri" w:cstheme="minorHAnsi"/>
          <w:color w:val="000000" w:themeColor="text1"/>
        </w:rPr>
        <w:t>having</w:t>
      </w:r>
      <w:r w:rsidRPr="006B3081">
        <w:rPr>
          <w:rFonts w:eastAsia="Calibri" w:cstheme="minorHAnsi"/>
          <w:color w:val="000000" w:themeColor="text1"/>
        </w:rPr>
        <w:t xml:space="preserve"> little impact o</w:t>
      </w:r>
      <w:r w:rsidR="000D4A9E" w:rsidRPr="006B3081">
        <w:rPr>
          <w:rFonts w:eastAsia="Calibri" w:cstheme="minorHAnsi"/>
          <w:color w:val="000000" w:themeColor="text1"/>
        </w:rPr>
        <w:t>n</w:t>
      </w:r>
      <w:r w:rsidRPr="006B3081">
        <w:rPr>
          <w:rFonts w:eastAsia="Calibri" w:cstheme="minorHAnsi"/>
          <w:color w:val="000000" w:themeColor="text1"/>
        </w:rPr>
        <w:t xml:space="preserve"> morality or </w:t>
      </w:r>
      <w:proofErr w:type="spellStart"/>
      <w:r w:rsidRPr="006B3081">
        <w:rPr>
          <w:rFonts w:eastAsia="Calibri" w:cstheme="minorHAnsi"/>
          <w:color w:val="000000" w:themeColor="text1"/>
        </w:rPr>
        <w:t>behaviour</w:t>
      </w:r>
      <w:proofErr w:type="spellEnd"/>
      <w:r w:rsidRPr="006B3081">
        <w:rPr>
          <w:rFonts w:eastAsia="Calibri" w:cstheme="minorHAnsi"/>
          <w:color w:val="000000" w:themeColor="text1"/>
        </w:rPr>
        <w:t xml:space="preserve"> as </w:t>
      </w:r>
      <w:r w:rsidR="00F6162A">
        <w:rPr>
          <w:rFonts w:eastAsia="Calibri" w:cstheme="minorHAnsi"/>
          <w:color w:val="000000" w:themeColor="text1"/>
        </w:rPr>
        <w:t>formerly</w:t>
      </w:r>
      <w:r w:rsidRPr="006B3081">
        <w:rPr>
          <w:rFonts w:eastAsia="Calibri" w:cstheme="minorHAnsi"/>
          <w:color w:val="000000" w:themeColor="text1"/>
        </w:rPr>
        <w:t xml:space="preserve"> believed to be the purpose of religion.</w:t>
      </w:r>
      <w:r w:rsidR="00A07C03" w:rsidRPr="006B3081">
        <w:rPr>
          <w:rFonts w:eastAsia="Calibri" w:cstheme="minorHAnsi"/>
          <w:color w:val="000000" w:themeColor="text1"/>
          <w:vertAlign w:val="superscript"/>
        </w:rPr>
        <w:t xml:space="preserve"> </w:t>
      </w:r>
      <w:r w:rsidRPr="006B3081">
        <w:rPr>
          <w:rFonts w:eastAsia="Calibri" w:cstheme="minorHAnsi"/>
          <w:color w:val="000000" w:themeColor="text1"/>
        </w:rPr>
        <w:t>The</w:t>
      </w:r>
      <w:r w:rsidR="00B20631">
        <w:rPr>
          <w:rFonts w:eastAsia="Calibri" w:cstheme="minorHAnsi"/>
          <w:color w:val="000000" w:themeColor="text1"/>
        </w:rPr>
        <w:t xml:space="preserve">ir hypothesis </w:t>
      </w:r>
      <w:r w:rsidRPr="006B3081">
        <w:rPr>
          <w:rFonts w:eastAsia="Calibri" w:cstheme="minorHAnsi"/>
          <w:color w:val="000000" w:themeColor="text1"/>
        </w:rPr>
        <w:t xml:space="preserve">states they aim to prove reincarnation </w:t>
      </w:r>
      <w:r w:rsidRPr="006B3081">
        <w:rPr>
          <w:rFonts w:eastAsia="Calibri" w:cstheme="minorHAnsi"/>
          <w:color w:val="000000" w:themeColor="text1"/>
        </w:rPr>
        <w:lastRenderedPageBreak/>
        <w:t>as being a ‘private belief, detached from religious and other affiliations’</w:t>
      </w:r>
      <w:r w:rsidR="00A07C03" w:rsidRPr="006B3081">
        <w:rPr>
          <w:rFonts w:eastAsia="Calibri" w:cstheme="minorHAnsi"/>
          <w:color w:val="000000" w:themeColor="text1"/>
        </w:rPr>
        <w:t>.</w:t>
      </w:r>
      <w:r w:rsidR="00A07C03" w:rsidRPr="006B3081">
        <w:rPr>
          <w:rStyle w:val="FootnoteReference"/>
          <w:rFonts w:eastAsia="Calibri" w:cstheme="minorHAnsi"/>
          <w:color w:val="000000" w:themeColor="text1"/>
        </w:rPr>
        <w:footnoteReference w:id="4"/>
      </w:r>
      <w:r w:rsidR="00A07C03" w:rsidRPr="006B3081">
        <w:rPr>
          <w:rFonts w:eastAsia="Calibri" w:cstheme="minorHAnsi"/>
          <w:color w:val="000000" w:themeColor="text1"/>
        </w:rPr>
        <w:t xml:space="preserve"> </w:t>
      </w:r>
      <w:r w:rsidRPr="006B3081">
        <w:rPr>
          <w:rFonts w:eastAsia="Calibri" w:cstheme="minorHAnsi"/>
          <w:color w:val="000000" w:themeColor="text1"/>
        </w:rPr>
        <w:t xml:space="preserve">On the contrary, Brink initially supposes </w:t>
      </w:r>
      <w:r w:rsidR="00B20631">
        <w:rPr>
          <w:rFonts w:eastAsia="Calibri" w:cstheme="minorHAnsi"/>
          <w:color w:val="000000" w:themeColor="text1"/>
        </w:rPr>
        <w:t>that belief in both</w:t>
      </w:r>
      <w:r w:rsidRPr="006B3081">
        <w:rPr>
          <w:rFonts w:eastAsia="Calibri" w:cstheme="minorHAnsi"/>
          <w:color w:val="000000" w:themeColor="text1"/>
        </w:rPr>
        <w:t xml:space="preserve"> the </w:t>
      </w:r>
      <w:r w:rsidR="00B20631">
        <w:rPr>
          <w:rFonts w:eastAsia="Calibri" w:cstheme="minorHAnsi"/>
          <w:color w:val="000000" w:themeColor="text1"/>
        </w:rPr>
        <w:t xml:space="preserve">Catholic </w:t>
      </w:r>
      <w:r w:rsidRPr="006B3081">
        <w:rPr>
          <w:rFonts w:eastAsia="Calibri" w:cstheme="minorHAnsi"/>
          <w:color w:val="000000" w:themeColor="text1"/>
        </w:rPr>
        <w:t xml:space="preserve">afterlife and </w:t>
      </w:r>
      <w:r w:rsidR="00B20631">
        <w:rPr>
          <w:rFonts w:eastAsia="Calibri" w:cstheme="minorHAnsi"/>
          <w:color w:val="000000" w:themeColor="text1"/>
        </w:rPr>
        <w:t>reincarnation</w:t>
      </w:r>
      <w:r w:rsidRPr="006B3081">
        <w:rPr>
          <w:rFonts w:eastAsia="Calibri" w:cstheme="minorHAnsi"/>
          <w:color w:val="000000" w:themeColor="text1"/>
        </w:rPr>
        <w:t xml:space="preserve"> are contradictory and inherently incompatible.</w:t>
      </w:r>
      <w:r w:rsidR="00A07C03" w:rsidRPr="006B3081">
        <w:rPr>
          <w:rStyle w:val="FootnoteReference"/>
          <w:rFonts w:eastAsia="Calibri" w:cstheme="minorHAnsi"/>
          <w:color w:val="000000" w:themeColor="text1"/>
        </w:rPr>
        <w:footnoteReference w:id="5"/>
      </w:r>
      <w:r w:rsidRPr="006B3081">
        <w:rPr>
          <w:rFonts w:eastAsia="Calibri" w:cstheme="minorHAnsi"/>
          <w:color w:val="000000" w:themeColor="text1"/>
        </w:rPr>
        <w:t xml:space="preserve"> Brink surmises a structuralist and functionalist perspective, citing Freud</w:t>
      </w:r>
      <w:r w:rsidR="00A07C03" w:rsidRPr="006B3081">
        <w:rPr>
          <w:rFonts w:eastAsia="Calibri" w:cstheme="minorHAnsi"/>
          <w:color w:val="000000" w:themeColor="text1"/>
        </w:rPr>
        <w:t xml:space="preserve"> in</w:t>
      </w:r>
      <w:r w:rsidRPr="006B3081">
        <w:rPr>
          <w:rFonts w:eastAsia="Calibri" w:cstheme="minorHAnsi"/>
          <w:color w:val="000000" w:themeColor="text1"/>
        </w:rPr>
        <w:t xml:space="preserve"> the simultaneous belief in Catholicism and reincarnation are fundamentally in opposition with one another, yet may serve a similar function. </w:t>
      </w:r>
      <w:r w:rsidR="1447F597" w:rsidRPr="006B3081">
        <w:rPr>
          <w:rFonts w:eastAsia="Calibri" w:cstheme="minorHAnsi"/>
          <w:color w:val="000000" w:themeColor="text1"/>
        </w:rPr>
        <w:t xml:space="preserve">This is in line with Talcott Parson’s functionalist </w:t>
      </w:r>
      <w:r w:rsidR="33408147" w:rsidRPr="006B3081">
        <w:rPr>
          <w:rFonts w:eastAsia="Calibri" w:cstheme="minorHAnsi"/>
          <w:color w:val="000000" w:themeColor="text1"/>
        </w:rPr>
        <w:t>perspective</w:t>
      </w:r>
      <w:r w:rsidR="1447F597" w:rsidRPr="006B3081">
        <w:rPr>
          <w:rFonts w:eastAsia="Calibri" w:cstheme="minorHAnsi"/>
          <w:color w:val="000000" w:themeColor="text1"/>
        </w:rPr>
        <w:t xml:space="preserve"> of specific structures within a society </w:t>
      </w:r>
      <w:r w:rsidR="5944A48A" w:rsidRPr="006B3081">
        <w:rPr>
          <w:rFonts w:eastAsia="Calibri" w:cstheme="minorHAnsi"/>
          <w:color w:val="000000" w:themeColor="text1"/>
        </w:rPr>
        <w:t>holding</w:t>
      </w:r>
      <w:r w:rsidR="1447F597" w:rsidRPr="006B3081">
        <w:rPr>
          <w:rFonts w:eastAsia="Calibri" w:cstheme="minorHAnsi"/>
          <w:color w:val="000000" w:themeColor="text1"/>
        </w:rPr>
        <w:t xml:space="preserve"> </w:t>
      </w:r>
      <w:r w:rsidR="044FAEF6" w:rsidRPr="006B3081">
        <w:rPr>
          <w:rFonts w:eastAsia="Calibri" w:cstheme="minorHAnsi"/>
          <w:color w:val="000000" w:themeColor="text1"/>
        </w:rPr>
        <w:t>their own functional roles.</w:t>
      </w:r>
      <w:r w:rsidR="00000000" w:rsidRPr="006B3081">
        <w:rPr>
          <w:rStyle w:val="FootnoteReference"/>
          <w:rFonts w:eastAsia="Calibri" w:cstheme="minorHAnsi"/>
          <w:color w:val="000000" w:themeColor="text1"/>
        </w:rPr>
        <w:footnoteReference w:id="6"/>
      </w:r>
      <w:r w:rsidR="044FAEF6" w:rsidRPr="006B3081">
        <w:rPr>
          <w:rFonts w:eastAsia="Calibri" w:cstheme="minorHAnsi"/>
          <w:color w:val="000000" w:themeColor="text1"/>
        </w:rPr>
        <w:t xml:space="preserve"> </w:t>
      </w:r>
    </w:p>
    <w:p w14:paraId="48E09ECD" w14:textId="0D691B86" w:rsidR="02163D9C" w:rsidRPr="006B3081" w:rsidRDefault="66DCC012" w:rsidP="00B87A6F">
      <w:pPr>
        <w:ind w:firstLine="720"/>
        <w:contextualSpacing/>
        <w:rPr>
          <w:rFonts w:eastAsia="Calibri" w:cstheme="minorHAnsi"/>
          <w:color w:val="000000" w:themeColor="text1"/>
        </w:rPr>
      </w:pPr>
      <w:r w:rsidRPr="006B3081">
        <w:rPr>
          <w:rFonts w:eastAsia="Calibri" w:cstheme="minorHAnsi"/>
          <w:i/>
          <w:iCs/>
          <w:color w:val="000000" w:themeColor="text1"/>
        </w:rPr>
        <w:t xml:space="preserve"> </w:t>
      </w:r>
    </w:p>
    <w:p w14:paraId="36D2CAC7" w14:textId="4FA41823" w:rsidR="02163D9C" w:rsidRPr="006B3081" w:rsidRDefault="6FC76F36" w:rsidP="00DA16A9">
      <w:pPr>
        <w:ind w:firstLine="720"/>
        <w:contextualSpacing/>
        <w:rPr>
          <w:rFonts w:eastAsia="Calibri" w:cstheme="minorHAnsi"/>
          <w:color w:val="000000" w:themeColor="text1"/>
        </w:rPr>
      </w:pPr>
      <w:r w:rsidRPr="006B3081">
        <w:rPr>
          <w:rFonts w:eastAsia="Calibri" w:cstheme="minorHAnsi"/>
          <w:color w:val="000000" w:themeColor="text1"/>
        </w:rPr>
        <w:t>According to Webster and Watson, a literature review is an essential element of any research project, contending that ‘an effective review creates a firm foundation for ad</w:t>
      </w:r>
      <w:r w:rsidR="5B62DC75" w:rsidRPr="006B3081">
        <w:rPr>
          <w:rFonts w:eastAsia="Calibri" w:cstheme="minorHAnsi"/>
          <w:color w:val="000000" w:themeColor="text1"/>
        </w:rPr>
        <w:t>vancing knowledge...facilitates theory development... and uncovers areas where research is needed.’</w:t>
      </w:r>
      <w:r w:rsidRPr="006B3081">
        <w:rPr>
          <w:rStyle w:val="FootnoteReference"/>
          <w:rFonts w:eastAsia="Calibri" w:cstheme="minorHAnsi"/>
          <w:color w:val="000000" w:themeColor="text1"/>
        </w:rPr>
        <w:footnoteReference w:id="7"/>
      </w:r>
      <w:r w:rsidR="00A07C03" w:rsidRPr="006B3081">
        <w:rPr>
          <w:rFonts w:eastAsia="Calibri" w:cstheme="minorHAnsi"/>
          <w:color w:val="000000" w:themeColor="text1"/>
        </w:rPr>
        <w:t xml:space="preserve"> </w:t>
      </w:r>
      <w:r w:rsidR="0B089164" w:rsidRPr="006B3081">
        <w:rPr>
          <w:rFonts w:eastAsia="Calibri" w:cstheme="minorHAnsi"/>
          <w:color w:val="000000" w:themeColor="text1"/>
        </w:rPr>
        <w:t xml:space="preserve">Walter and Waterhouse </w:t>
      </w:r>
      <w:r w:rsidR="00DA04A1">
        <w:rPr>
          <w:rFonts w:eastAsia="Calibri" w:cstheme="minorHAnsi"/>
          <w:color w:val="000000" w:themeColor="text1"/>
        </w:rPr>
        <w:t>make central use of</w:t>
      </w:r>
      <w:r w:rsidR="00A07C03" w:rsidRPr="006B3081">
        <w:rPr>
          <w:rFonts w:eastAsia="Calibri" w:cstheme="minorHAnsi"/>
          <w:color w:val="000000" w:themeColor="text1"/>
        </w:rPr>
        <w:t xml:space="preserve"> EVS survey</w:t>
      </w:r>
      <w:r w:rsidR="00E72A87">
        <w:rPr>
          <w:rFonts w:eastAsia="Calibri" w:cstheme="minorHAnsi"/>
          <w:color w:val="000000" w:themeColor="text1"/>
        </w:rPr>
        <w:t xml:space="preserve"> data</w:t>
      </w:r>
      <w:r w:rsidR="0B089164" w:rsidRPr="006B3081">
        <w:rPr>
          <w:rFonts w:eastAsia="Calibri" w:cstheme="minorHAnsi"/>
          <w:color w:val="000000" w:themeColor="text1"/>
        </w:rPr>
        <w:t xml:space="preserve"> </w:t>
      </w:r>
      <w:r w:rsidR="00E72A87">
        <w:rPr>
          <w:rFonts w:eastAsia="Calibri" w:cstheme="minorHAnsi"/>
          <w:color w:val="000000" w:themeColor="text1"/>
        </w:rPr>
        <w:t>surrounding</w:t>
      </w:r>
      <w:r w:rsidR="0B089164" w:rsidRPr="006B3081">
        <w:rPr>
          <w:rFonts w:eastAsia="Calibri" w:cstheme="minorHAnsi"/>
          <w:color w:val="000000" w:themeColor="text1"/>
        </w:rPr>
        <w:t xml:space="preserve"> the topic of reincarnation.</w:t>
      </w:r>
      <w:r w:rsidR="00A07C03" w:rsidRPr="006B3081">
        <w:rPr>
          <w:rStyle w:val="FootnoteReference"/>
          <w:rFonts w:eastAsia="Calibri" w:cstheme="minorHAnsi"/>
          <w:color w:val="000000" w:themeColor="text1"/>
        </w:rPr>
        <w:footnoteReference w:id="8"/>
      </w:r>
      <w:r w:rsidR="0B089164" w:rsidRPr="006B3081">
        <w:rPr>
          <w:rFonts w:eastAsia="Calibri" w:cstheme="minorHAnsi"/>
          <w:color w:val="000000" w:themeColor="text1"/>
        </w:rPr>
        <w:t xml:space="preserve"> </w:t>
      </w:r>
      <w:r w:rsidR="50140CF9" w:rsidRPr="006B3081">
        <w:rPr>
          <w:rFonts w:eastAsia="Calibri" w:cstheme="minorHAnsi"/>
          <w:color w:val="000000" w:themeColor="text1"/>
        </w:rPr>
        <w:t>Brink assesses theoretical research</w:t>
      </w:r>
      <w:r w:rsidR="00E72A87">
        <w:rPr>
          <w:rFonts w:eastAsia="Calibri" w:cstheme="minorHAnsi"/>
          <w:color w:val="000000" w:themeColor="text1"/>
        </w:rPr>
        <w:t xml:space="preserve"> </w:t>
      </w:r>
      <w:r w:rsidR="50140CF9" w:rsidRPr="006B3081">
        <w:rPr>
          <w:rFonts w:eastAsia="Calibri" w:cstheme="minorHAnsi"/>
          <w:color w:val="000000" w:themeColor="text1"/>
        </w:rPr>
        <w:t xml:space="preserve">such as that from </w:t>
      </w:r>
      <w:proofErr w:type="spellStart"/>
      <w:r w:rsidR="50140CF9" w:rsidRPr="006B3081">
        <w:rPr>
          <w:rFonts w:eastAsia="Calibri" w:cstheme="minorHAnsi"/>
          <w:color w:val="000000" w:themeColor="text1"/>
        </w:rPr>
        <w:t>Wuthnow</w:t>
      </w:r>
      <w:proofErr w:type="spellEnd"/>
      <w:r w:rsidR="50140CF9" w:rsidRPr="006B3081">
        <w:rPr>
          <w:rFonts w:eastAsia="Calibri" w:cstheme="minorHAnsi"/>
          <w:color w:val="000000" w:themeColor="text1"/>
        </w:rPr>
        <w:t xml:space="preserve">, who illustrates a connection between those who are </w:t>
      </w:r>
      <w:proofErr w:type="spellStart"/>
      <w:r w:rsidR="50140CF9" w:rsidRPr="006B3081">
        <w:rPr>
          <w:rFonts w:eastAsia="Calibri" w:cstheme="minorHAnsi"/>
          <w:color w:val="000000" w:themeColor="text1"/>
        </w:rPr>
        <w:t>marginalised</w:t>
      </w:r>
      <w:proofErr w:type="spellEnd"/>
      <w:r w:rsidR="50140CF9" w:rsidRPr="006B3081">
        <w:rPr>
          <w:rFonts w:eastAsia="Calibri" w:cstheme="minorHAnsi"/>
          <w:color w:val="000000" w:themeColor="text1"/>
        </w:rPr>
        <w:t xml:space="preserve"> </w:t>
      </w:r>
      <w:r w:rsidR="1B01ECD1" w:rsidRPr="006B3081">
        <w:rPr>
          <w:rFonts w:eastAsia="Calibri" w:cstheme="minorHAnsi"/>
          <w:color w:val="000000" w:themeColor="text1"/>
        </w:rPr>
        <w:t>exhibiting</w:t>
      </w:r>
      <w:r w:rsidR="50140CF9" w:rsidRPr="006B3081">
        <w:rPr>
          <w:rFonts w:eastAsia="Calibri" w:cstheme="minorHAnsi"/>
          <w:color w:val="000000" w:themeColor="text1"/>
        </w:rPr>
        <w:t xml:space="preserve"> a higher </w:t>
      </w:r>
      <w:r w:rsidR="6D8732A1" w:rsidRPr="006B3081">
        <w:rPr>
          <w:rFonts w:eastAsia="Calibri" w:cstheme="minorHAnsi"/>
          <w:color w:val="000000" w:themeColor="text1"/>
        </w:rPr>
        <w:t>likelihood of belief in astrology.</w:t>
      </w:r>
      <w:r w:rsidR="003D108D" w:rsidRPr="006B3081">
        <w:rPr>
          <w:rStyle w:val="FootnoteReference"/>
          <w:rFonts w:eastAsia="Calibri" w:cstheme="minorHAnsi"/>
          <w:color w:val="000000" w:themeColor="text1"/>
        </w:rPr>
        <w:footnoteReference w:id="9"/>
      </w:r>
      <w:r w:rsidR="6D8732A1" w:rsidRPr="006B3081">
        <w:rPr>
          <w:rFonts w:eastAsia="Calibri" w:cstheme="minorHAnsi"/>
          <w:color w:val="000000" w:themeColor="text1"/>
        </w:rPr>
        <w:t xml:space="preserve"> </w:t>
      </w:r>
      <w:r w:rsidR="6C36A622" w:rsidRPr="006B3081">
        <w:rPr>
          <w:rFonts w:eastAsia="Calibri" w:cstheme="minorHAnsi"/>
          <w:color w:val="000000" w:themeColor="text1"/>
        </w:rPr>
        <w:t>Brink does not note the geographical location or basis for the studies cited, wh</w:t>
      </w:r>
      <w:r w:rsidR="2649B391" w:rsidRPr="006B3081">
        <w:rPr>
          <w:rFonts w:eastAsia="Calibri" w:cstheme="minorHAnsi"/>
          <w:color w:val="000000" w:themeColor="text1"/>
        </w:rPr>
        <w:t>ereas Walter and Waterhouse make it a more central feature of their literature review</w:t>
      </w:r>
      <w:r w:rsidR="00135BF4">
        <w:rPr>
          <w:rFonts w:eastAsia="Calibri" w:cstheme="minorHAnsi"/>
          <w:color w:val="000000" w:themeColor="text1"/>
        </w:rPr>
        <w:t>, noting the majority of the</w:t>
      </w:r>
      <w:r w:rsidR="00712730">
        <w:rPr>
          <w:rFonts w:eastAsia="Calibri" w:cstheme="minorHAnsi"/>
          <w:color w:val="000000" w:themeColor="text1"/>
        </w:rPr>
        <w:t xml:space="preserve"> data in their</w:t>
      </w:r>
      <w:r w:rsidR="00135BF4">
        <w:rPr>
          <w:rFonts w:eastAsia="Calibri" w:cstheme="minorHAnsi"/>
          <w:color w:val="000000" w:themeColor="text1"/>
        </w:rPr>
        <w:t xml:space="preserve"> literature review originates in England</w:t>
      </w:r>
      <w:r w:rsidR="00712730">
        <w:rPr>
          <w:rFonts w:eastAsia="Calibri" w:cstheme="minorHAnsi"/>
          <w:color w:val="000000" w:themeColor="text1"/>
        </w:rPr>
        <w:t xml:space="preserve"> and</w:t>
      </w:r>
      <w:r w:rsidR="00135BF4">
        <w:rPr>
          <w:rFonts w:eastAsia="Calibri" w:cstheme="minorHAnsi"/>
          <w:color w:val="000000" w:themeColor="text1"/>
        </w:rPr>
        <w:t xml:space="preserve"> Northern America</w:t>
      </w:r>
      <w:r w:rsidR="2649B391" w:rsidRPr="006B3081">
        <w:rPr>
          <w:rFonts w:eastAsia="Calibri" w:cstheme="minorHAnsi"/>
          <w:color w:val="000000" w:themeColor="text1"/>
        </w:rPr>
        <w:t>. In line with the con</w:t>
      </w:r>
      <w:r w:rsidR="38F9449B" w:rsidRPr="006B3081">
        <w:rPr>
          <w:rFonts w:eastAsia="Calibri" w:cstheme="minorHAnsi"/>
          <w:color w:val="000000" w:themeColor="text1"/>
        </w:rPr>
        <w:t>tention from Webster and Watson, Walter and Waterhouse make a clear argument for the requirement of</w:t>
      </w:r>
      <w:r w:rsidR="44410B5B" w:rsidRPr="006B3081">
        <w:rPr>
          <w:rFonts w:eastAsia="Calibri" w:cstheme="minorHAnsi"/>
          <w:color w:val="000000" w:themeColor="text1"/>
        </w:rPr>
        <w:t xml:space="preserve"> their own research project</w:t>
      </w:r>
      <w:r w:rsidR="009723EC">
        <w:rPr>
          <w:rFonts w:eastAsia="Calibri" w:cstheme="minorHAnsi"/>
          <w:color w:val="000000" w:themeColor="text1"/>
        </w:rPr>
        <w:t xml:space="preserve">, </w:t>
      </w:r>
      <w:r w:rsidR="00712730">
        <w:rPr>
          <w:rFonts w:eastAsia="Calibri" w:cstheme="minorHAnsi"/>
          <w:color w:val="000000" w:themeColor="text1"/>
        </w:rPr>
        <w:t>showing</w:t>
      </w:r>
      <w:r w:rsidR="009723EC">
        <w:rPr>
          <w:rFonts w:eastAsia="Calibri" w:cstheme="minorHAnsi"/>
          <w:color w:val="000000" w:themeColor="text1"/>
        </w:rPr>
        <w:t xml:space="preserve"> </w:t>
      </w:r>
      <w:r w:rsidR="44410B5B" w:rsidRPr="006B3081">
        <w:rPr>
          <w:rFonts w:eastAsia="Calibri" w:cstheme="minorHAnsi"/>
          <w:color w:val="000000" w:themeColor="text1"/>
        </w:rPr>
        <w:t>that although many studies exist to show the extent to which reincarnation is a popular belief</w:t>
      </w:r>
      <w:r w:rsidR="4AA7A1BF" w:rsidRPr="006B3081">
        <w:rPr>
          <w:rFonts w:eastAsia="Calibri" w:cstheme="minorHAnsi"/>
          <w:color w:val="000000" w:themeColor="text1"/>
        </w:rPr>
        <w:t>, there is a</w:t>
      </w:r>
      <w:r w:rsidR="00712730">
        <w:rPr>
          <w:rFonts w:eastAsia="Calibri" w:cstheme="minorHAnsi"/>
          <w:color w:val="000000" w:themeColor="text1"/>
        </w:rPr>
        <w:t xml:space="preserve"> </w:t>
      </w:r>
      <w:r w:rsidR="008718A9">
        <w:rPr>
          <w:rFonts w:eastAsia="Calibri" w:cstheme="minorHAnsi"/>
          <w:color w:val="000000" w:themeColor="text1"/>
        </w:rPr>
        <w:t xml:space="preserve">gap in research about </w:t>
      </w:r>
      <w:r w:rsidR="4AA7A1BF" w:rsidRPr="006B3081">
        <w:rPr>
          <w:rFonts w:eastAsia="Calibri" w:cstheme="minorHAnsi"/>
          <w:color w:val="000000" w:themeColor="text1"/>
        </w:rPr>
        <w:t xml:space="preserve">what these beliefs mean to those who hold them. Walter and Waterhouse use this opportunity to expand the scope of their paper, </w:t>
      </w:r>
      <w:r w:rsidR="6E815DCB" w:rsidRPr="006B3081">
        <w:rPr>
          <w:rFonts w:eastAsia="Calibri" w:cstheme="minorHAnsi"/>
          <w:color w:val="000000" w:themeColor="text1"/>
        </w:rPr>
        <w:t xml:space="preserve">highlighting further questions around the relationship between morality and </w:t>
      </w:r>
      <w:proofErr w:type="spellStart"/>
      <w:r w:rsidR="6E815DCB" w:rsidRPr="006B3081">
        <w:rPr>
          <w:rFonts w:eastAsia="Calibri" w:cstheme="minorHAnsi"/>
          <w:color w:val="000000" w:themeColor="text1"/>
        </w:rPr>
        <w:t>behaviour</w:t>
      </w:r>
      <w:proofErr w:type="spellEnd"/>
      <w:r w:rsidR="6E815DCB" w:rsidRPr="006B3081">
        <w:rPr>
          <w:rFonts w:eastAsia="Calibri" w:cstheme="minorHAnsi"/>
          <w:color w:val="000000" w:themeColor="text1"/>
        </w:rPr>
        <w:t xml:space="preserve"> as influenced by belief. By reinforcing the aims of their research as being ‘in order to elicit the meaning of reincarnation to those who believe in it’, the authors clearly exemplify the areas in which further research is required, and unfulfilled by studies such as those conduc</w:t>
      </w:r>
      <w:r w:rsidR="656491CA" w:rsidRPr="006B3081">
        <w:rPr>
          <w:rFonts w:eastAsia="Calibri" w:cstheme="minorHAnsi"/>
          <w:color w:val="000000" w:themeColor="text1"/>
        </w:rPr>
        <w:t>ted by the EVS.</w:t>
      </w:r>
      <w:r w:rsidR="00E217D4" w:rsidRPr="006B3081">
        <w:rPr>
          <w:rStyle w:val="FootnoteReference"/>
          <w:rFonts w:eastAsia="Calibri" w:cstheme="minorHAnsi"/>
          <w:color w:val="000000" w:themeColor="text1"/>
        </w:rPr>
        <w:footnoteReference w:id="10"/>
      </w:r>
      <w:r w:rsidR="00E217D4" w:rsidRPr="006B3081">
        <w:rPr>
          <w:rFonts w:eastAsia="Calibri" w:cstheme="minorHAnsi"/>
          <w:color w:val="000000" w:themeColor="text1"/>
        </w:rPr>
        <w:t xml:space="preserve"> </w:t>
      </w:r>
      <w:r w:rsidR="656491CA" w:rsidRPr="006B3081">
        <w:rPr>
          <w:rFonts w:eastAsia="Calibri" w:cstheme="minorHAnsi"/>
          <w:color w:val="000000" w:themeColor="text1"/>
        </w:rPr>
        <w:t xml:space="preserve">Alternatively, the literature as reviewed by Brink appears to act as justification for </w:t>
      </w:r>
      <w:r w:rsidR="008718A9">
        <w:rPr>
          <w:rFonts w:eastAsia="Calibri" w:cstheme="minorHAnsi"/>
          <w:color w:val="000000" w:themeColor="text1"/>
        </w:rPr>
        <w:t>the results of his</w:t>
      </w:r>
      <w:r w:rsidR="12DF4BFA" w:rsidRPr="006B3081">
        <w:rPr>
          <w:rFonts w:eastAsia="Calibri" w:cstheme="minorHAnsi"/>
          <w:color w:val="000000" w:themeColor="text1"/>
        </w:rPr>
        <w:t xml:space="preserve"> study</w:t>
      </w:r>
      <w:r w:rsidR="008718A9">
        <w:rPr>
          <w:rFonts w:eastAsia="Calibri" w:cstheme="minorHAnsi"/>
          <w:color w:val="000000" w:themeColor="text1"/>
        </w:rPr>
        <w:t xml:space="preserve"> as disproving the initial hypothesis.</w:t>
      </w:r>
      <w:r w:rsidR="12DF4BFA" w:rsidRPr="006B3081">
        <w:rPr>
          <w:rFonts w:eastAsia="Calibri" w:cstheme="minorHAnsi"/>
          <w:color w:val="000000" w:themeColor="text1"/>
        </w:rPr>
        <w:t xml:space="preserve"> For example, he </w:t>
      </w:r>
      <w:proofErr w:type="spellStart"/>
      <w:r w:rsidR="12DF4BFA" w:rsidRPr="006B3081">
        <w:rPr>
          <w:rFonts w:eastAsia="Calibri" w:cstheme="minorHAnsi"/>
          <w:color w:val="000000" w:themeColor="text1"/>
        </w:rPr>
        <w:t>criticises</w:t>
      </w:r>
      <w:proofErr w:type="spellEnd"/>
      <w:r w:rsidR="12DF4BFA" w:rsidRPr="006B3081">
        <w:rPr>
          <w:rFonts w:eastAsia="Calibri" w:cstheme="minorHAnsi"/>
          <w:color w:val="000000" w:themeColor="text1"/>
        </w:rPr>
        <w:t xml:space="preserve"> the ‘confusion and uncertainty of that developmental stage’, referring to his participants </w:t>
      </w:r>
      <w:r w:rsidR="000E66FB">
        <w:rPr>
          <w:rFonts w:eastAsia="Calibri" w:cstheme="minorHAnsi"/>
          <w:color w:val="000000" w:themeColor="text1"/>
        </w:rPr>
        <w:t xml:space="preserve">being </w:t>
      </w:r>
      <w:r w:rsidR="12DF4BFA" w:rsidRPr="006B3081">
        <w:rPr>
          <w:rFonts w:eastAsia="Calibri" w:cstheme="minorHAnsi"/>
          <w:color w:val="000000" w:themeColor="text1"/>
        </w:rPr>
        <w:t>teenage girls.</w:t>
      </w:r>
      <w:r w:rsidR="003D108D" w:rsidRPr="006B3081">
        <w:rPr>
          <w:rStyle w:val="FootnoteReference"/>
          <w:rFonts w:eastAsia="Calibri" w:cstheme="minorHAnsi"/>
          <w:color w:val="000000" w:themeColor="text1"/>
        </w:rPr>
        <w:footnoteReference w:id="11"/>
      </w:r>
      <w:r w:rsidR="12DF4BFA" w:rsidRPr="006B3081">
        <w:rPr>
          <w:rFonts w:eastAsia="Calibri" w:cstheme="minorHAnsi"/>
          <w:color w:val="000000" w:themeColor="text1"/>
        </w:rPr>
        <w:t xml:space="preserve"> </w:t>
      </w:r>
      <w:r w:rsidR="1E2712BA" w:rsidRPr="006B3081">
        <w:rPr>
          <w:rFonts w:eastAsia="Calibri" w:cstheme="minorHAnsi"/>
          <w:color w:val="000000" w:themeColor="text1"/>
        </w:rPr>
        <w:t xml:space="preserve">The rest of the literature review by Brink is brief in comparison to that of the review in </w:t>
      </w:r>
      <w:r w:rsidR="1E2712BA" w:rsidRPr="006B3081">
        <w:rPr>
          <w:rFonts w:eastAsia="Calibri" w:cstheme="minorHAnsi"/>
          <w:i/>
          <w:iCs/>
          <w:color w:val="000000" w:themeColor="text1"/>
        </w:rPr>
        <w:t>A Very Private Belief,</w:t>
      </w:r>
      <w:r w:rsidR="5AC48BC3" w:rsidRPr="006B3081">
        <w:rPr>
          <w:rFonts w:eastAsia="Calibri" w:cstheme="minorHAnsi"/>
          <w:i/>
          <w:iCs/>
          <w:color w:val="000000" w:themeColor="text1"/>
        </w:rPr>
        <w:t xml:space="preserve"> </w:t>
      </w:r>
      <w:r w:rsidR="003D108D" w:rsidRPr="006B3081">
        <w:rPr>
          <w:rFonts w:eastAsia="Calibri" w:cstheme="minorHAnsi"/>
          <w:color w:val="000000" w:themeColor="text1"/>
        </w:rPr>
        <w:t xml:space="preserve">as </w:t>
      </w:r>
      <w:r w:rsidR="00C762F4">
        <w:rPr>
          <w:rFonts w:eastAsia="Calibri" w:cstheme="minorHAnsi"/>
          <w:color w:val="000000" w:themeColor="text1"/>
        </w:rPr>
        <w:t xml:space="preserve">Brink </w:t>
      </w:r>
      <w:r w:rsidR="003D108D" w:rsidRPr="006B3081">
        <w:rPr>
          <w:rFonts w:eastAsia="Calibri" w:cstheme="minorHAnsi"/>
          <w:color w:val="000000" w:themeColor="text1"/>
        </w:rPr>
        <w:t>reiterates how</w:t>
      </w:r>
      <w:r w:rsidR="5AC48BC3" w:rsidRPr="006B3081">
        <w:rPr>
          <w:rFonts w:eastAsia="Calibri" w:cstheme="minorHAnsi"/>
          <w:color w:val="000000" w:themeColor="text1"/>
        </w:rPr>
        <w:t xml:space="preserve"> ‘Many social scientists... [and] several social psychological theories... either encourage consistency or account for its absence.’</w:t>
      </w:r>
      <w:r w:rsidR="003D108D" w:rsidRPr="006B3081">
        <w:rPr>
          <w:rFonts w:eastAsia="Calibri" w:cstheme="minorHAnsi"/>
          <w:color w:val="000000" w:themeColor="text1"/>
        </w:rPr>
        <w:t>, referring to belief in reincarnation.</w:t>
      </w:r>
      <w:r w:rsidR="003D108D" w:rsidRPr="006B3081">
        <w:rPr>
          <w:rStyle w:val="FootnoteReference"/>
          <w:rFonts w:eastAsia="Calibri" w:cstheme="minorHAnsi"/>
          <w:color w:val="000000" w:themeColor="text1"/>
        </w:rPr>
        <w:footnoteReference w:id="12"/>
      </w:r>
      <w:r w:rsidR="5AC48BC3" w:rsidRPr="006B3081">
        <w:rPr>
          <w:rFonts w:eastAsia="Calibri" w:cstheme="minorHAnsi"/>
          <w:color w:val="000000" w:themeColor="text1"/>
        </w:rPr>
        <w:t xml:space="preserve"> Despite quoting two other sociological theorists, th</w:t>
      </w:r>
      <w:r w:rsidR="2DCE03B6" w:rsidRPr="006B3081">
        <w:rPr>
          <w:rFonts w:eastAsia="Calibri" w:cstheme="minorHAnsi"/>
          <w:color w:val="000000" w:themeColor="text1"/>
        </w:rPr>
        <w:t xml:space="preserve">e extent of Brink’s literature review is minimal, whilst Walter and Waterhouse make use of a number of studies. However, the latter </w:t>
      </w:r>
      <w:r w:rsidR="51A7BFC2" w:rsidRPr="006B3081">
        <w:rPr>
          <w:rFonts w:eastAsia="Calibri" w:cstheme="minorHAnsi"/>
          <w:color w:val="000000" w:themeColor="text1"/>
        </w:rPr>
        <w:t xml:space="preserve">studies appear similar in context to their own, such as with the study that does indeed link Christianity </w:t>
      </w:r>
      <w:r w:rsidR="23647926" w:rsidRPr="006B3081">
        <w:rPr>
          <w:rFonts w:eastAsia="Calibri" w:cstheme="minorHAnsi"/>
          <w:color w:val="000000" w:themeColor="text1"/>
        </w:rPr>
        <w:t xml:space="preserve">as a </w:t>
      </w:r>
      <w:r w:rsidR="23647926" w:rsidRPr="006B3081">
        <w:rPr>
          <w:rFonts w:eastAsia="Calibri" w:cstheme="minorHAnsi"/>
          <w:color w:val="000000" w:themeColor="text1"/>
        </w:rPr>
        <w:lastRenderedPageBreak/>
        <w:t xml:space="preserve">belief existent alongside </w:t>
      </w:r>
      <w:r w:rsidR="51A7BFC2" w:rsidRPr="006B3081">
        <w:rPr>
          <w:rFonts w:eastAsia="Calibri" w:cstheme="minorHAnsi"/>
          <w:color w:val="000000" w:themeColor="text1"/>
        </w:rPr>
        <w:t xml:space="preserve">reincarnation, suggesting that whilst the topic could benefit from further inspection, </w:t>
      </w:r>
      <w:r w:rsidR="7BE81232" w:rsidRPr="006B3081">
        <w:rPr>
          <w:rFonts w:eastAsia="Calibri" w:cstheme="minorHAnsi"/>
          <w:color w:val="000000" w:themeColor="text1"/>
        </w:rPr>
        <w:t xml:space="preserve">previous </w:t>
      </w:r>
      <w:r w:rsidR="51A7BFC2" w:rsidRPr="006B3081">
        <w:rPr>
          <w:rFonts w:eastAsia="Calibri" w:cstheme="minorHAnsi"/>
          <w:color w:val="000000" w:themeColor="text1"/>
        </w:rPr>
        <w:t>researchers have identified such an area of</w:t>
      </w:r>
      <w:r w:rsidR="2B17CE19" w:rsidRPr="006B3081">
        <w:rPr>
          <w:rFonts w:eastAsia="Calibri" w:cstheme="minorHAnsi"/>
          <w:color w:val="000000" w:themeColor="text1"/>
        </w:rPr>
        <w:t xml:space="preserve"> research p</w:t>
      </w:r>
      <w:r w:rsidR="2393CB97" w:rsidRPr="006B3081">
        <w:rPr>
          <w:rFonts w:eastAsia="Calibri" w:cstheme="minorHAnsi"/>
          <w:color w:val="000000" w:themeColor="text1"/>
        </w:rPr>
        <w:t xml:space="preserve">rior to that conducted by Walter and Waterhouse. </w:t>
      </w:r>
      <w:r w:rsidR="21FB0218" w:rsidRPr="006B3081">
        <w:rPr>
          <w:rFonts w:eastAsia="Calibri" w:cstheme="minorHAnsi"/>
          <w:color w:val="000000" w:themeColor="text1"/>
        </w:rPr>
        <w:t xml:space="preserve">Both studies lack any apparent critical analysis of the studies and research demonstrated in their literature reviews, including any methodological issues or limitations within their scope of research. </w:t>
      </w:r>
    </w:p>
    <w:p w14:paraId="1E114C86" w14:textId="769ABE59" w:rsidR="02163D9C" w:rsidRPr="006B3081" w:rsidRDefault="02163D9C" w:rsidP="02163D9C">
      <w:pPr>
        <w:contextualSpacing/>
        <w:rPr>
          <w:rFonts w:eastAsia="Calibri" w:cstheme="minorHAnsi"/>
          <w:b/>
          <w:bCs/>
          <w:color w:val="000000" w:themeColor="text1"/>
        </w:rPr>
      </w:pPr>
    </w:p>
    <w:p w14:paraId="06C6CFB6" w14:textId="23FCAC8D" w:rsidR="65CF0F7E" w:rsidRPr="006B3081" w:rsidRDefault="7ECA2A55" w:rsidP="002428BE">
      <w:pPr>
        <w:ind w:firstLine="720"/>
        <w:contextualSpacing/>
        <w:rPr>
          <w:rFonts w:eastAsia="Calibri" w:cstheme="minorHAnsi"/>
          <w:color w:val="000000" w:themeColor="text1"/>
        </w:rPr>
      </w:pPr>
      <w:r w:rsidRPr="006B3081">
        <w:rPr>
          <w:rFonts w:eastAsia="Calibri" w:cstheme="minorHAnsi"/>
          <w:color w:val="000000" w:themeColor="text1"/>
        </w:rPr>
        <w:t xml:space="preserve">The methodology employed by Walter and Waterhouse consisted of a small-scale sample from whom in-depth interviews were conducted with. Helen Waterhouse </w:t>
      </w:r>
      <w:r w:rsidR="33124DBD" w:rsidRPr="006B3081">
        <w:rPr>
          <w:rFonts w:eastAsia="Calibri" w:cstheme="minorHAnsi"/>
          <w:color w:val="000000" w:themeColor="text1"/>
        </w:rPr>
        <w:t xml:space="preserve">was the </w:t>
      </w:r>
      <w:r w:rsidR="190C71A3" w:rsidRPr="006B3081">
        <w:rPr>
          <w:rFonts w:eastAsia="Calibri" w:cstheme="minorHAnsi"/>
          <w:color w:val="000000" w:themeColor="text1"/>
        </w:rPr>
        <w:t>interviewer,</w:t>
      </w:r>
      <w:r w:rsidR="1264C056" w:rsidRPr="006B3081">
        <w:rPr>
          <w:rFonts w:eastAsia="Calibri" w:cstheme="minorHAnsi"/>
          <w:color w:val="000000" w:themeColor="text1"/>
        </w:rPr>
        <w:t xml:space="preserve"> interview</w:t>
      </w:r>
      <w:r w:rsidR="00210673">
        <w:rPr>
          <w:rFonts w:eastAsia="Calibri" w:cstheme="minorHAnsi"/>
          <w:color w:val="000000" w:themeColor="text1"/>
        </w:rPr>
        <w:t>ing</w:t>
      </w:r>
      <w:r w:rsidR="1264C056" w:rsidRPr="006B3081">
        <w:rPr>
          <w:rFonts w:eastAsia="Calibri" w:cstheme="minorHAnsi"/>
          <w:color w:val="000000" w:themeColor="text1"/>
        </w:rPr>
        <w:t xml:space="preserve"> the participants in their own homes about the meaning reincarnation holds to them</w:t>
      </w:r>
      <w:r w:rsidR="003D108D" w:rsidRPr="006B3081">
        <w:rPr>
          <w:rFonts w:eastAsia="Calibri" w:cstheme="minorHAnsi"/>
          <w:color w:val="000000" w:themeColor="text1"/>
        </w:rPr>
        <w:t xml:space="preserve">. </w:t>
      </w:r>
      <w:r w:rsidR="29F581BC" w:rsidRPr="006B3081">
        <w:rPr>
          <w:rFonts w:eastAsia="Calibri" w:cstheme="minorHAnsi"/>
          <w:color w:val="000000" w:themeColor="text1"/>
        </w:rPr>
        <w:t>According to Martyn Denscombe</w:t>
      </w:r>
      <w:r w:rsidR="003D108D" w:rsidRPr="006B3081">
        <w:rPr>
          <w:rFonts w:eastAsia="Calibri" w:cstheme="minorHAnsi"/>
          <w:color w:val="000000" w:themeColor="text1"/>
        </w:rPr>
        <w:t xml:space="preserve">, </w:t>
      </w:r>
      <w:r w:rsidR="29F581BC" w:rsidRPr="006B3081">
        <w:rPr>
          <w:rFonts w:eastAsia="Calibri" w:cstheme="minorHAnsi"/>
          <w:color w:val="000000" w:themeColor="text1"/>
        </w:rPr>
        <w:t>an advantage of administering interviews is the depth of information gained from this methodology.</w:t>
      </w:r>
      <w:r w:rsidR="003D108D" w:rsidRPr="006B3081">
        <w:rPr>
          <w:rStyle w:val="FootnoteReference"/>
          <w:rFonts w:eastAsia="Calibri" w:cstheme="minorHAnsi"/>
          <w:color w:val="000000" w:themeColor="text1"/>
        </w:rPr>
        <w:footnoteReference w:id="13"/>
      </w:r>
      <w:r w:rsidR="003D108D" w:rsidRPr="006B3081">
        <w:rPr>
          <w:rFonts w:eastAsia="Calibri" w:cstheme="minorHAnsi"/>
          <w:color w:val="000000" w:themeColor="text1"/>
        </w:rPr>
        <w:t xml:space="preserve"> </w:t>
      </w:r>
      <w:r w:rsidR="29F581BC" w:rsidRPr="006B3081">
        <w:rPr>
          <w:rFonts w:eastAsia="Calibri" w:cstheme="minorHAnsi"/>
          <w:color w:val="000000" w:themeColor="text1"/>
        </w:rPr>
        <w:t xml:space="preserve"> </w:t>
      </w:r>
      <w:r w:rsidR="0FAE8AB9" w:rsidRPr="006B3081">
        <w:rPr>
          <w:rFonts w:eastAsia="Calibri" w:cstheme="minorHAnsi"/>
          <w:color w:val="000000" w:themeColor="text1"/>
        </w:rPr>
        <w:t xml:space="preserve">The data provided can offer detailed insights into a topic, with the interviewer being able to probe participants further. </w:t>
      </w:r>
      <w:r w:rsidR="00472754" w:rsidRPr="006B3081">
        <w:rPr>
          <w:rFonts w:eastAsia="Calibri" w:cstheme="minorHAnsi"/>
          <w:color w:val="000000" w:themeColor="text1"/>
        </w:rPr>
        <w:t>Judith Bell</w:t>
      </w:r>
      <w:r w:rsidR="0FAE8AB9" w:rsidRPr="006B3081">
        <w:rPr>
          <w:rFonts w:eastAsia="Calibri" w:cstheme="minorHAnsi"/>
          <w:color w:val="000000" w:themeColor="text1"/>
        </w:rPr>
        <w:t xml:space="preserve"> a</w:t>
      </w:r>
      <w:r w:rsidR="0C7422FA" w:rsidRPr="006B3081">
        <w:rPr>
          <w:rFonts w:eastAsia="Calibri" w:cstheme="minorHAnsi"/>
          <w:color w:val="000000" w:themeColor="text1"/>
        </w:rPr>
        <w:t xml:space="preserve">grees </w:t>
      </w:r>
      <w:r w:rsidR="0FAE8AB9" w:rsidRPr="006B3081">
        <w:rPr>
          <w:rFonts w:eastAsia="Calibri" w:cstheme="minorHAnsi"/>
          <w:color w:val="000000" w:themeColor="text1"/>
        </w:rPr>
        <w:t xml:space="preserve">that </w:t>
      </w:r>
      <w:r w:rsidR="003915B5" w:rsidRPr="006B3081">
        <w:rPr>
          <w:rFonts w:eastAsia="Calibri" w:cstheme="minorHAnsi"/>
          <w:color w:val="000000" w:themeColor="text1"/>
        </w:rPr>
        <w:t xml:space="preserve">though time-consuming, </w:t>
      </w:r>
      <w:r w:rsidR="0FAE8AB9" w:rsidRPr="006B3081">
        <w:rPr>
          <w:rFonts w:eastAsia="Calibri" w:cstheme="minorHAnsi"/>
          <w:color w:val="000000" w:themeColor="text1"/>
        </w:rPr>
        <w:t xml:space="preserve">interviews </w:t>
      </w:r>
      <w:r w:rsidR="002428BE" w:rsidRPr="006B3081">
        <w:rPr>
          <w:rFonts w:eastAsia="Calibri" w:cstheme="minorHAnsi"/>
          <w:color w:val="000000" w:themeColor="text1"/>
        </w:rPr>
        <w:t>can</w:t>
      </w:r>
      <w:r w:rsidR="0FAE8AB9" w:rsidRPr="006B3081">
        <w:rPr>
          <w:rFonts w:eastAsia="Calibri" w:cstheme="minorHAnsi"/>
          <w:color w:val="000000" w:themeColor="text1"/>
        </w:rPr>
        <w:t xml:space="preserve"> </w:t>
      </w:r>
      <w:r w:rsidR="002428BE" w:rsidRPr="006B3081">
        <w:rPr>
          <w:rFonts w:eastAsia="Calibri" w:cstheme="minorHAnsi"/>
          <w:color w:val="000000" w:themeColor="text1"/>
        </w:rPr>
        <w:t>be</w:t>
      </w:r>
      <w:r w:rsidR="0FAE8AB9" w:rsidRPr="006B3081">
        <w:rPr>
          <w:rFonts w:eastAsia="Calibri" w:cstheme="minorHAnsi"/>
          <w:color w:val="000000" w:themeColor="text1"/>
        </w:rPr>
        <w:t xml:space="preserve"> p</w:t>
      </w:r>
      <w:r w:rsidR="1256873C" w:rsidRPr="006B3081">
        <w:rPr>
          <w:rFonts w:eastAsia="Calibri" w:cstheme="minorHAnsi"/>
          <w:color w:val="000000" w:themeColor="text1"/>
        </w:rPr>
        <w:t xml:space="preserve">articularly </w:t>
      </w:r>
      <w:r w:rsidR="11632EEA" w:rsidRPr="006B3081">
        <w:rPr>
          <w:rFonts w:eastAsia="Calibri" w:cstheme="minorHAnsi"/>
          <w:color w:val="000000" w:themeColor="text1"/>
        </w:rPr>
        <w:t>beneficial</w:t>
      </w:r>
      <w:r w:rsidR="1256873C" w:rsidRPr="006B3081">
        <w:rPr>
          <w:rFonts w:eastAsia="Calibri" w:cstheme="minorHAnsi"/>
          <w:color w:val="000000" w:themeColor="text1"/>
        </w:rPr>
        <w:t xml:space="preserve"> when dealing with </w:t>
      </w:r>
      <w:r w:rsidR="486B98F9" w:rsidRPr="006B3081">
        <w:rPr>
          <w:rFonts w:eastAsia="Calibri" w:cstheme="minorHAnsi"/>
          <w:color w:val="000000" w:themeColor="text1"/>
        </w:rPr>
        <w:t>broad topics</w:t>
      </w:r>
      <w:r w:rsidR="00472754" w:rsidRPr="006B3081">
        <w:rPr>
          <w:rFonts w:eastAsia="Calibri" w:cstheme="minorHAnsi"/>
          <w:color w:val="000000" w:themeColor="text1"/>
        </w:rPr>
        <w:t>,</w:t>
      </w:r>
      <w:r w:rsidR="00472754" w:rsidRPr="006B3081">
        <w:rPr>
          <w:rStyle w:val="FootnoteReference"/>
          <w:rFonts w:eastAsia="Calibri" w:cstheme="minorHAnsi"/>
          <w:color w:val="000000" w:themeColor="text1"/>
        </w:rPr>
        <w:footnoteReference w:id="14"/>
      </w:r>
      <w:r w:rsidR="00472754" w:rsidRPr="006B3081">
        <w:rPr>
          <w:rFonts w:eastAsia="Calibri" w:cstheme="minorHAnsi"/>
          <w:color w:val="000000" w:themeColor="text1"/>
        </w:rPr>
        <w:t xml:space="preserve"> which is useful for a</w:t>
      </w:r>
      <w:r w:rsidR="002428BE" w:rsidRPr="006B3081">
        <w:rPr>
          <w:rFonts w:eastAsia="Calibri" w:cstheme="minorHAnsi"/>
          <w:color w:val="000000" w:themeColor="text1"/>
        </w:rPr>
        <w:t>n aim of examining reasons for belief in</w:t>
      </w:r>
      <w:r w:rsidR="00472754" w:rsidRPr="006B3081">
        <w:rPr>
          <w:rFonts w:eastAsia="Calibri" w:cstheme="minorHAnsi"/>
          <w:color w:val="000000" w:themeColor="text1"/>
        </w:rPr>
        <w:t xml:space="preserve"> reincarnation which may</w:t>
      </w:r>
      <w:r w:rsidR="486B98F9" w:rsidRPr="006B3081">
        <w:rPr>
          <w:rFonts w:eastAsia="Calibri" w:cstheme="minorHAnsi"/>
          <w:color w:val="000000" w:themeColor="text1"/>
        </w:rPr>
        <w:t xml:space="preserve"> have many varying </w:t>
      </w:r>
      <w:r w:rsidR="00472754" w:rsidRPr="006B3081">
        <w:rPr>
          <w:rFonts w:eastAsia="Calibri" w:cstheme="minorHAnsi"/>
          <w:color w:val="000000" w:themeColor="text1"/>
        </w:rPr>
        <w:t>perspectives</w:t>
      </w:r>
      <w:r w:rsidR="486B98F9" w:rsidRPr="006B3081">
        <w:rPr>
          <w:rFonts w:eastAsia="Calibri" w:cstheme="minorHAnsi"/>
          <w:color w:val="000000" w:themeColor="text1"/>
        </w:rPr>
        <w:t xml:space="preserve"> within a</w:t>
      </w:r>
      <w:r w:rsidR="00472754" w:rsidRPr="006B3081">
        <w:rPr>
          <w:rFonts w:eastAsia="Calibri" w:cstheme="minorHAnsi"/>
          <w:color w:val="000000" w:themeColor="text1"/>
        </w:rPr>
        <w:t xml:space="preserve">ny </w:t>
      </w:r>
      <w:r w:rsidR="486B98F9" w:rsidRPr="006B3081">
        <w:rPr>
          <w:rFonts w:eastAsia="Calibri" w:cstheme="minorHAnsi"/>
          <w:color w:val="000000" w:themeColor="text1"/>
        </w:rPr>
        <w:t xml:space="preserve">given sample size. </w:t>
      </w:r>
      <w:r w:rsidR="4B9D3A4D" w:rsidRPr="006B3081">
        <w:rPr>
          <w:rFonts w:eastAsia="Calibri" w:cstheme="minorHAnsi"/>
          <w:color w:val="000000" w:themeColor="text1"/>
        </w:rPr>
        <w:t>In contrast, Brink’s research did not use interviews to study the topic of reincarnation, as well as belief in Rom</w:t>
      </w:r>
      <w:r w:rsidR="632DFBB3" w:rsidRPr="006B3081">
        <w:rPr>
          <w:rFonts w:eastAsia="Calibri" w:cstheme="minorHAnsi"/>
          <w:color w:val="000000" w:themeColor="text1"/>
        </w:rPr>
        <w:t>an Catholicism and astrology. Rather, he used questionnaires to develop survey data from among a group of 227 Roman Catholic schoolgirls</w:t>
      </w:r>
      <w:r w:rsidR="00765C0F">
        <w:rPr>
          <w:rFonts w:eastAsia="Calibri" w:cstheme="minorHAnsi"/>
          <w:color w:val="000000" w:themeColor="text1"/>
        </w:rPr>
        <w:t>.</w:t>
      </w:r>
      <w:r w:rsidR="632DFBB3" w:rsidRPr="006B3081">
        <w:rPr>
          <w:rFonts w:eastAsia="Calibri" w:cstheme="minorHAnsi"/>
          <w:color w:val="000000" w:themeColor="text1"/>
        </w:rPr>
        <w:t xml:space="preserve"> The question</w:t>
      </w:r>
      <w:r w:rsidR="28397749" w:rsidRPr="006B3081">
        <w:rPr>
          <w:rFonts w:eastAsia="Calibri" w:cstheme="minorHAnsi"/>
          <w:color w:val="000000" w:themeColor="text1"/>
        </w:rPr>
        <w:t xml:space="preserve">naires </w:t>
      </w:r>
      <w:r w:rsidR="632DFBB3" w:rsidRPr="006B3081">
        <w:rPr>
          <w:rFonts w:eastAsia="Calibri" w:cstheme="minorHAnsi"/>
          <w:color w:val="000000" w:themeColor="text1"/>
        </w:rPr>
        <w:t>given to the participant</w:t>
      </w:r>
      <w:r w:rsidR="69949217" w:rsidRPr="006B3081">
        <w:rPr>
          <w:rFonts w:eastAsia="Calibri" w:cstheme="minorHAnsi"/>
          <w:color w:val="000000" w:themeColor="text1"/>
        </w:rPr>
        <w:t>s</w:t>
      </w:r>
      <w:r w:rsidR="632DFBB3" w:rsidRPr="006B3081">
        <w:rPr>
          <w:rFonts w:eastAsia="Calibri" w:cstheme="minorHAnsi"/>
          <w:color w:val="000000" w:themeColor="text1"/>
        </w:rPr>
        <w:t xml:space="preserve"> is shown </w:t>
      </w:r>
      <w:r w:rsidR="5E53B601" w:rsidRPr="006B3081">
        <w:rPr>
          <w:rFonts w:eastAsia="Calibri" w:cstheme="minorHAnsi"/>
          <w:color w:val="000000" w:themeColor="text1"/>
        </w:rPr>
        <w:t xml:space="preserve">in the paper, </w:t>
      </w:r>
      <w:r w:rsidR="635977F0" w:rsidRPr="006B3081">
        <w:rPr>
          <w:rFonts w:eastAsia="Calibri" w:cstheme="minorHAnsi"/>
          <w:color w:val="000000" w:themeColor="text1"/>
        </w:rPr>
        <w:t>consisting of statements such as ‘I believe in reincarnation’ and ‘There is a God’.</w:t>
      </w:r>
      <w:r w:rsidRPr="006B3081">
        <w:rPr>
          <w:rStyle w:val="FootnoteReference"/>
          <w:rFonts w:eastAsia="Calibri" w:cstheme="minorHAnsi"/>
          <w:color w:val="000000" w:themeColor="text1"/>
        </w:rPr>
        <w:footnoteReference w:id="15"/>
      </w:r>
      <w:r w:rsidR="078BE9E2" w:rsidRPr="006B3081">
        <w:rPr>
          <w:rFonts w:eastAsia="Calibri" w:cstheme="minorHAnsi"/>
          <w:color w:val="000000" w:themeColor="text1"/>
        </w:rPr>
        <w:t xml:space="preserve"> These statements are closed statements, with no apparent room for the respondents to expand. This is in direct contrast with the methodological approach of Walter and Waterhouse, who intentionally used open questions in order to develop a broad</w:t>
      </w:r>
      <w:r w:rsidR="1F1CAB48" w:rsidRPr="006B3081">
        <w:rPr>
          <w:rFonts w:eastAsia="Calibri" w:cstheme="minorHAnsi"/>
          <w:color w:val="000000" w:themeColor="text1"/>
        </w:rPr>
        <w:t xml:space="preserve">er understanding of the reasons behind belief in reincarnation, whilst Brink employed a method that allows for the quantification of the </w:t>
      </w:r>
      <w:r w:rsidR="6CE8E1EF" w:rsidRPr="006B3081">
        <w:rPr>
          <w:rFonts w:eastAsia="Calibri" w:cstheme="minorHAnsi"/>
          <w:color w:val="000000" w:themeColor="text1"/>
        </w:rPr>
        <w:t>survey</w:t>
      </w:r>
      <w:r w:rsidR="1F1CAB48" w:rsidRPr="006B3081">
        <w:rPr>
          <w:rFonts w:eastAsia="Calibri" w:cstheme="minorHAnsi"/>
          <w:color w:val="000000" w:themeColor="text1"/>
        </w:rPr>
        <w:t xml:space="preserve"> data from the schoolgirls, shown in a table w</w:t>
      </w:r>
      <w:r w:rsidR="7E6F1DE0" w:rsidRPr="006B3081">
        <w:rPr>
          <w:rFonts w:eastAsia="Calibri" w:cstheme="minorHAnsi"/>
          <w:color w:val="000000" w:themeColor="text1"/>
        </w:rPr>
        <w:t>ith percentages</w:t>
      </w:r>
      <w:r w:rsidR="002428BE" w:rsidRPr="006B3081">
        <w:rPr>
          <w:rFonts w:eastAsia="Calibri" w:cstheme="minorHAnsi"/>
          <w:color w:val="000000" w:themeColor="text1"/>
        </w:rPr>
        <w:t>, as appropriate for a study that simply aims to prove or disprove that belief in Catholicism and reincarnation can coincide.</w:t>
      </w:r>
      <w:r w:rsidR="00BC0A91" w:rsidRPr="006B3081">
        <w:rPr>
          <w:rFonts w:eastAsia="Calibri" w:cstheme="minorHAnsi"/>
          <w:color w:val="000000" w:themeColor="text1"/>
        </w:rPr>
        <w:t xml:space="preserve"> </w:t>
      </w:r>
      <w:r w:rsidR="00BC0A91" w:rsidRPr="006B3081">
        <w:rPr>
          <w:rFonts w:eastAsia="Calibri" w:cstheme="minorHAnsi"/>
          <w:color w:val="000000" w:themeColor="text1"/>
        </w:rPr>
        <w:t xml:space="preserve">Walter and Waterhouse’s study is indeed more in depth, in line with their aims of the study, whilst Brink’s study fundamentally disproved his hypothesis that the two beliefs were incompatible. </w:t>
      </w:r>
      <w:r w:rsidR="65CF0F7E" w:rsidRPr="006B3081">
        <w:rPr>
          <w:rFonts w:eastAsia="Calibri" w:cstheme="minorHAnsi"/>
          <w:color w:val="000000" w:themeColor="text1"/>
        </w:rPr>
        <w:t xml:space="preserve">In addition, Walter and Waterhouse </w:t>
      </w:r>
      <w:r w:rsidR="00241014" w:rsidRPr="006B3081">
        <w:rPr>
          <w:rFonts w:eastAsia="Calibri" w:cstheme="minorHAnsi"/>
          <w:color w:val="000000" w:themeColor="text1"/>
        </w:rPr>
        <w:t xml:space="preserve">also </w:t>
      </w:r>
      <w:r w:rsidR="65CF0F7E" w:rsidRPr="006B3081">
        <w:rPr>
          <w:rFonts w:eastAsia="Calibri" w:cstheme="minorHAnsi"/>
          <w:color w:val="000000" w:themeColor="text1"/>
        </w:rPr>
        <w:t xml:space="preserve">demonstrate </w:t>
      </w:r>
      <w:r w:rsidR="68535401" w:rsidRPr="006B3081">
        <w:rPr>
          <w:rFonts w:eastAsia="Calibri" w:cstheme="minorHAnsi"/>
          <w:color w:val="000000" w:themeColor="text1"/>
        </w:rPr>
        <w:t>the use</w:t>
      </w:r>
      <w:r w:rsidR="65CF0F7E" w:rsidRPr="006B3081">
        <w:rPr>
          <w:rFonts w:eastAsia="Calibri" w:cstheme="minorHAnsi"/>
          <w:color w:val="000000" w:themeColor="text1"/>
        </w:rPr>
        <w:t xml:space="preserve"> of grounded theory within their methodological approach. </w:t>
      </w:r>
      <w:r w:rsidR="6FBE6200" w:rsidRPr="006B3081">
        <w:rPr>
          <w:rFonts w:eastAsia="Calibri" w:cstheme="minorHAnsi"/>
          <w:color w:val="000000" w:themeColor="text1"/>
        </w:rPr>
        <w:t xml:space="preserve">This is shown through their breakdown of the participants and their beliefs, </w:t>
      </w:r>
      <w:r w:rsidR="4DF7A7D0" w:rsidRPr="006B3081">
        <w:rPr>
          <w:rFonts w:eastAsia="Calibri" w:cstheme="minorHAnsi"/>
          <w:color w:val="000000" w:themeColor="text1"/>
        </w:rPr>
        <w:t xml:space="preserve">in the way that their ‘qualitative analysis is toward the development </w:t>
      </w:r>
      <w:r w:rsidR="6B6ACD78" w:rsidRPr="006B3081">
        <w:rPr>
          <w:rFonts w:eastAsia="Calibri" w:cstheme="minorHAnsi"/>
          <w:color w:val="000000" w:themeColor="text1"/>
        </w:rPr>
        <w:t>of theory’.</w:t>
      </w:r>
      <w:r w:rsidR="65CF0F7E" w:rsidRPr="006B3081">
        <w:rPr>
          <w:rStyle w:val="FootnoteReference"/>
          <w:rFonts w:eastAsia="Calibri" w:cstheme="minorHAnsi"/>
          <w:color w:val="000000" w:themeColor="text1"/>
        </w:rPr>
        <w:footnoteReference w:id="16"/>
      </w:r>
      <w:r w:rsidR="004C2780" w:rsidRPr="006B3081">
        <w:rPr>
          <w:rFonts w:eastAsia="Calibri" w:cstheme="minorHAnsi"/>
          <w:color w:val="000000" w:themeColor="text1"/>
        </w:rPr>
        <w:t xml:space="preserve"> The authors do not conduct their research with </w:t>
      </w:r>
      <w:r w:rsidR="002F10F5" w:rsidRPr="006B3081">
        <w:rPr>
          <w:rFonts w:eastAsia="Calibri" w:cstheme="minorHAnsi"/>
          <w:color w:val="000000" w:themeColor="text1"/>
        </w:rPr>
        <w:t>a predetermined theory, rather develop one throughout the explanation of their findings, as evident with the subheading</w:t>
      </w:r>
      <w:r w:rsidR="002D4E55" w:rsidRPr="006B3081">
        <w:rPr>
          <w:rFonts w:eastAsia="Calibri" w:cstheme="minorHAnsi"/>
          <w:color w:val="000000" w:themeColor="text1"/>
        </w:rPr>
        <w:t>s</w:t>
      </w:r>
      <w:r w:rsidR="00794F73" w:rsidRPr="006B3081">
        <w:rPr>
          <w:rFonts w:eastAsia="Calibri" w:cstheme="minorHAnsi"/>
          <w:color w:val="000000" w:themeColor="text1"/>
        </w:rPr>
        <w:t xml:space="preserve"> ‘Religious Belief’</w:t>
      </w:r>
      <w:r w:rsidR="002D4E55" w:rsidRPr="006B3081">
        <w:rPr>
          <w:rFonts w:eastAsia="Calibri" w:cstheme="minorHAnsi"/>
          <w:color w:val="000000" w:themeColor="text1"/>
        </w:rPr>
        <w:t xml:space="preserve"> ‘The Nature of Belief’,</w:t>
      </w:r>
      <w:r w:rsidR="002F10F5" w:rsidRPr="006B3081">
        <w:rPr>
          <w:rFonts w:eastAsia="Calibri" w:cstheme="minorHAnsi"/>
          <w:color w:val="000000" w:themeColor="text1"/>
        </w:rPr>
        <w:t xml:space="preserve"> ‘Reasons for Belief’</w:t>
      </w:r>
      <w:r w:rsidR="002D4E55" w:rsidRPr="006B3081">
        <w:rPr>
          <w:rFonts w:eastAsia="Calibri" w:cstheme="minorHAnsi"/>
          <w:color w:val="000000" w:themeColor="text1"/>
        </w:rPr>
        <w:t xml:space="preserve"> and </w:t>
      </w:r>
      <w:r w:rsidR="002F10F5" w:rsidRPr="006B3081">
        <w:rPr>
          <w:rFonts w:eastAsia="Calibri" w:cstheme="minorHAnsi"/>
          <w:color w:val="000000" w:themeColor="text1"/>
        </w:rPr>
        <w:t>‘Content of Belief’</w:t>
      </w:r>
      <w:r w:rsidR="00AB6130" w:rsidRPr="006B3081">
        <w:rPr>
          <w:rFonts w:eastAsia="Calibri" w:cstheme="minorHAnsi"/>
          <w:color w:val="000000" w:themeColor="text1"/>
        </w:rPr>
        <w:t xml:space="preserve"> </w:t>
      </w:r>
      <w:r w:rsidR="002D4E55" w:rsidRPr="006B3081">
        <w:rPr>
          <w:rFonts w:eastAsia="Calibri" w:cstheme="minorHAnsi"/>
          <w:color w:val="000000" w:themeColor="text1"/>
        </w:rPr>
        <w:t>which set out reasonings for and the experiences of belief in reincarnation.</w:t>
      </w:r>
      <w:r w:rsidR="00AB6130" w:rsidRPr="006B3081">
        <w:rPr>
          <w:rStyle w:val="FootnoteReference"/>
          <w:rFonts w:eastAsia="Calibri" w:cstheme="minorHAnsi"/>
          <w:color w:val="000000" w:themeColor="text1"/>
        </w:rPr>
        <w:t xml:space="preserve"> </w:t>
      </w:r>
      <w:r w:rsidR="00AB6130" w:rsidRPr="006B3081">
        <w:rPr>
          <w:rStyle w:val="FootnoteReference"/>
          <w:rFonts w:eastAsia="Calibri" w:cstheme="minorHAnsi"/>
          <w:color w:val="000000" w:themeColor="text1"/>
        </w:rPr>
        <w:footnoteReference w:id="17"/>
      </w:r>
    </w:p>
    <w:p w14:paraId="117630FF" w14:textId="300BB952" w:rsidR="02163D9C" w:rsidRPr="006B3081" w:rsidRDefault="02163D9C" w:rsidP="02163D9C">
      <w:pPr>
        <w:contextualSpacing/>
        <w:rPr>
          <w:rFonts w:eastAsia="Calibri" w:cstheme="minorHAnsi"/>
          <w:color w:val="000000" w:themeColor="text1"/>
        </w:rPr>
      </w:pPr>
    </w:p>
    <w:p w14:paraId="1565F1D7" w14:textId="1517591A" w:rsidR="5809B7BE" w:rsidRPr="006B3081" w:rsidRDefault="5809B7BE" w:rsidP="00AB6130">
      <w:pPr>
        <w:adjustRightInd w:val="0"/>
        <w:snapToGrid w:val="0"/>
        <w:ind w:firstLine="720"/>
        <w:rPr>
          <w:rFonts w:eastAsia="Calibri" w:cstheme="minorHAnsi"/>
          <w:color w:val="000000" w:themeColor="text1"/>
        </w:rPr>
      </w:pPr>
      <w:r w:rsidRPr="006B3081">
        <w:rPr>
          <w:rFonts w:eastAsia="Calibri" w:cstheme="minorHAnsi"/>
          <w:color w:val="000000" w:themeColor="text1"/>
        </w:rPr>
        <w:t xml:space="preserve">In addition, the samples of both studies appear to lack much diversity within their participants. Walter and Waterhouse </w:t>
      </w:r>
      <w:r w:rsidR="4658F046" w:rsidRPr="006B3081">
        <w:rPr>
          <w:rFonts w:eastAsia="Calibri" w:cstheme="minorHAnsi"/>
          <w:color w:val="000000" w:themeColor="text1"/>
        </w:rPr>
        <w:t xml:space="preserve">acknowledge the shortcoming of their research in this way, stating that their sample disproportionately overrepresents </w:t>
      </w:r>
      <w:r w:rsidR="70151094" w:rsidRPr="006B3081">
        <w:rPr>
          <w:rFonts w:eastAsia="Calibri" w:cstheme="minorHAnsi"/>
          <w:color w:val="000000" w:themeColor="text1"/>
        </w:rPr>
        <w:t xml:space="preserve">older, upper-middle class women from the </w:t>
      </w:r>
      <w:proofErr w:type="gramStart"/>
      <w:r w:rsidR="70151094" w:rsidRPr="006B3081">
        <w:rPr>
          <w:rFonts w:eastAsia="Calibri" w:cstheme="minorHAnsi"/>
          <w:color w:val="000000" w:themeColor="text1"/>
        </w:rPr>
        <w:t>South</w:t>
      </w:r>
      <w:r w:rsidR="39C68450" w:rsidRPr="006B3081">
        <w:rPr>
          <w:rFonts w:eastAsia="Calibri" w:cstheme="minorHAnsi"/>
          <w:color w:val="000000" w:themeColor="text1"/>
        </w:rPr>
        <w:t xml:space="preserve"> W</w:t>
      </w:r>
      <w:r w:rsidR="70151094" w:rsidRPr="006B3081">
        <w:rPr>
          <w:rFonts w:eastAsia="Calibri" w:cstheme="minorHAnsi"/>
          <w:color w:val="000000" w:themeColor="text1"/>
        </w:rPr>
        <w:t>est</w:t>
      </w:r>
      <w:proofErr w:type="gramEnd"/>
      <w:r w:rsidR="70151094" w:rsidRPr="006B3081">
        <w:rPr>
          <w:rFonts w:eastAsia="Calibri" w:cstheme="minorHAnsi"/>
          <w:color w:val="000000" w:themeColor="text1"/>
        </w:rPr>
        <w:t xml:space="preserve"> of </w:t>
      </w:r>
      <w:r w:rsidR="70151094" w:rsidRPr="006B3081">
        <w:rPr>
          <w:rFonts w:eastAsia="Calibri" w:cstheme="minorHAnsi"/>
          <w:color w:val="000000" w:themeColor="text1"/>
        </w:rPr>
        <w:lastRenderedPageBreak/>
        <w:t>England.</w:t>
      </w:r>
      <w:r w:rsidR="006C5EC1" w:rsidRPr="006B3081">
        <w:rPr>
          <w:rStyle w:val="FootnoteReference"/>
          <w:rFonts w:eastAsia="Calibri" w:cstheme="minorHAnsi"/>
          <w:color w:val="000000" w:themeColor="text1"/>
        </w:rPr>
        <w:footnoteReference w:id="18"/>
      </w:r>
      <w:r w:rsidR="70151094" w:rsidRPr="006B3081">
        <w:rPr>
          <w:rFonts w:eastAsia="Calibri" w:cstheme="minorHAnsi"/>
          <w:color w:val="000000" w:themeColor="text1"/>
        </w:rPr>
        <w:t xml:space="preserve"> This limitation is accounted for in the authors’ explanation that their intention was not to be generally representative, but rather to investigate the meaning</w:t>
      </w:r>
      <w:r w:rsidR="3D3C2445" w:rsidRPr="006B3081">
        <w:rPr>
          <w:rFonts w:eastAsia="Calibri" w:cstheme="minorHAnsi"/>
          <w:color w:val="000000" w:themeColor="text1"/>
        </w:rPr>
        <w:t xml:space="preserve">s behind the idea and belief of reincarnation. </w:t>
      </w:r>
      <w:r w:rsidR="2D8054B2" w:rsidRPr="006B3081">
        <w:rPr>
          <w:rFonts w:eastAsia="Calibri" w:cstheme="minorHAnsi"/>
          <w:color w:val="000000" w:themeColor="text1"/>
        </w:rPr>
        <w:t xml:space="preserve">Judith Bell discusses the importance of </w:t>
      </w:r>
      <w:r w:rsidR="0BCF5A11" w:rsidRPr="006B3081">
        <w:rPr>
          <w:rFonts w:eastAsia="Calibri" w:cstheme="minorHAnsi"/>
          <w:color w:val="000000" w:themeColor="text1"/>
        </w:rPr>
        <w:t>sampling considerations, noting that in smaller-scale studies it is often difficult to attain truly representative samples.</w:t>
      </w:r>
      <w:r w:rsidRPr="006B3081">
        <w:rPr>
          <w:rStyle w:val="FootnoteReference"/>
          <w:rFonts w:eastAsia="Calibri" w:cstheme="minorHAnsi"/>
          <w:color w:val="000000" w:themeColor="text1"/>
        </w:rPr>
        <w:footnoteReference w:id="19"/>
      </w:r>
      <w:r w:rsidR="0BCF5A11" w:rsidRPr="006B3081">
        <w:rPr>
          <w:rFonts w:eastAsia="Calibri" w:cstheme="minorHAnsi"/>
          <w:color w:val="000000" w:themeColor="text1"/>
        </w:rPr>
        <w:t xml:space="preserve"> To this effect, Walter and Waterhouse made us of opportunity sampling, snowball sampling and volunteer sampling in order to bui</w:t>
      </w:r>
      <w:r w:rsidR="1CF98513" w:rsidRPr="006B3081">
        <w:rPr>
          <w:rFonts w:eastAsia="Calibri" w:cstheme="minorHAnsi"/>
          <w:color w:val="000000" w:themeColor="text1"/>
        </w:rPr>
        <w:t>ld their group of respondents. The lack of representation of the general population is indeed accounted for in the study, in line with Judith Bell’s justification for lack of representativeness, h</w:t>
      </w:r>
      <w:r w:rsidR="1B44835C" w:rsidRPr="006B3081">
        <w:rPr>
          <w:rFonts w:eastAsia="Calibri" w:cstheme="minorHAnsi"/>
          <w:color w:val="000000" w:themeColor="text1"/>
        </w:rPr>
        <w:t xml:space="preserve">owever </w:t>
      </w:r>
      <w:r w:rsidR="1B44835C" w:rsidRPr="006B3081">
        <w:rPr>
          <w:rFonts w:eastAsia="Calibri" w:cstheme="minorHAnsi"/>
          <w:i/>
          <w:iCs/>
          <w:color w:val="000000" w:themeColor="text1"/>
        </w:rPr>
        <w:t>A Very Private Belief</w:t>
      </w:r>
      <w:r w:rsidR="1B44835C" w:rsidRPr="006B3081">
        <w:rPr>
          <w:rFonts w:eastAsia="Calibri" w:cstheme="minorHAnsi"/>
          <w:color w:val="000000" w:themeColor="text1"/>
        </w:rPr>
        <w:t xml:space="preserve"> does not </w:t>
      </w:r>
      <w:r w:rsidR="3AF0DCDD" w:rsidRPr="006B3081">
        <w:rPr>
          <w:rFonts w:eastAsia="Calibri" w:cstheme="minorHAnsi"/>
          <w:color w:val="000000" w:themeColor="text1"/>
        </w:rPr>
        <w:t xml:space="preserve">explain whether they selected a smaller sample from the participants, therefore it is assumed that they interviewed each participant they had available to them. </w:t>
      </w:r>
      <w:r w:rsidR="41A9C8C3" w:rsidRPr="006B3081">
        <w:rPr>
          <w:rFonts w:eastAsia="Calibri" w:cstheme="minorHAnsi"/>
          <w:color w:val="000000" w:themeColor="text1"/>
        </w:rPr>
        <w:t>In addition, the fact that many of their respondents were self-volunteer suggests the sample may have had existing interest in the topic of reincarnation, further adding to a potential lack of</w:t>
      </w:r>
      <w:r w:rsidR="417C237A" w:rsidRPr="006B3081">
        <w:rPr>
          <w:rFonts w:eastAsia="Calibri" w:cstheme="minorHAnsi"/>
          <w:color w:val="000000" w:themeColor="text1"/>
        </w:rPr>
        <w:t xml:space="preserve"> </w:t>
      </w:r>
      <w:r w:rsidR="41A9C8C3" w:rsidRPr="006B3081">
        <w:rPr>
          <w:rFonts w:eastAsia="Calibri" w:cstheme="minorHAnsi"/>
          <w:color w:val="000000" w:themeColor="text1"/>
        </w:rPr>
        <w:t xml:space="preserve">representativeness. </w:t>
      </w:r>
      <w:r w:rsidR="7922E25E" w:rsidRPr="006B3081">
        <w:rPr>
          <w:rFonts w:eastAsia="Calibri" w:cstheme="minorHAnsi"/>
          <w:color w:val="000000" w:themeColor="text1"/>
        </w:rPr>
        <w:t>Although</w:t>
      </w:r>
      <w:r w:rsidR="41A9C8C3" w:rsidRPr="006B3081">
        <w:rPr>
          <w:rFonts w:eastAsia="Calibri" w:cstheme="minorHAnsi"/>
          <w:color w:val="000000" w:themeColor="text1"/>
        </w:rPr>
        <w:t xml:space="preserve"> Brink’s study </w:t>
      </w:r>
      <w:r w:rsidR="7145873C" w:rsidRPr="006B3081">
        <w:rPr>
          <w:rFonts w:eastAsia="Calibri" w:cstheme="minorHAnsi"/>
          <w:color w:val="000000" w:themeColor="text1"/>
        </w:rPr>
        <w:t>also lacks representativeness</w:t>
      </w:r>
      <w:r w:rsidR="00FC0D65" w:rsidRPr="006B3081">
        <w:rPr>
          <w:rFonts w:eastAsia="Calibri" w:cstheme="minorHAnsi"/>
          <w:color w:val="000000" w:themeColor="text1"/>
        </w:rPr>
        <w:t xml:space="preserve"> due to his sample being a singular high school in an area of Chicago</w:t>
      </w:r>
      <w:r w:rsidR="7145873C" w:rsidRPr="006B3081">
        <w:rPr>
          <w:rFonts w:eastAsia="Calibri" w:cstheme="minorHAnsi"/>
          <w:color w:val="000000" w:themeColor="text1"/>
        </w:rPr>
        <w:t>,</w:t>
      </w:r>
      <w:r w:rsidR="00FC0D65" w:rsidRPr="006B3081">
        <w:rPr>
          <w:rStyle w:val="FootnoteReference"/>
          <w:rFonts w:eastAsia="Calibri" w:cstheme="minorHAnsi"/>
          <w:color w:val="000000" w:themeColor="text1"/>
        </w:rPr>
        <w:footnoteReference w:id="20"/>
      </w:r>
      <w:r w:rsidR="7145873C" w:rsidRPr="006B3081">
        <w:rPr>
          <w:rFonts w:eastAsia="Calibri" w:cstheme="minorHAnsi"/>
          <w:color w:val="000000" w:themeColor="text1"/>
        </w:rPr>
        <w:t xml:space="preserve"> ethical issues also arise with his sample. Whilst Walter and Waterhouse’s sample consisted of mainly adult and self-volunteer participants, Brink’s consisted of students </w:t>
      </w:r>
      <w:r w:rsidR="0BD27369" w:rsidRPr="006B3081">
        <w:rPr>
          <w:rFonts w:eastAsia="Calibri" w:cstheme="minorHAnsi"/>
          <w:color w:val="000000" w:themeColor="text1"/>
        </w:rPr>
        <w:t xml:space="preserve">who took the questionnaire as part of a religious study class. </w:t>
      </w:r>
      <w:r w:rsidR="3E2E5DF4" w:rsidRPr="006B3081">
        <w:rPr>
          <w:rFonts w:eastAsia="Calibri" w:cstheme="minorHAnsi"/>
          <w:color w:val="000000" w:themeColor="text1"/>
        </w:rPr>
        <w:t>This raises questions of how freely given the information acquired was, as it is not made clear whether the participants were given the option to fulfil the questionnaire, or whether they were told what their information would be used f</w:t>
      </w:r>
      <w:r w:rsidR="55BF1F5A" w:rsidRPr="006B3081">
        <w:rPr>
          <w:rFonts w:eastAsia="Calibri" w:cstheme="minorHAnsi"/>
          <w:color w:val="000000" w:themeColor="text1"/>
        </w:rPr>
        <w:t>or.</w:t>
      </w:r>
      <w:r w:rsidR="3E2E5DF4" w:rsidRPr="006B3081">
        <w:rPr>
          <w:rFonts w:eastAsia="Calibri" w:cstheme="minorHAnsi"/>
          <w:color w:val="000000" w:themeColor="text1"/>
        </w:rPr>
        <w:t xml:space="preserve"> </w:t>
      </w:r>
      <w:r w:rsidR="3DD3EC12" w:rsidRPr="006B3081">
        <w:rPr>
          <w:rFonts w:eastAsia="Calibri" w:cstheme="minorHAnsi"/>
          <w:color w:val="000000" w:themeColor="text1"/>
        </w:rPr>
        <w:t xml:space="preserve">This </w:t>
      </w:r>
      <w:r w:rsidR="3E2E5DF4" w:rsidRPr="006B3081">
        <w:rPr>
          <w:rFonts w:eastAsia="Calibri" w:cstheme="minorHAnsi"/>
          <w:color w:val="000000" w:themeColor="text1"/>
        </w:rPr>
        <w:t>suggest</w:t>
      </w:r>
      <w:r w:rsidR="686EB064" w:rsidRPr="006B3081">
        <w:rPr>
          <w:rFonts w:eastAsia="Calibri" w:cstheme="minorHAnsi"/>
          <w:color w:val="000000" w:themeColor="text1"/>
        </w:rPr>
        <w:t xml:space="preserve">s a potential issue with the study if it was not conducted with the appropriate informed </w:t>
      </w:r>
      <w:r w:rsidR="00AB6130" w:rsidRPr="006B3081">
        <w:rPr>
          <w:rFonts w:eastAsia="Calibri" w:cstheme="minorHAnsi"/>
          <w:color w:val="000000" w:themeColor="text1"/>
        </w:rPr>
        <w:t xml:space="preserve">and freely given </w:t>
      </w:r>
      <w:r w:rsidR="686EB064" w:rsidRPr="006B3081">
        <w:rPr>
          <w:rFonts w:eastAsia="Calibri" w:cstheme="minorHAnsi"/>
          <w:color w:val="000000" w:themeColor="text1"/>
        </w:rPr>
        <w:t>consent. Judith Bell notes that informed consent also includes</w:t>
      </w:r>
      <w:r w:rsidR="68ADF7D9" w:rsidRPr="006B3081">
        <w:rPr>
          <w:rFonts w:eastAsia="Calibri" w:cstheme="minorHAnsi"/>
          <w:color w:val="000000" w:themeColor="text1"/>
        </w:rPr>
        <w:t xml:space="preserve"> considerations of confidentiality and</w:t>
      </w:r>
      <w:r w:rsidR="686EB064" w:rsidRPr="006B3081">
        <w:rPr>
          <w:rFonts w:eastAsia="Calibri" w:cstheme="minorHAnsi"/>
          <w:color w:val="000000" w:themeColor="text1"/>
        </w:rPr>
        <w:t xml:space="preserve"> anonymity</w:t>
      </w:r>
      <w:r w:rsidR="436340EA" w:rsidRPr="006B3081">
        <w:rPr>
          <w:rFonts w:eastAsia="Calibri" w:cstheme="minorHAnsi"/>
          <w:color w:val="000000" w:themeColor="text1"/>
        </w:rPr>
        <w:t>, two issues that are not mentioned in Brink’s research paper.</w:t>
      </w:r>
      <w:r w:rsidRPr="006B3081">
        <w:rPr>
          <w:rStyle w:val="FootnoteReference"/>
          <w:rFonts w:eastAsia="Calibri" w:cstheme="minorHAnsi"/>
          <w:color w:val="000000" w:themeColor="text1"/>
        </w:rPr>
        <w:footnoteReference w:id="21"/>
      </w:r>
      <w:r w:rsidR="436340EA" w:rsidRPr="006B3081">
        <w:rPr>
          <w:rFonts w:eastAsia="Calibri" w:cstheme="minorHAnsi"/>
          <w:color w:val="000000" w:themeColor="text1"/>
        </w:rPr>
        <w:t xml:space="preserve"> Overall, Brink’s methodology is explained only briefly, and does not account for </w:t>
      </w:r>
      <w:r w:rsidR="339BD7B1" w:rsidRPr="006B3081">
        <w:rPr>
          <w:rFonts w:eastAsia="Calibri" w:cstheme="minorHAnsi"/>
          <w:color w:val="000000" w:themeColor="text1"/>
        </w:rPr>
        <w:t xml:space="preserve">any </w:t>
      </w:r>
      <w:r w:rsidR="436340EA" w:rsidRPr="006B3081">
        <w:rPr>
          <w:rFonts w:eastAsia="Calibri" w:cstheme="minorHAnsi"/>
          <w:color w:val="000000" w:themeColor="text1"/>
        </w:rPr>
        <w:t xml:space="preserve">limitations </w:t>
      </w:r>
      <w:r w:rsidR="1DFE9A90" w:rsidRPr="006B3081">
        <w:rPr>
          <w:rFonts w:eastAsia="Calibri" w:cstheme="minorHAnsi"/>
          <w:color w:val="000000" w:themeColor="text1"/>
        </w:rPr>
        <w:t>or issues that arose through his approach and subsequent research</w:t>
      </w:r>
      <w:r w:rsidR="238E8578" w:rsidRPr="006B3081">
        <w:rPr>
          <w:rFonts w:eastAsia="Calibri" w:cstheme="minorHAnsi"/>
          <w:color w:val="000000" w:themeColor="text1"/>
        </w:rPr>
        <w:t>, whereas Walter and Waterhouse do indeed account for the limitations of their study, particularly with regards to representation and diversity.</w:t>
      </w:r>
    </w:p>
    <w:p w14:paraId="6C0506F6" w14:textId="65A80320" w:rsidR="00715D14" w:rsidRPr="006B3081" w:rsidRDefault="00715D14" w:rsidP="6BB0E553">
      <w:pPr>
        <w:contextualSpacing/>
        <w:rPr>
          <w:rFonts w:eastAsia="Calibri" w:cstheme="minorHAnsi"/>
          <w:color w:val="000000" w:themeColor="text1"/>
        </w:rPr>
      </w:pPr>
    </w:p>
    <w:p w14:paraId="2256EA2F" w14:textId="39A8255E" w:rsidR="07B1D6CE" w:rsidRPr="006B3081" w:rsidRDefault="15443F9B" w:rsidP="001D584D">
      <w:pPr>
        <w:ind w:firstLine="720"/>
        <w:contextualSpacing/>
        <w:rPr>
          <w:rFonts w:eastAsia="Calibri" w:cstheme="minorHAnsi"/>
          <w:color w:val="000000" w:themeColor="text1"/>
        </w:rPr>
      </w:pPr>
      <w:r w:rsidRPr="006B3081">
        <w:rPr>
          <w:rFonts w:eastAsia="Calibri" w:cstheme="minorHAnsi"/>
          <w:color w:val="000000" w:themeColor="text1"/>
        </w:rPr>
        <w:t>Clark, Foster and Bryman note the importance of considerations surrounding the insider and outsider positions of researchers, who attest that this relates to ‘[The</w:t>
      </w:r>
      <w:r w:rsidR="5C04BCE7" w:rsidRPr="006B3081">
        <w:rPr>
          <w:rFonts w:eastAsia="Calibri" w:cstheme="minorHAnsi"/>
          <w:color w:val="000000" w:themeColor="text1"/>
        </w:rPr>
        <w:t>]</w:t>
      </w:r>
      <w:r w:rsidRPr="006B3081">
        <w:rPr>
          <w:rFonts w:eastAsia="Calibri" w:cstheme="minorHAnsi"/>
          <w:color w:val="000000" w:themeColor="text1"/>
        </w:rPr>
        <w:t xml:space="preserve"> issue of</w:t>
      </w:r>
      <w:r w:rsidR="2828CDF6" w:rsidRPr="006B3081">
        <w:rPr>
          <w:rFonts w:eastAsia="Calibri" w:cstheme="minorHAnsi"/>
          <w:color w:val="000000" w:themeColor="text1"/>
        </w:rPr>
        <w:t xml:space="preserve"> your [the researcher’s] social status in relation to the field</w:t>
      </w:r>
      <w:r w:rsidR="38363350" w:rsidRPr="006B3081">
        <w:rPr>
          <w:rFonts w:eastAsia="Calibri" w:cstheme="minorHAnsi"/>
          <w:color w:val="000000" w:themeColor="text1"/>
        </w:rPr>
        <w:t>...’the epistemological problem of ‘other minds’’</w:t>
      </w:r>
      <w:r w:rsidR="2828CDF6" w:rsidRPr="006B3081">
        <w:rPr>
          <w:rFonts w:eastAsia="Calibri" w:cstheme="minorHAnsi"/>
          <w:color w:val="000000" w:themeColor="text1"/>
        </w:rPr>
        <w:t>.</w:t>
      </w:r>
      <w:r w:rsidRPr="006B3081">
        <w:rPr>
          <w:rStyle w:val="FootnoteReference"/>
          <w:rFonts w:eastAsia="Calibri" w:cstheme="minorHAnsi"/>
          <w:color w:val="000000" w:themeColor="text1"/>
        </w:rPr>
        <w:footnoteReference w:id="22"/>
      </w:r>
      <w:r w:rsidR="246136FB" w:rsidRPr="006B3081">
        <w:rPr>
          <w:rFonts w:eastAsia="Calibri" w:cstheme="minorHAnsi"/>
          <w:color w:val="000000" w:themeColor="text1"/>
        </w:rPr>
        <w:t xml:space="preserve"> </w:t>
      </w:r>
      <w:r w:rsidR="3E9CC9B4" w:rsidRPr="006B3081">
        <w:rPr>
          <w:rFonts w:eastAsia="Calibri" w:cstheme="minorHAnsi"/>
          <w:color w:val="000000" w:themeColor="text1"/>
        </w:rPr>
        <w:t xml:space="preserve">The authors note that both insider and outsider perspectives both have their own strengths and challenges, with the main challenge with the </w:t>
      </w:r>
      <w:r w:rsidR="36813199" w:rsidRPr="006B3081">
        <w:rPr>
          <w:rFonts w:eastAsia="Calibri" w:cstheme="minorHAnsi"/>
          <w:color w:val="000000" w:themeColor="text1"/>
        </w:rPr>
        <w:t>latter</w:t>
      </w:r>
      <w:r w:rsidR="3E9CC9B4" w:rsidRPr="006B3081">
        <w:rPr>
          <w:rFonts w:eastAsia="Calibri" w:cstheme="minorHAnsi"/>
          <w:color w:val="000000" w:themeColor="text1"/>
        </w:rPr>
        <w:t xml:space="preserve"> being </w:t>
      </w:r>
      <w:r w:rsidR="7D41AEE5" w:rsidRPr="006B3081">
        <w:rPr>
          <w:rFonts w:eastAsia="Calibri" w:cstheme="minorHAnsi"/>
          <w:color w:val="000000" w:themeColor="text1"/>
        </w:rPr>
        <w:t xml:space="preserve">the necessity of maintaining an objective distance, as researcher, from the participants. </w:t>
      </w:r>
      <w:r w:rsidR="1CDD95F9" w:rsidRPr="006B3081">
        <w:rPr>
          <w:rFonts w:eastAsia="Calibri" w:cstheme="minorHAnsi"/>
          <w:color w:val="000000" w:themeColor="text1"/>
        </w:rPr>
        <w:t xml:space="preserve">Brink in some ways can be seen as an outsider to his participants, when one considers age, social class and social status and the way in which this differs from that of the students he is researching. </w:t>
      </w:r>
      <w:r w:rsidR="00433C0A" w:rsidRPr="006B3081">
        <w:rPr>
          <w:rFonts w:eastAsia="Calibri" w:cstheme="minorHAnsi"/>
          <w:color w:val="000000" w:themeColor="text1"/>
        </w:rPr>
        <w:t xml:space="preserve">Brink, having attended </w:t>
      </w:r>
      <w:r w:rsidR="00393F46" w:rsidRPr="006B3081">
        <w:rPr>
          <w:rFonts w:eastAsia="Calibri" w:cstheme="minorHAnsi"/>
          <w:color w:val="000000" w:themeColor="text1"/>
        </w:rPr>
        <w:t>the</w:t>
      </w:r>
      <w:r w:rsidR="00433C0A" w:rsidRPr="006B3081">
        <w:rPr>
          <w:rFonts w:eastAsia="Calibri" w:cstheme="minorHAnsi"/>
          <w:color w:val="000000" w:themeColor="text1"/>
        </w:rPr>
        <w:t xml:space="preserve"> private </w:t>
      </w:r>
      <w:r w:rsidR="00393F46" w:rsidRPr="006B3081">
        <w:rPr>
          <w:rFonts w:eastAsia="Calibri" w:cstheme="minorHAnsi"/>
          <w:color w:val="000000" w:themeColor="text1"/>
        </w:rPr>
        <w:t>college Claremont Men’s College,</w:t>
      </w:r>
      <w:r w:rsidR="005D6534" w:rsidRPr="006B3081">
        <w:rPr>
          <w:rStyle w:val="FootnoteReference"/>
          <w:rFonts w:eastAsia="Calibri" w:cstheme="minorHAnsi"/>
          <w:color w:val="000000" w:themeColor="text1"/>
        </w:rPr>
        <w:footnoteReference w:id="23"/>
      </w:r>
      <w:r w:rsidR="00393F46" w:rsidRPr="006B3081">
        <w:rPr>
          <w:rFonts w:eastAsia="Calibri" w:cstheme="minorHAnsi"/>
          <w:color w:val="000000" w:themeColor="text1"/>
        </w:rPr>
        <w:t xml:space="preserve"> was likely at the time upper to middle class with regards to his social class whilst his participants were working class </w:t>
      </w:r>
      <w:r w:rsidR="005D6534" w:rsidRPr="006B3081">
        <w:rPr>
          <w:rFonts w:eastAsia="Calibri" w:cstheme="minorHAnsi"/>
          <w:color w:val="000000" w:themeColor="text1"/>
        </w:rPr>
        <w:t>and largely from Polish or Italian heritage.</w:t>
      </w:r>
      <w:r w:rsidR="005D6534" w:rsidRPr="006B3081">
        <w:rPr>
          <w:rStyle w:val="FootnoteReference"/>
          <w:rFonts w:eastAsia="Calibri" w:cstheme="minorHAnsi"/>
          <w:color w:val="000000" w:themeColor="text1"/>
        </w:rPr>
        <w:footnoteReference w:id="24"/>
      </w:r>
      <w:r w:rsidR="00B74D4F" w:rsidRPr="006B3081">
        <w:rPr>
          <w:rFonts w:eastAsia="Calibri" w:cstheme="minorHAnsi"/>
          <w:color w:val="000000" w:themeColor="text1"/>
        </w:rPr>
        <w:t xml:space="preserve"> Considering his current age of </w:t>
      </w:r>
      <w:r w:rsidR="00AC4DF9" w:rsidRPr="006B3081">
        <w:rPr>
          <w:rFonts w:eastAsia="Calibri" w:cstheme="minorHAnsi"/>
          <w:color w:val="000000" w:themeColor="text1"/>
        </w:rPr>
        <w:t xml:space="preserve">69, </w:t>
      </w:r>
      <w:r w:rsidR="00A660B4" w:rsidRPr="006B3081">
        <w:rPr>
          <w:rFonts w:eastAsia="Calibri" w:cstheme="minorHAnsi"/>
          <w:color w:val="000000" w:themeColor="text1"/>
        </w:rPr>
        <w:t>would have been in his early twenties when conducting this research in 1978</w:t>
      </w:r>
      <w:r w:rsidR="001D584D" w:rsidRPr="006B3081">
        <w:rPr>
          <w:rFonts w:eastAsia="Calibri" w:cstheme="minorHAnsi"/>
          <w:color w:val="000000" w:themeColor="text1"/>
        </w:rPr>
        <w:t xml:space="preserve">, whereas </w:t>
      </w:r>
      <w:r w:rsidR="00A660B4" w:rsidRPr="006B3081">
        <w:rPr>
          <w:rFonts w:eastAsia="Calibri" w:cstheme="minorHAnsi"/>
          <w:color w:val="000000" w:themeColor="text1"/>
        </w:rPr>
        <w:t xml:space="preserve">his </w:t>
      </w:r>
      <w:r w:rsidR="00DB598E" w:rsidRPr="006B3081">
        <w:rPr>
          <w:rFonts w:eastAsia="Calibri" w:cstheme="minorHAnsi"/>
          <w:color w:val="000000" w:themeColor="text1"/>
        </w:rPr>
        <w:t>participants</w:t>
      </w:r>
      <w:r w:rsidR="00A660B4" w:rsidRPr="006B3081">
        <w:rPr>
          <w:rFonts w:eastAsia="Calibri" w:cstheme="minorHAnsi"/>
          <w:color w:val="000000" w:themeColor="text1"/>
        </w:rPr>
        <w:t xml:space="preserve"> were likely </w:t>
      </w:r>
      <w:r w:rsidR="00DB598E" w:rsidRPr="006B3081">
        <w:rPr>
          <w:rFonts w:eastAsia="Calibri" w:cstheme="minorHAnsi"/>
          <w:color w:val="000000" w:themeColor="text1"/>
        </w:rPr>
        <w:t xml:space="preserve">from the ages of 11 </w:t>
      </w:r>
      <w:r w:rsidR="00DB598E" w:rsidRPr="006B3081">
        <w:rPr>
          <w:rFonts w:eastAsia="Calibri" w:cstheme="minorHAnsi"/>
          <w:color w:val="000000" w:themeColor="text1"/>
        </w:rPr>
        <w:lastRenderedPageBreak/>
        <w:t>to 18.</w:t>
      </w:r>
      <w:r w:rsidR="00D64EED" w:rsidRPr="006B3081">
        <w:rPr>
          <w:rFonts w:eastAsia="Calibri" w:cstheme="minorHAnsi"/>
          <w:color w:val="000000" w:themeColor="text1"/>
        </w:rPr>
        <w:t xml:space="preserve"> Martyn Denscombe </w:t>
      </w:r>
      <w:r w:rsidR="00ED1849" w:rsidRPr="006B3081">
        <w:rPr>
          <w:rFonts w:eastAsia="Calibri" w:cstheme="minorHAnsi"/>
          <w:color w:val="000000" w:themeColor="text1"/>
        </w:rPr>
        <w:t xml:space="preserve">argues that reflexive considerations such as that of age and social class are essential when conducting research projects as the researcher can </w:t>
      </w:r>
      <w:r w:rsidR="006C3D4C" w:rsidRPr="006B3081">
        <w:rPr>
          <w:rFonts w:eastAsia="Calibri" w:cstheme="minorHAnsi"/>
          <w:color w:val="000000" w:themeColor="text1"/>
        </w:rPr>
        <w:t xml:space="preserve">only </w:t>
      </w:r>
      <w:r w:rsidR="0078288A" w:rsidRPr="006B3081">
        <w:rPr>
          <w:rFonts w:eastAsia="Calibri" w:cstheme="minorHAnsi"/>
          <w:color w:val="000000" w:themeColor="text1"/>
        </w:rPr>
        <w:t>understand a culture or event through the lens of their</w:t>
      </w:r>
      <w:r w:rsidR="006C3D4C" w:rsidRPr="006B3081">
        <w:rPr>
          <w:rFonts w:eastAsia="Calibri" w:cstheme="minorHAnsi"/>
          <w:color w:val="000000" w:themeColor="text1"/>
        </w:rPr>
        <w:t xml:space="preserve"> own way</w:t>
      </w:r>
      <w:r w:rsidR="0078288A" w:rsidRPr="006B3081">
        <w:rPr>
          <w:rFonts w:eastAsia="Calibri" w:cstheme="minorHAnsi"/>
          <w:color w:val="000000" w:themeColor="text1"/>
        </w:rPr>
        <w:t xml:space="preserve">s </w:t>
      </w:r>
      <w:r w:rsidR="006C3D4C" w:rsidRPr="006B3081">
        <w:rPr>
          <w:rFonts w:eastAsia="Calibri" w:cstheme="minorHAnsi"/>
          <w:color w:val="000000" w:themeColor="text1"/>
        </w:rPr>
        <w:t xml:space="preserve">of </w:t>
      </w:r>
      <w:r w:rsidR="0078288A" w:rsidRPr="006B3081">
        <w:rPr>
          <w:rFonts w:eastAsia="Calibri" w:cstheme="minorHAnsi"/>
          <w:color w:val="000000" w:themeColor="text1"/>
        </w:rPr>
        <w:t>conceptualization and seeing.</w:t>
      </w:r>
      <w:r w:rsidR="004C37D3" w:rsidRPr="006B3081">
        <w:rPr>
          <w:rStyle w:val="FootnoteReference"/>
          <w:rFonts w:eastAsia="Calibri" w:cstheme="minorHAnsi"/>
          <w:color w:val="000000" w:themeColor="text1"/>
        </w:rPr>
        <w:footnoteReference w:id="25"/>
      </w:r>
      <w:r w:rsidR="0078288A" w:rsidRPr="006B3081">
        <w:rPr>
          <w:rFonts w:eastAsia="Calibri" w:cstheme="minorHAnsi"/>
          <w:color w:val="000000" w:themeColor="text1"/>
        </w:rPr>
        <w:t xml:space="preserve"> </w:t>
      </w:r>
      <w:r w:rsidR="004C37D3" w:rsidRPr="006B3081">
        <w:rPr>
          <w:rFonts w:eastAsia="Calibri" w:cstheme="minorHAnsi"/>
          <w:color w:val="000000" w:themeColor="text1"/>
        </w:rPr>
        <w:t xml:space="preserve">This means that a researcher’s interpretation is not always objective, as it is </w:t>
      </w:r>
      <w:proofErr w:type="spellStart"/>
      <w:r w:rsidR="004C37D3" w:rsidRPr="006B3081">
        <w:rPr>
          <w:rFonts w:eastAsia="Calibri" w:cstheme="minorHAnsi"/>
          <w:color w:val="000000" w:themeColor="text1"/>
        </w:rPr>
        <w:t>coloured</w:t>
      </w:r>
      <w:proofErr w:type="spellEnd"/>
      <w:r w:rsidR="004C37D3" w:rsidRPr="006B3081">
        <w:rPr>
          <w:rFonts w:eastAsia="Calibri" w:cstheme="minorHAnsi"/>
          <w:color w:val="000000" w:themeColor="text1"/>
        </w:rPr>
        <w:t xml:space="preserve"> through their own circumstances, belief systems and modes of thought or understanding. </w:t>
      </w:r>
      <w:r w:rsidR="001A1323" w:rsidRPr="006B3081">
        <w:rPr>
          <w:rFonts w:eastAsia="Calibri" w:cstheme="minorHAnsi"/>
          <w:color w:val="000000" w:themeColor="text1"/>
        </w:rPr>
        <w:t xml:space="preserve">In this way, Brink’s differences to his participants could likely have contributed to his findings and their consequent interpretation. </w:t>
      </w:r>
      <w:r w:rsidR="009C7CEF" w:rsidRPr="006B3081">
        <w:rPr>
          <w:rFonts w:eastAsia="Calibri" w:cstheme="minorHAnsi"/>
          <w:color w:val="000000" w:themeColor="text1"/>
        </w:rPr>
        <w:t>Although</w:t>
      </w:r>
      <w:r w:rsidR="6B61833D" w:rsidRPr="006B3081">
        <w:rPr>
          <w:rFonts w:eastAsia="Calibri" w:cstheme="minorHAnsi"/>
          <w:color w:val="000000" w:themeColor="text1"/>
        </w:rPr>
        <w:t xml:space="preserve"> </w:t>
      </w:r>
      <w:r w:rsidR="001A1323" w:rsidRPr="006B3081">
        <w:rPr>
          <w:rFonts w:eastAsia="Calibri" w:cstheme="minorHAnsi"/>
          <w:color w:val="000000" w:themeColor="text1"/>
        </w:rPr>
        <w:t>Walter</w:t>
      </w:r>
      <w:r w:rsidR="6B61833D" w:rsidRPr="006B3081">
        <w:rPr>
          <w:rFonts w:eastAsia="Calibri" w:cstheme="minorHAnsi"/>
          <w:color w:val="000000" w:themeColor="text1"/>
        </w:rPr>
        <w:t xml:space="preserve"> and Waterhouse</w:t>
      </w:r>
      <w:r w:rsidR="00210F17" w:rsidRPr="006B3081">
        <w:rPr>
          <w:rFonts w:eastAsia="Calibri" w:cstheme="minorHAnsi"/>
          <w:color w:val="000000" w:themeColor="text1"/>
        </w:rPr>
        <w:t xml:space="preserve"> </w:t>
      </w:r>
      <w:r w:rsidR="6B61833D" w:rsidRPr="006B3081">
        <w:rPr>
          <w:rFonts w:eastAsia="Calibri" w:cstheme="minorHAnsi"/>
          <w:color w:val="000000" w:themeColor="text1"/>
        </w:rPr>
        <w:t>can be said t</w:t>
      </w:r>
      <w:r w:rsidR="3E6AFB30" w:rsidRPr="006B3081">
        <w:rPr>
          <w:rFonts w:eastAsia="Calibri" w:cstheme="minorHAnsi"/>
          <w:color w:val="000000" w:themeColor="text1"/>
        </w:rPr>
        <w:t>o</w:t>
      </w:r>
      <w:r w:rsidR="6B61833D" w:rsidRPr="006B3081">
        <w:rPr>
          <w:rFonts w:eastAsia="Calibri" w:cstheme="minorHAnsi"/>
          <w:color w:val="000000" w:themeColor="text1"/>
        </w:rPr>
        <w:t xml:space="preserve"> be insiders in terms of their relative social class, age and status</w:t>
      </w:r>
      <w:r w:rsidR="00210F17" w:rsidRPr="006B3081">
        <w:rPr>
          <w:rFonts w:eastAsia="Calibri" w:cstheme="minorHAnsi"/>
          <w:color w:val="000000" w:themeColor="text1"/>
        </w:rPr>
        <w:t xml:space="preserve">, as middle-upper class people living in the </w:t>
      </w:r>
      <w:proofErr w:type="gramStart"/>
      <w:r w:rsidR="00210F17" w:rsidRPr="006B3081">
        <w:rPr>
          <w:rFonts w:eastAsia="Calibri" w:cstheme="minorHAnsi"/>
          <w:color w:val="000000" w:themeColor="text1"/>
        </w:rPr>
        <w:t>South West</w:t>
      </w:r>
      <w:proofErr w:type="gramEnd"/>
      <w:r w:rsidR="00210F17" w:rsidRPr="006B3081">
        <w:rPr>
          <w:rFonts w:eastAsia="Calibri" w:cstheme="minorHAnsi"/>
          <w:color w:val="000000" w:themeColor="text1"/>
        </w:rPr>
        <w:t xml:space="preserve"> of England</w:t>
      </w:r>
      <w:r w:rsidR="009C7CEF" w:rsidRPr="006B3081">
        <w:rPr>
          <w:rFonts w:eastAsia="Calibri" w:cstheme="minorHAnsi"/>
          <w:color w:val="000000" w:themeColor="text1"/>
        </w:rPr>
        <w:t xml:space="preserve">, and Walter being around the median age of the participants, the same issues </w:t>
      </w:r>
      <w:r w:rsidR="007140A2" w:rsidRPr="006B3081">
        <w:rPr>
          <w:rFonts w:eastAsia="Calibri" w:cstheme="minorHAnsi"/>
          <w:color w:val="000000" w:themeColor="text1"/>
        </w:rPr>
        <w:t xml:space="preserve">of interpretation and objectivity apply, as they may have inadvertently </w:t>
      </w:r>
      <w:r w:rsidR="00B70EB7" w:rsidRPr="006B3081">
        <w:rPr>
          <w:rFonts w:eastAsia="Calibri" w:cstheme="minorHAnsi"/>
          <w:color w:val="000000" w:themeColor="text1"/>
        </w:rPr>
        <w:t>attached elements of themselves into the findings or research questions.</w:t>
      </w:r>
      <w:r w:rsidR="00B70EB7" w:rsidRPr="006B3081">
        <w:rPr>
          <w:rStyle w:val="FootnoteReference"/>
          <w:rFonts w:eastAsia="Calibri" w:cstheme="minorHAnsi"/>
          <w:color w:val="000000" w:themeColor="text1"/>
        </w:rPr>
        <w:footnoteReference w:id="26"/>
      </w:r>
    </w:p>
    <w:p w14:paraId="6D11C872" w14:textId="4A024065" w:rsidR="02163D9C" w:rsidRPr="006B3081" w:rsidRDefault="02163D9C" w:rsidP="02163D9C">
      <w:pPr>
        <w:contextualSpacing/>
        <w:rPr>
          <w:rFonts w:eastAsia="Calibri" w:cstheme="minorHAnsi"/>
          <w:color w:val="000000" w:themeColor="text1"/>
        </w:rPr>
      </w:pPr>
    </w:p>
    <w:p w14:paraId="2C078E63" w14:textId="1BC30C1B" w:rsidR="00715D14" w:rsidRPr="006B3081" w:rsidRDefault="00B87A6F" w:rsidP="6BB0E553">
      <w:pPr>
        <w:rPr>
          <w:rFonts w:cstheme="minorHAnsi"/>
          <w:color w:val="000000" w:themeColor="text1"/>
        </w:rPr>
      </w:pPr>
      <w:r w:rsidRPr="006B3081">
        <w:rPr>
          <w:rFonts w:eastAsia="Calibri" w:cstheme="minorHAnsi"/>
          <w:b/>
          <w:bCs/>
          <w:color w:val="000000" w:themeColor="text1"/>
        </w:rPr>
        <w:tab/>
      </w:r>
      <w:r w:rsidRPr="006B3081">
        <w:rPr>
          <w:rFonts w:eastAsia="Calibri" w:cstheme="minorHAnsi"/>
          <w:color w:val="000000" w:themeColor="text1"/>
        </w:rPr>
        <w:t xml:space="preserve">In conclusion, this text has critically assessed and compared two research papers; </w:t>
      </w:r>
      <w:r w:rsidRPr="006B3081">
        <w:rPr>
          <w:rFonts w:cstheme="minorHAnsi"/>
          <w:i/>
          <w:iCs/>
          <w:shd w:val="clear" w:color="auto" w:fill="FFFFFF"/>
        </w:rPr>
        <w:t>Inconsistency of Belief among Roman Catholic Girls: Concerning Religion, Astrology, Reincarnation</w:t>
      </w:r>
      <w:r w:rsidRPr="006B3081">
        <w:rPr>
          <w:rFonts w:cstheme="minorHAnsi"/>
          <w:shd w:val="clear" w:color="auto" w:fill="FFFFFF"/>
        </w:rPr>
        <w:t xml:space="preserve">. </w:t>
      </w:r>
      <w:r w:rsidRPr="006B3081">
        <w:rPr>
          <w:rFonts w:cstheme="minorHAnsi"/>
          <w:shd w:val="clear" w:color="auto" w:fill="FFFFFF"/>
        </w:rPr>
        <w:t xml:space="preserve">By T.L Brink and </w:t>
      </w:r>
      <w:r w:rsidR="00AE0BA6" w:rsidRPr="006B3081">
        <w:rPr>
          <w:rStyle w:val="normaltextrun"/>
          <w:rFonts w:cstheme="minorHAnsi"/>
          <w:i/>
          <w:iCs/>
        </w:rPr>
        <w:t>A Very Private Belief: Reincarnation in Contemporary England</w:t>
      </w:r>
      <w:r w:rsidR="00D01927" w:rsidRPr="006B3081">
        <w:rPr>
          <w:rStyle w:val="normaltextrun"/>
          <w:rFonts w:cstheme="minorHAnsi"/>
        </w:rPr>
        <w:t xml:space="preserve"> </w:t>
      </w:r>
      <w:r w:rsidR="00AE0BA6" w:rsidRPr="006B3081">
        <w:rPr>
          <w:rStyle w:val="normaltextrun"/>
          <w:rFonts w:cstheme="minorHAnsi"/>
        </w:rPr>
        <w:t xml:space="preserve">by T. Walter and H. Waterhouse. </w:t>
      </w:r>
      <w:r w:rsidR="001C45E4" w:rsidRPr="006B3081">
        <w:rPr>
          <w:rStyle w:val="normaltextrun"/>
          <w:rFonts w:cstheme="minorHAnsi"/>
        </w:rPr>
        <w:t xml:space="preserve">Both papers aim to undertake a similar hypothesis and aim, which is to investigate whether belief in reincarnation is </w:t>
      </w:r>
      <w:r w:rsidR="00C33936" w:rsidRPr="006B3081">
        <w:rPr>
          <w:rStyle w:val="normaltextrun"/>
          <w:rFonts w:cstheme="minorHAnsi"/>
        </w:rPr>
        <w:t xml:space="preserve">simultaneously </w:t>
      </w:r>
      <w:r w:rsidR="001C45E4" w:rsidRPr="006B3081">
        <w:rPr>
          <w:rStyle w:val="normaltextrun"/>
          <w:rFonts w:cstheme="minorHAnsi"/>
        </w:rPr>
        <w:t>compatible with Christian beliefs</w:t>
      </w:r>
      <w:r w:rsidR="00C33936" w:rsidRPr="006B3081">
        <w:rPr>
          <w:rStyle w:val="normaltextrun"/>
          <w:rFonts w:cstheme="minorHAnsi"/>
        </w:rPr>
        <w:t xml:space="preserve"> such as the belief in a single God and heaven and hell. Whilst Walter and Waterhouse also set out to examine the </w:t>
      </w:r>
      <w:r w:rsidR="003344F3" w:rsidRPr="006B3081">
        <w:rPr>
          <w:rStyle w:val="normaltextrun"/>
          <w:rFonts w:cstheme="minorHAnsi"/>
        </w:rPr>
        <w:t>reasons for belief in reincarnation, Brink centralizes</w:t>
      </w:r>
      <w:r w:rsidR="0020482C" w:rsidRPr="006B3081">
        <w:rPr>
          <w:rStyle w:val="normaltextrun"/>
          <w:rFonts w:cstheme="minorHAnsi"/>
        </w:rPr>
        <w:t xml:space="preserve"> his research</w:t>
      </w:r>
      <w:r w:rsidR="003344F3" w:rsidRPr="006B3081">
        <w:rPr>
          <w:rStyle w:val="normaltextrun"/>
          <w:rFonts w:cstheme="minorHAnsi"/>
        </w:rPr>
        <w:t xml:space="preserve"> mainly on whether the two belief systems can coincide and exist parallel to one another. T</w:t>
      </w:r>
      <w:r w:rsidR="0020482C" w:rsidRPr="006B3081">
        <w:rPr>
          <w:rStyle w:val="normaltextrun"/>
          <w:rFonts w:cstheme="minorHAnsi"/>
        </w:rPr>
        <w:t xml:space="preserve">he two papers both demonstrate examples of qualitative research, with Brink making use of questionnaires, whereas </w:t>
      </w:r>
      <w:r w:rsidR="000C28E7" w:rsidRPr="006B3081">
        <w:rPr>
          <w:rStyle w:val="normaltextrun"/>
          <w:rFonts w:cstheme="minorHAnsi"/>
        </w:rPr>
        <w:t xml:space="preserve">Walter and Waterhouse incorporate open-ended interviews to explore reasons of belief in their participants. </w:t>
      </w:r>
      <w:proofErr w:type="gramStart"/>
      <w:r w:rsidR="000C28E7" w:rsidRPr="006B3081">
        <w:rPr>
          <w:rStyle w:val="normaltextrun"/>
          <w:rFonts w:cstheme="minorHAnsi"/>
        </w:rPr>
        <w:t>Both of these</w:t>
      </w:r>
      <w:proofErr w:type="gramEnd"/>
      <w:r w:rsidR="000C28E7" w:rsidRPr="006B3081">
        <w:rPr>
          <w:rStyle w:val="normaltextrun"/>
          <w:rFonts w:cstheme="minorHAnsi"/>
        </w:rPr>
        <w:t xml:space="preserve"> methodologies are in line with </w:t>
      </w:r>
      <w:r w:rsidR="000677D7" w:rsidRPr="006B3081">
        <w:rPr>
          <w:rStyle w:val="normaltextrun"/>
          <w:rFonts w:cstheme="minorHAnsi"/>
        </w:rPr>
        <w:t>their aims and are appropriate for their hypotheses. Reflexive issues arise in both research papers</w:t>
      </w:r>
      <w:r w:rsidR="003441E0" w:rsidRPr="006B3081">
        <w:rPr>
          <w:rStyle w:val="normaltextrun"/>
          <w:rFonts w:cstheme="minorHAnsi"/>
        </w:rPr>
        <w:t>,</w:t>
      </w:r>
      <w:r w:rsidR="000C16D7" w:rsidRPr="006B3081">
        <w:rPr>
          <w:rStyle w:val="normaltextrun"/>
          <w:rFonts w:cstheme="minorHAnsi"/>
        </w:rPr>
        <w:t xml:space="preserve"> associated with social class, status and age, and this paper has illustrated the potential issues around objectivity that could impact the findings of the research</w:t>
      </w:r>
      <w:r w:rsidR="009D0930" w:rsidRPr="006B3081">
        <w:rPr>
          <w:rStyle w:val="normaltextrun"/>
          <w:rFonts w:cstheme="minorHAnsi"/>
        </w:rPr>
        <w:t>, particularly as there was</w:t>
      </w:r>
      <w:r w:rsidR="003441E0" w:rsidRPr="006B3081">
        <w:rPr>
          <w:rStyle w:val="normaltextrun"/>
          <w:rFonts w:cstheme="minorHAnsi"/>
        </w:rPr>
        <w:t xml:space="preserve"> little considerations of reflexivity established by eithe</w:t>
      </w:r>
      <w:r w:rsidR="009D0930" w:rsidRPr="006B3081">
        <w:rPr>
          <w:rStyle w:val="normaltextrun"/>
          <w:rFonts w:cstheme="minorHAnsi"/>
        </w:rPr>
        <w:t>r of the authors</w:t>
      </w:r>
      <w:r w:rsidR="003441E0" w:rsidRPr="006B3081">
        <w:rPr>
          <w:rStyle w:val="normaltextrun"/>
          <w:rFonts w:cstheme="minorHAnsi"/>
        </w:rPr>
        <w:t xml:space="preserve">. However, Brink’s paper demonstrates an additional ethical concern surrounding informed </w:t>
      </w:r>
      <w:r w:rsidR="000C16D7" w:rsidRPr="006B3081">
        <w:rPr>
          <w:rStyle w:val="normaltextrun"/>
          <w:rFonts w:cstheme="minorHAnsi"/>
        </w:rPr>
        <w:t xml:space="preserve">and freely given </w:t>
      </w:r>
      <w:r w:rsidR="003441E0" w:rsidRPr="006B3081">
        <w:rPr>
          <w:rStyle w:val="normaltextrun"/>
          <w:rFonts w:cstheme="minorHAnsi"/>
        </w:rPr>
        <w:t xml:space="preserve">consent </w:t>
      </w:r>
      <w:r w:rsidR="000C16D7" w:rsidRPr="006B3081">
        <w:rPr>
          <w:rStyle w:val="normaltextrun"/>
          <w:rFonts w:cstheme="minorHAnsi"/>
        </w:rPr>
        <w:t xml:space="preserve">due to the circumstances of whereby the questionnaires were given. </w:t>
      </w:r>
    </w:p>
    <w:p w14:paraId="3BF1FB08" w14:textId="77777777" w:rsidR="00B87A6F" w:rsidRPr="006B3081" w:rsidRDefault="00B87A6F" w:rsidP="6BB0E553">
      <w:pPr>
        <w:rPr>
          <w:rFonts w:cstheme="minorHAnsi"/>
          <w:color w:val="000000" w:themeColor="text1"/>
        </w:rPr>
      </w:pPr>
    </w:p>
    <w:p w14:paraId="02449575" w14:textId="77777777" w:rsidR="00B87A6F" w:rsidRPr="006B3081" w:rsidRDefault="00B87A6F" w:rsidP="6BB0E553">
      <w:pPr>
        <w:rPr>
          <w:rFonts w:cstheme="minorHAnsi"/>
          <w:color w:val="000000" w:themeColor="text1"/>
        </w:rPr>
      </w:pPr>
    </w:p>
    <w:p w14:paraId="5DAE07FD" w14:textId="62FD1601" w:rsidR="5462D5E6" w:rsidRPr="006B3081" w:rsidRDefault="5462D5E6" w:rsidP="02163D9C">
      <w:pPr>
        <w:rPr>
          <w:rFonts w:cstheme="minorHAnsi"/>
          <w:b/>
          <w:bCs/>
          <w:color w:val="000000" w:themeColor="text1"/>
        </w:rPr>
      </w:pPr>
      <w:r w:rsidRPr="006B3081">
        <w:rPr>
          <w:rFonts w:cstheme="minorHAnsi"/>
          <w:b/>
          <w:bCs/>
          <w:color w:val="000000" w:themeColor="text1"/>
        </w:rPr>
        <w:t>BIBLIOGRAPHY</w:t>
      </w:r>
    </w:p>
    <w:p w14:paraId="5B70C824" w14:textId="77777777" w:rsidR="00144DE2" w:rsidRPr="006B3081" w:rsidRDefault="00144DE2" w:rsidP="02163D9C">
      <w:pPr>
        <w:contextualSpacing/>
        <w:rPr>
          <w:rFonts w:eastAsia="Calibri" w:cstheme="minorHAnsi"/>
          <w:color w:val="000000" w:themeColor="text1"/>
        </w:rPr>
      </w:pPr>
    </w:p>
    <w:p w14:paraId="3767A025" w14:textId="00046D21" w:rsidR="00144DE2" w:rsidRDefault="00144DE2" w:rsidP="00257736">
      <w:pPr>
        <w:pStyle w:val="ListParagraph"/>
        <w:numPr>
          <w:ilvl w:val="0"/>
          <w:numId w:val="2"/>
        </w:numPr>
        <w:adjustRightInd w:val="0"/>
        <w:snapToGrid w:val="0"/>
        <w:rPr>
          <w:rFonts w:eastAsia="Calibri" w:cstheme="minorHAnsi"/>
          <w:color w:val="000000" w:themeColor="text1"/>
        </w:rPr>
      </w:pPr>
      <w:r w:rsidRPr="006B09D8">
        <w:rPr>
          <w:rFonts w:eastAsia="Calibri" w:cstheme="minorHAnsi"/>
          <w:color w:val="000000" w:themeColor="text1"/>
        </w:rPr>
        <w:t>Bell, J. and S. Waters, ‘Doing Your Research Project’, New York: Open University Press/McGraw-</w:t>
      </w:r>
      <w:r w:rsidRPr="006B09D8">
        <w:rPr>
          <w:rFonts w:cstheme="minorHAnsi"/>
          <w:color w:val="000000" w:themeColor="text1"/>
        </w:rPr>
        <w:tab/>
      </w:r>
      <w:r w:rsidRPr="006B09D8">
        <w:rPr>
          <w:rFonts w:eastAsia="Calibri" w:cstheme="minorHAnsi"/>
          <w:color w:val="000000" w:themeColor="text1"/>
        </w:rPr>
        <w:t xml:space="preserve">Hill, </w:t>
      </w:r>
      <w:r w:rsidRPr="006B09D8">
        <w:rPr>
          <w:rFonts w:eastAsia="Calibri" w:cstheme="minorHAnsi"/>
          <w:color w:val="000000" w:themeColor="text1"/>
        </w:rPr>
        <w:t>6</w:t>
      </w:r>
      <w:r w:rsidRPr="006B09D8">
        <w:rPr>
          <w:rFonts w:eastAsia="Calibri" w:cstheme="minorHAnsi"/>
          <w:color w:val="000000" w:themeColor="text1"/>
        </w:rPr>
        <w:t>th eds</w:t>
      </w:r>
      <w:r w:rsidR="006B4E2B">
        <w:rPr>
          <w:rFonts w:eastAsia="Calibri" w:cstheme="minorHAnsi"/>
          <w:color w:val="000000" w:themeColor="text1"/>
        </w:rPr>
        <w:t xml:space="preserve">, </w:t>
      </w:r>
      <w:r w:rsidR="006B4E2B" w:rsidRPr="006B09D8">
        <w:rPr>
          <w:rFonts w:eastAsia="Calibri" w:cstheme="minorHAnsi"/>
          <w:color w:val="000000" w:themeColor="text1"/>
        </w:rPr>
        <w:t>2014</w:t>
      </w:r>
    </w:p>
    <w:p w14:paraId="38F9E434" w14:textId="4643F011" w:rsidR="006B09D8" w:rsidRPr="006B09D8" w:rsidRDefault="006B09D8" w:rsidP="006B09D8">
      <w:pPr>
        <w:pStyle w:val="ListParagraph"/>
        <w:numPr>
          <w:ilvl w:val="0"/>
          <w:numId w:val="2"/>
        </w:numPr>
        <w:adjustRightInd w:val="0"/>
        <w:snapToGrid w:val="0"/>
        <w:rPr>
          <w:rFonts w:eastAsia="Calibri" w:cstheme="minorHAnsi"/>
          <w:color w:val="000000" w:themeColor="text1"/>
        </w:rPr>
      </w:pPr>
      <w:r w:rsidRPr="006B09D8">
        <w:rPr>
          <w:rFonts w:eastAsia="Calibri" w:cstheme="minorHAnsi"/>
          <w:color w:val="000000" w:themeColor="text1"/>
        </w:rPr>
        <w:t>Bell, J. and S. Waters, ‘Doing Your Research Project’, New York: Open University Press/McGraw-</w:t>
      </w:r>
      <w:r w:rsidRPr="006B09D8">
        <w:rPr>
          <w:rFonts w:cstheme="minorHAnsi"/>
          <w:color w:val="000000" w:themeColor="text1"/>
        </w:rPr>
        <w:tab/>
      </w:r>
      <w:r w:rsidRPr="006B09D8">
        <w:rPr>
          <w:rFonts w:eastAsia="Calibri" w:cstheme="minorHAnsi"/>
          <w:color w:val="000000" w:themeColor="text1"/>
        </w:rPr>
        <w:t>Hill, 7th eds</w:t>
      </w:r>
      <w:r w:rsidR="006B4E2B">
        <w:rPr>
          <w:rFonts w:eastAsia="Calibri" w:cstheme="minorHAnsi"/>
          <w:color w:val="000000" w:themeColor="text1"/>
        </w:rPr>
        <w:t xml:space="preserve">, </w:t>
      </w:r>
      <w:r w:rsidR="006B4E2B" w:rsidRPr="006B09D8">
        <w:rPr>
          <w:rFonts w:eastAsia="Calibri" w:cstheme="minorHAnsi"/>
          <w:color w:val="000000" w:themeColor="text1"/>
        </w:rPr>
        <w:t>2017.</w:t>
      </w:r>
    </w:p>
    <w:p w14:paraId="1DB298F3" w14:textId="0A73AA76" w:rsidR="006B4E2B" w:rsidRPr="006B4E2B" w:rsidRDefault="006B09D8" w:rsidP="00257736">
      <w:pPr>
        <w:pStyle w:val="ListParagraph"/>
        <w:numPr>
          <w:ilvl w:val="0"/>
          <w:numId w:val="2"/>
        </w:numPr>
        <w:adjustRightInd w:val="0"/>
        <w:snapToGrid w:val="0"/>
        <w:rPr>
          <w:rStyle w:val="normaltextrun"/>
          <w:rFonts w:eastAsia="Calibri" w:cstheme="minorHAnsi"/>
          <w:color w:val="000000" w:themeColor="text1"/>
        </w:rPr>
      </w:pPr>
      <w:r w:rsidRPr="006B09D8">
        <w:rPr>
          <w:rStyle w:val="normaltextrun"/>
          <w:rFonts w:cstheme="minorHAnsi"/>
        </w:rPr>
        <w:lastRenderedPageBreak/>
        <w:t>Brink, T. L.</w:t>
      </w:r>
      <w:r w:rsidR="006B4E2B">
        <w:rPr>
          <w:rStyle w:val="normaltextrun"/>
          <w:rFonts w:cstheme="minorHAnsi"/>
        </w:rPr>
        <w:t xml:space="preserve">, </w:t>
      </w:r>
      <w:r w:rsidRPr="006B09D8">
        <w:rPr>
          <w:rStyle w:val="normaltextrun"/>
          <w:rFonts w:cstheme="minorHAnsi"/>
        </w:rPr>
        <w:t>‘Inconsistency of Belief among Roman Catholic Girls: Concerning Religion, Astrology, Reincarnation.’ Review of Religious Research, 20, 82-85</w:t>
      </w:r>
      <w:r w:rsidR="006B4E2B">
        <w:rPr>
          <w:rStyle w:val="normaltextrun"/>
          <w:rFonts w:cstheme="minorHAnsi"/>
        </w:rPr>
        <w:t xml:space="preserve">, </w:t>
      </w:r>
      <w:r w:rsidR="006B4E2B" w:rsidRPr="006B09D8">
        <w:rPr>
          <w:rStyle w:val="normaltextrun"/>
          <w:rFonts w:cstheme="minorHAnsi"/>
        </w:rPr>
        <w:t>1978</w:t>
      </w:r>
      <w:r w:rsidRPr="006B09D8">
        <w:rPr>
          <w:rStyle w:val="normaltextrun"/>
          <w:rFonts w:cstheme="minorHAnsi"/>
        </w:rPr>
        <w:t>. – Available JSTOR.</w:t>
      </w:r>
    </w:p>
    <w:p w14:paraId="143A9261" w14:textId="79314234" w:rsidR="006B09D8" w:rsidRPr="00720EEC" w:rsidRDefault="006B4E2B" w:rsidP="00720EEC">
      <w:pPr>
        <w:pStyle w:val="ListParagraph"/>
        <w:numPr>
          <w:ilvl w:val="0"/>
          <w:numId w:val="2"/>
        </w:numPr>
        <w:adjustRightInd w:val="0"/>
        <w:snapToGrid w:val="0"/>
        <w:rPr>
          <w:rFonts w:eastAsia="Calibri" w:cstheme="minorHAnsi"/>
          <w:color w:val="000000" w:themeColor="text1"/>
        </w:rPr>
      </w:pPr>
      <w:r>
        <w:rPr>
          <w:rStyle w:val="authors"/>
          <w:rFonts w:ascii="Open Sans" w:hAnsi="Open Sans" w:cs="Open Sans"/>
          <w:color w:val="333333"/>
        </w:rPr>
        <w:t>Brink</w:t>
      </w:r>
      <w:r>
        <w:rPr>
          <w:rStyle w:val="authors"/>
          <w:rFonts w:ascii="Open Sans" w:hAnsi="Open Sans" w:cs="Open Sans"/>
          <w:color w:val="333333"/>
        </w:rPr>
        <w:t>, T., L.,</w:t>
      </w:r>
      <w:r>
        <w:rPr>
          <w:rStyle w:val="apple-converted-space"/>
          <w:rFonts w:ascii="Open Sans" w:hAnsi="Open Sans" w:cs="Open Sans"/>
          <w:color w:val="333333"/>
          <w:shd w:val="clear" w:color="auto" w:fill="FFFFFF"/>
        </w:rPr>
        <w:t> </w:t>
      </w:r>
      <w:r>
        <w:rPr>
          <w:rStyle w:val="date"/>
          <w:rFonts w:ascii="Open Sans" w:hAnsi="Open Sans" w:cs="Open Sans"/>
          <w:color w:val="333333"/>
        </w:rPr>
        <w:t>1982</w:t>
      </w:r>
      <w:r>
        <w:rPr>
          <w:rStyle w:val="date"/>
          <w:rFonts w:ascii="Open Sans" w:hAnsi="Open Sans" w:cs="Open Sans"/>
          <w:color w:val="333333"/>
        </w:rPr>
        <w:t>.</w:t>
      </w:r>
      <w:r>
        <w:rPr>
          <w:rStyle w:val="apple-converted-space"/>
          <w:rFonts w:ascii="Open Sans" w:hAnsi="Open Sans" w:cs="Open Sans"/>
          <w:color w:val="333333"/>
          <w:shd w:val="clear" w:color="auto" w:fill="FFFFFF"/>
        </w:rPr>
        <w:t> </w:t>
      </w:r>
      <w:r>
        <w:rPr>
          <w:rStyle w:val="arttitle"/>
          <w:rFonts w:ascii="Open Sans" w:hAnsi="Open Sans" w:cs="Open Sans"/>
          <w:color w:val="333333"/>
        </w:rPr>
        <w:t xml:space="preserve">What I Learned (and Did Not Learn) from the Study of </w:t>
      </w:r>
      <w:proofErr w:type="spellStart"/>
      <w:proofErr w:type="gramStart"/>
      <w:r>
        <w:rPr>
          <w:rStyle w:val="arttitle"/>
          <w:rFonts w:ascii="Open Sans" w:hAnsi="Open Sans" w:cs="Open Sans"/>
          <w:color w:val="333333"/>
        </w:rPr>
        <w:t>History,</w:t>
      </w:r>
      <w:r>
        <w:rPr>
          <w:rStyle w:val="serialtitle"/>
          <w:rFonts w:ascii="Open Sans" w:hAnsi="Open Sans" w:cs="Open Sans"/>
          <w:color w:val="333333"/>
        </w:rPr>
        <w:t>The</w:t>
      </w:r>
      <w:proofErr w:type="spellEnd"/>
      <w:proofErr w:type="gramEnd"/>
      <w:r>
        <w:rPr>
          <w:rStyle w:val="serialtitle"/>
          <w:rFonts w:ascii="Open Sans" w:hAnsi="Open Sans" w:cs="Open Sans"/>
          <w:color w:val="333333"/>
        </w:rPr>
        <w:t xml:space="preserve"> Historian,</w:t>
      </w:r>
      <w:r>
        <w:rPr>
          <w:rStyle w:val="apple-converted-space"/>
          <w:rFonts w:ascii="Open Sans" w:hAnsi="Open Sans" w:cs="Open Sans"/>
          <w:color w:val="333333"/>
          <w:shd w:val="clear" w:color="auto" w:fill="FFFFFF"/>
        </w:rPr>
        <w:t> </w:t>
      </w:r>
      <w:r>
        <w:rPr>
          <w:rStyle w:val="volumeissue"/>
          <w:rFonts w:ascii="Open Sans" w:hAnsi="Open Sans" w:cs="Open Sans"/>
          <w:color w:val="333333"/>
        </w:rPr>
        <w:t>44:4,</w:t>
      </w:r>
      <w:r>
        <w:rPr>
          <w:rStyle w:val="apple-converted-space"/>
          <w:rFonts w:ascii="Open Sans" w:hAnsi="Open Sans" w:cs="Open Sans"/>
          <w:color w:val="333333"/>
          <w:shd w:val="clear" w:color="auto" w:fill="FFFFFF"/>
        </w:rPr>
        <w:t> </w:t>
      </w:r>
      <w:r>
        <w:rPr>
          <w:rStyle w:val="pagerange"/>
          <w:rFonts w:ascii="Open Sans" w:hAnsi="Open Sans" w:cs="Open Sans"/>
          <w:color w:val="333333"/>
        </w:rPr>
        <w:t>538-540,</w:t>
      </w:r>
      <w:r>
        <w:rPr>
          <w:rStyle w:val="apple-converted-space"/>
          <w:rFonts w:ascii="Open Sans" w:hAnsi="Open Sans" w:cs="Open Sans"/>
          <w:color w:val="333333"/>
          <w:shd w:val="clear" w:color="auto" w:fill="FFFFFF"/>
        </w:rPr>
        <w:t> </w:t>
      </w:r>
      <w:r>
        <w:rPr>
          <w:rStyle w:val="doilink"/>
          <w:rFonts w:ascii="Open Sans" w:hAnsi="Open Sans" w:cs="Open Sans"/>
          <w:color w:val="333333"/>
        </w:rPr>
        <w:t>DOI:</w:t>
      </w:r>
      <w:r>
        <w:rPr>
          <w:rStyle w:val="apple-converted-space"/>
          <w:rFonts w:ascii="Open Sans" w:hAnsi="Open Sans" w:cs="Open Sans"/>
          <w:color w:val="333333"/>
        </w:rPr>
        <w:t> </w:t>
      </w:r>
      <w:hyperlink r:id="rId9" w:history="1">
        <w:r>
          <w:rPr>
            <w:rStyle w:val="Hyperlink"/>
            <w:rFonts w:ascii="Open Sans" w:hAnsi="Open Sans" w:cs="Open Sans"/>
            <w:color w:val="333333"/>
          </w:rPr>
          <w:t>10.1111</w:t>
        </w:r>
        <w:r>
          <w:rPr>
            <w:rStyle w:val="Hyperlink"/>
            <w:rFonts w:ascii="Open Sans" w:hAnsi="Open Sans" w:cs="Open Sans"/>
            <w:color w:val="333333"/>
          </w:rPr>
          <w:t>/</w:t>
        </w:r>
        <w:r>
          <w:rPr>
            <w:rStyle w:val="Hyperlink"/>
            <w:rFonts w:ascii="Open Sans" w:hAnsi="Open Sans" w:cs="Open Sans"/>
            <w:color w:val="333333"/>
          </w:rPr>
          <w:t>j.1540-6563.1982.tb00644.x</w:t>
        </w:r>
      </w:hyperlink>
    </w:p>
    <w:p w14:paraId="1D7786EE" w14:textId="7FD66178" w:rsidR="00144DE2" w:rsidRPr="006B09D8" w:rsidRDefault="00144DE2" w:rsidP="00257736">
      <w:pPr>
        <w:pStyle w:val="ListParagraph"/>
        <w:numPr>
          <w:ilvl w:val="0"/>
          <w:numId w:val="2"/>
        </w:numPr>
        <w:adjustRightInd w:val="0"/>
        <w:snapToGrid w:val="0"/>
        <w:rPr>
          <w:rFonts w:eastAsia="Calibri" w:cstheme="minorHAnsi"/>
          <w:color w:val="000000" w:themeColor="text1"/>
        </w:rPr>
      </w:pPr>
      <w:r w:rsidRPr="006B09D8">
        <w:rPr>
          <w:rFonts w:eastAsia="Calibri" w:cstheme="minorHAnsi"/>
          <w:color w:val="000000" w:themeColor="text1"/>
        </w:rPr>
        <w:t xml:space="preserve">Bryman, A., ‘Quantity and Quality in Social Research’, London, Routledge, 2001. </w:t>
      </w:r>
    </w:p>
    <w:p w14:paraId="0D8029FC" w14:textId="77777777" w:rsidR="00144DE2" w:rsidRPr="006B09D8" w:rsidRDefault="00144DE2" w:rsidP="00257736">
      <w:pPr>
        <w:pStyle w:val="ListParagraph"/>
        <w:numPr>
          <w:ilvl w:val="0"/>
          <w:numId w:val="2"/>
        </w:numPr>
        <w:adjustRightInd w:val="0"/>
        <w:snapToGrid w:val="0"/>
        <w:rPr>
          <w:rFonts w:eastAsia="Calibri" w:cstheme="minorHAnsi"/>
          <w:color w:val="000000" w:themeColor="text1"/>
        </w:rPr>
      </w:pPr>
      <w:r w:rsidRPr="006B09D8">
        <w:rPr>
          <w:rFonts w:eastAsia="Calibri" w:cstheme="minorHAnsi"/>
          <w:color w:val="000000" w:themeColor="text1"/>
        </w:rPr>
        <w:t xml:space="preserve">Chun Tie, Y., Birks, M., Francis, K., ‘Grounded Theory Research: A Design </w:t>
      </w:r>
      <w:r w:rsidRPr="006B09D8">
        <w:rPr>
          <w:rFonts w:cstheme="minorHAnsi"/>
          <w:color w:val="000000" w:themeColor="text1"/>
        </w:rPr>
        <w:tab/>
      </w:r>
      <w:r w:rsidRPr="006B09D8">
        <w:rPr>
          <w:rFonts w:eastAsia="Calibri" w:cstheme="minorHAnsi"/>
          <w:color w:val="000000" w:themeColor="text1"/>
        </w:rPr>
        <w:t xml:space="preserve">framework for novice </w:t>
      </w:r>
      <w:r w:rsidRPr="006B09D8">
        <w:rPr>
          <w:rFonts w:cstheme="minorHAnsi"/>
          <w:color w:val="000000" w:themeColor="text1"/>
        </w:rPr>
        <w:tab/>
      </w:r>
      <w:r w:rsidRPr="006B09D8">
        <w:rPr>
          <w:rFonts w:eastAsia="Calibri" w:cstheme="minorHAnsi"/>
          <w:color w:val="000000" w:themeColor="text1"/>
        </w:rPr>
        <w:t>researchers’, in SAGE Open Med, 2019, 7: 2050312118822927</w:t>
      </w:r>
    </w:p>
    <w:p w14:paraId="08D77401" w14:textId="5BFF128F" w:rsidR="00144DE2" w:rsidRPr="006B09D8" w:rsidRDefault="00144DE2" w:rsidP="00257736">
      <w:pPr>
        <w:pStyle w:val="ListParagraph"/>
        <w:numPr>
          <w:ilvl w:val="0"/>
          <w:numId w:val="2"/>
        </w:numPr>
        <w:adjustRightInd w:val="0"/>
        <w:snapToGrid w:val="0"/>
        <w:rPr>
          <w:rFonts w:eastAsia="Calibri" w:cstheme="minorHAnsi"/>
          <w:color w:val="000000" w:themeColor="text1"/>
        </w:rPr>
      </w:pPr>
      <w:r w:rsidRPr="006B09D8">
        <w:rPr>
          <w:rFonts w:cstheme="minorHAnsi"/>
          <w:color w:val="000000" w:themeColor="text1"/>
        </w:rPr>
        <w:t xml:space="preserve">Clark, T., Foster, L., Bryman, A., ‘How to do your social research project or dissertation’, Oxford </w:t>
      </w:r>
      <w:r w:rsidRPr="006B09D8">
        <w:rPr>
          <w:rFonts w:cstheme="minorHAnsi"/>
          <w:color w:val="000000" w:themeColor="text1"/>
        </w:rPr>
        <w:tab/>
        <w:t>University Press, 2019</w:t>
      </w:r>
    </w:p>
    <w:p w14:paraId="4C89FA78" w14:textId="735E41AF" w:rsidR="00144DE2" w:rsidRPr="006B09D8" w:rsidRDefault="00144DE2" w:rsidP="00257736">
      <w:pPr>
        <w:pStyle w:val="ListParagraph"/>
        <w:numPr>
          <w:ilvl w:val="0"/>
          <w:numId w:val="2"/>
        </w:numPr>
        <w:adjustRightInd w:val="0"/>
        <w:snapToGrid w:val="0"/>
        <w:rPr>
          <w:rFonts w:eastAsia="Calibri" w:cstheme="minorHAnsi"/>
          <w:color w:val="000000" w:themeColor="text1"/>
        </w:rPr>
      </w:pPr>
      <w:r w:rsidRPr="006B09D8">
        <w:rPr>
          <w:rFonts w:cstheme="minorHAnsi"/>
          <w:color w:val="000000" w:themeColor="text1"/>
          <w:lang w:val="en-GB"/>
        </w:rPr>
        <w:t>Crafton Hills College [Online], Faculty Profile: 2023</w:t>
      </w:r>
    </w:p>
    <w:p w14:paraId="7A7CC3B9" w14:textId="16CBB847" w:rsidR="00257736" w:rsidRPr="00720EEC" w:rsidRDefault="00257736" w:rsidP="00720EEC">
      <w:pPr>
        <w:pStyle w:val="ListParagraph"/>
        <w:adjustRightInd w:val="0"/>
        <w:snapToGrid w:val="0"/>
        <w:ind w:left="1440"/>
        <w:rPr>
          <w:rFonts w:cstheme="minorHAnsi"/>
          <w:color w:val="000000" w:themeColor="text1"/>
          <w:lang w:val="en-GB"/>
        </w:rPr>
      </w:pPr>
      <w:r w:rsidRPr="006B09D8">
        <w:rPr>
          <w:rFonts w:cstheme="minorHAnsi"/>
          <w:color w:val="000000" w:themeColor="text1"/>
          <w:lang w:val="en-GB"/>
        </w:rPr>
        <w:t xml:space="preserve">Accessed via </w:t>
      </w:r>
      <w:hyperlink r:id="rId10" w:history="1">
        <w:r w:rsidRPr="006B09D8">
          <w:rPr>
            <w:rStyle w:val="Hyperlink"/>
            <w:rFonts w:cstheme="minorHAnsi"/>
            <w:color w:val="000000" w:themeColor="text1"/>
            <w:lang w:val="en-GB"/>
          </w:rPr>
          <w:t>https://www.craftonhills.edu/this-is-crafton/profiles/tl-brink.php</w:t>
        </w:r>
      </w:hyperlink>
      <w:r w:rsidRPr="006B09D8">
        <w:rPr>
          <w:rFonts w:cstheme="minorHAnsi"/>
          <w:color w:val="000000" w:themeColor="text1"/>
          <w:lang w:val="en-GB"/>
        </w:rPr>
        <w:t>. Accessed on 11/03/2023.</w:t>
      </w:r>
    </w:p>
    <w:p w14:paraId="645A9898" w14:textId="7AB6F7D9" w:rsidR="00144DE2" w:rsidRPr="006B09D8" w:rsidRDefault="00144DE2" w:rsidP="00257736">
      <w:pPr>
        <w:pStyle w:val="ListParagraph"/>
        <w:numPr>
          <w:ilvl w:val="0"/>
          <w:numId w:val="2"/>
        </w:numPr>
        <w:adjustRightInd w:val="0"/>
        <w:snapToGrid w:val="0"/>
        <w:rPr>
          <w:rFonts w:cstheme="minorHAnsi"/>
          <w:color w:val="000000" w:themeColor="text1"/>
          <w:lang w:val="en-GB"/>
        </w:rPr>
      </w:pPr>
      <w:r w:rsidRPr="006B09D8">
        <w:rPr>
          <w:rFonts w:cstheme="minorHAnsi"/>
          <w:color w:val="000000" w:themeColor="text1"/>
          <w:shd w:val="clear" w:color="auto" w:fill="FFFFFF"/>
        </w:rPr>
        <w:t>Creswell, J.</w:t>
      </w:r>
      <w:r w:rsidR="00720EEC">
        <w:rPr>
          <w:rFonts w:cstheme="minorHAnsi"/>
          <w:color w:val="000000" w:themeColor="text1"/>
          <w:shd w:val="clear" w:color="auto" w:fill="FFFFFF"/>
        </w:rPr>
        <w:t xml:space="preserve">, </w:t>
      </w:r>
      <w:r w:rsidRPr="006B09D8">
        <w:rPr>
          <w:rFonts w:cstheme="minorHAnsi"/>
          <w:i/>
          <w:iCs/>
          <w:color w:val="000000" w:themeColor="text1"/>
        </w:rPr>
        <w:t>Research design: Qualitative, quantitative, and mixed</w:t>
      </w:r>
      <w:r w:rsidRPr="006B09D8">
        <w:rPr>
          <w:rFonts w:cstheme="minorHAnsi"/>
          <w:i/>
          <w:iCs/>
          <w:color w:val="000000" w:themeColor="text1"/>
        </w:rPr>
        <w:t xml:space="preserve"> </w:t>
      </w:r>
      <w:r w:rsidRPr="006B09D8">
        <w:rPr>
          <w:rFonts w:cstheme="minorHAnsi"/>
          <w:i/>
          <w:iCs/>
          <w:color w:val="000000" w:themeColor="text1"/>
        </w:rPr>
        <w:t>methods</w:t>
      </w:r>
      <w:r w:rsidR="00257736" w:rsidRPr="006B09D8">
        <w:rPr>
          <w:rFonts w:cstheme="minorHAnsi"/>
          <w:i/>
          <w:iCs/>
          <w:color w:val="000000" w:themeColor="text1"/>
        </w:rPr>
        <w:t xml:space="preserve"> </w:t>
      </w:r>
      <w:proofErr w:type="gramStart"/>
      <w:r w:rsidRPr="006B09D8">
        <w:rPr>
          <w:rFonts w:cstheme="minorHAnsi"/>
          <w:i/>
          <w:iCs/>
          <w:color w:val="000000" w:themeColor="text1"/>
        </w:rPr>
        <w:t>approaches</w:t>
      </w:r>
      <w:proofErr w:type="gramEnd"/>
      <w:r w:rsidRPr="006B09D8">
        <w:rPr>
          <w:rStyle w:val="apple-converted-space"/>
          <w:rFonts w:cstheme="minorHAnsi"/>
          <w:color w:val="000000" w:themeColor="text1"/>
          <w:shd w:val="clear" w:color="auto" w:fill="FFFFFF"/>
        </w:rPr>
        <w:t> </w:t>
      </w:r>
      <w:r w:rsidRPr="006B09D8">
        <w:rPr>
          <w:rFonts w:cstheme="minorHAnsi"/>
          <w:color w:val="000000" w:themeColor="text1"/>
          <w:shd w:val="clear" w:color="auto" w:fill="FFFFFF"/>
        </w:rPr>
        <w:t>(3rd ed.). Los Angeles: Sage</w:t>
      </w:r>
      <w:r w:rsidR="00720EEC">
        <w:rPr>
          <w:rFonts w:cstheme="minorHAnsi"/>
          <w:color w:val="000000" w:themeColor="text1"/>
          <w:shd w:val="clear" w:color="auto" w:fill="FFFFFF"/>
        </w:rPr>
        <w:t xml:space="preserve">, </w:t>
      </w:r>
      <w:r w:rsidR="00720EEC" w:rsidRPr="006B09D8">
        <w:rPr>
          <w:rFonts w:cstheme="minorHAnsi"/>
          <w:color w:val="000000" w:themeColor="text1"/>
          <w:shd w:val="clear" w:color="auto" w:fill="FFFFFF"/>
        </w:rPr>
        <w:t>2009</w:t>
      </w:r>
    </w:p>
    <w:p w14:paraId="029CF89B" w14:textId="77777777" w:rsidR="00144DE2" w:rsidRPr="006B09D8" w:rsidRDefault="00144DE2" w:rsidP="00257736">
      <w:pPr>
        <w:pStyle w:val="ListParagraph"/>
        <w:numPr>
          <w:ilvl w:val="0"/>
          <w:numId w:val="2"/>
        </w:numPr>
        <w:adjustRightInd w:val="0"/>
        <w:snapToGrid w:val="0"/>
        <w:rPr>
          <w:rFonts w:eastAsia="Calibri" w:cstheme="minorHAnsi"/>
          <w:color w:val="000000" w:themeColor="text1"/>
        </w:rPr>
      </w:pPr>
      <w:r w:rsidRPr="006B09D8">
        <w:rPr>
          <w:rFonts w:eastAsia="Calibri" w:cstheme="minorHAnsi"/>
          <w:color w:val="000000" w:themeColor="text1"/>
        </w:rPr>
        <w:t xml:space="preserve">Denscombe, Martyn. The Good Research Guide: Research methods for small-scale social </w:t>
      </w:r>
      <w:r w:rsidRPr="006B09D8">
        <w:rPr>
          <w:rFonts w:cstheme="minorHAnsi"/>
          <w:color w:val="000000" w:themeColor="text1"/>
        </w:rPr>
        <w:tab/>
      </w:r>
      <w:r w:rsidRPr="006B09D8">
        <w:rPr>
          <w:rFonts w:cstheme="minorHAnsi"/>
          <w:color w:val="000000" w:themeColor="text1"/>
        </w:rPr>
        <w:tab/>
      </w:r>
      <w:r w:rsidRPr="006B09D8">
        <w:rPr>
          <w:rFonts w:eastAsia="Calibri" w:cstheme="minorHAnsi"/>
          <w:color w:val="000000" w:themeColor="text1"/>
        </w:rPr>
        <w:t>research projects, 7</w:t>
      </w:r>
      <w:r w:rsidRPr="006B09D8">
        <w:rPr>
          <w:rFonts w:eastAsia="Calibri" w:cstheme="minorHAnsi"/>
          <w:color w:val="000000" w:themeColor="text1"/>
          <w:vertAlign w:val="superscript"/>
        </w:rPr>
        <w:t>th</w:t>
      </w:r>
      <w:r w:rsidRPr="006B09D8">
        <w:rPr>
          <w:rFonts w:eastAsia="Calibri" w:cstheme="minorHAnsi"/>
          <w:color w:val="000000" w:themeColor="text1"/>
        </w:rPr>
        <w:t xml:space="preserve"> eds., Open University Press, 2021</w:t>
      </w:r>
    </w:p>
    <w:p w14:paraId="5AFA0FAC" w14:textId="78319E63" w:rsidR="00144DE2" w:rsidRPr="006B09D8" w:rsidRDefault="00144DE2" w:rsidP="00257736">
      <w:pPr>
        <w:pStyle w:val="ListParagraph"/>
        <w:numPr>
          <w:ilvl w:val="0"/>
          <w:numId w:val="2"/>
        </w:numPr>
        <w:adjustRightInd w:val="0"/>
        <w:snapToGrid w:val="0"/>
        <w:rPr>
          <w:rFonts w:eastAsia="Calibri" w:cstheme="minorHAnsi"/>
          <w:color w:val="000000" w:themeColor="text1"/>
        </w:rPr>
      </w:pPr>
      <w:r w:rsidRPr="006B09D8">
        <w:rPr>
          <w:rFonts w:eastAsia="Calibri" w:cstheme="minorHAnsi"/>
          <w:color w:val="000000" w:themeColor="text1"/>
        </w:rPr>
        <w:t xml:space="preserve">Guillemin, M., and Lynn., 'Ethics, Reflexivity, and "Ethnically Important Moments” in </w:t>
      </w:r>
      <w:r w:rsidRPr="006B09D8">
        <w:rPr>
          <w:rFonts w:cstheme="minorHAnsi"/>
          <w:color w:val="000000" w:themeColor="text1"/>
        </w:rPr>
        <w:tab/>
      </w:r>
      <w:r w:rsidRPr="006B09D8">
        <w:rPr>
          <w:rFonts w:cstheme="minorHAnsi"/>
          <w:color w:val="000000" w:themeColor="text1"/>
        </w:rPr>
        <w:tab/>
      </w:r>
      <w:r w:rsidRPr="006B09D8">
        <w:rPr>
          <w:rFonts w:eastAsia="Calibri" w:cstheme="minorHAnsi"/>
          <w:color w:val="000000" w:themeColor="text1"/>
        </w:rPr>
        <w:t>Research'. Qualitative Inquiry Vol. 10: 2</w:t>
      </w:r>
      <w:r w:rsidR="006B09D8" w:rsidRPr="006B09D8">
        <w:rPr>
          <w:rFonts w:eastAsia="Calibri" w:cstheme="minorHAnsi"/>
          <w:color w:val="000000" w:themeColor="text1"/>
        </w:rPr>
        <w:t>, 2004</w:t>
      </w:r>
    </w:p>
    <w:p w14:paraId="4638309F" w14:textId="77777777" w:rsidR="00144DE2" w:rsidRDefault="00144DE2" w:rsidP="00257736">
      <w:pPr>
        <w:pStyle w:val="ListParagraph"/>
        <w:numPr>
          <w:ilvl w:val="0"/>
          <w:numId w:val="2"/>
        </w:numPr>
        <w:adjustRightInd w:val="0"/>
        <w:snapToGrid w:val="0"/>
        <w:rPr>
          <w:rFonts w:eastAsia="Calibri" w:cstheme="minorHAnsi"/>
          <w:color w:val="000000" w:themeColor="text1"/>
        </w:rPr>
      </w:pPr>
      <w:r w:rsidRPr="006B09D8">
        <w:rPr>
          <w:rFonts w:eastAsia="Calibri" w:cstheme="minorHAnsi"/>
          <w:color w:val="000000" w:themeColor="text1"/>
        </w:rPr>
        <w:t xml:space="preserve">Loyal, Steven and </w:t>
      </w:r>
      <w:proofErr w:type="spellStart"/>
      <w:r w:rsidRPr="006B09D8">
        <w:rPr>
          <w:rFonts w:eastAsia="Arial" w:cstheme="minorHAnsi"/>
          <w:color w:val="000000" w:themeColor="text1"/>
        </w:rPr>
        <w:t>Malešević</w:t>
      </w:r>
      <w:proofErr w:type="spellEnd"/>
      <w:r w:rsidRPr="006B09D8">
        <w:rPr>
          <w:rFonts w:eastAsia="Arial" w:cstheme="minorHAnsi"/>
          <w:color w:val="000000" w:themeColor="text1"/>
        </w:rPr>
        <w:t xml:space="preserve">, </w:t>
      </w:r>
      <w:r w:rsidRPr="006B09D8">
        <w:rPr>
          <w:rFonts w:eastAsia="Calibri" w:cstheme="minorHAnsi"/>
          <w:color w:val="000000" w:themeColor="text1"/>
        </w:rPr>
        <w:t xml:space="preserve">Sinisa., Contemporary Sociological Theory, Sage Publications, </w:t>
      </w:r>
      <w:r w:rsidRPr="006B09D8">
        <w:rPr>
          <w:rFonts w:cstheme="minorHAnsi"/>
          <w:color w:val="000000" w:themeColor="text1"/>
        </w:rPr>
        <w:tab/>
      </w:r>
      <w:r w:rsidRPr="006B09D8">
        <w:rPr>
          <w:rFonts w:eastAsia="Calibri" w:cstheme="minorHAnsi"/>
          <w:color w:val="000000" w:themeColor="text1"/>
        </w:rPr>
        <w:t>2021</w:t>
      </w:r>
    </w:p>
    <w:p w14:paraId="19FD0FFF" w14:textId="7B0CC442" w:rsidR="006B09D8" w:rsidRPr="006B09D8" w:rsidRDefault="006B09D8" w:rsidP="00257736">
      <w:pPr>
        <w:pStyle w:val="ListParagraph"/>
        <w:numPr>
          <w:ilvl w:val="0"/>
          <w:numId w:val="2"/>
        </w:numPr>
        <w:adjustRightInd w:val="0"/>
        <w:snapToGrid w:val="0"/>
        <w:rPr>
          <w:rFonts w:eastAsia="Calibri" w:cstheme="minorHAnsi"/>
          <w:color w:val="000000" w:themeColor="text1"/>
        </w:rPr>
      </w:pPr>
      <w:r w:rsidRPr="006B09D8">
        <w:rPr>
          <w:rStyle w:val="normaltextrun"/>
          <w:rFonts w:cstheme="minorHAnsi"/>
        </w:rPr>
        <w:t>Walter, T. &amp; Waterhouse, H.</w:t>
      </w:r>
      <w:r w:rsidR="00720EEC">
        <w:rPr>
          <w:rStyle w:val="normaltextrun"/>
          <w:rFonts w:cstheme="minorHAnsi"/>
        </w:rPr>
        <w:t xml:space="preserve">, </w:t>
      </w:r>
      <w:r w:rsidRPr="006B09D8">
        <w:rPr>
          <w:rStyle w:val="normaltextrun"/>
          <w:rFonts w:cstheme="minorHAnsi"/>
        </w:rPr>
        <w:t>‘A Very Private Belief: Reincarnation in Contemporary England’. Sociology of Religion, 60, 187-197</w:t>
      </w:r>
      <w:r w:rsidR="00720EEC">
        <w:rPr>
          <w:rStyle w:val="normaltextrun"/>
          <w:rFonts w:cstheme="minorHAnsi"/>
        </w:rPr>
        <w:t xml:space="preserve">, </w:t>
      </w:r>
      <w:r w:rsidR="00720EEC" w:rsidRPr="006B09D8">
        <w:rPr>
          <w:rStyle w:val="normaltextrun"/>
          <w:rFonts w:cstheme="minorHAnsi"/>
        </w:rPr>
        <w:t xml:space="preserve">1999. </w:t>
      </w:r>
      <w:r w:rsidRPr="006B09D8">
        <w:rPr>
          <w:rStyle w:val="normaltextrun"/>
          <w:rFonts w:cstheme="minorHAnsi"/>
        </w:rPr>
        <w:t xml:space="preserve"> – Available JSTOR.</w:t>
      </w:r>
      <w:r w:rsidRPr="006B09D8">
        <w:rPr>
          <w:rStyle w:val="eop"/>
          <w:rFonts w:cstheme="minorHAnsi"/>
        </w:rPr>
        <w:t> </w:t>
      </w:r>
    </w:p>
    <w:p w14:paraId="7C08B560" w14:textId="5F0E496E" w:rsidR="007B690F" w:rsidRPr="006B09D8" w:rsidRDefault="007B690F" w:rsidP="00257736">
      <w:pPr>
        <w:pStyle w:val="ListParagraph"/>
        <w:numPr>
          <w:ilvl w:val="0"/>
          <w:numId w:val="2"/>
        </w:numPr>
        <w:adjustRightInd w:val="0"/>
        <w:snapToGrid w:val="0"/>
        <w:rPr>
          <w:rFonts w:eastAsia="Calibri" w:cstheme="minorHAnsi"/>
          <w:color w:val="000000" w:themeColor="text1"/>
        </w:rPr>
      </w:pPr>
      <w:r w:rsidRPr="006B09D8">
        <w:rPr>
          <w:rFonts w:cstheme="minorHAnsi"/>
        </w:rPr>
        <w:t xml:space="preserve">Waterhouse, H., J., ‘Authority and Adaptation: A Cast Study in British Buddhism’, February 1997, Bath College of Higher Education, </w:t>
      </w:r>
      <w:proofErr w:type="gramStart"/>
      <w:r w:rsidRPr="006B09D8">
        <w:rPr>
          <w:rFonts w:cstheme="minorHAnsi"/>
        </w:rPr>
        <w:t>pp.ii</w:t>
      </w:r>
      <w:proofErr w:type="gramEnd"/>
      <w:r w:rsidRPr="006B09D8">
        <w:rPr>
          <w:rFonts w:cstheme="minorHAnsi"/>
        </w:rPr>
        <w:t xml:space="preserve">-43. Accessed via </w:t>
      </w:r>
      <w:hyperlink r:id="rId11" w:history="1">
        <w:r w:rsidR="006B09D8" w:rsidRPr="006B09D8">
          <w:rPr>
            <w:rStyle w:val="Hyperlink"/>
            <w:rFonts w:cstheme="minorHAnsi"/>
          </w:rPr>
          <w:t>http://researchspace.bathspa.ac.uk/1437/1/Helen%20Waterhouse%20-%201997.pdf</w:t>
        </w:r>
      </w:hyperlink>
      <w:r w:rsidR="006B09D8" w:rsidRPr="006B09D8">
        <w:rPr>
          <w:rFonts w:cstheme="minorHAnsi"/>
        </w:rPr>
        <w:t xml:space="preserve"> </w:t>
      </w:r>
    </w:p>
    <w:p w14:paraId="6FE006CD" w14:textId="77777777" w:rsidR="00257736" w:rsidRPr="006B09D8" w:rsidRDefault="00144DE2" w:rsidP="00257736">
      <w:pPr>
        <w:pStyle w:val="ListParagraph"/>
        <w:numPr>
          <w:ilvl w:val="0"/>
          <w:numId w:val="2"/>
        </w:numPr>
        <w:adjustRightInd w:val="0"/>
        <w:snapToGrid w:val="0"/>
        <w:rPr>
          <w:rFonts w:eastAsia="Calibri" w:cstheme="minorHAnsi"/>
          <w:color w:val="000000" w:themeColor="text1"/>
        </w:rPr>
      </w:pPr>
      <w:r w:rsidRPr="006B09D8">
        <w:rPr>
          <w:rFonts w:eastAsia="Calibri" w:cstheme="minorHAnsi"/>
          <w:color w:val="000000" w:themeColor="text1"/>
        </w:rPr>
        <w:t>Webster, J., Watson, R. T., ‘</w:t>
      </w:r>
      <w:proofErr w:type="spellStart"/>
      <w:r w:rsidRPr="006B09D8">
        <w:rPr>
          <w:rFonts w:eastAsia="Calibri" w:cstheme="minorHAnsi"/>
          <w:color w:val="000000" w:themeColor="text1"/>
        </w:rPr>
        <w:t>Analysing</w:t>
      </w:r>
      <w:proofErr w:type="spellEnd"/>
      <w:r w:rsidRPr="006B09D8">
        <w:rPr>
          <w:rFonts w:eastAsia="Calibri" w:cstheme="minorHAnsi"/>
          <w:color w:val="000000" w:themeColor="text1"/>
        </w:rPr>
        <w:t xml:space="preserve"> the past to prepare for the future: Writing a literature</w:t>
      </w:r>
      <w:r w:rsidR="00257736" w:rsidRPr="006B09D8">
        <w:rPr>
          <w:rFonts w:eastAsia="Calibri" w:cstheme="minorHAnsi"/>
          <w:color w:val="000000" w:themeColor="text1"/>
        </w:rPr>
        <w:t xml:space="preserve"> </w:t>
      </w:r>
    </w:p>
    <w:p w14:paraId="74AE2D42" w14:textId="7895ADB7" w:rsidR="00144DE2" w:rsidRPr="006B09D8" w:rsidRDefault="00144DE2" w:rsidP="00257736">
      <w:pPr>
        <w:pStyle w:val="ListParagraph"/>
        <w:adjustRightInd w:val="0"/>
        <w:snapToGrid w:val="0"/>
        <w:ind w:firstLine="720"/>
        <w:rPr>
          <w:rFonts w:eastAsia="Calibri" w:cstheme="minorHAnsi"/>
          <w:color w:val="000000" w:themeColor="text1"/>
        </w:rPr>
      </w:pPr>
      <w:r w:rsidRPr="006B09D8">
        <w:rPr>
          <w:rFonts w:eastAsia="Calibri" w:cstheme="minorHAnsi"/>
          <w:color w:val="000000" w:themeColor="text1"/>
        </w:rPr>
        <w:t>review’, MIS Quarterly, Vol. 26, No. 2, 2002</w:t>
      </w:r>
    </w:p>
    <w:p w14:paraId="590B3396" w14:textId="77777777" w:rsidR="00144DE2" w:rsidRPr="006B09D8" w:rsidRDefault="00144DE2" w:rsidP="00257736">
      <w:pPr>
        <w:pStyle w:val="ListParagraph"/>
        <w:numPr>
          <w:ilvl w:val="0"/>
          <w:numId w:val="2"/>
        </w:numPr>
        <w:adjustRightInd w:val="0"/>
        <w:snapToGrid w:val="0"/>
        <w:rPr>
          <w:rFonts w:eastAsia="Calibri" w:cstheme="minorHAnsi"/>
          <w:color w:val="000000" w:themeColor="text1"/>
        </w:rPr>
      </w:pPr>
      <w:r w:rsidRPr="006B09D8">
        <w:rPr>
          <w:rFonts w:eastAsia="Calibri" w:cstheme="minorHAnsi"/>
          <w:color w:val="000000" w:themeColor="text1"/>
        </w:rPr>
        <w:t xml:space="preserve">York, M. 'Insider/Outsider Methodological Problems with the Study of Astrology'. British </w:t>
      </w:r>
      <w:r w:rsidRPr="006B09D8">
        <w:rPr>
          <w:rFonts w:cstheme="minorHAnsi"/>
          <w:color w:val="000000" w:themeColor="text1"/>
        </w:rPr>
        <w:tab/>
      </w:r>
      <w:r w:rsidRPr="006B09D8">
        <w:rPr>
          <w:rFonts w:cstheme="minorHAnsi"/>
          <w:color w:val="000000" w:themeColor="text1"/>
        </w:rPr>
        <w:tab/>
      </w:r>
      <w:r w:rsidRPr="006B09D8">
        <w:rPr>
          <w:rFonts w:eastAsia="Calibri" w:cstheme="minorHAnsi"/>
          <w:color w:val="000000" w:themeColor="text1"/>
        </w:rPr>
        <w:t>Association for the Study of Religion 50</w:t>
      </w:r>
      <w:r w:rsidRPr="006B09D8">
        <w:rPr>
          <w:rFonts w:eastAsia="Calibri" w:cstheme="minorHAnsi"/>
          <w:color w:val="000000" w:themeColor="text1"/>
          <w:vertAlign w:val="superscript"/>
        </w:rPr>
        <w:t>th</w:t>
      </w:r>
      <w:r w:rsidRPr="006B09D8">
        <w:rPr>
          <w:rFonts w:eastAsia="Calibri" w:cstheme="minorHAnsi"/>
          <w:color w:val="000000" w:themeColor="text1"/>
        </w:rPr>
        <w:t xml:space="preserve"> Anniversary Conference, Oxford (13</w:t>
      </w:r>
      <w:r w:rsidRPr="006B09D8">
        <w:rPr>
          <w:rFonts w:eastAsia="Calibri" w:cstheme="minorHAnsi"/>
          <w:color w:val="000000" w:themeColor="text1"/>
          <w:vertAlign w:val="superscript"/>
        </w:rPr>
        <w:t>th</w:t>
      </w:r>
      <w:r w:rsidRPr="006B09D8">
        <w:rPr>
          <w:rFonts w:eastAsia="Calibri" w:cstheme="minorHAnsi"/>
          <w:color w:val="000000" w:themeColor="text1"/>
        </w:rPr>
        <w:t>-16</w:t>
      </w:r>
      <w:r w:rsidRPr="006B09D8">
        <w:rPr>
          <w:rFonts w:eastAsia="Calibri" w:cstheme="minorHAnsi"/>
          <w:color w:val="000000" w:themeColor="text1"/>
          <w:vertAlign w:val="superscript"/>
        </w:rPr>
        <w:t>th</w:t>
      </w:r>
      <w:r w:rsidRPr="006B09D8">
        <w:rPr>
          <w:rFonts w:eastAsia="Calibri" w:cstheme="minorHAnsi"/>
          <w:color w:val="000000" w:themeColor="text1"/>
        </w:rPr>
        <w:t xml:space="preserve"> September 2004)</w:t>
      </w:r>
    </w:p>
    <w:p w14:paraId="341E987D" w14:textId="33D217A8" w:rsidR="007B690F" w:rsidRPr="006B09D8" w:rsidRDefault="007B690F" w:rsidP="00257736">
      <w:pPr>
        <w:pStyle w:val="ListParagraph"/>
        <w:numPr>
          <w:ilvl w:val="0"/>
          <w:numId w:val="2"/>
        </w:numPr>
        <w:adjustRightInd w:val="0"/>
        <w:snapToGrid w:val="0"/>
        <w:rPr>
          <w:rFonts w:eastAsia="Calibri" w:cstheme="minorHAnsi"/>
          <w:color w:val="000000" w:themeColor="text1"/>
        </w:rPr>
      </w:pPr>
      <w:r w:rsidRPr="006B09D8">
        <w:rPr>
          <w:rFonts w:cstheme="minorHAnsi"/>
          <w:lang w:val="en-GB"/>
        </w:rPr>
        <w:t xml:space="preserve">University of Bath, Faculty Profile: 2023. Accessed via </w:t>
      </w:r>
      <w:hyperlink r:id="rId12" w:history="1">
        <w:r w:rsidRPr="006B09D8">
          <w:rPr>
            <w:rStyle w:val="Hyperlink"/>
            <w:rFonts w:cstheme="minorHAnsi"/>
            <w:lang w:val="en-GB"/>
          </w:rPr>
          <w:t>https://researchportal.bath.ac.uk/en/persons/tony-walter</w:t>
        </w:r>
      </w:hyperlink>
      <w:r w:rsidRPr="006B09D8">
        <w:rPr>
          <w:rFonts w:cstheme="minorHAnsi"/>
          <w:lang w:val="en-GB"/>
        </w:rPr>
        <w:t>. Accessed on 11/03/2023</w:t>
      </w:r>
    </w:p>
    <w:p w14:paraId="58CC83D0" w14:textId="1E5AC172" w:rsidR="02163D9C" w:rsidRPr="006B3081" w:rsidRDefault="02163D9C" w:rsidP="02163D9C">
      <w:pPr>
        <w:contextualSpacing/>
        <w:rPr>
          <w:rFonts w:cstheme="minorHAnsi"/>
          <w:b/>
          <w:bCs/>
          <w:color w:val="000000" w:themeColor="text1"/>
        </w:rPr>
      </w:pPr>
    </w:p>
    <w:sectPr w:rsidR="02163D9C" w:rsidRPr="006B3081">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15C67" w14:textId="77777777" w:rsidR="00260529" w:rsidRDefault="00260529">
      <w:pPr>
        <w:spacing w:after="0" w:line="240" w:lineRule="auto"/>
      </w:pPr>
      <w:r>
        <w:separator/>
      </w:r>
    </w:p>
  </w:endnote>
  <w:endnote w:type="continuationSeparator" w:id="0">
    <w:p w14:paraId="06F33B91" w14:textId="77777777" w:rsidR="00260529" w:rsidRDefault="002605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2163D9C" w14:paraId="45F5E1AE" w14:textId="77777777" w:rsidTr="02163D9C">
      <w:trPr>
        <w:trHeight w:val="300"/>
      </w:trPr>
      <w:tc>
        <w:tcPr>
          <w:tcW w:w="3120" w:type="dxa"/>
        </w:tcPr>
        <w:p w14:paraId="5F7E1EAC" w14:textId="1191BF17" w:rsidR="02163D9C" w:rsidRDefault="02163D9C" w:rsidP="02163D9C">
          <w:pPr>
            <w:pStyle w:val="Header"/>
            <w:ind w:left="-115"/>
          </w:pPr>
        </w:p>
      </w:tc>
      <w:tc>
        <w:tcPr>
          <w:tcW w:w="3120" w:type="dxa"/>
        </w:tcPr>
        <w:p w14:paraId="12D4A360" w14:textId="2BAE692C" w:rsidR="02163D9C" w:rsidRDefault="02163D9C" w:rsidP="02163D9C">
          <w:pPr>
            <w:pStyle w:val="Header"/>
            <w:jc w:val="center"/>
          </w:pPr>
        </w:p>
      </w:tc>
      <w:tc>
        <w:tcPr>
          <w:tcW w:w="3120" w:type="dxa"/>
        </w:tcPr>
        <w:p w14:paraId="788A475D" w14:textId="6FD7F2D5" w:rsidR="02163D9C" w:rsidRDefault="02163D9C" w:rsidP="02163D9C">
          <w:pPr>
            <w:pStyle w:val="Header"/>
            <w:ind w:right="-115"/>
            <w:jc w:val="right"/>
          </w:pPr>
        </w:p>
      </w:tc>
    </w:tr>
  </w:tbl>
  <w:p w14:paraId="0F571994" w14:textId="2D74DF17" w:rsidR="02163D9C" w:rsidRDefault="02163D9C" w:rsidP="02163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4EC58" w14:textId="77777777" w:rsidR="00260529" w:rsidRDefault="00260529">
      <w:pPr>
        <w:spacing w:after="0" w:line="240" w:lineRule="auto"/>
      </w:pPr>
      <w:r>
        <w:separator/>
      </w:r>
    </w:p>
  </w:footnote>
  <w:footnote w:type="continuationSeparator" w:id="0">
    <w:p w14:paraId="3BE431D9" w14:textId="77777777" w:rsidR="00260529" w:rsidRDefault="00260529">
      <w:pPr>
        <w:spacing w:after="0" w:line="240" w:lineRule="auto"/>
      </w:pPr>
      <w:r>
        <w:continuationSeparator/>
      </w:r>
    </w:p>
  </w:footnote>
  <w:footnote w:id="1">
    <w:p w14:paraId="4263F543" w14:textId="62D5CEEC" w:rsidR="00B50CAF" w:rsidRPr="00650228" w:rsidRDefault="00B50CAF"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0F4203" w:rsidRPr="00650228">
        <w:rPr>
          <w:rFonts w:asciiTheme="majorHAnsi" w:hAnsiTheme="majorHAnsi" w:cstheme="majorHAnsi"/>
          <w:color w:val="000000" w:themeColor="text1"/>
          <w:sz w:val="18"/>
          <w:szCs w:val="18"/>
          <w:lang w:val="en-GB"/>
        </w:rPr>
        <w:t>University of Bath, Faculty Profile:</w:t>
      </w:r>
      <w:r w:rsidR="0043580B" w:rsidRPr="00650228">
        <w:rPr>
          <w:rFonts w:asciiTheme="majorHAnsi" w:hAnsiTheme="majorHAnsi" w:cstheme="majorHAnsi"/>
          <w:color w:val="000000" w:themeColor="text1"/>
          <w:sz w:val="18"/>
          <w:szCs w:val="18"/>
          <w:lang w:val="en-GB"/>
        </w:rPr>
        <w:t xml:space="preserve"> 2023. Accessed via </w:t>
      </w:r>
      <w:hyperlink r:id="rId1" w:history="1">
        <w:r w:rsidR="0043580B" w:rsidRPr="00650228">
          <w:rPr>
            <w:rStyle w:val="Hyperlink"/>
            <w:rFonts w:asciiTheme="majorHAnsi" w:hAnsiTheme="majorHAnsi" w:cstheme="majorHAnsi"/>
            <w:color w:val="000000" w:themeColor="text1"/>
            <w:sz w:val="18"/>
            <w:szCs w:val="18"/>
            <w:lang w:val="en-GB"/>
          </w:rPr>
          <w:t>https://researchportal.bath.ac.uk/en/persons/tony-walter</w:t>
        </w:r>
      </w:hyperlink>
      <w:r w:rsidR="0043580B" w:rsidRPr="00650228">
        <w:rPr>
          <w:rFonts w:asciiTheme="majorHAnsi" w:hAnsiTheme="majorHAnsi" w:cstheme="majorHAnsi"/>
          <w:color w:val="000000" w:themeColor="text1"/>
          <w:sz w:val="18"/>
          <w:szCs w:val="18"/>
          <w:lang w:val="en-GB"/>
        </w:rPr>
        <w:t>. Accessed on 11/03/2023.</w:t>
      </w:r>
    </w:p>
  </w:footnote>
  <w:footnote w:id="2">
    <w:p w14:paraId="2D489E00" w14:textId="3569F914" w:rsidR="00B50CAF" w:rsidRPr="00650228" w:rsidRDefault="00B50CAF"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EE662D" w:rsidRPr="00650228">
        <w:rPr>
          <w:rFonts w:asciiTheme="majorHAnsi" w:hAnsiTheme="majorHAnsi" w:cstheme="majorHAnsi"/>
          <w:color w:val="000000" w:themeColor="text1"/>
          <w:sz w:val="18"/>
          <w:szCs w:val="18"/>
        </w:rPr>
        <w:t xml:space="preserve">Waterhouse, H., J., </w:t>
      </w:r>
      <w:r w:rsidR="00DA6A0A" w:rsidRPr="00650228">
        <w:rPr>
          <w:rFonts w:asciiTheme="majorHAnsi" w:hAnsiTheme="majorHAnsi" w:cstheme="majorHAnsi"/>
          <w:color w:val="000000" w:themeColor="text1"/>
          <w:sz w:val="18"/>
          <w:szCs w:val="18"/>
        </w:rPr>
        <w:t>‘</w:t>
      </w:r>
      <w:r w:rsidR="00EE662D" w:rsidRPr="00650228">
        <w:rPr>
          <w:rFonts w:asciiTheme="majorHAnsi" w:hAnsiTheme="majorHAnsi" w:cstheme="majorHAnsi"/>
          <w:color w:val="000000" w:themeColor="text1"/>
          <w:sz w:val="18"/>
          <w:szCs w:val="18"/>
        </w:rPr>
        <w:t>Authority and Adaptation: A Cast Study in British Buddhism</w:t>
      </w:r>
      <w:r w:rsidR="00DA6A0A" w:rsidRPr="00650228">
        <w:rPr>
          <w:rFonts w:asciiTheme="majorHAnsi" w:hAnsiTheme="majorHAnsi" w:cstheme="majorHAnsi"/>
          <w:color w:val="000000" w:themeColor="text1"/>
          <w:sz w:val="18"/>
          <w:szCs w:val="18"/>
        </w:rPr>
        <w:t>’, February 1997, Bath College of Higher Education</w:t>
      </w:r>
      <w:r w:rsidR="007B690F" w:rsidRPr="00650228">
        <w:rPr>
          <w:rFonts w:asciiTheme="majorHAnsi" w:hAnsiTheme="majorHAnsi" w:cstheme="majorHAnsi"/>
          <w:color w:val="000000" w:themeColor="text1"/>
          <w:sz w:val="18"/>
          <w:szCs w:val="18"/>
        </w:rPr>
        <w:t xml:space="preserve">, </w:t>
      </w:r>
      <w:proofErr w:type="gramStart"/>
      <w:r w:rsidR="007B690F" w:rsidRPr="00650228">
        <w:rPr>
          <w:rFonts w:asciiTheme="majorHAnsi" w:hAnsiTheme="majorHAnsi" w:cstheme="majorHAnsi"/>
          <w:color w:val="000000" w:themeColor="text1"/>
          <w:sz w:val="18"/>
          <w:szCs w:val="18"/>
        </w:rPr>
        <w:t>pp.ii</w:t>
      </w:r>
      <w:proofErr w:type="gramEnd"/>
      <w:r w:rsidR="007B690F" w:rsidRPr="00650228">
        <w:rPr>
          <w:rFonts w:asciiTheme="majorHAnsi" w:hAnsiTheme="majorHAnsi" w:cstheme="majorHAnsi"/>
          <w:color w:val="000000" w:themeColor="text1"/>
          <w:sz w:val="18"/>
          <w:szCs w:val="18"/>
        </w:rPr>
        <w:t xml:space="preserve">-43. Accessed via </w:t>
      </w:r>
      <w:r w:rsidR="007B690F" w:rsidRPr="00650228">
        <w:rPr>
          <w:rFonts w:asciiTheme="majorHAnsi" w:hAnsiTheme="majorHAnsi" w:cstheme="majorHAnsi"/>
          <w:color w:val="000000" w:themeColor="text1"/>
          <w:sz w:val="18"/>
          <w:szCs w:val="18"/>
        </w:rPr>
        <w:t>http://researchspace.bathspa.ac.uk/1437/1/Helen%20Waterhouse%20-%201997.pdf</w:t>
      </w:r>
    </w:p>
  </w:footnote>
  <w:footnote w:id="3">
    <w:p w14:paraId="0CA71A3B" w14:textId="6192F139" w:rsidR="00BE77FD" w:rsidRPr="00650228" w:rsidRDefault="00BE77FD"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141F17" w:rsidRPr="00650228">
        <w:rPr>
          <w:rFonts w:asciiTheme="majorHAnsi" w:hAnsiTheme="majorHAnsi" w:cstheme="majorHAnsi"/>
          <w:color w:val="000000" w:themeColor="text1"/>
          <w:sz w:val="18"/>
          <w:szCs w:val="18"/>
          <w:lang w:val="en-GB"/>
        </w:rPr>
        <w:t xml:space="preserve">Crafton Hills College [Online], Faculty Profile: 2023. Accessed via </w:t>
      </w:r>
      <w:hyperlink r:id="rId2" w:history="1">
        <w:r w:rsidR="00141F17" w:rsidRPr="00650228">
          <w:rPr>
            <w:rStyle w:val="Hyperlink"/>
            <w:rFonts w:asciiTheme="majorHAnsi" w:hAnsiTheme="majorHAnsi" w:cstheme="majorHAnsi"/>
            <w:color w:val="000000" w:themeColor="text1"/>
            <w:sz w:val="18"/>
            <w:szCs w:val="18"/>
            <w:lang w:val="en-GB"/>
          </w:rPr>
          <w:t>https://www.craftonhills.edu/this-is-crafton/profiles/tl-brink.php</w:t>
        </w:r>
      </w:hyperlink>
      <w:r w:rsidR="00141F17" w:rsidRPr="00650228">
        <w:rPr>
          <w:rFonts w:asciiTheme="majorHAnsi" w:hAnsiTheme="majorHAnsi" w:cstheme="majorHAnsi"/>
          <w:color w:val="000000" w:themeColor="text1"/>
          <w:sz w:val="18"/>
          <w:szCs w:val="18"/>
          <w:lang w:val="en-GB"/>
        </w:rPr>
        <w:t>. Accessed on 11/03/2023.</w:t>
      </w:r>
    </w:p>
  </w:footnote>
  <w:footnote w:id="4">
    <w:p w14:paraId="50E560D3" w14:textId="308261DA" w:rsidR="00A07C03" w:rsidRPr="00650228" w:rsidRDefault="00A07C03"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552B51" w:rsidRPr="00650228">
        <w:rPr>
          <w:rStyle w:val="normaltextrun"/>
          <w:rFonts w:asciiTheme="majorHAnsi" w:hAnsiTheme="majorHAnsi" w:cstheme="majorHAnsi"/>
          <w:color w:val="000000" w:themeColor="text1"/>
          <w:sz w:val="18"/>
          <w:szCs w:val="18"/>
        </w:rPr>
        <w:t>Walter, T. &amp; Waterhouse, H.</w:t>
      </w:r>
      <w:r w:rsidR="00552B51">
        <w:rPr>
          <w:rStyle w:val="normaltextrun"/>
          <w:rFonts w:asciiTheme="majorHAnsi" w:hAnsiTheme="majorHAnsi" w:cstheme="majorHAnsi"/>
          <w:color w:val="000000" w:themeColor="text1"/>
          <w:sz w:val="18"/>
          <w:szCs w:val="18"/>
        </w:rPr>
        <w:t>,</w:t>
      </w:r>
      <w:r w:rsidR="00552B51" w:rsidRPr="00650228">
        <w:rPr>
          <w:rStyle w:val="normaltextrun"/>
          <w:rFonts w:asciiTheme="majorHAnsi" w:hAnsiTheme="majorHAnsi" w:cstheme="majorHAnsi"/>
          <w:color w:val="000000" w:themeColor="text1"/>
          <w:sz w:val="18"/>
          <w:szCs w:val="18"/>
        </w:rPr>
        <w:t xml:space="preserve"> ‘A Very Private Belief: Reincarnation in Contemporary England’</w:t>
      </w:r>
      <w:r w:rsidR="00552B51">
        <w:rPr>
          <w:rStyle w:val="normaltextrun"/>
          <w:rFonts w:asciiTheme="majorHAnsi" w:hAnsiTheme="majorHAnsi" w:cstheme="majorHAnsi"/>
          <w:color w:val="000000" w:themeColor="text1"/>
          <w:sz w:val="18"/>
          <w:szCs w:val="18"/>
        </w:rPr>
        <w:t>, 1999,</w:t>
      </w:r>
      <w:r w:rsidR="00552B51" w:rsidRPr="00650228">
        <w:rPr>
          <w:rStyle w:val="normaltextrun"/>
          <w:rFonts w:asciiTheme="majorHAnsi" w:hAnsiTheme="majorHAnsi" w:cstheme="majorHAnsi"/>
          <w:color w:val="000000" w:themeColor="text1"/>
          <w:sz w:val="18"/>
          <w:szCs w:val="18"/>
        </w:rPr>
        <w:t xml:space="preserve"> </w:t>
      </w:r>
      <w:r w:rsidR="00552B51">
        <w:rPr>
          <w:rFonts w:asciiTheme="majorHAnsi" w:hAnsiTheme="majorHAnsi" w:cstheme="majorHAnsi"/>
          <w:color w:val="000000" w:themeColor="text1"/>
          <w:sz w:val="18"/>
          <w:szCs w:val="18"/>
          <w:lang w:val="en-GB"/>
        </w:rPr>
        <w:t>p</w:t>
      </w:r>
      <w:r w:rsidR="00552B51" w:rsidRPr="00650228">
        <w:rPr>
          <w:rFonts w:asciiTheme="majorHAnsi" w:hAnsiTheme="majorHAnsi" w:cstheme="majorHAnsi"/>
          <w:color w:val="000000" w:themeColor="text1"/>
          <w:sz w:val="18"/>
          <w:szCs w:val="18"/>
          <w:lang w:val="en-GB"/>
        </w:rPr>
        <w:t>p. 1</w:t>
      </w:r>
      <w:r w:rsidR="00552B51">
        <w:rPr>
          <w:rFonts w:asciiTheme="majorHAnsi" w:hAnsiTheme="majorHAnsi" w:cstheme="majorHAnsi"/>
          <w:color w:val="000000" w:themeColor="text1"/>
          <w:sz w:val="18"/>
          <w:szCs w:val="18"/>
          <w:lang w:val="en-GB"/>
        </w:rPr>
        <w:t>8</w:t>
      </w:r>
      <w:r w:rsidR="00552B51">
        <w:rPr>
          <w:rFonts w:asciiTheme="majorHAnsi" w:hAnsiTheme="majorHAnsi" w:cstheme="majorHAnsi"/>
          <w:color w:val="000000" w:themeColor="text1"/>
          <w:sz w:val="18"/>
          <w:szCs w:val="18"/>
          <w:lang w:val="en-GB"/>
        </w:rPr>
        <w:t>7</w:t>
      </w:r>
    </w:p>
  </w:footnote>
  <w:footnote w:id="5">
    <w:p w14:paraId="67AB23D9" w14:textId="11ADEE5A" w:rsidR="00A07C03" w:rsidRPr="00650228" w:rsidRDefault="00A07C03"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C945E8" w:rsidRPr="00650228">
        <w:rPr>
          <w:rFonts w:asciiTheme="majorHAnsi" w:hAnsiTheme="majorHAnsi" w:cstheme="majorHAnsi"/>
          <w:color w:val="000000" w:themeColor="text1"/>
          <w:sz w:val="18"/>
          <w:szCs w:val="18"/>
          <w:shd w:val="clear" w:color="auto" w:fill="FFFFFF"/>
        </w:rPr>
        <w:t>Brink, T. L.</w:t>
      </w:r>
      <w:r w:rsidR="00C945E8">
        <w:rPr>
          <w:rFonts w:asciiTheme="majorHAnsi" w:hAnsiTheme="majorHAnsi" w:cstheme="majorHAnsi"/>
          <w:color w:val="000000" w:themeColor="text1"/>
          <w:sz w:val="18"/>
          <w:szCs w:val="18"/>
          <w:shd w:val="clear" w:color="auto" w:fill="FFFFFF"/>
        </w:rPr>
        <w:t>,</w:t>
      </w:r>
      <w:r w:rsidR="00C945E8" w:rsidRPr="00650228">
        <w:rPr>
          <w:rFonts w:asciiTheme="majorHAnsi" w:hAnsiTheme="majorHAnsi" w:cstheme="majorHAnsi"/>
          <w:color w:val="000000" w:themeColor="text1"/>
          <w:sz w:val="18"/>
          <w:szCs w:val="18"/>
          <w:shd w:val="clear" w:color="auto" w:fill="FFFFFF"/>
        </w:rPr>
        <w:t xml:space="preserve"> ‘Inconsistency of Belief among Roman Catholic Girls: Concerning Religion, Astrology, Reincarnation.’ Review of Religious Research, 20,</w:t>
      </w:r>
      <w:r w:rsidR="00C945E8">
        <w:rPr>
          <w:rFonts w:asciiTheme="majorHAnsi" w:hAnsiTheme="majorHAnsi" w:cstheme="majorHAnsi"/>
          <w:color w:val="000000" w:themeColor="text1"/>
          <w:sz w:val="18"/>
          <w:szCs w:val="18"/>
          <w:shd w:val="clear" w:color="auto" w:fill="FFFFFF"/>
        </w:rPr>
        <w:t xml:space="preserve"> 1978,</w:t>
      </w:r>
      <w:r w:rsidR="00C945E8" w:rsidRPr="00650228">
        <w:rPr>
          <w:rFonts w:asciiTheme="majorHAnsi" w:eastAsia="Calibri" w:hAnsiTheme="majorHAnsi" w:cstheme="majorHAnsi"/>
          <w:color w:val="000000" w:themeColor="text1"/>
          <w:sz w:val="18"/>
          <w:szCs w:val="18"/>
        </w:rPr>
        <w:t xml:space="preserve"> pp.8</w:t>
      </w:r>
      <w:r w:rsidR="00C945E8">
        <w:rPr>
          <w:rFonts w:asciiTheme="majorHAnsi" w:eastAsia="Calibri" w:hAnsiTheme="majorHAnsi" w:cstheme="majorHAnsi"/>
          <w:color w:val="000000" w:themeColor="text1"/>
          <w:sz w:val="18"/>
          <w:szCs w:val="18"/>
        </w:rPr>
        <w:t>2</w:t>
      </w:r>
    </w:p>
  </w:footnote>
  <w:footnote w:id="6">
    <w:p w14:paraId="77017F1E" w14:textId="1C9DB0B5" w:rsidR="02163D9C" w:rsidRPr="00650228" w:rsidRDefault="02163D9C" w:rsidP="00765C0F">
      <w:pPr>
        <w:spacing w:line="240" w:lineRule="auto"/>
        <w:contextualSpacing/>
        <w:rPr>
          <w:rFonts w:asciiTheme="majorHAnsi" w:hAnsiTheme="majorHAnsi" w:cstheme="majorHAnsi"/>
          <w:color w:val="000000" w:themeColor="text1"/>
          <w:sz w:val="18"/>
          <w:szCs w:val="18"/>
        </w:rPr>
      </w:pPr>
      <w:r w:rsidRPr="00650228">
        <w:rPr>
          <w:rStyle w:val="FootnoteReference"/>
          <w:rFonts w:asciiTheme="majorHAnsi" w:eastAsia="Calibri" w:hAnsiTheme="majorHAnsi" w:cstheme="majorHAnsi"/>
          <w:color w:val="000000" w:themeColor="text1"/>
          <w:sz w:val="18"/>
          <w:szCs w:val="18"/>
        </w:rPr>
        <w:footnoteRef/>
      </w:r>
      <w:r w:rsidRPr="00650228">
        <w:rPr>
          <w:rFonts w:asciiTheme="majorHAnsi" w:eastAsia="Calibri" w:hAnsiTheme="majorHAnsi" w:cstheme="majorHAnsi"/>
          <w:color w:val="000000" w:themeColor="text1"/>
          <w:sz w:val="18"/>
          <w:szCs w:val="18"/>
        </w:rPr>
        <w:t xml:space="preserve"> Loyal, S</w:t>
      </w:r>
      <w:r w:rsidR="00DE7FB5" w:rsidRPr="00650228">
        <w:rPr>
          <w:rFonts w:asciiTheme="majorHAnsi" w:eastAsia="Calibri" w:hAnsiTheme="majorHAnsi" w:cstheme="majorHAnsi"/>
          <w:color w:val="000000" w:themeColor="text1"/>
          <w:sz w:val="18"/>
          <w:szCs w:val="18"/>
        </w:rPr>
        <w:t>.,</w:t>
      </w:r>
      <w:r w:rsidRPr="00650228">
        <w:rPr>
          <w:rFonts w:asciiTheme="majorHAnsi" w:eastAsia="Calibri" w:hAnsiTheme="majorHAnsi" w:cstheme="majorHAnsi"/>
          <w:color w:val="000000" w:themeColor="text1"/>
          <w:sz w:val="18"/>
          <w:szCs w:val="18"/>
        </w:rPr>
        <w:t xml:space="preserve"> and </w:t>
      </w:r>
      <w:proofErr w:type="spellStart"/>
      <w:r w:rsidRPr="00650228">
        <w:rPr>
          <w:rFonts w:asciiTheme="majorHAnsi" w:eastAsia="Calibri" w:hAnsiTheme="majorHAnsi" w:cstheme="majorHAnsi"/>
          <w:color w:val="000000" w:themeColor="text1"/>
          <w:sz w:val="18"/>
          <w:szCs w:val="18"/>
        </w:rPr>
        <w:t>Malešević</w:t>
      </w:r>
      <w:proofErr w:type="spellEnd"/>
      <w:r w:rsidRPr="00650228">
        <w:rPr>
          <w:rFonts w:asciiTheme="majorHAnsi" w:eastAsia="Calibri" w:hAnsiTheme="majorHAnsi" w:cstheme="majorHAnsi"/>
          <w:color w:val="000000" w:themeColor="text1"/>
          <w:sz w:val="18"/>
          <w:szCs w:val="18"/>
        </w:rPr>
        <w:t>, S., Contemporary Sociological Theory, Sage Publications, 2021, pp.300-365</w:t>
      </w:r>
    </w:p>
  </w:footnote>
  <w:footnote w:id="7">
    <w:p w14:paraId="29918F35" w14:textId="1066899C" w:rsidR="02163D9C" w:rsidRPr="00650228" w:rsidRDefault="02163D9C" w:rsidP="00765C0F">
      <w:pPr>
        <w:pStyle w:val="FootnoteText"/>
        <w:contextualSpacing/>
        <w:rPr>
          <w:rFonts w:asciiTheme="majorHAnsi" w:hAnsiTheme="majorHAnsi" w:cstheme="majorHAnsi"/>
          <w:color w:val="000000" w:themeColor="text1"/>
          <w:sz w:val="18"/>
          <w:szCs w:val="18"/>
        </w:rPr>
      </w:pPr>
      <w:r w:rsidRPr="00650228">
        <w:rPr>
          <w:rStyle w:val="FootnoteReference"/>
          <w:rFonts w:asciiTheme="majorHAnsi" w:eastAsia="Calibri" w:hAnsiTheme="majorHAnsi" w:cstheme="majorHAnsi"/>
          <w:color w:val="000000" w:themeColor="text1"/>
          <w:sz w:val="18"/>
          <w:szCs w:val="18"/>
        </w:rPr>
        <w:footnoteRef/>
      </w:r>
      <w:r w:rsidRPr="00650228">
        <w:rPr>
          <w:rFonts w:asciiTheme="majorHAnsi" w:eastAsia="Calibri" w:hAnsiTheme="majorHAnsi" w:cstheme="majorHAnsi"/>
          <w:color w:val="000000" w:themeColor="text1"/>
          <w:sz w:val="18"/>
          <w:szCs w:val="18"/>
        </w:rPr>
        <w:t xml:space="preserve"> Webster, J., Watson, R. T., ‘</w:t>
      </w:r>
      <w:proofErr w:type="spellStart"/>
      <w:r w:rsidRPr="00650228">
        <w:rPr>
          <w:rFonts w:asciiTheme="majorHAnsi" w:eastAsia="Calibri" w:hAnsiTheme="majorHAnsi" w:cstheme="majorHAnsi"/>
          <w:color w:val="000000" w:themeColor="text1"/>
          <w:sz w:val="18"/>
          <w:szCs w:val="18"/>
        </w:rPr>
        <w:t>Analysing</w:t>
      </w:r>
      <w:proofErr w:type="spellEnd"/>
      <w:r w:rsidRPr="00650228">
        <w:rPr>
          <w:rFonts w:asciiTheme="majorHAnsi" w:eastAsia="Calibri" w:hAnsiTheme="majorHAnsi" w:cstheme="majorHAnsi"/>
          <w:color w:val="000000" w:themeColor="text1"/>
          <w:sz w:val="18"/>
          <w:szCs w:val="18"/>
        </w:rPr>
        <w:t xml:space="preserve"> the past to prepare for the future: Writing a literature review’, MIS Quarterly, Vol. 26, No. 2, 2002, pp. xii-xxiii</w:t>
      </w:r>
    </w:p>
  </w:footnote>
  <w:footnote w:id="8">
    <w:p w14:paraId="6889D9EB" w14:textId="71F10E37" w:rsidR="00A07C03" w:rsidRPr="00650228" w:rsidRDefault="00A07C03"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995B40" w:rsidRPr="00650228">
        <w:rPr>
          <w:rStyle w:val="normaltextrun"/>
          <w:rFonts w:asciiTheme="majorHAnsi" w:hAnsiTheme="majorHAnsi" w:cstheme="majorHAnsi"/>
          <w:color w:val="000000" w:themeColor="text1"/>
          <w:sz w:val="18"/>
          <w:szCs w:val="18"/>
        </w:rPr>
        <w:t>Walter, T. &amp; Waterhouse, H.</w:t>
      </w:r>
      <w:r w:rsidR="00995B40">
        <w:rPr>
          <w:rStyle w:val="normaltextrun"/>
          <w:rFonts w:asciiTheme="majorHAnsi" w:hAnsiTheme="majorHAnsi" w:cstheme="majorHAnsi"/>
          <w:color w:val="000000" w:themeColor="text1"/>
          <w:sz w:val="18"/>
          <w:szCs w:val="18"/>
        </w:rPr>
        <w:t>,</w:t>
      </w:r>
      <w:r w:rsidR="00995B40" w:rsidRPr="00650228">
        <w:rPr>
          <w:rStyle w:val="normaltextrun"/>
          <w:rFonts w:asciiTheme="majorHAnsi" w:hAnsiTheme="majorHAnsi" w:cstheme="majorHAnsi"/>
          <w:color w:val="000000" w:themeColor="text1"/>
          <w:sz w:val="18"/>
          <w:szCs w:val="18"/>
        </w:rPr>
        <w:t xml:space="preserve"> ‘A Very Private Belief: Reincarnation in Contemporary England’</w:t>
      </w:r>
      <w:r w:rsidR="00995B40">
        <w:rPr>
          <w:rStyle w:val="normaltextrun"/>
          <w:rFonts w:asciiTheme="majorHAnsi" w:hAnsiTheme="majorHAnsi" w:cstheme="majorHAnsi"/>
          <w:color w:val="000000" w:themeColor="text1"/>
          <w:sz w:val="18"/>
          <w:szCs w:val="18"/>
        </w:rPr>
        <w:t>, 1999,</w:t>
      </w:r>
      <w:r w:rsidR="00995B40" w:rsidRPr="00650228">
        <w:rPr>
          <w:rStyle w:val="normaltextrun"/>
          <w:rFonts w:asciiTheme="majorHAnsi" w:hAnsiTheme="majorHAnsi" w:cstheme="majorHAnsi"/>
          <w:color w:val="000000" w:themeColor="text1"/>
          <w:sz w:val="18"/>
          <w:szCs w:val="18"/>
        </w:rPr>
        <w:t xml:space="preserve"> </w:t>
      </w:r>
      <w:r w:rsidR="00995B40">
        <w:rPr>
          <w:rFonts w:asciiTheme="majorHAnsi" w:hAnsiTheme="majorHAnsi" w:cstheme="majorHAnsi"/>
          <w:color w:val="000000" w:themeColor="text1"/>
          <w:sz w:val="18"/>
          <w:szCs w:val="18"/>
          <w:lang w:val="en-GB"/>
        </w:rPr>
        <w:t>p</w:t>
      </w:r>
      <w:r w:rsidR="00995B40" w:rsidRPr="00650228">
        <w:rPr>
          <w:rFonts w:asciiTheme="majorHAnsi" w:hAnsiTheme="majorHAnsi" w:cstheme="majorHAnsi"/>
          <w:color w:val="000000" w:themeColor="text1"/>
          <w:sz w:val="18"/>
          <w:szCs w:val="18"/>
          <w:lang w:val="en-GB"/>
        </w:rPr>
        <w:t>p. 1</w:t>
      </w:r>
      <w:r w:rsidR="00995B40">
        <w:rPr>
          <w:rFonts w:asciiTheme="majorHAnsi" w:hAnsiTheme="majorHAnsi" w:cstheme="majorHAnsi"/>
          <w:color w:val="000000" w:themeColor="text1"/>
          <w:sz w:val="18"/>
          <w:szCs w:val="18"/>
          <w:lang w:val="en-GB"/>
        </w:rPr>
        <w:t>88</w:t>
      </w:r>
    </w:p>
  </w:footnote>
  <w:footnote w:id="9">
    <w:p w14:paraId="53FF5F3D" w14:textId="03DF9BAB" w:rsidR="003D108D" w:rsidRPr="00650228" w:rsidRDefault="003D108D"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552B51" w:rsidRPr="00650228">
        <w:rPr>
          <w:rFonts w:asciiTheme="majorHAnsi" w:hAnsiTheme="majorHAnsi" w:cstheme="majorHAnsi"/>
          <w:color w:val="000000" w:themeColor="text1"/>
          <w:sz w:val="18"/>
          <w:szCs w:val="18"/>
          <w:shd w:val="clear" w:color="auto" w:fill="FFFFFF"/>
        </w:rPr>
        <w:t>Brink, T. L.</w:t>
      </w:r>
      <w:r w:rsidR="00552B51">
        <w:rPr>
          <w:rFonts w:asciiTheme="majorHAnsi" w:hAnsiTheme="majorHAnsi" w:cstheme="majorHAnsi"/>
          <w:color w:val="000000" w:themeColor="text1"/>
          <w:sz w:val="18"/>
          <w:szCs w:val="18"/>
          <w:shd w:val="clear" w:color="auto" w:fill="FFFFFF"/>
        </w:rPr>
        <w:t>,</w:t>
      </w:r>
      <w:r w:rsidR="00552B51" w:rsidRPr="00650228">
        <w:rPr>
          <w:rFonts w:asciiTheme="majorHAnsi" w:hAnsiTheme="majorHAnsi" w:cstheme="majorHAnsi"/>
          <w:color w:val="000000" w:themeColor="text1"/>
          <w:sz w:val="18"/>
          <w:szCs w:val="18"/>
          <w:shd w:val="clear" w:color="auto" w:fill="FFFFFF"/>
        </w:rPr>
        <w:t xml:space="preserve"> ‘Inconsistency of Belief among Roman Catholic Girls: Concerning Religion, Astrology, Reincarnation.’ Review of Religious Research, 20,</w:t>
      </w:r>
      <w:r w:rsidR="00552B51">
        <w:rPr>
          <w:rFonts w:asciiTheme="majorHAnsi" w:hAnsiTheme="majorHAnsi" w:cstheme="majorHAnsi"/>
          <w:color w:val="000000" w:themeColor="text1"/>
          <w:sz w:val="18"/>
          <w:szCs w:val="18"/>
          <w:shd w:val="clear" w:color="auto" w:fill="FFFFFF"/>
        </w:rPr>
        <w:t xml:space="preserve"> 1978,</w:t>
      </w:r>
      <w:r w:rsidR="00552B51" w:rsidRPr="00650228">
        <w:rPr>
          <w:rFonts w:asciiTheme="majorHAnsi" w:eastAsia="Calibri" w:hAnsiTheme="majorHAnsi" w:cstheme="majorHAnsi"/>
          <w:color w:val="000000" w:themeColor="text1"/>
          <w:sz w:val="18"/>
          <w:szCs w:val="18"/>
        </w:rPr>
        <w:t xml:space="preserve"> pp.8</w:t>
      </w:r>
      <w:r w:rsidR="00552B51">
        <w:rPr>
          <w:rFonts w:asciiTheme="majorHAnsi" w:eastAsia="Calibri" w:hAnsiTheme="majorHAnsi" w:cstheme="majorHAnsi"/>
          <w:color w:val="000000" w:themeColor="text1"/>
          <w:sz w:val="18"/>
          <w:szCs w:val="18"/>
        </w:rPr>
        <w:t>4</w:t>
      </w:r>
    </w:p>
  </w:footnote>
  <w:footnote w:id="10">
    <w:p w14:paraId="03E40E0F" w14:textId="76C54702" w:rsidR="00E217D4" w:rsidRPr="00650228" w:rsidRDefault="00E217D4"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00995B40" w:rsidRPr="00650228">
        <w:rPr>
          <w:rFonts w:asciiTheme="majorHAnsi" w:hAnsiTheme="majorHAnsi" w:cstheme="majorHAnsi"/>
          <w:color w:val="000000" w:themeColor="text1"/>
          <w:sz w:val="18"/>
          <w:szCs w:val="18"/>
        </w:rPr>
        <w:t xml:space="preserve"> </w:t>
      </w:r>
      <w:r w:rsidR="00995B40" w:rsidRPr="00650228">
        <w:rPr>
          <w:rStyle w:val="normaltextrun"/>
          <w:rFonts w:asciiTheme="majorHAnsi" w:hAnsiTheme="majorHAnsi" w:cstheme="majorHAnsi"/>
          <w:color w:val="000000" w:themeColor="text1"/>
          <w:sz w:val="18"/>
          <w:szCs w:val="18"/>
        </w:rPr>
        <w:t>Walter, T. &amp; Waterhouse, H.</w:t>
      </w:r>
      <w:r w:rsidR="00995B40">
        <w:rPr>
          <w:rStyle w:val="normaltextrun"/>
          <w:rFonts w:asciiTheme="majorHAnsi" w:hAnsiTheme="majorHAnsi" w:cstheme="majorHAnsi"/>
          <w:color w:val="000000" w:themeColor="text1"/>
          <w:sz w:val="18"/>
          <w:szCs w:val="18"/>
        </w:rPr>
        <w:t>,</w:t>
      </w:r>
      <w:r w:rsidR="00995B40" w:rsidRPr="00650228">
        <w:rPr>
          <w:rStyle w:val="normaltextrun"/>
          <w:rFonts w:asciiTheme="majorHAnsi" w:hAnsiTheme="majorHAnsi" w:cstheme="majorHAnsi"/>
          <w:color w:val="000000" w:themeColor="text1"/>
          <w:sz w:val="18"/>
          <w:szCs w:val="18"/>
        </w:rPr>
        <w:t xml:space="preserve"> ‘A Very Private Belief: Reincarnation in Contemporary England’</w:t>
      </w:r>
      <w:r w:rsidR="00995B40">
        <w:rPr>
          <w:rStyle w:val="normaltextrun"/>
          <w:rFonts w:asciiTheme="majorHAnsi" w:hAnsiTheme="majorHAnsi" w:cstheme="majorHAnsi"/>
          <w:color w:val="000000" w:themeColor="text1"/>
          <w:sz w:val="18"/>
          <w:szCs w:val="18"/>
        </w:rPr>
        <w:t>, 1999,</w:t>
      </w:r>
      <w:r w:rsidR="00995B40" w:rsidRPr="00650228">
        <w:rPr>
          <w:rStyle w:val="normaltextrun"/>
          <w:rFonts w:asciiTheme="majorHAnsi" w:hAnsiTheme="majorHAnsi" w:cstheme="majorHAnsi"/>
          <w:color w:val="000000" w:themeColor="text1"/>
          <w:sz w:val="18"/>
          <w:szCs w:val="18"/>
        </w:rPr>
        <w:t xml:space="preserve"> </w:t>
      </w:r>
      <w:r w:rsidR="00995B40">
        <w:rPr>
          <w:rFonts w:asciiTheme="majorHAnsi" w:hAnsiTheme="majorHAnsi" w:cstheme="majorHAnsi"/>
          <w:color w:val="000000" w:themeColor="text1"/>
          <w:sz w:val="18"/>
          <w:szCs w:val="18"/>
          <w:lang w:val="en-GB"/>
        </w:rPr>
        <w:t>p</w:t>
      </w:r>
      <w:r w:rsidR="00995B40" w:rsidRPr="00650228">
        <w:rPr>
          <w:rFonts w:asciiTheme="majorHAnsi" w:hAnsiTheme="majorHAnsi" w:cstheme="majorHAnsi"/>
          <w:color w:val="000000" w:themeColor="text1"/>
          <w:sz w:val="18"/>
          <w:szCs w:val="18"/>
          <w:lang w:val="en-GB"/>
        </w:rPr>
        <w:t>p. 1</w:t>
      </w:r>
      <w:r w:rsidR="00995B40">
        <w:rPr>
          <w:rFonts w:asciiTheme="majorHAnsi" w:hAnsiTheme="majorHAnsi" w:cstheme="majorHAnsi"/>
          <w:color w:val="000000" w:themeColor="text1"/>
          <w:sz w:val="18"/>
          <w:szCs w:val="18"/>
          <w:lang w:val="en-GB"/>
        </w:rPr>
        <w:t>88</w:t>
      </w:r>
    </w:p>
  </w:footnote>
  <w:footnote w:id="11">
    <w:p w14:paraId="6570722E" w14:textId="74133CCA" w:rsidR="003D108D" w:rsidRPr="00650228" w:rsidRDefault="003D108D"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6D0980" w:rsidRPr="00650228">
        <w:rPr>
          <w:rFonts w:asciiTheme="majorHAnsi" w:hAnsiTheme="majorHAnsi" w:cstheme="majorHAnsi"/>
          <w:color w:val="000000" w:themeColor="text1"/>
          <w:sz w:val="18"/>
          <w:szCs w:val="18"/>
          <w:shd w:val="clear" w:color="auto" w:fill="FFFFFF"/>
        </w:rPr>
        <w:t>Brink, T. L.</w:t>
      </w:r>
      <w:r w:rsidR="006D0980">
        <w:rPr>
          <w:rFonts w:asciiTheme="majorHAnsi" w:hAnsiTheme="majorHAnsi" w:cstheme="majorHAnsi"/>
          <w:color w:val="000000" w:themeColor="text1"/>
          <w:sz w:val="18"/>
          <w:szCs w:val="18"/>
          <w:shd w:val="clear" w:color="auto" w:fill="FFFFFF"/>
        </w:rPr>
        <w:t>,</w:t>
      </w:r>
      <w:r w:rsidR="006D0980" w:rsidRPr="00650228">
        <w:rPr>
          <w:rFonts w:asciiTheme="majorHAnsi" w:hAnsiTheme="majorHAnsi" w:cstheme="majorHAnsi"/>
          <w:color w:val="000000" w:themeColor="text1"/>
          <w:sz w:val="18"/>
          <w:szCs w:val="18"/>
          <w:shd w:val="clear" w:color="auto" w:fill="FFFFFF"/>
        </w:rPr>
        <w:t xml:space="preserve"> ‘Inconsistency of Belief among Roman Catholic Girls: Concerning Religion, Astrology, Reincarnation.’ Review of Religious Research, 20,</w:t>
      </w:r>
      <w:r w:rsidR="006D0980">
        <w:rPr>
          <w:rFonts w:asciiTheme="majorHAnsi" w:hAnsiTheme="majorHAnsi" w:cstheme="majorHAnsi"/>
          <w:color w:val="000000" w:themeColor="text1"/>
          <w:sz w:val="18"/>
          <w:szCs w:val="18"/>
          <w:shd w:val="clear" w:color="auto" w:fill="FFFFFF"/>
        </w:rPr>
        <w:t xml:space="preserve"> 1978,</w:t>
      </w:r>
      <w:r w:rsidR="006D0980" w:rsidRPr="00650228">
        <w:rPr>
          <w:rFonts w:asciiTheme="majorHAnsi" w:eastAsia="Calibri" w:hAnsiTheme="majorHAnsi" w:cstheme="majorHAnsi"/>
          <w:color w:val="000000" w:themeColor="text1"/>
          <w:sz w:val="18"/>
          <w:szCs w:val="18"/>
        </w:rPr>
        <w:t xml:space="preserve"> pp.8</w:t>
      </w:r>
      <w:r w:rsidR="006D0980">
        <w:rPr>
          <w:rFonts w:asciiTheme="majorHAnsi" w:eastAsia="Calibri" w:hAnsiTheme="majorHAnsi" w:cstheme="majorHAnsi"/>
          <w:color w:val="000000" w:themeColor="text1"/>
          <w:sz w:val="18"/>
          <w:szCs w:val="18"/>
        </w:rPr>
        <w:t>4</w:t>
      </w:r>
    </w:p>
  </w:footnote>
  <w:footnote w:id="12">
    <w:p w14:paraId="3CAE1C23" w14:textId="0A934209" w:rsidR="003D108D" w:rsidRPr="00650228" w:rsidRDefault="003D108D"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C762F4" w:rsidRPr="00650228">
        <w:rPr>
          <w:rFonts w:asciiTheme="majorHAnsi" w:hAnsiTheme="majorHAnsi" w:cstheme="majorHAnsi"/>
          <w:color w:val="000000" w:themeColor="text1"/>
          <w:sz w:val="18"/>
          <w:szCs w:val="18"/>
          <w:shd w:val="clear" w:color="auto" w:fill="FFFFFF"/>
        </w:rPr>
        <w:t>Brink, T. L.</w:t>
      </w:r>
      <w:r w:rsidR="00C762F4">
        <w:rPr>
          <w:rFonts w:asciiTheme="majorHAnsi" w:hAnsiTheme="majorHAnsi" w:cstheme="majorHAnsi"/>
          <w:color w:val="000000" w:themeColor="text1"/>
          <w:sz w:val="18"/>
          <w:szCs w:val="18"/>
          <w:shd w:val="clear" w:color="auto" w:fill="FFFFFF"/>
        </w:rPr>
        <w:t>,</w:t>
      </w:r>
      <w:r w:rsidR="00C762F4" w:rsidRPr="00650228">
        <w:rPr>
          <w:rFonts w:asciiTheme="majorHAnsi" w:hAnsiTheme="majorHAnsi" w:cstheme="majorHAnsi"/>
          <w:color w:val="000000" w:themeColor="text1"/>
          <w:sz w:val="18"/>
          <w:szCs w:val="18"/>
          <w:shd w:val="clear" w:color="auto" w:fill="FFFFFF"/>
        </w:rPr>
        <w:t xml:space="preserve"> ‘Inconsistency of Belief among Roman Catholic Girls: Concerning Religion, Astrology, Reincarnation.’ Review of Religious Research, 20,</w:t>
      </w:r>
      <w:r w:rsidR="00C762F4">
        <w:rPr>
          <w:rFonts w:asciiTheme="majorHAnsi" w:hAnsiTheme="majorHAnsi" w:cstheme="majorHAnsi"/>
          <w:color w:val="000000" w:themeColor="text1"/>
          <w:sz w:val="18"/>
          <w:szCs w:val="18"/>
          <w:shd w:val="clear" w:color="auto" w:fill="FFFFFF"/>
        </w:rPr>
        <w:t xml:space="preserve"> 1978,</w:t>
      </w:r>
      <w:r w:rsidR="00C762F4" w:rsidRPr="00650228">
        <w:rPr>
          <w:rFonts w:asciiTheme="majorHAnsi" w:eastAsia="Calibri" w:hAnsiTheme="majorHAnsi" w:cstheme="majorHAnsi"/>
          <w:color w:val="000000" w:themeColor="text1"/>
          <w:sz w:val="18"/>
          <w:szCs w:val="18"/>
        </w:rPr>
        <w:t xml:space="preserve"> pp.8</w:t>
      </w:r>
      <w:r w:rsidR="00C762F4">
        <w:rPr>
          <w:rFonts w:asciiTheme="majorHAnsi" w:eastAsia="Calibri" w:hAnsiTheme="majorHAnsi" w:cstheme="majorHAnsi"/>
          <w:color w:val="000000" w:themeColor="text1"/>
          <w:sz w:val="18"/>
          <w:szCs w:val="18"/>
        </w:rPr>
        <w:t>2</w:t>
      </w:r>
    </w:p>
  </w:footnote>
  <w:footnote w:id="13">
    <w:p w14:paraId="67F9FB48" w14:textId="5D9264B8" w:rsidR="003D108D" w:rsidRPr="00650228" w:rsidRDefault="003D108D" w:rsidP="00765C0F">
      <w:pPr>
        <w:spacing w:line="240" w:lineRule="auto"/>
        <w:contextualSpacing/>
        <w:rPr>
          <w:rFonts w:asciiTheme="majorHAnsi" w:eastAsia="Calibri" w:hAnsiTheme="majorHAnsi" w:cstheme="majorHAnsi"/>
          <w:color w:val="000000" w:themeColor="text1"/>
          <w:sz w:val="18"/>
          <w:szCs w:val="18"/>
        </w:rPr>
      </w:pPr>
      <w:r w:rsidRPr="00650228">
        <w:rPr>
          <w:rStyle w:val="FootnoteReference"/>
          <w:rFonts w:asciiTheme="majorHAnsi" w:eastAsia="Calibri" w:hAnsiTheme="majorHAnsi" w:cstheme="majorHAnsi"/>
          <w:color w:val="000000" w:themeColor="text1"/>
          <w:sz w:val="18"/>
          <w:szCs w:val="18"/>
        </w:rPr>
        <w:footnoteRef/>
      </w:r>
      <w:r w:rsidRPr="00650228">
        <w:rPr>
          <w:rFonts w:asciiTheme="majorHAnsi" w:eastAsia="Calibri" w:hAnsiTheme="majorHAnsi" w:cstheme="majorHAnsi"/>
          <w:color w:val="000000" w:themeColor="text1"/>
          <w:sz w:val="18"/>
          <w:szCs w:val="18"/>
        </w:rPr>
        <w:t xml:space="preserve"> Denscombe, M.</w:t>
      </w:r>
      <w:r w:rsidR="0059231E">
        <w:rPr>
          <w:rFonts w:asciiTheme="majorHAnsi" w:eastAsia="Calibri" w:hAnsiTheme="majorHAnsi" w:cstheme="majorHAnsi"/>
          <w:color w:val="000000" w:themeColor="text1"/>
          <w:sz w:val="18"/>
          <w:szCs w:val="18"/>
        </w:rPr>
        <w:t>,</w:t>
      </w:r>
      <w:r w:rsidRPr="00650228">
        <w:rPr>
          <w:rFonts w:asciiTheme="majorHAnsi" w:eastAsia="Calibri" w:hAnsiTheme="majorHAnsi" w:cstheme="majorHAnsi"/>
          <w:color w:val="000000" w:themeColor="text1"/>
          <w:sz w:val="18"/>
          <w:szCs w:val="18"/>
        </w:rPr>
        <w:t xml:space="preserve"> </w:t>
      </w:r>
      <w:r w:rsidR="0059231E">
        <w:rPr>
          <w:rFonts w:asciiTheme="majorHAnsi" w:eastAsia="Calibri" w:hAnsiTheme="majorHAnsi" w:cstheme="majorHAnsi"/>
          <w:color w:val="000000" w:themeColor="text1"/>
          <w:sz w:val="18"/>
          <w:szCs w:val="18"/>
        </w:rPr>
        <w:t>‘</w:t>
      </w:r>
      <w:r w:rsidRPr="00650228">
        <w:rPr>
          <w:rFonts w:asciiTheme="majorHAnsi" w:eastAsia="Calibri" w:hAnsiTheme="majorHAnsi" w:cstheme="majorHAnsi"/>
          <w:color w:val="000000" w:themeColor="text1"/>
          <w:sz w:val="18"/>
          <w:szCs w:val="18"/>
        </w:rPr>
        <w:t>The Good Research Guide: Research methods for small-scale social research projects</w:t>
      </w:r>
      <w:r w:rsidR="0059231E">
        <w:rPr>
          <w:rFonts w:asciiTheme="majorHAnsi" w:eastAsia="Calibri" w:hAnsiTheme="majorHAnsi" w:cstheme="majorHAnsi"/>
          <w:color w:val="000000" w:themeColor="text1"/>
          <w:sz w:val="18"/>
          <w:szCs w:val="18"/>
        </w:rPr>
        <w:t>’</w:t>
      </w:r>
      <w:r w:rsidRPr="00650228">
        <w:rPr>
          <w:rFonts w:asciiTheme="majorHAnsi" w:eastAsia="Calibri" w:hAnsiTheme="majorHAnsi" w:cstheme="majorHAnsi"/>
          <w:color w:val="000000" w:themeColor="text1"/>
          <w:sz w:val="18"/>
          <w:szCs w:val="18"/>
        </w:rPr>
        <w:t>, 7</w:t>
      </w:r>
      <w:r w:rsidRPr="00650228">
        <w:rPr>
          <w:rFonts w:asciiTheme="majorHAnsi" w:eastAsia="Calibri" w:hAnsiTheme="majorHAnsi" w:cstheme="majorHAnsi"/>
          <w:color w:val="000000" w:themeColor="text1"/>
          <w:sz w:val="18"/>
          <w:szCs w:val="18"/>
          <w:vertAlign w:val="superscript"/>
        </w:rPr>
        <w:t>th</w:t>
      </w:r>
      <w:r w:rsidRPr="00650228">
        <w:rPr>
          <w:rFonts w:asciiTheme="majorHAnsi" w:eastAsia="Calibri" w:hAnsiTheme="majorHAnsi" w:cstheme="majorHAnsi"/>
          <w:color w:val="000000" w:themeColor="text1"/>
          <w:sz w:val="18"/>
          <w:szCs w:val="18"/>
        </w:rPr>
        <w:t xml:space="preserve"> eds., Open University Press, 2021 pp.245</w:t>
      </w:r>
    </w:p>
  </w:footnote>
  <w:footnote w:id="14">
    <w:p w14:paraId="67B5C9BF" w14:textId="4BEF0AE4" w:rsidR="00472754" w:rsidRPr="00650228" w:rsidRDefault="00472754" w:rsidP="00765C0F">
      <w:pPr>
        <w:adjustRightInd w:val="0"/>
        <w:snapToGrid w:val="0"/>
        <w:spacing w:line="240" w:lineRule="auto"/>
        <w:contextualSpacing/>
        <w:rPr>
          <w:rFonts w:asciiTheme="majorHAnsi" w:eastAsia="Calibri" w:hAnsiTheme="majorHAnsi" w:cstheme="majorHAnsi"/>
          <w:color w:val="000000" w:themeColor="text1"/>
          <w:sz w:val="18"/>
          <w:szCs w:val="18"/>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6B09D8" w:rsidRPr="00650228">
        <w:rPr>
          <w:rFonts w:asciiTheme="majorHAnsi" w:eastAsia="Calibri" w:hAnsiTheme="majorHAnsi" w:cstheme="majorHAnsi"/>
          <w:color w:val="000000" w:themeColor="text1"/>
          <w:sz w:val="18"/>
          <w:szCs w:val="18"/>
        </w:rPr>
        <w:t>Bell, J. and S. Waters, ‘Doing Your Research Project’, New York: Open University Press/McGraw-</w:t>
      </w:r>
      <w:r w:rsidR="006B09D8" w:rsidRPr="00650228">
        <w:rPr>
          <w:rFonts w:asciiTheme="majorHAnsi" w:hAnsiTheme="majorHAnsi" w:cstheme="majorHAnsi"/>
          <w:color w:val="000000" w:themeColor="text1"/>
          <w:sz w:val="18"/>
          <w:szCs w:val="18"/>
        </w:rPr>
        <w:tab/>
      </w:r>
      <w:r w:rsidR="006B09D8" w:rsidRPr="00650228">
        <w:rPr>
          <w:rFonts w:asciiTheme="majorHAnsi" w:eastAsia="Calibri" w:hAnsiTheme="majorHAnsi" w:cstheme="majorHAnsi"/>
          <w:color w:val="000000" w:themeColor="text1"/>
          <w:sz w:val="18"/>
          <w:szCs w:val="18"/>
        </w:rPr>
        <w:t xml:space="preserve">Hill, 2017. 7th eds. </w:t>
      </w:r>
    </w:p>
  </w:footnote>
  <w:footnote w:id="15">
    <w:p w14:paraId="789AA0D8" w14:textId="4AD4DE87" w:rsidR="02163D9C" w:rsidRPr="00650228" w:rsidRDefault="02163D9C" w:rsidP="00765C0F">
      <w:pPr>
        <w:pStyle w:val="FootnoteText"/>
        <w:contextualSpacing/>
        <w:rPr>
          <w:rFonts w:asciiTheme="majorHAnsi" w:hAnsiTheme="majorHAnsi" w:cstheme="majorHAnsi"/>
          <w:color w:val="000000" w:themeColor="text1"/>
          <w:sz w:val="18"/>
          <w:szCs w:val="18"/>
        </w:rPr>
      </w:pPr>
      <w:r w:rsidRPr="00650228">
        <w:rPr>
          <w:rStyle w:val="FootnoteReference"/>
          <w:rFonts w:asciiTheme="majorHAnsi" w:eastAsia="Calibri" w:hAnsiTheme="majorHAnsi" w:cstheme="majorHAnsi"/>
          <w:color w:val="000000" w:themeColor="text1"/>
          <w:sz w:val="18"/>
          <w:szCs w:val="18"/>
        </w:rPr>
        <w:footnoteRef/>
      </w:r>
      <w:r w:rsidRPr="00650228">
        <w:rPr>
          <w:rFonts w:asciiTheme="majorHAnsi" w:eastAsia="Calibri" w:hAnsiTheme="majorHAnsi" w:cstheme="majorHAnsi"/>
          <w:color w:val="000000" w:themeColor="text1"/>
          <w:sz w:val="18"/>
          <w:szCs w:val="18"/>
        </w:rPr>
        <w:t xml:space="preserve"> </w:t>
      </w:r>
      <w:r w:rsidR="007D765F" w:rsidRPr="00650228">
        <w:rPr>
          <w:rFonts w:asciiTheme="majorHAnsi" w:hAnsiTheme="majorHAnsi" w:cstheme="majorHAnsi"/>
          <w:color w:val="000000" w:themeColor="text1"/>
          <w:sz w:val="18"/>
          <w:szCs w:val="18"/>
          <w:shd w:val="clear" w:color="auto" w:fill="FFFFFF"/>
        </w:rPr>
        <w:t>Brink, T. L.</w:t>
      </w:r>
      <w:r w:rsidR="0059231E">
        <w:rPr>
          <w:rFonts w:asciiTheme="majorHAnsi" w:hAnsiTheme="majorHAnsi" w:cstheme="majorHAnsi"/>
          <w:color w:val="000000" w:themeColor="text1"/>
          <w:sz w:val="18"/>
          <w:szCs w:val="18"/>
          <w:shd w:val="clear" w:color="auto" w:fill="FFFFFF"/>
        </w:rPr>
        <w:t>,</w:t>
      </w:r>
      <w:r w:rsidR="007D765F" w:rsidRPr="00650228">
        <w:rPr>
          <w:rFonts w:asciiTheme="majorHAnsi" w:hAnsiTheme="majorHAnsi" w:cstheme="majorHAnsi"/>
          <w:color w:val="000000" w:themeColor="text1"/>
          <w:sz w:val="18"/>
          <w:szCs w:val="18"/>
          <w:shd w:val="clear" w:color="auto" w:fill="FFFFFF"/>
        </w:rPr>
        <w:t xml:space="preserve"> ‘Inconsistency of Belief among Roman Catholic Girls: Concerning Religion, Astrology, Reincarnation.’ Review of Religious Research, 20,</w:t>
      </w:r>
      <w:r w:rsidR="0059231E">
        <w:rPr>
          <w:rFonts w:asciiTheme="majorHAnsi" w:hAnsiTheme="majorHAnsi" w:cstheme="majorHAnsi"/>
          <w:color w:val="000000" w:themeColor="text1"/>
          <w:sz w:val="18"/>
          <w:szCs w:val="18"/>
          <w:shd w:val="clear" w:color="auto" w:fill="FFFFFF"/>
        </w:rPr>
        <w:t xml:space="preserve"> </w:t>
      </w:r>
      <w:proofErr w:type="gramStart"/>
      <w:r w:rsidR="0059231E">
        <w:rPr>
          <w:rFonts w:asciiTheme="majorHAnsi" w:hAnsiTheme="majorHAnsi" w:cstheme="majorHAnsi"/>
          <w:color w:val="000000" w:themeColor="text1"/>
          <w:sz w:val="18"/>
          <w:szCs w:val="18"/>
          <w:shd w:val="clear" w:color="auto" w:fill="FFFFFF"/>
        </w:rPr>
        <w:t xml:space="preserve">1978, </w:t>
      </w:r>
      <w:r w:rsidRPr="00650228">
        <w:rPr>
          <w:rFonts w:asciiTheme="majorHAnsi" w:eastAsia="Calibri" w:hAnsiTheme="majorHAnsi" w:cstheme="majorHAnsi"/>
          <w:color w:val="000000" w:themeColor="text1"/>
          <w:sz w:val="18"/>
          <w:szCs w:val="18"/>
        </w:rPr>
        <w:t xml:space="preserve"> pp.</w:t>
      </w:r>
      <w:proofErr w:type="gramEnd"/>
      <w:r w:rsidRPr="00650228">
        <w:rPr>
          <w:rFonts w:asciiTheme="majorHAnsi" w:eastAsia="Calibri" w:hAnsiTheme="majorHAnsi" w:cstheme="majorHAnsi"/>
          <w:color w:val="000000" w:themeColor="text1"/>
          <w:sz w:val="18"/>
          <w:szCs w:val="18"/>
        </w:rPr>
        <w:t xml:space="preserve">83, </w:t>
      </w:r>
      <w:r w:rsidR="007D765F" w:rsidRPr="00650228">
        <w:rPr>
          <w:rFonts w:asciiTheme="majorHAnsi" w:eastAsia="Calibri" w:hAnsiTheme="majorHAnsi" w:cstheme="majorHAnsi"/>
          <w:color w:val="000000" w:themeColor="text1"/>
          <w:sz w:val="18"/>
          <w:szCs w:val="18"/>
        </w:rPr>
        <w:t>T</w:t>
      </w:r>
      <w:r w:rsidRPr="00650228">
        <w:rPr>
          <w:rFonts w:asciiTheme="majorHAnsi" w:eastAsia="Calibri" w:hAnsiTheme="majorHAnsi" w:cstheme="majorHAnsi"/>
          <w:color w:val="000000" w:themeColor="text1"/>
          <w:sz w:val="18"/>
          <w:szCs w:val="18"/>
        </w:rPr>
        <w:t>able 1</w:t>
      </w:r>
    </w:p>
  </w:footnote>
  <w:footnote w:id="16">
    <w:p w14:paraId="74BDBBC6" w14:textId="31B329F8" w:rsidR="02163D9C" w:rsidRPr="00650228" w:rsidRDefault="02163D9C" w:rsidP="00765C0F">
      <w:pPr>
        <w:spacing w:line="240" w:lineRule="auto"/>
        <w:contextualSpacing/>
        <w:rPr>
          <w:rFonts w:asciiTheme="majorHAnsi" w:eastAsia="Calibri" w:hAnsiTheme="majorHAnsi" w:cstheme="majorHAnsi"/>
          <w:color w:val="000000" w:themeColor="text1"/>
          <w:sz w:val="18"/>
          <w:szCs w:val="18"/>
        </w:rPr>
      </w:pPr>
      <w:r w:rsidRPr="00650228">
        <w:rPr>
          <w:rStyle w:val="FootnoteReference"/>
          <w:rFonts w:asciiTheme="majorHAnsi" w:eastAsia="Calibri" w:hAnsiTheme="majorHAnsi" w:cstheme="majorHAnsi"/>
          <w:color w:val="000000" w:themeColor="text1"/>
          <w:sz w:val="18"/>
          <w:szCs w:val="18"/>
        </w:rPr>
        <w:footnoteRef/>
      </w:r>
      <w:r w:rsidRPr="00650228">
        <w:rPr>
          <w:rFonts w:asciiTheme="majorHAnsi" w:eastAsia="Calibri" w:hAnsiTheme="majorHAnsi" w:cstheme="majorHAnsi"/>
          <w:color w:val="000000" w:themeColor="text1"/>
          <w:sz w:val="18"/>
          <w:szCs w:val="18"/>
        </w:rPr>
        <w:t xml:space="preserve"> Strauss 1987, </w:t>
      </w:r>
      <w:r w:rsidR="00DE7FB5" w:rsidRPr="00650228">
        <w:rPr>
          <w:rFonts w:asciiTheme="majorHAnsi" w:eastAsia="Calibri" w:hAnsiTheme="majorHAnsi" w:cstheme="majorHAnsi"/>
          <w:color w:val="000000" w:themeColor="text1"/>
          <w:sz w:val="18"/>
          <w:szCs w:val="18"/>
        </w:rPr>
        <w:t xml:space="preserve">cited in </w:t>
      </w:r>
      <w:r w:rsidR="007F7884" w:rsidRPr="00650228">
        <w:rPr>
          <w:rFonts w:asciiTheme="majorHAnsi" w:eastAsia="Calibri" w:hAnsiTheme="majorHAnsi" w:cstheme="majorHAnsi"/>
          <w:color w:val="000000" w:themeColor="text1"/>
          <w:sz w:val="18"/>
          <w:szCs w:val="18"/>
        </w:rPr>
        <w:t xml:space="preserve">Bell, J. and S. Waters, ‘Doing Your Research Project’, New York: Open University Press/McGraw-Hill, 2014. 6th eds. </w:t>
      </w:r>
    </w:p>
  </w:footnote>
  <w:footnote w:id="17">
    <w:p w14:paraId="5456B54D" w14:textId="3C2C9C51" w:rsidR="00AB6130" w:rsidRPr="00650228" w:rsidRDefault="00AB6130"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647B83" w:rsidRPr="00650228">
        <w:rPr>
          <w:rStyle w:val="normaltextrun"/>
          <w:rFonts w:asciiTheme="majorHAnsi" w:hAnsiTheme="majorHAnsi" w:cstheme="majorHAnsi"/>
          <w:color w:val="000000" w:themeColor="text1"/>
          <w:sz w:val="18"/>
          <w:szCs w:val="18"/>
        </w:rPr>
        <w:t>Walter, T. &amp; Waterhouse, H.</w:t>
      </w:r>
      <w:r w:rsidR="0059231E">
        <w:rPr>
          <w:rStyle w:val="normaltextrun"/>
          <w:rFonts w:asciiTheme="majorHAnsi" w:hAnsiTheme="majorHAnsi" w:cstheme="majorHAnsi"/>
          <w:color w:val="000000" w:themeColor="text1"/>
          <w:sz w:val="18"/>
          <w:szCs w:val="18"/>
        </w:rPr>
        <w:t>,</w:t>
      </w:r>
      <w:r w:rsidR="00647B83" w:rsidRPr="00650228">
        <w:rPr>
          <w:rStyle w:val="normaltextrun"/>
          <w:rFonts w:asciiTheme="majorHAnsi" w:hAnsiTheme="majorHAnsi" w:cstheme="majorHAnsi"/>
          <w:color w:val="000000" w:themeColor="text1"/>
          <w:sz w:val="18"/>
          <w:szCs w:val="18"/>
        </w:rPr>
        <w:t xml:space="preserve"> ‘A Very Private Belief: Reincarnation in Contemporary England’</w:t>
      </w:r>
      <w:r w:rsidR="0059231E">
        <w:rPr>
          <w:rStyle w:val="normaltextrun"/>
          <w:rFonts w:asciiTheme="majorHAnsi" w:hAnsiTheme="majorHAnsi" w:cstheme="majorHAnsi"/>
          <w:color w:val="000000" w:themeColor="text1"/>
          <w:sz w:val="18"/>
          <w:szCs w:val="18"/>
        </w:rPr>
        <w:t>, 1999,</w:t>
      </w:r>
      <w:r w:rsidR="00647B83" w:rsidRPr="00650228">
        <w:rPr>
          <w:rStyle w:val="normaltextrun"/>
          <w:rFonts w:asciiTheme="majorHAnsi" w:hAnsiTheme="majorHAnsi" w:cstheme="majorHAnsi"/>
          <w:color w:val="000000" w:themeColor="text1"/>
          <w:sz w:val="18"/>
          <w:szCs w:val="18"/>
        </w:rPr>
        <w:t xml:space="preserve"> </w:t>
      </w:r>
      <w:r w:rsidR="0059231E">
        <w:rPr>
          <w:rFonts w:asciiTheme="majorHAnsi" w:hAnsiTheme="majorHAnsi" w:cstheme="majorHAnsi"/>
          <w:color w:val="000000" w:themeColor="text1"/>
          <w:sz w:val="18"/>
          <w:szCs w:val="18"/>
          <w:lang w:val="en-GB"/>
        </w:rPr>
        <w:t>p</w:t>
      </w:r>
      <w:r w:rsidRPr="00650228">
        <w:rPr>
          <w:rFonts w:asciiTheme="majorHAnsi" w:hAnsiTheme="majorHAnsi" w:cstheme="majorHAnsi"/>
          <w:color w:val="000000" w:themeColor="text1"/>
          <w:sz w:val="18"/>
          <w:szCs w:val="18"/>
          <w:lang w:val="en-GB"/>
        </w:rPr>
        <w:t>p. 191-195</w:t>
      </w:r>
    </w:p>
  </w:footnote>
  <w:footnote w:id="18">
    <w:p w14:paraId="3CA11BB8" w14:textId="38EA7AEA" w:rsidR="006C5EC1" w:rsidRPr="00650228" w:rsidRDefault="006C5EC1"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647B83" w:rsidRPr="00650228">
        <w:rPr>
          <w:rStyle w:val="normaltextrun"/>
          <w:rFonts w:asciiTheme="majorHAnsi" w:hAnsiTheme="majorHAnsi" w:cstheme="majorHAnsi"/>
          <w:color w:val="000000" w:themeColor="text1"/>
          <w:sz w:val="18"/>
          <w:szCs w:val="18"/>
        </w:rPr>
        <w:t>Walter, T. &amp; Waterhouse, H.</w:t>
      </w:r>
      <w:r w:rsidR="0059231E">
        <w:rPr>
          <w:rStyle w:val="normaltextrun"/>
          <w:rFonts w:asciiTheme="majorHAnsi" w:hAnsiTheme="majorHAnsi" w:cstheme="majorHAnsi"/>
          <w:color w:val="000000" w:themeColor="text1"/>
          <w:sz w:val="18"/>
          <w:szCs w:val="18"/>
        </w:rPr>
        <w:t>,</w:t>
      </w:r>
      <w:r w:rsidR="00647B83" w:rsidRPr="00650228">
        <w:rPr>
          <w:rStyle w:val="normaltextrun"/>
          <w:rFonts w:asciiTheme="majorHAnsi" w:hAnsiTheme="majorHAnsi" w:cstheme="majorHAnsi"/>
          <w:color w:val="000000" w:themeColor="text1"/>
          <w:sz w:val="18"/>
          <w:szCs w:val="18"/>
        </w:rPr>
        <w:t xml:space="preserve"> ‘A Very Private Belief: Reincarnation in Contemporary England’</w:t>
      </w:r>
      <w:r w:rsidR="0059231E">
        <w:rPr>
          <w:rStyle w:val="normaltextrun"/>
          <w:rFonts w:asciiTheme="majorHAnsi" w:hAnsiTheme="majorHAnsi" w:cstheme="majorHAnsi"/>
          <w:color w:val="000000" w:themeColor="text1"/>
          <w:sz w:val="18"/>
          <w:szCs w:val="18"/>
        </w:rPr>
        <w:t>, 1999, pp.</w:t>
      </w:r>
      <w:r w:rsidRPr="00650228">
        <w:rPr>
          <w:rFonts w:asciiTheme="majorHAnsi" w:hAnsiTheme="majorHAnsi" w:cstheme="majorHAnsi"/>
          <w:color w:val="000000" w:themeColor="text1"/>
          <w:sz w:val="18"/>
          <w:szCs w:val="18"/>
          <w:lang w:val="en-GB"/>
        </w:rPr>
        <w:t>189</w:t>
      </w:r>
    </w:p>
  </w:footnote>
  <w:footnote w:id="19">
    <w:p w14:paraId="731EA264" w14:textId="167A2C97" w:rsidR="02163D9C" w:rsidRPr="00650228" w:rsidRDefault="02163D9C" w:rsidP="00765C0F">
      <w:pPr>
        <w:spacing w:line="240" w:lineRule="auto"/>
        <w:contextualSpacing/>
        <w:rPr>
          <w:rFonts w:asciiTheme="majorHAnsi" w:eastAsia="Calibri" w:hAnsiTheme="majorHAnsi" w:cstheme="majorHAnsi"/>
          <w:color w:val="000000" w:themeColor="text1"/>
          <w:sz w:val="18"/>
          <w:szCs w:val="18"/>
        </w:rPr>
      </w:pPr>
      <w:r w:rsidRPr="00650228">
        <w:rPr>
          <w:rStyle w:val="FootnoteReference"/>
          <w:rFonts w:asciiTheme="majorHAnsi" w:eastAsia="Calibri" w:hAnsiTheme="majorHAnsi" w:cstheme="majorHAnsi"/>
          <w:color w:val="000000" w:themeColor="text1"/>
          <w:sz w:val="18"/>
          <w:szCs w:val="18"/>
        </w:rPr>
        <w:footnoteRef/>
      </w:r>
      <w:r w:rsidRPr="00650228">
        <w:rPr>
          <w:rFonts w:asciiTheme="majorHAnsi" w:eastAsia="Calibri" w:hAnsiTheme="majorHAnsi" w:cstheme="majorHAnsi"/>
          <w:color w:val="000000" w:themeColor="text1"/>
          <w:sz w:val="18"/>
          <w:szCs w:val="18"/>
        </w:rPr>
        <w:t xml:space="preserve"> </w:t>
      </w:r>
      <w:r w:rsidR="007F7884" w:rsidRPr="00650228">
        <w:rPr>
          <w:rFonts w:asciiTheme="majorHAnsi" w:eastAsia="Calibri" w:hAnsiTheme="majorHAnsi" w:cstheme="majorHAnsi"/>
          <w:color w:val="000000" w:themeColor="text1"/>
          <w:sz w:val="18"/>
          <w:szCs w:val="18"/>
        </w:rPr>
        <w:t>Bell, J. and S. Waters, ‘Doing Your Research Project’, New York: Open University Press/McGraw-Hill, 2014. 6th eds</w:t>
      </w:r>
      <w:r w:rsidR="007F7884" w:rsidRPr="00650228">
        <w:rPr>
          <w:rFonts w:asciiTheme="majorHAnsi" w:eastAsia="Calibri" w:hAnsiTheme="majorHAnsi" w:cstheme="majorHAnsi"/>
          <w:color w:val="000000" w:themeColor="text1"/>
          <w:sz w:val="18"/>
          <w:szCs w:val="18"/>
        </w:rPr>
        <w:t xml:space="preserve">, </w:t>
      </w:r>
      <w:r w:rsidRPr="00650228">
        <w:rPr>
          <w:rFonts w:asciiTheme="majorHAnsi" w:eastAsia="Calibri" w:hAnsiTheme="majorHAnsi" w:cstheme="majorHAnsi"/>
          <w:color w:val="000000" w:themeColor="text1"/>
          <w:sz w:val="18"/>
          <w:szCs w:val="18"/>
        </w:rPr>
        <w:t>pp.199</w:t>
      </w:r>
    </w:p>
  </w:footnote>
  <w:footnote w:id="20">
    <w:p w14:paraId="7ED07E55" w14:textId="1B54A792" w:rsidR="00FC0D65" w:rsidRPr="00650228" w:rsidRDefault="00FC0D65"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650228" w:rsidRPr="00650228">
        <w:rPr>
          <w:rFonts w:asciiTheme="majorHAnsi" w:hAnsiTheme="majorHAnsi" w:cstheme="majorHAnsi"/>
          <w:color w:val="000000" w:themeColor="text1"/>
          <w:sz w:val="18"/>
          <w:szCs w:val="18"/>
          <w:shd w:val="clear" w:color="auto" w:fill="FFFFFF"/>
        </w:rPr>
        <w:t>Brink, T. L</w:t>
      </w:r>
      <w:r w:rsidR="00650228">
        <w:rPr>
          <w:rFonts w:asciiTheme="majorHAnsi" w:hAnsiTheme="majorHAnsi" w:cstheme="majorHAnsi"/>
          <w:color w:val="000000" w:themeColor="text1"/>
          <w:sz w:val="18"/>
          <w:szCs w:val="18"/>
          <w:shd w:val="clear" w:color="auto" w:fill="FFFFFF"/>
        </w:rPr>
        <w:t xml:space="preserve">, </w:t>
      </w:r>
      <w:r w:rsidR="00650228" w:rsidRPr="00650228">
        <w:rPr>
          <w:rFonts w:asciiTheme="majorHAnsi" w:hAnsiTheme="majorHAnsi" w:cstheme="majorHAnsi"/>
          <w:color w:val="000000" w:themeColor="text1"/>
          <w:sz w:val="18"/>
          <w:szCs w:val="18"/>
          <w:shd w:val="clear" w:color="auto" w:fill="FFFFFF"/>
        </w:rPr>
        <w:t>‘Inconsistency of Belief among Roman Catholic Girls: Concerning Religion, Astrology, Reincarnation</w:t>
      </w:r>
      <w:r w:rsidR="00650228">
        <w:rPr>
          <w:rFonts w:asciiTheme="majorHAnsi" w:hAnsiTheme="majorHAnsi" w:cstheme="majorHAnsi"/>
          <w:color w:val="000000" w:themeColor="text1"/>
          <w:sz w:val="18"/>
          <w:szCs w:val="18"/>
          <w:shd w:val="clear" w:color="auto" w:fill="FFFFFF"/>
        </w:rPr>
        <w:t>’,</w:t>
      </w:r>
      <w:r w:rsidR="00650228" w:rsidRPr="00650228">
        <w:rPr>
          <w:rFonts w:asciiTheme="majorHAnsi" w:hAnsiTheme="majorHAnsi" w:cstheme="majorHAnsi"/>
          <w:color w:val="000000" w:themeColor="text1"/>
          <w:sz w:val="18"/>
          <w:szCs w:val="18"/>
          <w:shd w:val="clear" w:color="auto" w:fill="FFFFFF"/>
        </w:rPr>
        <w:t xml:space="preserve"> 1978</w:t>
      </w:r>
      <w:r w:rsidR="00650228">
        <w:rPr>
          <w:rFonts w:asciiTheme="majorHAnsi" w:hAnsiTheme="majorHAnsi" w:cstheme="majorHAnsi"/>
          <w:color w:val="000000" w:themeColor="text1"/>
          <w:sz w:val="18"/>
          <w:szCs w:val="18"/>
          <w:shd w:val="clear" w:color="auto" w:fill="FFFFFF"/>
        </w:rPr>
        <w:t xml:space="preserve">, </w:t>
      </w:r>
      <w:r w:rsidR="00650228" w:rsidRPr="00650228">
        <w:rPr>
          <w:rFonts w:asciiTheme="majorHAnsi" w:hAnsiTheme="majorHAnsi" w:cstheme="majorHAnsi"/>
          <w:color w:val="000000" w:themeColor="text1"/>
          <w:sz w:val="18"/>
          <w:szCs w:val="18"/>
          <w:shd w:val="clear" w:color="auto" w:fill="FFFFFF"/>
        </w:rPr>
        <w:t>pp.83</w:t>
      </w:r>
    </w:p>
  </w:footnote>
  <w:footnote w:id="21">
    <w:p w14:paraId="598198F8" w14:textId="22D04669" w:rsidR="02163D9C" w:rsidRPr="00650228" w:rsidRDefault="02163D9C" w:rsidP="00765C0F">
      <w:pPr>
        <w:spacing w:line="240" w:lineRule="auto"/>
        <w:contextualSpacing/>
        <w:rPr>
          <w:rFonts w:asciiTheme="majorHAnsi" w:eastAsia="Calibri" w:hAnsiTheme="majorHAnsi" w:cstheme="majorHAnsi"/>
          <w:color w:val="000000" w:themeColor="text1"/>
          <w:sz w:val="18"/>
          <w:szCs w:val="18"/>
        </w:rPr>
      </w:pPr>
      <w:r w:rsidRPr="00650228">
        <w:rPr>
          <w:rStyle w:val="FootnoteReference"/>
          <w:rFonts w:asciiTheme="majorHAnsi" w:eastAsia="Calibri" w:hAnsiTheme="majorHAnsi" w:cstheme="majorHAnsi"/>
          <w:color w:val="000000" w:themeColor="text1"/>
          <w:sz w:val="18"/>
          <w:szCs w:val="18"/>
        </w:rPr>
        <w:footnoteRef/>
      </w:r>
      <w:r w:rsidRPr="00650228">
        <w:rPr>
          <w:rFonts w:asciiTheme="majorHAnsi" w:eastAsia="Calibri" w:hAnsiTheme="majorHAnsi" w:cstheme="majorHAnsi"/>
          <w:color w:val="000000" w:themeColor="text1"/>
          <w:sz w:val="18"/>
          <w:szCs w:val="18"/>
        </w:rPr>
        <w:t xml:space="preserve"> </w:t>
      </w:r>
      <w:r w:rsidR="007F7884" w:rsidRPr="00650228">
        <w:rPr>
          <w:rFonts w:asciiTheme="majorHAnsi" w:eastAsia="Calibri" w:hAnsiTheme="majorHAnsi" w:cstheme="majorHAnsi"/>
          <w:color w:val="000000" w:themeColor="text1"/>
          <w:sz w:val="18"/>
          <w:szCs w:val="18"/>
        </w:rPr>
        <w:t>Bell, J. and S. Waters, ‘Doing Your Research Project’</w:t>
      </w:r>
      <w:r w:rsidR="006B09D8" w:rsidRPr="00650228">
        <w:rPr>
          <w:rFonts w:asciiTheme="majorHAnsi" w:eastAsia="Calibri" w:hAnsiTheme="majorHAnsi" w:cstheme="majorHAnsi"/>
          <w:color w:val="000000" w:themeColor="text1"/>
          <w:sz w:val="18"/>
          <w:szCs w:val="18"/>
        </w:rPr>
        <w:t>,</w:t>
      </w:r>
      <w:r w:rsidR="007F7884" w:rsidRPr="00650228">
        <w:rPr>
          <w:rFonts w:asciiTheme="majorHAnsi" w:eastAsia="Calibri" w:hAnsiTheme="majorHAnsi" w:cstheme="majorHAnsi"/>
          <w:color w:val="000000" w:themeColor="text1"/>
          <w:sz w:val="18"/>
          <w:szCs w:val="18"/>
        </w:rPr>
        <w:t xml:space="preserve"> 6th eds</w:t>
      </w:r>
      <w:r w:rsidR="007F7884" w:rsidRPr="00650228">
        <w:rPr>
          <w:rFonts w:asciiTheme="majorHAnsi" w:eastAsia="Calibri" w:hAnsiTheme="majorHAnsi" w:cstheme="majorHAnsi"/>
          <w:color w:val="000000" w:themeColor="text1"/>
          <w:sz w:val="18"/>
          <w:szCs w:val="18"/>
        </w:rPr>
        <w:t xml:space="preserve">, </w:t>
      </w:r>
      <w:r w:rsidR="00650228">
        <w:rPr>
          <w:rFonts w:asciiTheme="majorHAnsi" w:eastAsia="Calibri" w:hAnsiTheme="majorHAnsi" w:cstheme="majorHAnsi"/>
          <w:color w:val="000000" w:themeColor="text1"/>
          <w:sz w:val="18"/>
          <w:szCs w:val="18"/>
        </w:rPr>
        <w:t xml:space="preserve">2014, </w:t>
      </w:r>
      <w:r w:rsidRPr="00650228">
        <w:rPr>
          <w:rFonts w:asciiTheme="majorHAnsi" w:eastAsia="Calibri" w:hAnsiTheme="majorHAnsi" w:cstheme="majorHAnsi"/>
          <w:color w:val="000000" w:themeColor="text1"/>
          <w:sz w:val="18"/>
          <w:szCs w:val="18"/>
        </w:rPr>
        <w:t>pp.51</w:t>
      </w:r>
    </w:p>
  </w:footnote>
  <w:footnote w:id="22">
    <w:p w14:paraId="69A210D3" w14:textId="4A60F460" w:rsidR="02163D9C" w:rsidRPr="00650228" w:rsidRDefault="02163D9C" w:rsidP="00765C0F">
      <w:pPr>
        <w:pStyle w:val="FootnoteText"/>
        <w:contextualSpacing/>
        <w:rPr>
          <w:rFonts w:asciiTheme="majorHAnsi" w:hAnsiTheme="majorHAnsi" w:cstheme="majorHAnsi"/>
          <w:color w:val="000000" w:themeColor="text1"/>
          <w:sz w:val="18"/>
          <w:szCs w:val="18"/>
        </w:rPr>
      </w:pPr>
      <w:r w:rsidRPr="00650228">
        <w:rPr>
          <w:rStyle w:val="FootnoteReference"/>
          <w:rFonts w:asciiTheme="majorHAnsi" w:eastAsia="Calibri" w:hAnsiTheme="majorHAnsi" w:cstheme="majorHAnsi"/>
          <w:color w:val="000000" w:themeColor="text1"/>
          <w:sz w:val="18"/>
          <w:szCs w:val="18"/>
        </w:rPr>
        <w:footnoteRef/>
      </w:r>
      <w:r w:rsidRPr="00650228">
        <w:rPr>
          <w:rFonts w:asciiTheme="majorHAnsi" w:eastAsia="Calibri" w:hAnsiTheme="majorHAnsi" w:cstheme="majorHAnsi"/>
          <w:color w:val="000000" w:themeColor="text1"/>
          <w:sz w:val="18"/>
          <w:szCs w:val="18"/>
        </w:rPr>
        <w:t xml:space="preserve"> Clark, T., Foster, L., Bryman, A., ‘How to do your social research project or dissertation’, Oxford University Press, 2019, pp.222-225</w:t>
      </w:r>
    </w:p>
  </w:footnote>
  <w:footnote w:id="23">
    <w:p w14:paraId="4EB554B1" w14:textId="2079D062" w:rsidR="005D6534" w:rsidRPr="00650228" w:rsidRDefault="005D6534"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39481B" w:rsidRPr="00650228">
        <w:rPr>
          <w:rStyle w:val="authors"/>
          <w:rFonts w:asciiTheme="majorHAnsi" w:hAnsiTheme="majorHAnsi" w:cstheme="majorHAnsi"/>
          <w:color w:val="000000" w:themeColor="text1"/>
          <w:sz w:val="18"/>
          <w:szCs w:val="18"/>
        </w:rPr>
        <w:t>Brink</w:t>
      </w:r>
      <w:r w:rsidR="00650228">
        <w:rPr>
          <w:rStyle w:val="authors"/>
          <w:rFonts w:asciiTheme="majorHAnsi" w:hAnsiTheme="majorHAnsi" w:cstheme="majorHAnsi"/>
          <w:color w:val="000000" w:themeColor="text1"/>
          <w:sz w:val="18"/>
          <w:szCs w:val="18"/>
        </w:rPr>
        <w:t>, T. L.,</w:t>
      </w:r>
      <w:r w:rsidR="0039481B" w:rsidRPr="00650228">
        <w:rPr>
          <w:rStyle w:val="apple-converted-space"/>
          <w:rFonts w:asciiTheme="majorHAnsi" w:hAnsiTheme="majorHAnsi" w:cstheme="majorHAnsi"/>
          <w:color w:val="000000" w:themeColor="text1"/>
          <w:sz w:val="18"/>
          <w:szCs w:val="18"/>
          <w:shd w:val="clear" w:color="auto" w:fill="FFFFFF"/>
        </w:rPr>
        <w:t> </w:t>
      </w:r>
      <w:r w:rsidR="00650228">
        <w:rPr>
          <w:rStyle w:val="apple-converted-space"/>
          <w:rFonts w:asciiTheme="majorHAnsi" w:hAnsiTheme="majorHAnsi" w:cstheme="majorHAnsi"/>
          <w:color w:val="000000" w:themeColor="text1"/>
          <w:sz w:val="18"/>
          <w:szCs w:val="18"/>
          <w:shd w:val="clear" w:color="auto" w:fill="FFFFFF"/>
        </w:rPr>
        <w:t>‘</w:t>
      </w:r>
      <w:r w:rsidR="0039481B" w:rsidRPr="00650228">
        <w:rPr>
          <w:rStyle w:val="arttitle"/>
          <w:rFonts w:asciiTheme="majorHAnsi" w:hAnsiTheme="majorHAnsi" w:cstheme="majorHAnsi"/>
          <w:color w:val="000000" w:themeColor="text1"/>
          <w:sz w:val="18"/>
          <w:szCs w:val="18"/>
        </w:rPr>
        <w:t>What I Learned (and Did Not Learn) from the Study of History</w:t>
      </w:r>
      <w:r w:rsidR="00650228">
        <w:rPr>
          <w:rStyle w:val="arttitle"/>
          <w:rFonts w:asciiTheme="majorHAnsi" w:hAnsiTheme="majorHAnsi" w:cstheme="majorHAnsi"/>
          <w:color w:val="000000" w:themeColor="text1"/>
          <w:sz w:val="18"/>
          <w:szCs w:val="18"/>
        </w:rPr>
        <w:t xml:space="preserve">’ </w:t>
      </w:r>
      <w:r w:rsidR="0039481B" w:rsidRPr="00650228">
        <w:rPr>
          <w:rStyle w:val="serialtitle"/>
          <w:rFonts w:asciiTheme="majorHAnsi" w:hAnsiTheme="majorHAnsi" w:cstheme="majorHAnsi"/>
          <w:color w:val="000000" w:themeColor="text1"/>
          <w:sz w:val="18"/>
          <w:szCs w:val="18"/>
        </w:rPr>
        <w:t>The Historian,</w:t>
      </w:r>
      <w:r w:rsidR="0039481B" w:rsidRPr="00650228">
        <w:rPr>
          <w:rStyle w:val="apple-converted-space"/>
          <w:rFonts w:asciiTheme="majorHAnsi" w:hAnsiTheme="majorHAnsi" w:cstheme="majorHAnsi"/>
          <w:color w:val="000000" w:themeColor="text1"/>
          <w:sz w:val="18"/>
          <w:szCs w:val="18"/>
          <w:shd w:val="clear" w:color="auto" w:fill="FFFFFF"/>
        </w:rPr>
        <w:t> </w:t>
      </w:r>
      <w:r w:rsidR="0039481B" w:rsidRPr="00650228">
        <w:rPr>
          <w:rStyle w:val="volumeissue"/>
          <w:rFonts w:asciiTheme="majorHAnsi" w:hAnsiTheme="majorHAnsi" w:cstheme="majorHAnsi"/>
          <w:color w:val="000000" w:themeColor="text1"/>
          <w:sz w:val="18"/>
          <w:szCs w:val="18"/>
        </w:rPr>
        <w:t>44:4,</w:t>
      </w:r>
      <w:r w:rsidR="00650228">
        <w:rPr>
          <w:rStyle w:val="volumeissue"/>
          <w:rFonts w:asciiTheme="majorHAnsi" w:hAnsiTheme="majorHAnsi" w:cstheme="majorHAnsi"/>
          <w:color w:val="000000" w:themeColor="text1"/>
          <w:sz w:val="18"/>
          <w:szCs w:val="18"/>
        </w:rPr>
        <w:t xml:space="preserve"> 1982</w:t>
      </w:r>
      <w:r w:rsidR="0039481B" w:rsidRPr="00650228">
        <w:rPr>
          <w:rStyle w:val="apple-converted-space"/>
          <w:rFonts w:asciiTheme="majorHAnsi" w:hAnsiTheme="majorHAnsi" w:cstheme="majorHAnsi"/>
          <w:color w:val="000000" w:themeColor="text1"/>
          <w:sz w:val="18"/>
          <w:szCs w:val="18"/>
          <w:shd w:val="clear" w:color="auto" w:fill="FFFFFF"/>
        </w:rPr>
        <w:t> </w:t>
      </w:r>
      <w:r w:rsidR="0039481B" w:rsidRPr="00650228">
        <w:rPr>
          <w:rStyle w:val="pagerange"/>
          <w:rFonts w:asciiTheme="majorHAnsi" w:hAnsiTheme="majorHAnsi" w:cstheme="majorHAnsi"/>
          <w:color w:val="000000" w:themeColor="text1"/>
          <w:sz w:val="18"/>
          <w:szCs w:val="18"/>
        </w:rPr>
        <w:t>538-540,</w:t>
      </w:r>
      <w:r w:rsidR="0039481B" w:rsidRPr="00650228">
        <w:rPr>
          <w:rStyle w:val="apple-converted-space"/>
          <w:rFonts w:asciiTheme="majorHAnsi" w:hAnsiTheme="majorHAnsi" w:cstheme="majorHAnsi"/>
          <w:color w:val="000000" w:themeColor="text1"/>
          <w:sz w:val="18"/>
          <w:szCs w:val="18"/>
          <w:shd w:val="clear" w:color="auto" w:fill="FFFFFF"/>
        </w:rPr>
        <w:t> </w:t>
      </w:r>
      <w:r w:rsidR="0039481B" w:rsidRPr="00650228">
        <w:rPr>
          <w:rStyle w:val="doilink"/>
          <w:rFonts w:asciiTheme="majorHAnsi" w:hAnsiTheme="majorHAnsi" w:cstheme="majorHAnsi"/>
          <w:color w:val="000000" w:themeColor="text1"/>
          <w:sz w:val="18"/>
          <w:szCs w:val="18"/>
        </w:rPr>
        <w:t>DOI:</w:t>
      </w:r>
      <w:r w:rsidR="0039481B" w:rsidRPr="00650228">
        <w:rPr>
          <w:rStyle w:val="apple-converted-space"/>
          <w:rFonts w:asciiTheme="majorHAnsi" w:hAnsiTheme="majorHAnsi" w:cstheme="majorHAnsi"/>
          <w:color w:val="000000" w:themeColor="text1"/>
          <w:sz w:val="18"/>
          <w:szCs w:val="18"/>
        </w:rPr>
        <w:t> </w:t>
      </w:r>
      <w:hyperlink r:id="rId3" w:history="1">
        <w:r w:rsidR="0039481B" w:rsidRPr="00650228">
          <w:rPr>
            <w:rStyle w:val="Hyperlink"/>
            <w:rFonts w:asciiTheme="majorHAnsi" w:hAnsiTheme="majorHAnsi" w:cstheme="majorHAnsi"/>
            <w:color w:val="000000" w:themeColor="text1"/>
            <w:sz w:val="18"/>
            <w:szCs w:val="18"/>
          </w:rPr>
          <w:t>10.1111/j.1</w:t>
        </w:r>
        <w:r w:rsidR="0039481B" w:rsidRPr="00650228">
          <w:rPr>
            <w:rStyle w:val="Hyperlink"/>
            <w:rFonts w:asciiTheme="majorHAnsi" w:hAnsiTheme="majorHAnsi" w:cstheme="majorHAnsi"/>
            <w:color w:val="000000" w:themeColor="text1"/>
            <w:sz w:val="18"/>
            <w:szCs w:val="18"/>
          </w:rPr>
          <w:t>5</w:t>
        </w:r>
        <w:r w:rsidR="0039481B" w:rsidRPr="00650228">
          <w:rPr>
            <w:rStyle w:val="Hyperlink"/>
            <w:rFonts w:asciiTheme="majorHAnsi" w:hAnsiTheme="majorHAnsi" w:cstheme="majorHAnsi"/>
            <w:color w:val="000000" w:themeColor="text1"/>
            <w:sz w:val="18"/>
            <w:szCs w:val="18"/>
          </w:rPr>
          <w:t>40-6563.1982.tb00644.x</w:t>
        </w:r>
      </w:hyperlink>
    </w:p>
  </w:footnote>
  <w:footnote w:id="24">
    <w:p w14:paraId="3EA9D0B0" w14:textId="14CA4C9E" w:rsidR="005D6534" w:rsidRPr="00650228" w:rsidRDefault="005D6534" w:rsidP="00765C0F">
      <w:pPr>
        <w:pStyle w:val="FootnoteText"/>
        <w:contextualSpacing/>
        <w:rPr>
          <w:rFonts w:asciiTheme="majorHAnsi" w:hAnsiTheme="majorHAnsi" w:cstheme="majorHAnsi"/>
          <w:color w:val="000000" w:themeColor="text1"/>
          <w:sz w:val="18"/>
          <w:szCs w:val="18"/>
          <w:lang w:val="en-GB"/>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3B1E01" w:rsidRPr="00650228">
        <w:rPr>
          <w:rFonts w:asciiTheme="majorHAnsi" w:hAnsiTheme="majorHAnsi" w:cstheme="majorHAnsi"/>
          <w:color w:val="000000" w:themeColor="text1"/>
          <w:sz w:val="18"/>
          <w:szCs w:val="18"/>
          <w:shd w:val="clear" w:color="auto" w:fill="FFFFFF"/>
        </w:rPr>
        <w:t>Brink, T. L. 1978. ‘Inconsistency of Belief among Roman Catholic Girls: Concerning Religion, Astrology, Reincarnation</w:t>
      </w:r>
      <w:r w:rsidR="00650228">
        <w:rPr>
          <w:rFonts w:asciiTheme="majorHAnsi" w:hAnsiTheme="majorHAnsi" w:cstheme="majorHAnsi"/>
          <w:color w:val="000000" w:themeColor="text1"/>
          <w:sz w:val="18"/>
          <w:szCs w:val="18"/>
          <w:shd w:val="clear" w:color="auto" w:fill="FFFFFF"/>
        </w:rPr>
        <w:t>’,</w:t>
      </w:r>
      <w:r w:rsidR="003B1E01" w:rsidRPr="00650228">
        <w:rPr>
          <w:rFonts w:asciiTheme="majorHAnsi" w:hAnsiTheme="majorHAnsi" w:cstheme="majorHAnsi"/>
          <w:color w:val="000000" w:themeColor="text1"/>
          <w:sz w:val="18"/>
          <w:szCs w:val="18"/>
          <w:shd w:val="clear" w:color="auto" w:fill="FFFFFF"/>
        </w:rPr>
        <w:t xml:space="preserve"> pp.83</w:t>
      </w:r>
    </w:p>
  </w:footnote>
  <w:footnote w:id="25">
    <w:p w14:paraId="508C775D" w14:textId="7A731778" w:rsidR="000A4B17" w:rsidRPr="00650228" w:rsidRDefault="004C37D3" w:rsidP="00765C0F">
      <w:pPr>
        <w:adjustRightInd w:val="0"/>
        <w:snapToGrid w:val="0"/>
        <w:spacing w:line="240" w:lineRule="auto"/>
        <w:contextualSpacing/>
        <w:rPr>
          <w:rFonts w:asciiTheme="majorHAnsi" w:eastAsia="Calibri" w:hAnsiTheme="majorHAnsi" w:cstheme="majorHAnsi"/>
          <w:color w:val="000000" w:themeColor="text1"/>
          <w:sz w:val="18"/>
          <w:szCs w:val="18"/>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0A4B17" w:rsidRPr="00650228">
        <w:rPr>
          <w:rFonts w:asciiTheme="majorHAnsi" w:eastAsia="Calibri" w:hAnsiTheme="majorHAnsi" w:cstheme="majorHAnsi"/>
          <w:color w:val="000000" w:themeColor="text1"/>
          <w:sz w:val="18"/>
          <w:szCs w:val="18"/>
        </w:rPr>
        <w:t>Denscombe, M.</w:t>
      </w:r>
      <w:r w:rsidR="00650228">
        <w:rPr>
          <w:rFonts w:asciiTheme="majorHAnsi" w:eastAsia="Calibri" w:hAnsiTheme="majorHAnsi" w:cstheme="majorHAnsi"/>
          <w:color w:val="000000" w:themeColor="text1"/>
          <w:sz w:val="18"/>
          <w:szCs w:val="18"/>
        </w:rPr>
        <w:t>,</w:t>
      </w:r>
      <w:r w:rsidR="000A4B17" w:rsidRPr="00650228">
        <w:rPr>
          <w:rFonts w:asciiTheme="majorHAnsi" w:eastAsia="Calibri" w:hAnsiTheme="majorHAnsi" w:cstheme="majorHAnsi"/>
          <w:color w:val="000000" w:themeColor="text1"/>
          <w:sz w:val="18"/>
          <w:szCs w:val="18"/>
        </w:rPr>
        <w:t xml:space="preserve"> </w:t>
      </w:r>
      <w:r w:rsidR="00650228">
        <w:rPr>
          <w:rFonts w:asciiTheme="majorHAnsi" w:eastAsia="Calibri" w:hAnsiTheme="majorHAnsi" w:cstheme="majorHAnsi"/>
          <w:color w:val="000000" w:themeColor="text1"/>
          <w:sz w:val="18"/>
          <w:szCs w:val="18"/>
        </w:rPr>
        <w:t>‘</w:t>
      </w:r>
      <w:r w:rsidR="000A4B17" w:rsidRPr="00650228">
        <w:rPr>
          <w:rFonts w:asciiTheme="majorHAnsi" w:eastAsia="Calibri" w:hAnsiTheme="majorHAnsi" w:cstheme="majorHAnsi"/>
          <w:color w:val="000000" w:themeColor="text1"/>
          <w:sz w:val="18"/>
          <w:szCs w:val="18"/>
        </w:rPr>
        <w:t>The Good Research Guide: Research methods for small-scale social research projects</w:t>
      </w:r>
      <w:r w:rsidR="00650228">
        <w:rPr>
          <w:rFonts w:asciiTheme="majorHAnsi" w:eastAsia="Calibri" w:hAnsiTheme="majorHAnsi" w:cstheme="majorHAnsi"/>
          <w:color w:val="000000" w:themeColor="text1"/>
          <w:sz w:val="18"/>
          <w:szCs w:val="18"/>
        </w:rPr>
        <w:t>’</w:t>
      </w:r>
      <w:r w:rsidR="000A4B17" w:rsidRPr="00650228">
        <w:rPr>
          <w:rFonts w:asciiTheme="majorHAnsi" w:eastAsia="Calibri" w:hAnsiTheme="majorHAnsi" w:cstheme="majorHAnsi"/>
          <w:color w:val="000000" w:themeColor="text1"/>
          <w:sz w:val="18"/>
          <w:szCs w:val="18"/>
        </w:rPr>
        <w:t>, 7</w:t>
      </w:r>
      <w:r w:rsidR="000A4B17" w:rsidRPr="00650228">
        <w:rPr>
          <w:rFonts w:asciiTheme="majorHAnsi" w:eastAsia="Calibri" w:hAnsiTheme="majorHAnsi" w:cstheme="majorHAnsi"/>
          <w:color w:val="000000" w:themeColor="text1"/>
          <w:sz w:val="18"/>
          <w:szCs w:val="18"/>
          <w:vertAlign w:val="superscript"/>
        </w:rPr>
        <w:t>th</w:t>
      </w:r>
      <w:r w:rsidR="000A4B17" w:rsidRPr="00650228">
        <w:rPr>
          <w:rFonts w:asciiTheme="majorHAnsi" w:eastAsia="Calibri" w:hAnsiTheme="majorHAnsi" w:cstheme="majorHAnsi"/>
          <w:color w:val="000000" w:themeColor="text1"/>
          <w:sz w:val="18"/>
          <w:szCs w:val="18"/>
        </w:rPr>
        <w:t xml:space="preserve"> eds., Open University Press, 2021</w:t>
      </w:r>
      <w:r w:rsidR="00591CEF" w:rsidRPr="00650228">
        <w:rPr>
          <w:rFonts w:asciiTheme="majorHAnsi" w:eastAsia="Calibri" w:hAnsiTheme="majorHAnsi" w:cstheme="majorHAnsi"/>
          <w:color w:val="000000" w:themeColor="text1"/>
          <w:sz w:val="18"/>
          <w:szCs w:val="18"/>
        </w:rPr>
        <w:t>, pp.125</w:t>
      </w:r>
    </w:p>
    <w:p w14:paraId="4F1DDF59" w14:textId="37CC1DA7" w:rsidR="004C37D3" w:rsidRPr="00650228" w:rsidRDefault="004C37D3" w:rsidP="00765C0F">
      <w:pPr>
        <w:pStyle w:val="FootnoteText"/>
        <w:contextualSpacing/>
        <w:rPr>
          <w:rFonts w:asciiTheme="majorHAnsi" w:hAnsiTheme="majorHAnsi" w:cstheme="majorHAnsi"/>
          <w:color w:val="000000" w:themeColor="text1"/>
          <w:sz w:val="18"/>
          <w:szCs w:val="18"/>
          <w:lang w:val="en-GB"/>
        </w:rPr>
      </w:pPr>
    </w:p>
  </w:footnote>
  <w:footnote w:id="26">
    <w:p w14:paraId="02AE6A49" w14:textId="339B452C" w:rsidR="00B70EB7" w:rsidRPr="00650228" w:rsidRDefault="00B70EB7" w:rsidP="00765C0F">
      <w:pPr>
        <w:adjustRightInd w:val="0"/>
        <w:snapToGrid w:val="0"/>
        <w:spacing w:line="240" w:lineRule="auto"/>
        <w:contextualSpacing/>
        <w:rPr>
          <w:rFonts w:asciiTheme="majorHAnsi" w:eastAsia="Calibri" w:hAnsiTheme="majorHAnsi" w:cstheme="majorHAnsi"/>
          <w:color w:val="000000" w:themeColor="text1"/>
          <w:sz w:val="18"/>
          <w:szCs w:val="18"/>
        </w:rPr>
      </w:pPr>
      <w:r w:rsidRPr="00650228">
        <w:rPr>
          <w:rStyle w:val="FootnoteReference"/>
          <w:rFonts w:asciiTheme="majorHAnsi" w:hAnsiTheme="majorHAnsi" w:cstheme="majorHAnsi"/>
          <w:color w:val="000000" w:themeColor="text1"/>
          <w:sz w:val="18"/>
          <w:szCs w:val="18"/>
        </w:rPr>
        <w:footnoteRef/>
      </w:r>
      <w:r w:rsidRPr="00650228">
        <w:rPr>
          <w:rFonts w:asciiTheme="majorHAnsi" w:hAnsiTheme="majorHAnsi" w:cstheme="majorHAnsi"/>
          <w:color w:val="000000" w:themeColor="text1"/>
          <w:sz w:val="18"/>
          <w:szCs w:val="18"/>
        </w:rPr>
        <w:t xml:space="preserve"> </w:t>
      </w:r>
      <w:r w:rsidR="000A4B17" w:rsidRPr="00650228">
        <w:rPr>
          <w:rFonts w:asciiTheme="majorHAnsi" w:eastAsia="Calibri" w:hAnsiTheme="majorHAnsi" w:cstheme="majorHAnsi"/>
          <w:color w:val="000000" w:themeColor="text1"/>
          <w:sz w:val="18"/>
          <w:szCs w:val="18"/>
        </w:rPr>
        <w:t>Denscombe, Martyn. The Good Research Guide: Research methods for small-scale social research projects, 7</w:t>
      </w:r>
      <w:r w:rsidR="000A4B17" w:rsidRPr="00650228">
        <w:rPr>
          <w:rFonts w:asciiTheme="majorHAnsi" w:eastAsia="Calibri" w:hAnsiTheme="majorHAnsi" w:cstheme="majorHAnsi"/>
          <w:color w:val="000000" w:themeColor="text1"/>
          <w:sz w:val="18"/>
          <w:szCs w:val="18"/>
          <w:vertAlign w:val="superscript"/>
        </w:rPr>
        <w:t>th</w:t>
      </w:r>
      <w:r w:rsidR="000A4B17" w:rsidRPr="00650228">
        <w:rPr>
          <w:rFonts w:asciiTheme="majorHAnsi" w:eastAsia="Calibri" w:hAnsiTheme="majorHAnsi" w:cstheme="majorHAnsi"/>
          <w:color w:val="000000" w:themeColor="text1"/>
          <w:sz w:val="18"/>
          <w:szCs w:val="18"/>
        </w:rPr>
        <w:t xml:space="preserve"> eds., Open University Press, 202</w:t>
      </w:r>
      <w:r w:rsidR="000A4B17" w:rsidRPr="00650228">
        <w:rPr>
          <w:rFonts w:asciiTheme="majorHAnsi" w:eastAsia="Calibri" w:hAnsiTheme="majorHAnsi" w:cstheme="majorHAnsi"/>
          <w:color w:val="000000" w:themeColor="text1"/>
          <w:sz w:val="18"/>
          <w:szCs w:val="18"/>
        </w:rPr>
        <w:t>,</w:t>
      </w:r>
      <w:r w:rsidRPr="00650228">
        <w:rPr>
          <w:rFonts w:asciiTheme="majorHAnsi" w:hAnsiTheme="majorHAnsi" w:cstheme="majorHAnsi"/>
          <w:color w:val="000000" w:themeColor="text1"/>
          <w:sz w:val="18"/>
          <w:szCs w:val="18"/>
          <w:lang w:val="en-GB"/>
        </w:rPr>
        <w:t xml:space="preserve"> pp.127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2163D9C" w14:paraId="53120B59" w14:textId="77777777" w:rsidTr="02163D9C">
      <w:trPr>
        <w:trHeight w:val="300"/>
      </w:trPr>
      <w:tc>
        <w:tcPr>
          <w:tcW w:w="3120" w:type="dxa"/>
        </w:tcPr>
        <w:p w14:paraId="78CB9E58" w14:textId="055F1E5E" w:rsidR="02163D9C" w:rsidRDefault="02163D9C" w:rsidP="02163D9C">
          <w:pPr>
            <w:pStyle w:val="Header"/>
            <w:ind w:left="-115"/>
          </w:pPr>
        </w:p>
      </w:tc>
      <w:tc>
        <w:tcPr>
          <w:tcW w:w="3120" w:type="dxa"/>
        </w:tcPr>
        <w:p w14:paraId="237CBBA8" w14:textId="7D3F0A57" w:rsidR="02163D9C" w:rsidRDefault="02163D9C" w:rsidP="02163D9C">
          <w:pPr>
            <w:pStyle w:val="Header"/>
            <w:jc w:val="center"/>
          </w:pPr>
        </w:p>
      </w:tc>
      <w:tc>
        <w:tcPr>
          <w:tcW w:w="3120" w:type="dxa"/>
        </w:tcPr>
        <w:p w14:paraId="274E1C13" w14:textId="40451F68" w:rsidR="02163D9C" w:rsidRDefault="02163D9C" w:rsidP="02163D9C">
          <w:pPr>
            <w:pStyle w:val="Header"/>
            <w:ind w:right="-115"/>
            <w:jc w:val="right"/>
          </w:pPr>
        </w:p>
      </w:tc>
    </w:tr>
  </w:tbl>
  <w:p w14:paraId="2265B7CE" w14:textId="5E4D89F1" w:rsidR="02163D9C" w:rsidRDefault="02163D9C" w:rsidP="02163D9C">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ysCXX60" int2:invalidationBookmarkName="" int2:hashCode="ciwv027SnkkZnS" int2:id="Mpjsk0Q1">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763D5"/>
    <w:multiLevelType w:val="hybridMultilevel"/>
    <w:tmpl w:val="742E67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47A782"/>
    <w:multiLevelType w:val="multilevel"/>
    <w:tmpl w:val="DE84018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1025323842">
    <w:abstractNumId w:val="1"/>
  </w:num>
  <w:num w:numId="2" w16cid:durableId="1385131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59513A"/>
    <w:rsid w:val="000677D7"/>
    <w:rsid w:val="000741D7"/>
    <w:rsid w:val="00075CDD"/>
    <w:rsid w:val="000A4B17"/>
    <w:rsid w:val="000C16D7"/>
    <w:rsid w:val="000C28E7"/>
    <w:rsid w:val="000D4A9E"/>
    <w:rsid w:val="000E66FB"/>
    <w:rsid w:val="000F4203"/>
    <w:rsid w:val="00124695"/>
    <w:rsid w:val="00135BF4"/>
    <w:rsid w:val="00141F17"/>
    <w:rsid w:val="00144DE2"/>
    <w:rsid w:val="001A1323"/>
    <w:rsid w:val="001C45E4"/>
    <w:rsid w:val="001D584D"/>
    <w:rsid w:val="0020482C"/>
    <w:rsid w:val="00210673"/>
    <w:rsid w:val="00210F17"/>
    <w:rsid w:val="00241014"/>
    <w:rsid w:val="002428BE"/>
    <w:rsid w:val="002503E5"/>
    <w:rsid w:val="00257736"/>
    <w:rsid w:val="00260529"/>
    <w:rsid w:val="002D4E55"/>
    <w:rsid w:val="002F10F5"/>
    <w:rsid w:val="003344F3"/>
    <w:rsid w:val="003441E0"/>
    <w:rsid w:val="00383BB7"/>
    <w:rsid w:val="003915B5"/>
    <w:rsid w:val="00393F46"/>
    <w:rsid w:val="0039481B"/>
    <w:rsid w:val="003B1E01"/>
    <w:rsid w:val="003D108D"/>
    <w:rsid w:val="0043009E"/>
    <w:rsid w:val="00433C0A"/>
    <w:rsid w:val="0043580B"/>
    <w:rsid w:val="00472754"/>
    <w:rsid w:val="00497A16"/>
    <w:rsid w:val="004C2780"/>
    <w:rsid w:val="004C37D3"/>
    <w:rsid w:val="004F23B7"/>
    <w:rsid w:val="00552B51"/>
    <w:rsid w:val="00591CEF"/>
    <w:rsid w:val="0059231E"/>
    <w:rsid w:val="005A2611"/>
    <w:rsid w:val="005D6534"/>
    <w:rsid w:val="0060472A"/>
    <w:rsid w:val="006245AE"/>
    <w:rsid w:val="00647B83"/>
    <w:rsid w:val="00650228"/>
    <w:rsid w:val="0065FAB7"/>
    <w:rsid w:val="006B09D8"/>
    <w:rsid w:val="006B3081"/>
    <w:rsid w:val="006B4E2B"/>
    <w:rsid w:val="006C3D4C"/>
    <w:rsid w:val="006C5EC1"/>
    <w:rsid w:val="006D0980"/>
    <w:rsid w:val="00712730"/>
    <w:rsid w:val="007140A2"/>
    <w:rsid w:val="00715D14"/>
    <w:rsid w:val="00717814"/>
    <w:rsid w:val="00720EEC"/>
    <w:rsid w:val="0072304C"/>
    <w:rsid w:val="00753C11"/>
    <w:rsid w:val="00765C0F"/>
    <w:rsid w:val="0078288A"/>
    <w:rsid w:val="00794F73"/>
    <w:rsid w:val="007B690F"/>
    <w:rsid w:val="007D765F"/>
    <w:rsid w:val="007E66E3"/>
    <w:rsid w:val="007F2314"/>
    <w:rsid w:val="007F7884"/>
    <w:rsid w:val="008057FC"/>
    <w:rsid w:val="008378EB"/>
    <w:rsid w:val="008718A9"/>
    <w:rsid w:val="00913E87"/>
    <w:rsid w:val="00923DB5"/>
    <w:rsid w:val="009723EC"/>
    <w:rsid w:val="00995B40"/>
    <w:rsid w:val="00997226"/>
    <w:rsid w:val="009C7CEF"/>
    <w:rsid w:val="009D0930"/>
    <w:rsid w:val="009F1F0F"/>
    <w:rsid w:val="009F5FB1"/>
    <w:rsid w:val="00A004AE"/>
    <w:rsid w:val="00A07C03"/>
    <w:rsid w:val="00A660B4"/>
    <w:rsid w:val="00AB6130"/>
    <w:rsid w:val="00AC4DF9"/>
    <w:rsid w:val="00AE0BA6"/>
    <w:rsid w:val="00B20631"/>
    <w:rsid w:val="00B50CAF"/>
    <w:rsid w:val="00B70EB7"/>
    <w:rsid w:val="00B74D4F"/>
    <w:rsid w:val="00B87A6F"/>
    <w:rsid w:val="00BA7AAD"/>
    <w:rsid w:val="00BC0A91"/>
    <w:rsid w:val="00BE77FD"/>
    <w:rsid w:val="00C03ABB"/>
    <w:rsid w:val="00C156F7"/>
    <w:rsid w:val="00C33936"/>
    <w:rsid w:val="00C762F4"/>
    <w:rsid w:val="00C945E8"/>
    <w:rsid w:val="00D01927"/>
    <w:rsid w:val="00D03D4C"/>
    <w:rsid w:val="00D64EED"/>
    <w:rsid w:val="00DA04A1"/>
    <w:rsid w:val="00DA16A9"/>
    <w:rsid w:val="00DA6A0A"/>
    <w:rsid w:val="00DB598E"/>
    <w:rsid w:val="00DE7FB5"/>
    <w:rsid w:val="00E217D4"/>
    <w:rsid w:val="00E72A87"/>
    <w:rsid w:val="00E75639"/>
    <w:rsid w:val="00EA7F94"/>
    <w:rsid w:val="00EAA0BF"/>
    <w:rsid w:val="00ED1849"/>
    <w:rsid w:val="00EE662D"/>
    <w:rsid w:val="00F6162A"/>
    <w:rsid w:val="00FC0D65"/>
    <w:rsid w:val="00FE25E3"/>
    <w:rsid w:val="0201CB18"/>
    <w:rsid w:val="020E781F"/>
    <w:rsid w:val="02163D9C"/>
    <w:rsid w:val="0223FD6E"/>
    <w:rsid w:val="025AA34B"/>
    <w:rsid w:val="027815F0"/>
    <w:rsid w:val="028E69FB"/>
    <w:rsid w:val="02FD2102"/>
    <w:rsid w:val="0358CD0C"/>
    <w:rsid w:val="03800B57"/>
    <w:rsid w:val="039D9B79"/>
    <w:rsid w:val="040E3DCB"/>
    <w:rsid w:val="0441F660"/>
    <w:rsid w:val="044FAEF6"/>
    <w:rsid w:val="04C95488"/>
    <w:rsid w:val="068987FA"/>
    <w:rsid w:val="0691BEB8"/>
    <w:rsid w:val="070308C2"/>
    <w:rsid w:val="077D9A2C"/>
    <w:rsid w:val="078BE9E2"/>
    <w:rsid w:val="07B1D6CE"/>
    <w:rsid w:val="080EA20C"/>
    <w:rsid w:val="08710C9C"/>
    <w:rsid w:val="08E75774"/>
    <w:rsid w:val="0979A68A"/>
    <w:rsid w:val="09F1C1B9"/>
    <w:rsid w:val="0B089164"/>
    <w:rsid w:val="0BCF5A11"/>
    <w:rsid w:val="0BD27369"/>
    <w:rsid w:val="0C0B431C"/>
    <w:rsid w:val="0C1EF836"/>
    <w:rsid w:val="0C6217BE"/>
    <w:rsid w:val="0C7422FA"/>
    <w:rsid w:val="0DD90A28"/>
    <w:rsid w:val="0E5B5E57"/>
    <w:rsid w:val="0EE04E20"/>
    <w:rsid w:val="0EE160F6"/>
    <w:rsid w:val="0FAE8AB9"/>
    <w:rsid w:val="0FCA4DCA"/>
    <w:rsid w:val="101741E3"/>
    <w:rsid w:val="10455856"/>
    <w:rsid w:val="107C1E81"/>
    <w:rsid w:val="11632EEA"/>
    <w:rsid w:val="11B4369C"/>
    <w:rsid w:val="11E62C4C"/>
    <w:rsid w:val="1217EEE2"/>
    <w:rsid w:val="1256873C"/>
    <w:rsid w:val="1264C056"/>
    <w:rsid w:val="12808367"/>
    <w:rsid w:val="12DF4BFA"/>
    <w:rsid w:val="13B3BF43"/>
    <w:rsid w:val="142A0A1B"/>
    <w:rsid w:val="143FBE9E"/>
    <w:rsid w:val="1447F597"/>
    <w:rsid w:val="1536B904"/>
    <w:rsid w:val="15443F9B"/>
    <w:rsid w:val="15E41C0D"/>
    <w:rsid w:val="161A6087"/>
    <w:rsid w:val="1687A7BF"/>
    <w:rsid w:val="169FABC4"/>
    <w:rsid w:val="16EB6005"/>
    <w:rsid w:val="1761AADD"/>
    <w:rsid w:val="181BBFB0"/>
    <w:rsid w:val="18F62530"/>
    <w:rsid w:val="190C71A3"/>
    <w:rsid w:val="19BE2429"/>
    <w:rsid w:val="19D74C86"/>
    <w:rsid w:val="19D815D4"/>
    <w:rsid w:val="1A2300C7"/>
    <w:rsid w:val="1B01ECD1"/>
    <w:rsid w:val="1B44835C"/>
    <w:rsid w:val="1BBED128"/>
    <w:rsid w:val="1C348F20"/>
    <w:rsid w:val="1C8577B7"/>
    <w:rsid w:val="1CDD95F9"/>
    <w:rsid w:val="1CF5C4EB"/>
    <w:rsid w:val="1CF98513"/>
    <w:rsid w:val="1D2365BB"/>
    <w:rsid w:val="1DD05F81"/>
    <w:rsid w:val="1DFE9A90"/>
    <w:rsid w:val="1E2712BA"/>
    <w:rsid w:val="1E799147"/>
    <w:rsid w:val="1ECC410D"/>
    <w:rsid w:val="1F16CC9A"/>
    <w:rsid w:val="1F1CAB48"/>
    <w:rsid w:val="1FBB66A4"/>
    <w:rsid w:val="2041DE20"/>
    <w:rsid w:val="20475758"/>
    <w:rsid w:val="2056281A"/>
    <w:rsid w:val="20D9A66E"/>
    <w:rsid w:val="20E3B142"/>
    <w:rsid w:val="2148200A"/>
    <w:rsid w:val="21FB0218"/>
    <w:rsid w:val="22969DB2"/>
    <w:rsid w:val="22CD0C0F"/>
    <w:rsid w:val="22F4E960"/>
    <w:rsid w:val="23442C5D"/>
    <w:rsid w:val="23647926"/>
    <w:rsid w:val="23797EE2"/>
    <w:rsid w:val="238E8578"/>
    <w:rsid w:val="2393CB97"/>
    <w:rsid w:val="23982077"/>
    <w:rsid w:val="246136FB"/>
    <w:rsid w:val="2565B36E"/>
    <w:rsid w:val="2649B391"/>
    <w:rsid w:val="2697C7F9"/>
    <w:rsid w:val="270183CF"/>
    <w:rsid w:val="27213CAD"/>
    <w:rsid w:val="27CC1DA2"/>
    <w:rsid w:val="2828CDF6"/>
    <w:rsid w:val="28387792"/>
    <w:rsid w:val="28397749"/>
    <w:rsid w:val="2839D100"/>
    <w:rsid w:val="283CBBE5"/>
    <w:rsid w:val="28BCAB04"/>
    <w:rsid w:val="2949208D"/>
    <w:rsid w:val="29EDB8A6"/>
    <w:rsid w:val="29F581BC"/>
    <w:rsid w:val="2A000BED"/>
    <w:rsid w:val="2A0C7B2F"/>
    <w:rsid w:val="2B17CE19"/>
    <w:rsid w:val="2BB61ECB"/>
    <w:rsid w:val="2C4AB2EA"/>
    <w:rsid w:val="2D8054B2"/>
    <w:rsid w:val="2DCE03B6"/>
    <w:rsid w:val="2DEE70D1"/>
    <w:rsid w:val="2E94FB77"/>
    <w:rsid w:val="2F3AD17A"/>
    <w:rsid w:val="2FD2CE92"/>
    <w:rsid w:val="30E4E885"/>
    <w:rsid w:val="311E240D"/>
    <w:rsid w:val="3198830D"/>
    <w:rsid w:val="31C78AE9"/>
    <w:rsid w:val="32178D14"/>
    <w:rsid w:val="33124DBD"/>
    <w:rsid w:val="3326BE92"/>
    <w:rsid w:val="33408147"/>
    <w:rsid w:val="339BD7B1"/>
    <w:rsid w:val="34396354"/>
    <w:rsid w:val="343DC0CA"/>
    <w:rsid w:val="34410296"/>
    <w:rsid w:val="34C28EF3"/>
    <w:rsid w:val="34FF2BAB"/>
    <w:rsid w:val="36060DA3"/>
    <w:rsid w:val="36813199"/>
    <w:rsid w:val="369AFC0C"/>
    <w:rsid w:val="37450FE1"/>
    <w:rsid w:val="376AC8E8"/>
    <w:rsid w:val="378D6591"/>
    <w:rsid w:val="37955317"/>
    <w:rsid w:val="37A1DE04"/>
    <w:rsid w:val="38363350"/>
    <w:rsid w:val="38F9449B"/>
    <w:rsid w:val="390B9BE2"/>
    <w:rsid w:val="39312378"/>
    <w:rsid w:val="39C68450"/>
    <w:rsid w:val="3A5DCD75"/>
    <w:rsid w:val="3ACCF3D9"/>
    <w:rsid w:val="3AF0DCDD"/>
    <w:rsid w:val="3B21CFB4"/>
    <w:rsid w:val="3B31D077"/>
    <w:rsid w:val="3BA81B4F"/>
    <w:rsid w:val="3C68C43A"/>
    <w:rsid w:val="3D140312"/>
    <w:rsid w:val="3D3C2445"/>
    <w:rsid w:val="3D43EBB0"/>
    <w:rsid w:val="3D6C9F7A"/>
    <w:rsid w:val="3DD3EC12"/>
    <w:rsid w:val="3E111F88"/>
    <w:rsid w:val="3E2E5DF4"/>
    <w:rsid w:val="3E6AFB30"/>
    <w:rsid w:val="3E9CC9B4"/>
    <w:rsid w:val="3ECA0EB9"/>
    <w:rsid w:val="3F51AD47"/>
    <w:rsid w:val="3F987776"/>
    <w:rsid w:val="40619AC7"/>
    <w:rsid w:val="417C237A"/>
    <w:rsid w:val="419EDC9D"/>
    <w:rsid w:val="41A9C8C3"/>
    <w:rsid w:val="433CE25C"/>
    <w:rsid w:val="436340EA"/>
    <w:rsid w:val="437A9976"/>
    <w:rsid w:val="442C3317"/>
    <w:rsid w:val="44410B5B"/>
    <w:rsid w:val="4473D61F"/>
    <w:rsid w:val="4480610C"/>
    <w:rsid w:val="4485DA44"/>
    <w:rsid w:val="45A7B8D9"/>
    <w:rsid w:val="45CC75B0"/>
    <w:rsid w:val="461C316D"/>
    <w:rsid w:val="46511C75"/>
    <w:rsid w:val="4658F046"/>
    <w:rsid w:val="4674831E"/>
    <w:rsid w:val="46EACDF6"/>
    <w:rsid w:val="4849C6C4"/>
    <w:rsid w:val="486B98F9"/>
    <w:rsid w:val="48861177"/>
    <w:rsid w:val="490E0BBA"/>
    <w:rsid w:val="49474742"/>
    <w:rsid w:val="4A41DE3E"/>
    <w:rsid w:val="4AA7A1BF"/>
    <w:rsid w:val="4ABED234"/>
    <w:rsid w:val="4B36B96A"/>
    <w:rsid w:val="4B4AC6E6"/>
    <w:rsid w:val="4B824742"/>
    <w:rsid w:val="4B9D3A4D"/>
    <w:rsid w:val="4BA1027A"/>
    <w:rsid w:val="4C98D9AF"/>
    <w:rsid w:val="4CE3C4A2"/>
    <w:rsid w:val="4D1E17A3"/>
    <w:rsid w:val="4D59829A"/>
    <w:rsid w:val="4DF7A7D0"/>
    <w:rsid w:val="4E7F9503"/>
    <w:rsid w:val="4ED98D17"/>
    <w:rsid w:val="4F7D4D3E"/>
    <w:rsid w:val="4F8E21D4"/>
    <w:rsid w:val="4FCB0139"/>
    <w:rsid w:val="50140CF9"/>
    <w:rsid w:val="50AA4BB9"/>
    <w:rsid w:val="50C408C4"/>
    <w:rsid w:val="51525927"/>
    <w:rsid w:val="51A7BFC2"/>
    <w:rsid w:val="51B735C5"/>
    <w:rsid w:val="526D1384"/>
    <w:rsid w:val="53BFDB24"/>
    <w:rsid w:val="5462D5E6"/>
    <w:rsid w:val="54FA37F8"/>
    <w:rsid w:val="55BF1F5A"/>
    <w:rsid w:val="55DE1547"/>
    <w:rsid w:val="568AA6E8"/>
    <w:rsid w:val="56960859"/>
    <w:rsid w:val="570FA01E"/>
    <w:rsid w:val="5739A9F8"/>
    <w:rsid w:val="57C19AAB"/>
    <w:rsid w:val="57DB8C56"/>
    <w:rsid w:val="5809B7BE"/>
    <w:rsid w:val="58267749"/>
    <w:rsid w:val="583EAEAB"/>
    <w:rsid w:val="586B45FB"/>
    <w:rsid w:val="5877D230"/>
    <w:rsid w:val="5944A48A"/>
    <w:rsid w:val="5AC48BC3"/>
    <w:rsid w:val="5B5E180B"/>
    <w:rsid w:val="5B62DC75"/>
    <w:rsid w:val="5BAF72F2"/>
    <w:rsid w:val="5C04BCE7"/>
    <w:rsid w:val="5C4C6CA7"/>
    <w:rsid w:val="5CC9569F"/>
    <w:rsid w:val="5CEAEE0A"/>
    <w:rsid w:val="5DA0405C"/>
    <w:rsid w:val="5E53B601"/>
    <w:rsid w:val="5EFCDA02"/>
    <w:rsid w:val="5F72A310"/>
    <w:rsid w:val="5FA54753"/>
    <w:rsid w:val="61B4C8A6"/>
    <w:rsid w:val="620696A1"/>
    <w:rsid w:val="62578FFA"/>
    <w:rsid w:val="628FDE9E"/>
    <w:rsid w:val="62D4E99D"/>
    <w:rsid w:val="632DFBB3"/>
    <w:rsid w:val="635977F0"/>
    <w:rsid w:val="64BF2892"/>
    <w:rsid w:val="64D97EE4"/>
    <w:rsid w:val="65417CC1"/>
    <w:rsid w:val="656491CA"/>
    <w:rsid w:val="65CF0F7E"/>
    <w:rsid w:val="65F08C66"/>
    <w:rsid w:val="66DCC012"/>
    <w:rsid w:val="671688AA"/>
    <w:rsid w:val="68111FA6"/>
    <w:rsid w:val="68535401"/>
    <w:rsid w:val="686EB064"/>
    <w:rsid w:val="68ADF7D9"/>
    <w:rsid w:val="691735A9"/>
    <w:rsid w:val="697659FD"/>
    <w:rsid w:val="69949217"/>
    <w:rsid w:val="69BCB34A"/>
    <w:rsid w:val="6A5B03FC"/>
    <w:rsid w:val="6A681B17"/>
    <w:rsid w:val="6B1D894E"/>
    <w:rsid w:val="6B61833D"/>
    <w:rsid w:val="6B6ACD78"/>
    <w:rsid w:val="6BB0E553"/>
    <w:rsid w:val="6BD1F5C8"/>
    <w:rsid w:val="6BED3769"/>
    <w:rsid w:val="6C36A622"/>
    <w:rsid w:val="6C6B681B"/>
    <w:rsid w:val="6CABF8E6"/>
    <w:rsid w:val="6CE1F67B"/>
    <w:rsid w:val="6CE8E1EF"/>
    <w:rsid w:val="6D8732A1"/>
    <w:rsid w:val="6D9A42A1"/>
    <w:rsid w:val="6E3F664A"/>
    <w:rsid w:val="6E815DCB"/>
    <w:rsid w:val="6F1CC062"/>
    <w:rsid w:val="6FBE6200"/>
    <w:rsid w:val="6FC76F36"/>
    <w:rsid w:val="70151094"/>
    <w:rsid w:val="702A5944"/>
    <w:rsid w:val="70D1E363"/>
    <w:rsid w:val="7145873C"/>
    <w:rsid w:val="7177F25B"/>
    <w:rsid w:val="72BE17EF"/>
    <w:rsid w:val="7348DB3A"/>
    <w:rsid w:val="7369E44C"/>
    <w:rsid w:val="73B55630"/>
    <w:rsid w:val="74880340"/>
    <w:rsid w:val="74D4DC22"/>
    <w:rsid w:val="755C65E8"/>
    <w:rsid w:val="77162C24"/>
    <w:rsid w:val="77897E07"/>
    <w:rsid w:val="77F45429"/>
    <w:rsid w:val="7902B2A6"/>
    <w:rsid w:val="7922E25E"/>
    <w:rsid w:val="793546F9"/>
    <w:rsid w:val="797CBC1C"/>
    <w:rsid w:val="7A835815"/>
    <w:rsid w:val="7A9DAE67"/>
    <w:rsid w:val="7B66D1B8"/>
    <w:rsid w:val="7BE81232"/>
    <w:rsid w:val="7CB95CEB"/>
    <w:rsid w:val="7CE2A5B3"/>
    <w:rsid w:val="7D41AEE5"/>
    <w:rsid w:val="7D6A12E6"/>
    <w:rsid w:val="7E6F1DE0"/>
    <w:rsid w:val="7ECA2A55"/>
    <w:rsid w:val="7F56C938"/>
    <w:rsid w:val="7F5951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9513A"/>
  <w15:chartTrackingRefBased/>
  <w15:docId w15:val="{5348A3FD-8581-45D6-B29A-E53DB8984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8378EB"/>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Revision">
    <w:name w:val="Revision"/>
    <w:hidden/>
    <w:uiPriority w:val="99"/>
    <w:semiHidden/>
    <w:rsid w:val="00717814"/>
    <w:pPr>
      <w:spacing w:after="0" w:line="240" w:lineRule="auto"/>
    </w:pPr>
  </w:style>
  <w:style w:type="character" w:customStyle="1" w:styleId="normaltextrun">
    <w:name w:val="normaltextrun"/>
    <w:basedOn w:val="DefaultParagraphFont"/>
    <w:rsid w:val="00923DB5"/>
  </w:style>
  <w:style w:type="character" w:styleId="Hyperlink">
    <w:name w:val="Hyperlink"/>
    <w:basedOn w:val="DefaultParagraphFont"/>
    <w:uiPriority w:val="99"/>
    <w:unhideWhenUsed/>
    <w:rsid w:val="00124695"/>
    <w:rPr>
      <w:color w:val="0563C1" w:themeColor="hyperlink"/>
      <w:u w:val="single"/>
    </w:rPr>
  </w:style>
  <w:style w:type="character" w:styleId="UnresolvedMention">
    <w:name w:val="Unresolved Mention"/>
    <w:basedOn w:val="DefaultParagraphFont"/>
    <w:uiPriority w:val="99"/>
    <w:semiHidden/>
    <w:unhideWhenUsed/>
    <w:rsid w:val="00124695"/>
    <w:rPr>
      <w:color w:val="605E5C"/>
      <w:shd w:val="clear" w:color="auto" w:fill="E1DFDD"/>
    </w:rPr>
  </w:style>
  <w:style w:type="character" w:customStyle="1" w:styleId="apple-converted-space">
    <w:name w:val="apple-converted-space"/>
    <w:basedOn w:val="DefaultParagraphFont"/>
    <w:rsid w:val="00144DE2"/>
  </w:style>
  <w:style w:type="character" w:customStyle="1" w:styleId="eop">
    <w:name w:val="eop"/>
    <w:basedOn w:val="DefaultParagraphFont"/>
    <w:rsid w:val="006B09D8"/>
  </w:style>
  <w:style w:type="character" w:customStyle="1" w:styleId="authors">
    <w:name w:val="authors"/>
    <w:basedOn w:val="DefaultParagraphFont"/>
    <w:rsid w:val="0039481B"/>
  </w:style>
  <w:style w:type="character" w:customStyle="1" w:styleId="date">
    <w:name w:val="date"/>
    <w:basedOn w:val="DefaultParagraphFont"/>
    <w:rsid w:val="0039481B"/>
  </w:style>
  <w:style w:type="character" w:customStyle="1" w:styleId="arttitle">
    <w:name w:val="art_title"/>
    <w:basedOn w:val="DefaultParagraphFont"/>
    <w:rsid w:val="0039481B"/>
  </w:style>
  <w:style w:type="character" w:customStyle="1" w:styleId="serialtitle">
    <w:name w:val="serial_title"/>
    <w:basedOn w:val="DefaultParagraphFont"/>
    <w:rsid w:val="0039481B"/>
  </w:style>
  <w:style w:type="character" w:customStyle="1" w:styleId="volumeissue">
    <w:name w:val="volume_issue"/>
    <w:basedOn w:val="DefaultParagraphFont"/>
    <w:rsid w:val="0039481B"/>
  </w:style>
  <w:style w:type="character" w:customStyle="1" w:styleId="pagerange">
    <w:name w:val="page_range"/>
    <w:basedOn w:val="DefaultParagraphFont"/>
    <w:rsid w:val="0039481B"/>
  </w:style>
  <w:style w:type="character" w:customStyle="1" w:styleId="doilink">
    <w:name w:val="doi_link"/>
    <w:basedOn w:val="DefaultParagraphFont"/>
    <w:rsid w:val="0039481B"/>
  </w:style>
  <w:style w:type="character" w:styleId="FollowedHyperlink">
    <w:name w:val="FollowedHyperlink"/>
    <w:basedOn w:val="DefaultParagraphFont"/>
    <w:uiPriority w:val="99"/>
    <w:semiHidden/>
    <w:unhideWhenUsed/>
    <w:rsid w:val="00720EEC"/>
    <w:rPr>
      <w:color w:val="954F72" w:themeColor="followedHyperlink"/>
      <w:u w:val="single"/>
    </w:rPr>
  </w:style>
  <w:style w:type="character" w:customStyle="1" w:styleId="Heading3Char">
    <w:name w:val="Heading 3 Char"/>
    <w:basedOn w:val="DefaultParagraphFont"/>
    <w:link w:val="Heading3"/>
    <w:rsid w:val="008378EB"/>
    <w:rPr>
      <w:rFonts w:ascii="Tahoma" w:eastAsia="SimSun" w:hAnsi="Tahoma" w:cs="Tahoma"/>
      <w:b/>
      <w:bCs/>
      <w:sz w:val="20"/>
      <w:szCs w:val="20"/>
      <w:lang w:val="en-GB" w:eastAsia="zh-CN"/>
    </w:rPr>
  </w:style>
  <w:style w:type="paragraph" w:styleId="NormalWeb">
    <w:name w:val="Normal (Web)"/>
    <w:basedOn w:val="Normal"/>
    <w:rsid w:val="008378EB"/>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searchportal.bath.ac.uk/en/persons/tony-walter"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researchspace.bathspa.ac.uk/1437/1/Helen%20Waterhouse%20-%201997.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raftonhills.edu/this-is-crafton/profiles/tl-brink.php" TargetMode="External"/><Relationship Id="rId4" Type="http://schemas.openxmlformats.org/officeDocument/2006/relationships/settings" Target="settings.xml"/><Relationship Id="rId9" Type="http://schemas.openxmlformats.org/officeDocument/2006/relationships/hyperlink" Target="https://doi.org/10.1111/j.1540-6563.1982.tb00644.x"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1111/j.1540-6563.1982.tb00644.x" TargetMode="External"/><Relationship Id="rId2" Type="http://schemas.openxmlformats.org/officeDocument/2006/relationships/hyperlink" Target="https://www.craftonhills.edu/this-is-crafton/profiles/tl-brink.php" TargetMode="External"/><Relationship Id="rId1" Type="http://schemas.openxmlformats.org/officeDocument/2006/relationships/hyperlink" Target="https://researchportal.bath.ac.uk/en/persons/tony-wal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879CE1-1D76-A442-A224-EBC4374E8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8</Pages>
  <Words>2787</Words>
  <Characters>15891</Characters>
  <Application>Microsoft Office Word</Application>
  <DocSecurity>0</DocSecurity>
  <Lines>132</Lines>
  <Paragraphs>37</Paragraphs>
  <ScaleCrop>false</ScaleCrop>
  <Company/>
  <LinksUpToDate>false</LinksUpToDate>
  <CharactersWithSpaces>18641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Nicol (2220140)</dc:creator>
  <cp:keywords/>
  <dc:description/>
  <cp:lastModifiedBy>Amelia Nicol (2220140)</cp:lastModifiedBy>
  <cp:revision>118</cp:revision>
  <dcterms:created xsi:type="dcterms:W3CDTF">2023-03-17T13:21:00Z</dcterms:created>
  <dcterms:modified xsi:type="dcterms:W3CDTF">2023-03-23T20:54:00Z</dcterms:modified>
</cp:coreProperties>
</file>