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725EC00" w:rsidR="006419C3" w:rsidRDefault="009A0ECE" w:rsidP="00E611D9">
      <w:pPr>
        <w:pStyle w:val="AssignHeader"/>
      </w:pPr>
      <w:r>
        <w:t>ECAD6009/7003 – Part A (</w:t>
      </w:r>
      <w:r w:rsidR="00BE32FC">
        <w:t>Local Places for Na</w:t>
      </w:r>
      <w:r w:rsidR="007D7BC0">
        <w:t>ture Grant</w:t>
      </w:r>
      <w:r>
        <w:t>)</w:t>
      </w:r>
    </w:p>
    <w:p w14:paraId="3364D893" w14:textId="14A6712E" w:rsidR="009A0ECE" w:rsidRDefault="009A0ECE" w:rsidP="007D7BC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3C9BB240" w14:textId="7A78EB25" w:rsidR="00256567" w:rsidRPr="00256567" w:rsidRDefault="009B47AE" w:rsidP="00AC45A6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4401910" w14:textId="77777777" w:rsidR="00AA47FE" w:rsidRPr="00AA47FE" w:rsidRDefault="00AA47FE" w:rsidP="00AA47FE">
      <w:pPr>
        <w:spacing w:after="0" w:line="240" w:lineRule="auto"/>
        <w:contextualSpacing/>
        <w:rPr>
          <w:rFonts w:eastAsiaTheme="minorEastAsia" w:cs="Arial"/>
          <w:sz w:val="20"/>
          <w:szCs w:val="20"/>
          <w:lang w:val="en-US"/>
        </w:rPr>
      </w:pPr>
      <w:r w:rsidRPr="00AA47FE">
        <w:rPr>
          <w:rFonts w:eastAsiaTheme="minorEastAsia" w:cs="Arial"/>
          <w:sz w:val="20"/>
          <w:szCs w:val="20"/>
          <w:lang w:val="en-US"/>
        </w:rPr>
        <w:t xml:space="preserve">Ager, A. Et al. (2023) What are the 12 pedagogical principles &amp; how to use them, Impact Wales. Available at: </w:t>
      </w:r>
      <w:hyperlink r:id="rId9" w:history="1">
        <w:r w:rsidRPr="00AA47FE">
          <w:rPr>
            <w:rFonts w:eastAsiaTheme="minorEastAsia" w:cs="Arial"/>
            <w:sz w:val="20"/>
            <w:szCs w:val="20"/>
            <w:lang w:val="en-US"/>
          </w:rPr>
          <w:t>https://www.impact.wales/new/12-pedagogical-principles/</w:t>
        </w:r>
      </w:hyperlink>
      <w:r w:rsidRPr="00AA47FE">
        <w:rPr>
          <w:rFonts w:eastAsiaTheme="minorEastAsia" w:cs="Arial"/>
          <w:sz w:val="20"/>
          <w:szCs w:val="20"/>
          <w:lang w:val="en-US"/>
        </w:rPr>
        <w:t xml:space="preserve"> (Accessed: 3 April, 2023)</w:t>
      </w:r>
    </w:p>
    <w:p w14:paraId="2B231349" w14:textId="77777777" w:rsidR="00DC6072" w:rsidRDefault="00DC6072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</w:pPr>
    </w:p>
    <w:p w14:paraId="3C121445" w14:textId="59F51B3F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</w:pPr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Bray, M. (2001) Community Partnerships in Education: Dimensions, Variations and Implications. Paris: UNESCO. </w:t>
      </w:r>
    </w:p>
    <w:p w14:paraId="5A589F7A" w14:textId="77777777" w:rsidR="00AA47FE" w:rsidRDefault="00AA47FE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</w:pPr>
    </w:p>
    <w:p w14:paraId="16D2B49D" w14:textId="4C63300B" w:rsidR="00AA47FE" w:rsidRPr="00AA47FE" w:rsidRDefault="00AA47FE" w:rsidP="00AA47FE">
      <w:pPr>
        <w:spacing w:after="0" w:line="240" w:lineRule="auto"/>
        <w:contextualSpacing/>
        <w:rPr>
          <w:rFonts w:eastAsiaTheme="minorEastAsia" w:cs="Arial"/>
          <w:sz w:val="20"/>
          <w:szCs w:val="20"/>
          <w:lang w:val="en-US"/>
        </w:rPr>
      </w:pPr>
      <w:r w:rsidRPr="00AA47FE">
        <w:rPr>
          <w:rFonts w:eastAsiaTheme="minorEastAsia" w:cs="Arial"/>
          <w:sz w:val="20"/>
          <w:szCs w:val="20"/>
          <w:lang w:val="en-US"/>
        </w:rPr>
        <w:t>British Educational Research Association (BERA). (2018). Ethical Guidelines for  Educational Research. 4</w:t>
      </w:r>
      <w:r w:rsidRPr="00AA47FE">
        <w:rPr>
          <w:rFonts w:eastAsiaTheme="minorEastAsia" w:cs="Arial"/>
          <w:sz w:val="20"/>
          <w:szCs w:val="20"/>
          <w:vertAlign w:val="superscript"/>
          <w:lang w:val="en-US"/>
        </w:rPr>
        <w:t>th</w:t>
      </w:r>
      <w:r w:rsidRPr="00AA47FE">
        <w:rPr>
          <w:rFonts w:eastAsiaTheme="minorEastAsia" w:cs="Arial"/>
          <w:sz w:val="20"/>
          <w:szCs w:val="20"/>
          <w:lang w:val="en-US"/>
        </w:rPr>
        <w:t xml:space="preserve"> </w:t>
      </w:r>
      <w:proofErr w:type="spellStart"/>
      <w:r w:rsidRPr="00AA47FE">
        <w:rPr>
          <w:rFonts w:eastAsiaTheme="minorEastAsia" w:cs="Arial"/>
          <w:sz w:val="20"/>
          <w:szCs w:val="20"/>
          <w:lang w:val="en-US"/>
        </w:rPr>
        <w:t>edn</w:t>
      </w:r>
      <w:proofErr w:type="spellEnd"/>
      <w:r w:rsidRPr="00AA47FE">
        <w:rPr>
          <w:rFonts w:eastAsiaTheme="minorEastAsia" w:cs="Arial"/>
          <w:sz w:val="20"/>
          <w:szCs w:val="20"/>
          <w:lang w:val="en-US"/>
        </w:rPr>
        <w:t xml:space="preserve">. London: BERA </w:t>
      </w:r>
    </w:p>
    <w:p w14:paraId="54542F21" w14:textId="77777777" w:rsidR="001A60C6" w:rsidRPr="00256567" w:rsidRDefault="001A60C6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1CA07ECC" w14:textId="037FADB6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</w:rPr>
      </w:pP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Donaldson, G. (2015). “Chapter 3: Purposes of the curriculum,” in </w:t>
      </w:r>
      <w:r w:rsidR="00B12D0D"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Successful</w:t>
      </w: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futures: Independent Review of Curriculum and assessment arrangements in Wales.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Dyfodol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Llwddiannus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,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Adolygiad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Annibynnol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o’r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Cwricwlwm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a’r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trefniadau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asset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Yng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Ngyymru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. Cardiff: Welsh Government </w:t>
      </w:r>
    </w:p>
    <w:p w14:paraId="0600D51E" w14:textId="77777777" w:rsidR="001A60C6" w:rsidRPr="00256567" w:rsidRDefault="001A60C6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542D28E2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/>
          <w:kern w:val="24"/>
          <w:sz w:val="20"/>
          <w:szCs w:val="20"/>
          <w:lang w:val="en-US"/>
        </w:rPr>
      </w:pP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>Donohoon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 (2017). </w:t>
      </w: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Collective efficacy. Government of Newfoundland and Labrador. Available at: https://www.gov.nl.ca/education/files/Collective-Efficacy-november-2020.pdf (Accessed: </w:t>
      </w:r>
      <w:r w:rsidRPr="00256567">
        <w:rPr>
          <w:rFonts w:eastAsiaTheme="minorEastAsia" w:cs="Arial"/>
          <w:color w:val="000000"/>
          <w:kern w:val="24"/>
          <w:sz w:val="20"/>
          <w:szCs w:val="20"/>
        </w:rPr>
        <w:t xml:space="preserve">7 </w:t>
      </w: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>March 2023). </w:t>
      </w:r>
    </w:p>
    <w:p w14:paraId="3D5B13CA" w14:textId="77777777" w:rsidR="001A60C6" w:rsidRPr="00256567" w:rsidRDefault="001A60C6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63863899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/>
          <w:kern w:val="24"/>
          <w:sz w:val="20"/>
          <w:szCs w:val="20"/>
        </w:rPr>
      </w:pPr>
      <w:r w:rsidRPr="00256567">
        <w:rPr>
          <w:rFonts w:eastAsiaTheme="minorEastAsia" w:cs="Arial"/>
          <w:color w:val="000000"/>
          <w:kern w:val="24"/>
          <w:sz w:val="20"/>
          <w:szCs w:val="20"/>
        </w:rPr>
        <w:t xml:space="preserve">Epstein, J. (2019). Framework of Six Types of Involvement. 4 The SAGE </w:t>
      </w:r>
      <w:proofErr w:type="spellStart"/>
      <w:r w:rsidRPr="00256567">
        <w:rPr>
          <w:rFonts w:eastAsiaTheme="minorEastAsia" w:cs="Arial"/>
          <w:color w:val="000000"/>
          <w:kern w:val="24"/>
          <w:sz w:val="20"/>
          <w:szCs w:val="20"/>
        </w:rPr>
        <w:t>Encyclopedei</w:t>
      </w:r>
      <w:proofErr w:type="spellEnd"/>
      <w:r w:rsidRPr="00256567">
        <w:rPr>
          <w:rFonts w:eastAsiaTheme="minorEastAsia" w:cs="Arial"/>
          <w:color w:val="000000"/>
          <w:kern w:val="24"/>
          <w:sz w:val="20"/>
          <w:szCs w:val="20"/>
        </w:rPr>
        <w:t xml:space="preserve"> of Contemporary Early Childhood Education. Available at: </w:t>
      </w:r>
      <w:hyperlink r:id="rId10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</w:rPr>
          <w:t>https://</w:t>
        </w:r>
      </w:hyperlink>
      <w:hyperlink r:id="rId11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</w:rPr>
          <w:t>doi.org</w:t>
        </w:r>
      </w:hyperlink>
      <w:hyperlink r:id="rId12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</w:rPr>
          <w:t>/10.4135/9781483340333.n168</w:t>
        </w:r>
      </w:hyperlink>
      <w:r w:rsidRPr="00256567">
        <w:rPr>
          <w:rFonts w:eastAsiaTheme="minorEastAsia" w:cs="Arial"/>
          <w:color w:val="000000"/>
          <w:kern w:val="24"/>
          <w:sz w:val="20"/>
          <w:szCs w:val="20"/>
        </w:rPr>
        <w:t>. (Accessed 16 March 2023)</w:t>
      </w:r>
    </w:p>
    <w:p w14:paraId="502D3E7C" w14:textId="77777777" w:rsidR="00E8030E" w:rsidRDefault="00E8030E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4552CD4C" w14:textId="77777777" w:rsidR="00065449" w:rsidRPr="00065449" w:rsidRDefault="00065449" w:rsidP="00065449">
      <w:pPr>
        <w:spacing w:after="0" w:line="240" w:lineRule="auto"/>
        <w:contextualSpacing/>
        <w:rPr>
          <w:rFonts w:eastAsiaTheme="minorEastAsia" w:cs="Arial"/>
          <w:sz w:val="20"/>
          <w:szCs w:val="20"/>
          <w:lang w:val="en-US"/>
        </w:rPr>
      </w:pPr>
      <w:r w:rsidRPr="00065449">
        <w:rPr>
          <w:rFonts w:eastAsiaTheme="minorEastAsia" w:cs="Arial"/>
          <w:sz w:val="20"/>
          <w:szCs w:val="20"/>
          <w:lang w:val="en-US"/>
        </w:rPr>
        <w:t xml:space="preserve">FaCE the challenge together: Family and community engagement toolkit for schools in Wales: Main Guidance. (2015). Available at: </w:t>
      </w:r>
      <w:hyperlink r:id="rId13" w:history="1">
        <w:r w:rsidRPr="00065449">
          <w:rPr>
            <w:rFonts w:eastAsiaTheme="minorEastAsia" w:cs="Arial"/>
            <w:sz w:val="20"/>
            <w:szCs w:val="20"/>
            <w:lang w:val="en-US"/>
          </w:rPr>
          <w:t>https://www.gov.wales/sites/default/files/publications/2018-12/face-the-challenge-together-family-and-community-engagement-toolkit-for-schools-in-wales-main-guidance.pdf</w:t>
        </w:r>
      </w:hyperlink>
      <w:r w:rsidRPr="00065449">
        <w:rPr>
          <w:rFonts w:eastAsiaTheme="minorEastAsia" w:cs="Arial"/>
          <w:sz w:val="20"/>
          <w:szCs w:val="20"/>
          <w:lang w:val="en-US"/>
        </w:rPr>
        <w:t xml:space="preserve"> (Accessed on: 1 April 2023)</w:t>
      </w:r>
    </w:p>
    <w:p w14:paraId="366B2EE0" w14:textId="77777777" w:rsidR="0033234B" w:rsidRPr="00256567" w:rsidRDefault="0033234B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2F361EE6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/>
          <w:kern w:val="24"/>
          <w:sz w:val="20"/>
          <w:szCs w:val="20"/>
          <w:lang w:val="en-US"/>
        </w:rPr>
      </w:pP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Leake, J.R., Adam-Bradford, A. and Rigby, J.E. (2009) Health benefits of ‘grow your own’ food in urban areas: Implications for contaminated land risk assessment and risk management? – environmental health, BioMed Central. BioMed Central. Available at: </w:t>
      </w:r>
      <w:hyperlink r:id="rId14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https://</w:t>
        </w:r>
      </w:hyperlink>
      <w:hyperlink r:id="rId15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doi.org</w:t>
        </w:r>
      </w:hyperlink>
      <w:hyperlink r:id="rId16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/10.1186/1476-069X-8-S1-S6</w:t>
        </w:r>
      </w:hyperlink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 (Accessed: </w:t>
      </w:r>
      <w:r w:rsidRPr="00256567">
        <w:rPr>
          <w:rFonts w:eastAsiaTheme="minorEastAsia" w:cs="Arial"/>
          <w:color w:val="000000"/>
          <w:kern w:val="24"/>
          <w:sz w:val="20"/>
          <w:szCs w:val="20"/>
        </w:rPr>
        <w:t xml:space="preserve">7 </w:t>
      </w: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>March 2023).</w:t>
      </w:r>
    </w:p>
    <w:p w14:paraId="289C2E6E" w14:textId="77777777" w:rsidR="00E8030E" w:rsidRPr="00256567" w:rsidRDefault="00E8030E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4A4C24D0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</w:rPr>
      </w:pP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Local places for nature (2022) Keep Wales Tidy. Available at: </w:t>
      </w:r>
      <w:hyperlink r:id="rId17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https://</w:t>
        </w:r>
      </w:hyperlink>
      <w:hyperlink r:id="rId18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keepwalestidy.cymru</w:t>
        </w:r>
      </w:hyperlink>
      <w:hyperlink r:id="rId19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/our-work/conservation/nature/</w:t>
        </w:r>
      </w:hyperlink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(Accessed: 4 March 2023)</w:t>
      </w:r>
    </w:p>
    <w:p w14:paraId="7FD2BD7F" w14:textId="77777777" w:rsidR="00E8030E" w:rsidRPr="00256567" w:rsidRDefault="00E8030E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662D0F6F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</w:rPr>
      </w:pPr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Majuro, </w:t>
      </w: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G.M </w:t>
      </w:r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and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>Hungi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, </w:t>
      </w: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N </w:t>
      </w:r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>(2016)</w:t>
      </w: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. “Parental participation improves student academic achievement: A case of Irangate and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Mayuge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Districts in Uganda,” Cogent Education, 3(1), p. 1264170. </w:t>
      </w:r>
    </w:p>
    <w:p w14:paraId="27C71EF7" w14:textId="77777777" w:rsidR="00E8030E" w:rsidRPr="00256567" w:rsidRDefault="00E8030E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69B6074A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</w:rPr>
      </w:pPr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Mirza, A (UNKOWN) Cultural  diversity- Why Primary schools need to be teaching diversity and tolerance as early as possible.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>Teachwire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. (Available at: </w:t>
      </w:r>
      <w:hyperlink r:id="rId20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https://</w:t>
        </w:r>
      </w:hyperlink>
      <w:hyperlink r:id="rId21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www.teachwire.net</w:t>
        </w:r>
      </w:hyperlink>
      <w:hyperlink r:id="rId22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/authors/</w:t>
        </w:r>
      </w:hyperlink>
      <w:hyperlink r:id="rId23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mirza</w:t>
        </w:r>
      </w:hyperlink>
      <w:hyperlink r:id="rId24" w:history="1">
        <w:r w:rsidRPr="00256567">
          <w:rPr>
            <w:rFonts w:eastAsiaTheme="minorEastAsia" w:cs="Arial"/>
            <w:color w:val="000000" w:themeColor="text1"/>
            <w:kern w:val="24"/>
            <w:sz w:val="20"/>
            <w:szCs w:val="20"/>
            <w:u w:val="single"/>
          </w:rPr>
          <w:t>/</w:t>
        </w:r>
      </w:hyperlink>
      <w:r w:rsidRPr="00256567">
        <w:rPr>
          <w:rFonts w:eastAsiaTheme="minorEastAsia" w:cs="Arial"/>
          <w:color w:val="000000" w:themeColor="text1"/>
          <w:kern w:val="24"/>
          <w:sz w:val="20"/>
          <w:szCs w:val="20"/>
        </w:rPr>
        <w:t xml:space="preserve"> (Accessed on: 6 March 2023)</w:t>
      </w:r>
    </w:p>
    <w:p w14:paraId="52B7A000" w14:textId="77777777" w:rsidR="005C1652" w:rsidRPr="00256567" w:rsidRDefault="005C1652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0742864A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/>
          <w:kern w:val="24"/>
          <w:sz w:val="20"/>
          <w:szCs w:val="20"/>
          <w:lang w:val="en-US"/>
        </w:rPr>
      </w:pPr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Neilson, </w:t>
      </w: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H.D. (2015) Empowering communities for improved educational outcomes: Some evaluation findings from the World Bank, GSDRC. Available at: </w:t>
      </w:r>
      <w:hyperlink r:id="rId25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https://</w:t>
        </w:r>
      </w:hyperlink>
      <w:hyperlink r:id="rId26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gsdrc.org</w:t>
        </w:r>
      </w:hyperlink>
      <w:hyperlink r:id="rId27" w:history="1">
        <w:r w:rsidRPr="00256567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/document-library/empowering-communities-for-improved-educational-outcomes-some-evaluation-findings-from-the-world-bank/</w:t>
        </w:r>
      </w:hyperlink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 (Accessed: </w:t>
      </w:r>
      <w:r w:rsidRPr="00256567">
        <w:rPr>
          <w:rFonts w:eastAsiaTheme="minorEastAsia" w:cs="Arial"/>
          <w:color w:val="000000"/>
          <w:kern w:val="24"/>
          <w:sz w:val="20"/>
          <w:szCs w:val="20"/>
        </w:rPr>
        <w:t xml:space="preserve">3 </w:t>
      </w: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>March 2023). </w:t>
      </w:r>
    </w:p>
    <w:p w14:paraId="5F7C7525" w14:textId="77777777" w:rsidR="005C1652" w:rsidRPr="00256567" w:rsidRDefault="005C1652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1E2687A5" w14:textId="77777777" w:rsidR="00256567" w:rsidRPr="00256567" w:rsidRDefault="00256567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  <w:r w:rsidRPr="00256567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Ratcliffe, M.M. et al. (2009) “The effects of school garden experiences on Middle School-aged students’ knowledge, attitudes, and behaviors associated with vegetable consumption,” Health Promotion Practice, 12(1), pp. 36–43. </w:t>
      </w:r>
    </w:p>
    <w:p w14:paraId="472E98B6" w14:textId="77777777" w:rsidR="00256567" w:rsidRPr="00256567" w:rsidRDefault="00256567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  <w:r w:rsidRPr="00256567">
        <w:rPr>
          <w:rFonts w:eastAsia="Times New Roman" w:cs="Arial"/>
          <w:color w:val="000000" w:themeColor="text1"/>
          <w:kern w:val="24"/>
          <w:sz w:val="20"/>
          <w:szCs w:val="20"/>
          <w:lang w:val="en-US"/>
        </w:rPr>
        <w:t> </w:t>
      </w:r>
    </w:p>
    <w:p w14:paraId="61A55ACD" w14:textId="77777777" w:rsidR="00256567" w:rsidRDefault="00256567" w:rsidP="00AC45A6">
      <w:pPr>
        <w:spacing w:after="0" w:line="276" w:lineRule="auto"/>
        <w:divId w:val="1683555677"/>
        <w:rPr>
          <w:rFonts w:eastAsia="Times New Roman" w:cs="Arial"/>
          <w:color w:val="000000" w:themeColor="text1"/>
          <w:kern w:val="24"/>
          <w:sz w:val="20"/>
          <w:szCs w:val="20"/>
          <w:lang w:val="en-US"/>
        </w:rPr>
      </w:pPr>
      <w:r w:rsidRPr="00256567">
        <w:rPr>
          <w:rFonts w:eastAsia="Times New Roman" w:cs="Arial"/>
          <w:color w:val="000000" w:themeColor="text1"/>
          <w:kern w:val="24"/>
          <w:sz w:val="20"/>
          <w:szCs w:val="20"/>
          <w:lang w:val="en-US"/>
        </w:rPr>
        <w:t>Rewriting the future: Raising ambition and attainment in Welsh schools (2014). www.gov.wales/topics/educationandskills/schoolshome/deprivation/rewriting-the-future- schools/?lang=en (Accessed on: 1 April 2023)</w:t>
      </w:r>
    </w:p>
    <w:p w14:paraId="087518ED" w14:textId="77777777" w:rsidR="009F698F" w:rsidRPr="00256567" w:rsidRDefault="009F698F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1F995EC3" w14:textId="77777777" w:rsidR="00256567" w:rsidRDefault="00256567" w:rsidP="00AC45A6">
      <w:pPr>
        <w:spacing w:after="0" w:line="276" w:lineRule="auto"/>
        <w:divId w:val="1683555677"/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</w:pP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>Sujatha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, K. (2011) ‘Module 4: Managing External Relations’. In: Improving school management from successful schools (pp. 192-210). </w:t>
      </w:r>
      <w:proofErr w:type="spellStart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>ANTRIEP</w:t>
      </w:r>
      <w:proofErr w:type="spellEnd"/>
      <w:r w:rsidRPr="00256567">
        <w:rPr>
          <w:rFonts w:eastAsiaTheme="minorEastAsia" w:cs="Arial"/>
          <w:color w:val="000000" w:themeColor="text1"/>
          <w:kern w:val="24"/>
          <w:sz w:val="20"/>
          <w:szCs w:val="20"/>
          <w:lang w:val="en-US"/>
        </w:rPr>
        <w:t xml:space="preserve"> (Asian Network of Training and Research Institutions in Educational Planning), NUEPA (National Institute of Educational Planning and Administration</w:t>
      </w:r>
    </w:p>
    <w:p w14:paraId="7FC8A6AC" w14:textId="77777777" w:rsidR="009F698F" w:rsidRPr="00256567" w:rsidRDefault="009F698F" w:rsidP="00AC45A6">
      <w:pPr>
        <w:spacing w:after="0" w:line="276" w:lineRule="auto"/>
        <w:divId w:val="1683555677"/>
        <w:rPr>
          <w:rFonts w:eastAsiaTheme="minorEastAsia" w:cs="Arial"/>
          <w:sz w:val="20"/>
          <w:szCs w:val="20"/>
          <w:lang w:val="en-US"/>
        </w:rPr>
      </w:pPr>
    </w:p>
    <w:p w14:paraId="048D9D3D" w14:textId="77777777" w:rsidR="00F22274" w:rsidRDefault="00F22274" w:rsidP="00AC45A6">
      <w:pPr>
        <w:spacing w:after="0" w:line="276" w:lineRule="auto"/>
        <w:divId w:val="1672248097"/>
        <w:rPr>
          <w:rFonts w:eastAsiaTheme="minorEastAsia" w:cs="Arial"/>
          <w:color w:val="000000"/>
          <w:kern w:val="24"/>
          <w:sz w:val="20"/>
          <w:szCs w:val="20"/>
          <w:lang w:val="en-US"/>
        </w:rPr>
      </w:pPr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School Committee - IIEP Policy Toolbox (no date). Available at: https://policytoolbox.iiep.unesco.org/glossary/school-committee/ (Accessed: </w:t>
      </w:r>
      <w:r w:rsidRPr="00F22274">
        <w:rPr>
          <w:rFonts w:eastAsiaTheme="minorEastAsia" w:cs="Arial"/>
          <w:color w:val="000000"/>
          <w:kern w:val="24"/>
          <w:sz w:val="20"/>
          <w:szCs w:val="20"/>
        </w:rPr>
        <w:t xml:space="preserve">8 </w:t>
      </w:r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>March 2023). </w:t>
      </w:r>
    </w:p>
    <w:p w14:paraId="0C0406E4" w14:textId="77777777" w:rsidR="009F698F" w:rsidRPr="00F22274" w:rsidRDefault="009F698F" w:rsidP="00AC45A6">
      <w:pPr>
        <w:spacing w:after="0" w:line="276" w:lineRule="auto"/>
        <w:divId w:val="1672248097"/>
        <w:rPr>
          <w:rFonts w:eastAsiaTheme="minorEastAsia" w:cs="Arial"/>
          <w:sz w:val="20"/>
          <w:szCs w:val="20"/>
          <w:lang w:val="en-US"/>
        </w:rPr>
      </w:pPr>
    </w:p>
    <w:p w14:paraId="74BB4C01" w14:textId="1C500DAD" w:rsidR="00F22274" w:rsidRDefault="00F22274" w:rsidP="00AC45A6">
      <w:pPr>
        <w:spacing w:after="0" w:line="276" w:lineRule="auto"/>
        <w:divId w:val="1672248097"/>
        <w:rPr>
          <w:rFonts w:eastAsiaTheme="minorEastAsia" w:cs="Arial"/>
          <w:color w:val="000000"/>
          <w:kern w:val="24"/>
          <w:sz w:val="20"/>
          <w:szCs w:val="20"/>
          <w:lang w:val="en-US"/>
        </w:rPr>
      </w:pPr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Secretariat, G.P.E., </w:t>
      </w:r>
      <w:proofErr w:type="spellStart"/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>Mbuthia</w:t>
      </w:r>
      <w:proofErr w:type="spellEnd"/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, A. and Proctor, J. (2017) Empowering the community to improve education in Honduras, Global Partnership for Education. Available at: </w:t>
      </w:r>
      <w:hyperlink r:id="rId28" w:history="1">
        <w:r w:rsidRPr="00F22274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https://www.globalpartnership.org/blog/empowering-community-improve-education-</w:t>
        </w:r>
      </w:hyperlink>
      <w:hyperlink r:id="rId29" w:history="1">
        <w:r w:rsidRPr="00F22274">
          <w:rPr>
            <w:rFonts w:eastAsiaTheme="minorEastAsia" w:cs="Arial"/>
            <w:color w:val="000000"/>
            <w:kern w:val="24"/>
            <w:sz w:val="20"/>
            <w:szCs w:val="20"/>
            <w:u w:val="single"/>
            <w:lang w:val="en-US"/>
          </w:rPr>
          <w:t>honduras</w:t>
        </w:r>
      </w:hyperlink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 xml:space="preserve"> (Accessed: </w:t>
      </w:r>
      <w:r w:rsidRPr="00F22274">
        <w:rPr>
          <w:rFonts w:eastAsiaTheme="minorEastAsia" w:cs="Arial"/>
          <w:color w:val="000000"/>
          <w:kern w:val="24"/>
          <w:sz w:val="20"/>
          <w:szCs w:val="20"/>
        </w:rPr>
        <w:t xml:space="preserve">3 </w:t>
      </w:r>
      <w:r w:rsidRPr="00F22274">
        <w:rPr>
          <w:rFonts w:eastAsiaTheme="minorEastAsia" w:cs="Arial"/>
          <w:color w:val="000000"/>
          <w:kern w:val="24"/>
          <w:sz w:val="20"/>
          <w:szCs w:val="20"/>
          <w:lang w:val="en-US"/>
        </w:rPr>
        <w:t>March 2023). </w:t>
      </w:r>
    </w:p>
    <w:p w14:paraId="6BD06FA9" w14:textId="77777777" w:rsidR="009F698F" w:rsidRPr="00F22274" w:rsidRDefault="009F698F" w:rsidP="00AC45A6">
      <w:pPr>
        <w:spacing w:after="0" w:line="276" w:lineRule="auto"/>
        <w:divId w:val="1672248097"/>
        <w:rPr>
          <w:rFonts w:eastAsiaTheme="minorEastAsia" w:cs="Arial"/>
          <w:sz w:val="20"/>
          <w:szCs w:val="20"/>
          <w:lang w:val="en-US"/>
        </w:rPr>
      </w:pPr>
    </w:p>
    <w:p w14:paraId="505FA7E4" w14:textId="77777777" w:rsidR="00F22274" w:rsidRDefault="00F22274" w:rsidP="00AC45A6">
      <w:pPr>
        <w:spacing w:after="0" w:line="276" w:lineRule="auto"/>
        <w:divId w:val="1672248097"/>
        <w:rPr>
          <w:rFonts w:eastAsia="Times New Roman" w:cs="Arial"/>
          <w:color w:val="000000"/>
          <w:kern w:val="24"/>
          <w:sz w:val="20"/>
          <w:szCs w:val="20"/>
          <w:lang w:val="en-US"/>
        </w:rPr>
      </w:pPr>
      <w:r w:rsidRPr="00F22274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 Staunton, T. (2015) Bill Law's community interaction theory _ theories every careers adviser should know, Running In A Forest. Available at: https://runninginaforest.wordpress.com/2015/06/06/bill-laws-community-interaction-theory-_-theories-every-careers-adviser-should-know/ (Accessed: </w:t>
      </w:r>
      <w:r w:rsidRPr="00F22274">
        <w:rPr>
          <w:rFonts w:eastAsia="Times New Roman" w:cs="Arial"/>
          <w:color w:val="000000"/>
          <w:kern w:val="24"/>
          <w:sz w:val="20"/>
          <w:szCs w:val="20"/>
        </w:rPr>
        <w:t xml:space="preserve">1 </w:t>
      </w:r>
      <w:r w:rsidRPr="00F22274">
        <w:rPr>
          <w:rFonts w:eastAsia="Times New Roman" w:cs="Arial"/>
          <w:color w:val="000000"/>
          <w:kern w:val="24"/>
          <w:sz w:val="20"/>
          <w:szCs w:val="20"/>
          <w:lang w:val="en-US"/>
        </w:rPr>
        <w:t>April 2023). </w:t>
      </w:r>
    </w:p>
    <w:p w14:paraId="3FB2C18A" w14:textId="77777777" w:rsidR="009F698F" w:rsidRDefault="009F698F" w:rsidP="00AC45A6">
      <w:pPr>
        <w:spacing w:after="0" w:line="276" w:lineRule="auto"/>
        <w:divId w:val="1672248097"/>
        <w:rPr>
          <w:rFonts w:eastAsiaTheme="minorEastAsia" w:cs="Arial"/>
          <w:sz w:val="20"/>
          <w:szCs w:val="20"/>
          <w:lang w:val="en-US"/>
        </w:rPr>
      </w:pPr>
    </w:p>
    <w:p w14:paraId="65E85D89" w14:textId="1BF1D215" w:rsidR="002B1468" w:rsidRPr="002B1468" w:rsidRDefault="002B1468" w:rsidP="002B1468">
      <w:pPr>
        <w:spacing w:after="0" w:line="240" w:lineRule="auto"/>
        <w:contextualSpacing/>
        <w:rPr>
          <w:rFonts w:eastAsiaTheme="minorEastAsia" w:cs="Arial"/>
          <w:sz w:val="20"/>
          <w:szCs w:val="20"/>
          <w:lang w:val="en-US"/>
        </w:rPr>
      </w:pPr>
      <w:r w:rsidRPr="002B1468">
        <w:rPr>
          <w:rFonts w:eastAsiaTheme="minorEastAsia" w:cs="Arial"/>
          <w:sz w:val="20"/>
          <w:szCs w:val="20"/>
          <w:lang w:val="en-US"/>
        </w:rPr>
        <w:t xml:space="preserve">Teach First research roundup (2022) </w:t>
      </w:r>
      <w:proofErr w:type="spellStart"/>
      <w:r w:rsidR="00B643F9">
        <w:rPr>
          <w:rFonts w:eastAsiaTheme="minorEastAsia" w:cs="Arial"/>
          <w:sz w:val="20"/>
          <w:szCs w:val="20"/>
          <w:lang w:val="en-US"/>
        </w:rPr>
        <w:t>Bronfrenbrenners</w:t>
      </w:r>
      <w:proofErr w:type="spellEnd"/>
      <w:r w:rsidR="00B643F9">
        <w:rPr>
          <w:rFonts w:eastAsiaTheme="minorEastAsia" w:cs="Arial"/>
          <w:sz w:val="20"/>
          <w:szCs w:val="20"/>
          <w:lang w:val="en-US"/>
        </w:rPr>
        <w:t xml:space="preserve"> Ecological </w:t>
      </w:r>
      <w:r w:rsidR="00506421">
        <w:rPr>
          <w:rFonts w:eastAsiaTheme="minorEastAsia" w:cs="Arial"/>
          <w:sz w:val="20"/>
          <w:szCs w:val="20"/>
          <w:lang w:val="en-US"/>
        </w:rPr>
        <w:t>Sy</w:t>
      </w:r>
      <w:r w:rsidR="00B643F9">
        <w:rPr>
          <w:rFonts w:eastAsiaTheme="minorEastAsia" w:cs="Arial"/>
          <w:sz w:val="20"/>
          <w:szCs w:val="20"/>
          <w:lang w:val="en-US"/>
        </w:rPr>
        <w:t xml:space="preserve">stem </w:t>
      </w:r>
      <w:r w:rsidR="00506421">
        <w:rPr>
          <w:rFonts w:eastAsiaTheme="minorEastAsia" w:cs="Arial"/>
          <w:sz w:val="20"/>
          <w:szCs w:val="20"/>
          <w:lang w:val="en-US"/>
        </w:rPr>
        <w:t>T</w:t>
      </w:r>
      <w:r w:rsidR="00B643F9">
        <w:rPr>
          <w:rFonts w:eastAsiaTheme="minorEastAsia" w:cs="Arial"/>
          <w:sz w:val="20"/>
          <w:szCs w:val="20"/>
          <w:lang w:val="en-US"/>
        </w:rPr>
        <w:t>heory.</w:t>
      </w:r>
      <w:r w:rsidR="00506421">
        <w:rPr>
          <w:rFonts w:eastAsiaTheme="minorEastAsia" w:cs="Arial"/>
          <w:sz w:val="20"/>
          <w:szCs w:val="20"/>
          <w:lang w:val="en-US"/>
        </w:rPr>
        <w:t xml:space="preserve"> </w:t>
      </w:r>
      <w:r w:rsidRPr="002B1468">
        <w:rPr>
          <w:rFonts w:eastAsiaTheme="minorEastAsia" w:cs="Arial"/>
          <w:sz w:val="20"/>
          <w:szCs w:val="20"/>
          <w:lang w:val="en-US"/>
        </w:rPr>
        <w:t>TeachFirst. Available at: https://www.teach first.org.uk/blog/research-roundup-may-2022 (Accessed on: 6 April, 2023)</w:t>
      </w:r>
    </w:p>
    <w:p w14:paraId="3E7692BE" w14:textId="77777777" w:rsidR="002B1468" w:rsidRPr="00F22274" w:rsidRDefault="002B1468" w:rsidP="00AC45A6">
      <w:pPr>
        <w:spacing w:after="0" w:line="276" w:lineRule="auto"/>
        <w:divId w:val="1672248097"/>
        <w:rPr>
          <w:rFonts w:eastAsiaTheme="minorEastAsia" w:cs="Arial"/>
          <w:sz w:val="20"/>
          <w:szCs w:val="20"/>
          <w:lang w:val="en-US"/>
        </w:rPr>
      </w:pPr>
    </w:p>
    <w:p w14:paraId="00B8B477" w14:textId="77777777" w:rsidR="00F22274" w:rsidRDefault="00F22274" w:rsidP="00AC45A6">
      <w:pPr>
        <w:spacing w:after="0" w:line="276" w:lineRule="auto"/>
        <w:divId w:val="1672248097"/>
        <w:rPr>
          <w:rFonts w:eastAsia="Times New Roman" w:cs="Arial"/>
          <w:color w:val="000000"/>
          <w:kern w:val="24"/>
          <w:sz w:val="20"/>
          <w:szCs w:val="20"/>
          <w:lang w:val="en-US"/>
        </w:rPr>
      </w:pPr>
      <w:r w:rsidRPr="00F22274">
        <w:rPr>
          <w:rFonts w:eastAsia="Times New Roman" w:cs="Arial"/>
          <w:color w:val="000000"/>
          <w:kern w:val="24"/>
          <w:sz w:val="20"/>
          <w:szCs w:val="20"/>
        </w:rPr>
        <w:t xml:space="preserve"> </w:t>
      </w:r>
      <w:r w:rsidRPr="00F22274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University of Minnesota (no date) Benefits of Community-Engaged Learning | Center for Community-Engaged Learning. Available at: https://ccel.umn.edu/faculty/teaching-community-engaged-learning/benefits-community-engaged-learning (Accessed: </w:t>
      </w:r>
      <w:r w:rsidRPr="00F22274">
        <w:rPr>
          <w:rFonts w:eastAsia="Times New Roman" w:cs="Arial"/>
          <w:color w:val="000000"/>
          <w:kern w:val="24"/>
          <w:sz w:val="20"/>
          <w:szCs w:val="20"/>
        </w:rPr>
        <w:t xml:space="preserve">1 </w:t>
      </w:r>
      <w:r w:rsidRPr="00F22274">
        <w:rPr>
          <w:rFonts w:eastAsia="Times New Roman" w:cs="Arial"/>
          <w:color w:val="000000"/>
          <w:kern w:val="24"/>
          <w:sz w:val="20"/>
          <w:szCs w:val="20"/>
          <w:lang w:val="en-US"/>
        </w:rPr>
        <w:t>April 2023). </w:t>
      </w:r>
    </w:p>
    <w:p w14:paraId="31D6A98E" w14:textId="77777777" w:rsidR="00AB270D" w:rsidRDefault="00AB270D" w:rsidP="00AC45A6">
      <w:pPr>
        <w:spacing w:after="0" w:line="276" w:lineRule="auto"/>
        <w:divId w:val="1672248097"/>
        <w:rPr>
          <w:rFonts w:eastAsia="Times New Roman" w:cs="Arial"/>
          <w:color w:val="000000"/>
          <w:kern w:val="24"/>
          <w:sz w:val="20"/>
          <w:szCs w:val="20"/>
          <w:lang w:val="en-US"/>
        </w:rPr>
      </w:pPr>
    </w:p>
    <w:p w14:paraId="6C5343B3" w14:textId="380D136F" w:rsidR="00434538" w:rsidRDefault="00AB270D" w:rsidP="00AC45A6">
      <w:pPr>
        <w:spacing w:after="0" w:line="276" w:lineRule="auto"/>
        <w:divId w:val="1672248097"/>
        <w:rPr>
          <w:rFonts w:eastAsia="Times New Roman" w:cs="Arial"/>
          <w:color w:val="000000"/>
          <w:kern w:val="24"/>
          <w:sz w:val="20"/>
          <w:szCs w:val="20"/>
          <w:lang w:val="en-US"/>
        </w:rPr>
      </w:pPr>
      <w:r>
        <w:rPr>
          <w:rFonts w:eastAsia="Times New Roman" w:cs="Arial"/>
          <w:color w:val="000000"/>
          <w:kern w:val="24"/>
          <w:sz w:val="20"/>
          <w:szCs w:val="20"/>
          <w:lang w:val="en-US"/>
        </w:rPr>
        <w:t>Uni</w:t>
      </w:r>
      <w:r w:rsidR="00D3538E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versity of Warwick (no date) </w:t>
      </w:r>
      <w:r w:rsidR="00440F58">
        <w:rPr>
          <w:rFonts w:eastAsia="Times New Roman" w:cs="Arial"/>
          <w:color w:val="000000"/>
          <w:kern w:val="24"/>
          <w:sz w:val="20"/>
          <w:szCs w:val="20"/>
          <w:lang w:val="en-US"/>
        </w:rPr>
        <w:t>Community Enga</w:t>
      </w:r>
      <w:r w:rsidR="005001AF">
        <w:rPr>
          <w:rFonts w:eastAsia="Times New Roman" w:cs="Arial"/>
          <w:color w:val="000000"/>
          <w:kern w:val="24"/>
          <w:sz w:val="20"/>
          <w:szCs w:val="20"/>
          <w:lang w:val="en-US"/>
        </w:rPr>
        <w:t>gement</w:t>
      </w:r>
      <w:r w:rsidR="00597D62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 Impact to Learning</w:t>
      </w:r>
      <w:r w:rsidR="00AC63A1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. Available at: </w:t>
      </w:r>
      <w:hyperlink w:history="1">
        <w:r w:rsidR="00434538" w:rsidRPr="009C7D90">
          <w:rPr>
            <w:rStyle w:val="Hyperlink"/>
            <w:rFonts w:eastAsia="Times New Roman" w:cs="Arial"/>
            <w:kern w:val="24"/>
            <w:sz w:val="20"/>
            <w:szCs w:val="20"/>
            <w:lang w:val="en-US"/>
          </w:rPr>
          <w:t>https://community%engagement%impact%to%learning/</w:t>
        </w:r>
      </w:hyperlink>
      <w:r w:rsidR="00434538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 (Accessed: 31</w:t>
      </w:r>
      <w:r w:rsidR="00EA6AF6">
        <w:rPr>
          <w:rFonts w:eastAsia="Times New Roman" w:cs="Arial"/>
          <w:color w:val="000000"/>
          <w:kern w:val="24"/>
          <w:sz w:val="20"/>
          <w:szCs w:val="20"/>
          <w:lang w:val="en-US"/>
        </w:rPr>
        <w:t xml:space="preserve"> March 2013)</w:t>
      </w:r>
    </w:p>
    <w:p w14:paraId="7441E8A3" w14:textId="77777777" w:rsidR="001A60C6" w:rsidRPr="00F22274" w:rsidRDefault="001A60C6" w:rsidP="00AC45A6">
      <w:pPr>
        <w:spacing w:after="0" w:line="276" w:lineRule="auto"/>
        <w:divId w:val="1672248097"/>
        <w:rPr>
          <w:rFonts w:eastAsiaTheme="minorEastAsia" w:cs="Arial"/>
          <w:sz w:val="20"/>
          <w:szCs w:val="20"/>
          <w:lang w:val="en-US"/>
        </w:rPr>
      </w:pPr>
    </w:p>
    <w:p w14:paraId="7F7A6A72" w14:textId="602E6494" w:rsidR="009A0ECE" w:rsidRDefault="00F22274" w:rsidP="00AC45A6">
      <w:pPr>
        <w:spacing w:after="0" w:line="276" w:lineRule="auto"/>
        <w:divId w:val="1672248097"/>
        <w:rPr>
          <w:rFonts w:eastAsiaTheme="minorEastAsia" w:cs="Arial"/>
          <w:color w:val="000000"/>
          <w:kern w:val="24"/>
          <w:sz w:val="20"/>
          <w:szCs w:val="20"/>
        </w:rPr>
      </w:pPr>
      <w:r w:rsidRPr="00F22274">
        <w:rPr>
          <w:rFonts w:eastAsiaTheme="minorEastAsia" w:cs="Arial"/>
          <w:color w:val="000000"/>
          <w:kern w:val="24"/>
          <w:sz w:val="20"/>
          <w:szCs w:val="20"/>
        </w:rPr>
        <w:t xml:space="preserve">Van </w:t>
      </w:r>
      <w:proofErr w:type="spellStart"/>
      <w:r w:rsidRPr="00F22274">
        <w:rPr>
          <w:rFonts w:eastAsiaTheme="minorEastAsia" w:cs="Arial"/>
          <w:color w:val="000000"/>
          <w:kern w:val="24"/>
          <w:sz w:val="20"/>
          <w:szCs w:val="20"/>
        </w:rPr>
        <w:t>Vuuren</w:t>
      </w:r>
      <w:proofErr w:type="spellEnd"/>
      <w:r w:rsidRPr="00F22274">
        <w:rPr>
          <w:rFonts w:eastAsiaTheme="minorEastAsia" w:cs="Arial"/>
          <w:color w:val="000000"/>
          <w:kern w:val="24"/>
          <w:sz w:val="20"/>
          <w:szCs w:val="20"/>
        </w:rPr>
        <w:t xml:space="preserve">, S. Williams, Y(2022) </w:t>
      </w:r>
      <w:proofErr w:type="spellStart"/>
      <w:r w:rsidRPr="00F22274">
        <w:rPr>
          <w:rFonts w:eastAsiaTheme="minorEastAsia" w:cs="Arial"/>
          <w:color w:val="000000"/>
          <w:kern w:val="24"/>
          <w:sz w:val="20"/>
          <w:szCs w:val="20"/>
        </w:rPr>
        <w:t>Brofenbrenner’s</w:t>
      </w:r>
      <w:proofErr w:type="spellEnd"/>
      <w:r w:rsidRPr="00F22274">
        <w:rPr>
          <w:rFonts w:eastAsiaTheme="minorEastAsia" w:cs="Arial"/>
          <w:color w:val="000000"/>
          <w:kern w:val="24"/>
          <w:sz w:val="20"/>
          <w:szCs w:val="20"/>
        </w:rPr>
        <w:t xml:space="preserve"> </w:t>
      </w:r>
      <w:proofErr w:type="spellStart"/>
      <w:r w:rsidRPr="00F22274">
        <w:rPr>
          <w:rFonts w:eastAsiaTheme="minorEastAsia" w:cs="Arial"/>
          <w:color w:val="000000"/>
          <w:kern w:val="24"/>
          <w:sz w:val="20"/>
          <w:szCs w:val="20"/>
        </w:rPr>
        <w:t>Chronosystem</w:t>
      </w:r>
      <w:proofErr w:type="spellEnd"/>
      <w:r w:rsidRPr="00F22274">
        <w:rPr>
          <w:rFonts w:eastAsiaTheme="minorEastAsia" w:cs="Arial"/>
          <w:color w:val="000000"/>
          <w:kern w:val="24"/>
          <w:sz w:val="20"/>
          <w:szCs w:val="20"/>
        </w:rPr>
        <w:t>- Ecological System Example. Study.com. Available at: https://study.com/learn/lessonbrofenbrenner-chological-ecological-system-example (Accessed on: 6</w:t>
      </w:r>
      <w:r w:rsidR="004263C3" w:rsidRPr="00AC45A6">
        <w:rPr>
          <w:rFonts w:eastAsiaTheme="minorEastAsia" w:cs="Arial"/>
          <w:color w:val="000000"/>
          <w:kern w:val="24"/>
          <w:sz w:val="20"/>
          <w:szCs w:val="20"/>
        </w:rPr>
        <w:t xml:space="preserve"> </w:t>
      </w:r>
      <w:r w:rsidRPr="00F22274">
        <w:rPr>
          <w:rFonts w:eastAsiaTheme="minorEastAsia" w:cs="Arial"/>
          <w:color w:val="000000"/>
          <w:kern w:val="24"/>
          <w:sz w:val="20"/>
          <w:szCs w:val="20"/>
        </w:rPr>
        <w:t>March 202</w:t>
      </w:r>
      <w:r w:rsidRPr="00AC45A6">
        <w:rPr>
          <w:rFonts w:eastAsiaTheme="minorEastAsia" w:cs="Arial"/>
          <w:color w:val="000000"/>
          <w:kern w:val="24"/>
          <w:sz w:val="20"/>
          <w:szCs w:val="20"/>
        </w:rPr>
        <w:t>3</w:t>
      </w:r>
      <w:r w:rsidR="004263C3" w:rsidRPr="00AC45A6">
        <w:rPr>
          <w:rFonts w:eastAsiaTheme="minorEastAsia" w:cs="Arial"/>
          <w:color w:val="000000"/>
          <w:kern w:val="24"/>
          <w:sz w:val="20"/>
          <w:szCs w:val="20"/>
        </w:rPr>
        <w:t>)</w:t>
      </w:r>
    </w:p>
    <w:p w14:paraId="1B7FFFF6" w14:textId="77777777" w:rsidR="00506421" w:rsidRDefault="00506421" w:rsidP="00AC45A6">
      <w:pPr>
        <w:spacing w:after="0" w:line="276" w:lineRule="auto"/>
        <w:divId w:val="1672248097"/>
        <w:rPr>
          <w:rFonts w:eastAsiaTheme="minorEastAsia" w:cs="Arial"/>
          <w:color w:val="000000"/>
          <w:kern w:val="24"/>
          <w:sz w:val="20"/>
          <w:szCs w:val="20"/>
        </w:rPr>
      </w:pPr>
    </w:p>
    <w:p w14:paraId="09C0FFAD" w14:textId="77777777" w:rsidR="00B12D0D" w:rsidRPr="00B12D0D" w:rsidRDefault="00B12D0D" w:rsidP="00B12D0D">
      <w:pPr>
        <w:spacing w:after="0" w:line="240" w:lineRule="auto"/>
        <w:contextualSpacing/>
        <w:rPr>
          <w:rFonts w:eastAsiaTheme="minorEastAsia" w:cs="Arial"/>
          <w:sz w:val="20"/>
          <w:szCs w:val="20"/>
          <w:lang w:val="en-US"/>
        </w:rPr>
      </w:pPr>
      <w:r w:rsidRPr="00B12D0D">
        <w:rPr>
          <w:rFonts w:eastAsiaTheme="minorEastAsia" w:cs="Arial"/>
          <w:sz w:val="20"/>
          <w:szCs w:val="20"/>
          <w:lang w:val="en-US"/>
        </w:rPr>
        <w:t xml:space="preserve">Welsh Government (2019) Professional standards. </w:t>
      </w:r>
      <w:proofErr w:type="spellStart"/>
      <w:r w:rsidRPr="00B12D0D">
        <w:rPr>
          <w:rFonts w:eastAsiaTheme="minorEastAsia" w:cs="Arial"/>
          <w:sz w:val="20"/>
          <w:szCs w:val="20"/>
          <w:lang w:val="en-US"/>
        </w:rPr>
        <w:t>Hwb</w:t>
      </w:r>
      <w:proofErr w:type="spellEnd"/>
      <w:r w:rsidRPr="00B12D0D">
        <w:rPr>
          <w:rFonts w:eastAsiaTheme="minorEastAsia" w:cs="Arial"/>
          <w:sz w:val="20"/>
          <w:szCs w:val="20"/>
          <w:lang w:val="en-US"/>
        </w:rPr>
        <w:t>. Available at: https;//</w:t>
      </w:r>
      <w:proofErr w:type="spellStart"/>
      <w:r w:rsidRPr="00B12D0D">
        <w:rPr>
          <w:rFonts w:eastAsiaTheme="minorEastAsia" w:cs="Arial"/>
          <w:sz w:val="20"/>
          <w:szCs w:val="20"/>
          <w:lang w:val="en-US"/>
        </w:rPr>
        <w:t>hwb.gov.wales</w:t>
      </w:r>
      <w:proofErr w:type="spellEnd"/>
      <w:r w:rsidRPr="00B12D0D">
        <w:rPr>
          <w:rFonts w:eastAsiaTheme="minorEastAsia" w:cs="Arial"/>
          <w:sz w:val="20"/>
          <w:szCs w:val="20"/>
          <w:lang w:val="en-US"/>
        </w:rPr>
        <w:t xml:space="preserve">/professional-teaching-standards/ (Accessed: 8 April, 2023) </w:t>
      </w:r>
    </w:p>
    <w:p w14:paraId="30F46443" w14:textId="77777777" w:rsidR="00506421" w:rsidRPr="00AC45A6" w:rsidRDefault="00506421" w:rsidP="00AC45A6">
      <w:pPr>
        <w:spacing w:after="0" w:line="276" w:lineRule="auto"/>
        <w:divId w:val="1672248097"/>
        <w:rPr>
          <w:rFonts w:eastAsiaTheme="minorEastAsia" w:cs="Arial"/>
          <w:sz w:val="20"/>
          <w:szCs w:val="20"/>
          <w:lang w:val="en-US"/>
        </w:rPr>
      </w:pPr>
    </w:p>
    <w:sectPr w:rsidR="00506421" w:rsidRPr="00AC45A6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1D5158" w14:textId="77777777" w:rsidR="00CE27EB" w:rsidRDefault="00CE27EB" w:rsidP="00E611D9">
      <w:pPr>
        <w:spacing w:after="0" w:line="240" w:lineRule="auto"/>
      </w:pPr>
      <w:r>
        <w:separator/>
      </w:r>
    </w:p>
  </w:endnote>
  <w:endnote w:type="continuationSeparator" w:id="0">
    <w:p w14:paraId="4C2459B6" w14:textId="77777777" w:rsidR="00CE27EB" w:rsidRDefault="00CE27EB" w:rsidP="00E611D9">
      <w:pPr>
        <w:spacing w:after="0" w:line="240" w:lineRule="auto"/>
      </w:pPr>
      <w:r>
        <w:continuationSeparator/>
      </w:r>
    </w:p>
  </w:endnote>
  <w:endnote w:type="continuationNotice" w:id="1">
    <w:p w14:paraId="6455AA07" w14:textId="77777777" w:rsidR="00DC6072" w:rsidRDefault="00DC607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064410" w14:textId="77777777" w:rsidR="00CE27EB" w:rsidRDefault="00CE27EB" w:rsidP="00E611D9">
      <w:pPr>
        <w:spacing w:after="0" w:line="240" w:lineRule="auto"/>
      </w:pPr>
      <w:r>
        <w:separator/>
      </w:r>
    </w:p>
  </w:footnote>
  <w:footnote w:type="continuationSeparator" w:id="0">
    <w:p w14:paraId="6940A0D5" w14:textId="77777777" w:rsidR="00CE27EB" w:rsidRDefault="00CE27EB" w:rsidP="00E611D9">
      <w:pPr>
        <w:spacing w:after="0" w:line="240" w:lineRule="auto"/>
      </w:pPr>
      <w:r>
        <w:continuationSeparator/>
      </w:r>
    </w:p>
  </w:footnote>
  <w:footnote w:type="continuationNotice" w:id="1">
    <w:p w14:paraId="48A35B2D" w14:textId="77777777" w:rsidR="00DC6072" w:rsidRDefault="00DC607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6D0108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D7BC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EF9435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74766B">
            <w:rPr>
              <w:rFonts w:ascii="Arial" w:hAnsi="Arial" w:cs="Arial"/>
            </w:rPr>
            <w:t xml:space="preserve"> 1800054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65449"/>
    <w:rsid w:val="00087FFD"/>
    <w:rsid w:val="000E2455"/>
    <w:rsid w:val="001A60C6"/>
    <w:rsid w:val="001D2CF5"/>
    <w:rsid w:val="002229F0"/>
    <w:rsid w:val="00256567"/>
    <w:rsid w:val="002B1468"/>
    <w:rsid w:val="003018C2"/>
    <w:rsid w:val="0033234B"/>
    <w:rsid w:val="003B567F"/>
    <w:rsid w:val="003E55AE"/>
    <w:rsid w:val="004263C3"/>
    <w:rsid w:val="00433F17"/>
    <w:rsid w:val="00434538"/>
    <w:rsid w:val="00440F58"/>
    <w:rsid w:val="004478FD"/>
    <w:rsid w:val="005001AF"/>
    <w:rsid w:val="00506421"/>
    <w:rsid w:val="005956FB"/>
    <w:rsid w:val="00597D62"/>
    <w:rsid w:val="005B68D7"/>
    <w:rsid w:val="005C1652"/>
    <w:rsid w:val="006419C3"/>
    <w:rsid w:val="00691A46"/>
    <w:rsid w:val="006936D7"/>
    <w:rsid w:val="006A533C"/>
    <w:rsid w:val="006B5861"/>
    <w:rsid w:val="0074766B"/>
    <w:rsid w:val="007517C2"/>
    <w:rsid w:val="007D7BC0"/>
    <w:rsid w:val="007F245D"/>
    <w:rsid w:val="00817F7A"/>
    <w:rsid w:val="00877A8E"/>
    <w:rsid w:val="009A0ECE"/>
    <w:rsid w:val="009B47AE"/>
    <w:rsid w:val="009F698F"/>
    <w:rsid w:val="00AA47FE"/>
    <w:rsid w:val="00AB270D"/>
    <w:rsid w:val="00AC45A6"/>
    <w:rsid w:val="00AC63A1"/>
    <w:rsid w:val="00AD4EBD"/>
    <w:rsid w:val="00B12D0D"/>
    <w:rsid w:val="00B643F9"/>
    <w:rsid w:val="00B67895"/>
    <w:rsid w:val="00BC651E"/>
    <w:rsid w:val="00BE32FC"/>
    <w:rsid w:val="00CD1240"/>
    <w:rsid w:val="00CE27EB"/>
    <w:rsid w:val="00D3538E"/>
    <w:rsid w:val="00DC6072"/>
    <w:rsid w:val="00E611D9"/>
    <w:rsid w:val="00E8030E"/>
    <w:rsid w:val="00EA6AF6"/>
    <w:rsid w:val="00F22274"/>
    <w:rsid w:val="00F72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5656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45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4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5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8" Type="http://schemas.openxmlformats.org/officeDocument/2006/relationships/hyperlink" Target="https://keepwalestidy.cymru/our-work/conservation/nature/" TargetMode="External"/><Relationship Id="rId26" Type="http://schemas.openxmlformats.org/officeDocument/2006/relationships/hyperlink" Target="https://gsdrc.org/document-library/empowering-communities-for-improved-educational-outcomes-some-evaluation-findings-from-the-world-bank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eachwire.net/authors/mirza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doi.org/10.4135/9781483340333.n168" TargetMode="External"/><Relationship Id="rId17" Type="http://schemas.openxmlformats.org/officeDocument/2006/relationships/hyperlink" Target="https://keepwalestidy.cymru/our-work/conservation/nature/" TargetMode="External"/><Relationship Id="rId25" Type="http://schemas.openxmlformats.org/officeDocument/2006/relationships/hyperlink" Target="https://gsdrc.org/document-library/empowering-communities-for-improved-educational-outcomes-some-evaluation-findings-from-the-world-bank/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86/1476-069X-8-S1-S6" TargetMode="External"/><Relationship Id="rId20" Type="http://schemas.openxmlformats.org/officeDocument/2006/relationships/hyperlink" Target="https://www.teachwire.net/authors/mirza/" TargetMode="External"/><Relationship Id="rId29" Type="http://schemas.openxmlformats.org/officeDocument/2006/relationships/hyperlink" Target="https://www.globalpartnership.org/blog/empowering-community-improve-education-hondura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4135/9781483340333.n168" TargetMode="External"/><Relationship Id="rId24" Type="http://schemas.openxmlformats.org/officeDocument/2006/relationships/hyperlink" Target="https://www.teachwire.net/authors/mirza/" TargetMode="Externa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doi.org/10.1186/1476-069X-8-S1-S6" TargetMode="External"/><Relationship Id="rId23" Type="http://schemas.openxmlformats.org/officeDocument/2006/relationships/hyperlink" Target="https://www.teachwire.net/authors/mirza/" TargetMode="External"/><Relationship Id="rId28" Type="http://schemas.openxmlformats.org/officeDocument/2006/relationships/hyperlink" Target="https://www.globalpartnership.org/blog/empowering-community-improve-education-honduras" TargetMode="External"/><Relationship Id="rId10" Type="http://schemas.openxmlformats.org/officeDocument/2006/relationships/hyperlink" Target="https://doi.org/10.4135/9781483340333.n168" TargetMode="External"/><Relationship Id="rId19" Type="http://schemas.openxmlformats.org/officeDocument/2006/relationships/hyperlink" Target="https://keepwalestidy.cymru/our-work/conservation/nature/" TargetMode="External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impact.wales/new/12-pedagogical-principles/" TargetMode="External"/><Relationship Id="rId14" Type="http://schemas.openxmlformats.org/officeDocument/2006/relationships/hyperlink" Target="https://doi.org/10.1186/1476-069X-8-S1-S6" TargetMode="External"/><Relationship Id="rId22" Type="http://schemas.openxmlformats.org/officeDocument/2006/relationships/hyperlink" Target="https://www.teachwire.net/authors/mirza/" TargetMode="External"/><Relationship Id="rId27" Type="http://schemas.openxmlformats.org/officeDocument/2006/relationships/hyperlink" Target="https://gsdrc.org/document-library/empowering-communities-for-improved-educational-outcomes-some-evaluation-findings-from-the-world-bank/" TargetMode="External"/><Relationship Id="rId30" Type="http://schemas.openxmlformats.org/officeDocument/2006/relationships/header" Target="header1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www.w3.org/2000/xmlns/"/>
    <ds:schemaRef ds:uri="19514574-b5d9-49eb-9678-28308461b4ba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1038</Words>
  <Characters>5917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hannah abraham</cp:lastModifiedBy>
  <cp:revision>2</cp:revision>
  <dcterms:created xsi:type="dcterms:W3CDTF">2023-04-12T17:22:00Z</dcterms:created>
  <dcterms:modified xsi:type="dcterms:W3CDTF">2023-04-12T17:22:00Z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