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F4ABB2" w14:textId="28A5DEC0" w:rsidR="00457530" w:rsidRPr="00DC6811" w:rsidRDefault="00DC6811" w:rsidP="00B32CE5">
      <w:pPr>
        <w:rPr>
          <w:b/>
          <w:bCs/>
          <w:lang w:val="en-GB"/>
        </w:rPr>
      </w:pPr>
      <w:r w:rsidRPr="00DC6811">
        <w:rPr>
          <w:b/>
          <w:bCs/>
          <w:lang w:val="en-GB"/>
        </w:rPr>
        <w:t>This essay compares and critically contrasts Mircea Eliade and Émile Durkheim’s views of sacred space.</w:t>
      </w:r>
    </w:p>
    <w:p w14:paraId="1BDB370D" w14:textId="383710D8" w:rsidR="00B32CE5" w:rsidRPr="00457530" w:rsidRDefault="00B32CE5" w:rsidP="00B32CE5">
      <w:pPr>
        <w:rPr>
          <w:b/>
          <w:bCs/>
          <w:lang w:val="en-GB"/>
        </w:rPr>
      </w:pPr>
      <w:r w:rsidRPr="00457530">
        <w:rPr>
          <w:b/>
          <w:bCs/>
          <w:lang w:val="en-GB"/>
        </w:rPr>
        <w:t>Introduc</w:t>
      </w:r>
      <w:r w:rsidR="00DC6811">
        <w:rPr>
          <w:b/>
          <w:bCs/>
          <w:lang w:val="en-GB"/>
        </w:rPr>
        <w:t>tion</w:t>
      </w:r>
      <w:r w:rsidRPr="00457530">
        <w:rPr>
          <w:b/>
          <w:bCs/>
          <w:lang w:val="en-GB"/>
        </w:rPr>
        <w:t xml:space="preserve"> </w:t>
      </w:r>
    </w:p>
    <w:p w14:paraId="2B552AB3" w14:textId="77777777" w:rsidR="007D6435" w:rsidRDefault="00C53FCA" w:rsidP="00B32CE5">
      <w:pPr>
        <w:rPr>
          <w:lang w:val="en-GB"/>
        </w:rPr>
      </w:pPr>
      <w:r>
        <w:rPr>
          <w:lang w:val="en-GB"/>
        </w:rPr>
        <w:t>This essay c</w:t>
      </w:r>
      <w:r w:rsidRPr="00C53FCA">
        <w:rPr>
          <w:lang w:val="en-GB"/>
        </w:rPr>
        <w:t>ompare</w:t>
      </w:r>
      <w:r>
        <w:rPr>
          <w:lang w:val="en-GB"/>
        </w:rPr>
        <w:t>s</w:t>
      </w:r>
      <w:r w:rsidRPr="00C53FCA">
        <w:rPr>
          <w:lang w:val="en-GB"/>
        </w:rPr>
        <w:t xml:space="preserve"> and critically contrast</w:t>
      </w:r>
      <w:r>
        <w:rPr>
          <w:lang w:val="en-GB"/>
        </w:rPr>
        <w:t>s</w:t>
      </w:r>
      <w:r w:rsidRPr="00C53FCA">
        <w:rPr>
          <w:lang w:val="en-GB"/>
        </w:rPr>
        <w:t xml:space="preserve"> Mircea Eliade and </w:t>
      </w:r>
      <w:r w:rsidR="00F87ACD">
        <w:rPr>
          <w:lang w:val="en-GB"/>
        </w:rPr>
        <w:t>É</w:t>
      </w:r>
      <w:r w:rsidRPr="00C53FCA">
        <w:rPr>
          <w:lang w:val="en-GB"/>
        </w:rPr>
        <w:t>mile Durkheim’s views of sacred space</w:t>
      </w:r>
      <w:r>
        <w:rPr>
          <w:lang w:val="en-GB"/>
        </w:rPr>
        <w:t>.</w:t>
      </w:r>
      <w:r w:rsidR="00E44516">
        <w:rPr>
          <w:lang w:val="en-GB"/>
        </w:rPr>
        <w:t xml:space="preserve"> </w:t>
      </w:r>
      <w:r w:rsidR="001B78E7">
        <w:rPr>
          <w:lang w:val="en-GB"/>
        </w:rPr>
        <w:t>In 1912, t</w:t>
      </w:r>
      <w:r w:rsidR="00784781">
        <w:rPr>
          <w:lang w:val="en-GB"/>
        </w:rPr>
        <w:t xml:space="preserve">he French sociologist Émile Durkheim </w:t>
      </w:r>
      <w:r w:rsidR="005C63E4">
        <w:rPr>
          <w:lang w:val="en-GB"/>
        </w:rPr>
        <w:t xml:space="preserve">wrote that ‘the notion of the sacred is always and everywhere </w:t>
      </w:r>
      <w:r w:rsidR="0037514E">
        <w:rPr>
          <w:lang w:val="en-GB"/>
        </w:rPr>
        <w:t>separate</w:t>
      </w:r>
      <w:r w:rsidR="005C63E4">
        <w:rPr>
          <w:lang w:val="en-GB"/>
        </w:rPr>
        <w:t xml:space="preserve"> from the notion of the profane in man’s mind.’</w:t>
      </w:r>
      <w:r w:rsidR="005C63E4">
        <w:rPr>
          <w:rStyle w:val="Funotenzeichen"/>
          <w:lang w:val="en-GB"/>
        </w:rPr>
        <w:footnoteReference w:id="1"/>
      </w:r>
      <w:r w:rsidR="0037514E">
        <w:rPr>
          <w:lang w:val="en-GB"/>
        </w:rPr>
        <w:t xml:space="preserve"> </w:t>
      </w:r>
    </w:p>
    <w:p w14:paraId="17C60EE9" w14:textId="77777777" w:rsidR="007D6435" w:rsidRDefault="005A2F11" w:rsidP="00B32CE5">
      <w:pPr>
        <w:rPr>
          <w:lang w:val="en-GB"/>
        </w:rPr>
      </w:pPr>
      <w:r>
        <w:rPr>
          <w:lang w:val="en-GB"/>
        </w:rPr>
        <w:t>Forty-five years later, the Romanian historian of religion, Eliade,</w:t>
      </w:r>
      <w:r w:rsidR="00DA1D36">
        <w:rPr>
          <w:lang w:val="en-GB"/>
        </w:rPr>
        <w:t xml:space="preserve"> </w:t>
      </w:r>
      <w:r>
        <w:rPr>
          <w:lang w:val="en-GB"/>
        </w:rPr>
        <w:t>claimed</w:t>
      </w:r>
      <w:r w:rsidR="00DA1D36">
        <w:rPr>
          <w:lang w:val="en-GB"/>
        </w:rPr>
        <w:t xml:space="preserve"> that the</w:t>
      </w:r>
      <w:r>
        <w:rPr>
          <w:lang w:val="en-GB"/>
        </w:rPr>
        <w:t xml:space="preserve"> ‘</w:t>
      </w:r>
      <w:r w:rsidRPr="005A2F11">
        <w:rPr>
          <w:lang w:val="en-GB"/>
        </w:rPr>
        <w:t>sacred and profane are two modes of being in the world</w:t>
      </w:r>
      <w:r>
        <w:rPr>
          <w:lang w:val="en-GB"/>
        </w:rPr>
        <w:t>.’</w:t>
      </w:r>
      <w:r>
        <w:rPr>
          <w:rStyle w:val="Funotenzeichen"/>
          <w:lang w:val="en-GB"/>
        </w:rPr>
        <w:footnoteReference w:id="2"/>
      </w:r>
      <w:r>
        <w:rPr>
          <w:lang w:val="en-GB"/>
        </w:rPr>
        <w:t xml:space="preserve"> </w:t>
      </w:r>
      <w:r w:rsidR="00DA1D36">
        <w:rPr>
          <w:lang w:val="en-GB"/>
        </w:rPr>
        <w:t>However,</w:t>
      </w:r>
      <w:r w:rsidR="00644B41">
        <w:rPr>
          <w:lang w:val="en-GB"/>
        </w:rPr>
        <w:t xml:space="preserve"> in contrast to Durkheim,</w:t>
      </w:r>
      <w:r w:rsidR="00DA1D36">
        <w:rPr>
          <w:lang w:val="en-GB"/>
        </w:rPr>
        <w:t xml:space="preserve"> he believed that some areas</w:t>
      </w:r>
      <w:r w:rsidR="00DA1D36" w:rsidRPr="00DA1D36">
        <w:rPr>
          <w:lang w:val="en-GB"/>
        </w:rPr>
        <w:t xml:space="preserve"> of space are </w:t>
      </w:r>
      <w:r w:rsidR="00DA1D36">
        <w:rPr>
          <w:lang w:val="en-GB"/>
        </w:rPr>
        <w:t xml:space="preserve">by nature </w:t>
      </w:r>
      <w:r w:rsidR="00DA1D36" w:rsidRPr="00DA1D36">
        <w:rPr>
          <w:lang w:val="en-GB"/>
        </w:rPr>
        <w:t xml:space="preserve">fundamentally distinct </w:t>
      </w:r>
      <w:r w:rsidR="00DA1D36">
        <w:rPr>
          <w:lang w:val="en-GB"/>
        </w:rPr>
        <w:t xml:space="preserve">in quality </w:t>
      </w:r>
      <w:r w:rsidR="00DA1D36" w:rsidRPr="00DA1D36">
        <w:rPr>
          <w:lang w:val="en-GB"/>
        </w:rPr>
        <w:t>from others</w:t>
      </w:r>
      <w:r w:rsidR="00997C84">
        <w:rPr>
          <w:lang w:val="en-GB"/>
        </w:rPr>
        <w:t xml:space="preserve">, </w:t>
      </w:r>
      <w:r w:rsidR="00997C84" w:rsidRPr="00DA1D36">
        <w:rPr>
          <w:lang w:val="en-GB"/>
        </w:rPr>
        <w:t>referring to this phenomenon as a 'hierophany.'</w:t>
      </w:r>
      <w:r w:rsidR="00997C84">
        <w:rPr>
          <w:rStyle w:val="Funotenzeichen"/>
          <w:lang w:val="en-GB"/>
        </w:rPr>
        <w:footnoteReference w:id="3"/>
      </w:r>
      <w:r w:rsidR="00997C84">
        <w:rPr>
          <w:lang w:val="en-GB"/>
        </w:rPr>
        <w:t xml:space="preserve"> According to </w:t>
      </w:r>
      <w:r w:rsidR="00997C84" w:rsidRPr="00526209">
        <w:rPr>
          <w:lang w:val="en-GB"/>
        </w:rPr>
        <w:t>Randall Studstill</w:t>
      </w:r>
      <w:r w:rsidR="00997C84">
        <w:rPr>
          <w:lang w:val="en-GB"/>
        </w:rPr>
        <w:t>, Eliade argued that a</w:t>
      </w:r>
      <w:r w:rsidR="00997C84" w:rsidRPr="00526209">
        <w:rPr>
          <w:lang w:val="en-GB"/>
        </w:rPr>
        <w:t xml:space="preserve"> hierophany is any way in which the sacred reveals itself.</w:t>
      </w:r>
      <w:r w:rsidR="00997C84">
        <w:rPr>
          <w:rStyle w:val="Funotenzeichen"/>
          <w:lang w:val="en-GB"/>
        </w:rPr>
        <w:footnoteReference w:id="4"/>
      </w:r>
      <w:r w:rsidR="00997C84">
        <w:rPr>
          <w:lang w:val="en-GB"/>
        </w:rPr>
        <w:t xml:space="preserve"> </w:t>
      </w:r>
    </w:p>
    <w:p w14:paraId="08FBA502" w14:textId="7D53ED5D" w:rsidR="00B065BC" w:rsidRDefault="00625717" w:rsidP="00B32CE5">
      <w:pPr>
        <w:rPr>
          <w:lang w:val="en-GB"/>
        </w:rPr>
      </w:pPr>
      <w:r>
        <w:rPr>
          <w:lang w:val="en-GB"/>
        </w:rPr>
        <w:t xml:space="preserve">Durkheim, by contrast, had written in his work </w:t>
      </w:r>
      <w:r w:rsidRPr="0037514E">
        <w:rPr>
          <w:lang w:val="en-GB"/>
        </w:rPr>
        <w:t>‘The Elementary Forms of Religious Life</w:t>
      </w:r>
      <w:r>
        <w:rPr>
          <w:lang w:val="en-GB"/>
        </w:rPr>
        <w:t>,’ that any kind of object gains sacredness when groups set it apart and uphold its significance through specific actions; this object remains sacred only as long as</w:t>
      </w:r>
      <w:r w:rsidRPr="0037514E">
        <w:rPr>
          <w:lang w:val="en-GB"/>
        </w:rPr>
        <w:t xml:space="preserve"> these practices continue</w:t>
      </w:r>
      <w:r>
        <w:rPr>
          <w:lang w:val="en-GB"/>
        </w:rPr>
        <w:t xml:space="preserve">, as Karen </w:t>
      </w:r>
      <w:proofErr w:type="gramStart"/>
      <w:r>
        <w:rPr>
          <w:lang w:val="en-GB"/>
        </w:rPr>
        <w:t>Field</w:t>
      </w:r>
      <w:r w:rsidR="00B065BC">
        <w:rPr>
          <w:lang w:val="en-GB"/>
        </w:rPr>
        <w:t xml:space="preserve">, </w:t>
      </w:r>
      <w:r>
        <w:rPr>
          <w:lang w:val="en-GB"/>
        </w:rPr>
        <w:t xml:space="preserve"> </w:t>
      </w:r>
      <w:r w:rsidR="00B065BC" w:rsidRPr="00E939BA">
        <w:rPr>
          <w:lang w:val="en-GB"/>
        </w:rPr>
        <w:t>Durkheim</w:t>
      </w:r>
      <w:r w:rsidR="00B065BC">
        <w:rPr>
          <w:lang w:val="en-GB"/>
        </w:rPr>
        <w:t>’s</w:t>
      </w:r>
      <w:proofErr w:type="gramEnd"/>
      <w:r w:rsidR="00B065BC">
        <w:rPr>
          <w:lang w:val="en-GB"/>
        </w:rPr>
        <w:t xml:space="preserve"> translator, </w:t>
      </w:r>
      <w:r>
        <w:rPr>
          <w:lang w:val="en-GB"/>
        </w:rPr>
        <w:t>wrote in the introduction</w:t>
      </w:r>
      <w:r w:rsidR="001E7C31">
        <w:rPr>
          <w:lang w:val="en-GB"/>
        </w:rPr>
        <w:t xml:space="preserve"> of Durkheim's work</w:t>
      </w:r>
      <w:r w:rsidRPr="0037514E">
        <w:rPr>
          <w:lang w:val="en-GB"/>
        </w:rPr>
        <w:t>.</w:t>
      </w:r>
      <w:r>
        <w:rPr>
          <w:rStyle w:val="Funotenzeichen"/>
          <w:lang w:val="en-GB"/>
        </w:rPr>
        <w:footnoteReference w:id="5"/>
      </w:r>
      <w:r>
        <w:rPr>
          <w:lang w:val="en-GB"/>
        </w:rPr>
        <w:t xml:space="preserve"> </w:t>
      </w:r>
    </w:p>
    <w:p w14:paraId="43F9B186" w14:textId="77777777" w:rsidR="00BD3373" w:rsidRDefault="00BD3373" w:rsidP="00B32CE5">
      <w:pPr>
        <w:rPr>
          <w:b/>
          <w:bCs/>
          <w:lang w:val="en-GB"/>
        </w:rPr>
      </w:pPr>
    </w:p>
    <w:p w14:paraId="4EDA0722" w14:textId="0B46DA72" w:rsidR="00B32CE5" w:rsidRPr="00457530" w:rsidRDefault="00B32CE5" w:rsidP="00B32CE5">
      <w:pPr>
        <w:rPr>
          <w:b/>
          <w:bCs/>
          <w:lang w:val="en-GB"/>
        </w:rPr>
      </w:pPr>
      <w:r w:rsidRPr="00457530">
        <w:rPr>
          <w:b/>
          <w:bCs/>
          <w:lang w:val="en-GB"/>
        </w:rPr>
        <w:t>Context</w:t>
      </w:r>
    </w:p>
    <w:p w14:paraId="0919E333" w14:textId="77777777" w:rsidR="00C43BCE" w:rsidRDefault="009556F1" w:rsidP="00B32CE5">
      <w:pPr>
        <w:rPr>
          <w:lang w:val="en-GB"/>
        </w:rPr>
      </w:pPr>
      <w:r>
        <w:rPr>
          <w:lang w:val="en-GB"/>
        </w:rPr>
        <w:t>Durkheim was born in 1858 in France</w:t>
      </w:r>
      <w:r w:rsidR="00C72161">
        <w:rPr>
          <w:lang w:val="en-GB"/>
        </w:rPr>
        <w:t xml:space="preserve">. </w:t>
      </w:r>
      <w:r w:rsidR="000154D1">
        <w:rPr>
          <w:lang w:val="en-GB"/>
        </w:rPr>
        <w:t xml:space="preserve">Growing up in a Jewish family, </w:t>
      </w:r>
      <w:r w:rsidR="000154D1" w:rsidRPr="000154D1">
        <w:rPr>
          <w:lang w:val="en-GB"/>
        </w:rPr>
        <w:t>Durkheim</w:t>
      </w:r>
      <w:r w:rsidR="000154D1">
        <w:rPr>
          <w:lang w:val="en-GB"/>
        </w:rPr>
        <w:t xml:space="preserve"> was twelve years old when Germany seized control of Alsace, where he lived with his family. </w:t>
      </w:r>
      <w:r w:rsidR="00664406">
        <w:rPr>
          <w:lang w:val="en-GB"/>
        </w:rPr>
        <w:t>According to Keith Hart, Durkheim was t</w:t>
      </w:r>
      <w:r w:rsidR="00664406" w:rsidRPr="00664406">
        <w:rPr>
          <w:lang w:val="en-GB"/>
        </w:rPr>
        <w:t xml:space="preserve">orn between his loyalty to France and his family’s German-sounding name </w:t>
      </w:r>
      <w:r w:rsidR="00664406">
        <w:rPr>
          <w:lang w:val="en-GB"/>
        </w:rPr>
        <w:t>and</w:t>
      </w:r>
      <w:r w:rsidR="00664406" w:rsidRPr="00664406">
        <w:rPr>
          <w:lang w:val="en-GB"/>
        </w:rPr>
        <w:t xml:space="preserve"> </w:t>
      </w:r>
      <w:r w:rsidR="00664406">
        <w:rPr>
          <w:lang w:val="en-GB"/>
        </w:rPr>
        <w:t xml:space="preserve">therefore </w:t>
      </w:r>
      <w:r w:rsidR="00664406" w:rsidRPr="00664406">
        <w:rPr>
          <w:lang w:val="en-GB"/>
        </w:rPr>
        <w:t xml:space="preserve">sought to understand the impact that the newly founded Third Republic </w:t>
      </w:r>
      <w:r w:rsidR="00664406">
        <w:rPr>
          <w:lang w:val="en-GB"/>
        </w:rPr>
        <w:t xml:space="preserve">of France </w:t>
      </w:r>
      <w:r w:rsidR="00664406" w:rsidRPr="00664406">
        <w:rPr>
          <w:lang w:val="en-GB"/>
        </w:rPr>
        <w:t>had on society</w:t>
      </w:r>
      <w:r w:rsidR="00664406">
        <w:rPr>
          <w:lang w:val="en-GB"/>
        </w:rPr>
        <w:t xml:space="preserve">. </w:t>
      </w:r>
      <w:r w:rsidR="0077703F">
        <w:rPr>
          <w:lang w:val="en-GB"/>
        </w:rPr>
        <w:t>Later, he came to be considered one of the founders of modern social theory, having produced three major studies: ‘</w:t>
      </w:r>
      <w:r w:rsidR="0077703F" w:rsidRPr="00C72161">
        <w:rPr>
          <w:lang w:val="en-GB"/>
        </w:rPr>
        <w:t>The Division of Labor in Society</w:t>
      </w:r>
      <w:r w:rsidR="0077703F">
        <w:rPr>
          <w:lang w:val="en-GB"/>
        </w:rPr>
        <w:t>’</w:t>
      </w:r>
      <w:r w:rsidR="0077703F" w:rsidRPr="00C72161">
        <w:rPr>
          <w:lang w:val="en-GB"/>
        </w:rPr>
        <w:t xml:space="preserve"> (1893), </w:t>
      </w:r>
      <w:r w:rsidR="0077703F">
        <w:rPr>
          <w:lang w:val="en-GB"/>
        </w:rPr>
        <w:t>‘</w:t>
      </w:r>
      <w:r w:rsidR="0077703F" w:rsidRPr="00C72161">
        <w:rPr>
          <w:lang w:val="en-GB"/>
        </w:rPr>
        <w:t>Suicide</w:t>
      </w:r>
      <w:r w:rsidR="0077703F">
        <w:rPr>
          <w:lang w:val="en-GB"/>
        </w:rPr>
        <w:t>’</w:t>
      </w:r>
      <w:r w:rsidR="0077703F" w:rsidRPr="00C72161">
        <w:rPr>
          <w:lang w:val="en-GB"/>
        </w:rPr>
        <w:t xml:space="preserve"> (1897)</w:t>
      </w:r>
      <w:r w:rsidR="004D03AB">
        <w:rPr>
          <w:lang w:val="en-GB"/>
        </w:rPr>
        <w:t>,</w:t>
      </w:r>
      <w:r w:rsidR="0077703F" w:rsidRPr="00C72161">
        <w:rPr>
          <w:lang w:val="en-GB"/>
        </w:rPr>
        <w:t xml:space="preserve"> and </w:t>
      </w:r>
      <w:r w:rsidR="00BD3373">
        <w:rPr>
          <w:lang w:val="en-GB"/>
        </w:rPr>
        <w:t>‘</w:t>
      </w:r>
      <w:r w:rsidR="00BD3373" w:rsidRPr="00C72161">
        <w:rPr>
          <w:lang w:val="en-GB"/>
        </w:rPr>
        <w:t>The Elementary Forms of Religious Life</w:t>
      </w:r>
      <w:r w:rsidR="00BD3373">
        <w:rPr>
          <w:lang w:val="en-GB"/>
        </w:rPr>
        <w:t xml:space="preserve">,’ </w:t>
      </w:r>
      <w:r w:rsidR="0077703F" w:rsidRPr="00C72161">
        <w:rPr>
          <w:lang w:val="en-GB"/>
        </w:rPr>
        <w:t>(1912)</w:t>
      </w:r>
      <w:r w:rsidR="0077703F">
        <w:rPr>
          <w:lang w:val="en-GB"/>
        </w:rPr>
        <w:t>.</w:t>
      </w:r>
      <w:r w:rsidR="0077703F">
        <w:rPr>
          <w:rStyle w:val="Funotenzeichen"/>
          <w:lang w:val="en-GB"/>
        </w:rPr>
        <w:footnoteReference w:id="6"/>
      </w:r>
      <w:r w:rsidR="00E939BA">
        <w:rPr>
          <w:lang w:val="en-GB"/>
        </w:rPr>
        <w:t xml:space="preserve"> </w:t>
      </w:r>
      <w:r w:rsidR="002A52C7">
        <w:rPr>
          <w:lang w:val="en-GB"/>
        </w:rPr>
        <w:t xml:space="preserve">Field </w:t>
      </w:r>
      <w:r w:rsidR="00BD3373">
        <w:rPr>
          <w:lang w:val="en-GB"/>
        </w:rPr>
        <w:t>wrote that Durkheim</w:t>
      </w:r>
      <w:r w:rsidR="00B57782">
        <w:rPr>
          <w:lang w:val="en-GB"/>
        </w:rPr>
        <w:t xml:space="preserve"> is remembered ‘</w:t>
      </w:r>
      <w:r w:rsidR="00B57782" w:rsidRPr="00E939BA">
        <w:rPr>
          <w:lang w:val="en-GB"/>
        </w:rPr>
        <w:t>as a man who set out to rescue social science from undisciplined subjectivity</w:t>
      </w:r>
      <w:r w:rsidR="00B57782">
        <w:rPr>
          <w:lang w:val="en-GB"/>
        </w:rPr>
        <w:t>’, and that he ‘</w:t>
      </w:r>
      <w:r w:rsidR="00B57782" w:rsidRPr="00E939BA">
        <w:rPr>
          <w:lang w:val="en-GB"/>
        </w:rPr>
        <w:t>chose to explore huge questions about humankind</w:t>
      </w:r>
      <w:r w:rsidR="00B57782">
        <w:rPr>
          <w:lang w:val="en-GB"/>
        </w:rPr>
        <w:t>’.</w:t>
      </w:r>
      <w:r w:rsidR="00B57782">
        <w:rPr>
          <w:rStyle w:val="Funotenzeichen"/>
          <w:lang w:val="en-GB"/>
        </w:rPr>
        <w:footnoteReference w:id="7"/>
      </w:r>
      <w:r w:rsidR="00B57782">
        <w:rPr>
          <w:lang w:val="en-GB"/>
        </w:rPr>
        <w:t xml:space="preserve"> </w:t>
      </w:r>
    </w:p>
    <w:p w14:paraId="3D2BDCDA" w14:textId="77777777" w:rsidR="003A29F2" w:rsidRDefault="003C71F7" w:rsidP="007D6435">
      <w:pPr>
        <w:rPr>
          <w:lang w:val="en-GB"/>
        </w:rPr>
      </w:pPr>
      <w:r>
        <w:rPr>
          <w:lang w:val="en-GB"/>
        </w:rPr>
        <w:t xml:space="preserve">Born </w:t>
      </w:r>
      <w:r w:rsidR="00195CD7">
        <w:rPr>
          <w:lang w:val="en-GB"/>
        </w:rPr>
        <w:t xml:space="preserve">in </w:t>
      </w:r>
      <w:r w:rsidRPr="003C71F7">
        <w:rPr>
          <w:lang w:val="en-GB"/>
        </w:rPr>
        <w:t xml:space="preserve">1907 </w:t>
      </w:r>
      <w:r w:rsidR="00195CD7">
        <w:rPr>
          <w:lang w:val="en-GB"/>
        </w:rPr>
        <w:t xml:space="preserve">and educated </w:t>
      </w:r>
      <w:r w:rsidRPr="003C71F7">
        <w:rPr>
          <w:lang w:val="en-GB"/>
        </w:rPr>
        <w:t xml:space="preserve">in </w:t>
      </w:r>
      <w:r>
        <w:rPr>
          <w:lang w:val="en-GB"/>
        </w:rPr>
        <w:t xml:space="preserve">Romania, </w:t>
      </w:r>
      <w:r w:rsidRPr="003C71F7">
        <w:rPr>
          <w:lang w:val="en-GB"/>
        </w:rPr>
        <w:t xml:space="preserve">Eliade </w:t>
      </w:r>
      <w:r w:rsidR="00195CD7">
        <w:rPr>
          <w:lang w:val="en-GB"/>
        </w:rPr>
        <w:t>later travelled to India for three years and was intrigued by his encounter with India’s religious culture, especially by its rural symbolism, as John Clifford Holt noted</w:t>
      </w:r>
      <w:r w:rsidR="00907309">
        <w:rPr>
          <w:lang w:val="en-GB"/>
        </w:rPr>
        <w:t>. I</w:t>
      </w:r>
      <w:r w:rsidR="00195CD7">
        <w:rPr>
          <w:lang w:val="en-GB"/>
        </w:rPr>
        <w:t>n his introduction to Eliade’s ‘Patterns in Comparative Religion’</w:t>
      </w:r>
      <w:r w:rsidR="00907309">
        <w:rPr>
          <w:lang w:val="en-GB"/>
        </w:rPr>
        <w:t xml:space="preserve">, </w:t>
      </w:r>
      <w:r w:rsidR="00C43BCE">
        <w:rPr>
          <w:lang w:val="en-GB"/>
        </w:rPr>
        <w:t>Holt</w:t>
      </w:r>
      <w:r w:rsidR="00907309">
        <w:rPr>
          <w:lang w:val="en-GB"/>
        </w:rPr>
        <w:t xml:space="preserve"> argued </w:t>
      </w:r>
      <w:r w:rsidR="00195CD7" w:rsidRPr="00195CD7">
        <w:rPr>
          <w:lang w:val="en-GB"/>
        </w:rPr>
        <w:t>that Eliade had one of the most impactful and fruitful scholarly careers in the field of religious studies throughout the twentieth century.</w:t>
      </w:r>
      <w:r w:rsidR="00195CD7">
        <w:rPr>
          <w:rStyle w:val="Funotenzeichen"/>
          <w:lang w:val="en-GB"/>
        </w:rPr>
        <w:footnoteReference w:id="8"/>
      </w:r>
      <w:r w:rsidR="00195CD7">
        <w:rPr>
          <w:lang w:val="en-GB"/>
        </w:rPr>
        <w:t xml:space="preserve"> </w:t>
      </w:r>
      <w:r w:rsidR="006412D6">
        <w:rPr>
          <w:lang w:val="en-GB"/>
        </w:rPr>
        <w:t>Douglas Allan</w:t>
      </w:r>
      <w:r w:rsidR="00907309">
        <w:rPr>
          <w:lang w:val="en-GB"/>
        </w:rPr>
        <w:t xml:space="preserve"> agreed with this</w:t>
      </w:r>
      <w:r w:rsidR="003A29F2">
        <w:rPr>
          <w:lang w:val="en-GB"/>
        </w:rPr>
        <w:t>, writing</w:t>
      </w:r>
      <w:r w:rsidR="00907309">
        <w:rPr>
          <w:lang w:val="en-GB"/>
        </w:rPr>
        <w:t xml:space="preserve"> that </w:t>
      </w:r>
      <w:r w:rsidR="006412D6">
        <w:rPr>
          <w:lang w:val="en-GB"/>
        </w:rPr>
        <w:t xml:space="preserve">Eliade </w:t>
      </w:r>
      <w:r w:rsidRPr="003C71F7">
        <w:rPr>
          <w:lang w:val="en-GB"/>
        </w:rPr>
        <w:t>was seen as the leading theorist of religion and scholar of religious myth and symbolism during his lifetime</w:t>
      </w:r>
      <w:r w:rsidR="002378EF">
        <w:rPr>
          <w:lang w:val="en-GB"/>
        </w:rPr>
        <w:t>.</w:t>
      </w:r>
      <w:r w:rsidR="00BD3373">
        <w:rPr>
          <w:rStyle w:val="Funotenzeichen"/>
          <w:lang w:val="en-GB"/>
        </w:rPr>
        <w:footnoteReference w:id="9"/>
      </w:r>
      <w:r w:rsidR="00174AA2">
        <w:rPr>
          <w:lang w:val="en-GB"/>
        </w:rPr>
        <w:t xml:space="preserve"> </w:t>
      </w:r>
    </w:p>
    <w:p w14:paraId="04169859" w14:textId="77777777" w:rsidR="00DB184B" w:rsidRDefault="00DB184B" w:rsidP="00DB184B">
      <w:pPr>
        <w:rPr>
          <w:lang w:val="en-GB"/>
        </w:rPr>
      </w:pPr>
      <w:r>
        <w:rPr>
          <w:lang w:val="en-GB"/>
        </w:rPr>
        <w:t xml:space="preserve">The idea of space as sacred had entered Western academic thought in between Durkheim’s and Eliade’s work, first through René Guénon, who wrote about the landscape of Glastonbury, UK, </w:t>
      </w:r>
      <w:r>
        <w:rPr>
          <w:lang w:val="en-GB"/>
        </w:rPr>
        <w:lastRenderedPageBreak/>
        <w:t>considering it a ‘primordial centre’ connected to the story of the Holy Grail.</w:t>
      </w:r>
      <w:r>
        <w:rPr>
          <w:rStyle w:val="Funotenzeichen"/>
          <w:lang w:val="en-GB"/>
        </w:rPr>
        <w:footnoteReference w:id="10"/>
      </w:r>
      <w:r>
        <w:rPr>
          <w:lang w:val="en-GB"/>
        </w:rPr>
        <w:t xml:space="preserve"> And, only three years later, in 1939, Josef Heinsch wrote a paper titled ‘Principles of Prehistoric Sacred Geography’.</w:t>
      </w:r>
      <w:r>
        <w:rPr>
          <w:rStyle w:val="Funotenzeichen"/>
          <w:lang w:val="en-GB"/>
        </w:rPr>
        <w:footnoteReference w:id="11"/>
      </w:r>
      <w:r>
        <w:rPr>
          <w:lang w:val="en-GB"/>
        </w:rPr>
        <w:t xml:space="preserve"> </w:t>
      </w:r>
    </w:p>
    <w:p w14:paraId="2ACB036E" w14:textId="7E794634" w:rsidR="00BD3373" w:rsidRDefault="007D6435" w:rsidP="00B32CE5">
      <w:pPr>
        <w:rPr>
          <w:lang w:val="en-GB"/>
        </w:rPr>
      </w:pPr>
      <w:r w:rsidRPr="0072118F">
        <w:rPr>
          <w:lang w:val="en-GB"/>
        </w:rPr>
        <w:t xml:space="preserve">In the decades after the </w:t>
      </w:r>
      <w:r w:rsidR="00584662">
        <w:rPr>
          <w:lang w:val="en-GB"/>
        </w:rPr>
        <w:t>works</w:t>
      </w:r>
      <w:r w:rsidR="00DB184B">
        <w:rPr>
          <w:lang w:val="en-GB"/>
        </w:rPr>
        <w:t xml:space="preserve"> of Durkheim and Eliade</w:t>
      </w:r>
      <w:r>
        <w:rPr>
          <w:lang w:val="en-GB"/>
        </w:rPr>
        <w:t>, the</w:t>
      </w:r>
      <w:r w:rsidRPr="0072118F">
        <w:rPr>
          <w:lang w:val="en-GB"/>
        </w:rPr>
        <w:t xml:space="preserve"> concept of sacred space</w:t>
      </w:r>
      <w:r>
        <w:rPr>
          <w:lang w:val="en-GB"/>
        </w:rPr>
        <w:t xml:space="preserve"> </w:t>
      </w:r>
      <w:r w:rsidRPr="0072118F">
        <w:rPr>
          <w:lang w:val="en-GB"/>
        </w:rPr>
        <w:t xml:space="preserve">has served as a foundational framework for all later researchers in the field of sacred geography, </w:t>
      </w:r>
      <w:r>
        <w:rPr>
          <w:lang w:val="en-GB"/>
        </w:rPr>
        <w:t xml:space="preserve">as </w:t>
      </w:r>
      <w:r w:rsidRPr="0072118F">
        <w:rPr>
          <w:lang w:val="en-GB"/>
        </w:rPr>
        <w:t xml:space="preserve">Kim Knott </w:t>
      </w:r>
      <w:r>
        <w:rPr>
          <w:lang w:val="en-GB"/>
        </w:rPr>
        <w:t>stated</w:t>
      </w:r>
      <w:r w:rsidRPr="0072118F">
        <w:rPr>
          <w:lang w:val="en-GB"/>
        </w:rPr>
        <w:t>.</w:t>
      </w:r>
      <w:r>
        <w:rPr>
          <w:rStyle w:val="Funotenzeichen"/>
          <w:lang w:val="en-GB"/>
        </w:rPr>
        <w:footnoteReference w:id="12"/>
      </w:r>
      <w:r w:rsidRPr="0072118F">
        <w:rPr>
          <w:lang w:val="en-GB"/>
        </w:rPr>
        <w:t xml:space="preserve"> </w:t>
      </w:r>
    </w:p>
    <w:p w14:paraId="28519B5E" w14:textId="77777777" w:rsidR="00584662" w:rsidRPr="00B32CE5" w:rsidRDefault="00584662" w:rsidP="00B32CE5">
      <w:pPr>
        <w:rPr>
          <w:lang w:val="en-GB"/>
        </w:rPr>
      </w:pPr>
    </w:p>
    <w:p w14:paraId="0D9AFA18" w14:textId="119737D5" w:rsidR="00C34A50" w:rsidRPr="00DC6811" w:rsidRDefault="00B32CE5" w:rsidP="00C34A50">
      <w:pPr>
        <w:rPr>
          <w:b/>
          <w:bCs/>
          <w:lang w:val="en-GB"/>
        </w:rPr>
      </w:pPr>
      <w:r w:rsidRPr="00457530">
        <w:rPr>
          <w:b/>
          <w:bCs/>
          <w:lang w:val="en-GB"/>
        </w:rPr>
        <w:t>Summar</w:t>
      </w:r>
      <w:r w:rsidR="00DC6811">
        <w:rPr>
          <w:b/>
          <w:bCs/>
          <w:lang w:val="en-GB"/>
        </w:rPr>
        <w:t>y</w:t>
      </w:r>
      <w:r w:rsidR="00C34A50">
        <w:rPr>
          <w:b/>
          <w:bCs/>
          <w:lang w:val="en-GB"/>
        </w:rPr>
        <w:t xml:space="preserve"> of</w:t>
      </w:r>
      <w:r w:rsidR="00C34A50" w:rsidRPr="00DC6811">
        <w:rPr>
          <w:b/>
          <w:bCs/>
          <w:lang w:val="en-GB"/>
        </w:rPr>
        <w:t xml:space="preserve"> Eliade</w:t>
      </w:r>
      <w:r w:rsidR="00853B01">
        <w:rPr>
          <w:b/>
          <w:bCs/>
          <w:lang w:val="en-GB"/>
        </w:rPr>
        <w:t>’s</w:t>
      </w:r>
      <w:r w:rsidR="00C34A50" w:rsidRPr="00DC6811">
        <w:rPr>
          <w:b/>
          <w:bCs/>
          <w:lang w:val="en-GB"/>
        </w:rPr>
        <w:t xml:space="preserve"> and Durkheim’s views of sacred space</w:t>
      </w:r>
    </w:p>
    <w:p w14:paraId="03178970" w14:textId="0719091E" w:rsidR="001460F5" w:rsidRDefault="009D6041" w:rsidP="00B32CE5">
      <w:pPr>
        <w:rPr>
          <w:lang w:val="en-GB"/>
        </w:rPr>
      </w:pPr>
      <w:r w:rsidRPr="009E649F">
        <w:rPr>
          <w:lang w:val="en-GB"/>
        </w:rPr>
        <w:t xml:space="preserve">Durkheim’s view </w:t>
      </w:r>
      <w:r>
        <w:rPr>
          <w:lang w:val="en-GB"/>
        </w:rPr>
        <w:t>of sacred space, according to Field, held that nothing was inherently sacred; rather</w:t>
      </w:r>
      <w:r w:rsidRPr="009E649F">
        <w:rPr>
          <w:lang w:val="en-GB"/>
        </w:rPr>
        <w:t>, humans assign</w:t>
      </w:r>
      <w:r>
        <w:rPr>
          <w:lang w:val="en-GB"/>
        </w:rPr>
        <w:t>ed</w:t>
      </w:r>
      <w:r w:rsidRPr="009E649F">
        <w:rPr>
          <w:lang w:val="en-GB"/>
        </w:rPr>
        <w:t xml:space="preserve"> sacredness to objects, places, and individuals through their beliefs and actions.</w:t>
      </w:r>
      <w:r>
        <w:rPr>
          <w:rStyle w:val="Funotenzeichen"/>
          <w:lang w:val="en-GB"/>
        </w:rPr>
        <w:footnoteReference w:id="13"/>
      </w:r>
      <w:r>
        <w:rPr>
          <w:lang w:val="en-GB"/>
        </w:rPr>
        <w:t xml:space="preserve"> </w:t>
      </w:r>
      <w:r>
        <w:rPr>
          <w:lang w:val="en-GB"/>
        </w:rPr>
        <w:t>Sacredness</w:t>
      </w:r>
      <w:r w:rsidRPr="009E649F">
        <w:rPr>
          <w:lang w:val="en-GB"/>
        </w:rPr>
        <w:t xml:space="preserve"> </w:t>
      </w:r>
      <w:r>
        <w:rPr>
          <w:lang w:val="en-GB"/>
        </w:rPr>
        <w:t>was</w:t>
      </w:r>
      <w:r w:rsidRPr="009E649F">
        <w:rPr>
          <w:lang w:val="en-GB"/>
        </w:rPr>
        <w:t xml:space="preserve"> a socially constructed phenomenon</w:t>
      </w:r>
      <w:r>
        <w:rPr>
          <w:lang w:val="en-GB"/>
        </w:rPr>
        <w:t xml:space="preserve"> to him, as Jack Hunter noted.</w:t>
      </w:r>
      <w:r>
        <w:rPr>
          <w:rStyle w:val="Funotenzeichen"/>
          <w:lang w:val="en-GB"/>
        </w:rPr>
        <w:footnoteReference w:id="14"/>
      </w:r>
      <w:r>
        <w:rPr>
          <w:lang w:val="en-GB"/>
        </w:rPr>
        <w:t xml:space="preserve"> </w:t>
      </w:r>
      <w:r>
        <w:rPr>
          <w:lang w:val="en-GB"/>
        </w:rPr>
        <w:t xml:space="preserve">For him, so Hunter, the sacred emerged from a cultural distinction between the everyday and the profane, and from </w:t>
      </w:r>
      <w:r w:rsidRPr="009E649F">
        <w:rPr>
          <w:lang w:val="en-GB"/>
        </w:rPr>
        <w:t>items or locations deemed special by specific social groups. This distinction</w:t>
      </w:r>
      <w:r>
        <w:rPr>
          <w:lang w:val="en-GB"/>
        </w:rPr>
        <w:t xml:space="preserve"> was being</w:t>
      </w:r>
      <w:r w:rsidRPr="009E649F">
        <w:rPr>
          <w:lang w:val="en-GB"/>
        </w:rPr>
        <w:t xml:space="preserve"> reinforced through collective rituals and taboos, which </w:t>
      </w:r>
      <w:r>
        <w:rPr>
          <w:lang w:val="en-GB"/>
        </w:rPr>
        <w:t>influenced</w:t>
      </w:r>
      <w:r w:rsidRPr="009E649F">
        <w:rPr>
          <w:lang w:val="en-GB"/>
        </w:rPr>
        <w:t xml:space="preserve"> how people interact</w:t>
      </w:r>
      <w:r>
        <w:rPr>
          <w:lang w:val="en-GB"/>
        </w:rPr>
        <w:t>ed</w:t>
      </w:r>
      <w:r w:rsidRPr="009E649F">
        <w:rPr>
          <w:lang w:val="en-GB"/>
        </w:rPr>
        <w:t xml:space="preserve"> with the sacred, further separating it from the ordinary.</w:t>
      </w:r>
      <w:r>
        <w:rPr>
          <w:rStyle w:val="Funotenzeichen"/>
          <w:lang w:val="en-GB"/>
        </w:rPr>
        <w:footnoteReference w:id="15"/>
      </w:r>
      <w:r w:rsidRPr="009E649F">
        <w:rPr>
          <w:lang w:val="en-GB"/>
        </w:rPr>
        <w:t xml:space="preserve"> </w:t>
      </w:r>
      <w:r w:rsidR="00F72F3D" w:rsidRPr="005B4A22">
        <w:rPr>
          <w:lang w:val="en-GB"/>
        </w:rPr>
        <w:t>Durkheim suggested</w:t>
      </w:r>
      <w:r w:rsidR="00F72F3D">
        <w:rPr>
          <w:lang w:val="en-GB"/>
        </w:rPr>
        <w:t xml:space="preserve">, according to </w:t>
      </w:r>
      <w:r w:rsidR="00F72F3D" w:rsidRPr="005B4A22">
        <w:rPr>
          <w:lang w:val="en-GB"/>
        </w:rPr>
        <w:t>Hunter</w:t>
      </w:r>
      <w:r w:rsidR="00F72F3D">
        <w:rPr>
          <w:lang w:val="en-GB"/>
        </w:rPr>
        <w:t xml:space="preserve">, </w:t>
      </w:r>
      <w:r w:rsidR="00F72F3D" w:rsidRPr="005B4A22">
        <w:rPr>
          <w:lang w:val="en-GB"/>
        </w:rPr>
        <w:t>that human societies develop the concept of the sacred by distinguishing it from the profane. This distinction is established within a culture and shapes how people interact with certain objects or places</w:t>
      </w:r>
      <w:r w:rsidR="00F72F3D">
        <w:rPr>
          <w:lang w:val="en-GB"/>
        </w:rPr>
        <w:t>, Hunter wrote.</w:t>
      </w:r>
      <w:r w:rsidR="00F72F3D">
        <w:rPr>
          <w:rStyle w:val="Funotenzeichen"/>
          <w:lang w:val="en-GB"/>
        </w:rPr>
        <w:footnoteReference w:id="16"/>
      </w:r>
      <w:r w:rsidR="00F72F3D">
        <w:rPr>
          <w:lang w:val="en-GB"/>
        </w:rPr>
        <w:t xml:space="preserve"> </w:t>
      </w:r>
      <w:r w:rsidR="00F72F3D">
        <w:rPr>
          <w:lang w:val="en-GB"/>
        </w:rPr>
        <w:t>T</w:t>
      </w:r>
      <w:r w:rsidR="009A1FCD" w:rsidRPr="00D87E01">
        <w:rPr>
          <w:lang w:val="en-GB"/>
        </w:rPr>
        <w:t>here was nothing that was inherently sacred in itself</w:t>
      </w:r>
      <w:r w:rsidR="00F72F3D">
        <w:rPr>
          <w:lang w:val="en-GB"/>
        </w:rPr>
        <w:t xml:space="preserve">, according to Hunter, </w:t>
      </w:r>
      <w:r w:rsidR="009A1FCD" w:rsidRPr="00D87E01">
        <w:rPr>
          <w:lang w:val="en-GB"/>
        </w:rPr>
        <w:t>sacredness was a socially constructed phenomenon</w:t>
      </w:r>
      <w:r w:rsidR="00F72F3D">
        <w:rPr>
          <w:lang w:val="en-GB"/>
        </w:rPr>
        <w:t xml:space="preserve"> for Durkheim</w:t>
      </w:r>
      <w:r w:rsidR="009A1FCD" w:rsidRPr="00D87E01">
        <w:rPr>
          <w:lang w:val="en-GB"/>
        </w:rPr>
        <w:t>.</w:t>
      </w:r>
      <w:r w:rsidR="009A1FCD">
        <w:rPr>
          <w:rStyle w:val="Funotenzeichen"/>
          <w:lang w:val="en-GB"/>
        </w:rPr>
        <w:footnoteReference w:id="17"/>
      </w:r>
      <w:r w:rsidR="009A1FCD" w:rsidRPr="00D87E01">
        <w:rPr>
          <w:lang w:val="en-GB"/>
        </w:rPr>
        <w:t xml:space="preserve"> </w:t>
      </w:r>
      <w:r>
        <w:rPr>
          <w:lang w:val="en-GB"/>
        </w:rPr>
        <w:t xml:space="preserve">By contrast, </w:t>
      </w:r>
      <w:r w:rsidRPr="00A25468">
        <w:rPr>
          <w:lang w:val="en-GB"/>
        </w:rPr>
        <w:t xml:space="preserve">Eliade understood the sacred </w:t>
      </w:r>
      <w:r>
        <w:rPr>
          <w:lang w:val="en-GB"/>
        </w:rPr>
        <w:t>as something external to humans, ‘</w:t>
      </w:r>
      <w:r w:rsidRPr="00AC2D74">
        <w:rPr>
          <w:lang w:val="en-GB"/>
        </w:rPr>
        <w:t>which bursts through the profane reality of the natural world</w:t>
      </w:r>
      <w:r>
        <w:rPr>
          <w:lang w:val="en-GB"/>
        </w:rPr>
        <w:t>,’ Hunter argued.</w:t>
      </w:r>
      <w:r>
        <w:rPr>
          <w:rStyle w:val="Funotenzeichen"/>
          <w:lang w:val="en-GB"/>
        </w:rPr>
        <w:footnoteReference w:id="18"/>
      </w:r>
      <w:r>
        <w:rPr>
          <w:lang w:val="en-GB"/>
        </w:rPr>
        <w:t xml:space="preserve"> </w:t>
      </w:r>
      <w:r w:rsidR="000B5F37">
        <w:rPr>
          <w:lang w:val="en-GB"/>
        </w:rPr>
        <w:t xml:space="preserve">Eliade </w:t>
      </w:r>
      <w:r w:rsidR="000B5F37" w:rsidRPr="00526209">
        <w:rPr>
          <w:lang w:val="en-GB"/>
        </w:rPr>
        <w:t>emphasise</w:t>
      </w:r>
      <w:r w:rsidR="000B5F37">
        <w:rPr>
          <w:lang w:val="en-GB"/>
        </w:rPr>
        <w:t>d</w:t>
      </w:r>
      <w:r w:rsidR="000B5F37" w:rsidRPr="00526209">
        <w:rPr>
          <w:lang w:val="en-GB"/>
        </w:rPr>
        <w:t xml:space="preserve"> </w:t>
      </w:r>
      <w:r w:rsidR="000B5F37">
        <w:rPr>
          <w:lang w:val="en-GB"/>
        </w:rPr>
        <w:t xml:space="preserve">the importance of understanding religious experiences through their direct manifestations, calling them </w:t>
      </w:r>
      <w:r w:rsidR="000B5F37" w:rsidRPr="00526209">
        <w:rPr>
          <w:lang w:val="en-GB"/>
        </w:rPr>
        <w:t>‘hierophanies’</w:t>
      </w:r>
      <w:r w:rsidR="000B5F37" w:rsidRPr="00D87E01">
        <w:rPr>
          <w:lang w:val="en-GB"/>
        </w:rPr>
        <w:t>.</w:t>
      </w:r>
      <w:r w:rsidR="003F7401">
        <w:rPr>
          <w:rStyle w:val="Funotenzeichen"/>
          <w:lang w:val="en-GB"/>
        </w:rPr>
        <w:footnoteReference w:id="19"/>
      </w:r>
      <w:r w:rsidR="000B5F37">
        <w:rPr>
          <w:lang w:val="en-GB"/>
        </w:rPr>
        <w:t xml:space="preserve"> </w:t>
      </w:r>
    </w:p>
    <w:p w14:paraId="230A521B" w14:textId="77777777" w:rsidR="000B5F37" w:rsidRDefault="000B5F37" w:rsidP="00B32CE5">
      <w:pPr>
        <w:rPr>
          <w:b/>
          <w:bCs/>
          <w:lang w:val="en-GB"/>
        </w:rPr>
      </w:pPr>
    </w:p>
    <w:p w14:paraId="0BCE2D57" w14:textId="3670DE3B" w:rsidR="00B32CE5" w:rsidRPr="00715C56" w:rsidRDefault="00B32CE5" w:rsidP="00B32CE5">
      <w:pPr>
        <w:rPr>
          <w:b/>
          <w:bCs/>
          <w:lang w:val="en-GB"/>
        </w:rPr>
      </w:pPr>
      <w:r w:rsidRPr="00715C56">
        <w:rPr>
          <w:b/>
          <w:bCs/>
          <w:lang w:val="en-GB"/>
        </w:rPr>
        <w:t>Analy</w:t>
      </w:r>
      <w:r w:rsidR="00585FC8">
        <w:rPr>
          <w:b/>
          <w:bCs/>
          <w:lang w:val="en-GB"/>
        </w:rPr>
        <w:t>sis</w:t>
      </w:r>
      <w:r w:rsidRPr="00715C56">
        <w:rPr>
          <w:b/>
          <w:bCs/>
          <w:lang w:val="en-GB"/>
        </w:rPr>
        <w:t xml:space="preserve"> </w:t>
      </w:r>
    </w:p>
    <w:p w14:paraId="7A4C2308" w14:textId="76145446" w:rsidR="000B5F37" w:rsidRDefault="000B5F37" w:rsidP="008A2A43">
      <w:pPr>
        <w:pStyle w:val="Listenabsatz"/>
        <w:numPr>
          <w:ilvl w:val="0"/>
          <w:numId w:val="4"/>
        </w:numPr>
        <w:rPr>
          <w:b/>
          <w:bCs/>
          <w:lang w:val="en-GB"/>
        </w:rPr>
      </w:pPr>
      <w:r>
        <w:rPr>
          <w:b/>
          <w:bCs/>
          <w:lang w:val="en-GB"/>
        </w:rPr>
        <w:t>Profane space versus sacred space</w:t>
      </w:r>
    </w:p>
    <w:p w14:paraId="411C386C" w14:textId="205337FC" w:rsidR="000B5F37" w:rsidRPr="000B5F37" w:rsidRDefault="00CB5017" w:rsidP="000B5F37">
      <w:pPr>
        <w:rPr>
          <w:lang w:val="en-GB"/>
        </w:rPr>
      </w:pPr>
      <w:r>
        <w:rPr>
          <w:lang w:val="en-GB"/>
        </w:rPr>
        <w:t xml:space="preserve">It was </w:t>
      </w:r>
      <w:r w:rsidR="000B5F37" w:rsidRPr="000B5F37">
        <w:rPr>
          <w:lang w:val="en-GB"/>
        </w:rPr>
        <w:t xml:space="preserve">Durkheim </w:t>
      </w:r>
      <w:r>
        <w:rPr>
          <w:lang w:val="en-GB"/>
        </w:rPr>
        <w:t xml:space="preserve">who </w:t>
      </w:r>
      <w:r w:rsidR="002C3AD6">
        <w:rPr>
          <w:lang w:val="en-GB"/>
        </w:rPr>
        <w:t>first brought attention to the differentiation between ‘sacred and profane’.</w:t>
      </w:r>
      <w:r w:rsidR="002C3AD6">
        <w:rPr>
          <w:rStyle w:val="Funotenzeichen"/>
          <w:lang w:val="en-GB"/>
        </w:rPr>
        <w:footnoteReference w:id="20"/>
      </w:r>
      <w:r w:rsidR="002C3AD6">
        <w:rPr>
          <w:lang w:val="en-GB"/>
        </w:rPr>
        <w:t xml:space="preserve"> He </w:t>
      </w:r>
      <w:r w:rsidR="000B5F37" w:rsidRPr="000B5F37">
        <w:rPr>
          <w:lang w:val="en-GB"/>
        </w:rPr>
        <w:t>defined the profane world as holding no real significance, a merely mundane world, saying that ‘the sacred forces are not distinguished from the profane merely by their greater intensity; they are different; they have special qualities that the profane have not.’</w:t>
      </w:r>
      <w:r w:rsidR="000B5F37">
        <w:rPr>
          <w:rStyle w:val="Funotenzeichen"/>
          <w:lang w:val="en-GB"/>
        </w:rPr>
        <w:footnoteReference w:id="21"/>
      </w:r>
      <w:r w:rsidR="000B5F37" w:rsidRPr="000B5F37">
        <w:rPr>
          <w:lang w:val="en-GB"/>
        </w:rPr>
        <w:t xml:space="preserve"> In his view, the sacred was consistently distinct from the idea of the profane in human thought.</w:t>
      </w:r>
      <w:r w:rsidR="000B5F37">
        <w:rPr>
          <w:rStyle w:val="Funotenzeichen"/>
          <w:lang w:val="en-GB"/>
        </w:rPr>
        <w:footnoteReference w:id="22"/>
      </w:r>
      <w:r w:rsidR="000B5F37" w:rsidRPr="000B5F37">
        <w:rPr>
          <w:lang w:val="en-GB"/>
        </w:rPr>
        <w:t xml:space="preserve"> Sacred spaces were areas that individuals had designated as holy, distinguishing them from ordinary or secular places, Durkheim wrote.</w:t>
      </w:r>
      <w:r w:rsidR="000B5F37" w:rsidRPr="005B4C69">
        <w:rPr>
          <w:rStyle w:val="Funotenzeichen"/>
          <w:lang w:val="en-GB"/>
        </w:rPr>
        <w:footnoteReference w:id="23"/>
      </w:r>
      <w:r w:rsidR="000B5F37" w:rsidRPr="000B5F37">
        <w:rPr>
          <w:lang w:val="en-GB"/>
        </w:rPr>
        <w:t xml:space="preserve"> This is in accordance with what Anthony Thorley and Celia M. Gunn noted about the Latin word ‘</w:t>
      </w:r>
      <w:proofErr w:type="spellStart"/>
      <w:r w:rsidR="000B5F37" w:rsidRPr="000B5F37">
        <w:rPr>
          <w:lang w:val="en-GB"/>
        </w:rPr>
        <w:t>sacer</w:t>
      </w:r>
      <w:proofErr w:type="spellEnd"/>
      <w:r w:rsidR="000B5F37" w:rsidRPr="000B5F37">
        <w:rPr>
          <w:lang w:val="en-GB"/>
        </w:rPr>
        <w:t>’, stating that it lies at the root of the English word ‘sacred’, which typically means ‘set apart for a religious purpose.'</w:t>
      </w:r>
      <w:r w:rsidR="000B5F37">
        <w:rPr>
          <w:rStyle w:val="Funotenzeichen"/>
          <w:lang w:val="en-GB"/>
        </w:rPr>
        <w:footnoteReference w:id="24"/>
      </w:r>
      <w:r w:rsidR="000B5F37" w:rsidRPr="000B5F37">
        <w:rPr>
          <w:lang w:val="en-GB"/>
        </w:rPr>
        <w:t xml:space="preserve"> Therefore, for Durkheim, the sacred represented what was revered and protected, standing in contrast to the profane, which referred to the everyday and mundane aspects of life. This relationship came with strict boundaries, though: the profane had to avoid trespassing into the sacred realm, yet interaction between the two worlds was essential for him.</w:t>
      </w:r>
      <w:r w:rsidR="000B5F37">
        <w:rPr>
          <w:rStyle w:val="Funotenzeichen"/>
          <w:lang w:val="en-GB"/>
        </w:rPr>
        <w:footnoteReference w:id="25"/>
      </w:r>
      <w:r w:rsidR="000B5F37" w:rsidRPr="000B5F37">
        <w:rPr>
          <w:lang w:val="en-GB"/>
        </w:rPr>
        <w:t xml:space="preserve"> </w:t>
      </w:r>
    </w:p>
    <w:p w14:paraId="72AD4FFD" w14:textId="3748AC63" w:rsidR="000B5F37" w:rsidRDefault="000B5F37" w:rsidP="000B5F37">
      <w:pPr>
        <w:rPr>
          <w:lang w:val="en-GB"/>
        </w:rPr>
      </w:pPr>
      <w:r w:rsidRPr="000B5F37">
        <w:rPr>
          <w:lang w:val="en-GB"/>
        </w:rPr>
        <w:t>Eliade</w:t>
      </w:r>
      <w:r>
        <w:rPr>
          <w:lang w:val="en-GB"/>
        </w:rPr>
        <w:t xml:space="preserve"> </w:t>
      </w:r>
      <w:r w:rsidRPr="000B5F37">
        <w:rPr>
          <w:lang w:val="en-GB"/>
        </w:rPr>
        <w:t>argued along the same lines as Durkheim, writing that ‘Man becomes aware of the sacred because it manifests itself, shows itself, as something wholly different from the profane.’</w:t>
      </w:r>
      <w:r>
        <w:rPr>
          <w:rStyle w:val="Funotenzeichen"/>
          <w:lang w:val="en-GB"/>
        </w:rPr>
        <w:footnoteReference w:id="26"/>
      </w:r>
      <w:r w:rsidRPr="000B5F37">
        <w:rPr>
          <w:lang w:val="en-GB"/>
        </w:rPr>
        <w:t xml:space="preserve"> He took up the terms ‘sacred and profane’ and even titled one of his books accordingly.</w:t>
      </w:r>
      <w:r>
        <w:rPr>
          <w:rStyle w:val="Funotenzeichen"/>
          <w:lang w:val="en-GB"/>
        </w:rPr>
        <w:footnoteReference w:id="27"/>
      </w:r>
      <w:r w:rsidRPr="000B5F37">
        <w:rPr>
          <w:lang w:val="en-GB"/>
        </w:rPr>
        <w:t xml:space="preserve"> He argued that religious history showcases various manifestations of sacred realities, known as hierophanies, by which the sacred showed itself.</w:t>
      </w:r>
      <w:r>
        <w:rPr>
          <w:rStyle w:val="Funotenzeichen"/>
          <w:lang w:val="en-GB"/>
        </w:rPr>
        <w:footnoteReference w:id="28"/>
      </w:r>
      <w:r w:rsidRPr="000B5F37">
        <w:rPr>
          <w:lang w:val="en-GB"/>
        </w:rPr>
        <w:t xml:space="preserve"> For Eliade, according to Hunter, there was something that could come from an external, non-human source. The structure of profane and everyday natural reality can be permeated by something of ‘supernatural’ origin, as Hunter put it.</w:t>
      </w:r>
      <w:r>
        <w:rPr>
          <w:rStyle w:val="Funotenzeichen"/>
          <w:lang w:val="en-GB"/>
        </w:rPr>
        <w:footnoteReference w:id="29"/>
      </w:r>
      <w:r w:rsidRPr="000B5F37">
        <w:rPr>
          <w:lang w:val="en-GB"/>
        </w:rPr>
        <w:t xml:space="preserve"> Therefore, in contrast to Durkheim, for Eliade it was an external power that created sacred space, or to put it in his own words: ‘the hierophany has annulled the homogeneity of space.’</w:t>
      </w:r>
      <w:r>
        <w:rPr>
          <w:rStyle w:val="Funotenzeichen"/>
          <w:lang w:val="en-GB"/>
        </w:rPr>
        <w:footnoteReference w:id="30"/>
      </w:r>
      <w:r w:rsidRPr="000B5F37">
        <w:rPr>
          <w:lang w:val="en-GB"/>
        </w:rPr>
        <w:t xml:space="preserve"> </w:t>
      </w:r>
    </w:p>
    <w:p w14:paraId="3CFBEE02" w14:textId="77777777" w:rsidR="00A26EC6" w:rsidRPr="000B5F37" w:rsidRDefault="00A26EC6" w:rsidP="000B5F37">
      <w:pPr>
        <w:rPr>
          <w:lang w:val="en-GB"/>
        </w:rPr>
      </w:pPr>
    </w:p>
    <w:p w14:paraId="4708DD78" w14:textId="01084FFE" w:rsidR="000B5F37" w:rsidRPr="00A26EC6" w:rsidRDefault="000B5F37" w:rsidP="00A26EC6">
      <w:pPr>
        <w:pStyle w:val="Listenabsatz"/>
        <w:numPr>
          <w:ilvl w:val="0"/>
          <w:numId w:val="4"/>
        </w:numPr>
        <w:rPr>
          <w:b/>
          <w:bCs/>
          <w:lang w:val="en-GB"/>
        </w:rPr>
      </w:pPr>
      <w:r w:rsidRPr="00A26EC6">
        <w:rPr>
          <w:b/>
          <w:bCs/>
          <w:lang w:val="en-GB"/>
        </w:rPr>
        <w:t xml:space="preserve">The interaction between the </w:t>
      </w:r>
      <w:r w:rsidR="002E799E" w:rsidRPr="00A26EC6">
        <w:rPr>
          <w:b/>
          <w:bCs/>
          <w:lang w:val="en-GB"/>
        </w:rPr>
        <w:t>realm of the sacred and the profane</w:t>
      </w:r>
    </w:p>
    <w:p w14:paraId="7402C3B7" w14:textId="2BA065B3" w:rsidR="0068552A" w:rsidRDefault="00F72F3D" w:rsidP="0068552A">
      <w:pPr>
        <w:rPr>
          <w:lang w:val="en-GB"/>
        </w:rPr>
      </w:pPr>
      <w:r>
        <w:rPr>
          <w:lang w:val="en-GB"/>
        </w:rPr>
        <w:t>According to Durkheim, the ordinary needed to avoid trespassing into the sacred realm, yet</w:t>
      </w:r>
      <w:r w:rsidR="005B4A22">
        <w:rPr>
          <w:lang w:val="en-GB"/>
        </w:rPr>
        <w:t xml:space="preserve"> </w:t>
      </w:r>
      <w:r w:rsidR="005B4A22" w:rsidRPr="000B5F37">
        <w:rPr>
          <w:lang w:val="en-GB"/>
        </w:rPr>
        <w:t xml:space="preserve">interactions between these two spheres </w:t>
      </w:r>
      <w:r w:rsidR="005B4A22">
        <w:rPr>
          <w:lang w:val="en-GB"/>
        </w:rPr>
        <w:t>were</w:t>
      </w:r>
      <w:r w:rsidR="005B4A22" w:rsidRPr="000B5F37">
        <w:rPr>
          <w:lang w:val="en-GB"/>
        </w:rPr>
        <w:t xml:space="preserve"> essential for a functional society</w:t>
      </w:r>
      <w:r w:rsidR="005B4A22">
        <w:rPr>
          <w:lang w:val="en-GB"/>
        </w:rPr>
        <w:t>.</w:t>
      </w:r>
      <w:r w:rsidR="005B4A22">
        <w:rPr>
          <w:rStyle w:val="Funotenzeichen"/>
          <w:lang w:val="en-GB"/>
        </w:rPr>
        <w:footnoteReference w:id="31"/>
      </w:r>
      <w:r w:rsidR="005B4A22">
        <w:rPr>
          <w:lang w:val="en-GB"/>
        </w:rPr>
        <w:t xml:space="preserve"> </w:t>
      </w:r>
      <w:r w:rsidR="0068552A">
        <w:rPr>
          <w:lang w:val="en-GB"/>
        </w:rPr>
        <w:t>According to Robert Prus, r</w:t>
      </w:r>
      <w:r w:rsidR="0068552A" w:rsidRPr="0068552A">
        <w:rPr>
          <w:lang w:val="en-GB"/>
        </w:rPr>
        <w:t xml:space="preserve">eality </w:t>
      </w:r>
      <w:r w:rsidR="009A1FCD">
        <w:rPr>
          <w:lang w:val="en-GB"/>
        </w:rPr>
        <w:t>for Durkheim was</w:t>
      </w:r>
      <w:r w:rsidR="0068552A" w:rsidRPr="0068552A">
        <w:rPr>
          <w:lang w:val="en-GB"/>
        </w:rPr>
        <w:t xml:space="preserve"> created at the intersection of individual experiences and the events </w:t>
      </w:r>
      <w:r w:rsidR="0068552A">
        <w:rPr>
          <w:lang w:val="en-GB"/>
        </w:rPr>
        <w:t>and objects encountered</w:t>
      </w:r>
      <w:r w:rsidR="0068552A" w:rsidRPr="0068552A">
        <w:rPr>
          <w:lang w:val="en-GB"/>
        </w:rPr>
        <w:t xml:space="preserve">. Each </w:t>
      </w:r>
      <w:r w:rsidR="0068552A">
        <w:rPr>
          <w:lang w:val="en-GB"/>
        </w:rPr>
        <w:t>ha</w:t>
      </w:r>
      <w:r w:rsidR="009A1FCD">
        <w:rPr>
          <w:lang w:val="en-GB"/>
        </w:rPr>
        <w:t>d</w:t>
      </w:r>
      <w:r w:rsidR="0068552A">
        <w:rPr>
          <w:lang w:val="en-GB"/>
        </w:rPr>
        <w:t xml:space="preserve"> its own history, but it </w:t>
      </w:r>
      <w:r w:rsidR="009A1FCD">
        <w:rPr>
          <w:lang w:val="en-GB"/>
        </w:rPr>
        <w:t>was</w:t>
      </w:r>
      <w:r w:rsidR="0068552A">
        <w:rPr>
          <w:lang w:val="en-GB"/>
        </w:rPr>
        <w:t xml:space="preserve"> how these experiences interact</w:t>
      </w:r>
      <w:r w:rsidR="009A1FCD">
        <w:rPr>
          <w:lang w:val="en-GB"/>
        </w:rPr>
        <w:t>ed</w:t>
      </w:r>
      <w:r w:rsidR="0068552A">
        <w:rPr>
          <w:lang w:val="en-GB"/>
        </w:rPr>
        <w:t xml:space="preserve"> with thoughts and feelings that form</w:t>
      </w:r>
      <w:r w:rsidR="009A1FCD">
        <w:rPr>
          <w:lang w:val="en-GB"/>
        </w:rPr>
        <w:t>ed</w:t>
      </w:r>
      <w:r w:rsidR="0068552A" w:rsidRPr="0068552A">
        <w:rPr>
          <w:lang w:val="en-GB"/>
        </w:rPr>
        <w:t xml:space="preserve"> reality</w:t>
      </w:r>
      <w:r w:rsidR="009A1FCD">
        <w:rPr>
          <w:lang w:val="en-GB"/>
        </w:rPr>
        <w:t>.</w:t>
      </w:r>
      <w:r w:rsidR="0068552A">
        <w:rPr>
          <w:lang w:val="en-GB"/>
        </w:rPr>
        <w:t xml:space="preserve"> </w:t>
      </w:r>
      <w:r w:rsidR="000B79C7">
        <w:rPr>
          <w:lang w:val="en-GB"/>
        </w:rPr>
        <w:t xml:space="preserve">Bernadette Brady </w:t>
      </w:r>
      <w:r w:rsidR="000B79C7" w:rsidRPr="00D87E01">
        <w:rPr>
          <w:lang w:val="en-GB"/>
        </w:rPr>
        <w:t xml:space="preserve">argued </w:t>
      </w:r>
      <w:r>
        <w:rPr>
          <w:lang w:val="en-GB"/>
        </w:rPr>
        <w:t xml:space="preserve">along that line, saying </w:t>
      </w:r>
      <w:r w:rsidR="000B79C7" w:rsidRPr="00D87E01">
        <w:rPr>
          <w:lang w:val="en-GB"/>
        </w:rPr>
        <w:t xml:space="preserve">that </w:t>
      </w:r>
      <w:r w:rsidR="000B79C7">
        <w:rPr>
          <w:lang w:val="en-GB"/>
        </w:rPr>
        <w:t>e</w:t>
      </w:r>
      <w:r w:rsidR="000B79C7" w:rsidRPr="00D87E01">
        <w:rPr>
          <w:lang w:val="en-GB"/>
        </w:rPr>
        <w:t>very location c</w:t>
      </w:r>
      <w:r w:rsidR="000B79C7">
        <w:rPr>
          <w:lang w:val="en-GB"/>
        </w:rPr>
        <w:t>ould</w:t>
      </w:r>
      <w:r w:rsidR="000B79C7" w:rsidRPr="00D87E01">
        <w:rPr>
          <w:lang w:val="en-GB"/>
        </w:rPr>
        <w:t xml:space="preserve"> be considered a 'place</w:t>
      </w:r>
      <w:r w:rsidR="000B79C7">
        <w:rPr>
          <w:lang w:val="en-GB"/>
        </w:rPr>
        <w:t>’ because humans enter</w:t>
      </w:r>
      <w:r w:rsidR="000B79C7">
        <w:rPr>
          <w:lang w:val="en-GB"/>
        </w:rPr>
        <w:t>ed</w:t>
      </w:r>
      <w:r w:rsidR="000B79C7">
        <w:rPr>
          <w:lang w:val="en-GB"/>
        </w:rPr>
        <w:t xml:space="preserve"> a specific location, spend</w:t>
      </w:r>
      <w:r w:rsidR="000B79C7">
        <w:rPr>
          <w:lang w:val="en-GB"/>
        </w:rPr>
        <w:t>ing</w:t>
      </w:r>
      <w:r w:rsidR="000B79C7">
        <w:rPr>
          <w:lang w:val="en-GB"/>
        </w:rPr>
        <w:t xml:space="preserve"> their lives there</w:t>
      </w:r>
      <w:r w:rsidR="000B79C7" w:rsidRPr="00D87E01">
        <w:rPr>
          <w:lang w:val="en-GB"/>
        </w:rPr>
        <w:t>, and ultimately pass</w:t>
      </w:r>
      <w:r w:rsidR="000B79C7">
        <w:rPr>
          <w:lang w:val="en-GB"/>
        </w:rPr>
        <w:t>ing</w:t>
      </w:r>
      <w:r w:rsidR="000B79C7" w:rsidRPr="00D87E01">
        <w:rPr>
          <w:lang w:val="en-GB"/>
        </w:rPr>
        <w:t xml:space="preserve"> away there. </w:t>
      </w:r>
      <w:r w:rsidR="000B79C7">
        <w:rPr>
          <w:lang w:val="en-GB"/>
        </w:rPr>
        <w:t>Their</w:t>
      </w:r>
      <w:r w:rsidR="000B79C7" w:rsidRPr="00D87E01">
        <w:rPr>
          <w:lang w:val="en-GB"/>
        </w:rPr>
        <w:t xml:space="preserve"> memories </w:t>
      </w:r>
      <w:r w:rsidR="000B79C7">
        <w:rPr>
          <w:lang w:val="en-GB"/>
        </w:rPr>
        <w:t>we</w:t>
      </w:r>
      <w:r w:rsidR="000B79C7" w:rsidRPr="00D87E01">
        <w:rPr>
          <w:lang w:val="en-GB"/>
        </w:rPr>
        <w:t xml:space="preserve">re tied to these </w:t>
      </w:r>
      <w:r w:rsidR="000B79C7">
        <w:rPr>
          <w:lang w:val="en-GB"/>
        </w:rPr>
        <w:t>places</w:t>
      </w:r>
      <w:r w:rsidR="000B79C7" w:rsidRPr="00D87E01">
        <w:rPr>
          <w:lang w:val="en-GB"/>
        </w:rPr>
        <w:t xml:space="preserve">, and </w:t>
      </w:r>
      <w:r w:rsidR="000B79C7">
        <w:rPr>
          <w:lang w:val="en-GB"/>
        </w:rPr>
        <w:t>they</w:t>
      </w:r>
      <w:r w:rsidR="000B79C7" w:rsidRPr="00D87E01">
        <w:rPr>
          <w:lang w:val="en-GB"/>
        </w:rPr>
        <w:t xml:space="preserve"> narrate</w:t>
      </w:r>
      <w:r w:rsidR="000B79C7">
        <w:rPr>
          <w:lang w:val="en-GB"/>
        </w:rPr>
        <w:t>d</w:t>
      </w:r>
      <w:r w:rsidR="000B79C7" w:rsidRPr="00D87E01">
        <w:rPr>
          <w:lang w:val="en-GB"/>
        </w:rPr>
        <w:t xml:space="preserve"> </w:t>
      </w:r>
      <w:r w:rsidR="000B79C7">
        <w:rPr>
          <w:lang w:val="en-GB"/>
        </w:rPr>
        <w:t>their</w:t>
      </w:r>
      <w:r w:rsidR="000B79C7" w:rsidRPr="00D87E01">
        <w:rPr>
          <w:lang w:val="en-GB"/>
        </w:rPr>
        <w:t xml:space="preserve"> lives based on them.</w:t>
      </w:r>
      <w:r w:rsidR="000B79C7">
        <w:rPr>
          <w:rStyle w:val="Funotenzeichen"/>
          <w:lang w:val="en-GB"/>
        </w:rPr>
        <w:footnoteReference w:id="32"/>
      </w:r>
      <w:r w:rsidR="000B79C7" w:rsidRPr="00D87E01">
        <w:rPr>
          <w:lang w:val="en-GB"/>
        </w:rPr>
        <w:t xml:space="preserve"> </w:t>
      </w:r>
      <w:r w:rsidR="000B79C7">
        <w:rPr>
          <w:lang w:val="en-GB"/>
        </w:rPr>
        <w:t>Prus</w:t>
      </w:r>
      <w:r>
        <w:rPr>
          <w:lang w:val="en-GB"/>
        </w:rPr>
        <w:t xml:space="preserve"> remarked</w:t>
      </w:r>
      <w:r w:rsidR="000B79C7">
        <w:rPr>
          <w:lang w:val="en-GB"/>
        </w:rPr>
        <w:t xml:space="preserve"> that </w:t>
      </w:r>
      <w:r w:rsidR="00F80850" w:rsidRPr="00584662">
        <w:rPr>
          <w:lang w:val="en-GB"/>
        </w:rPr>
        <w:t>Durkheim further elaborate</w:t>
      </w:r>
      <w:r w:rsidR="009A1FCD">
        <w:rPr>
          <w:lang w:val="en-GB"/>
        </w:rPr>
        <w:t>d</w:t>
      </w:r>
      <w:r w:rsidR="00F80850" w:rsidRPr="00584662">
        <w:rPr>
          <w:lang w:val="en-GB"/>
        </w:rPr>
        <w:t xml:space="preserve"> on the unity of thought and experience by highlighting the essence of </w:t>
      </w:r>
      <w:r w:rsidR="009A1FCD">
        <w:rPr>
          <w:lang w:val="en-GB"/>
        </w:rPr>
        <w:t>human</w:t>
      </w:r>
      <w:r w:rsidR="00F80850" w:rsidRPr="00584662">
        <w:rPr>
          <w:lang w:val="en-GB"/>
        </w:rPr>
        <w:t xml:space="preserve"> interactions with the world. It </w:t>
      </w:r>
      <w:r w:rsidR="009A1FCD">
        <w:rPr>
          <w:lang w:val="en-GB"/>
        </w:rPr>
        <w:t>was</w:t>
      </w:r>
      <w:r w:rsidR="00F80850" w:rsidRPr="00584662">
        <w:rPr>
          <w:lang w:val="en-GB"/>
        </w:rPr>
        <w:t xml:space="preserve"> through these experiences that thought and reality c</w:t>
      </w:r>
      <w:r w:rsidR="009A1FCD">
        <w:rPr>
          <w:lang w:val="en-GB"/>
        </w:rPr>
        <w:t>a</w:t>
      </w:r>
      <w:r w:rsidR="00F80850" w:rsidRPr="00584662">
        <w:rPr>
          <w:lang w:val="en-GB"/>
        </w:rPr>
        <w:t xml:space="preserve">me together, leading to the formation of what </w:t>
      </w:r>
      <w:r w:rsidR="000B79C7">
        <w:rPr>
          <w:lang w:val="en-GB"/>
        </w:rPr>
        <w:t>was</w:t>
      </w:r>
      <w:r w:rsidR="00F80850" w:rsidRPr="00584662">
        <w:rPr>
          <w:lang w:val="en-GB"/>
        </w:rPr>
        <w:t xml:space="preserve"> perceive</w:t>
      </w:r>
      <w:r w:rsidR="009A1FCD">
        <w:rPr>
          <w:lang w:val="en-GB"/>
        </w:rPr>
        <w:t>d</w:t>
      </w:r>
      <w:r w:rsidR="00F80850" w:rsidRPr="00584662">
        <w:rPr>
          <w:lang w:val="en-GB"/>
        </w:rPr>
        <w:t xml:space="preserve"> as reality. This convergence create</w:t>
      </w:r>
      <w:r w:rsidR="009A1FCD">
        <w:rPr>
          <w:lang w:val="en-GB"/>
        </w:rPr>
        <w:t>d</w:t>
      </w:r>
      <w:r w:rsidR="00F80850" w:rsidRPr="00584662">
        <w:rPr>
          <w:lang w:val="en-GB"/>
        </w:rPr>
        <w:t xml:space="preserve"> a dynamic relationship between thought and objects, allowing for a blending of the subjective and objective</w:t>
      </w:r>
      <w:r>
        <w:rPr>
          <w:lang w:val="en-GB"/>
        </w:rPr>
        <w:t>, Prus stated</w:t>
      </w:r>
      <w:r w:rsidR="00F80850" w:rsidRPr="00584662">
        <w:rPr>
          <w:lang w:val="en-GB"/>
        </w:rPr>
        <w:t>.</w:t>
      </w:r>
      <w:r>
        <w:rPr>
          <w:rStyle w:val="Funotenzeichen"/>
          <w:lang w:val="en-GB"/>
        </w:rPr>
        <w:footnoteReference w:id="33"/>
      </w:r>
      <w:r w:rsidR="00F80850" w:rsidRPr="00584662">
        <w:rPr>
          <w:lang w:val="en-GB"/>
        </w:rPr>
        <w:t xml:space="preserve"> </w:t>
      </w:r>
      <w:r>
        <w:rPr>
          <w:lang w:val="en-GB"/>
        </w:rPr>
        <w:t>Hunter</w:t>
      </w:r>
      <w:r>
        <w:rPr>
          <w:lang w:val="en-GB"/>
        </w:rPr>
        <w:t xml:space="preserve"> confirmed  this about Durkheim’s views, writing that</w:t>
      </w:r>
      <w:r w:rsidRPr="00D87E01">
        <w:rPr>
          <w:lang w:val="en-GB"/>
        </w:rPr>
        <w:t xml:space="preserve"> it </w:t>
      </w:r>
      <w:r>
        <w:rPr>
          <w:lang w:val="en-GB"/>
        </w:rPr>
        <w:t>was</w:t>
      </w:r>
      <w:r w:rsidRPr="00D87E01">
        <w:rPr>
          <w:lang w:val="en-GB"/>
        </w:rPr>
        <w:t xml:space="preserve"> human beings and their actions in the surrounding area that </w:t>
      </w:r>
      <w:r>
        <w:rPr>
          <w:lang w:val="en-GB"/>
        </w:rPr>
        <w:t>conferred</w:t>
      </w:r>
      <w:r w:rsidRPr="00D87E01">
        <w:rPr>
          <w:lang w:val="en-GB"/>
        </w:rPr>
        <w:t xml:space="preserve"> sacredness upon objects, places, and individuals.</w:t>
      </w:r>
      <w:r>
        <w:rPr>
          <w:rStyle w:val="Funotenzeichen"/>
          <w:lang w:val="en-GB"/>
        </w:rPr>
        <w:footnoteReference w:id="34"/>
      </w:r>
      <w:r w:rsidRPr="00D87E01">
        <w:rPr>
          <w:lang w:val="en-GB"/>
        </w:rPr>
        <w:t xml:space="preserve"> </w:t>
      </w:r>
      <w:r>
        <w:rPr>
          <w:lang w:val="en-GB"/>
        </w:rPr>
        <w:t>Prus further elaborated</w:t>
      </w:r>
      <w:r>
        <w:rPr>
          <w:lang w:val="en-GB"/>
        </w:rPr>
        <w:t xml:space="preserve"> that w</w:t>
      </w:r>
      <w:r w:rsidR="00F80850" w:rsidRPr="00584662">
        <w:rPr>
          <w:lang w:val="en-GB"/>
        </w:rPr>
        <w:t xml:space="preserve">hile individual experiences may have distinct histories apart from the people who </w:t>
      </w:r>
      <w:r w:rsidR="00D574C3">
        <w:rPr>
          <w:lang w:val="en-GB"/>
        </w:rPr>
        <w:t>encounter them, reality is viewed as established through</w:t>
      </w:r>
      <w:r w:rsidR="00F80850" w:rsidRPr="00584662">
        <w:rPr>
          <w:lang w:val="en-GB"/>
        </w:rPr>
        <w:t xml:space="preserve"> the interaction of these two realms of existence, shaping human experiences of feelings, images, and ideas</w:t>
      </w:r>
      <w:r w:rsidR="009A1FCD">
        <w:rPr>
          <w:lang w:val="en-GB"/>
        </w:rPr>
        <w:t>.</w:t>
      </w:r>
      <w:r w:rsidR="00F80850" w:rsidRPr="00770B4E">
        <w:rPr>
          <w:rStyle w:val="Funotenzeichen"/>
          <w:lang w:val="en-GB"/>
        </w:rPr>
        <w:footnoteReference w:id="35"/>
      </w:r>
      <w:r w:rsidR="00F80850" w:rsidRPr="00770B4E">
        <w:rPr>
          <w:lang w:val="en-GB"/>
        </w:rPr>
        <w:t xml:space="preserve"> </w:t>
      </w:r>
    </w:p>
    <w:p w14:paraId="2F12C70B" w14:textId="561180E5" w:rsidR="000B79C7" w:rsidRDefault="008801C1" w:rsidP="000B79C7">
      <w:pPr>
        <w:rPr>
          <w:lang w:val="en-GB"/>
        </w:rPr>
      </w:pPr>
      <w:r>
        <w:rPr>
          <w:lang w:val="en-GB"/>
        </w:rPr>
        <w:t>By contrast</w:t>
      </w:r>
      <w:r w:rsidR="003F1C45">
        <w:rPr>
          <w:lang w:val="en-GB"/>
        </w:rPr>
        <w:t>, f</w:t>
      </w:r>
      <w:r w:rsidR="003F1C45" w:rsidRPr="00D87E01">
        <w:rPr>
          <w:lang w:val="en-GB"/>
        </w:rPr>
        <w:t xml:space="preserve">or Eliade, </w:t>
      </w:r>
      <w:r w:rsidR="002D41C0">
        <w:rPr>
          <w:lang w:val="en-GB"/>
        </w:rPr>
        <w:t xml:space="preserve">the interaction between the realm of the sacred and the profane was connected to the fundamental concept of a centre, from which the four horizons extend into the four cardinal directions, and </w:t>
      </w:r>
      <w:r w:rsidR="002D41C0">
        <w:rPr>
          <w:lang w:val="en-GB"/>
        </w:rPr>
        <w:t>is both ancient and widely shared</w:t>
      </w:r>
      <w:r w:rsidR="002D41C0" w:rsidRPr="00BC6901">
        <w:rPr>
          <w:lang w:val="en-GB"/>
        </w:rPr>
        <w:t>.</w:t>
      </w:r>
      <w:r w:rsidR="002D41C0">
        <w:rPr>
          <w:rStyle w:val="Funotenzeichen"/>
          <w:lang w:val="en-GB"/>
        </w:rPr>
        <w:footnoteReference w:id="36"/>
      </w:r>
      <w:r w:rsidR="002D41C0">
        <w:rPr>
          <w:lang w:val="en-GB"/>
        </w:rPr>
        <w:t xml:space="preserve"> </w:t>
      </w:r>
      <w:r w:rsidR="000B79C7">
        <w:rPr>
          <w:lang w:val="en-GB"/>
        </w:rPr>
        <w:t>He argued that the centre as a central axis create</w:t>
      </w:r>
      <w:r w:rsidR="000B79C7">
        <w:rPr>
          <w:lang w:val="en-GB"/>
        </w:rPr>
        <w:t>d</w:t>
      </w:r>
      <w:r w:rsidR="000B79C7">
        <w:rPr>
          <w:lang w:val="en-GB"/>
        </w:rPr>
        <w:t xml:space="preserve"> a break in the many-faceted profane space, allowing for communication with the transcendent.</w:t>
      </w:r>
      <w:r w:rsidR="000B79C7">
        <w:rPr>
          <w:rStyle w:val="Funotenzeichen"/>
          <w:lang w:val="en-GB"/>
        </w:rPr>
        <w:footnoteReference w:id="37"/>
      </w:r>
      <w:r w:rsidR="000B79C7">
        <w:rPr>
          <w:lang w:val="en-GB"/>
        </w:rPr>
        <w:t xml:space="preserve"> It </w:t>
      </w:r>
      <w:r w:rsidR="000B79C7">
        <w:rPr>
          <w:lang w:val="en-GB"/>
        </w:rPr>
        <w:t>was</w:t>
      </w:r>
      <w:r w:rsidR="000B79C7">
        <w:rPr>
          <w:lang w:val="en-GB"/>
        </w:rPr>
        <w:t xml:space="preserve"> this experience of sacred space </w:t>
      </w:r>
      <w:r w:rsidR="000B79C7">
        <w:rPr>
          <w:lang w:val="en-GB"/>
        </w:rPr>
        <w:t>that allowed</w:t>
      </w:r>
      <w:r w:rsidR="000B79C7">
        <w:rPr>
          <w:lang w:val="en-GB"/>
        </w:rPr>
        <w:t xml:space="preserve"> for the world to be created: ‘</w:t>
      </w:r>
      <w:r w:rsidR="000B79C7" w:rsidRPr="00261D32">
        <w:rPr>
          <w:lang w:val="en-GB"/>
        </w:rPr>
        <w:t>the sacred manifests itself in space, the real unveils itself, the world comes into existence.</w:t>
      </w:r>
      <w:r w:rsidR="000B79C7">
        <w:rPr>
          <w:lang w:val="en-GB"/>
        </w:rPr>
        <w:t>’</w:t>
      </w:r>
      <w:r w:rsidR="000B79C7">
        <w:rPr>
          <w:rStyle w:val="Funotenzeichen"/>
          <w:lang w:val="en-GB"/>
        </w:rPr>
        <w:footnoteReference w:id="38"/>
      </w:r>
      <w:r w:rsidR="000B79C7">
        <w:rPr>
          <w:lang w:val="en-GB"/>
        </w:rPr>
        <w:t xml:space="preserve"> Therefore,</w:t>
      </w:r>
      <w:r w:rsidR="000B79C7">
        <w:rPr>
          <w:lang w:val="en-GB"/>
        </w:rPr>
        <w:t xml:space="preserve"> for Eliade,</w:t>
      </w:r>
      <w:r w:rsidR="000B79C7">
        <w:rPr>
          <w:lang w:val="en-GB"/>
        </w:rPr>
        <w:t xml:space="preserve"> </w:t>
      </w:r>
      <w:r w:rsidR="002D41C0">
        <w:rPr>
          <w:lang w:val="en-GB"/>
        </w:rPr>
        <w:t xml:space="preserve">interaction occurred at </w:t>
      </w:r>
      <w:r w:rsidR="000B79C7">
        <w:rPr>
          <w:lang w:val="en-GB"/>
        </w:rPr>
        <w:t xml:space="preserve">a centre </w:t>
      </w:r>
      <w:r w:rsidR="002D41C0">
        <w:rPr>
          <w:lang w:val="en-GB"/>
        </w:rPr>
        <w:t xml:space="preserve">which </w:t>
      </w:r>
      <w:r w:rsidR="000B79C7">
        <w:rPr>
          <w:lang w:val="en-GB"/>
        </w:rPr>
        <w:t>was</w:t>
      </w:r>
      <w:r w:rsidR="000B79C7">
        <w:rPr>
          <w:lang w:val="en-GB"/>
        </w:rPr>
        <w:t xml:space="preserve"> ‘a primary </w:t>
      </w:r>
      <w:r w:rsidR="000B79C7" w:rsidRPr="003F4F33">
        <w:rPr>
          <w:lang w:val="en-GB"/>
        </w:rPr>
        <w:t>religious experience that precedes all reflection on the world</w:t>
      </w:r>
      <w:r w:rsidR="000B79C7">
        <w:rPr>
          <w:lang w:val="en-GB"/>
        </w:rPr>
        <w:t xml:space="preserve">’ and </w:t>
      </w:r>
      <w:r w:rsidR="002D41C0">
        <w:rPr>
          <w:lang w:val="en-GB"/>
        </w:rPr>
        <w:t>was</w:t>
      </w:r>
      <w:r w:rsidR="000B79C7">
        <w:rPr>
          <w:lang w:val="en-GB"/>
        </w:rPr>
        <w:t xml:space="preserve"> the precondition for the world to orient itself.</w:t>
      </w:r>
      <w:r w:rsidR="000B79C7">
        <w:rPr>
          <w:rStyle w:val="Funotenzeichen"/>
          <w:lang w:val="en-GB"/>
        </w:rPr>
        <w:footnoteReference w:id="39"/>
      </w:r>
      <w:r w:rsidR="000B79C7">
        <w:rPr>
          <w:lang w:val="en-GB"/>
        </w:rPr>
        <w:t xml:space="preserve"> </w:t>
      </w:r>
      <w:r w:rsidR="002D41C0" w:rsidRPr="00936E6D">
        <w:rPr>
          <w:lang w:val="en-GB"/>
        </w:rPr>
        <w:t>Brady mentioned that</w:t>
      </w:r>
      <w:r w:rsidR="00D574C3">
        <w:rPr>
          <w:lang w:val="en-GB"/>
        </w:rPr>
        <w:t>, according to Aristotle, being in one's rightful position</w:t>
      </w:r>
      <w:r w:rsidR="002D41C0" w:rsidRPr="00936E6D">
        <w:rPr>
          <w:lang w:val="en-GB"/>
        </w:rPr>
        <w:t xml:space="preserve"> involves feeling whole and complete</w:t>
      </w:r>
      <w:r w:rsidR="002D41C0">
        <w:rPr>
          <w:lang w:val="en-GB"/>
        </w:rPr>
        <w:t>. There, the calm and stability of a centre can be experienced.</w:t>
      </w:r>
      <w:r w:rsidR="002D41C0">
        <w:rPr>
          <w:rStyle w:val="Funotenzeichen"/>
          <w:lang w:val="en-GB"/>
        </w:rPr>
        <w:footnoteReference w:id="40"/>
      </w:r>
      <w:r w:rsidR="002D41C0">
        <w:rPr>
          <w:lang w:val="en-GB"/>
        </w:rPr>
        <w:t xml:space="preserve"> </w:t>
      </w:r>
      <w:r w:rsidR="002D41C0">
        <w:rPr>
          <w:lang w:val="en-GB"/>
        </w:rPr>
        <w:t>Eliade’s view</w:t>
      </w:r>
      <w:r w:rsidR="000B79C7">
        <w:rPr>
          <w:lang w:val="en-GB"/>
        </w:rPr>
        <w:t xml:space="preserve"> corresponds to Aristotle, who wrote about directions: ‘</w:t>
      </w:r>
      <w:r w:rsidR="000B79C7" w:rsidRPr="00BC6901">
        <w:rPr>
          <w:lang w:val="en-GB"/>
        </w:rPr>
        <w:t>Relatively to us, they—above, below, right, left—are not always the same, but come to be in relation to our position, according as we turn ourselves about</w:t>
      </w:r>
      <w:r w:rsidR="000B79C7">
        <w:rPr>
          <w:lang w:val="en-GB"/>
        </w:rPr>
        <w:t>.’</w:t>
      </w:r>
      <w:r w:rsidR="000B79C7">
        <w:rPr>
          <w:rStyle w:val="Funotenzeichen"/>
          <w:lang w:val="en-GB"/>
        </w:rPr>
        <w:footnoteReference w:id="41"/>
      </w:r>
      <w:r w:rsidR="000B79C7" w:rsidRPr="00BC6901">
        <w:rPr>
          <w:lang w:val="en-GB"/>
        </w:rPr>
        <w:t xml:space="preserve"> </w:t>
      </w:r>
      <w:r w:rsidR="00D574C3">
        <w:rPr>
          <w:lang w:val="en-GB"/>
        </w:rPr>
        <w:t xml:space="preserve">Therefore, the common ground between Eliade and Durkheim regarding the interaction between the realm of the sacred and the profane could be to follow Brady’s proposed strategy: to seek dialogue with place, the methodology becomes </w:t>
      </w:r>
      <w:r w:rsidR="002D41C0" w:rsidRPr="00E60380">
        <w:rPr>
          <w:lang w:val="en-GB"/>
        </w:rPr>
        <w:t>phenomenological</w:t>
      </w:r>
      <w:r w:rsidR="002D41C0">
        <w:rPr>
          <w:lang w:val="en-GB"/>
        </w:rPr>
        <w:t>.</w:t>
      </w:r>
      <w:r w:rsidR="002D41C0">
        <w:rPr>
          <w:rStyle w:val="Funotenzeichen"/>
          <w:lang w:val="en-GB"/>
        </w:rPr>
        <w:footnoteReference w:id="42"/>
      </w:r>
      <w:r w:rsidR="002D41C0">
        <w:rPr>
          <w:lang w:val="en-GB"/>
        </w:rPr>
        <w:t xml:space="preserve"> </w:t>
      </w:r>
    </w:p>
    <w:p w14:paraId="0702E885" w14:textId="77777777" w:rsidR="005322E5" w:rsidRPr="00D87E01" w:rsidRDefault="005322E5" w:rsidP="005322E5">
      <w:pPr>
        <w:rPr>
          <w:b/>
          <w:bCs/>
          <w:lang w:val="en-GB"/>
        </w:rPr>
      </w:pPr>
    </w:p>
    <w:p w14:paraId="1730F510" w14:textId="09F0E675" w:rsidR="00033F30" w:rsidRDefault="00BC1C89" w:rsidP="00A26EC6">
      <w:pPr>
        <w:pStyle w:val="Listenabsatz"/>
        <w:numPr>
          <w:ilvl w:val="0"/>
          <w:numId w:val="4"/>
        </w:numPr>
        <w:rPr>
          <w:b/>
          <w:bCs/>
          <w:lang w:val="en-GB"/>
        </w:rPr>
      </w:pPr>
      <w:r>
        <w:rPr>
          <w:b/>
          <w:bCs/>
          <w:lang w:val="en-GB"/>
        </w:rPr>
        <w:t>Rituals</w:t>
      </w:r>
    </w:p>
    <w:p w14:paraId="271F5B64" w14:textId="77777777" w:rsidR="007946E8" w:rsidRPr="007946E8" w:rsidRDefault="007946E8" w:rsidP="007946E8">
      <w:pPr>
        <w:rPr>
          <w:lang w:val="en-GB"/>
        </w:rPr>
      </w:pPr>
      <w:r w:rsidRPr="007946E8">
        <w:rPr>
          <w:lang w:val="en-GB"/>
        </w:rPr>
        <w:t>Power could be experienced through ‘the cyclically repetitive performance of rites’, Field argued.</w:t>
      </w:r>
      <w:r>
        <w:rPr>
          <w:rStyle w:val="Funotenzeichen"/>
          <w:lang w:val="en-GB"/>
        </w:rPr>
        <w:footnoteReference w:id="43"/>
      </w:r>
      <w:r w:rsidRPr="007946E8">
        <w:rPr>
          <w:lang w:val="en-GB"/>
        </w:rPr>
        <w:t xml:space="preserve"> It was this process that created a real sense of togetherness, which was what interested Durkheim. </w:t>
      </w:r>
    </w:p>
    <w:p w14:paraId="32C46DCE" w14:textId="5A5604ED" w:rsidR="00214ADA" w:rsidRDefault="00AB332D" w:rsidP="006424C8">
      <w:pPr>
        <w:rPr>
          <w:lang w:val="en-GB"/>
        </w:rPr>
      </w:pPr>
      <w:r w:rsidRPr="00AB332D">
        <w:rPr>
          <w:lang w:val="en-GB"/>
        </w:rPr>
        <w:t xml:space="preserve">Both, Durkheim and Eliade viewed rituals as essential for humans to interact with the sacred. </w:t>
      </w:r>
      <w:r w:rsidR="00A74F9D">
        <w:rPr>
          <w:lang w:val="en-GB"/>
        </w:rPr>
        <w:t>Field stated that</w:t>
      </w:r>
      <w:r w:rsidR="00061E21">
        <w:rPr>
          <w:lang w:val="en-GB"/>
        </w:rPr>
        <w:t>, for Durkheim, sacred spaces were designated places made sacred by humans, set apart from the profane, and required re-</w:t>
      </w:r>
      <w:proofErr w:type="spellStart"/>
      <w:r w:rsidR="00061E21">
        <w:rPr>
          <w:lang w:val="en-GB"/>
        </w:rPr>
        <w:t>sacramentation</w:t>
      </w:r>
      <w:proofErr w:type="spellEnd"/>
      <w:r w:rsidR="00033F30">
        <w:rPr>
          <w:lang w:val="en-GB"/>
        </w:rPr>
        <w:t xml:space="preserve"> through rituals</w:t>
      </w:r>
      <w:r w:rsidR="00214ADA">
        <w:rPr>
          <w:lang w:val="en-GB"/>
        </w:rPr>
        <w:t>.</w:t>
      </w:r>
      <w:r w:rsidR="00A74F9D">
        <w:rPr>
          <w:rStyle w:val="Funotenzeichen"/>
          <w:lang w:val="en-GB"/>
        </w:rPr>
        <w:footnoteReference w:id="44"/>
      </w:r>
      <w:r w:rsidR="00033F30">
        <w:rPr>
          <w:lang w:val="en-GB"/>
        </w:rPr>
        <w:t xml:space="preserve"> </w:t>
      </w:r>
      <w:r w:rsidR="00530D0A">
        <w:rPr>
          <w:lang w:val="en-GB"/>
        </w:rPr>
        <w:t xml:space="preserve">Hunter noted that, for Durkheim, the sacred emerged from a cultural distinction between the everyday and the profane, as well as from </w:t>
      </w:r>
      <w:r w:rsidR="00530D0A" w:rsidRPr="009E649F">
        <w:rPr>
          <w:lang w:val="en-GB"/>
        </w:rPr>
        <w:t>items or locations deemed special by specific social groups. This distinction</w:t>
      </w:r>
      <w:r w:rsidR="00530D0A">
        <w:rPr>
          <w:lang w:val="en-GB"/>
        </w:rPr>
        <w:t xml:space="preserve"> was being</w:t>
      </w:r>
      <w:r w:rsidR="00530D0A" w:rsidRPr="009E649F">
        <w:rPr>
          <w:lang w:val="en-GB"/>
        </w:rPr>
        <w:t xml:space="preserve"> reinforced through collective rituals and taboos, which </w:t>
      </w:r>
      <w:r w:rsidR="00530D0A">
        <w:rPr>
          <w:lang w:val="en-GB"/>
        </w:rPr>
        <w:t>influenced</w:t>
      </w:r>
      <w:r w:rsidR="00530D0A" w:rsidRPr="009E649F">
        <w:rPr>
          <w:lang w:val="en-GB"/>
        </w:rPr>
        <w:t xml:space="preserve"> how people interact</w:t>
      </w:r>
      <w:r w:rsidR="00530D0A">
        <w:rPr>
          <w:lang w:val="en-GB"/>
        </w:rPr>
        <w:t>ed</w:t>
      </w:r>
      <w:r w:rsidR="00530D0A" w:rsidRPr="009E649F">
        <w:rPr>
          <w:lang w:val="en-GB"/>
        </w:rPr>
        <w:t xml:space="preserve"> with the sacred, further separating it from the ordinary.</w:t>
      </w:r>
      <w:r w:rsidR="00530D0A">
        <w:rPr>
          <w:rStyle w:val="Funotenzeichen"/>
          <w:lang w:val="en-GB"/>
        </w:rPr>
        <w:footnoteReference w:id="45"/>
      </w:r>
      <w:r w:rsidR="00530D0A">
        <w:rPr>
          <w:lang w:val="en-GB"/>
        </w:rPr>
        <w:t xml:space="preserve"> </w:t>
      </w:r>
    </w:p>
    <w:p w14:paraId="51390DC0" w14:textId="77777777" w:rsidR="00354380" w:rsidRDefault="00C27113" w:rsidP="006424C8">
      <w:pPr>
        <w:rPr>
          <w:lang w:val="en-GB"/>
        </w:rPr>
      </w:pPr>
      <w:r w:rsidRPr="00157E0C">
        <w:rPr>
          <w:lang w:val="en-GB"/>
        </w:rPr>
        <w:t xml:space="preserve">For Eliade, </w:t>
      </w:r>
      <w:r w:rsidR="00214ADA">
        <w:rPr>
          <w:lang w:val="en-GB"/>
        </w:rPr>
        <w:t xml:space="preserve">by contrast, </w:t>
      </w:r>
      <w:r w:rsidRPr="00157E0C">
        <w:rPr>
          <w:lang w:val="en-GB"/>
        </w:rPr>
        <w:t>rituals did not primarily serve to strengthen unity among a group of people, but rather to connect them with the moment when reality came into being.</w:t>
      </w:r>
      <w:r>
        <w:rPr>
          <w:rStyle w:val="Funotenzeichen"/>
          <w:lang w:val="en-GB"/>
        </w:rPr>
        <w:footnoteReference w:id="46"/>
      </w:r>
      <w:r>
        <w:rPr>
          <w:lang w:val="en-GB"/>
        </w:rPr>
        <w:t xml:space="preserve"> In Eliade’s eyes, there</w:t>
      </w:r>
      <w:r w:rsidRPr="003F61B5">
        <w:rPr>
          <w:lang w:val="en-GB"/>
        </w:rPr>
        <w:t>,</w:t>
      </w:r>
      <w:r>
        <w:rPr>
          <w:lang w:val="en-GB"/>
        </w:rPr>
        <w:t xml:space="preserve"> in</w:t>
      </w:r>
      <w:r w:rsidRPr="003F61B5">
        <w:rPr>
          <w:lang w:val="en-GB"/>
        </w:rPr>
        <w:t xml:space="preserve"> the presence of the gods, l</w:t>
      </w:r>
      <w:r w:rsidR="00214ADA">
        <w:rPr>
          <w:lang w:val="en-GB"/>
        </w:rPr>
        <w:t>ay</w:t>
      </w:r>
      <w:r w:rsidRPr="003F61B5">
        <w:rPr>
          <w:lang w:val="en-GB"/>
        </w:rPr>
        <w:t xml:space="preserve"> the strong, fresh, pure world of </w:t>
      </w:r>
      <w:proofErr w:type="spellStart"/>
      <w:r w:rsidRPr="003F61B5">
        <w:rPr>
          <w:lang w:val="en-GB"/>
        </w:rPr>
        <w:t>illo</w:t>
      </w:r>
      <w:proofErr w:type="spellEnd"/>
      <w:r w:rsidRPr="003F61B5">
        <w:rPr>
          <w:lang w:val="en-GB"/>
        </w:rPr>
        <w:t xml:space="preserve"> tempore, which must be regained</w:t>
      </w:r>
      <w:r>
        <w:rPr>
          <w:lang w:val="en-GB"/>
        </w:rPr>
        <w:t xml:space="preserve"> through rituals, </w:t>
      </w:r>
      <w:r w:rsidR="00214ADA">
        <w:rPr>
          <w:lang w:val="en-GB"/>
        </w:rPr>
        <w:t>connecting</w:t>
      </w:r>
      <w:r>
        <w:rPr>
          <w:lang w:val="en-GB"/>
        </w:rPr>
        <w:t xml:space="preserve"> them to the time of origin.</w:t>
      </w:r>
      <w:r>
        <w:rPr>
          <w:rStyle w:val="Funotenzeichen"/>
          <w:lang w:val="en-GB"/>
        </w:rPr>
        <w:footnoteReference w:id="47"/>
      </w:r>
      <w:r w:rsidRPr="003F61B5">
        <w:rPr>
          <w:lang w:val="en-GB"/>
        </w:rPr>
        <w:t xml:space="preserve"> </w:t>
      </w:r>
      <w:r>
        <w:rPr>
          <w:lang w:val="en-GB"/>
        </w:rPr>
        <w:t xml:space="preserve">He argued that humans created their world </w:t>
      </w:r>
      <w:r w:rsidRPr="00344D76">
        <w:rPr>
          <w:lang w:val="en-GB"/>
        </w:rPr>
        <w:t>by symbolically transforming the land they occupy into a cosmos through ritual repetition, with each construction based on the model of the universe's creation by the gods.</w:t>
      </w:r>
      <w:r>
        <w:rPr>
          <w:rStyle w:val="Funotenzeichen"/>
          <w:lang w:val="en-GB"/>
        </w:rPr>
        <w:footnoteReference w:id="48"/>
      </w:r>
      <w:r w:rsidR="00214ADA">
        <w:rPr>
          <w:lang w:val="en-GB"/>
        </w:rPr>
        <w:t xml:space="preserve"> </w:t>
      </w:r>
      <w:r>
        <w:rPr>
          <w:lang w:val="en-GB"/>
        </w:rPr>
        <w:t>Amy</w:t>
      </w:r>
      <w:r w:rsidRPr="00AB332D">
        <w:rPr>
          <w:lang w:val="en-GB"/>
        </w:rPr>
        <w:t xml:space="preserve"> Whitehead </w:t>
      </w:r>
      <w:r>
        <w:rPr>
          <w:lang w:val="en-GB"/>
        </w:rPr>
        <w:t xml:space="preserve">agreed with this argument, writing </w:t>
      </w:r>
      <w:r w:rsidRPr="00AB332D">
        <w:rPr>
          <w:lang w:val="en-GB"/>
        </w:rPr>
        <w:t xml:space="preserve">that the lines between the sacred and the profane can become blurred </w:t>
      </w:r>
      <w:r>
        <w:rPr>
          <w:lang w:val="en-GB"/>
        </w:rPr>
        <w:t>in interactions, creating</w:t>
      </w:r>
      <w:r w:rsidRPr="00AB332D">
        <w:rPr>
          <w:lang w:val="en-GB"/>
        </w:rPr>
        <w:t xml:space="preserve"> opportunities for both humans and non-human entities to enter into distinctive forms of shared existence.</w:t>
      </w:r>
      <w:r>
        <w:rPr>
          <w:rStyle w:val="Funotenzeichen"/>
          <w:lang w:val="en-GB"/>
        </w:rPr>
        <w:footnoteReference w:id="49"/>
      </w:r>
      <w:r w:rsidRPr="00AB332D">
        <w:rPr>
          <w:lang w:val="en-GB"/>
        </w:rPr>
        <w:t xml:space="preserve"> </w:t>
      </w:r>
    </w:p>
    <w:p w14:paraId="19C0930C" w14:textId="77777777" w:rsidR="00F80850" w:rsidRDefault="00F80850" w:rsidP="00F80850">
      <w:pPr>
        <w:rPr>
          <w:lang w:val="en-GB"/>
        </w:rPr>
      </w:pPr>
      <w:r w:rsidRPr="00A71451">
        <w:rPr>
          <w:lang w:val="en-GB"/>
        </w:rPr>
        <w:t xml:space="preserve">The result of shared actions during a ritual, as Durkheim describes, is a reality that exists independently of individual beliefs. This power is genuinely felt, affecting both </w:t>
      </w:r>
      <w:r>
        <w:rPr>
          <w:lang w:val="en-GB"/>
        </w:rPr>
        <w:t xml:space="preserve">the human </w:t>
      </w:r>
      <w:r w:rsidRPr="00A71451">
        <w:rPr>
          <w:lang w:val="en-GB"/>
        </w:rPr>
        <w:t xml:space="preserve">physical and mental aspects, influencing </w:t>
      </w:r>
      <w:r>
        <w:rPr>
          <w:lang w:val="en-GB"/>
        </w:rPr>
        <w:t xml:space="preserve">the </w:t>
      </w:r>
      <w:r w:rsidRPr="00A71451">
        <w:rPr>
          <w:lang w:val="en-GB"/>
        </w:rPr>
        <w:t>collective conscience and awareness</w:t>
      </w:r>
      <w:r>
        <w:rPr>
          <w:lang w:val="en-GB"/>
        </w:rPr>
        <w:t>, Field further argued. ‘</w:t>
      </w:r>
      <w:r w:rsidRPr="00CE713E">
        <w:rPr>
          <w:lang w:val="en-GB"/>
        </w:rPr>
        <w:t>It exists only in the mind; but if it exists in only one mind, it does</w:t>
      </w:r>
      <w:r>
        <w:rPr>
          <w:lang w:val="en-GB"/>
        </w:rPr>
        <w:t xml:space="preserve"> </w:t>
      </w:r>
      <w:r w:rsidRPr="00CE713E">
        <w:rPr>
          <w:lang w:val="en-GB"/>
        </w:rPr>
        <w:t>not belong to what can be experienced by any and everyone as the real.</w:t>
      </w:r>
      <w:r>
        <w:rPr>
          <w:lang w:val="en-GB"/>
        </w:rPr>
        <w:t>’</w:t>
      </w:r>
      <w:r>
        <w:rPr>
          <w:rStyle w:val="Funotenzeichen"/>
          <w:lang w:val="en-GB"/>
        </w:rPr>
        <w:footnoteReference w:id="50"/>
      </w:r>
      <w:r w:rsidRPr="00CE713E">
        <w:rPr>
          <w:lang w:val="en-GB"/>
        </w:rPr>
        <w:t xml:space="preserve"> </w:t>
      </w:r>
      <w:r>
        <w:rPr>
          <w:lang w:val="en-GB"/>
        </w:rPr>
        <w:t xml:space="preserve">As </w:t>
      </w:r>
      <w:r w:rsidRPr="00AB332D">
        <w:rPr>
          <w:lang w:val="en-GB"/>
        </w:rPr>
        <w:t xml:space="preserve">Hunter </w:t>
      </w:r>
      <w:r>
        <w:rPr>
          <w:lang w:val="en-GB"/>
        </w:rPr>
        <w:t xml:space="preserve">suggested, from an </w:t>
      </w:r>
      <w:proofErr w:type="spellStart"/>
      <w:r>
        <w:rPr>
          <w:lang w:val="en-GB"/>
        </w:rPr>
        <w:t>Eliadian</w:t>
      </w:r>
      <w:proofErr w:type="spellEnd"/>
      <w:r>
        <w:rPr>
          <w:lang w:val="en-GB"/>
        </w:rPr>
        <w:t xml:space="preserve"> viewpoint, this holy energy, which resides—or maybe even collects—in specific places, trickles through fractures in reality and is </w:t>
      </w:r>
      <w:r w:rsidRPr="001B284B">
        <w:rPr>
          <w:lang w:val="en-GB"/>
        </w:rPr>
        <w:t>eager for human engagement.</w:t>
      </w:r>
      <w:r>
        <w:rPr>
          <w:rStyle w:val="Funotenzeichen"/>
          <w:lang w:val="en-GB"/>
        </w:rPr>
        <w:footnoteReference w:id="51"/>
      </w:r>
      <w:r>
        <w:rPr>
          <w:lang w:val="en-GB"/>
        </w:rPr>
        <w:t xml:space="preserve"> </w:t>
      </w:r>
    </w:p>
    <w:p w14:paraId="0BD5FCF1" w14:textId="77777777" w:rsidR="00F80850" w:rsidRPr="00FF3A2F" w:rsidRDefault="00F80850" w:rsidP="00F80850">
      <w:pPr>
        <w:rPr>
          <w:lang w:val="en-GB"/>
        </w:rPr>
      </w:pPr>
      <w:r w:rsidRPr="00FF3A2F">
        <w:rPr>
          <w:lang w:val="en-GB"/>
        </w:rPr>
        <w:t xml:space="preserve">Knott, following Durkheim's line, </w:t>
      </w:r>
      <w:r>
        <w:rPr>
          <w:lang w:val="en-GB"/>
        </w:rPr>
        <w:t>argued</w:t>
      </w:r>
      <w:r w:rsidRPr="00FF3A2F">
        <w:rPr>
          <w:lang w:val="en-GB"/>
        </w:rPr>
        <w:t xml:space="preserve"> with Jonathan Z. Smith that it is rituals that help create the meaning of a place. Through such sacralization, ordinary spaces become sacred spaces of great significance.</w:t>
      </w:r>
      <w:r>
        <w:rPr>
          <w:rStyle w:val="Funotenzeichen"/>
          <w:lang w:val="en-GB"/>
        </w:rPr>
        <w:footnoteReference w:id="52"/>
      </w:r>
      <w:r w:rsidRPr="00FF3A2F">
        <w:rPr>
          <w:lang w:val="en-GB"/>
        </w:rPr>
        <w:t xml:space="preserve"> Knott also stated that places of worship, as symbolic places, create a sacred space through which religious concepts allow for a material presence, created by the human community through the ritual process.</w:t>
      </w:r>
      <w:r>
        <w:rPr>
          <w:rStyle w:val="Funotenzeichen"/>
          <w:lang w:val="en-GB"/>
        </w:rPr>
        <w:footnoteReference w:id="53"/>
      </w:r>
      <w:r w:rsidRPr="00FF3A2F">
        <w:rPr>
          <w:lang w:val="en-GB"/>
        </w:rPr>
        <w:t xml:space="preserve"> </w:t>
      </w:r>
    </w:p>
    <w:p w14:paraId="12DD387B" w14:textId="77777777" w:rsidR="00061E21" w:rsidRDefault="00061E21" w:rsidP="00B32CE5">
      <w:pPr>
        <w:rPr>
          <w:b/>
          <w:bCs/>
          <w:lang w:val="en-GB"/>
        </w:rPr>
      </w:pPr>
    </w:p>
    <w:p w14:paraId="326A0BC7" w14:textId="48E1A0A8" w:rsidR="00B32CE5" w:rsidRDefault="00B32CE5" w:rsidP="00B32CE5">
      <w:pPr>
        <w:rPr>
          <w:b/>
          <w:bCs/>
          <w:lang w:val="en-GB"/>
        </w:rPr>
      </w:pPr>
      <w:r w:rsidRPr="00457530">
        <w:rPr>
          <w:b/>
          <w:bCs/>
          <w:lang w:val="en-GB"/>
        </w:rPr>
        <w:t>Conclu</w:t>
      </w:r>
      <w:r w:rsidR="000B0672">
        <w:rPr>
          <w:b/>
          <w:bCs/>
          <w:lang w:val="en-GB"/>
        </w:rPr>
        <w:t>sion</w:t>
      </w:r>
      <w:r w:rsidRPr="00457530">
        <w:rPr>
          <w:b/>
          <w:bCs/>
          <w:lang w:val="en-GB"/>
        </w:rPr>
        <w:t xml:space="preserve"> </w:t>
      </w:r>
    </w:p>
    <w:p w14:paraId="4481EDA4" w14:textId="77777777" w:rsidR="00DF3526" w:rsidRDefault="00644B41" w:rsidP="00DF3526">
      <w:pPr>
        <w:rPr>
          <w:lang w:val="en-GB"/>
        </w:rPr>
      </w:pPr>
      <w:r>
        <w:rPr>
          <w:lang w:val="en-GB"/>
        </w:rPr>
        <w:t>This essay c</w:t>
      </w:r>
      <w:r w:rsidRPr="00C53FCA">
        <w:rPr>
          <w:lang w:val="en-GB"/>
        </w:rPr>
        <w:t>ompare</w:t>
      </w:r>
      <w:r w:rsidR="00061E21">
        <w:rPr>
          <w:lang w:val="en-GB"/>
        </w:rPr>
        <w:t xml:space="preserve">d </w:t>
      </w:r>
      <w:r w:rsidRPr="00C53FCA">
        <w:rPr>
          <w:lang w:val="en-GB"/>
        </w:rPr>
        <w:t>and critically contrast</w:t>
      </w:r>
      <w:r w:rsidR="00061E21">
        <w:rPr>
          <w:lang w:val="en-GB"/>
        </w:rPr>
        <w:t xml:space="preserve">ed </w:t>
      </w:r>
      <w:r w:rsidRPr="00C53FCA">
        <w:rPr>
          <w:lang w:val="en-GB"/>
        </w:rPr>
        <w:t xml:space="preserve">Mircea Eliade and </w:t>
      </w:r>
      <w:r>
        <w:rPr>
          <w:lang w:val="en-GB"/>
        </w:rPr>
        <w:t>É</w:t>
      </w:r>
      <w:r w:rsidRPr="00C53FCA">
        <w:rPr>
          <w:lang w:val="en-GB"/>
        </w:rPr>
        <w:t>mile Durkheim’s views of sacred space</w:t>
      </w:r>
      <w:r w:rsidR="00321F76">
        <w:rPr>
          <w:lang w:val="en-GB"/>
        </w:rPr>
        <w:t>.</w:t>
      </w:r>
      <w:r w:rsidR="00061E21">
        <w:rPr>
          <w:lang w:val="en-GB"/>
        </w:rPr>
        <w:t xml:space="preserve"> </w:t>
      </w:r>
      <w:r w:rsidR="00321F76">
        <w:rPr>
          <w:lang w:val="en-GB"/>
        </w:rPr>
        <w:t>For Eliade, t</w:t>
      </w:r>
      <w:r w:rsidR="00321F76" w:rsidRPr="00AC4BFA">
        <w:rPr>
          <w:lang w:val="en-GB"/>
        </w:rPr>
        <w:t>he sacred reveal</w:t>
      </w:r>
      <w:r w:rsidR="00061E21">
        <w:rPr>
          <w:lang w:val="en-GB"/>
        </w:rPr>
        <w:t>ed</w:t>
      </w:r>
      <w:r w:rsidR="00321F76" w:rsidRPr="00AC4BFA">
        <w:rPr>
          <w:lang w:val="en-GB"/>
        </w:rPr>
        <w:t xml:space="preserve"> itself to humanity through a </w:t>
      </w:r>
      <w:r w:rsidR="00321F76">
        <w:rPr>
          <w:lang w:val="en-GB"/>
        </w:rPr>
        <w:t>hierophany</w:t>
      </w:r>
      <w:r w:rsidR="00321F76" w:rsidRPr="00AC4BFA">
        <w:rPr>
          <w:lang w:val="en-GB"/>
        </w:rPr>
        <w:t xml:space="preserve">, something </w:t>
      </w:r>
      <w:r w:rsidR="00321F76">
        <w:rPr>
          <w:lang w:val="en-GB"/>
        </w:rPr>
        <w:t>that manifests and</w:t>
      </w:r>
      <w:r w:rsidR="00321F76" w:rsidRPr="00AC4BFA">
        <w:rPr>
          <w:lang w:val="en-GB"/>
        </w:rPr>
        <w:t xml:space="preserve"> does not belong to this profane world</w:t>
      </w:r>
      <w:r w:rsidR="00321F76">
        <w:rPr>
          <w:lang w:val="en-GB"/>
        </w:rPr>
        <w:t>.</w:t>
      </w:r>
      <w:r w:rsidR="00321F76">
        <w:rPr>
          <w:rStyle w:val="Funotenzeichen"/>
          <w:lang w:val="en-GB"/>
        </w:rPr>
        <w:footnoteReference w:id="54"/>
      </w:r>
      <w:r w:rsidR="00321F76">
        <w:rPr>
          <w:lang w:val="en-GB"/>
        </w:rPr>
        <w:t xml:space="preserve"> He argued that a sacred space </w:t>
      </w:r>
      <w:r w:rsidR="00DF3526">
        <w:rPr>
          <w:lang w:val="en-GB"/>
        </w:rPr>
        <w:t>was</w:t>
      </w:r>
      <w:r w:rsidR="00321F76">
        <w:rPr>
          <w:lang w:val="en-GB"/>
        </w:rPr>
        <w:t xml:space="preserve"> created out of a mysterious act which breaks</w:t>
      </w:r>
      <w:r w:rsidR="00321F76" w:rsidRPr="00386D74">
        <w:rPr>
          <w:lang w:val="en-GB"/>
        </w:rPr>
        <w:t xml:space="preserve"> </w:t>
      </w:r>
      <w:r w:rsidR="00321F76">
        <w:rPr>
          <w:lang w:val="en-GB"/>
        </w:rPr>
        <w:t>‘</w:t>
      </w:r>
      <w:r w:rsidR="00321F76" w:rsidRPr="00386D74">
        <w:rPr>
          <w:lang w:val="en-GB"/>
        </w:rPr>
        <w:t>the homogeneity of space</w:t>
      </w:r>
      <w:r w:rsidR="00321F76">
        <w:rPr>
          <w:lang w:val="en-GB"/>
        </w:rPr>
        <w:t>.’</w:t>
      </w:r>
      <w:r w:rsidR="00321F76">
        <w:rPr>
          <w:rStyle w:val="Funotenzeichen"/>
          <w:lang w:val="en-GB"/>
        </w:rPr>
        <w:footnoteReference w:id="55"/>
      </w:r>
      <w:r w:rsidR="00321F76" w:rsidRPr="00386D74">
        <w:rPr>
          <w:lang w:val="en-GB"/>
        </w:rPr>
        <w:t xml:space="preserve"> </w:t>
      </w:r>
      <w:r w:rsidR="00061E21">
        <w:rPr>
          <w:lang w:val="en-GB"/>
        </w:rPr>
        <w:t xml:space="preserve">For </w:t>
      </w:r>
      <w:r w:rsidR="00321F76">
        <w:rPr>
          <w:lang w:val="en-GB"/>
        </w:rPr>
        <w:t>Durkheim</w:t>
      </w:r>
      <w:r w:rsidR="00061E21">
        <w:rPr>
          <w:lang w:val="en-GB"/>
        </w:rPr>
        <w:t>, in contrast</w:t>
      </w:r>
      <w:r w:rsidR="00321F76">
        <w:rPr>
          <w:lang w:val="en-GB"/>
        </w:rPr>
        <w:t xml:space="preserve">, nothing </w:t>
      </w:r>
      <w:r w:rsidR="00061E21">
        <w:rPr>
          <w:lang w:val="en-GB"/>
        </w:rPr>
        <w:t>was</w:t>
      </w:r>
      <w:r w:rsidR="00321F76">
        <w:rPr>
          <w:lang w:val="en-GB"/>
        </w:rPr>
        <w:t xml:space="preserve"> inherently sacred; </w:t>
      </w:r>
      <w:r w:rsidR="00321F76" w:rsidRPr="004012CE">
        <w:rPr>
          <w:lang w:val="en-GB"/>
        </w:rPr>
        <w:t xml:space="preserve">instead, humans </w:t>
      </w:r>
      <w:r w:rsidR="00321F76">
        <w:rPr>
          <w:lang w:val="en-GB"/>
        </w:rPr>
        <w:t>attribute</w:t>
      </w:r>
      <w:r w:rsidR="00061E21">
        <w:rPr>
          <w:lang w:val="en-GB"/>
        </w:rPr>
        <w:t>d</w:t>
      </w:r>
      <w:r w:rsidR="00321F76" w:rsidRPr="004012CE">
        <w:rPr>
          <w:lang w:val="en-GB"/>
        </w:rPr>
        <w:t xml:space="preserve"> sacredness to objects, locations, and individuals based on their beliefs and actions</w:t>
      </w:r>
      <w:r w:rsidR="00321F76" w:rsidRPr="009E649F">
        <w:rPr>
          <w:lang w:val="en-GB"/>
        </w:rPr>
        <w:t>.</w:t>
      </w:r>
      <w:r w:rsidR="00321F76">
        <w:rPr>
          <w:rStyle w:val="Funotenzeichen"/>
          <w:lang w:val="en-GB"/>
        </w:rPr>
        <w:footnoteReference w:id="56"/>
      </w:r>
      <w:r w:rsidR="00321F76">
        <w:rPr>
          <w:lang w:val="en-GB"/>
        </w:rPr>
        <w:t xml:space="preserve"> </w:t>
      </w:r>
    </w:p>
    <w:p w14:paraId="6A28E41F" w14:textId="02DDF87E" w:rsidR="00644B41" w:rsidRDefault="00DF3526" w:rsidP="00DC5ACF">
      <w:pPr>
        <w:rPr>
          <w:lang w:val="en-GB"/>
        </w:rPr>
      </w:pPr>
      <w:r>
        <w:rPr>
          <w:lang w:val="en-GB"/>
        </w:rPr>
        <w:t>According to Allan, Eliade’s view of history was shaped by the human condition, even though he did</w:t>
      </w:r>
      <w:r w:rsidRPr="00C91AD7">
        <w:rPr>
          <w:lang w:val="en-GB"/>
        </w:rPr>
        <w:t xml:space="preserve"> not focus on specific events or individuals</w:t>
      </w:r>
      <w:r>
        <w:rPr>
          <w:lang w:val="en-GB"/>
        </w:rPr>
        <w:t>. His main interest lay in history and cultural renewal, while h</w:t>
      </w:r>
      <w:r w:rsidRPr="00C91AD7">
        <w:rPr>
          <w:lang w:val="en-GB"/>
        </w:rPr>
        <w:t>is theories on religion</w:t>
      </w:r>
      <w:r>
        <w:rPr>
          <w:lang w:val="en-GB"/>
        </w:rPr>
        <w:t xml:space="preserve"> were shaped by symbolism, myth, and time, which shaped his view of history.</w:t>
      </w:r>
      <w:r>
        <w:rPr>
          <w:rStyle w:val="Funotenzeichen"/>
          <w:lang w:val="en-GB"/>
        </w:rPr>
        <w:footnoteReference w:id="57"/>
      </w:r>
      <w:r>
        <w:rPr>
          <w:lang w:val="en-GB"/>
        </w:rPr>
        <w:t xml:space="preserve"> In this sense, even though Durkheim and Eliade’s views on sacred space differ substantially, their approach arose from a similar intent. </w:t>
      </w:r>
      <w:r w:rsidR="00DC5ACF">
        <w:rPr>
          <w:lang w:val="en-GB"/>
        </w:rPr>
        <w:t>A</w:t>
      </w:r>
      <w:r w:rsidRPr="0059287C">
        <w:rPr>
          <w:lang w:val="en-GB"/>
        </w:rPr>
        <w:t xml:space="preserve">s Aristotle </w:t>
      </w:r>
      <w:r w:rsidR="00AA738A">
        <w:rPr>
          <w:lang w:val="en-GB"/>
        </w:rPr>
        <w:t>wrote</w:t>
      </w:r>
      <w:r w:rsidRPr="0059287C">
        <w:rPr>
          <w:lang w:val="en-GB"/>
        </w:rPr>
        <w:t xml:space="preserve"> in </w:t>
      </w:r>
      <w:r>
        <w:rPr>
          <w:lang w:val="en-GB"/>
        </w:rPr>
        <w:t xml:space="preserve">the </w:t>
      </w:r>
      <w:r w:rsidRPr="0059287C">
        <w:rPr>
          <w:lang w:val="en-GB"/>
        </w:rPr>
        <w:t xml:space="preserve">opening </w:t>
      </w:r>
      <w:r>
        <w:rPr>
          <w:lang w:val="en-GB"/>
        </w:rPr>
        <w:t xml:space="preserve">of </w:t>
      </w:r>
      <w:r w:rsidRPr="0059287C">
        <w:rPr>
          <w:lang w:val="en-GB"/>
        </w:rPr>
        <w:t>Physics</w:t>
      </w:r>
      <w:r>
        <w:rPr>
          <w:lang w:val="en-GB"/>
        </w:rPr>
        <w:t>:</w:t>
      </w:r>
      <w:r w:rsidRPr="0059287C">
        <w:rPr>
          <w:lang w:val="en-GB"/>
        </w:rPr>
        <w:t xml:space="preserve"> </w:t>
      </w:r>
      <w:r>
        <w:rPr>
          <w:lang w:val="en-GB"/>
        </w:rPr>
        <w:t>‘</w:t>
      </w:r>
      <w:r w:rsidRPr="0059287C">
        <w:rPr>
          <w:lang w:val="en-GB"/>
        </w:rPr>
        <w:t>Start from the things which are more knowable and obvious to us and proceed towards those which are clearer and more knowable by nature</w:t>
      </w:r>
      <w:r>
        <w:rPr>
          <w:lang w:val="en-GB"/>
        </w:rPr>
        <w:t>.’</w:t>
      </w:r>
      <w:r>
        <w:rPr>
          <w:rStyle w:val="Funotenzeichen"/>
          <w:lang w:val="en-GB"/>
        </w:rPr>
        <w:footnoteReference w:id="58"/>
      </w:r>
      <w:r>
        <w:rPr>
          <w:lang w:val="en-GB"/>
        </w:rPr>
        <w:t xml:space="preserve"> </w:t>
      </w:r>
      <w:r w:rsidR="001372FF">
        <w:rPr>
          <w:lang w:val="en-GB"/>
        </w:rPr>
        <w:t xml:space="preserve">Eliade and Durkheim both started from their own viewpoints, Eliade being concerned with finding the sacred in place, and Durkheim with finding it in the human mind. </w:t>
      </w:r>
      <w:r w:rsidR="001372FF" w:rsidRPr="00F83FDD">
        <w:rPr>
          <w:lang w:val="en-GB"/>
        </w:rPr>
        <w:t>It was this feeling of amazement that consistently held Eliade's imagination captive</w:t>
      </w:r>
      <w:r w:rsidR="001372FF">
        <w:rPr>
          <w:lang w:val="en-GB"/>
        </w:rPr>
        <w:t>, as Lane remarked</w:t>
      </w:r>
      <w:r w:rsidR="001372FF">
        <w:rPr>
          <w:lang w:val="en-GB"/>
        </w:rPr>
        <w:t>,</w:t>
      </w:r>
      <w:r w:rsidR="001372FF">
        <w:rPr>
          <w:rStyle w:val="Funotenzeichen"/>
          <w:lang w:val="en-GB"/>
        </w:rPr>
        <w:footnoteReference w:id="59"/>
      </w:r>
      <w:r w:rsidR="001372FF">
        <w:rPr>
          <w:lang w:val="en-GB"/>
        </w:rPr>
        <w:t xml:space="preserve"> </w:t>
      </w:r>
      <w:r w:rsidR="001372FF">
        <w:rPr>
          <w:lang w:val="en-GB"/>
        </w:rPr>
        <w:t>however, t</w:t>
      </w:r>
      <w:r w:rsidR="001372FF" w:rsidRPr="00AA738A">
        <w:rPr>
          <w:lang w:val="en-GB"/>
        </w:rPr>
        <w:t xml:space="preserve">his intense </w:t>
      </w:r>
      <w:proofErr w:type="spellStart"/>
      <w:r w:rsidR="001372FF" w:rsidRPr="00AA738A">
        <w:rPr>
          <w:lang w:val="en-GB"/>
        </w:rPr>
        <w:t>fervor</w:t>
      </w:r>
      <w:proofErr w:type="spellEnd"/>
      <w:r w:rsidR="001372FF" w:rsidRPr="00AA738A">
        <w:rPr>
          <w:lang w:val="en-GB"/>
        </w:rPr>
        <w:t xml:space="preserve"> can</w:t>
      </w:r>
      <w:r w:rsidR="001372FF">
        <w:rPr>
          <w:lang w:val="en-GB"/>
        </w:rPr>
        <w:t xml:space="preserve"> certainly</w:t>
      </w:r>
      <w:r w:rsidR="001372FF" w:rsidRPr="00AA738A">
        <w:rPr>
          <w:lang w:val="en-GB"/>
        </w:rPr>
        <w:t xml:space="preserve"> </w:t>
      </w:r>
      <w:r w:rsidR="001372FF">
        <w:rPr>
          <w:lang w:val="en-GB"/>
        </w:rPr>
        <w:t>also be attributed to Durkheim, who likewise demonstrated</w:t>
      </w:r>
      <w:r w:rsidR="001372FF" w:rsidRPr="00AA738A">
        <w:rPr>
          <w:lang w:val="en-GB"/>
        </w:rPr>
        <w:t xml:space="preserve"> a profound engagement with the complexities of human experience and sociocultural phenomena.</w:t>
      </w:r>
      <w:r w:rsidR="001372FF">
        <w:rPr>
          <w:lang w:val="en-GB"/>
        </w:rPr>
        <w:t xml:space="preserve"> </w:t>
      </w:r>
      <w:r w:rsidR="00DC5ACF" w:rsidRPr="00AA738A">
        <w:rPr>
          <w:lang w:val="en-GB"/>
        </w:rPr>
        <w:t xml:space="preserve">A unifying stance </w:t>
      </w:r>
      <w:r w:rsidR="00DC5ACF">
        <w:rPr>
          <w:lang w:val="en-GB"/>
        </w:rPr>
        <w:t>was</w:t>
      </w:r>
      <w:r w:rsidR="00DC5ACF" w:rsidRPr="00AA738A">
        <w:rPr>
          <w:lang w:val="en-GB"/>
        </w:rPr>
        <w:t xml:space="preserve"> given by Belden C. Lane</w:t>
      </w:r>
      <w:r w:rsidR="00DC5ACF">
        <w:rPr>
          <w:lang w:val="en-GB"/>
        </w:rPr>
        <w:t>, citing</w:t>
      </w:r>
      <w:r w:rsidR="00DC5ACF" w:rsidRPr="00AA738A">
        <w:rPr>
          <w:lang w:val="en-GB"/>
        </w:rPr>
        <w:t xml:space="preserve"> Edward Casey, who claimed that the sacred communicates in its own way, even when interpreted by culturally conditioned minds</w:t>
      </w:r>
      <w:r w:rsidR="00DC5ACF">
        <w:rPr>
          <w:lang w:val="en-GB"/>
        </w:rPr>
        <w:t>.</w:t>
      </w:r>
      <w:r w:rsidR="00DC5ACF">
        <w:rPr>
          <w:rStyle w:val="Funotenzeichen"/>
          <w:lang w:val="en-GB"/>
        </w:rPr>
        <w:footnoteReference w:id="60"/>
      </w:r>
    </w:p>
    <w:p w14:paraId="62384C0B" w14:textId="77777777" w:rsidR="00F16211" w:rsidRDefault="00F16211" w:rsidP="00DC5ACF">
      <w:pPr>
        <w:rPr>
          <w:lang w:val="en-GB"/>
        </w:rPr>
      </w:pPr>
    </w:p>
    <w:p w14:paraId="2FB3AB29" w14:textId="77777777" w:rsidR="00F16211" w:rsidRPr="00F16211" w:rsidRDefault="00F16211" w:rsidP="00F16211">
      <w:pPr>
        <w:pStyle w:val="Listenabsatz"/>
        <w:numPr>
          <w:ilvl w:val="0"/>
          <w:numId w:val="11"/>
        </w:numPr>
        <w:rPr>
          <w:lang w:val="en-GB"/>
        </w:rPr>
      </w:pPr>
      <w:r w:rsidRPr="00F16211">
        <w:rPr>
          <w:lang w:val="en-GB"/>
        </w:rPr>
        <w:t>Therefore, in contrast to Durkheim, for Eliade it was an external power that created sacred space, or to put it in his own words: ‘the hierophany has annulled the homogeneity of space.’</w:t>
      </w:r>
      <w:r>
        <w:rPr>
          <w:rStyle w:val="Funotenzeichen"/>
          <w:lang w:val="en-GB"/>
        </w:rPr>
        <w:footnoteReference w:id="61"/>
      </w:r>
      <w:r w:rsidRPr="00F16211">
        <w:rPr>
          <w:lang w:val="en-GB"/>
        </w:rPr>
        <w:t xml:space="preserve"> </w:t>
      </w:r>
    </w:p>
    <w:p w14:paraId="157D5731" w14:textId="77777777" w:rsidR="00F16211" w:rsidRPr="00F16211" w:rsidRDefault="00F16211" w:rsidP="00F16211">
      <w:pPr>
        <w:pStyle w:val="Listenabsatz"/>
        <w:numPr>
          <w:ilvl w:val="0"/>
          <w:numId w:val="11"/>
        </w:numPr>
        <w:rPr>
          <w:lang w:val="en-GB"/>
        </w:rPr>
      </w:pPr>
      <w:r w:rsidRPr="00F16211">
        <w:rPr>
          <w:lang w:val="en-GB"/>
        </w:rPr>
        <w:t>Therefore, the common ground between Eliade and Durkheim regarding the interaction between the realm of the sacred and the profane could be to follow Brady’s proposed strategy: to seek dialogue with place, the methodology becomes phenomenological.</w:t>
      </w:r>
      <w:r>
        <w:rPr>
          <w:rStyle w:val="Funotenzeichen"/>
          <w:lang w:val="en-GB"/>
        </w:rPr>
        <w:footnoteReference w:id="62"/>
      </w:r>
      <w:r w:rsidRPr="00F16211">
        <w:rPr>
          <w:lang w:val="en-GB"/>
        </w:rPr>
        <w:t xml:space="preserve"> </w:t>
      </w:r>
    </w:p>
    <w:p w14:paraId="78D9EF91" w14:textId="416D0BF4" w:rsidR="00F16211" w:rsidRPr="00F16211" w:rsidRDefault="00F16211" w:rsidP="00F16211">
      <w:pPr>
        <w:rPr>
          <w:lang w:val="en-GB"/>
        </w:rPr>
      </w:pPr>
    </w:p>
    <w:sectPr w:rsidR="00F16211" w:rsidRPr="00F16211">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69B928" w14:textId="77777777" w:rsidR="002C1F94" w:rsidRDefault="002C1F94" w:rsidP="00083261">
      <w:pPr>
        <w:spacing w:after="0" w:line="240" w:lineRule="auto"/>
      </w:pPr>
      <w:r>
        <w:separator/>
      </w:r>
    </w:p>
  </w:endnote>
  <w:endnote w:type="continuationSeparator" w:id="0">
    <w:p w14:paraId="76D549A7" w14:textId="77777777" w:rsidR="002C1F94" w:rsidRDefault="002C1F94" w:rsidP="000832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804211" w14:textId="77777777" w:rsidR="002C1F94" w:rsidRDefault="002C1F94" w:rsidP="00083261">
      <w:pPr>
        <w:spacing w:after="0" w:line="240" w:lineRule="auto"/>
      </w:pPr>
      <w:r>
        <w:separator/>
      </w:r>
    </w:p>
  </w:footnote>
  <w:footnote w:type="continuationSeparator" w:id="0">
    <w:p w14:paraId="28A55FC3" w14:textId="77777777" w:rsidR="002C1F94" w:rsidRDefault="002C1F94" w:rsidP="00083261">
      <w:pPr>
        <w:spacing w:after="0" w:line="240" w:lineRule="auto"/>
      </w:pPr>
      <w:r>
        <w:continuationSeparator/>
      </w:r>
    </w:p>
  </w:footnote>
  <w:footnote w:id="1">
    <w:p w14:paraId="2ADBB6E9" w14:textId="40539653" w:rsidR="005C63E4" w:rsidRPr="001E7C31" w:rsidRDefault="005C63E4">
      <w:pPr>
        <w:pStyle w:val="Funotentext"/>
        <w:rPr>
          <w:lang w:val="en-GB"/>
        </w:rPr>
      </w:pPr>
      <w:r>
        <w:rPr>
          <w:rStyle w:val="Funotenzeichen"/>
        </w:rPr>
        <w:footnoteRef/>
      </w:r>
      <w:r w:rsidRPr="001E7C31">
        <w:rPr>
          <w:lang w:val="en-GB"/>
        </w:rPr>
        <w:t xml:space="preserve"> Durkheim, p. 37</w:t>
      </w:r>
    </w:p>
  </w:footnote>
  <w:footnote w:id="2">
    <w:p w14:paraId="59B61E5D" w14:textId="65C3C7AF" w:rsidR="005A2F11" w:rsidRPr="00DA1D36" w:rsidRDefault="005A2F11">
      <w:pPr>
        <w:pStyle w:val="Funotentext"/>
        <w:rPr>
          <w:lang w:val="en-GB"/>
        </w:rPr>
      </w:pPr>
      <w:r>
        <w:rPr>
          <w:rStyle w:val="Funotenzeichen"/>
        </w:rPr>
        <w:footnoteRef/>
      </w:r>
      <w:r w:rsidRPr="00DA1D36">
        <w:rPr>
          <w:lang w:val="en-GB"/>
        </w:rPr>
        <w:t xml:space="preserve"> Eliade, p. 14.</w:t>
      </w:r>
    </w:p>
  </w:footnote>
  <w:footnote w:id="3">
    <w:p w14:paraId="6D88FF09" w14:textId="77777777" w:rsidR="00997C84" w:rsidRPr="00485792" w:rsidRDefault="00997C84" w:rsidP="00997C84">
      <w:pPr>
        <w:pStyle w:val="Funotentext"/>
        <w:rPr>
          <w:lang w:val="en-GB"/>
        </w:rPr>
      </w:pPr>
      <w:r>
        <w:rPr>
          <w:rStyle w:val="Funotenzeichen"/>
        </w:rPr>
        <w:footnoteRef/>
      </w:r>
      <w:r w:rsidRPr="00485792">
        <w:rPr>
          <w:lang w:val="en-GB"/>
        </w:rPr>
        <w:t xml:space="preserve"> </w:t>
      </w:r>
      <w:r>
        <w:rPr>
          <w:lang w:val="en-GB"/>
        </w:rPr>
        <w:t xml:space="preserve">Eliade, </w:t>
      </w:r>
      <w:proofErr w:type="spellStart"/>
      <w:r>
        <w:rPr>
          <w:lang w:val="en-GB"/>
        </w:rPr>
        <w:t>Mircae</w:t>
      </w:r>
      <w:proofErr w:type="spellEnd"/>
      <w:r>
        <w:rPr>
          <w:lang w:val="en-GB"/>
        </w:rPr>
        <w:t>, The Sacred and the Profane, p. 20-21.</w:t>
      </w:r>
    </w:p>
  </w:footnote>
  <w:footnote w:id="4">
    <w:p w14:paraId="099FE0B4" w14:textId="77777777" w:rsidR="00997C84" w:rsidRPr="00526209" w:rsidRDefault="00997C84" w:rsidP="00997C84">
      <w:pPr>
        <w:pStyle w:val="Funotentext"/>
        <w:rPr>
          <w:lang w:val="en-GB"/>
        </w:rPr>
      </w:pPr>
      <w:r>
        <w:rPr>
          <w:rStyle w:val="Funotenzeichen"/>
        </w:rPr>
        <w:footnoteRef/>
      </w:r>
      <w:r w:rsidRPr="00526209">
        <w:rPr>
          <w:lang w:val="en-GB"/>
        </w:rPr>
        <w:t xml:space="preserve"> Randall Studstill, Eliade, phenomenology, and the sacred, p. 2</w:t>
      </w:r>
    </w:p>
  </w:footnote>
  <w:footnote w:id="5">
    <w:p w14:paraId="731C864E" w14:textId="77777777" w:rsidR="00625717" w:rsidRPr="00DA1D36" w:rsidRDefault="00625717" w:rsidP="00625717">
      <w:pPr>
        <w:pStyle w:val="Funotentext"/>
        <w:rPr>
          <w:lang w:val="en-GB"/>
        </w:rPr>
      </w:pPr>
      <w:r>
        <w:rPr>
          <w:rStyle w:val="Funotenzeichen"/>
        </w:rPr>
        <w:footnoteRef/>
      </w:r>
      <w:r w:rsidRPr="00DA1D36">
        <w:rPr>
          <w:lang w:val="en-GB"/>
        </w:rPr>
        <w:t xml:space="preserve"> Karin Field, p. xlvi.</w:t>
      </w:r>
    </w:p>
  </w:footnote>
  <w:footnote w:id="6">
    <w:p w14:paraId="2F29429A" w14:textId="2AD54C5A" w:rsidR="0077703F" w:rsidRPr="0077703F" w:rsidRDefault="0077703F" w:rsidP="0077703F">
      <w:pPr>
        <w:pStyle w:val="Funotentext"/>
        <w:rPr>
          <w:lang w:val="en-GB"/>
        </w:rPr>
      </w:pPr>
      <w:r>
        <w:rPr>
          <w:rStyle w:val="Funotenzeichen"/>
        </w:rPr>
        <w:footnoteRef/>
      </w:r>
      <w:r w:rsidRPr="0077703F">
        <w:rPr>
          <w:lang w:val="en-GB"/>
        </w:rPr>
        <w:t xml:space="preserve"> </w:t>
      </w:r>
      <w:r>
        <w:rPr>
          <w:lang w:val="en-GB"/>
        </w:rPr>
        <w:t xml:space="preserve">Hart, Keith, </w:t>
      </w:r>
      <w:r w:rsidR="00944FEA" w:rsidRPr="00944FEA">
        <w:rPr>
          <w:i/>
          <w:iCs/>
          <w:lang w:val="en-GB"/>
        </w:rPr>
        <w:t>Marcel Fournier, Émile Durkheim: A Biography. Cambridge: Polity, 2012, pp. 866.</w:t>
      </w:r>
      <w:r w:rsidR="00944FEA" w:rsidRPr="00944FEA">
        <w:rPr>
          <w:lang w:val="en-GB"/>
        </w:rPr>
        <w:t xml:space="preserve"> Comparative Studies in Society and History. 2014;56(2):537-538. doi:10.1017/S0010417514000139</w:t>
      </w:r>
    </w:p>
  </w:footnote>
  <w:footnote w:id="7">
    <w:p w14:paraId="2A0CF18E" w14:textId="77777777" w:rsidR="00B57782" w:rsidRPr="004D03AB" w:rsidRDefault="00B57782" w:rsidP="00B57782">
      <w:pPr>
        <w:pStyle w:val="Funotentext"/>
        <w:rPr>
          <w:lang w:val="en-GB"/>
        </w:rPr>
      </w:pPr>
      <w:r>
        <w:rPr>
          <w:rStyle w:val="Funotenzeichen"/>
        </w:rPr>
        <w:footnoteRef/>
      </w:r>
      <w:r w:rsidRPr="004D03AB">
        <w:rPr>
          <w:lang w:val="en-GB"/>
        </w:rPr>
        <w:t xml:space="preserve"> Karen Field, p</w:t>
      </w:r>
      <w:r>
        <w:rPr>
          <w:lang w:val="en-GB"/>
        </w:rPr>
        <w:t>p</w:t>
      </w:r>
      <w:r w:rsidRPr="004D03AB">
        <w:rPr>
          <w:lang w:val="en-GB"/>
        </w:rPr>
        <w:t xml:space="preserve">. </w:t>
      </w:r>
      <w:r>
        <w:rPr>
          <w:lang w:val="en-GB"/>
        </w:rPr>
        <w:t>x</w:t>
      </w:r>
      <w:r w:rsidRPr="004D03AB">
        <w:rPr>
          <w:lang w:val="en-GB"/>
        </w:rPr>
        <w:t xml:space="preserve">xiv and </w:t>
      </w:r>
      <w:r>
        <w:rPr>
          <w:lang w:val="en-GB"/>
        </w:rPr>
        <w:t>xx.</w:t>
      </w:r>
    </w:p>
  </w:footnote>
  <w:footnote w:id="8">
    <w:p w14:paraId="3B3F920D" w14:textId="158AE52F" w:rsidR="00195CD7" w:rsidRPr="00195CD7" w:rsidRDefault="00195CD7">
      <w:pPr>
        <w:pStyle w:val="Funotentext"/>
        <w:rPr>
          <w:lang w:val="en-GB"/>
        </w:rPr>
      </w:pPr>
      <w:r>
        <w:rPr>
          <w:rStyle w:val="Funotenzeichen"/>
        </w:rPr>
        <w:footnoteRef/>
      </w:r>
      <w:r w:rsidRPr="00195CD7">
        <w:rPr>
          <w:lang w:val="en-GB"/>
        </w:rPr>
        <w:t xml:space="preserve"> </w:t>
      </w:r>
      <w:r>
        <w:rPr>
          <w:lang w:val="en-GB"/>
        </w:rPr>
        <w:t>Hold, John Clifford, Introduction to Patterns of Comparative Religion’, p. xi.</w:t>
      </w:r>
    </w:p>
  </w:footnote>
  <w:footnote w:id="9">
    <w:p w14:paraId="3F235558" w14:textId="4B12E441" w:rsidR="00BD3373" w:rsidRPr="00BD3373" w:rsidRDefault="00BD3373">
      <w:pPr>
        <w:pStyle w:val="Funotentext"/>
        <w:rPr>
          <w:lang w:val="en-GB"/>
        </w:rPr>
      </w:pPr>
      <w:r>
        <w:rPr>
          <w:rStyle w:val="Funotenzeichen"/>
        </w:rPr>
        <w:footnoteRef/>
      </w:r>
      <w:r w:rsidRPr="00BD3373">
        <w:rPr>
          <w:lang w:val="en-GB"/>
        </w:rPr>
        <w:t xml:space="preserve"> </w:t>
      </w:r>
      <w:r>
        <w:rPr>
          <w:lang w:val="en-GB"/>
        </w:rPr>
        <w:t xml:space="preserve">Allen, Douglas, </w:t>
      </w:r>
      <w:r w:rsidRPr="003C71F7">
        <w:rPr>
          <w:lang w:val="en-GB"/>
        </w:rPr>
        <w:t>Prologue: Encounters with Mircea Eliade and his legacy for the 21st century, Religion,</w:t>
      </w:r>
      <w:r>
        <w:rPr>
          <w:lang w:val="en-GB"/>
        </w:rPr>
        <w:t xml:space="preserve"> </w:t>
      </w:r>
      <w:r w:rsidRPr="003C71F7">
        <w:rPr>
          <w:lang w:val="en-GB"/>
        </w:rPr>
        <w:t>(2008)</w:t>
      </w:r>
      <w:r>
        <w:rPr>
          <w:lang w:val="en-GB"/>
        </w:rPr>
        <w:t xml:space="preserve">, </w:t>
      </w:r>
      <w:r w:rsidRPr="003C71F7">
        <w:rPr>
          <w:lang w:val="en-GB"/>
        </w:rPr>
        <w:t>38:4, 319-327, DOI: 10.1016/j.religion.2008.05.015</w:t>
      </w:r>
      <w:r>
        <w:rPr>
          <w:lang w:val="en-GB"/>
        </w:rPr>
        <w:t>, p. 319.</w:t>
      </w:r>
    </w:p>
  </w:footnote>
  <w:footnote w:id="10">
    <w:p w14:paraId="71DF44A7" w14:textId="77777777" w:rsidR="00DB184B" w:rsidRPr="0069597E" w:rsidRDefault="00DB184B" w:rsidP="00DB184B">
      <w:pPr>
        <w:pStyle w:val="Funotentext"/>
        <w:rPr>
          <w:lang w:val="en-GB"/>
        </w:rPr>
      </w:pPr>
      <w:r>
        <w:rPr>
          <w:rStyle w:val="Funotenzeichen"/>
        </w:rPr>
        <w:footnoteRef/>
      </w:r>
      <w:r w:rsidRPr="0069597E">
        <w:rPr>
          <w:lang w:val="en-GB"/>
        </w:rPr>
        <w:t xml:space="preserve"> Guenon</w:t>
      </w:r>
      <w:r>
        <w:rPr>
          <w:lang w:val="en-GB"/>
        </w:rPr>
        <w:t xml:space="preserve"> René</w:t>
      </w:r>
      <w:r w:rsidRPr="0069597E">
        <w:rPr>
          <w:lang w:val="en-GB"/>
        </w:rPr>
        <w:t xml:space="preserve">, </w:t>
      </w:r>
      <w:r w:rsidRPr="0069597E">
        <w:rPr>
          <w:i/>
          <w:iCs/>
          <w:lang w:val="en-GB"/>
        </w:rPr>
        <w:t>The Land of the Sun</w:t>
      </w:r>
      <w:r>
        <w:rPr>
          <w:i/>
          <w:iCs/>
          <w:lang w:val="en-GB"/>
        </w:rPr>
        <w:t xml:space="preserve">, </w:t>
      </w:r>
    </w:p>
    <w:p w14:paraId="1D59AEF6" w14:textId="77777777" w:rsidR="00DB184B" w:rsidRPr="0069597E" w:rsidRDefault="00DB184B" w:rsidP="00DB184B">
      <w:pPr>
        <w:pStyle w:val="Funotentext"/>
        <w:rPr>
          <w:lang w:val="en-GB"/>
        </w:rPr>
      </w:pPr>
      <w:r w:rsidRPr="0069597E">
        <w:rPr>
          <w:lang w:val="en-GB"/>
        </w:rPr>
        <w:t>http://www.studiesincomparativereligion.com/Public/articles/The_Land_of_th</w:t>
      </w:r>
    </w:p>
    <w:p w14:paraId="1499C340" w14:textId="77777777" w:rsidR="00DB184B" w:rsidRPr="0069597E" w:rsidRDefault="00DB184B" w:rsidP="00DB184B">
      <w:pPr>
        <w:pStyle w:val="Funotentext"/>
        <w:rPr>
          <w:lang w:val="en-GB"/>
        </w:rPr>
      </w:pPr>
      <w:r w:rsidRPr="0069597E">
        <w:rPr>
          <w:lang w:val="en-GB"/>
        </w:rPr>
        <w:t xml:space="preserve"> e_Sun-by_Ren%C3%A9_Gu%C3%A9non.aspx</w:t>
      </w:r>
    </w:p>
  </w:footnote>
  <w:footnote w:id="11">
    <w:p w14:paraId="69E42459" w14:textId="77777777" w:rsidR="00DB184B" w:rsidRPr="000D576C" w:rsidRDefault="00DB184B" w:rsidP="00DB184B">
      <w:pPr>
        <w:pStyle w:val="Funotentext"/>
        <w:rPr>
          <w:lang w:val="en-GB"/>
        </w:rPr>
      </w:pPr>
      <w:r>
        <w:rPr>
          <w:rStyle w:val="Funotenzeichen"/>
        </w:rPr>
        <w:footnoteRef/>
      </w:r>
      <w:r w:rsidRPr="000D576C">
        <w:rPr>
          <w:lang w:val="en-GB"/>
        </w:rPr>
        <w:t xml:space="preserve"> https://www.cantab.net/users/michael.behrend/repubs/ggw/heinsch_gvkg/pages/gvkg_en.html</w:t>
      </w:r>
    </w:p>
  </w:footnote>
  <w:footnote w:id="12">
    <w:p w14:paraId="231C7D67" w14:textId="77777777" w:rsidR="007D6435" w:rsidRPr="003F5624" w:rsidRDefault="007D6435" w:rsidP="007D6435">
      <w:pPr>
        <w:pStyle w:val="Funotentext"/>
        <w:rPr>
          <w:lang w:val="en-GB"/>
        </w:rPr>
      </w:pPr>
      <w:r>
        <w:rPr>
          <w:rStyle w:val="Funotenzeichen"/>
        </w:rPr>
        <w:footnoteRef/>
      </w:r>
      <w:r w:rsidRPr="003F5624">
        <w:rPr>
          <w:lang w:val="en-GB"/>
        </w:rPr>
        <w:t xml:space="preserve"> </w:t>
      </w:r>
      <w:r>
        <w:rPr>
          <w:lang w:val="en-GB"/>
        </w:rPr>
        <w:t xml:space="preserve">Knott, Kim, </w:t>
      </w:r>
      <w:r w:rsidRPr="00083261">
        <w:rPr>
          <w:i/>
          <w:iCs/>
          <w:lang w:val="en-GB"/>
        </w:rPr>
        <w:t>Spatial Theory and Method for the Study of Religion</w:t>
      </w:r>
      <w:r>
        <w:rPr>
          <w:lang w:val="en-GB"/>
        </w:rPr>
        <w:t xml:space="preserve">, </w:t>
      </w:r>
      <w:r w:rsidRPr="00083261">
        <w:rPr>
          <w:lang w:val="en-GB"/>
        </w:rPr>
        <w:t>Oxford, UK: Blackwell Publishing Ltd; Religion compass, 2008-11, Vol.2 (6), p.1102-1116</w:t>
      </w:r>
      <w:r>
        <w:rPr>
          <w:lang w:val="en-GB"/>
        </w:rPr>
        <w:t xml:space="preserve">, </w:t>
      </w:r>
      <w:r w:rsidRPr="00DC6811">
        <w:rPr>
          <w:lang w:val="en-GB"/>
        </w:rPr>
        <w:t xml:space="preserve">p. 169 </w:t>
      </w:r>
    </w:p>
  </w:footnote>
  <w:footnote w:id="13">
    <w:p w14:paraId="6F8DB638" w14:textId="77777777" w:rsidR="009D6041" w:rsidRPr="00715C56" w:rsidRDefault="009D6041" w:rsidP="009D6041">
      <w:pPr>
        <w:pStyle w:val="Funotentext"/>
        <w:rPr>
          <w:lang w:val="en-GB"/>
        </w:rPr>
      </w:pPr>
      <w:r>
        <w:rPr>
          <w:rStyle w:val="Funotenzeichen"/>
        </w:rPr>
        <w:footnoteRef/>
      </w:r>
      <w:r w:rsidRPr="00715C56">
        <w:rPr>
          <w:lang w:val="en-GB"/>
        </w:rPr>
        <w:t xml:space="preserve"> Fields, </w:t>
      </w:r>
      <w:proofErr w:type="spellStart"/>
      <w:r w:rsidRPr="00715C56">
        <w:rPr>
          <w:lang w:val="en-GB"/>
        </w:rPr>
        <w:t>p.xlvi</w:t>
      </w:r>
      <w:proofErr w:type="spellEnd"/>
    </w:p>
  </w:footnote>
  <w:footnote w:id="14">
    <w:p w14:paraId="3EF52EED" w14:textId="77777777" w:rsidR="009D6041" w:rsidRPr="006D33D6" w:rsidRDefault="009D6041" w:rsidP="009D6041">
      <w:pPr>
        <w:pStyle w:val="Funotentext"/>
        <w:rPr>
          <w:lang w:val="en-GB"/>
        </w:rPr>
      </w:pPr>
      <w:r>
        <w:rPr>
          <w:rStyle w:val="Funotenzeichen"/>
        </w:rPr>
        <w:footnoteRef/>
      </w:r>
      <w:r w:rsidRPr="006D33D6">
        <w:rPr>
          <w:lang w:val="en-GB"/>
        </w:rPr>
        <w:t xml:space="preserve"> Hunter, Jack, Sacred Geography: </w:t>
      </w:r>
      <w:r>
        <w:rPr>
          <w:lang w:val="en-GB"/>
        </w:rPr>
        <w:t>Conversations</w:t>
      </w:r>
      <w:r w:rsidRPr="006D33D6">
        <w:rPr>
          <w:lang w:val="en-GB"/>
        </w:rPr>
        <w:t xml:space="preserve"> </w:t>
      </w:r>
      <w:proofErr w:type="gramStart"/>
      <w:r w:rsidRPr="006D33D6">
        <w:rPr>
          <w:lang w:val="en-GB"/>
        </w:rPr>
        <w:t>With</w:t>
      </w:r>
      <w:proofErr w:type="gramEnd"/>
      <w:r w:rsidRPr="006D33D6">
        <w:rPr>
          <w:lang w:val="en-GB"/>
        </w:rPr>
        <w:t xml:space="preserve"> </w:t>
      </w:r>
      <w:proofErr w:type="gramStart"/>
      <w:r w:rsidRPr="006D33D6">
        <w:rPr>
          <w:lang w:val="en-GB"/>
        </w:rPr>
        <w:t>The</w:t>
      </w:r>
      <w:proofErr w:type="gramEnd"/>
      <w:r w:rsidRPr="006D33D6">
        <w:rPr>
          <w:lang w:val="en-GB"/>
        </w:rPr>
        <w:t xml:space="preserve"> Other</w:t>
      </w:r>
      <w:r>
        <w:rPr>
          <w:lang w:val="en-GB"/>
        </w:rPr>
        <w:t>, p. 11.</w:t>
      </w:r>
    </w:p>
  </w:footnote>
  <w:footnote w:id="15">
    <w:p w14:paraId="07C5C572" w14:textId="77777777" w:rsidR="009D6041" w:rsidRPr="00650B4F" w:rsidRDefault="009D6041" w:rsidP="009D6041">
      <w:pPr>
        <w:pStyle w:val="Funotentext"/>
        <w:rPr>
          <w:lang w:val="en-GB"/>
        </w:rPr>
      </w:pPr>
      <w:r>
        <w:rPr>
          <w:rStyle w:val="Funotenzeichen"/>
        </w:rPr>
        <w:footnoteRef/>
      </w:r>
      <w:r w:rsidRPr="00650B4F">
        <w:rPr>
          <w:lang w:val="en-GB"/>
        </w:rPr>
        <w:t xml:space="preserve"> </w:t>
      </w:r>
      <w:r w:rsidRPr="006D33D6">
        <w:rPr>
          <w:lang w:val="en-GB"/>
        </w:rPr>
        <w:t xml:space="preserve">Hunter, Jack, Sacred Geography: </w:t>
      </w:r>
      <w:r>
        <w:rPr>
          <w:lang w:val="en-GB"/>
        </w:rPr>
        <w:t>Conversations</w:t>
      </w:r>
      <w:r w:rsidRPr="006D33D6">
        <w:rPr>
          <w:lang w:val="en-GB"/>
        </w:rPr>
        <w:t xml:space="preserve"> </w:t>
      </w:r>
      <w:proofErr w:type="gramStart"/>
      <w:r w:rsidRPr="006D33D6">
        <w:rPr>
          <w:lang w:val="en-GB"/>
        </w:rPr>
        <w:t>With</w:t>
      </w:r>
      <w:proofErr w:type="gramEnd"/>
      <w:r w:rsidRPr="006D33D6">
        <w:rPr>
          <w:lang w:val="en-GB"/>
        </w:rPr>
        <w:t xml:space="preserve"> </w:t>
      </w:r>
      <w:proofErr w:type="gramStart"/>
      <w:r w:rsidRPr="006D33D6">
        <w:rPr>
          <w:lang w:val="en-GB"/>
        </w:rPr>
        <w:t>The</w:t>
      </w:r>
      <w:proofErr w:type="gramEnd"/>
      <w:r w:rsidRPr="006D33D6">
        <w:rPr>
          <w:lang w:val="en-GB"/>
        </w:rPr>
        <w:t xml:space="preserve"> Other</w:t>
      </w:r>
      <w:r>
        <w:rPr>
          <w:lang w:val="en-GB"/>
        </w:rPr>
        <w:t>, p. 11.</w:t>
      </w:r>
    </w:p>
  </w:footnote>
  <w:footnote w:id="16">
    <w:p w14:paraId="5DA39244" w14:textId="77777777" w:rsidR="00F72F3D" w:rsidRPr="008801C1" w:rsidRDefault="00F72F3D" w:rsidP="00F72F3D">
      <w:pPr>
        <w:pStyle w:val="Funotentext"/>
      </w:pPr>
      <w:r>
        <w:rPr>
          <w:rStyle w:val="Funotenzeichen"/>
        </w:rPr>
        <w:footnoteRef/>
      </w:r>
      <w:r w:rsidRPr="008801C1">
        <w:t xml:space="preserve"> Hunter, p. 11.</w:t>
      </w:r>
    </w:p>
  </w:footnote>
  <w:footnote w:id="17">
    <w:p w14:paraId="71EC300A" w14:textId="77777777" w:rsidR="009A1FCD" w:rsidRPr="009A1FCD" w:rsidRDefault="009A1FCD" w:rsidP="009A1FCD">
      <w:pPr>
        <w:pStyle w:val="Funotentext"/>
        <w:rPr>
          <w:lang w:val="en-GB"/>
        </w:rPr>
      </w:pPr>
      <w:r>
        <w:rPr>
          <w:rStyle w:val="Funotenzeichen"/>
        </w:rPr>
        <w:footnoteRef/>
      </w:r>
      <w:r w:rsidRPr="009A1FCD">
        <w:rPr>
          <w:lang w:val="en-GB"/>
        </w:rPr>
        <w:t xml:space="preserve"> Hunter, Jack, p. 11.</w:t>
      </w:r>
    </w:p>
  </w:footnote>
  <w:footnote w:id="18">
    <w:p w14:paraId="34F4D12E" w14:textId="77777777" w:rsidR="009D6041" w:rsidRPr="006615C2" w:rsidRDefault="009D6041" w:rsidP="009D6041">
      <w:pPr>
        <w:pStyle w:val="Funotentext"/>
        <w:rPr>
          <w:lang w:val="en-GB"/>
        </w:rPr>
      </w:pPr>
      <w:r>
        <w:rPr>
          <w:rStyle w:val="Funotenzeichen"/>
        </w:rPr>
        <w:footnoteRef/>
      </w:r>
      <w:r w:rsidRPr="006615C2">
        <w:rPr>
          <w:lang w:val="en-GB"/>
        </w:rPr>
        <w:t xml:space="preserve"> </w:t>
      </w:r>
      <w:r>
        <w:rPr>
          <w:lang w:val="en-GB"/>
        </w:rPr>
        <w:t>Hunter, Jack, Sacred Geography, p. 12.</w:t>
      </w:r>
    </w:p>
  </w:footnote>
  <w:footnote w:id="19">
    <w:p w14:paraId="219CD15E" w14:textId="1C0C5109" w:rsidR="003F7401" w:rsidRDefault="003F7401">
      <w:pPr>
        <w:pStyle w:val="Funotentext"/>
      </w:pPr>
      <w:r>
        <w:rPr>
          <w:rStyle w:val="Funotenzeichen"/>
        </w:rPr>
        <w:footnoteRef/>
      </w:r>
      <w:r>
        <w:t xml:space="preserve"> Eliade, p. 11.</w:t>
      </w:r>
    </w:p>
  </w:footnote>
  <w:footnote w:id="20">
    <w:p w14:paraId="623BFE38" w14:textId="2363DB25" w:rsidR="002C3AD6" w:rsidRDefault="002C3AD6">
      <w:pPr>
        <w:pStyle w:val="Funotentext"/>
      </w:pPr>
      <w:r>
        <w:rPr>
          <w:rStyle w:val="Funotenzeichen"/>
        </w:rPr>
        <w:footnoteRef/>
      </w:r>
      <w:r>
        <w:t xml:space="preserve"> Dur</w:t>
      </w:r>
      <w:r w:rsidR="00C464D8">
        <w:t>kheim, p. 36.</w:t>
      </w:r>
    </w:p>
  </w:footnote>
  <w:footnote w:id="21">
    <w:p w14:paraId="7DE2850F" w14:textId="77777777" w:rsidR="000B5F37" w:rsidRPr="008250D3" w:rsidRDefault="000B5F37" w:rsidP="000B5F37">
      <w:pPr>
        <w:pStyle w:val="Funotentext"/>
      </w:pPr>
      <w:r>
        <w:rPr>
          <w:rStyle w:val="Funotenzeichen"/>
        </w:rPr>
        <w:footnoteRef/>
      </w:r>
      <w:r w:rsidRPr="008250D3">
        <w:t xml:space="preserve"> Durkheim, p. 82</w:t>
      </w:r>
    </w:p>
  </w:footnote>
  <w:footnote w:id="22">
    <w:p w14:paraId="76177CDE" w14:textId="77777777" w:rsidR="000B5F37" w:rsidRPr="000B5F37" w:rsidRDefault="000B5F37" w:rsidP="000B5F37">
      <w:pPr>
        <w:pStyle w:val="Funotentext"/>
      </w:pPr>
      <w:r>
        <w:rPr>
          <w:rStyle w:val="Funotenzeichen"/>
        </w:rPr>
        <w:footnoteRef/>
      </w:r>
      <w:r w:rsidRPr="000B5F37">
        <w:t xml:space="preserve"> Durkheim, p. 37.</w:t>
      </w:r>
    </w:p>
  </w:footnote>
  <w:footnote w:id="23">
    <w:p w14:paraId="7E1E4A8E" w14:textId="77777777" w:rsidR="000B5F37" w:rsidRPr="000B5F37" w:rsidRDefault="000B5F37" w:rsidP="000B5F37">
      <w:pPr>
        <w:pStyle w:val="Funotentext"/>
      </w:pPr>
      <w:r>
        <w:rPr>
          <w:rStyle w:val="Funotenzeichen"/>
        </w:rPr>
        <w:footnoteRef/>
      </w:r>
      <w:r w:rsidRPr="000B5F37">
        <w:t xml:space="preserve"> Fields, </w:t>
      </w:r>
      <w:proofErr w:type="spellStart"/>
      <w:r w:rsidRPr="000B5F37">
        <w:t>p.xlvi</w:t>
      </w:r>
      <w:proofErr w:type="spellEnd"/>
      <w:r w:rsidRPr="000B5F37">
        <w:t xml:space="preserve"> </w:t>
      </w:r>
    </w:p>
  </w:footnote>
  <w:footnote w:id="24">
    <w:p w14:paraId="6B1F17CE" w14:textId="77777777" w:rsidR="000B5F37" w:rsidRPr="00E7138E" w:rsidRDefault="000B5F37" w:rsidP="000B5F37">
      <w:pPr>
        <w:pStyle w:val="Funotentext"/>
        <w:rPr>
          <w:lang w:val="en-GB"/>
        </w:rPr>
      </w:pPr>
      <w:r>
        <w:rPr>
          <w:rStyle w:val="Funotenzeichen"/>
        </w:rPr>
        <w:footnoteRef/>
      </w:r>
      <w:r w:rsidRPr="00E7138E">
        <w:rPr>
          <w:lang w:val="en-GB"/>
        </w:rPr>
        <w:t xml:space="preserve"> </w:t>
      </w:r>
      <w:r w:rsidRPr="00316409">
        <w:rPr>
          <w:lang w:val="en-GB"/>
        </w:rPr>
        <w:t>Anthony Thorley and Celia M Gunn</w:t>
      </w:r>
      <w:r>
        <w:rPr>
          <w:lang w:val="en-GB"/>
        </w:rPr>
        <w:t xml:space="preserve">, </w:t>
      </w:r>
      <w:r w:rsidRPr="00316409">
        <w:rPr>
          <w:lang w:val="en-GB"/>
        </w:rPr>
        <w:t>Sacred Sites: An Overview</w:t>
      </w:r>
      <w:r>
        <w:rPr>
          <w:lang w:val="en-GB"/>
        </w:rPr>
        <w:t xml:space="preserve">, </w:t>
      </w:r>
      <w:r w:rsidRPr="00316409">
        <w:rPr>
          <w:lang w:val="en-GB"/>
        </w:rPr>
        <w:t>A Report for The Gaia Foundation</w:t>
      </w:r>
      <w:r>
        <w:rPr>
          <w:lang w:val="en-GB"/>
        </w:rPr>
        <w:t>, p. 8.</w:t>
      </w:r>
    </w:p>
  </w:footnote>
  <w:footnote w:id="25">
    <w:p w14:paraId="22E11B2B" w14:textId="77777777" w:rsidR="000B5F37" w:rsidRPr="00645B21" w:rsidRDefault="000B5F37" w:rsidP="000B5F37">
      <w:pPr>
        <w:pStyle w:val="Funotentext"/>
        <w:rPr>
          <w:lang w:val="en-GB"/>
        </w:rPr>
      </w:pPr>
      <w:r>
        <w:rPr>
          <w:rStyle w:val="Funotenzeichen"/>
        </w:rPr>
        <w:footnoteRef/>
      </w:r>
      <w:r w:rsidRPr="00645B21">
        <w:rPr>
          <w:lang w:val="en-GB"/>
        </w:rPr>
        <w:t xml:space="preserve"> </w:t>
      </w:r>
      <w:r>
        <w:rPr>
          <w:lang w:val="en-GB"/>
        </w:rPr>
        <w:t>Durkheim, p. 38.</w:t>
      </w:r>
    </w:p>
  </w:footnote>
  <w:footnote w:id="26">
    <w:p w14:paraId="30DC18AA" w14:textId="77777777" w:rsidR="000B5F37" w:rsidRPr="00AB332D" w:rsidRDefault="000B5F37" w:rsidP="000B5F37">
      <w:pPr>
        <w:pStyle w:val="Funotentext"/>
        <w:rPr>
          <w:lang w:val="en-GB"/>
        </w:rPr>
      </w:pPr>
      <w:r>
        <w:rPr>
          <w:rStyle w:val="Funotenzeichen"/>
        </w:rPr>
        <w:footnoteRef/>
      </w:r>
      <w:r w:rsidRPr="00AB332D">
        <w:rPr>
          <w:lang w:val="en-GB"/>
        </w:rPr>
        <w:t xml:space="preserve"> </w:t>
      </w:r>
      <w:r>
        <w:rPr>
          <w:lang w:val="en-GB"/>
        </w:rPr>
        <w:t>Eliade, p. 11.</w:t>
      </w:r>
    </w:p>
  </w:footnote>
  <w:footnote w:id="27">
    <w:p w14:paraId="06AAF5A6" w14:textId="77777777" w:rsidR="000B5F37" w:rsidRPr="00AD14DE" w:rsidRDefault="000B5F37" w:rsidP="000B5F37">
      <w:pPr>
        <w:pStyle w:val="Funotentext"/>
        <w:rPr>
          <w:lang w:val="en-GB"/>
        </w:rPr>
      </w:pPr>
      <w:r>
        <w:rPr>
          <w:rStyle w:val="Funotenzeichen"/>
        </w:rPr>
        <w:footnoteRef/>
      </w:r>
      <w:r w:rsidRPr="00AD14DE">
        <w:rPr>
          <w:lang w:val="en-GB"/>
        </w:rPr>
        <w:t xml:space="preserve"> </w:t>
      </w:r>
      <w:r>
        <w:rPr>
          <w:lang w:val="en-GB"/>
        </w:rPr>
        <w:t>Eliade, The Sacred and the Profane</w:t>
      </w:r>
    </w:p>
  </w:footnote>
  <w:footnote w:id="28">
    <w:p w14:paraId="679E8425" w14:textId="77777777" w:rsidR="000B5F37" w:rsidRPr="00AD14DE" w:rsidRDefault="000B5F37" w:rsidP="000B5F37">
      <w:pPr>
        <w:pStyle w:val="Funotentext"/>
        <w:rPr>
          <w:lang w:val="en-GB"/>
        </w:rPr>
      </w:pPr>
      <w:r>
        <w:rPr>
          <w:rStyle w:val="Funotenzeichen"/>
        </w:rPr>
        <w:footnoteRef/>
      </w:r>
      <w:r w:rsidRPr="00AD14DE">
        <w:rPr>
          <w:lang w:val="en-GB"/>
        </w:rPr>
        <w:t xml:space="preserve"> </w:t>
      </w:r>
      <w:r>
        <w:rPr>
          <w:lang w:val="en-GB"/>
        </w:rPr>
        <w:t>Eliade, pp. 11 and 21.</w:t>
      </w:r>
    </w:p>
  </w:footnote>
  <w:footnote w:id="29">
    <w:p w14:paraId="47406B0A" w14:textId="77777777" w:rsidR="000B5F37" w:rsidRPr="00AB332D" w:rsidRDefault="000B5F37" w:rsidP="000B5F37">
      <w:pPr>
        <w:pStyle w:val="Funotentext"/>
        <w:rPr>
          <w:lang w:val="en-GB"/>
        </w:rPr>
      </w:pPr>
      <w:r>
        <w:rPr>
          <w:rStyle w:val="Funotenzeichen"/>
        </w:rPr>
        <w:footnoteRef/>
      </w:r>
      <w:r w:rsidRPr="00AB332D">
        <w:rPr>
          <w:lang w:val="en-GB"/>
        </w:rPr>
        <w:t xml:space="preserve"> Hunter, p. 11.</w:t>
      </w:r>
    </w:p>
  </w:footnote>
  <w:footnote w:id="30">
    <w:p w14:paraId="0D57322E" w14:textId="77777777" w:rsidR="000B5F37" w:rsidRPr="006424C8" w:rsidRDefault="000B5F37" w:rsidP="000B5F37">
      <w:pPr>
        <w:pStyle w:val="Funotentext"/>
        <w:rPr>
          <w:lang w:val="en-GB"/>
        </w:rPr>
      </w:pPr>
      <w:r>
        <w:rPr>
          <w:rStyle w:val="Funotenzeichen"/>
        </w:rPr>
        <w:footnoteRef/>
      </w:r>
      <w:r w:rsidRPr="006424C8">
        <w:rPr>
          <w:lang w:val="en-GB"/>
        </w:rPr>
        <w:t xml:space="preserve"> Eliade, p</w:t>
      </w:r>
      <w:r>
        <w:rPr>
          <w:lang w:val="en-GB"/>
        </w:rPr>
        <w:t>. 28.</w:t>
      </w:r>
    </w:p>
  </w:footnote>
  <w:footnote w:id="31">
    <w:p w14:paraId="1A264A3E" w14:textId="77777777" w:rsidR="005B4A22" w:rsidRPr="008801C1" w:rsidRDefault="005B4A22" w:rsidP="005B4A22">
      <w:pPr>
        <w:pStyle w:val="Funotentext"/>
      </w:pPr>
      <w:r>
        <w:rPr>
          <w:rStyle w:val="Funotenzeichen"/>
        </w:rPr>
        <w:footnoteRef/>
      </w:r>
      <w:r w:rsidRPr="008801C1">
        <w:t xml:space="preserve"> Durkheim, p. 38.</w:t>
      </w:r>
    </w:p>
  </w:footnote>
  <w:footnote w:id="32">
    <w:p w14:paraId="6203FB60" w14:textId="77777777" w:rsidR="000B79C7" w:rsidRPr="00585FC8" w:rsidRDefault="000B79C7" w:rsidP="000B79C7">
      <w:pPr>
        <w:pStyle w:val="Funotentext"/>
        <w:rPr>
          <w:lang w:val="en-GB"/>
        </w:rPr>
      </w:pPr>
      <w:r>
        <w:rPr>
          <w:rStyle w:val="Funotenzeichen"/>
        </w:rPr>
        <w:footnoteRef/>
      </w:r>
      <w:r w:rsidRPr="00585FC8">
        <w:rPr>
          <w:lang w:val="en-GB"/>
        </w:rPr>
        <w:t xml:space="preserve"> Brady, Introduction p</w:t>
      </w:r>
      <w:r>
        <w:rPr>
          <w:lang w:val="en-GB"/>
        </w:rPr>
        <w:t>. 9.</w:t>
      </w:r>
    </w:p>
  </w:footnote>
  <w:footnote w:id="33">
    <w:p w14:paraId="71EC10C2" w14:textId="07A3A8F2" w:rsidR="00F72F3D" w:rsidRPr="00F72F3D" w:rsidRDefault="00F72F3D">
      <w:pPr>
        <w:pStyle w:val="Funotentext"/>
        <w:rPr>
          <w:lang w:val="sv-SE"/>
        </w:rPr>
      </w:pPr>
      <w:r>
        <w:rPr>
          <w:rStyle w:val="Funotenzeichen"/>
        </w:rPr>
        <w:footnoteRef/>
      </w:r>
      <w:r w:rsidRPr="00F72F3D">
        <w:rPr>
          <w:lang w:val="sv-SE"/>
        </w:rPr>
        <w:t xml:space="preserve"> </w:t>
      </w:r>
      <w:r w:rsidRPr="00F72F3D">
        <w:rPr>
          <w:lang w:val="sv-SE"/>
        </w:rPr>
        <w:t>Prus, p.</w:t>
      </w:r>
      <w:r>
        <w:rPr>
          <w:lang w:val="sv-SE"/>
        </w:rPr>
        <w:t xml:space="preserve"> 120.</w:t>
      </w:r>
    </w:p>
  </w:footnote>
  <w:footnote w:id="34">
    <w:p w14:paraId="69D634D2" w14:textId="77777777" w:rsidR="00F72F3D" w:rsidRPr="00F72F3D" w:rsidRDefault="00F72F3D" w:rsidP="00F72F3D">
      <w:pPr>
        <w:pStyle w:val="Funotentext"/>
        <w:rPr>
          <w:lang w:val="sv-SE"/>
        </w:rPr>
      </w:pPr>
      <w:r>
        <w:rPr>
          <w:rStyle w:val="Funotenzeichen"/>
        </w:rPr>
        <w:footnoteRef/>
      </w:r>
      <w:r w:rsidRPr="00F72F3D">
        <w:rPr>
          <w:lang w:val="sv-SE"/>
        </w:rPr>
        <w:t xml:space="preserve"> </w:t>
      </w:r>
      <w:r w:rsidRPr="00F72F3D">
        <w:rPr>
          <w:lang w:val="sv-SE"/>
        </w:rPr>
        <w:t xml:space="preserve">Hunter, </w:t>
      </w:r>
      <w:r w:rsidRPr="00F72F3D">
        <w:rPr>
          <w:lang w:val="sv-SE"/>
        </w:rPr>
        <w:t>Jack, p. 11.</w:t>
      </w:r>
    </w:p>
  </w:footnote>
  <w:footnote w:id="35">
    <w:p w14:paraId="165A7722" w14:textId="77777777" w:rsidR="00F80850" w:rsidRPr="00710331" w:rsidRDefault="00F80850" w:rsidP="00F80850">
      <w:pPr>
        <w:pStyle w:val="Funotentext"/>
        <w:rPr>
          <w:lang w:val="en-GB"/>
        </w:rPr>
      </w:pPr>
      <w:r>
        <w:rPr>
          <w:rStyle w:val="Funotenzeichen"/>
        </w:rPr>
        <w:footnoteRef/>
      </w:r>
      <w:r w:rsidRPr="00710331">
        <w:rPr>
          <w:lang w:val="en-GB"/>
        </w:rPr>
        <w:t xml:space="preserve"> Prus, Robert, Reconceptualizing the Study of Community Life:</w:t>
      </w:r>
      <w:r>
        <w:rPr>
          <w:lang w:val="en-GB"/>
        </w:rPr>
        <w:t xml:space="preserve"> </w:t>
      </w:r>
      <w:r w:rsidRPr="00710331">
        <w:rPr>
          <w:lang w:val="en-GB"/>
        </w:rPr>
        <w:t>Emile Durkheim’s Pragmatism and Sociology</w:t>
      </w:r>
      <w:r>
        <w:rPr>
          <w:lang w:val="en-GB"/>
        </w:rPr>
        <w:t>, p. 120.</w:t>
      </w:r>
    </w:p>
  </w:footnote>
  <w:footnote w:id="36">
    <w:p w14:paraId="2422C526" w14:textId="77777777" w:rsidR="002D41C0" w:rsidRPr="0072118F" w:rsidRDefault="002D41C0" w:rsidP="002D41C0">
      <w:pPr>
        <w:pStyle w:val="Funotentext"/>
        <w:rPr>
          <w:lang w:val="sv-SE"/>
        </w:rPr>
      </w:pPr>
      <w:r>
        <w:rPr>
          <w:rStyle w:val="Funotenzeichen"/>
        </w:rPr>
        <w:footnoteRef/>
      </w:r>
      <w:r w:rsidRPr="0072118F">
        <w:rPr>
          <w:lang w:val="sv-SE"/>
        </w:rPr>
        <w:t xml:space="preserve"> </w:t>
      </w:r>
      <w:r w:rsidRPr="0072118F">
        <w:rPr>
          <w:lang w:val="sv-SE"/>
        </w:rPr>
        <w:t>Eliade, p. 47.</w:t>
      </w:r>
    </w:p>
  </w:footnote>
  <w:footnote w:id="37">
    <w:p w14:paraId="65A43A42" w14:textId="77777777" w:rsidR="000B79C7" w:rsidRPr="00C43D87" w:rsidRDefault="000B79C7" w:rsidP="000B79C7">
      <w:pPr>
        <w:pStyle w:val="Funotentext"/>
        <w:rPr>
          <w:lang w:val="en-GB"/>
        </w:rPr>
      </w:pPr>
      <w:r>
        <w:rPr>
          <w:rStyle w:val="Funotenzeichen"/>
        </w:rPr>
        <w:footnoteRef/>
      </w:r>
      <w:r w:rsidRPr="00C43D87">
        <w:rPr>
          <w:lang w:val="en-GB"/>
        </w:rPr>
        <w:t xml:space="preserve"> </w:t>
      </w:r>
      <w:r>
        <w:rPr>
          <w:lang w:val="en-GB"/>
        </w:rPr>
        <w:t>Eliade, pp. 21 and 63.</w:t>
      </w:r>
    </w:p>
  </w:footnote>
  <w:footnote w:id="38">
    <w:p w14:paraId="685BD343" w14:textId="77777777" w:rsidR="000B79C7" w:rsidRPr="00FF1C64" w:rsidRDefault="000B79C7" w:rsidP="000B79C7">
      <w:pPr>
        <w:pStyle w:val="Funotentext"/>
        <w:rPr>
          <w:lang w:val="en-GB"/>
        </w:rPr>
      </w:pPr>
      <w:r>
        <w:rPr>
          <w:rStyle w:val="Funotenzeichen"/>
        </w:rPr>
        <w:footnoteRef/>
      </w:r>
      <w:r w:rsidRPr="00FF1C64">
        <w:rPr>
          <w:lang w:val="en-GB"/>
        </w:rPr>
        <w:t xml:space="preserve"> Eliade, p. 63.</w:t>
      </w:r>
    </w:p>
  </w:footnote>
  <w:footnote w:id="39">
    <w:p w14:paraId="25C490A7" w14:textId="77777777" w:rsidR="000B79C7" w:rsidRPr="003F4F33" w:rsidRDefault="000B79C7" w:rsidP="000B79C7">
      <w:pPr>
        <w:pStyle w:val="Funotentext"/>
        <w:rPr>
          <w:lang w:val="en-GB"/>
        </w:rPr>
      </w:pPr>
      <w:r>
        <w:rPr>
          <w:rStyle w:val="Funotenzeichen"/>
        </w:rPr>
        <w:footnoteRef/>
      </w:r>
      <w:r w:rsidRPr="003F4F33">
        <w:rPr>
          <w:lang w:val="en-GB"/>
        </w:rPr>
        <w:t xml:space="preserve"> </w:t>
      </w:r>
      <w:r>
        <w:rPr>
          <w:lang w:val="en-GB"/>
        </w:rPr>
        <w:t xml:space="preserve">Eliade, </w:t>
      </w:r>
      <w:proofErr w:type="spellStart"/>
      <w:r>
        <w:rPr>
          <w:lang w:val="en-GB"/>
        </w:rPr>
        <w:t>Mircae</w:t>
      </w:r>
      <w:proofErr w:type="spellEnd"/>
      <w:r>
        <w:rPr>
          <w:lang w:val="en-GB"/>
        </w:rPr>
        <w:t xml:space="preserve">, </w:t>
      </w:r>
      <w:r w:rsidRPr="003F4F33">
        <w:rPr>
          <w:i/>
          <w:iCs/>
          <w:lang w:val="en-GB"/>
        </w:rPr>
        <w:t>The Sacred and the Profane,</w:t>
      </w:r>
      <w:r>
        <w:rPr>
          <w:lang w:val="en-GB"/>
        </w:rPr>
        <w:t xml:space="preserve"> p. 21.</w:t>
      </w:r>
    </w:p>
  </w:footnote>
  <w:footnote w:id="40">
    <w:p w14:paraId="25095CB1" w14:textId="77777777" w:rsidR="002D41C0" w:rsidRPr="000B79C7" w:rsidRDefault="002D41C0" w:rsidP="002D41C0">
      <w:pPr>
        <w:pStyle w:val="Funotentext"/>
        <w:rPr>
          <w:lang w:val="en-GB"/>
        </w:rPr>
      </w:pPr>
      <w:r>
        <w:rPr>
          <w:rStyle w:val="Funotenzeichen"/>
        </w:rPr>
        <w:footnoteRef/>
      </w:r>
      <w:r w:rsidRPr="000B79C7">
        <w:rPr>
          <w:lang w:val="en-GB"/>
        </w:rPr>
        <w:t xml:space="preserve"> Brady, p. 5.</w:t>
      </w:r>
    </w:p>
  </w:footnote>
  <w:footnote w:id="41">
    <w:p w14:paraId="00EE0BF2" w14:textId="77777777" w:rsidR="000B79C7" w:rsidRPr="00BC6901" w:rsidRDefault="000B79C7" w:rsidP="000B79C7">
      <w:pPr>
        <w:pStyle w:val="Funotentext"/>
        <w:rPr>
          <w:lang w:val="en-GB"/>
        </w:rPr>
      </w:pPr>
      <w:r>
        <w:rPr>
          <w:rStyle w:val="Funotenzeichen"/>
        </w:rPr>
        <w:footnoteRef/>
      </w:r>
      <w:r w:rsidRPr="00BC6901">
        <w:rPr>
          <w:lang w:val="en-GB"/>
        </w:rPr>
        <w:t xml:space="preserve"> </w:t>
      </w:r>
      <w:r>
        <w:rPr>
          <w:lang w:val="en-GB"/>
        </w:rPr>
        <w:t xml:space="preserve">Aristotle, Physics </w:t>
      </w:r>
      <w:r w:rsidRPr="00BC6901">
        <w:rPr>
          <w:lang w:val="en-GB"/>
        </w:rPr>
        <w:t>208b14–16</w:t>
      </w:r>
    </w:p>
  </w:footnote>
  <w:footnote w:id="42">
    <w:p w14:paraId="6CB37361" w14:textId="77777777" w:rsidR="002D41C0" w:rsidRPr="00AF36D9" w:rsidRDefault="002D41C0" w:rsidP="002D41C0">
      <w:pPr>
        <w:pStyle w:val="Funotentext"/>
        <w:rPr>
          <w:lang w:val="en-GB"/>
        </w:rPr>
      </w:pPr>
      <w:r>
        <w:rPr>
          <w:rStyle w:val="Funotenzeichen"/>
        </w:rPr>
        <w:footnoteRef/>
      </w:r>
      <w:r w:rsidRPr="00AF36D9">
        <w:rPr>
          <w:lang w:val="en-GB"/>
        </w:rPr>
        <w:t xml:space="preserve"> Bernadette Brady, Intro to</w:t>
      </w:r>
      <w:r>
        <w:rPr>
          <w:lang w:val="en-GB"/>
        </w:rPr>
        <w:t xml:space="preserve"> Sacred Geography, p.?</w:t>
      </w:r>
    </w:p>
  </w:footnote>
  <w:footnote w:id="43">
    <w:p w14:paraId="7901C28C" w14:textId="77777777" w:rsidR="007946E8" w:rsidRPr="00530D0A" w:rsidRDefault="007946E8" w:rsidP="007946E8">
      <w:pPr>
        <w:pStyle w:val="Funotentext"/>
        <w:rPr>
          <w:lang w:val="en-GB"/>
        </w:rPr>
      </w:pPr>
      <w:r>
        <w:rPr>
          <w:rStyle w:val="Funotenzeichen"/>
        </w:rPr>
        <w:footnoteRef/>
      </w:r>
      <w:r w:rsidRPr="00530D0A">
        <w:rPr>
          <w:lang w:val="en-GB"/>
        </w:rPr>
        <w:t xml:space="preserve"> Field, p. xlii</w:t>
      </w:r>
    </w:p>
  </w:footnote>
  <w:footnote w:id="44">
    <w:p w14:paraId="3BE0C6D6" w14:textId="3AD34F5E" w:rsidR="00A74F9D" w:rsidRPr="00A74F9D" w:rsidRDefault="00A74F9D">
      <w:pPr>
        <w:pStyle w:val="Funotentext"/>
        <w:rPr>
          <w:lang w:val="en-GB"/>
        </w:rPr>
      </w:pPr>
      <w:r>
        <w:rPr>
          <w:rStyle w:val="Funotenzeichen"/>
        </w:rPr>
        <w:footnoteRef/>
      </w:r>
      <w:r w:rsidRPr="00A74F9D">
        <w:rPr>
          <w:lang w:val="en-GB"/>
        </w:rPr>
        <w:t xml:space="preserve"> Fields, p</w:t>
      </w:r>
      <w:r>
        <w:rPr>
          <w:lang w:val="en-GB"/>
        </w:rPr>
        <w:t>. xlvi.</w:t>
      </w:r>
    </w:p>
  </w:footnote>
  <w:footnote w:id="45">
    <w:p w14:paraId="7E826DB9" w14:textId="77777777" w:rsidR="00530D0A" w:rsidRPr="00650B4F" w:rsidRDefault="00530D0A" w:rsidP="00530D0A">
      <w:pPr>
        <w:pStyle w:val="Funotentext"/>
        <w:rPr>
          <w:lang w:val="en-GB"/>
        </w:rPr>
      </w:pPr>
      <w:r>
        <w:rPr>
          <w:rStyle w:val="Funotenzeichen"/>
        </w:rPr>
        <w:footnoteRef/>
      </w:r>
      <w:r w:rsidRPr="00650B4F">
        <w:rPr>
          <w:lang w:val="en-GB"/>
        </w:rPr>
        <w:t xml:space="preserve"> </w:t>
      </w:r>
      <w:r w:rsidRPr="006D33D6">
        <w:rPr>
          <w:lang w:val="en-GB"/>
        </w:rPr>
        <w:t xml:space="preserve">Hunter, Jack, Sacred Geography: </w:t>
      </w:r>
      <w:r>
        <w:rPr>
          <w:lang w:val="en-GB"/>
        </w:rPr>
        <w:t>Conversations</w:t>
      </w:r>
      <w:r w:rsidRPr="006D33D6">
        <w:rPr>
          <w:lang w:val="en-GB"/>
        </w:rPr>
        <w:t xml:space="preserve"> </w:t>
      </w:r>
      <w:proofErr w:type="gramStart"/>
      <w:r w:rsidRPr="006D33D6">
        <w:rPr>
          <w:lang w:val="en-GB"/>
        </w:rPr>
        <w:t>With</w:t>
      </w:r>
      <w:proofErr w:type="gramEnd"/>
      <w:r w:rsidRPr="006D33D6">
        <w:rPr>
          <w:lang w:val="en-GB"/>
        </w:rPr>
        <w:t xml:space="preserve"> </w:t>
      </w:r>
      <w:proofErr w:type="gramStart"/>
      <w:r w:rsidRPr="006D33D6">
        <w:rPr>
          <w:lang w:val="en-GB"/>
        </w:rPr>
        <w:t>The</w:t>
      </w:r>
      <w:proofErr w:type="gramEnd"/>
      <w:r w:rsidRPr="006D33D6">
        <w:rPr>
          <w:lang w:val="en-GB"/>
        </w:rPr>
        <w:t xml:space="preserve"> Other</w:t>
      </w:r>
      <w:r>
        <w:rPr>
          <w:lang w:val="en-GB"/>
        </w:rPr>
        <w:t>, p. 11.</w:t>
      </w:r>
    </w:p>
  </w:footnote>
  <w:footnote w:id="46">
    <w:p w14:paraId="22D9845C" w14:textId="77777777" w:rsidR="00C27113" w:rsidRPr="001E7C31" w:rsidRDefault="00C27113" w:rsidP="00C27113">
      <w:pPr>
        <w:pStyle w:val="Funotentext"/>
        <w:rPr>
          <w:lang w:val="en-GB"/>
        </w:rPr>
      </w:pPr>
      <w:r>
        <w:rPr>
          <w:rStyle w:val="Funotenzeichen"/>
        </w:rPr>
        <w:footnoteRef/>
      </w:r>
      <w:r w:rsidRPr="001E7C31">
        <w:rPr>
          <w:lang w:val="en-GB"/>
        </w:rPr>
        <w:t xml:space="preserve"> Eliade, p. 85.</w:t>
      </w:r>
    </w:p>
  </w:footnote>
  <w:footnote w:id="47">
    <w:p w14:paraId="48C30F91" w14:textId="77777777" w:rsidR="00C27113" w:rsidRPr="00C27113" w:rsidRDefault="00C27113" w:rsidP="00C27113">
      <w:pPr>
        <w:pStyle w:val="Funotentext"/>
        <w:rPr>
          <w:lang w:val="en-GB"/>
        </w:rPr>
      </w:pPr>
      <w:r>
        <w:rPr>
          <w:rStyle w:val="Funotenzeichen"/>
        </w:rPr>
        <w:footnoteRef/>
      </w:r>
      <w:r w:rsidRPr="00C27113">
        <w:rPr>
          <w:lang w:val="en-GB"/>
        </w:rPr>
        <w:t xml:space="preserve"> Eliade, p. 94.</w:t>
      </w:r>
    </w:p>
  </w:footnote>
  <w:footnote w:id="48">
    <w:p w14:paraId="6C15A657" w14:textId="77777777" w:rsidR="00C27113" w:rsidRPr="008250D3" w:rsidRDefault="00C27113" w:rsidP="00C27113">
      <w:pPr>
        <w:pStyle w:val="Funotentext"/>
        <w:rPr>
          <w:lang w:val="en-GB"/>
        </w:rPr>
      </w:pPr>
      <w:r>
        <w:rPr>
          <w:rStyle w:val="Funotenzeichen"/>
        </w:rPr>
        <w:footnoteRef/>
      </w:r>
      <w:r w:rsidRPr="008250D3">
        <w:rPr>
          <w:lang w:val="en-GB"/>
        </w:rPr>
        <w:t xml:space="preserve"> Eliade, p. 30.</w:t>
      </w:r>
    </w:p>
  </w:footnote>
  <w:footnote w:id="49">
    <w:p w14:paraId="61ED6092" w14:textId="77777777" w:rsidR="00C27113" w:rsidRPr="00AD14DE" w:rsidRDefault="00C27113" w:rsidP="00C27113">
      <w:pPr>
        <w:pStyle w:val="Funotentext"/>
        <w:rPr>
          <w:lang w:val="en-GB"/>
        </w:rPr>
      </w:pPr>
      <w:r>
        <w:rPr>
          <w:rStyle w:val="Funotenzeichen"/>
        </w:rPr>
        <w:footnoteRef/>
      </w:r>
      <w:r w:rsidRPr="00AD14DE">
        <w:rPr>
          <w:lang w:val="en-GB"/>
        </w:rPr>
        <w:t xml:space="preserve"> Amy Whitehead, p</w:t>
      </w:r>
      <w:r>
        <w:rPr>
          <w:lang w:val="en-GB"/>
        </w:rPr>
        <w:t>. 7.</w:t>
      </w:r>
    </w:p>
  </w:footnote>
  <w:footnote w:id="50">
    <w:p w14:paraId="2B556B44" w14:textId="77777777" w:rsidR="00F80850" w:rsidRPr="00A71451" w:rsidRDefault="00F80850" w:rsidP="00F80850">
      <w:pPr>
        <w:pStyle w:val="Funotentext"/>
        <w:rPr>
          <w:lang w:val="en-GB"/>
        </w:rPr>
      </w:pPr>
      <w:r>
        <w:rPr>
          <w:rStyle w:val="Funotenzeichen"/>
        </w:rPr>
        <w:footnoteRef/>
      </w:r>
      <w:r w:rsidRPr="00A71451">
        <w:rPr>
          <w:lang w:val="en-GB"/>
        </w:rPr>
        <w:t xml:space="preserve"> Field</w:t>
      </w:r>
      <w:r>
        <w:rPr>
          <w:lang w:val="en-GB"/>
        </w:rPr>
        <w:t xml:space="preserve">, </w:t>
      </w:r>
      <w:r w:rsidRPr="00A71451">
        <w:rPr>
          <w:lang w:val="en-GB"/>
        </w:rPr>
        <w:t>p. xlii</w:t>
      </w:r>
    </w:p>
  </w:footnote>
  <w:footnote w:id="51">
    <w:p w14:paraId="0700CEA6" w14:textId="77777777" w:rsidR="00F80850" w:rsidRPr="009672A3" w:rsidRDefault="00F80850" w:rsidP="00F80850">
      <w:pPr>
        <w:pStyle w:val="Funotentext"/>
        <w:rPr>
          <w:lang w:val="en-GB"/>
        </w:rPr>
      </w:pPr>
      <w:r>
        <w:rPr>
          <w:rStyle w:val="Funotenzeichen"/>
        </w:rPr>
        <w:footnoteRef/>
      </w:r>
      <w:r w:rsidRPr="009672A3">
        <w:rPr>
          <w:lang w:val="en-GB"/>
        </w:rPr>
        <w:t xml:space="preserve"> Hunter, Jack, Introduction to Sacred G</w:t>
      </w:r>
      <w:r>
        <w:rPr>
          <w:lang w:val="en-GB"/>
        </w:rPr>
        <w:t>eography, p. 12.</w:t>
      </w:r>
    </w:p>
  </w:footnote>
  <w:footnote w:id="52">
    <w:p w14:paraId="45045999" w14:textId="77777777" w:rsidR="00F80850" w:rsidRPr="008250D3" w:rsidRDefault="00F80850" w:rsidP="00F80850">
      <w:pPr>
        <w:pStyle w:val="Funotentext"/>
        <w:rPr>
          <w:lang w:val="sv-SE"/>
        </w:rPr>
      </w:pPr>
      <w:r>
        <w:rPr>
          <w:rStyle w:val="Funotenzeichen"/>
        </w:rPr>
        <w:footnoteRef/>
      </w:r>
      <w:r w:rsidRPr="008250D3">
        <w:rPr>
          <w:lang w:val="sv-SE"/>
        </w:rPr>
        <w:t xml:space="preserve"> </w:t>
      </w:r>
      <w:r w:rsidRPr="008250D3">
        <w:rPr>
          <w:lang w:val="sv-SE"/>
        </w:rPr>
        <w:t>Knott, Kim, p. 175.</w:t>
      </w:r>
    </w:p>
  </w:footnote>
  <w:footnote w:id="53">
    <w:p w14:paraId="52EE0B43" w14:textId="77777777" w:rsidR="00F80850" w:rsidRPr="003437C7" w:rsidRDefault="00F80850" w:rsidP="00F80850">
      <w:pPr>
        <w:pStyle w:val="Funotentext"/>
        <w:rPr>
          <w:lang w:val="sv-SE"/>
        </w:rPr>
      </w:pPr>
      <w:r>
        <w:rPr>
          <w:rStyle w:val="Funotenzeichen"/>
        </w:rPr>
        <w:footnoteRef/>
      </w:r>
      <w:r w:rsidRPr="003437C7">
        <w:rPr>
          <w:lang w:val="sv-SE"/>
        </w:rPr>
        <w:t xml:space="preserve"> </w:t>
      </w:r>
      <w:r w:rsidRPr="003437C7">
        <w:rPr>
          <w:lang w:val="sv-SE"/>
        </w:rPr>
        <w:t xml:space="preserve">Knott, </w:t>
      </w:r>
      <w:r w:rsidRPr="003437C7">
        <w:rPr>
          <w:lang w:val="sv-SE"/>
        </w:rPr>
        <w:t>Kim, p. 162.</w:t>
      </w:r>
    </w:p>
  </w:footnote>
  <w:footnote w:id="54">
    <w:p w14:paraId="094D8FEC" w14:textId="77777777" w:rsidR="00321F76" w:rsidRPr="00936E6D" w:rsidRDefault="00321F76" w:rsidP="00321F76">
      <w:pPr>
        <w:pStyle w:val="Funotentext"/>
        <w:rPr>
          <w:lang w:val="sv-SE"/>
        </w:rPr>
      </w:pPr>
      <w:r>
        <w:rPr>
          <w:rStyle w:val="Funotenzeichen"/>
        </w:rPr>
        <w:footnoteRef/>
      </w:r>
      <w:r w:rsidRPr="00936E6D">
        <w:rPr>
          <w:lang w:val="sv-SE"/>
        </w:rPr>
        <w:t xml:space="preserve"> </w:t>
      </w:r>
      <w:r w:rsidRPr="00936E6D">
        <w:rPr>
          <w:lang w:val="sv-SE"/>
        </w:rPr>
        <w:t>Eliade, p. 11.</w:t>
      </w:r>
    </w:p>
  </w:footnote>
  <w:footnote w:id="55">
    <w:p w14:paraId="7F96F8E4" w14:textId="77777777" w:rsidR="00321F76" w:rsidRPr="007E3C1A" w:rsidRDefault="00321F76" w:rsidP="00321F76">
      <w:pPr>
        <w:pStyle w:val="Funotentext"/>
        <w:rPr>
          <w:lang w:val="en-GB"/>
        </w:rPr>
      </w:pPr>
      <w:r>
        <w:rPr>
          <w:rStyle w:val="Funotenzeichen"/>
        </w:rPr>
        <w:footnoteRef/>
      </w:r>
      <w:r w:rsidRPr="007E3C1A">
        <w:rPr>
          <w:lang w:val="en-GB"/>
        </w:rPr>
        <w:t xml:space="preserve"> Eliade, p. 21.</w:t>
      </w:r>
    </w:p>
  </w:footnote>
  <w:footnote w:id="56">
    <w:p w14:paraId="5DD750D1" w14:textId="77777777" w:rsidR="00321F76" w:rsidRPr="00715C56" w:rsidRDefault="00321F76" w:rsidP="00321F76">
      <w:pPr>
        <w:pStyle w:val="Funotentext"/>
        <w:rPr>
          <w:lang w:val="en-GB"/>
        </w:rPr>
      </w:pPr>
      <w:r>
        <w:rPr>
          <w:rStyle w:val="Funotenzeichen"/>
        </w:rPr>
        <w:footnoteRef/>
      </w:r>
      <w:r w:rsidRPr="00715C56">
        <w:rPr>
          <w:lang w:val="en-GB"/>
        </w:rPr>
        <w:t xml:space="preserve"> Field, </w:t>
      </w:r>
      <w:proofErr w:type="spellStart"/>
      <w:proofErr w:type="gramStart"/>
      <w:r w:rsidRPr="00715C56">
        <w:rPr>
          <w:lang w:val="en-GB"/>
        </w:rPr>
        <w:t>p.xlvi</w:t>
      </w:r>
      <w:proofErr w:type="spellEnd"/>
      <w:r>
        <w:rPr>
          <w:lang w:val="en-GB"/>
        </w:rPr>
        <w:t>.</w:t>
      </w:r>
      <w:proofErr w:type="gramEnd"/>
    </w:p>
  </w:footnote>
  <w:footnote w:id="57">
    <w:p w14:paraId="52CDDC73" w14:textId="77777777" w:rsidR="00DF3526" w:rsidRPr="009F1963" w:rsidRDefault="00DF3526" w:rsidP="00DF3526">
      <w:pPr>
        <w:pStyle w:val="Funotentext"/>
        <w:rPr>
          <w:lang w:val="en-GB"/>
        </w:rPr>
      </w:pPr>
      <w:r>
        <w:rPr>
          <w:rStyle w:val="Funotenzeichen"/>
        </w:rPr>
        <w:footnoteRef/>
      </w:r>
      <w:r w:rsidRPr="009F1963">
        <w:rPr>
          <w:lang w:val="en-GB"/>
        </w:rPr>
        <w:t xml:space="preserve"> Allan, Douglas, p. 324-325.</w:t>
      </w:r>
    </w:p>
  </w:footnote>
  <w:footnote w:id="58">
    <w:p w14:paraId="0F54DB0A" w14:textId="77777777" w:rsidR="00DF3526" w:rsidRPr="00BF7B34" w:rsidRDefault="00DF3526" w:rsidP="00DF3526">
      <w:pPr>
        <w:pStyle w:val="Funotentext"/>
        <w:rPr>
          <w:lang w:val="en-GB"/>
        </w:rPr>
      </w:pPr>
      <w:r>
        <w:rPr>
          <w:rStyle w:val="Funotenzeichen"/>
        </w:rPr>
        <w:footnoteRef/>
      </w:r>
      <w:r w:rsidRPr="00BF7B34">
        <w:rPr>
          <w:lang w:val="en-GB"/>
        </w:rPr>
        <w:t xml:space="preserve"> </w:t>
      </w:r>
      <w:r>
        <w:rPr>
          <w:lang w:val="en-GB"/>
        </w:rPr>
        <w:t xml:space="preserve">Aristotle, Physics </w:t>
      </w:r>
      <w:r w:rsidRPr="0059287C">
        <w:rPr>
          <w:lang w:val="en-GB"/>
        </w:rPr>
        <w:t>184a17–18</w:t>
      </w:r>
    </w:p>
  </w:footnote>
  <w:footnote w:id="59">
    <w:p w14:paraId="7E38C8CA" w14:textId="77777777" w:rsidR="001372FF" w:rsidRPr="001372FF" w:rsidRDefault="001372FF" w:rsidP="001372FF">
      <w:pPr>
        <w:pStyle w:val="Funotentext"/>
        <w:rPr>
          <w:lang w:val="sv-SE"/>
        </w:rPr>
      </w:pPr>
      <w:r>
        <w:rPr>
          <w:rStyle w:val="Funotenzeichen"/>
        </w:rPr>
        <w:footnoteRef/>
      </w:r>
      <w:r w:rsidRPr="001372FF">
        <w:rPr>
          <w:lang w:val="sv-SE"/>
        </w:rPr>
        <w:t xml:space="preserve"> </w:t>
      </w:r>
      <w:r w:rsidRPr="001372FF">
        <w:rPr>
          <w:lang w:val="sv-SE"/>
        </w:rPr>
        <w:t>Lane, p. 52.</w:t>
      </w:r>
    </w:p>
  </w:footnote>
  <w:footnote w:id="60">
    <w:p w14:paraId="1CD2C84C" w14:textId="77777777" w:rsidR="00DC5ACF" w:rsidRPr="00E81D67" w:rsidRDefault="00DC5ACF" w:rsidP="00DC5ACF">
      <w:pPr>
        <w:pStyle w:val="Funotentext"/>
        <w:rPr>
          <w:lang w:val="en-GB"/>
        </w:rPr>
      </w:pPr>
      <w:r>
        <w:rPr>
          <w:rStyle w:val="Funotenzeichen"/>
        </w:rPr>
        <w:footnoteRef/>
      </w:r>
      <w:r w:rsidRPr="00E81D67">
        <w:rPr>
          <w:lang w:val="en-GB"/>
        </w:rPr>
        <w:t xml:space="preserve"> Lane, Beldon C., p. 48 and</w:t>
      </w:r>
      <w:r>
        <w:rPr>
          <w:lang w:val="en-GB"/>
        </w:rPr>
        <w:t xml:space="preserve"> 56.</w:t>
      </w:r>
    </w:p>
  </w:footnote>
  <w:footnote w:id="61">
    <w:p w14:paraId="1ABA089B" w14:textId="77777777" w:rsidR="00F16211" w:rsidRPr="006424C8" w:rsidRDefault="00F16211" w:rsidP="00F16211">
      <w:pPr>
        <w:pStyle w:val="Funotentext"/>
        <w:rPr>
          <w:lang w:val="en-GB"/>
        </w:rPr>
      </w:pPr>
      <w:r>
        <w:rPr>
          <w:rStyle w:val="Funotenzeichen"/>
        </w:rPr>
        <w:footnoteRef/>
      </w:r>
      <w:r w:rsidRPr="006424C8">
        <w:rPr>
          <w:lang w:val="en-GB"/>
        </w:rPr>
        <w:t xml:space="preserve"> Eliade, p</w:t>
      </w:r>
      <w:r>
        <w:rPr>
          <w:lang w:val="en-GB"/>
        </w:rPr>
        <w:t>. 28.</w:t>
      </w:r>
    </w:p>
  </w:footnote>
  <w:footnote w:id="62">
    <w:p w14:paraId="0486A7A1" w14:textId="77777777" w:rsidR="00F16211" w:rsidRPr="00AF36D9" w:rsidRDefault="00F16211" w:rsidP="00F16211">
      <w:pPr>
        <w:pStyle w:val="Funotentext"/>
        <w:rPr>
          <w:lang w:val="en-GB"/>
        </w:rPr>
      </w:pPr>
      <w:r>
        <w:rPr>
          <w:rStyle w:val="Funotenzeichen"/>
        </w:rPr>
        <w:footnoteRef/>
      </w:r>
      <w:r w:rsidRPr="00AF36D9">
        <w:rPr>
          <w:lang w:val="en-GB"/>
        </w:rPr>
        <w:t xml:space="preserve"> Bernadette Brady, Intro to</w:t>
      </w:r>
      <w:r>
        <w:rPr>
          <w:lang w:val="en-GB"/>
        </w:rPr>
        <w:t xml:space="preserve"> Sacred Geography, p.?</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3121D"/>
    <w:multiLevelType w:val="hybridMultilevel"/>
    <w:tmpl w:val="90B887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DF7E7C"/>
    <w:multiLevelType w:val="hybridMultilevel"/>
    <w:tmpl w:val="EB16509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15:restartNumberingAfterBreak="0">
    <w:nsid w:val="06D3042C"/>
    <w:multiLevelType w:val="hybridMultilevel"/>
    <w:tmpl w:val="6C7C4394"/>
    <w:lvl w:ilvl="0" w:tplc="FFFFFFFF">
      <w:start w:val="1"/>
      <w:numFmt w:val="decimal"/>
      <w:lvlText w:val="%1."/>
      <w:lvlJc w:val="left"/>
      <w:pPr>
        <w:ind w:left="785" w:hanging="360"/>
      </w:pPr>
      <w:rPr>
        <w:rFonts w:hint="default"/>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 w15:restartNumberingAfterBreak="0">
    <w:nsid w:val="11C61454"/>
    <w:multiLevelType w:val="hybridMultilevel"/>
    <w:tmpl w:val="21BA32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7AD3F66"/>
    <w:multiLevelType w:val="hybridMultilevel"/>
    <w:tmpl w:val="238060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BFB047A"/>
    <w:multiLevelType w:val="hybridMultilevel"/>
    <w:tmpl w:val="B6A670DE"/>
    <w:lvl w:ilvl="0" w:tplc="0B10D71A">
      <w:numFmt w:val="bullet"/>
      <w:lvlText w:val=""/>
      <w:lvlJc w:val="left"/>
      <w:pPr>
        <w:ind w:left="720" w:hanging="360"/>
      </w:pPr>
      <w:rPr>
        <w:rFonts w:ascii="Calibri" w:eastAsiaTheme="minorHAnsi" w:hAnsi="Calibri" w:cs="Calibr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15:restartNumberingAfterBreak="0">
    <w:nsid w:val="2EA24166"/>
    <w:multiLevelType w:val="hybridMultilevel"/>
    <w:tmpl w:val="1618E16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42E75DCC"/>
    <w:multiLevelType w:val="hybridMultilevel"/>
    <w:tmpl w:val="E1EA4DE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8" w15:restartNumberingAfterBreak="0">
    <w:nsid w:val="500174D4"/>
    <w:multiLevelType w:val="hybridMultilevel"/>
    <w:tmpl w:val="97B4690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025683B"/>
    <w:multiLevelType w:val="hybridMultilevel"/>
    <w:tmpl w:val="E044419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0" w15:restartNumberingAfterBreak="0">
    <w:nsid w:val="68473DCD"/>
    <w:multiLevelType w:val="hybridMultilevel"/>
    <w:tmpl w:val="6C7C439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466554550">
    <w:abstractNumId w:val="1"/>
  </w:num>
  <w:num w:numId="2" w16cid:durableId="2047025874">
    <w:abstractNumId w:val="5"/>
  </w:num>
  <w:num w:numId="3" w16cid:durableId="778647976">
    <w:abstractNumId w:val="3"/>
  </w:num>
  <w:num w:numId="4" w16cid:durableId="1080057862">
    <w:abstractNumId w:val="10"/>
  </w:num>
  <w:num w:numId="5" w16cid:durableId="585960217">
    <w:abstractNumId w:val="6"/>
  </w:num>
  <w:num w:numId="6" w16cid:durableId="1120104735">
    <w:abstractNumId w:val="8"/>
  </w:num>
  <w:num w:numId="7" w16cid:durableId="2074617003">
    <w:abstractNumId w:val="4"/>
  </w:num>
  <w:num w:numId="8" w16cid:durableId="549151622">
    <w:abstractNumId w:val="0"/>
  </w:num>
  <w:num w:numId="9" w16cid:durableId="696546797">
    <w:abstractNumId w:val="2"/>
  </w:num>
  <w:num w:numId="10" w16cid:durableId="1017461919">
    <w:abstractNumId w:val="7"/>
  </w:num>
  <w:num w:numId="11" w16cid:durableId="65603705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CE5"/>
    <w:rsid w:val="0000040B"/>
    <w:rsid w:val="000154D1"/>
    <w:rsid w:val="00033F30"/>
    <w:rsid w:val="00045332"/>
    <w:rsid w:val="000477E7"/>
    <w:rsid w:val="0005358B"/>
    <w:rsid w:val="00055DC7"/>
    <w:rsid w:val="00061E21"/>
    <w:rsid w:val="0006653A"/>
    <w:rsid w:val="00075708"/>
    <w:rsid w:val="00083261"/>
    <w:rsid w:val="000B0672"/>
    <w:rsid w:val="000B5F37"/>
    <w:rsid w:val="000B79C7"/>
    <w:rsid w:val="000C0506"/>
    <w:rsid w:val="000D576C"/>
    <w:rsid w:val="000F0B05"/>
    <w:rsid w:val="00100F66"/>
    <w:rsid w:val="0013076E"/>
    <w:rsid w:val="00136E1F"/>
    <w:rsid w:val="001372FF"/>
    <w:rsid w:val="001460F5"/>
    <w:rsid w:val="001536A1"/>
    <w:rsid w:val="00154052"/>
    <w:rsid w:val="00157E0C"/>
    <w:rsid w:val="00174AA2"/>
    <w:rsid w:val="00195CD7"/>
    <w:rsid w:val="001A2EC7"/>
    <w:rsid w:val="001B284B"/>
    <w:rsid w:val="001B78E7"/>
    <w:rsid w:val="001C2F8B"/>
    <w:rsid w:val="001C6B37"/>
    <w:rsid w:val="001E779E"/>
    <w:rsid w:val="001E7C31"/>
    <w:rsid w:val="00214ADA"/>
    <w:rsid w:val="00221366"/>
    <w:rsid w:val="00221657"/>
    <w:rsid w:val="00222CDE"/>
    <w:rsid w:val="002378EF"/>
    <w:rsid w:val="00261D32"/>
    <w:rsid w:val="002836D0"/>
    <w:rsid w:val="002909A2"/>
    <w:rsid w:val="002A2BE8"/>
    <w:rsid w:val="002A52C7"/>
    <w:rsid w:val="002B7367"/>
    <w:rsid w:val="002C1F94"/>
    <w:rsid w:val="002C23F8"/>
    <w:rsid w:val="002C3AD6"/>
    <w:rsid w:val="002D41C0"/>
    <w:rsid w:val="002D5C42"/>
    <w:rsid w:val="002E21B6"/>
    <w:rsid w:val="002E3E03"/>
    <w:rsid w:val="002E799E"/>
    <w:rsid w:val="002E7FB4"/>
    <w:rsid w:val="0031502C"/>
    <w:rsid w:val="00316409"/>
    <w:rsid w:val="00316A3F"/>
    <w:rsid w:val="00316C8B"/>
    <w:rsid w:val="00321F76"/>
    <w:rsid w:val="003437C7"/>
    <w:rsid w:val="00344D76"/>
    <w:rsid w:val="00354380"/>
    <w:rsid w:val="00361FD2"/>
    <w:rsid w:val="00364464"/>
    <w:rsid w:val="00370672"/>
    <w:rsid w:val="0037514E"/>
    <w:rsid w:val="00386D74"/>
    <w:rsid w:val="003A29F2"/>
    <w:rsid w:val="003A5B82"/>
    <w:rsid w:val="003C63A0"/>
    <w:rsid w:val="003C71F7"/>
    <w:rsid w:val="003D34A3"/>
    <w:rsid w:val="003F1C45"/>
    <w:rsid w:val="003F23D1"/>
    <w:rsid w:val="003F4F33"/>
    <w:rsid w:val="003F5624"/>
    <w:rsid w:val="003F61B5"/>
    <w:rsid w:val="003F7401"/>
    <w:rsid w:val="004012CE"/>
    <w:rsid w:val="00413E7A"/>
    <w:rsid w:val="0041790B"/>
    <w:rsid w:val="00432896"/>
    <w:rsid w:val="00435F06"/>
    <w:rsid w:val="0044197A"/>
    <w:rsid w:val="00457530"/>
    <w:rsid w:val="00463A99"/>
    <w:rsid w:val="0048309D"/>
    <w:rsid w:val="00485792"/>
    <w:rsid w:val="00492761"/>
    <w:rsid w:val="00495F07"/>
    <w:rsid w:val="00497599"/>
    <w:rsid w:val="004D03AB"/>
    <w:rsid w:val="004E383E"/>
    <w:rsid w:val="004F1C2C"/>
    <w:rsid w:val="00526209"/>
    <w:rsid w:val="00530D0A"/>
    <w:rsid w:val="005322E5"/>
    <w:rsid w:val="005505E0"/>
    <w:rsid w:val="00553046"/>
    <w:rsid w:val="00584662"/>
    <w:rsid w:val="00585FC8"/>
    <w:rsid w:val="005A2AA4"/>
    <w:rsid w:val="005A2F11"/>
    <w:rsid w:val="005B4A22"/>
    <w:rsid w:val="005B4C69"/>
    <w:rsid w:val="005B5FD4"/>
    <w:rsid w:val="005C498F"/>
    <w:rsid w:val="005C63E4"/>
    <w:rsid w:val="005D50F7"/>
    <w:rsid w:val="005F6667"/>
    <w:rsid w:val="00602E63"/>
    <w:rsid w:val="00625717"/>
    <w:rsid w:val="0063153D"/>
    <w:rsid w:val="00632265"/>
    <w:rsid w:val="006412D6"/>
    <w:rsid w:val="006424C8"/>
    <w:rsid w:val="00642EDE"/>
    <w:rsid w:val="00644B41"/>
    <w:rsid w:val="00645B21"/>
    <w:rsid w:val="0064662E"/>
    <w:rsid w:val="00647496"/>
    <w:rsid w:val="00650B4F"/>
    <w:rsid w:val="006615C2"/>
    <w:rsid w:val="00664406"/>
    <w:rsid w:val="00672007"/>
    <w:rsid w:val="00683C11"/>
    <w:rsid w:val="0068552A"/>
    <w:rsid w:val="0069033B"/>
    <w:rsid w:val="0069597E"/>
    <w:rsid w:val="006A0C0B"/>
    <w:rsid w:val="006D33D6"/>
    <w:rsid w:val="006D4E26"/>
    <w:rsid w:val="006E141D"/>
    <w:rsid w:val="006F2E0A"/>
    <w:rsid w:val="006F74A2"/>
    <w:rsid w:val="006F7AFE"/>
    <w:rsid w:val="00706625"/>
    <w:rsid w:val="007102BE"/>
    <w:rsid w:val="00710331"/>
    <w:rsid w:val="00713663"/>
    <w:rsid w:val="00715C56"/>
    <w:rsid w:val="007200D1"/>
    <w:rsid w:val="0072118F"/>
    <w:rsid w:val="00737AB0"/>
    <w:rsid w:val="00764B55"/>
    <w:rsid w:val="00770B4E"/>
    <w:rsid w:val="0077703F"/>
    <w:rsid w:val="0078193E"/>
    <w:rsid w:val="00784781"/>
    <w:rsid w:val="007946E8"/>
    <w:rsid w:val="007A5974"/>
    <w:rsid w:val="007B1080"/>
    <w:rsid w:val="007D6435"/>
    <w:rsid w:val="007E3C1A"/>
    <w:rsid w:val="007F078F"/>
    <w:rsid w:val="007F44E6"/>
    <w:rsid w:val="00801895"/>
    <w:rsid w:val="008250D3"/>
    <w:rsid w:val="0083681E"/>
    <w:rsid w:val="00841E70"/>
    <w:rsid w:val="00850AFC"/>
    <w:rsid w:val="00853B01"/>
    <w:rsid w:val="00853D9B"/>
    <w:rsid w:val="00861DF5"/>
    <w:rsid w:val="0086392F"/>
    <w:rsid w:val="008775E1"/>
    <w:rsid w:val="008801C1"/>
    <w:rsid w:val="00880488"/>
    <w:rsid w:val="00886973"/>
    <w:rsid w:val="00891806"/>
    <w:rsid w:val="00892449"/>
    <w:rsid w:val="008A2A43"/>
    <w:rsid w:val="008C4404"/>
    <w:rsid w:val="008D3F94"/>
    <w:rsid w:val="008E2955"/>
    <w:rsid w:val="008F539A"/>
    <w:rsid w:val="00902063"/>
    <w:rsid w:val="00907309"/>
    <w:rsid w:val="009177B5"/>
    <w:rsid w:val="00927B3C"/>
    <w:rsid w:val="009308D3"/>
    <w:rsid w:val="00935E16"/>
    <w:rsid w:val="00936E6D"/>
    <w:rsid w:val="00944FEA"/>
    <w:rsid w:val="00951600"/>
    <w:rsid w:val="009556F1"/>
    <w:rsid w:val="00955CF2"/>
    <w:rsid w:val="00957A92"/>
    <w:rsid w:val="0096302E"/>
    <w:rsid w:val="009672A3"/>
    <w:rsid w:val="00977316"/>
    <w:rsid w:val="0098097C"/>
    <w:rsid w:val="00997C84"/>
    <w:rsid w:val="009A1FCD"/>
    <w:rsid w:val="009B4092"/>
    <w:rsid w:val="009D0558"/>
    <w:rsid w:val="009D1079"/>
    <w:rsid w:val="009D6041"/>
    <w:rsid w:val="009E649F"/>
    <w:rsid w:val="009F1963"/>
    <w:rsid w:val="00A0342F"/>
    <w:rsid w:val="00A106E6"/>
    <w:rsid w:val="00A25468"/>
    <w:rsid w:val="00A256F8"/>
    <w:rsid w:val="00A26EC6"/>
    <w:rsid w:val="00A34A59"/>
    <w:rsid w:val="00A3589B"/>
    <w:rsid w:val="00A35D9A"/>
    <w:rsid w:val="00A37377"/>
    <w:rsid w:val="00A52E7B"/>
    <w:rsid w:val="00A71216"/>
    <w:rsid w:val="00A71451"/>
    <w:rsid w:val="00A722EA"/>
    <w:rsid w:val="00A743CE"/>
    <w:rsid w:val="00A74F9D"/>
    <w:rsid w:val="00A83AE3"/>
    <w:rsid w:val="00AA0727"/>
    <w:rsid w:val="00AA0EE5"/>
    <w:rsid w:val="00AA738A"/>
    <w:rsid w:val="00AB332D"/>
    <w:rsid w:val="00AB4B61"/>
    <w:rsid w:val="00AC2AC8"/>
    <w:rsid w:val="00AC2D74"/>
    <w:rsid w:val="00AC4BFA"/>
    <w:rsid w:val="00AC7CD9"/>
    <w:rsid w:val="00AD14DE"/>
    <w:rsid w:val="00AE1EF7"/>
    <w:rsid w:val="00AF36D9"/>
    <w:rsid w:val="00B060F9"/>
    <w:rsid w:val="00B065BC"/>
    <w:rsid w:val="00B12C1D"/>
    <w:rsid w:val="00B1384F"/>
    <w:rsid w:val="00B14580"/>
    <w:rsid w:val="00B16A72"/>
    <w:rsid w:val="00B32CE5"/>
    <w:rsid w:val="00B33576"/>
    <w:rsid w:val="00B50C48"/>
    <w:rsid w:val="00B57782"/>
    <w:rsid w:val="00B6168A"/>
    <w:rsid w:val="00B71865"/>
    <w:rsid w:val="00B97AEE"/>
    <w:rsid w:val="00BA6438"/>
    <w:rsid w:val="00BC1C89"/>
    <w:rsid w:val="00BC6901"/>
    <w:rsid w:val="00BD3373"/>
    <w:rsid w:val="00BF7B34"/>
    <w:rsid w:val="00C11F3B"/>
    <w:rsid w:val="00C14389"/>
    <w:rsid w:val="00C21546"/>
    <w:rsid w:val="00C24E76"/>
    <w:rsid w:val="00C27113"/>
    <w:rsid w:val="00C34A50"/>
    <w:rsid w:val="00C43BCE"/>
    <w:rsid w:val="00C43D87"/>
    <w:rsid w:val="00C464D8"/>
    <w:rsid w:val="00C50CA2"/>
    <w:rsid w:val="00C53FCA"/>
    <w:rsid w:val="00C565C2"/>
    <w:rsid w:val="00C72161"/>
    <w:rsid w:val="00C82812"/>
    <w:rsid w:val="00C91AD7"/>
    <w:rsid w:val="00CB03A5"/>
    <w:rsid w:val="00CB1FCA"/>
    <w:rsid w:val="00CB5017"/>
    <w:rsid w:val="00CE5612"/>
    <w:rsid w:val="00CE713E"/>
    <w:rsid w:val="00D15A38"/>
    <w:rsid w:val="00D27ED4"/>
    <w:rsid w:val="00D32918"/>
    <w:rsid w:val="00D37B75"/>
    <w:rsid w:val="00D41A2C"/>
    <w:rsid w:val="00D548BF"/>
    <w:rsid w:val="00D574C3"/>
    <w:rsid w:val="00D755EF"/>
    <w:rsid w:val="00D87E01"/>
    <w:rsid w:val="00DA1D36"/>
    <w:rsid w:val="00DA6186"/>
    <w:rsid w:val="00DB184B"/>
    <w:rsid w:val="00DB1BF5"/>
    <w:rsid w:val="00DC3783"/>
    <w:rsid w:val="00DC5ACF"/>
    <w:rsid w:val="00DC6811"/>
    <w:rsid w:val="00DC7DCA"/>
    <w:rsid w:val="00DF3526"/>
    <w:rsid w:val="00DF4CE1"/>
    <w:rsid w:val="00DF55C4"/>
    <w:rsid w:val="00DF78A3"/>
    <w:rsid w:val="00E03EFE"/>
    <w:rsid w:val="00E229C8"/>
    <w:rsid w:val="00E27E40"/>
    <w:rsid w:val="00E31461"/>
    <w:rsid w:val="00E3225D"/>
    <w:rsid w:val="00E34209"/>
    <w:rsid w:val="00E44516"/>
    <w:rsid w:val="00E50DF7"/>
    <w:rsid w:val="00E60380"/>
    <w:rsid w:val="00E65D91"/>
    <w:rsid w:val="00E67E3A"/>
    <w:rsid w:val="00E7131E"/>
    <w:rsid w:val="00E81D67"/>
    <w:rsid w:val="00E93244"/>
    <w:rsid w:val="00E939BA"/>
    <w:rsid w:val="00EA0AD6"/>
    <w:rsid w:val="00EA2C01"/>
    <w:rsid w:val="00EB16D4"/>
    <w:rsid w:val="00EB19E3"/>
    <w:rsid w:val="00EC3895"/>
    <w:rsid w:val="00ED57B0"/>
    <w:rsid w:val="00F00C10"/>
    <w:rsid w:val="00F032A9"/>
    <w:rsid w:val="00F10F5E"/>
    <w:rsid w:val="00F15ED9"/>
    <w:rsid w:val="00F16211"/>
    <w:rsid w:val="00F20A34"/>
    <w:rsid w:val="00F26DE5"/>
    <w:rsid w:val="00F3292B"/>
    <w:rsid w:val="00F37D6A"/>
    <w:rsid w:val="00F41759"/>
    <w:rsid w:val="00F42FBD"/>
    <w:rsid w:val="00F5002D"/>
    <w:rsid w:val="00F60020"/>
    <w:rsid w:val="00F6116B"/>
    <w:rsid w:val="00F72F3D"/>
    <w:rsid w:val="00F80850"/>
    <w:rsid w:val="00F820E7"/>
    <w:rsid w:val="00F83FDD"/>
    <w:rsid w:val="00F87ACD"/>
    <w:rsid w:val="00F96910"/>
    <w:rsid w:val="00FC66AE"/>
    <w:rsid w:val="00FD2AD6"/>
    <w:rsid w:val="00FD67C1"/>
    <w:rsid w:val="00FE4F11"/>
    <w:rsid w:val="00FE5E79"/>
    <w:rsid w:val="00FF005B"/>
    <w:rsid w:val="00FF1C64"/>
    <w:rsid w:val="00FF3A2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EF5009"/>
  <w15:chartTrackingRefBased/>
  <w15:docId w15:val="{6DB05423-D438-452E-8225-8461B7B1B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CH"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B32CE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erschrift2">
    <w:name w:val="heading 2"/>
    <w:basedOn w:val="Standard"/>
    <w:next w:val="Standard"/>
    <w:link w:val="berschrift2Zchn"/>
    <w:uiPriority w:val="9"/>
    <w:semiHidden/>
    <w:unhideWhenUsed/>
    <w:qFormat/>
    <w:rsid w:val="00B32CE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erschrift3">
    <w:name w:val="heading 3"/>
    <w:basedOn w:val="Standard"/>
    <w:next w:val="Standard"/>
    <w:link w:val="berschrift3Zchn"/>
    <w:uiPriority w:val="9"/>
    <w:semiHidden/>
    <w:unhideWhenUsed/>
    <w:qFormat/>
    <w:rsid w:val="00B32CE5"/>
    <w:pPr>
      <w:keepNext/>
      <w:keepLines/>
      <w:spacing w:before="160" w:after="80"/>
      <w:outlineLvl w:val="2"/>
    </w:pPr>
    <w:rPr>
      <w:rFonts w:eastAsiaTheme="majorEastAsia" w:cstheme="majorBidi"/>
      <w:color w:val="2F5496" w:themeColor="accent1" w:themeShade="BF"/>
      <w:sz w:val="28"/>
      <w:szCs w:val="28"/>
    </w:rPr>
  </w:style>
  <w:style w:type="paragraph" w:styleId="berschrift4">
    <w:name w:val="heading 4"/>
    <w:basedOn w:val="Standard"/>
    <w:next w:val="Standard"/>
    <w:link w:val="berschrift4Zchn"/>
    <w:uiPriority w:val="9"/>
    <w:semiHidden/>
    <w:unhideWhenUsed/>
    <w:qFormat/>
    <w:rsid w:val="00B32CE5"/>
    <w:pPr>
      <w:keepNext/>
      <w:keepLines/>
      <w:spacing w:before="80" w:after="40"/>
      <w:outlineLvl w:val="3"/>
    </w:pPr>
    <w:rPr>
      <w:rFonts w:eastAsiaTheme="majorEastAsia"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B32CE5"/>
    <w:pPr>
      <w:keepNext/>
      <w:keepLines/>
      <w:spacing w:before="80" w:after="40"/>
      <w:outlineLvl w:val="4"/>
    </w:pPr>
    <w:rPr>
      <w:rFonts w:eastAsiaTheme="majorEastAsia" w:cstheme="majorBidi"/>
      <w:color w:val="2F5496" w:themeColor="accent1" w:themeShade="BF"/>
    </w:rPr>
  </w:style>
  <w:style w:type="paragraph" w:styleId="berschrift6">
    <w:name w:val="heading 6"/>
    <w:basedOn w:val="Standard"/>
    <w:next w:val="Standard"/>
    <w:link w:val="berschrift6Zchn"/>
    <w:uiPriority w:val="9"/>
    <w:semiHidden/>
    <w:unhideWhenUsed/>
    <w:qFormat/>
    <w:rsid w:val="00B32CE5"/>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B32CE5"/>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B32CE5"/>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B32CE5"/>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B32CE5"/>
    <w:rPr>
      <w:rFonts w:asciiTheme="majorHAnsi" w:eastAsiaTheme="majorEastAsia" w:hAnsiTheme="majorHAnsi" w:cstheme="majorBidi"/>
      <w:color w:val="2F5496" w:themeColor="accent1" w:themeShade="BF"/>
      <w:sz w:val="40"/>
      <w:szCs w:val="40"/>
    </w:rPr>
  </w:style>
  <w:style w:type="character" w:customStyle="1" w:styleId="berschrift2Zchn">
    <w:name w:val="Überschrift 2 Zchn"/>
    <w:basedOn w:val="Absatz-Standardschriftart"/>
    <w:link w:val="berschrift2"/>
    <w:uiPriority w:val="9"/>
    <w:semiHidden/>
    <w:rsid w:val="00B32CE5"/>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B32CE5"/>
    <w:rPr>
      <w:rFonts w:eastAsiaTheme="majorEastAsia" w:cstheme="majorBidi"/>
      <w:color w:val="2F5496" w:themeColor="accent1" w:themeShade="BF"/>
      <w:sz w:val="28"/>
      <w:szCs w:val="28"/>
    </w:rPr>
  </w:style>
  <w:style w:type="character" w:customStyle="1" w:styleId="berschrift4Zchn">
    <w:name w:val="Überschrift 4 Zchn"/>
    <w:basedOn w:val="Absatz-Standardschriftart"/>
    <w:link w:val="berschrift4"/>
    <w:uiPriority w:val="9"/>
    <w:semiHidden/>
    <w:rsid w:val="00B32CE5"/>
    <w:rPr>
      <w:rFonts w:eastAsiaTheme="majorEastAsia" w:cstheme="majorBidi"/>
      <w:i/>
      <w:iCs/>
      <w:color w:val="2F5496" w:themeColor="accent1" w:themeShade="BF"/>
    </w:rPr>
  </w:style>
  <w:style w:type="character" w:customStyle="1" w:styleId="berschrift5Zchn">
    <w:name w:val="Überschrift 5 Zchn"/>
    <w:basedOn w:val="Absatz-Standardschriftart"/>
    <w:link w:val="berschrift5"/>
    <w:uiPriority w:val="9"/>
    <w:semiHidden/>
    <w:rsid w:val="00B32CE5"/>
    <w:rPr>
      <w:rFonts w:eastAsiaTheme="majorEastAsia" w:cstheme="majorBidi"/>
      <w:color w:val="2F5496" w:themeColor="accent1" w:themeShade="BF"/>
    </w:rPr>
  </w:style>
  <w:style w:type="character" w:customStyle="1" w:styleId="berschrift6Zchn">
    <w:name w:val="Überschrift 6 Zchn"/>
    <w:basedOn w:val="Absatz-Standardschriftart"/>
    <w:link w:val="berschrift6"/>
    <w:uiPriority w:val="9"/>
    <w:semiHidden/>
    <w:rsid w:val="00B32CE5"/>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B32CE5"/>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B32CE5"/>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B32CE5"/>
    <w:rPr>
      <w:rFonts w:eastAsiaTheme="majorEastAsia" w:cstheme="majorBidi"/>
      <w:color w:val="272727" w:themeColor="text1" w:themeTint="D8"/>
    </w:rPr>
  </w:style>
  <w:style w:type="paragraph" w:styleId="Titel">
    <w:name w:val="Title"/>
    <w:basedOn w:val="Standard"/>
    <w:next w:val="Standard"/>
    <w:link w:val="TitelZchn"/>
    <w:uiPriority w:val="10"/>
    <w:qFormat/>
    <w:rsid w:val="00B32C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B32CE5"/>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B32CE5"/>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B32CE5"/>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B32CE5"/>
    <w:pPr>
      <w:spacing w:before="160"/>
      <w:jc w:val="center"/>
    </w:pPr>
    <w:rPr>
      <w:i/>
      <w:iCs/>
      <w:color w:val="404040" w:themeColor="text1" w:themeTint="BF"/>
    </w:rPr>
  </w:style>
  <w:style w:type="character" w:customStyle="1" w:styleId="ZitatZchn">
    <w:name w:val="Zitat Zchn"/>
    <w:basedOn w:val="Absatz-Standardschriftart"/>
    <w:link w:val="Zitat"/>
    <w:uiPriority w:val="29"/>
    <w:rsid w:val="00B32CE5"/>
    <w:rPr>
      <w:i/>
      <w:iCs/>
      <w:color w:val="404040" w:themeColor="text1" w:themeTint="BF"/>
    </w:rPr>
  </w:style>
  <w:style w:type="paragraph" w:styleId="Listenabsatz">
    <w:name w:val="List Paragraph"/>
    <w:basedOn w:val="Standard"/>
    <w:link w:val="ListenabsatzZchn"/>
    <w:qFormat/>
    <w:rsid w:val="00B32CE5"/>
    <w:pPr>
      <w:ind w:left="720"/>
      <w:contextualSpacing/>
    </w:pPr>
  </w:style>
  <w:style w:type="character" w:styleId="IntensiveHervorhebung">
    <w:name w:val="Intense Emphasis"/>
    <w:basedOn w:val="Absatz-Standardschriftart"/>
    <w:uiPriority w:val="21"/>
    <w:qFormat/>
    <w:rsid w:val="00B32CE5"/>
    <w:rPr>
      <w:i/>
      <w:iCs/>
      <w:color w:val="2F5496" w:themeColor="accent1" w:themeShade="BF"/>
    </w:rPr>
  </w:style>
  <w:style w:type="paragraph" w:styleId="IntensivesZitat">
    <w:name w:val="Intense Quote"/>
    <w:basedOn w:val="Standard"/>
    <w:next w:val="Standard"/>
    <w:link w:val="IntensivesZitatZchn"/>
    <w:uiPriority w:val="30"/>
    <w:qFormat/>
    <w:rsid w:val="00B32CE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ivesZitatZchn">
    <w:name w:val="Intensives Zitat Zchn"/>
    <w:basedOn w:val="Absatz-Standardschriftart"/>
    <w:link w:val="IntensivesZitat"/>
    <w:uiPriority w:val="30"/>
    <w:rsid w:val="00B32CE5"/>
    <w:rPr>
      <w:i/>
      <w:iCs/>
      <w:color w:val="2F5496" w:themeColor="accent1" w:themeShade="BF"/>
    </w:rPr>
  </w:style>
  <w:style w:type="character" w:styleId="IntensiverVerweis">
    <w:name w:val="Intense Reference"/>
    <w:basedOn w:val="Absatz-Standardschriftart"/>
    <w:uiPriority w:val="32"/>
    <w:qFormat/>
    <w:rsid w:val="00B32CE5"/>
    <w:rPr>
      <w:b/>
      <w:bCs/>
      <w:smallCaps/>
      <w:color w:val="2F5496" w:themeColor="accent1" w:themeShade="BF"/>
      <w:spacing w:val="5"/>
    </w:rPr>
  </w:style>
  <w:style w:type="paragraph" w:styleId="Funotentext">
    <w:name w:val="footnote text"/>
    <w:basedOn w:val="Standard"/>
    <w:link w:val="FunotentextZchn"/>
    <w:uiPriority w:val="99"/>
    <w:unhideWhenUsed/>
    <w:rsid w:val="00083261"/>
    <w:pPr>
      <w:spacing w:after="0" w:line="240" w:lineRule="auto"/>
    </w:pPr>
    <w:rPr>
      <w:sz w:val="20"/>
      <w:szCs w:val="20"/>
    </w:rPr>
  </w:style>
  <w:style w:type="character" w:customStyle="1" w:styleId="FunotentextZchn">
    <w:name w:val="Fußnotentext Zchn"/>
    <w:basedOn w:val="Absatz-Standardschriftart"/>
    <w:link w:val="Funotentext"/>
    <w:uiPriority w:val="99"/>
    <w:rsid w:val="00083261"/>
    <w:rPr>
      <w:sz w:val="20"/>
      <w:szCs w:val="20"/>
    </w:rPr>
  </w:style>
  <w:style w:type="character" w:styleId="Funotenzeichen">
    <w:name w:val="footnote reference"/>
    <w:basedOn w:val="Absatz-Standardschriftart"/>
    <w:uiPriority w:val="99"/>
    <w:semiHidden/>
    <w:unhideWhenUsed/>
    <w:rsid w:val="00083261"/>
    <w:rPr>
      <w:vertAlign w:val="superscript"/>
    </w:rPr>
  </w:style>
  <w:style w:type="character" w:customStyle="1" w:styleId="ListenabsatzZchn">
    <w:name w:val="Listenabsatz Zchn"/>
    <w:link w:val="Listenabsatz"/>
    <w:qFormat/>
    <w:locked/>
    <w:rsid w:val="00F26DE5"/>
  </w:style>
  <w:style w:type="paragraph" w:styleId="StandardWeb">
    <w:name w:val="Normal (Web)"/>
    <w:basedOn w:val="Standard"/>
    <w:uiPriority w:val="99"/>
    <w:unhideWhenUsed/>
    <w:rsid w:val="00DF3526"/>
    <w:pPr>
      <w:spacing w:before="100" w:beforeAutospacing="1" w:after="100" w:afterAutospacing="1" w:line="240" w:lineRule="auto"/>
    </w:pPr>
    <w:rPr>
      <w:rFonts w:ascii="Times New Roman" w:eastAsia="Times New Roman" w:hAnsi="Times New Roman" w:cs="Times New Roman"/>
      <w:kern w:val="0"/>
      <w:sz w:val="24"/>
      <w:szCs w:val="24"/>
      <w:lang w:eastAsia="de-CH"/>
      <w14:ligatures w14:val="none"/>
    </w:rPr>
  </w:style>
  <w:style w:type="character" w:styleId="Hyperlink">
    <w:name w:val="Hyperlink"/>
    <w:basedOn w:val="Absatz-Standardschriftart"/>
    <w:uiPriority w:val="99"/>
    <w:semiHidden/>
    <w:unhideWhenUsed/>
    <w:rsid w:val="00DF352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DEFC87-1737-4793-B72D-1D0840E7D7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2285</Words>
  <Characters>12481</Characters>
  <Application>Microsoft Office Word</Application>
  <DocSecurity>0</DocSecurity>
  <Lines>173</Lines>
  <Paragraphs>35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Hofman</dc:creator>
  <cp:keywords/>
  <dc:description/>
  <cp:lastModifiedBy>Andrea Hofman</cp:lastModifiedBy>
  <cp:revision>21</cp:revision>
  <cp:lastPrinted>2025-11-10T15:43:00Z</cp:lastPrinted>
  <dcterms:created xsi:type="dcterms:W3CDTF">2025-11-10T11:28:00Z</dcterms:created>
  <dcterms:modified xsi:type="dcterms:W3CDTF">2025-11-10T17:15:00Z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d81bb82e-8336-420f-a9e9-29344bf7b6b7</vt:lpwstr>
  </property>
</Properties>
</file>