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760"/>
        </w:tabs>
        <w:spacing w:before="0" w:after="160" w:line="259" w:lineRule="auto"/>
        <w:rPr>
          <w:rFonts w:ascii="Arial" w:hAnsi="Arial" w:cs="Arial"/>
          <w:b/>
          <w:color w:val="auto"/>
          <w:sz w:val="32"/>
        </w:rPr>
      </w:pPr>
    </w:p>
    <w:p>
      <w:pPr>
        <w:jc w:val="center"/>
        <w:rPr>
          <w:rFonts w:ascii="Arial" w:hAnsi="Arial" w:cs="Arial"/>
          <w:b/>
          <w:color w:val="auto"/>
          <w:sz w:val="32"/>
        </w:rPr>
      </w:pPr>
    </w:p>
    <w:p>
      <w:pPr>
        <w:jc w:val="center"/>
        <w:rPr>
          <w:rFonts w:ascii="Arial" w:hAnsi="Arial" w:cs="Arial"/>
          <w:b/>
          <w:color w:val="auto"/>
          <w:sz w:val="32"/>
        </w:rPr>
      </w:pPr>
      <w:r>
        <w:rPr>
          <w:rFonts w:ascii="Arial" w:hAnsi="Arial" w:cs="Arial"/>
          <w:sz w:val="22"/>
          <w:szCs w:val="22"/>
          <w:lang w:val="en-US" w:eastAsia="en-US"/>
        </w:rPr>
        <w:drawing>
          <wp:inline distT="0" distB="0" distL="0" distR="0">
            <wp:extent cx="3790950" cy="18884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817344" cy="1901803"/>
                    </a:xfrm>
                    <a:prstGeom prst="rect">
                      <a:avLst/>
                    </a:prstGeom>
                    <a:noFill/>
                    <a:ln>
                      <a:noFill/>
                    </a:ln>
                  </pic:spPr>
                </pic:pic>
              </a:graphicData>
            </a:graphic>
          </wp:inline>
        </w:drawing>
      </w:r>
    </w:p>
    <w:p>
      <w:pPr>
        <w:jc w:val="center"/>
        <w:rPr>
          <w:rFonts w:hint="default" w:ascii="Arial" w:hAnsi="Arial" w:cs="Arial"/>
          <w:b/>
          <w:color w:val="auto"/>
          <w:sz w:val="32"/>
          <w:lang w:val="en-US"/>
        </w:rPr>
      </w:pPr>
      <w:r>
        <w:rPr>
          <w:rFonts w:hint="default" w:ascii="Arial" w:hAnsi="Arial" w:cs="Arial"/>
          <w:b/>
          <w:color w:val="auto"/>
          <w:sz w:val="32"/>
          <w:lang w:val="en-US"/>
        </w:rPr>
        <w:t>( MBA Deissertation LCMB7020 )</w:t>
      </w:r>
    </w:p>
    <w:p>
      <w:pPr>
        <w:jc w:val="center"/>
        <w:rPr>
          <w:rFonts w:hint="default" w:ascii="Arial" w:hAnsi="Arial" w:cs="Arial"/>
          <w:b/>
          <w:color w:val="auto"/>
          <w:sz w:val="32"/>
          <w:lang w:val="en-US"/>
        </w:rPr>
      </w:pPr>
    </w:p>
    <w:p>
      <w:pPr>
        <w:jc w:val="center"/>
        <w:rPr>
          <w:rFonts w:ascii="Arial" w:hAnsi="Arial" w:cs="Arial"/>
          <w:b/>
          <w:color w:val="auto"/>
          <w:sz w:val="32"/>
        </w:rPr>
      </w:pPr>
      <w:r>
        <w:rPr>
          <w:rFonts w:ascii="Arial" w:hAnsi="Arial" w:cs="Arial"/>
          <w:b/>
          <w:color w:val="auto"/>
          <w:sz w:val="32"/>
        </w:rPr>
        <w:t>TO INVESTIGATE THE RELATIONSHIP BETWEEN BRAND IMAGE AND BRAND LOYALTY: A CASE STUDY OF TATA MOTORS</w:t>
      </w:r>
    </w:p>
    <w:p>
      <w:pPr>
        <w:jc w:val="center"/>
        <w:rPr>
          <w:rFonts w:ascii="Arial" w:hAnsi="Arial" w:cs="Arial"/>
          <w:b/>
          <w:color w:val="auto"/>
          <w:sz w:val="32"/>
        </w:rPr>
      </w:pPr>
    </w:p>
    <w:p>
      <w:pPr>
        <w:jc w:val="both"/>
        <w:rPr>
          <w:rFonts w:hint="default" w:ascii="Arial" w:hAnsi="Arial" w:cs="Arial"/>
          <w:b w:val="0"/>
          <w:bCs/>
          <w:color w:val="auto"/>
          <w:sz w:val="32"/>
          <w:lang w:val="en-US"/>
        </w:rPr>
      </w:pPr>
      <w:r>
        <w:rPr>
          <w:rFonts w:hint="default" w:ascii="Arial" w:hAnsi="Arial" w:cs="Arial"/>
          <w:b/>
          <w:color w:val="auto"/>
          <w:sz w:val="32"/>
          <w:lang w:val="en-US"/>
        </w:rPr>
        <w:t xml:space="preserve">Name: </w:t>
      </w:r>
      <w:r>
        <w:rPr>
          <w:rFonts w:hint="default" w:ascii="Arial" w:hAnsi="Arial" w:cs="Arial"/>
          <w:b w:val="0"/>
          <w:bCs/>
          <w:color w:val="auto"/>
          <w:sz w:val="32"/>
          <w:lang w:val="en-US"/>
        </w:rPr>
        <w:t>Zeel Rakeshkumar Surti</w:t>
      </w:r>
    </w:p>
    <w:p>
      <w:pPr>
        <w:jc w:val="both"/>
        <w:rPr>
          <w:rFonts w:hint="default" w:ascii="Arial" w:hAnsi="Arial" w:cs="Arial"/>
          <w:b w:val="0"/>
          <w:bCs/>
          <w:color w:val="auto"/>
          <w:sz w:val="32"/>
          <w:lang w:val="en-US"/>
        </w:rPr>
      </w:pPr>
      <w:r>
        <w:rPr>
          <w:rFonts w:hint="default" w:ascii="Arial" w:hAnsi="Arial" w:cs="Arial"/>
          <w:b/>
          <w:color w:val="auto"/>
          <w:sz w:val="32"/>
          <w:lang w:val="en-US"/>
        </w:rPr>
        <w:t xml:space="preserve">Student Number: </w:t>
      </w:r>
      <w:r>
        <w:rPr>
          <w:rFonts w:hint="default" w:ascii="Arial" w:hAnsi="Arial" w:cs="Arial"/>
          <w:b w:val="0"/>
          <w:bCs/>
          <w:color w:val="auto"/>
          <w:sz w:val="32"/>
          <w:lang w:val="en-US"/>
        </w:rPr>
        <w:t>2212226</w:t>
      </w:r>
    </w:p>
    <w:p>
      <w:pPr>
        <w:jc w:val="both"/>
        <w:rPr>
          <w:rFonts w:hint="default" w:ascii="Arial" w:hAnsi="Arial" w:cs="Arial"/>
          <w:b w:val="0"/>
          <w:bCs/>
          <w:color w:val="auto"/>
          <w:sz w:val="32"/>
          <w:lang w:val="en-US"/>
        </w:rPr>
      </w:pPr>
      <w:r>
        <w:rPr>
          <w:rFonts w:hint="default" w:ascii="Arial" w:hAnsi="Arial" w:cs="Arial"/>
          <w:b/>
          <w:bCs w:val="0"/>
          <w:color w:val="auto"/>
          <w:sz w:val="32"/>
          <w:lang w:val="en-US"/>
        </w:rPr>
        <w:t>Supervisor Name</w:t>
      </w:r>
      <w:r>
        <w:rPr>
          <w:rFonts w:hint="default" w:ascii="Arial" w:hAnsi="Arial" w:cs="Arial"/>
          <w:b w:val="0"/>
          <w:bCs/>
          <w:color w:val="auto"/>
          <w:sz w:val="32"/>
          <w:lang w:val="en-US"/>
        </w:rPr>
        <w:t>: Rexon Nting</w:t>
      </w:r>
    </w:p>
    <w:p>
      <w:pPr>
        <w:jc w:val="both"/>
        <w:rPr>
          <w:rFonts w:hint="default" w:ascii="Arial" w:hAnsi="Arial" w:cs="Arial"/>
          <w:b w:val="0"/>
          <w:bCs/>
          <w:color w:val="auto"/>
          <w:sz w:val="32"/>
          <w:lang w:val="en-US"/>
        </w:rPr>
      </w:pPr>
    </w:p>
    <w:p>
      <w:pPr>
        <w:jc w:val="both"/>
        <w:rPr>
          <w:rFonts w:hint="default" w:ascii="Arial" w:hAnsi="Arial" w:cs="Arial"/>
          <w:b/>
          <w:color w:val="auto"/>
          <w:sz w:val="32"/>
          <w:lang w:val="en-US"/>
        </w:rPr>
      </w:pPr>
    </w:p>
    <w:p>
      <w:pPr>
        <w:jc w:val="center"/>
        <w:rPr>
          <w:rFonts w:ascii="Arial" w:hAnsi="Arial" w:cs="Arial"/>
          <w:b/>
          <w:color w:val="auto"/>
          <w:sz w:val="32"/>
        </w:rPr>
      </w:pPr>
      <w:r>
        <w:rPr>
          <w:rFonts w:ascii="Arial" w:hAnsi="Arial" w:cs="Arial"/>
          <w:b/>
          <w:color w:val="auto"/>
          <w:sz w:val="32"/>
          <w:lang w:val="en-US" w:eastAsia="en-US"/>
        </w:rPr>
        <w:drawing>
          <wp:inline distT="0" distB="0" distL="0" distR="0">
            <wp:extent cx="5943600" cy="8319770"/>
            <wp:effectExtent l="0" t="0" r="0" b="5080"/>
            <wp:docPr id="16" name="Picture 16" descr="C:\Users\SmartCom\Downloads\WhatsApp Image 2023-10-13 at 11.54.0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Users\SmartCom\Downloads\WhatsApp Image 2023-10-13 at 11.54.00 AM.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943600" cy="8319770"/>
                    </a:xfrm>
                    <a:prstGeom prst="rect">
                      <a:avLst/>
                    </a:prstGeom>
                    <a:noFill/>
                    <a:ln>
                      <a:noFill/>
                    </a:ln>
                  </pic:spPr>
                </pic:pic>
              </a:graphicData>
            </a:graphic>
          </wp:inline>
        </w:drawing>
      </w:r>
    </w:p>
    <w:p>
      <w:pPr>
        <w:spacing w:before="0" w:after="160" w:line="259" w:lineRule="auto"/>
        <w:rPr>
          <w:rFonts w:eastAsiaTheme="majorEastAsia"/>
          <w:b/>
          <w:bCs/>
          <w:color w:val="auto"/>
          <w:sz w:val="26"/>
          <w:szCs w:val="26"/>
        </w:rPr>
      </w:pPr>
      <w:r>
        <w:rPr>
          <w:color w:val="auto"/>
        </w:rPr>
        <w:br w:type="page"/>
      </w:r>
    </w:p>
    <w:p>
      <w:pPr>
        <w:pStyle w:val="2"/>
      </w:pPr>
      <w:bookmarkStart w:id="0" w:name="_Toc147931410"/>
      <w:r>
        <w:t>Declaration</w:t>
      </w:r>
      <w:bookmarkEnd w:id="0"/>
    </w:p>
    <w:p>
      <w:pPr>
        <w:pStyle w:val="19"/>
      </w:pPr>
      <w:r>
        <w:t>To my supportive parents, whose everlasting faith in me served as the wind beneath my wings, propelling me ahead even when the voyage appeared to be impossible to complete. Throughout the most difficult parts of this trip, I would like to express my gratitude to the people who served as my role models and to my friends and family who gave me support and encouragement. And to everyone who has a dream or is looking for something, may this work motivate you and serve as a reminder that you can do anything if you put in the effort and have the right mindset. This dissertation is a monument to love, perseverance, and the power of having a community around you.</w:t>
      </w:r>
      <w:r>
        <w:br w:type="page"/>
      </w:r>
    </w:p>
    <w:p>
      <w:pPr>
        <w:pStyle w:val="2"/>
      </w:pPr>
      <w:bookmarkStart w:id="1" w:name="_Toc147931411"/>
      <w:r>
        <w:t>Acknowledgement</w:t>
      </w:r>
      <w:bookmarkEnd w:id="1"/>
    </w:p>
    <w:p>
      <w:pPr>
        <w:rPr>
          <w:rFonts w:eastAsiaTheme="majorEastAsia"/>
        </w:rPr>
      </w:pPr>
    </w:p>
    <w:p>
      <w:pPr>
        <w:pStyle w:val="19"/>
        <w:rPr>
          <w:rFonts w:eastAsiaTheme="majorEastAsia"/>
        </w:rPr>
      </w:pPr>
      <w:r>
        <w:rPr>
          <w:rFonts w:eastAsiaTheme="majorEastAsia"/>
        </w:rPr>
        <w:t>Without the unending support of my family, friends, and the supervisory team, the trip to finish my dissertation and the primary research would have been impossible to overcome. Throughout the entirety of this attempt, I would want to acknowledge and express my profound gratitude for their unwavering aid and encouragement.</w:t>
      </w:r>
    </w:p>
    <w:p>
      <w:pPr>
        <w:spacing w:before="0" w:after="160" w:line="259" w:lineRule="auto"/>
        <w:rPr>
          <w:rFonts w:eastAsiaTheme="majorEastAsia"/>
          <w:b/>
          <w:bCs/>
          <w:color w:val="auto"/>
          <w:sz w:val="28"/>
          <w:szCs w:val="28"/>
        </w:rPr>
      </w:pPr>
    </w:p>
    <w:p>
      <w:pPr>
        <w:pStyle w:val="19"/>
        <w:rPr>
          <w:rFonts w:eastAsiaTheme="majorEastAsia"/>
        </w:rPr>
      </w:pPr>
      <w:r>
        <w:rPr>
          <w:rFonts w:eastAsiaTheme="majorEastAsia"/>
        </w:rPr>
        <w:t>To begin, I want to express my deepest gratitude to my boss, whose continual counsel, encouragement, and resiliency were absolutely necessary during the entirety of this process. Your unwavering commitment and impeccable work ethic throughout the years have been a guiding light for me, motivating me to improve as a researcher and make my craft my career. Your unwavering support, especially through difficult moments, as well as your rapid feedback during our regular interactions, have been really helpful. Your continuous dedication to my development and achievement is deeply appreciated, and I thank you from the bottom of my heart.</w:t>
      </w:r>
    </w:p>
    <w:p>
      <w:pPr>
        <w:spacing w:before="0" w:after="160" w:line="259" w:lineRule="auto"/>
        <w:rPr>
          <w:rFonts w:eastAsiaTheme="majorEastAsia"/>
          <w:b/>
          <w:bCs/>
          <w:color w:val="auto"/>
          <w:sz w:val="28"/>
          <w:szCs w:val="28"/>
        </w:rPr>
      </w:pPr>
      <w:r>
        <w:br w:type="page"/>
      </w:r>
    </w:p>
    <w:p>
      <w:pPr>
        <w:pStyle w:val="2"/>
      </w:pPr>
      <w:bookmarkStart w:id="2" w:name="_Toc147931412"/>
      <w:r>
        <w:t>Abstract:</w:t>
      </w:r>
      <w:bookmarkEnd w:id="2"/>
    </w:p>
    <w:p>
      <w:pPr>
        <w:pStyle w:val="19"/>
      </w:pPr>
      <w:r>
        <w:rPr>
          <w:rFonts w:asciiTheme="minorBidi" w:hAnsiTheme="minorBidi" w:cstheme="minorBidi"/>
          <w:color w:val="auto"/>
        </w:rPr>
        <w:t xml:space="preserve">The automobile industry in India is experiencing rapid growth and has emerged as a substantial contributor to the country's gross domestic product (GDP) and exports (Sushil and Garg, 2019; </w:t>
      </w:r>
      <w:r>
        <w:rPr>
          <w:rFonts w:ascii="Arial" w:hAnsi="Arial" w:cs="Arial"/>
          <w:color w:val="auto"/>
          <w:shd w:val="clear" w:color="auto" w:fill="FFFFFF"/>
        </w:rPr>
        <w:t>Agrawal et al., 2021</w:t>
      </w:r>
      <w:r>
        <w:rPr>
          <w:rFonts w:asciiTheme="minorBidi" w:hAnsiTheme="minorBidi" w:cstheme="minorBidi"/>
          <w:color w:val="auto"/>
        </w:rPr>
        <w:t xml:space="preserve">). Brand image helps an organization to acquire their buyers by satisfying their needs and desires accordingly. Online questionnaire were circulated among TATA users through social media. 65 responses were recevied back. </w:t>
      </w:r>
      <w:r>
        <w:t>This study highlights how important it is for businesses to ensure that every touchpoint aligns with the image they want their brand to project. Companies who aspire to attain the same level of success as Tata Motors should prioritize cultivating a consistent and positive brand image since it profoundly impacts various aspects of consumer behaviour and decision-making processes. Besides, a positive brand image improves the consumer's experience, and a good experience for the customer, in turn, helps reinforce a positive brand image. Examining how brands may make the most of this feedback loop can be a critical component of research into this long term relationship.</w:t>
      </w:r>
    </w:p>
    <w:p>
      <w:pPr>
        <w:pStyle w:val="19"/>
      </w:pPr>
    </w:p>
    <w:p>
      <w:pPr>
        <w:pStyle w:val="19"/>
      </w:pPr>
      <w:r>
        <w:rPr>
          <w:b/>
          <w:bCs/>
          <w:i/>
          <w:iCs/>
        </w:rPr>
        <w:t>Keyword:</w:t>
      </w:r>
      <w:r>
        <w:t xml:space="preserve"> TATA motors, brand image, customer experience, brand loyalty.</w:t>
      </w:r>
    </w:p>
    <w:p>
      <w:pPr>
        <w:spacing w:before="0" w:after="160" w:line="259" w:lineRule="auto"/>
        <w:rPr>
          <w:rFonts w:eastAsiaTheme="majorEastAsia"/>
          <w:b/>
          <w:bCs/>
          <w:color w:val="auto"/>
          <w:sz w:val="28"/>
          <w:szCs w:val="28"/>
        </w:rPr>
      </w:pPr>
      <w:r>
        <w:br w:type="page"/>
      </w:r>
    </w:p>
    <w:sdt>
      <w:sdtPr>
        <w:rPr>
          <w:rFonts w:eastAsia="Times New Roman" w:asciiTheme="minorHAnsi" w:hAnsiTheme="minorHAnsi" w:cstheme="minorHAnsi"/>
          <w:color w:val="494949"/>
          <w:sz w:val="24"/>
          <w:szCs w:val="24"/>
          <w:lang w:val="en-GB" w:eastAsia="en-GB"/>
        </w:rPr>
        <w:id w:val="-1092160797"/>
        <w:docPartObj>
          <w:docPartGallery w:val="Table of Contents"/>
          <w:docPartUnique/>
        </w:docPartObj>
      </w:sdtPr>
      <w:sdtEndPr>
        <w:rPr>
          <w:rFonts w:eastAsia="Times New Roman" w:asciiTheme="minorHAnsi" w:hAnsiTheme="minorHAnsi" w:cstheme="minorHAnsi"/>
          <w:b/>
          <w:bCs/>
          <w:color w:val="494949"/>
          <w:sz w:val="24"/>
          <w:szCs w:val="24"/>
          <w:lang w:val="en-GB" w:eastAsia="en-GB"/>
        </w:rPr>
      </w:sdtEndPr>
      <w:sdtContent>
        <w:p>
          <w:pPr>
            <w:pStyle w:val="25"/>
          </w:pPr>
          <w:r>
            <w:t>Contents</w:t>
          </w:r>
        </w:p>
        <w:p>
          <w:pPr>
            <w:pStyle w:val="13"/>
            <w:tabs>
              <w:tab w:val="right" w:leader="dot" w:pos="9350"/>
            </w:tabs>
            <w:rPr>
              <w:rFonts w:eastAsiaTheme="minorEastAsia" w:cstheme="minorBidi"/>
              <w:color w:val="auto"/>
              <w:sz w:val="22"/>
              <w:szCs w:val="22"/>
              <w:lang w:val="en-US" w:eastAsia="en-US"/>
            </w:rPr>
          </w:pPr>
          <w:r>
            <w:fldChar w:fldCharType="begin"/>
          </w:r>
          <w:r>
            <w:instrText xml:space="preserve"> TOC \o "1-3" \h \z \u </w:instrText>
          </w:r>
          <w:r>
            <w:fldChar w:fldCharType="separate"/>
          </w:r>
          <w:r>
            <w:fldChar w:fldCharType="begin"/>
          </w:r>
          <w:r>
            <w:instrText xml:space="preserve"> HYPERLINK \l "_Toc147931410" </w:instrText>
          </w:r>
          <w:r>
            <w:fldChar w:fldCharType="separate"/>
          </w:r>
          <w:r>
            <w:rPr>
              <w:rStyle w:val="10"/>
            </w:rPr>
            <w:t>Declaration</w:t>
          </w:r>
          <w:r>
            <w:tab/>
          </w:r>
          <w:r>
            <w:fldChar w:fldCharType="begin"/>
          </w:r>
          <w:r>
            <w:instrText xml:space="preserve"> PAGEREF _Toc147931410 \h </w:instrText>
          </w:r>
          <w:r>
            <w:fldChar w:fldCharType="separate"/>
          </w:r>
          <w:r>
            <w:t>3</w:t>
          </w:r>
          <w:r>
            <w:fldChar w:fldCharType="end"/>
          </w:r>
          <w:r>
            <w:fldChar w:fldCharType="end"/>
          </w:r>
        </w:p>
        <w:p>
          <w:pPr>
            <w:pStyle w:val="13"/>
            <w:tabs>
              <w:tab w:val="right" w:leader="dot" w:pos="9350"/>
            </w:tabs>
            <w:rPr>
              <w:rFonts w:eastAsiaTheme="minorEastAsia" w:cstheme="minorBidi"/>
              <w:color w:val="auto"/>
              <w:sz w:val="22"/>
              <w:szCs w:val="22"/>
              <w:lang w:val="en-US" w:eastAsia="en-US"/>
            </w:rPr>
          </w:pPr>
          <w:r>
            <w:fldChar w:fldCharType="begin"/>
          </w:r>
          <w:r>
            <w:instrText xml:space="preserve"> HYPERLINK \l "_Toc147931411" </w:instrText>
          </w:r>
          <w:r>
            <w:fldChar w:fldCharType="separate"/>
          </w:r>
          <w:r>
            <w:rPr>
              <w:rStyle w:val="10"/>
            </w:rPr>
            <w:t>Acknowledgement</w:t>
          </w:r>
          <w:r>
            <w:tab/>
          </w:r>
          <w:r>
            <w:fldChar w:fldCharType="begin"/>
          </w:r>
          <w:r>
            <w:instrText xml:space="preserve"> PAGEREF _Toc147931411 \h </w:instrText>
          </w:r>
          <w:r>
            <w:fldChar w:fldCharType="separate"/>
          </w:r>
          <w:r>
            <w:t>4</w:t>
          </w:r>
          <w:r>
            <w:fldChar w:fldCharType="end"/>
          </w:r>
          <w:r>
            <w:fldChar w:fldCharType="end"/>
          </w:r>
        </w:p>
        <w:p>
          <w:pPr>
            <w:pStyle w:val="13"/>
            <w:tabs>
              <w:tab w:val="right" w:leader="dot" w:pos="9350"/>
            </w:tabs>
            <w:rPr>
              <w:rFonts w:eastAsiaTheme="minorEastAsia" w:cstheme="minorBidi"/>
              <w:color w:val="auto"/>
              <w:sz w:val="22"/>
              <w:szCs w:val="22"/>
              <w:lang w:val="en-US" w:eastAsia="en-US"/>
            </w:rPr>
          </w:pPr>
          <w:r>
            <w:fldChar w:fldCharType="begin"/>
          </w:r>
          <w:r>
            <w:instrText xml:space="preserve"> HYPERLINK \l "_Toc147931412" </w:instrText>
          </w:r>
          <w:r>
            <w:fldChar w:fldCharType="separate"/>
          </w:r>
          <w:r>
            <w:rPr>
              <w:rStyle w:val="10"/>
            </w:rPr>
            <w:t>Abstract:</w:t>
          </w:r>
          <w:r>
            <w:tab/>
          </w:r>
          <w:r>
            <w:fldChar w:fldCharType="begin"/>
          </w:r>
          <w:r>
            <w:instrText xml:space="preserve"> PAGEREF _Toc147931412 \h </w:instrText>
          </w:r>
          <w:r>
            <w:fldChar w:fldCharType="separate"/>
          </w:r>
          <w:r>
            <w:t>5</w:t>
          </w:r>
          <w:r>
            <w:fldChar w:fldCharType="end"/>
          </w:r>
          <w:r>
            <w:fldChar w:fldCharType="end"/>
          </w:r>
        </w:p>
        <w:p>
          <w:pPr>
            <w:pStyle w:val="13"/>
            <w:tabs>
              <w:tab w:val="right" w:leader="dot" w:pos="9350"/>
            </w:tabs>
            <w:rPr>
              <w:rFonts w:eastAsiaTheme="minorEastAsia" w:cstheme="minorBidi"/>
              <w:color w:val="auto"/>
              <w:sz w:val="22"/>
              <w:szCs w:val="22"/>
              <w:lang w:val="en-US" w:eastAsia="en-US"/>
            </w:rPr>
          </w:pPr>
          <w:r>
            <w:fldChar w:fldCharType="begin"/>
          </w:r>
          <w:r>
            <w:instrText xml:space="preserve"> HYPERLINK \l "_Toc147931413" </w:instrText>
          </w:r>
          <w:r>
            <w:fldChar w:fldCharType="separate"/>
          </w:r>
          <w:r>
            <w:rPr>
              <w:rStyle w:val="10"/>
            </w:rPr>
            <w:t>List of tables</w:t>
          </w:r>
          <w:r>
            <w:tab/>
          </w:r>
          <w:r>
            <w:fldChar w:fldCharType="begin"/>
          </w:r>
          <w:r>
            <w:instrText xml:space="preserve"> PAGEREF _Toc147931413 \h </w:instrText>
          </w:r>
          <w:r>
            <w:fldChar w:fldCharType="separate"/>
          </w:r>
          <w:r>
            <w:t>10</w:t>
          </w:r>
          <w:r>
            <w:fldChar w:fldCharType="end"/>
          </w:r>
          <w:r>
            <w:fldChar w:fldCharType="end"/>
          </w:r>
        </w:p>
        <w:p>
          <w:pPr>
            <w:pStyle w:val="13"/>
            <w:tabs>
              <w:tab w:val="right" w:leader="dot" w:pos="9350"/>
            </w:tabs>
            <w:rPr>
              <w:rFonts w:eastAsiaTheme="minorEastAsia" w:cstheme="minorBidi"/>
              <w:color w:val="auto"/>
              <w:sz w:val="22"/>
              <w:szCs w:val="22"/>
              <w:lang w:val="en-US" w:eastAsia="en-US"/>
            </w:rPr>
          </w:pPr>
          <w:r>
            <w:fldChar w:fldCharType="begin"/>
          </w:r>
          <w:r>
            <w:instrText xml:space="preserve"> HYPERLINK \l "_Toc147931414" </w:instrText>
          </w:r>
          <w:r>
            <w:fldChar w:fldCharType="separate"/>
          </w:r>
          <w:r>
            <w:rPr>
              <w:rStyle w:val="10"/>
            </w:rPr>
            <w:t>List of figures</w:t>
          </w:r>
          <w:r>
            <w:tab/>
          </w:r>
          <w:r>
            <w:fldChar w:fldCharType="begin"/>
          </w:r>
          <w:r>
            <w:instrText xml:space="preserve"> PAGEREF _Toc147931414 \h </w:instrText>
          </w:r>
          <w:r>
            <w:fldChar w:fldCharType="separate"/>
          </w:r>
          <w:r>
            <w:t>11</w:t>
          </w:r>
          <w:r>
            <w:fldChar w:fldCharType="end"/>
          </w:r>
          <w:r>
            <w:fldChar w:fldCharType="end"/>
          </w:r>
        </w:p>
        <w:p>
          <w:pPr>
            <w:pStyle w:val="13"/>
            <w:tabs>
              <w:tab w:val="right" w:leader="dot" w:pos="9350"/>
            </w:tabs>
            <w:rPr>
              <w:rFonts w:eastAsiaTheme="minorEastAsia" w:cstheme="minorBidi"/>
              <w:color w:val="auto"/>
              <w:sz w:val="22"/>
              <w:szCs w:val="22"/>
              <w:lang w:val="en-US" w:eastAsia="en-US"/>
            </w:rPr>
          </w:pPr>
          <w:r>
            <w:fldChar w:fldCharType="begin"/>
          </w:r>
          <w:r>
            <w:instrText xml:space="preserve"> HYPERLINK \l "_Toc147931415" </w:instrText>
          </w:r>
          <w:r>
            <w:fldChar w:fldCharType="separate"/>
          </w:r>
          <w:r>
            <w:rPr>
              <w:rStyle w:val="10"/>
            </w:rPr>
            <w:t>CHAPTER # 1 INTRODUCTION:</w:t>
          </w:r>
          <w:r>
            <w:tab/>
          </w:r>
          <w:r>
            <w:fldChar w:fldCharType="begin"/>
          </w:r>
          <w:r>
            <w:instrText xml:space="preserve"> PAGEREF _Toc147931415 \h </w:instrText>
          </w:r>
          <w:r>
            <w:fldChar w:fldCharType="separate"/>
          </w:r>
          <w:r>
            <w:t>12</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"_Toc147931416" </w:instrText>
          </w:r>
          <w:r>
            <w:fldChar w:fldCharType="separate"/>
          </w:r>
          <w:r>
            <w:rPr>
              <w:rStyle w:val="10"/>
            </w:rPr>
            <w:t>1.1 Background of the study:</w:t>
          </w:r>
          <w:r>
            <w:tab/>
          </w:r>
          <w:r>
            <w:fldChar w:fldCharType="begin"/>
          </w:r>
          <w:r>
            <w:instrText xml:space="preserve"> PAGEREF _Toc147931416 \h </w:instrText>
          </w:r>
          <w:r>
            <w:fldChar w:fldCharType="separate"/>
          </w:r>
          <w:r>
            <w:t>12</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"_Toc147931417" </w:instrText>
          </w:r>
          <w:r>
            <w:fldChar w:fldCharType="separate"/>
          </w:r>
          <w:r>
            <w:rPr>
              <w:rStyle w:val="10"/>
            </w:rPr>
            <w:t>1.2 Significance of the study:</w:t>
          </w:r>
          <w:r>
            <w:tab/>
          </w:r>
          <w:r>
            <w:fldChar w:fldCharType="begin"/>
          </w:r>
          <w:r>
            <w:instrText xml:space="preserve"> PAGEREF _Toc147931417 \h </w:instrText>
          </w:r>
          <w:r>
            <w:fldChar w:fldCharType="separate"/>
          </w:r>
          <w:r>
            <w:t>13</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"_Toc147931418" </w:instrText>
          </w:r>
          <w:r>
            <w:fldChar w:fldCharType="separate"/>
          </w:r>
          <w:r>
            <w:rPr>
              <w:rStyle w:val="10"/>
            </w:rPr>
            <w:t>1.3 Research objectives:</w:t>
          </w:r>
          <w:r>
            <w:tab/>
          </w:r>
          <w:r>
            <w:fldChar w:fldCharType="begin"/>
          </w:r>
          <w:r>
            <w:instrText xml:space="preserve"> PAGEREF _Toc147931418 \h </w:instrText>
          </w:r>
          <w:r>
            <w:fldChar w:fldCharType="separate"/>
          </w:r>
          <w:r>
            <w:t>14</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"_Toc147931419" </w:instrText>
          </w:r>
          <w:r>
            <w:fldChar w:fldCharType="separate"/>
          </w:r>
          <w:r>
            <w:rPr>
              <w:rStyle w:val="10"/>
            </w:rPr>
            <w:t>1.4 Research Aims:</w:t>
          </w:r>
          <w:r>
            <w:tab/>
          </w:r>
          <w:r>
            <w:fldChar w:fldCharType="begin"/>
          </w:r>
          <w:r>
            <w:instrText xml:space="preserve"> PAGEREF _Toc147931419 \h </w:instrText>
          </w:r>
          <w:r>
            <w:fldChar w:fldCharType="separate"/>
          </w:r>
          <w:r>
            <w:t>14</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"_Toc147931420" </w:instrText>
          </w:r>
          <w:r>
            <w:fldChar w:fldCharType="separate"/>
          </w:r>
          <w:r>
            <w:rPr>
              <w:rStyle w:val="10"/>
            </w:rPr>
            <w:t>1.5 Research Questions:</w:t>
          </w:r>
          <w:r>
            <w:tab/>
          </w:r>
          <w:r>
            <w:fldChar w:fldCharType="begin"/>
          </w:r>
          <w:r>
            <w:instrText xml:space="preserve"> PAGEREF _Toc147931420 \h </w:instrText>
          </w:r>
          <w:r>
            <w:fldChar w:fldCharType="separate"/>
          </w:r>
          <w:r>
            <w:t>14</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"_Toc147931421" </w:instrText>
          </w:r>
          <w:r>
            <w:fldChar w:fldCharType="separate"/>
          </w:r>
          <w:r>
            <w:rPr>
              <w:rStyle w:val="10"/>
            </w:rPr>
            <w:t>1.6 Definitions of the variables:</w:t>
          </w:r>
          <w:r>
            <w:tab/>
          </w:r>
          <w:r>
            <w:fldChar w:fldCharType="begin"/>
          </w:r>
          <w:r>
            <w:instrText xml:space="preserve"> PAGEREF _Toc147931421 \h </w:instrText>
          </w:r>
          <w:r>
            <w:fldChar w:fldCharType="separate"/>
          </w:r>
          <w:r>
            <w:t>15</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"_Toc147931422" </w:instrText>
          </w:r>
          <w:r>
            <w:fldChar w:fldCharType="separate"/>
          </w:r>
          <w:r>
            <w:rPr>
              <w:rStyle w:val="10"/>
            </w:rPr>
            <w:t>1.6.1 Brand Image:</w:t>
          </w:r>
          <w:r>
            <w:tab/>
          </w:r>
          <w:r>
            <w:fldChar w:fldCharType="begin"/>
          </w:r>
          <w:r>
            <w:instrText xml:space="preserve"> PAGEREF _Toc147931422 \h </w:instrText>
          </w:r>
          <w:r>
            <w:fldChar w:fldCharType="separate"/>
          </w:r>
          <w:r>
            <w:t>15</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"_Toc147931423" </w:instrText>
          </w:r>
          <w:r>
            <w:fldChar w:fldCharType="separate"/>
          </w:r>
          <w:r>
            <w:rPr>
              <w:rStyle w:val="10"/>
            </w:rPr>
            <w:t>1.6.2 Brand loyalty:</w:t>
          </w:r>
          <w:r>
            <w:tab/>
          </w:r>
          <w:r>
            <w:fldChar w:fldCharType="begin"/>
          </w:r>
          <w:r>
            <w:instrText xml:space="preserve"> PAGEREF _Toc147931423 \h </w:instrText>
          </w:r>
          <w:r>
            <w:fldChar w:fldCharType="separate"/>
          </w:r>
          <w:r>
            <w:t>15</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"_Toc147931424" </w:instrText>
          </w:r>
          <w:r>
            <w:fldChar w:fldCharType="separate"/>
          </w:r>
          <w:r>
            <w:rPr>
              <w:rStyle w:val="10"/>
            </w:rPr>
            <w:t>1.6.3 Buyer’s Purchase intention:</w:t>
          </w:r>
          <w:r>
            <w:tab/>
          </w:r>
          <w:r>
            <w:fldChar w:fldCharType="begin"/>
          </w:r>
          <w:r>
            <w:instrText xml:space="preserve"> PAGEREF _Toc147931424 \h </w:instrText>
          </w:r>
          <w:r>
            <w:fldChar w:fldCharType="separate"/>
          </w:r>
          <w:r>
            <w:t>15</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"_Toc147931425" </w:instrText>
          </w:r>
          <w:r>
            <w:fldChar w:fldCharType="separate"/>
          </w:r>
          <w:r>
            <w:rPr>
              <w:rStyle w:val="10"/>
            </w:rPr>
            <w:t>1.6.4 Customer trust:</w:t>
          </w:r>
          <w:r>
            <w:tab/>
          </w:r>
          <w:r>
            <w:fldChar w:fldCharType="begin"/>
          </w:r>
          <w:r>
            <w:instrText xml:space="preserve"> PAGEREF _Toc147931425 \h </w:instrText>
          </w:r>
          <w:r>
            <w:fldChar w:fldCharType="separate"/>
          </w:r>
          <w:r>
            <w:t>15</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"_Toc147931426" </w:instrText>
          </w:r>
          <w:r>
            <w:fldChar w:fldCharType="separate"/>
          </w:r>
          <w:r>
            <w:rPr>
              <w:rStyle w:val="10"/>
            </w:rPr>
            <w:t>1.6.5 Customer Experience:</w:t>
          </w:r>
          <w:r>
            <w:tab/>
          </w:r>
          <w:r>
            <w:fldChar w:fldCharType="begin"/>
          </w:r>
          <w:r>
            <w:instrText xml:space="preserve"> PAGEREF _Toc147931426 \h </w:instrText>
          </w:r>
          <w:r>
            <w:fldChar w:fldCharType="separate"/>
          </w:r>
          <w:r>
            <w:t>16</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"_Toc147931427" </w:instrText>
          </w:r>
          <w:r>
            <w:fldChar w:fldCharType="separate"/>
          </w:r>
          <w:r>
            <w:rPr>
              <w:rStyle w:val="10"/>
            </w:rPr>
            <w:t>1.7 Structure of the study:</w:t>
          </w:r>
          <w:r>
            <w:tab/>
          </w:r>
          <w:r>
            <w:fldChar w:fldCharType="begin"/>
          </w:r>
          <w:r>
            <w:instrText xml:space="preserve"> PAGEREF _Toc147931427 \h </w:instrText>
          </w:r>
          <w:r>
            <w:fldChar w:fldCharType="separate"/>
          </w:r>
          <w:r>
            <w:t>16</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"_Toc147931428" </w:instrText>
          </w:r>
          <w:r>
            <w:fldChar w:fldCharType="separate"/>
          </w:r>
          <w:r>
            <w:rPr>
              <w:rStyle w:val="10"/>
            </w:rPr>
            <w:t>1.8 Summary:</w:t>
          </w:r>
          <w:r>
            <w:tab/>
          </w:r>
          <w:r>
            <w:fldChar w:fldCharType="begin"/>
          </w:r>
          <w:r>
            <w:instrText xml:space="preserve"> PAGEREF _Toc147931428 \h </w:instrText>
          </w:r>
          <w:r>
            <w:fldChar w:fldCharType="separate"/>
          </w:r>
          <w:r>
            <w:t>17</w:t>
          </w:r>
          <w:r>
            <w:fldChar w:fldCharType="end"/>
          </w:r>
          <w:r>
            <w:fldChar w:fldCharType="end"/>
          </w:r>
        </w:p>
        <w:p>
          <w:pPr>
            <w:pStyle w:val="13"/>
            <w:tabs>
              <w:tab w:val="right" w:leader="dot" w:pos="9350"/>
            </w:tabs>
            <w:rPr>
              <w:rFonts w:eastAsiaTheme="minorEastAsia" w:cstheme="minorBidi"/>
              <w:color w:val="auto"/>
              <w:sz w:val="22"/>
              <w:szCs w:val="22"/>
              <w:lang w:val="en-US" w:eastAsia="en-US"/>
            </w:rPr>
          </w:pPr>
          <w:r>
            <w:fldChar w:fldCharType="begin"/>
          </w:r>
          <w:r>
            <w:instrText xml:space="preserve"> HYPERLINK \l "_Toc147931429" </w:instrText>
          </w:r>
          <w:r>
            <w:fldChar w:fldCharType="separate"/>
          </w:r>
          <w:r>
            <w:rPr>
              <w:rStyle w:val="10"/>
            </w:rPr>
            <w:t>CHAPTER# 2 LITERATURE REVIEW</w:t>
          </w:r>
          <w:r>
            <w:tab/>
          </w:r>
          <w:r>
            <w:fldChar w:fldCharType="begin"/>
          </w:r>
          <w:r>
            <w:instrText xml:space="preserve"> PAGEREF _Toc147931429 \h </w:instrText>
          </w:r>
          <w:r>
            <w:fldChar w:fldCharType="separate"/>
          </w:r>
          <w:r>
            <w:t>18</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"_Toc147931430" </w:instrText>
          </w:r>
          <w:r>
            <w:fldChar w:fldCharType="separate"/>
          </w:r>
          <w:r>
            <w:rPr>
              <w:rStyle w:val="10"/>
            </w:rPr>
            <w:t>2.1 Introduction:</w:t>
          </w:r>
          <w:r>
            <w:tab/>
          </w:r>
          <w:r>
            <w:fldChar w:fldCharType="begin"/>
          </w:r>
          <w:r>
            <w:instrText xml:space="preserve"> PAGEREF _Toc147931430 \h </w:instrText>
          </w:r>
          <w:r>
            <w:fldChar w:fldCharType="separate"/>
          </w:r>
          <w:r>
            <w:t>18</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"_Toc147931431" </w:instrText>
          </w:r>
          <w:r>
            <w:fldChar w:fldCharType="separate"/>
          </w:r>
          <w:r>
            <w:rPr>
              <w:rStyle w:val="10"/>
            </w:rPr>
            <w:t>2.2 TATA MOTORS:</w:t>
          </w:r>
          <w:r>
            <w:tab/>
          </w:r>
          <w:r>
            <w:fldChar w:fldCharType="begin"/>
          </w:r>
          <w:r>
            <w:instrText xml:space="preserve"> PAGEREF _Toc147931431 \h </w:instrText>
          </w:r>
          <w:r>
            <w:fldChar w:fldCharType="separate"/>
          </w:r>
          <w:r>
            <w:t>18</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"_Toc147931432" </w:instrText>
          </w:r>
          <w:r>
            <w:fldChar w:fldCharType="separate"/>
          </w:r>
          <w:r>
            <w:rPr>
              <w:rStyle w:val="10"/>
            </w:rPr>
            <w:t>2.3 Social Identity Theory:</w:t>
          </w:r>
          <w:r>
            <w:tab/>
          </w:r>
          <w:r>
            <w:fldChar w:fldCharType="begin"/>
          </w:r>
          <w:r>
            <w:instrText xml:space="preserve"> PAGEREF _Toc147931432 \h </w:instrText>
          </w:r>
          <w:r>
            <w:fldChar w:fldCharType="separate"/>
          </w:r>
          <w:r>
            <w:t>19</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"_Toc147931433" </w:instrText>
          </w:r>
          <w:r>
            <w:fldChar w:fldCharType="separate"/>
          </w:r>
          <w:r>
            <w:rPr>
              <w:rStyle w:val="10"/>
            </w:rPr>
            <w:t>2.4 Brand Image:</w:t>
          </w:r>
          <w:r>
            <w:tab/>
          </w:r>
          <w:r>
            <w:fldChar w:fldCharType="begin"/>
          </w:r>
          <w:r>
            <w:instrText xml:space="preserve"> PAGEREF _Toc147931433 \h </w:instrText>
          </w:r>
          <w:r>
            <w:fldChar w:fldCharType="separate"/>
          </w:r>
          <w:r>
            <w:t>20</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"_Toc147931434" </w:instrText>
          </w:r>
          <w:r>
            <w:fldChar w:fldCharType="separate"/>
          </w:r>
          <w:r>
            <w:rPr>
              <w:rStyle w:val="10"/>
            </w:rPr>
            <w:t>2.4 Brand loyalty:</w:t>
          </w:r>
          <w:r>
            <w:tab/>
          </w:r>
          <w:r>
            <w:fldChar w:fldCharType="begin"/>
          </w:r>
          <w:r>
            <w:instrText xml:space="preserve"> PAGEREF _Toc147931434 \h </w:instrText>
          </w:r>
          <w:r>
            <w:fldChar w:fldCharType="separate"/>
          </w:r>
          <w:r>
            <w:t>22</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"_Toc147931435" </w:instrText>
          </w:r>
          <w:r>
            <w:fldChar w:fldCharType="separate"/>
          </w:r>
          <w:r>
            <w:rPr>
              <w:rStyle w:val="10"/>
            </w:rPr>
            <w:t>2.5 Buyer’s intention:</w:t>
          </w:r>
          <w:r>
            <w:tab/>
          </w:r>
          <w:r>
            <w:fldChar w:fldCharType="begin"/>
          </w:r>
          <w:r>
            <w:instrText xml:space="preserve"> PAGEREF _Toc147931435 \h </w:instrText>
          </w:r>
          <w:r>
            <w:fldChar w:fldCharType="separate"/>
          </w:r>
          <w:r>
            <w:t>24</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"_Toc147931436" </w:instrText>
          </w:r>
          <w:r>
            <w:fldChar w:fldCharType="separate"/>
          </w:r>
          <w:r>
            <w:rPr>
              <w:rStyle w:val="10"/>
            </w:rPr>
            <w:t>2.6 Customer trust:</w:t>
          </w:r>
          <w:r>
            <w:tab/>
          </w:r>
          <w:r>
            <w:fldChar w:fldCharType="begin"/>
          </w:r>
          <w:r>
            <w:instrText xml:space="preserve"> PAGEREF _Toc147931436 \h </w:instrText>
          </w:r>
          <w:r>
            <w:fldChar w:fldCharType="separate"/>
          </w:r>
          <w:r>
            <w:t>25</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"_Toc147931437" </w:instrText>
          </w:r>
          <w:r>
            <w:fldChar w:fldCharType="separate"/>
          </w:r>
          <w:r>
            <w:rPr>
              <w:rStyle w:val="10"/>
            </w:rPr>
            <w:t>2.7 Customer experience:</w:t>
          </w:r>
          <w:r>
            <w:tab/>
          </w:r>
          <w:r>
            <w:fldChar w:fldCharType="begin"/>
          </w:r>
          <w:r>
            <w:instrText xml:space="preserve"> PAGEREF _Toc147931437 \h </w:instrText>
          </w:r>
          <w:r>
            <w:fldChar w:fldCharType="separate"/>
          </w:r>
          <w:r>
            <w:t>27</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"_Toc147931438" </w:instrText>
          </w:r>
          <w:r>
            <w:fldChar w:fldCharType="separate"/>
          </w:r>
          <w:r>
            <w:rPr>
              <w:rStyle w:val="10"/>
            </w:rPr>
            <w:t>2.8 Hypotheses construction:</w:t>
          </w:r>
          <w:r>
            <w:tab/>
          </w:r>
          <w:r>
            <w:fldChar w:fldCharType="begin"/>
          </w:r>
          <w:r>
            <w:instrText xml:space="preserve"> PAGEREF _Toc147931438 \h </w:instrText>
          </w:r>
          <w:r>
            <w:fldChar w:fldCharType="separate"/>
          </w:r>
          <w:r>
            <w:t>28</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"_Toc147931439" </w:instrText>
          </w:r>
          <w:r>
            <w:fldChar w:fldCharType="separate"/>
          </w:r>
          <w:r>
            <w:rPr>
              <w:rStyle w:val="10"/>
            </w:rPr>
            <w:t>2.8.1 Brand image and Brand loyalty</w:t>
          </w:r>
          <w:r>
            <w:tab/>
          </w:r>
          <w:r>
            <w:fldChar w:fldCharType="begin"/>
          </w:r>
          <w:r>
            <w:instrText xml:space="preserve"> PAGEREF _Toc147931439 \h </w:instrText>
          </w:r>
          <w:r>
            <w:fldChar w:fldCharType="separate"/>
          </w:r>
          <w:r>
            <w:t>28</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"_Toc147931440" </w:instrText>
          </w:r>
          <w:r>
            <w:fldChar w:fldCharType="separate"/>
          </w:r>
          <w:r>
            <w:rPr>
              <w:rStyle w:val="10"/>
            </w:rPr>
            <w:t>2.8.2 Brand image and Buyer’s intention</w:t>
          </w:r>
          <w:r>
            <w:tab/>
          </w:r>
          <w:r>
            <w:fldChar w:fldCharType="begin"/>
          </w:r>
          <w:r>
            <w:instrText xml:space="preserve"> PAGEREF _Toc147931440 \h </w:instrText>
          </w:r>
          <w:r>
            <w:fldChar w:fldCharType="separate"/>
          </w:r>
          <w:r>
            <w:t>29</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"_Toc147931441" </w:instrText>
          </w:r>
          <w:r>
            <w:fldChar w:fldCharType="separate"/>
          </w:r>
          <w:r>
            <w:rPr>
              <w:rStyle w:val="10"/>
            </w:rPr>
            <w:t>2.8.3 Brand image and Customer trust:</w:t>
          </w:r>
          <w:r>
            <w:tab/>
          </w:r>
          <w:r>
            <w:fldChar w:fldCharType="begin"/>
          </w:r>
          <w:r>
            <w:instrText xml:space="preserve"> PAGEREF _Toc147931441 \h </w:instrText>
          </w:r>
          <w:r>
            <w:fldChar w:fldCharType="separate"/>
          </w:r>
          <w:r>
            <w:t>30</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"_Toc147931442" </w:instrText>
          </w:r>
          <w:r>
            <w:fldChar w:fldCharType="separate"/>
          </w:r>
          <w:r>
            <w:rPr>
              <w:rStyle w:val="10"/>
            </w:rPr>
            <w:t>2.8.4 Brand image and Customer experience</w:t>
          </w:r>
          <w:r>
            <w:tab/>
          </w:r>
          <w:r>
            <w:fldChar w:fldCharType="begin"/>
          </w:r>
          <w:r>
            <w:instrText xml:space="preserve"> PAGEREF _Toc147931442 \h </w:instrText>
          </w:r>
          <w:r>
            <w:fldChar w:fldCharType="separate"/>
          </w:r>
          <w:r>
            <w:t>31</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"_Toc147931443" </w:instrText>
          </w:r>
          <w:r>
            <w:fldChar w:fldCharType="separate"/>
          </w:r>
          <w:r>
            <w:rPr>
              <w:rStyle w:val="10"/>
            </w:rPr>
            <w:t>2.9 Proposed Framework:</w:t>
          </w:r>
          <w:r>
            <w:tab/>
          </w:r>
          <w:r>
            <w:fldChar w:fldCharType="begin"/>
          </w:r>
          <w:r>
            <w:instrText xml:space="preserve"> PAGEREF _Toc147931443 \h </w:instrText>
          </w:r>
          <w:r>
            <w:fldChar w:fldCharType="separate"/>
          </w:r>
          <w:r>
            <w:t>32</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"_Toc147931444" </w:instrText>
          </w:r>
          <w:r>
            <w:fldChar w:fldCharType="separate"/>
          </w:r>
          <w:r>
            <w:rPr>
              <w:rStyle w:val="10"/>
            </w:rPr>
            <w:t>2.10 Summary:</w:t>
          </w:r>
          <w:r>
            <w:tab/>
          </w:r>
          <w:r>
            <w:fldChar w:fldCharType="begin"/>
          </w:r>
          <w:r>
            <w:instrText xml:space="preserve"> PAGEREF _Toc147931444 \h </w:instrText>
          </w:r>
          <w:r>
            <w:fldChar w:fldCharType="separate"/>
          </w:r>
          <w:r>
            <w:t>33</w:t>
          </w:r>
          <w:r>
            <w:fldChar w:fldCharType="end"/>
          </w:r>
          <w:r>
            <w:fldChar w:fldCharType="end"/>
          </w:r>
        </w:p>
        <w:p>
          <w:pPr>
            <w:pStyle w:val="13"/>
            <w:tabs>
              <w:tab w:val="right" w:leader="dot" w:pos="9350"/>
            </w:tabs>
            <w:rPr>
              <w:rFonts w:eastAsiaTheme="minorEastAsia" w:cstheme="minorBidi"/>
              <w:color w:val="auto"/>
              <w:sz w:val="22"/>
              <w:szCs w:val="22"/>
              <w:lang w:val="en-US" w:eastAsia="en-US"/>
            </w:rPr>
          </w:pPr>
          <w:r>
            <w:fldChar w:fldCharType="begin"/>
          </w:r>
          <w:r>
            <w:instrText xml:space="preserve"> HYPERLINK \l "_Toc147931445" </w:instrText>
          </w:r>
          <w:r>
            <w:fldChar w:fldCharType="separate"/>
          </w:r>
          <w:r>
            <w:rPr>
              <w:rStyle w:val="10"/>
            </w:rPr>
            <w:t>CHAPTER # 3 RESEARCH METHODLOGY:</w:t>
          </w:r>
          <w:r>
            <w:tab/>
          </w:r>
          <w:r>
            <w:fldChar w:fldCharType="begin"/>
          </w:r>
          <w:r>
            <w:instrText xml:space="preserve"> PAGEREF _Toc147931445 \h </w:instrText>
          </w:r>
          <w:r>
            <w:fldChar w:fldCharType="separate"/>
          </w:r>
          <w:r>
            <w:t>34</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"_Toc147931446" </w:instrText>
          </w:r>
          <w:r>
            <w:fldChar w:fldCharType="separate"/>
          </w:r>
          <w:r>
            <w:rPr>
              <w:rStyle w:val="10"/>
            </w:rPr>
            <w:t>3.1 Introduction:</w:t>
          </w:r>
          <w:r>
            <w:tab/>
          </w:r>
          <w:r>
            <w:fldChar w:fldCharType="begin"/>
          </w:r>
          <w:r>
            <w:instrText xml:space="preserve"> PAGEREF _Toc147931446 \h </w:instrText>
          </w:r>
          <w:r>
            <w:fldChar w:fldCharType="separate"/>
          </w:r>
          <w:r>
            <w:t>34</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"_Toc147931447" </w:instrText>
          </w:r>
          <w:r>
            <w:fldChar w:fldCharType="separate"/>
          </w:r>
          <w:r>
            <w:rPr>
              <w:rStyle w:val="10"/>
            </w:rPr>
            <w:t>3.2 Research Philosophy:</w:t>
          </w:r>
          <w:r>
            <w:tab/>
          </w:r>
          <w:r>
            <w:fldChar w:fldCharType="begin"/>
          </w:r>
          <w:r>
            <w:instrText xml:space="preserve"> PAGEREF _Toc147931447 \h </w:instrText>
          </w:r>
          <w:r>
            <w:fldChar w:fldCharType="separate"/>
          </w:r>
          <w:r>
            <w:t>34</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"_Toc147931448" </w:instrText>
          </w:r>
          <w:r>
            <w:fldChar w:fldCharType="separate"/>
          </w:r>
          <w:r>
            <w:rPr>
              <w:rStyle w:val="10"/>
            </w:rPr>
            <w:t>3.3 Research design:</w:t>
          </w:r>
          <w:r>
            <w:tab/>
          </w:r>
          <w:r>
            <w:fldChar w:fldCharType="begin"/>
          </w:r>
          <w:r>
            <w:instrText xml:space="preserve"> PAGEREF _Toc147931448 \h </w:instrText>
          </w:r>
          <w:r>
            <w:fldChar w:fldCharType="separate"/>
          </w:r>
          <w:r>
            <w:t>35</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"_Toc147931449" </w:instrText>
          </w:r>
          <w:r>
            <w:fldChar w:fldCharType="separate"/>
          </w:r>
          <w:r>
            <w:rPr>
              <w:rStyle w:val="10"/>
            </w:rPr>
            <w:t>3.4 Data collection:</w:t>
          </w:r>
          <w:r>
            <w:tab/>
          </w:r>
          <w:r>
            <w:fldChar w:fldCharType="begin"/>
          </w:r>
          <w:r>
            <w:instrText xml:space="preserve"> PAGEREF _Toc147931449 \h </w:instrText>
          </w:r>
          <w:r>
            <w:fldChar w:fldCharType="separate"/>
          </w:r>
          <w:r>
            <w:t>35</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"_Toc147931450" </w:instrText>
          </w:r>
          <w:r>
            <w:fldChar w:fldCharType="separate"/>
          </w:r>
          <w:r>
            <w:rPr>
              <w:rStyle w:val="10"/>
            </w:rPr>
            <w:t>3.4.1 Instrument:</w:t>
          </w:r>
          <w:r>
            <w:tab/>
          </w:r>
          <w:r>
            <w:fldChar w:fldCharType="begin"/>
          </w:r>
          <w:r>
            <w:instrText xml:space="preserve"> PAGEREF _Toc147931450 \h </w:instrText>
          </w:r>
          <w:r>
            <w:fldChar w:fldCharType="separate"/>
          </w:r>
          <w:r>
            <w:t>36</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"_Toc147931451" </w:instrText>
          </w:r>
          <w:r>
            <w:fldChar w:fldCharType="separate"/>
          </w:r>
          <w:r>
            <w:rPr>
              <w:rStyle w:val="10"/>
            </w:rPr>
            <w:t>3.5 Techniques &amp; tools:</w:t>
          </w:r>
          <w:r>
            <w:tab/>
          </w:r>
          <w:r>
            <w:fldChar w:fldCharType="begin"/>
          </w:r>
          <w:r>
            <w:instrText xml:space="preserve"> PAGEREF _Toc147931451 \h </w:instrText>
          </w:r>
          <w:r>
            <w:fldChar w:fldCharType="separate"/>
          </w:r>
          <w:r>
            <w:t>36</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"_Toc147931452" </w:instrText>
          </w:r>
          <w:r>
            <w:fldChar w:fldCharType="separate"/>
          </w:r>
          <w:r>
            <w:rPr>
              <w:rStyle w:val="10"/>
            </w:rPr>
            <w:t>3.6 Sample size:</w:t>
          </w:r>
          <w:r>
            <w:tab/>
          </w:r>
          <w:r>
            <w:fldChar w:fldCharType="begin"/>
          </w:r>
          <w:r>
            <w:instrText xml:space="preserve"> PAGEREF _Toc147931452 \h </w:instrText>
          </w:r>
          <w:r>
            <w:fldChar w:fldCharType="separate"/>
          </w:r>
          <w:r>
            <w:t>37</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"_Toc147931453" </w:instrText>
          </w:r>
          <w:r>
            <w:fldChar w:fldCharType="separate"/>
          </w:r>
          <w:r>
            <w:rPr>
              <w:rStyle w:val="10"/>
            </w:rPr>
            <w:t>3.7 Ethical consideration:</w:t>
          </w:r>
          <w:r>
            <w:tab/>
          </w:r>
          <w:r>
            <w:fldChar w:fldCharType="begin"/>
          </w:r>
          <w:r>
            <w:instrText xml:space="preserve"> PAGEREF _Toc147931453 \h </w:instrText>
          </w:r>
          <w:r>
            <w:fldChar w:fldCharType="separate"/>
          </w:r>
          <w:r>
            <w:t>38</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"_Toc147931454" </w:instrText>
          </w:r>
          <w:r>
            <w:fldChar w:fldCharType="separate"/>
          </w:r>
          <w:r>
            <w:rPr>
              <w:rStyle w:val="10"/>
            </w:rPr>
            <w:t>3.8 Limitation:</w:t>
          </w:r>
          <w:r>
            <w:tab/>
          </w:r>
          <w:r>
            <w:fldChar w:fldCharType="begin"/>
          </w:r>
          <w:r>
            <w:instrText xml:space="preserve"> PAGEREF _Toc147931454 \h </w:instrText>
          </w:r>
          <w:r>
            <w:fldChar w:fldCharType="separate"/>
          </w:r>
          <w:r>
            <w:t>38</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"_Toc147931455" </w:instrText>
          </w:r>
          <w:r>
            <w:fldChar w:fldCharType="separate"/>
          </w:r>
          <w:r>
            <w:rPr>
              <w:rStyle w:val="10"/>
            </w:rPr>
            <w:t>3.9 Summary:</w:t>
          </w:r>
          <w:r>
            <w:tab/>
          </w:r>
          <w:r>
            <w:fldChar w:fldCharType="begin"/>
          </w:r>
          <w:r>
            <w:instrText xml:space="preserve"> PAGEREF _Toc147931455 \h </w:instrText>
          </w:r>
          <w:r>
            <w:fldChar w:fldCharType="separate"/>
          </w:r>
          <w:r>
            <w:t>39</w:t>
          </w:r>
          <w:r>
            <w:fldChar w:fldCharType="end"/>
          </w:r>
          <w:r>
            <w:fldChar w:fldCharType="end"/>
          </w:r>
        </w:p>
        <w:p>
          <w:pPr>
            <w:pStyle w:val="13"/>
            <w:tabs>
              <w:tab w:val="right" w:leader="dot" w:pos="9350"/>
            </w:tabs>
            <w:rPr>
              <w:rFonts w:eastAsiaTheme="minorEastAsia" w:cstheme="minorBidi"/>
              <w:color w:val="auto"/>
              <w:sz w:val="22"/>
              <w:szCs w:val="22"/>
              <w:lang w:val="en-US" w:eastAsia="en-US"/>
            </w:rPr>
          </w:pPr>
          <w:r>
            <w:fldChar w:fldCharType="begin"/>
          </w:r>
          <w:r>
            <w:instrText xml:space="preserve"> HYPERLINK \l "_Toc147931456" </w:instrText>
          </w:r>
          <w:r>
            <w:fldChar w:fldCharType="separate"/>
          </w:r>
          <w:r>
            <w:rPr>
              <w:rStyle w:val="10"/>
            </w:rPr>
            <w:t>CHAPTER 4 – FINDINGS AND DISCUSSION</w:t>
          </w:r>
          <w:r>
            <w:tab/>
          </w:r>
          <w:r>
            <w:fldChar w:fldCharType="begin"/>
          </w:r>
          <w:r>
            <w:instrText xml:space="preserve"> PAGEREF _Toc147931456 \h </w:instrText>
          </w:r>
          <w:r>
            <w:fldChar w:fldCharType="separate"/>
          </w:r>
          <w:r>
            <w:t>40</w:t>
          </w:r>
          <w:r>
            <w:fldChar w:fldCharType="end"/>
          </w:r>
          <w:r>
            <w:fldChar w:fldCharType="end"/>
          </w:r>
        </w:p>
        <w:p>
          <w:pPr>
            <w:pStyle w:val="14"/>
            <w:tabs>
              <w:tab w:val="left" w:pos="880"/>
              <w:tab w:val="right" w:leader="dot" w:pos="9350"/>
            </w:tabs>
            <w:rPr>
              <w:rFonts w:eastAsiaTheme="minorEastAsia" w:cstheme="minorBidi"/>
              <w:color w:val="auto"/>
              <w:sz w:val="22"/>
              <w:szCs w:val="22"/>
              <w:lang w:val="en-US" w:eastAsia="en-US"/>
            </w:rPr>
          </w:pPr>
          <w:r>
            <w:fldChar w:fldCharType="begin"/>
          </w:r>
          <w:r>
            <w:instrText xml:space="preserve"> HYPERLINK \l "_Toc147931457" </w:instrText>
          </w:r>
          <w:r>
            <w:fldChar w:fldCharType="separate"/>
          </w:r>
          <w:r>
            <w:rPr>
              <w:rStyle w:val="10"/>
            </w:rPr>
            <w:t>4.1</w:t>
          </w:r>
          <w:r>
            <w:rPr>
              <w:rFonts w:eastAsiaTheme="minorEastAsia" w:cstheme="minorBidi"/>
              <w:color w:val="auto"/>
              <w:sz w:val="22"/>
              <w:szCs w:val="22"/>
              <w:lang w:val="en-US" w:eastAsia="en-US"/>
            </w:rPr>
            <w:tab/>
          </w:r>
          <w:r>
            <w:rPr>
              <w:rStyle w:val="10"/>
            </w:rPr>
            <w:t>Introduction</w:t>
          </w:r>
          <w:r>
            <w:tab/>
          </w:r>
          <w:r>
            <w:fldChar w:fldCharType="begin"/>
          </w:r>
          <w:r>
            <w:instrText xml:space="preserve"> PAGEREF _Toc147931457 \h </w:instrText>
          </w:r>
          <w:r>
            <w:fldChar w:fldCharType="separate"/>
          </w:r>
          <w:r>
            <w:t>40</w:t>
          </w:r>
          <w:r>
            <w:fldChar w:fldCharType="end"/>
          </w:r>
          <w:r>
            <w:fldChar w:fldCharType="end"/>
          </w:r>
        </w:p>
        <w:p>
          <w:pPr>
            <w:pStyle w:val="14"/>
            <w:tabs>
              <w:tab w:val="left" w:pos="880"/>
              <w:tab w:val="right" w:leader="dot" w:pos="9350"/>
            </w:tabs>
            <w:rPr>
              <w:rFonts w:eastAsiaTheme="minorEastAsia" w:cstheme="minorBidi"/>
              <w:color w:val="auto"/>
              <w:sz w:val="22"/>
              <w:szCs w:val="22"/>
              <w:lang w:val="en-US" w:eastAsia="en-US"/>
            </w:rPr>
          </w:pPr>
          <w:r>
            <w:fldChar w:fldCharType="begin"/>
          </w:r>
          <w:r>
            <w:instrText xml:space="preserve"> HYPERLINK \l "_Toc147931458" </w:instrText>
          </w:r>
          <w:r>
            <w:fldChar w:fldCharType="separate"/>
          </w:r>
          <w:r>
            <w:rPr>
              <w:rStyle w:val="10"/>
            </w:rPr>
            <w:t>4.2</w:t>
          </w:r>
          <w:r>
            <w:rPr>
              <w:rFonts w:eastAsiaTheme="minorEastAsia" w:cstheme="minorBidi"/>
              <w:color w:val="auto"/>
              <w:sz w:val="22"/>
              <w:szCs w:val="22"/>
              <w:lang w:val="en-US" w:eastAsia="en-US"/>
            </w:rPr>
            <w:tab/>
          </w:r>
          <w:r>
            <w:rPr>
              <w:rStyle w:val="10"/>
            </w:rPr>
            <w:t>Date Collection Period</w:t>
          </w:r>
          <w:r>
            <w:tab/>
          </w:r>
          <w:r>
            <w:fldChar w:fldCharType="begin"/>
          </w:r>
          <w:r>
            <w:instrText xml:space="preserve"> PAGEREF _Toc147931458 \h </w:instrText>
          </w:r>
          <w:r>
            <w:fldChar w:fldCharType="separate"/>
          </w:r>
          <w:r>
            <w:t>40</w:t>
          </w:r>
          <w:r>
            <w:fldChar w:fldCharType="end"/>
          </w:r>
          <w:r>
            <w:fldChar w:fldCharType="end"/>
          </w:r>
        </w:p>
        <w:p>
          <w:pPr>
            <w:pStyle w:val="14"/>
            <w:tabs>
              <w:tab w:val="left" w:pos="880"/>
              <w:tab w:val="right" w:leader="dot" w:pos="9350"/>
            </w:tabs>
            <w:rPr>
              <w:rFonts w:eastAsiaTheme="minorEastAsia" w:cstheme="minorBidi"/>
              <w:color w:val="auto"/>
              <w:sz w:val="22"/>
              <w:szCs w:val="22"/>
              <w:lang w:val="en-US" w:eastAsia="en-US"/>
            </w:rPr>
          </w:pPr>
          <w:r>
            <w:fldChar w:fldCharType="begin"/>
          </w:r>
          <w:r>
            <w:instrText xml:space="preserve"> HYPERLINK \l "_Toc147931459" </w:instrText>
          </w:r>
          <w:r>
            <w:fldChar w:fldCharType="separate"/>
          </w:r>
          <w:r>
            <w:rPr>
              <w:rStyle w:val="10"/>
            </w:rPr>
            <w:t>4.3</w:t>
          </w:r>
          <w:r>
            <w:rPr>
              <w:rFonts w:eastAsiaTheme="minorEastAsia" w:cstheme="minorBidi"/>
              <w:color w:val="auto"/>
              <w:sz w:val="22"/>
              <w:szCs w:val="22"/>
              <w:lang w:val="en-US" w:eastAsia="en-US"/>
            </w:rPr>
            <w:tab/>
          </w:r>
          <w:r>
            <w:rPr>
              <w:rStyle w:val="10"/>
            </w:rPr>
            <w:t>Response Rate</w:t>
          </w:r>
          <w:r>
            <w:tab/>
          </w:r>
          <w:r>
            <w:fldChar w:fldCharType="begin"/>
          </w:r>
          <w:r>
            <w:instrText xml:space="preserve"> PAGEREF _Toc147931459 \h </w:instrText>
          </w:r>
          <w:r>
            <w:fldChar w:fldCharType="separate"/>
          </w:r>
          <w:r>
            <w:t>40</w:t>
          </w:r>
          <w:r>
            <w:fldChar w:fldCharType="end"/>
          </w:r>
          <w:r>
            <w:fldChar w:fldCharType="end"/>
          </w:r>
        </w:p>
        <w:p>
          <w:pPr>
            <w:pStyle w:val="14"/>
            <w:tabs>
              <w:tab w:val="left" w:pos="880"/>
              <w:tab w:val="right" w:leader="dot" w:pos="9350"/>
            </w:tabs>
            <w:rPr>
              <w:rFonts w:eastAsiaTheme="minorEastAsia" w:cstheme="minorBidi"/>
              <w:color w:val="auto"/>
              <w:sz w:val="22"/>
              <w:szCs w:val="22"/>
              <w:lang w:val="en-US" w:eastAsia="en-US"/>
            </w:rPr>
          </w:pPr>
          <w:r>
            <w:fldChar w:fldCharType="begin"/>
          </w:r>
          <w:r>
            <w:instrText xml:space="preserve"> HYPERLINK \l "_Toc147931460" </w:instrText>
          </w:r>
          <w:r>
            <w:fldChar w:fldCharType="separate"/>
          </w:r>
          <w:r>
            <w:rPr>
              <w:rStyle w:val="10"/>
            </w:rPr>
            <w:t>4.4</w:t>
          </w:r>
          <w:r>
            <w:rPr>
              <w:rFonts w:eastAsiaTheme="minorEastAsia" w:cstheme="minorBidi"/>
              <w:color w:val="auto"/>
              <w:sz w:val="22"/>
              <w:szCs w:val="22"/>
              <w:lang w:val="en-US" w:eastAsia="en-US"/>
            </w:rPr>
            <w:tab/>
          </w:r>
          <w:r>
            <w:rPr>
              <w:rStyle w:val="10"/>
            </w:rPr>
            <w:t>Data Processing</w:t>
          </w:r>
          <w:r>
            <w:tab/>
          </w:r>
          <w:r>
            <w:fldChar w:fldCharType="begin"/>
          </w:r>
          <w:r>
            <w:instrText xml:space="preserve"> PAGEREF _Toc147931460 \h </w:instrText>
          </w:r>
          <w:r>
            <w:fldChar w:fldCharType="separate"/>
          </w:r>
          <w:r>
            <w:t>41</w:t>
          </w:r>
          <w:r>
            <w:fldChar w:fldCharType="end"/>
          </w:r>
          <w:r>
            <w:fldChar w:fldCharType="end"/>
          </w:r>
        </w:p>
        <w:p>
          <w:pPr>
            <w:pStyle w:val="14"/>
            <w:tabs>
              <w:tab w:val="left" w:pos="1100"/>
              <w:tab w:val="right" w:leader="dot" w:pos="9350"/>
            </w:tabs>
            <w:rPr>
              <w:rFonts w:eastAsiaTheme="minorEastAsia" w:cstheme="minorBidi"/>
              <w:color w:val="auto"/>
              <w:sz w:val="22"/>
              <w:szCs w:val="22"/>
              <w:lang w:val="en-US" w:eastAsia="en-US"/>
            </w:rPr>
          </w:pPr>
          <w:r>
            <w:fldChar w:fldCharType="begin"/>
          </w:r>
          <w:r>
            <w:instrText xml:space="preserve"> HYPERLINK \l "_Toc147931461" </w:instrText>
          </w:r>
          <w:r>
            <w:fldChar w:fldCharType="separate"/>
          </w:r>
          <w:r>
            <w:rPr>
              <w:rStyle w:val="10"/>
            </w:rPr>
            <w:t>4.4.1</w:t>
          </w:r>
          <w:r>
            <w:rPr>
              <w:rFonts w:eastAsiaTheme="minorEastAsia" w:cstheme="minorBidi"/>
              <w:color w:val="auto"/>
              <w:sz w:val="22"/>
              <w:szCs w:val="22"/>
              <w:lang w:val="en-US" w:eastAsia="en-US"/>
            </w:rPr>
            <w:tab/>
          </w:r>
          <w:r>
            <w:rPr>
              <w:rStyle w:val="10"/>
            </w:rPr>
            <w:t>Missing values</w:t>
          </w:r>
          <w:r>
            <w:tab/>
          </w:r>
          <w:r>
            <w:fldChar w:fldCharType="begin"/>
          </w:r>
          <w:r>
            <w:instrText xml:space="preserve"> PAGEREF _Toc147931461 \h </w:instrText>
          </w:r>
          <w:r>
            <w:fldChar w:fldCharType="separate"/>
          </w:r>
          <w:r>
            <w:t>41</w:t>
          </w:r>
          <w:r>
            <w:fldChar w:fldCharType="end"/>
          </w:r>
          <w:r>
            <w:fldChar w:fldCharType="end"/>
          </w:r>
        </w:p>
        <w:p>
          <w:pPr>
            <w:pStyle w:val="14"/>
            <w:tabs>
              <w:tab w:val="left" w:pos="880"/>
              <w:tab w:val="right" w:leader="dot" w:pos="9350"/>
            </w:tabs>
            <w:rPr>
              <w:rFonts w:eastAsiaTheme="minorEastAsia" w:cstheme="minorBidi"/>
              <w:color w:val="auto"/>
              <w:sz w:val="22"/>
              <w:szCs w:val="22"/>
              <w:lang w:val="en-US" w:eastAsia="en-US"/>
            </w:rPr>
          </w:pPr>
          <w:r>
            <w:fldChar w:fldCharType="begin"/>
          </w:r>
          <w:r>
            <w:instrText xml:space="preserve"> HYPERLINK \l "_Toc147931462" </w:instrText>
          </w:r>
          <w:r>
            <w:fldChar w:fldCharType="separate"/>
          </w:r>
          <w:r>
            <w:rPr>
              <w:rStyle w:val="10"/>
            </w:rPr>
            <w:t>4.5</w:t>
          </w:r>
          <w:r>
            <w:rPr>
              <w:rFonts w:eastAsiaTheme="minorEastAsia" w:cstheme="minorBidi"/>
              <w:color w:val="auto"/>
              <w:sz w:val="22"/>
              <w:szCs w:val="22"/>
              <w:lang w:val="en-US" w:eastAsia="en-US"/>
            </w:rPr>
            <w:tab/>
          </w:r>
          <w:r>
            <w:rPr>
              <w:rStyle w:val="10"/>
            </w:rPr>
            <w:t>Demographic Analysis</w:t>
          </w:r>
          <w:r>
            <w:tab/>
          </w:r>
          <w:r>
            <w:fldChar w:fldCharType="begin"/>
          </w:r>
          <w:r>
            <w:instrText xml:space="preserve"> PAGEREF _Toc147931462 \h </w:instrText>
          </w:r>
          <w:r>
            <w:fldChar w:fldCharType="separate"/>
          </w:r>
          <w:r>
            <w:t>41</w:t>
          </w:r>
          <w:r>
            <w:fldChar w:fldCharType="end"/>
          </w:r>
          <w:r>
            <w:fldChar w:fldCharType="end"/>
          </w:r>
        </w:p>
        <w:p>
          <w:pPr>
            <w:pStyle w:val="14"/>
            <w:tabs>
              <w:tab w:val="left" w:pos="880"/>
              <w:tab w:val="right" w:leader="dot" w:pos="9350"/>
            </w:tabs>
            <w:rPr>
              <w:rFonts w:eastAsiaTheme="minorEastAsia" w:cstheme="minorBidi"/>
              <w:color w:val="auto"/>
              <w:sz w:val="22"/>
              <w:szCs w:val="22"/>
              <w:lang w:val="en-US" w:eastAsia="en-US"/>
            </w:rPr>
          </w:pPr>
          <w:r>
            <w:fldChar w:fldCharType="begin"/>
          </w:r>
          <w:r>
            <w:instrText xml:space="preserve"> HYPERLINK \l "_Toc147931463" </w:instrText>
          </w:r>
          <w:r>
            <w:fldChar w:fldCharType="separate"/>
          </w:r>
          <w:r>
            <w:rPr>
              <w:rStyle w:val="10"/>
            </w:rPr>
            <w:t>4.6</w:t>
          </w:r>
          <w:r>
            <w:rPr>
              <w:rFonts w:eastAsiaTheme="minorEastAsia" w:cstheme="minorBidi"/>
              <w:color w:val="auto"/>
              <w:sz w:val="22"/>
              <w:szCs w:val="22"/>
              <w:lang w:val="en-US" w:eastAsia="en-US"/>
            </w:rPr>
            <w:tab/>
          </w:r>
          <w:r>
            <w:rPr>
              <w:rStyle w:val="10"/>
            </w:rPr>
            <w:t>Frequency and distribution:</w:t>
          </w:r>
          <w:r>
            <w:tab/>
          </w:r>
          <w:r>
            <w:fldChar w:fldCharType="begin"/>
          </w:r>
          <w:r>
            <w:instrText xml:space="preserve"> PAGEREF _Toc147931463 \h </w:instrText>
          </w:r>
          <w:r>
            <w:fldChar w:fldCharType="separate"/>
          </w:r>
          <w:r>
            <w:t>47</w:t>
          </w:r>
          <w:r>
            <w:fldChar w:fldCharType="end"/>
          </w:r>
          <w:r>
            <w:fldChar w:fldCharType="end"/>
          </w:r>
        </w:p>
        <w:p>
          <w:pPr>
            <w:pStyle w:val="14"/>
            <w:tabs>
              <w:tab w:val="left" w:pos="880"/>
              <w:tab w:val="right" w:leader="dot" w:pos="9350"/>
            </w:tabs>
            <w:rPr>
              <w:rFonts w:eastAsiaTheme="minorEastAsia" w:cstheme="minorBidi"/>
              <w:color w:val="auto"/>
              <w:sz w:val="22"/>
              <w:szCs w:val="22"/>
              <w:lang w:val="en-US" w:eastAsia="en-US"/>
            </w:rPr>
          </w:pPr>
          <w:r>
            <w:fldChar w:fldCharType="begin"/>
          </w:r>
          <w:r>
            <w:instrText xml:space="preserve"> HYPERLINK \l "_Toc147931464" </w:instrText>
          </w:r>
          <w:r>
            <w:fldChar w:fldCharType="separate"/>
          </w:r>
          <w:r>
            <w:rPr>
              <w:rStyle w:val="10"/>
            </w:rPr>
            <w:t>4.7</w:t>
          </w:r>
          <w:r>
            <w:rPr>
              <w:rFonts w:eastAsiaTheme="minorEastAsia" w:cstheme="minorBidi"/>
              <w:color w:val="auto"/>
              <w:sz w:val="22"/>
              <w:szCs w:val="22"/>
              <w:lang w:val="en-US" w:eastAsia="en-US"/>
            </w:rPr>
            <w:tab/>
          </w:r>
          <w:r>
            <w:rPr>
              <w:rStyle w:val="10"/>
            </w:rPr>
            <w:t>Descriptive Statistics</w:t>
          </w:r>
          <w:r>
            <w:tab/>
          </w:r>
          <w:r>
            <w:fldChar w:fldCharType="begin"/>
          </w:r>
          <w:r>
            <w:instrText xml:space="preserve"> PAGEREF _Toc147931464 \h </w:instrText>
          </w:r>
          <w:r>
            <w:fldChar w:fldCharType="separate"/>
          </w:r>
          <w:r>
            <w:t>62</w:t>
          </w:r>
          <w:r>
            <w:fldChar w:fldCharType="end"/>
          </w:r>
          <w:r>
            <w:fldChar w:fldCharType="end"/>
          </w:r>
        </w:p>
        <w:p>
          <w:pPr>
            <w:pStyle w:val="14"/>
            <w:tabs>
              <w:tab w:val="left" w:pos="880"/>
              <w:tab w:val="right" w:leader="dot" w:pos="9350"/>
            </w:tabs>
            <w:rPr>
              <w:rFonts w:eastAsiaTheme="minorEastAsia" w:cstheme="minorBidi"/>
              <w:color w:val="auto"/>
              <w:sz w:val="22"/>
              <w:szCs w:val="22"/>
              <w:lang w:val="en-US" w:eastAsia="en-US"/>
            </w:rPr>
          </w:pPr>
          <w:r>
            <w:fldChar w:fldCharType="begin"/>
          </w:r>
          <w:r>
            <w:instrText xml:space="preserve"> HYPERLINK \l "_Toc147931465" </w:instrText>
          </w:r>
          <w:r>
            <w:fldChar w:fldCharType="separate"/>
          </w:r>
          <w:r>
            <w:rPr>
              <w:rStyle w:val="10"/>
            </w:rPr>
            <w:t>4.8</w:t>
          </w:r>
          <w:r>
            <w:rPr>
              <w:rFonts w:eastAsiaTheme="minorEastAsia" w:cstheme="minorBidi"/>
              <w:color w:val="auto"/>
              <w:sz w:val="22"/>
              <w:szCs w:val="22"/>
              <w:lang w:val="en-US" w:eastAsia="en-US"/>
            </w:rPr>
            <w:tab/>
          </w:r>
          <w:r>
            <w:rPr>
              <w:rStyle w:val="10"/>
            </w:rPr>
            <w:t>Reliability Analysis</w:t>
          </w:r>
          <w:r>
            <w:tab/>
          </w:r>
          <w:r>
            <w:fldChar w:fldCharType="begin"/>
          </w:r>
          <w:r>
            <w:instrText xml:space="preserve"> PAGEREF _Toc147931465 \h </w:instrText>
          </w:r>
          <w:r>
            <w:fldChar w:fldCharType="separate"/>
          </w:r>
          <w:r>
            <w:t>64</w:t>
          </w:r>
          <w:r>
            <w:fldChar w:fldCharType="end"/>
          </w:r>
          <w:r>
            <w:fldChar w:fldCharType="end"/>
          </w:r>
        </w:p>
        <w:p>
          <w:pPr>
            <w:pStyle w:val="14"/>
            <w:tabs>
              <w:tab w:val="left" w:pos="880"/>
              <w:tab w:val="right" w:leader="dot" w:pos="9350"/>
            </w:tabs>
            <w:rPr>
              <w:rFonts w:eastAsiaTheme="minorEastAsia" w:cstheme="minorBidi"/>
              <w:color w:val="auto"/>
              <w:sz w:val="22"/>
              <w:szCs w:val="22"/>
              <w:lang w:val="en-US" w:eastAsia="en-US"/>
            </w:rPr>
          </w:pPr>
          <w:r>
            <w:fldChar w:fldCharType="begin"/>
          </w:r>
          <w:r>
            <w:instrText xml:space="preserve"> HYPERLINK \l "_Toc147931466" </w:instrText>
          </w:r>
          <w:r>
            <w:fldChar w:fldCharType="separate"/>
          </w:r>
          <w:r>
            <w:rPr>
              <w:rStyle w:val="10"/>
            </w:rPr>
            <w:t>4.9</w:t>
          </w:r>
          <w:r>
            <w:rPr>
              <w:rFonts w:eastAsiaTheme="minorEastAsia" w:cstheme="minorBidi"/>
              <w:color w:val="auto"/>
              <w:sz w:val="22"/>
              <w:szCs w:val="22"/>
              <w:lang w:val="en-US" w:eastAsia="en-US"/>
            </w:rPr>
            <w:tab/>
          </w:r>
          <w:r>
            <w:rPr>
              <w:rStyle w:val="10"/>
            </w:rPr>
            <w:t>Correlation Analysis</w:t>
          </w:r>
          <w:r>
            <w:tab/>
          </w:r>
          <w:r>
            <w:fldChar w:fldCharType="begin"/>
          </w:r>
          <w:r>
            <w:instrText xml:space="preserve"> PAGEREF _Toc147931466 \h </w:instrText>
          </w:r>
          <w:r>
            <w:fldChar w:fldCharType="separate"/>
          </w:r>
          <w:r>
            <w:t>65</w:t>
          </w:r>
          <w:r>
            <w:fldChar w:fldCharType="end"/>
          </w:r>
          <w:r>
            <w:fldChar w:fldCharType="end"/>
          </w:r>
        </w:p>
        <w:p>
          <w:pPr>
            <w:pStyle w:val="14"/>
            <w:tabs>
              <w:tab w:val="left" w:pos="1100"/>
              <w:tab w:val="right" w:leader="dot" w:pos="9350"/>
            </w:tabs>
            <w:rPr>
              <w:rFonts w:eastAsiaTheme="minorEastAsia" w:cstheme="minorBidi"/>
              <w:color w:val="auto"/>
              <w:sz w:val="22"/>
              <w:szCs w:val="22"/>
              <w:lang w:val="en-US" w:eastAsia="en-US"/>
            </w:rPr>
          </w:pPr>
          <w:r>
            <w:fldChar w:fldCharType="begin"/>
          </w:r>
          <w:r>
            <w:instrText xml:space="preserve"> HYPERLINK \l "_Toc147931467" </w:instrText>
          </w:r>
          <w:r>
            <w:fldChar w:fldCharType="separate"/>
          </w:r>
          <w:r>
            <w:rPr>
              <w:rStyle w:val="10"/>
            </w:rPr>
            <w:t>4.10</w:t>
          </w:r>
          <w:r>
            <w:rPr>
              <w:rFonts w:eastAsiaTheme="minorEastAsia" w:cstheme="minorBidi"/>
              <w:color w:val="auto"/>
              <w:sz w:val="22"/>
              <w:szCs w:val="22"/>
              <w:lang w:val="en-US" w:eastAsia="en-US"/>
            </w:rPr>
            <w:tab/>
          </w:r>
          <w:r>
            <w:rPr>
              <w:rStyle w:val="10"/>
            </w:rPr>
            <w:t>Hypotheses Testing</w:t>
          </w:r>
          <w:r>
            <w:tab/>
          </w:r>
          <w:r>
            <w:fldChar w:fldCharType="begin"/>
          </w:r>
          <w:r>
            <w:instrText xml:space="preserve"> PAGEREF _Toc147931467 \h </w:instrText>
          </w:r>
          <w:r>
            <w:fldChar w:fldCharType="separate"/>
          </w:r>
          <w:r>
            <w:t>67</w:t>
          </w:r>
          <w:r>
            <w:fldChar w:fldCharType="end"/>
          </w:r>
          <w:r>
            <w:fldChar w:fldCharType="end"/>
          </w:r>
        </w:p>
        <w:p>
          <w:pPr>
            <w:pStyle w:val="13"/>
            <w:tabs>
              <w:tab w:val="right" w:leader="dot" w:pos="9350"/>
            </w:tabs>
            <w:rPr>
              <w:rFonts w:eastAsiaTheme="minorEastAsia" w:cstheme="minorBidi"/>
              <w:color w:val="auto"/>
              <w:sz w:val="22"/>
              <w:szCs w:val="22"/>
              <w:lang w:val="en-US" w:eastAsia="en-US"/>
            </w:rPr>
          </w:pPr>
          <w:r>
            <w:fldChar w:fldCharType="begin"/>
          </w:r>
          <w:r>
            <w:instrText xml:space="preserve"> HYPERLINK \l "_Toc147931468" </w:instrText>
          </w:r>
          <w:r>
            <w:fldChar w:fldCharType="separate"/>
          </w:r>
          <w:r>
            <w:rPr>
              <w:rStyle w:val="10"/>
            </w:rPr>
            <w:t>CHAPTER # 5 DISCUSSION &amp; CONCLUISON</w:t>
          </w:r>
          <w:r>
            <w:tab/>
          </w:r>
          <w:r>
            <w:fldChar w:fldCharType="begin"/>
          </w:r>
          <w:r>
            <w:instrText xml:space="preserve"> PAGEREF _Toc147931468 \h </w:instrText>
          </w:r>
          <w:r>
            <w:fldChar w:fldCharType="separate"/>
          </w:r>
          <w:r>
            <w:t>69</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"_Toc147931469" </w:instrText>
          </w:r>
          <w:r>
            <w:fldChar w:fldCharType="separate"/>
          </w:r>
          <w:r>
            <w:rPr>
              <w:rStyle w:val="10"/>
            </w:rPr>
            <w:t>5.1 Introduction:</w:t>
          </w:r>
          <w:r>
            <w:tab/>
          </w:r>
          <w:r>
            <w:fldChar w:fldCharType="begin"/>
          </w:r>
          <w:r>
            <w:instrText xml:space="preserve"> PAGEREF _Toc147931469 \h </w:instrText>
          </w:r>
          <w:r>
            <w:fldChar w:fldCharType="separate"/>
          </w:r>
          <w:r>
            <w:t>69</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"_Toc147931470" </w:instrText>
          </w:r>
          <w:r>
            <w:fldChar w:fldCharType="separate"/>
          </w:r>
          <w:r>
            <w:rPr>
              <w:rStyle w:val="10"/>
            </w:rPr>
            <w:t>5.2 Discussions:</w:t>
          </w:r>
          <w:r>
            <w:tab/>
          </w:r>
          <w:r>
            <w:fldChar w:fldCharType="begin"/>
          </w:r>
          <w:r>
            <w:instrText xml:space="preserve"> PAGEREF _Toc147931470 \h </w:instrText>
          </w:r>
          <w:r>
            <w:fldChar w:fldCharType="separate"/>
          </w:r>
          <w:r>
            <w:t>69</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"_Toc147931471" </w:instrText>
          </w:r>
          <w:r>
            <w:fldChar w:fldCharType="separate"/>
          </w:r>
          <w:r>
            <w:rPr>
              <w:rStyle w:val="10"/>
            </w:rPr>
            <w:t>5.2.1 Brand image and Brand loyalty</w:t>
          </w:r>
          <w:r>
            <w:tab/>
          </w:r>
          <w:r>
            <w:fldChar w:fldCharType="begin"/>
          </w:r>
          <w:r>
            <w:instrText xml:space="preserve"> PAGEREF _Toc147931471 \h </w:instrText>
          </w:r>
          <w:r>
            <w:fldChar w:fldCharType="separate"/>
          </w:r>
          <w:r>
            <w:t>69</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"_Toc147931473" </w:instrText>
          </w:r>
          <w:r>
            <w:fldChar w:fldCharType="separate"/>
          </w:r>
          <w:r>
            <w:rPr>
              <w:rStyle w:val="10"/>
            </w:rPr>
            <w:t>5.2.2 Brand image and Buyer’s intention:</w:t>
          </w:r>
          <w:r>
            <w:tab/>
          </w:r>
          <w:r>
            <w:fldChar w:fldCharType="begin"/>
          </w:r>
          <w:r>
            <w:instrText xml:space="preserve"> PAGEREF _Toc147931473 \h </w:instrText>
          </w:r>
          <w:r>
            <w:fldChar w:fldCharType="separate"/>
          </w:r>
          <w:r>
            <w:t>69</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"_Toc147931474" </w:instrText>
          </w:r>
          <w:r>
            <w:fldChar w:fldCharType="separate"/>
          </w:r>
          <w:r>
            <w:rPr>
              <w:rStyle w:val="10"/>
            </w:rPr>
            <w:t>5.2.3 Brand image and Customer trust:</w:t>
          </w:r>
          <w:r>
            <w:tab/>
          </w:r>
          <w:r>
            <w:fldChar w:fldCharType="begin"/>
          </w:r>
          <w:r>
            <w:instrText xml:space="preserve"> PAGEREF _Toc147931474 \h </w:instrText>
          </w:r>
          <w:r>
            <w:fldChar w:fldCharType="separate"/>
          </w:r>
          <w:r>
            <w:t>70</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"_Toc147931475" </w:instrText>
          </w:r>
          <w:r>
            <w:fldChar w:fldCharType="separate"/>
          </w:r>
          <w:r>
            <w:rPr>
              <w:rStyle w:val="10"/>
            </w:rPr>
            <w:t>5.2.4 Brand image and Customer experience</w:t>
          </w:r>
          <w:r>
            <w:tab/>
          </w:r>
          <w:r>
            <w:fldChar w:fldCharType="begin"/>
          </w:r>
          <w:r>
            <w:instrText xml:space="preserve"> PAGEREF _Toc147931475 \h </w:instrText>
          </w:r>
          <w:r>
            <w:fldChar w:fldCharType="separate"/>
          </w:r>
          <w:r>
            <w:t>71</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"_Toc147931476" </w:instrText>
          </w:r>
          <w:r>
            <w:fldChar w:fldCharType="separate"/>
          </w:r>
          <w:r>
            <w:rPr>
              <w:rStyle w:val="10"/>
            </w:rPr>
            <w:t>5.3 Implications</w:t>
          </w:r>
          <w:r>
            <w:tab/>
          </w:r>
          <w:r>
            <w:fldChar w:fldCharType="begin"/>
          </w:r>
          <w:r>
            <w:instrText xml:space="preserve"> PAGEREF _Toc147931476 \h </w:instrText>
          </w:r>
          <w:r>
            <w:fldChar w:fldCharType="separate"/>
          </w:r>
          <w:r>
            <w:t>71</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"_Toc147931477" </w:instrText>
          </w:r>
          <w:r>
            <w:fldChar w:fldCharType="separate"/>
          </w:r>
          <w:r>
            <w:rPr>
              <w:rStyle w:val="10"/>
            </w:rPr>
            <w:t>5.3.1 Theoretical implications:</w:t>
          </w:r>
          <w:r>
            <w:tab/>
          </w:r>
          <w:r>
            <w:fldChar w:fldCharType="begin"/>
          </w:r>
          <w:r>
            <w:instrText xml:space="preserve"> PAGEREF _Toc147931477 \h </w:instrText>
          </w:r>
          <w:r>
            <w:fldChar w:fldCharType="separate"/>
          </w:r>
          <w:r>
            <w:t>71</w:t>
          </w:r>
          <w:r>
            <w:fldChar w:fldCharType="end"/>
          </w:r>
          <w:r>
            <w:fldChar w:fldCharType="end"/>
          </w:r>
        </w:p>
        <w:p>
          <w:pPr>
            <w:pStyle w:val="15"/>
            <w:tabs>
              <w:tab w:val="right" w:leader="dot" w:pos="9350"/>
            </w:tabs>
            <w:rPr>
              <w:rFonts w:eastAsiaTheme="minorEastAsia" w:cstheme="minorBidi"/>
              <w:color w:val="auto"/>
              <w:sz w:val="22"/>
              <w:szCs w:val="22"/>
              <w:lang w:val="en-US" w:eastAsia="en-US"/>
            </w:rPr>
          </w:pPr>
          <w:r>
            <w:fldChar w:fldCharType="begin"/>
          </w:r>
          <w:r>
            <w:instrText xml:space="preserve"> HYPERLINK \l "_Toc147931478" </w:instrText>
          </w:r>
          <w:r>
            <w:fldChar w:fldCharType="separate"/>
          </w:r>
          <w:r>
            <w:rPr>
              <w:rStyle w:val="10"/>
            </w:rPr>
            <w:t>5.3.2 Practical implications:</w:t>
          </w:r>
          <w:r>
            <w:tab/>
          </w:r>
          <w:r>
            <w:fldChar w:fldCharType="begin"/>
          </w:r>
          <w:r>
            <w:instrText xml:space="preserve"> PAGEREF _Toc147931478 \h </w:instrText>
          </w:r>
          <w:r>
            <w:fldChar w:fldCharType="separate"/>
          </w:r>
          <w:r>
            <w:t>72</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"_Toc147931479" </w:instrText>
          </w:r>
          <w:r>
            <w:fldChar w:fldCharType="separate"/>
          </w:r>
          <w:r>
            <w:rPr>
              <w:rStyle w:val="10"/>
            </w:rPr>
            <w:t>5.4 Future guidelines:</w:t>
          </w:r>
          <w:r>
            <w:tab/>
          </w:r>
          <w:r>
            <w:fldChar w:fldCharType="begin"/>
          </w:r>
          <w:r>
            <w:instrText xml:space="preserve"> PAGEREF _Toc147931479 \h </w:instrText>
          </w:r>
          <w:r>
            <w:fldChar w:fldCharType="separate"/>
          </w:r>
          <w:r>
            <w:t>73</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"_Toc147931480" </w:instrText>
          </w:r>
          <w:r>
            <w:fldChar w:fldCharType="separate"/>
          </w:r>
          <w:r>
            <w:rPr>
              <w:rStyle w:val="10"/>
            </w:rPr>
            <w:t>5.5 Limitations:</w:t>
          </w:r>
          <w:r>
            <w:tab/>
          </w:r>
          <w:r>
            <w:fldChar w:fldCharType="begin"/>
          </w:r>
          <w:r>
            <w:instrText xml:space="preserve"> PAGEREF _Toc147931480 \h </w:instrText>
          </w:r>
          <w:r>
            <w:fldChar w:fldCharType="separate"/>
          </w:r>
          <w:r>
            <w:t>74</w:t>
          </w:r>
          <w:r>
            <w:fldChar w:fldCharType="end"/>
          </w:r>
          <w:r>
            <w:fldChar w:fldCharType="end"/>
          </w:r>
        </w:p>
        <w:p>
          <w:pPr>
            <w:pStyle w:val="14"/>
            <w:tabs>
              <w:tab w:val="right" w:leader="dot" w:pos="9350"/>
            </w:tabs>
            <w:rPr>
              <w:rFonts w:eastAsiaTheme="minorEastAsia" w:cstheme="minorBidi"/>
              <w:color w:val="auto"/>
              <w:sz w:val="22"/>
              <w:szCs w:val="22"/>
              <w:lang w:val="en-US" w:eastAsia="en-US"/>
            </w:rPr>
          </w:pPr>
          <w:r>
            <w:fldChar w:fldCharType="begin"/>
          </w:r>
          <w:r>
            <w:instrText xml:space="preserve"> HYPERLINK \l "_Toc147931481" </w:instrText>
          </w:r>
          <w:r>
            <w:fldChar w:fldCharType="separate"/>
          </w:r>
          <w:r>
            <w:rPr>
              <w:rStyle w:val="10"/>
            </w:rPr>
            <w:t>5.6 Conclusions:</w:t>
          </w:r>
          <w:r>
            <w:tab/>
          </w:r>
          <w:r>
            <w:fldChar w:fldCharType="begin"/>
          </w:r>
          <w:r>
            <w:instrText xml:space="preserve"> PAGEREF _Toc147931481 \h </w:instrText>
          </w:r>
          <w:r>
            <w:fldChar w:fldCharType="separate"/>
          </w:r>
          <w:r>
            <w:t>74</w:t>
          </w:r>
          <w:r>
            <w:fldChar w:fldCharType="end"/>
          </w:r>
          <w:r>
            <w:fldChar w:fldCharType="end"/>
          </w:r>
        </w:p>
        <w:p>
          <w:pPr>
            <w:pStyle w:val="13"/>
            <w:tabs>
              <w:tab w:val="right" w:leader="dot" w:pos="9350"/>
            </w:tabs>
            <w:rPr>
              <w:rFonts w:eastAsiaTheme="minorEastAsia" w:cstheme="minorBidi"/>
              <w:color w:val="auto"/>
              <w:sz w:val="22"/>
              <w:szCs w:val="22"/>
              <w:lang w:val="en-US" w:eastAsia="en-US"/>
            </w:rPr>
          </w:pPr>
          <w:r>
            <w:fldChar w:fldCharType="begin"/>
          </w:r>
          <w:r>
            <w:instrText xml:space="preserve"> HYPERLINK \l "_Toc147931482" </w:instrText>
          </w:r>
          <w:r>
            <w:fldChar w:fldCharType="separate"/>
          </w:r>
          <w:r>
            <w:rPr>
              <w:rStyle w:val="10"/>
            </w:rPr>
            <w:t>References:</w:t>
          </w:r>
          <w:r>
            <w:tab/>
          </w:r>
          <w:r>
            <w:fldChar w:fldCharType="begin"/>
          </w:r>
          <w:r>
            <w:instrText xml:space="preserve"> PAGEREF _Toc147931482 \h </w:instrText>
          </w:r>
          <w:r>
            <w:fldChar w:fldCharType="separate"/>
          </w:r>
          <w:r>
            <w:t>76</w:t>
          </w:r>
          <w:r>
            <w:fldChar w:fldCharType="end"/>
          </w:r>
          <w:r>
            <w:fldChar w:fldCharType="end"/>
          </w:r>
        </w:p>
        <w:p>
          <w:pPr>
            <w:pStyle w:val="13"/>
            <w:tabs>
              <w:tab w:val="right" w:leader="dot" w:pos="9350"/>
            </w:tabs>
            <w:rPr>
              <w:rFonts w:eastAsiaTheme="minorEastAsia" w:cstheme="minorBidi"/>
              <w:color w:val="auto"/>
              <w:sz w:val="22"/>
              <w:szCs w:val="22"/>
              <w:lang w:val="en-US" w:eastAsia="en-US"/>
            </w:rPr>
          </w:pPr>
          <w:r>
            <w:fldChar w:fldCharType="begin"/>
          </w:r>
          <w:r>
            <w:instrText xml:space="preserve"> HYPERLINK \l "_Toc147931483" </w:instrText>
          </w:r>
          <w:r>
            <w:fldChar w:fldCharType="separate"/>
          </w:r>
          <w:r>
            <w:rPr>
              <w:rStyle w:val="10"/>
              <w:shd w:val="clear" w:color="auto" w:fill="FFFFFF"/>
            </w:rPr>
            <w:t>APPENDIX- QUESTIONNAIRE</w:t>
          </w:r>
          <w:r>
            <w:tab/>
          </w:r>
          <w:r>
            <w:fldChar w:fldCharType="begin"/>
          </w:r>
          <w:r>
            <w:instrText xml:space="preserve"> PAGEREF _Toc147931483 \h </w:instrText>
          </w:r>
          <w:r>
            <w:fldChar w:fldCharType="separate"/>
          </w:r>
          <w:r>
            <w:t>92</w:t>
          </w:r>
          <w:r>
            <w:fldChar w:fldCharType="end"/>
          </w:r>
          <w:r>
            <w:fldChar w:fldCharType="end"/>
          </w:r>
        </w:p>
        <w:p>
          <w:r>
            <w:rPr>
              <w:b/>
              <w:bCs/>
            </w:rPr>
            <w:fldChar w:fldCharType="end"/>
          </w:r>
        </w:p>
      </w:sdtContent>
    </w:sdt>
    <w:p>
      <w:pPr>
        <w:spacing w:before="0" w:after="160" w:line="259" w:lineRule="auto"/>
        <w:rPr>
          <w:rFonts w:eastAsiaTheme="majorEastAsia"/>
          <w:b/>
          <w:bCs/>
          <w:color w:val="auto"/>
          <w:sz w:val="28"/>
          <w:szCs w:val="28"/>
        </w:rPr>
      </w:pPr>
      <w:r>
        <w:br w:type="page"/>
      </w:r>
    </w:p>
    <w:p>
      <w:pPr>
        <w:pStyle w:val="2"/>
      </w:pPr>
      <w:bookmarkStart w:id="3" w:name="_Toc147931413"/>
      <w:r>
        <w:t>List of tables</w:t>
      </w:r>
      <w:bookmarkEnd w:id="3"/>
    </w:p>
    <w:p>
      <w:pPr>
        <w:pStyle w:val="12"/>
        <w:tabs>
          <w:tab w:val="right" w:leader="dot" w:pos="9350"/>
        </w:tabs>
      </w:pPr>
      <w:r>
        <w:fldChar w:fldCharType="begin"/>
      </w:r>
      <w:r>
        <w:instrText xml:space="preserve"> TOC \h \z \c "Table" </w:instrText>
      </w:r>
      <w:r>
        <w:fldChar w:fldCharType="separate"/>
      </w:r>
      <w:r>
        <w:fldChar w:fldCharType="begin"/>
      </w:r>
      <w:r>
        <w:instrText xml:space="preserve"> HYPERLINK \l "_Toc147438057" </w:instrText>
      </w:r>
      <w:r>
        <w:fldChar w:fldCharType="separate"/>
      </w:r>
      <w:r>
        <w:rPr>
          <w:rStyle w:val="10"/>
          <w:rFonts w:eastAsiaTheme="majorEastAsia"/>
          <w:b/>
          <w:bCs/>
        </w:rPr>
        <w:t>Table 1</w:t>
      </w:r>
      <w:r>
        <w:rPr>
          <w:rStyle w:val="10"/>
          <w:rFonts w:eastAsiaTheme="majorEastAsia"/>
          <w:b/>
          <w:bCs/>
          <w:lang w:val="en-US"/>
        </w:rPr>
        <w:t>: Response Rate</w:t>
      </w:r>
      <w:r>
        <w:tab/>
      </w:r>
      <w:r>
        <w:fldChar w:fldCharType="begin"/>
      </w:r>
      <w:r>
        <w:instrText xml:space="preserve"> PAGEREF _Toc147438057 \h </w:instrText>
      </w:r>
      <w:r>
        <w:fldChar w:fldCharType="separate"/>
      </w:r>
      <w:r>
        <w:t>33</w:t>
      </w:r>
      <w:r>
        <w:fldChar w:fldCharType="end"/>
      </w:r>
      <w:r>
        <w:fldChar w:fldCharType="end"/>
      </w:r>
    </w:p>
    <w:p>
      <w:pPr>
        <w:pStyle w:val="12"/>
        <w:tabs>
          <w:tab w:val="right" w:leader="dot" w:pos="9350"/>
        </w:tabs>
      </w:pPr>
      <w:r>
        <w:fldChar w:fldCharType="begin"/>
      </w:r>
      <w:r>
        <w:instrText xml:space="preserve"> HYPERLINK \l "_Toc147438058" </w:instrText>
      </w:r>
      <w:r>
        <w:fldChar w:fldCharType="separate"/>
      </w:r>
      <w:r>
        <w:rPr>
          <w:rStyle w:val="10"/>
          <w:rFonts w:eastAsiaTheme="majorEastAsia"/>
          <w:b/>
          <w:bCs/>
        </w:rPr>
        <w:t>Table 2</w:t>
      </w:r>
      <w:r>
        <w:rPr>
          <w:rStyle w:val="10"/>
          <w:rFonts w:eastAsiaTheme="majorEastAsia"/>
          <w:b/>
          <w:bCs/>
          <w:lang w:val="en-US"/>
        </w:rPr>
        <w:t>: Gender</w:t>
      </w:r>
      <w:r>
        <w:tab/>
      </w:r>
      <w:r>
        <w:fldChar w:fldCharType="begin"/>
      </w:r>
      <w:r>
        <w:instrText xml:space="preserve"> PAGEREF _Toc147438058 \h </w:instrText>
      </w:r>
      <w:r>
        <w:fldChar w:fldCharType="separate"/>
      </w:r>
      <w:r>
        <w:t>34</w:t>
      </w:r>
      <w:r>
        <w:fldChar w:fldCharType="end"/>
      </w:r>
      <w:r>
        <w:fldChar w:fldCharType="end"/>
      </w:r>
    </w:p>
    <w:p>
      <w:pPr>
        <w:pStyle w:val="12"/>
        <w:tabs>
          <w:tab w:val="right" w:leader="dot" w:pos="9350"/>
        </w:tabs>
      </w:pPr>
      <w:r>
        <w:fldChar w:fldCharType="begin"/>
      </w:r>
      <w:r>
        <w:instrText xml:space="preserve"> HYPERLINK \l "_Toc147438059" </w:instrText>
      </w:r>
      <w:r>
        <w:fldChar w:fldCharType="separate"/>
      </w:r>
      <w:r>
        <w:rPr>
          <w:rStyle w:val="10"/>
          <w:rFonts w:eastAsiaTheme="majorEastAsia"/>
        </w:rPr>
        <w:t>Table 3</w:t>
      </w:r>
      <w:r>
        <w:rPr>
          <w:rStyle w:val="10"/>
          <w:rFonts w:eastAsiaTheme="majorEastAsia"/>
          <w:lang w:val="en-US"/>
        </w:rPr>
        <w:t xml:space="preserve"> Age:</w:t>
      </w:r>
      <w:r>
        <w:tab/>
      </w:r>
      <w:r>
        <w:fldChar w:fldCharType="begin"/>
      </w:r>
      <w:r>
        <w:instrText xml:space="preserve"> PAGEREF _Toc147438059 \h </w:instrText>
      </w:r>
      <w:r>
        <w:fldChar w:fldCharType="separate"/>
      </w:r>
      <w:r>
        <w:t>35</w:t>
      </w:r>
      <w:r>
        <w:fldChar w:fldCharType="end"/>
      </w:r>
      <w:r>
        <w:fldChar w:fldCharType="end"/>
      </w:r>
    </w:p>
    <w:p>
      <w:pPr>
        <w:pStyle w:val="12"/>
        <w:tabs>
          <w:tab w:val="right" w:leader="dot" w:pos="9350"/>
        </w:tabs>
      </w:pPr>
      <w:r>
        <w:fldChar w:fldCharType="begin"/>
      </w:r>
      <w:r>
        <w:instrText xml:space="preserve"> HYPERLINK \l "_Toc147438060" </w:instrText>
      </w:r>
      <w:r>
        <w:fldChar w:fldCharType="separate"/>
      </w:r>
      <w:r>
        <w:rPr>
          <w:rStyle w:val="10"/>
          <w:rFonts w:eastAsiaTheme="majorEastAsia"/>
        </w:rPr>
        <w:t>Table 4</w:t>
      </w:r>
      <w:r>
        <w:rPr>
          <w:rStyle w:val="10"/>
          <w:rFonts w:eastAsiaTheme="majorEastAsia"/>
          <w:lang w:val="en-US"/>
        </w:rPr>
        <w:t>: Education</w:t>
      </w:r>
      <w:r>
        <w:tab/>
      </w:r>
      <w:r>
        <w:fldChar w:fldCharType="begin"/>
      </w:r>
      <w:r>
        <w:instrText xml:space="preserve"> PAGEREF _Toc147438060 \h </w:instrText>
      </w:r>
      <w:r>
        <w:fldChar w:fldCharType="separate"/>
      </w:r>
      <w:r>
        <w:t>37</w:t>
      </w:r>
      <w:r>
        <w:fldChar w:fldCharType="end"/>
      </w:r>
      <w:r>
        <w:fldChar w:fldCharType="end"/>
      </w:r>
    </w:p>
    <w:p>
      <w:pPr>
        <w:pStyle w:val="12"/>
        <w:tabs>
          <w:tab w:val="right" w:leader="dot" w:pos="9350"/>
        </w:tabs>
      </w:pPr>
      <w:r>
        <w:fldChar w:fldCharType="begin"/>
      </w:r>
      <w:r>
        <w:instrText xml:space="preserve"> HYPERLINK \l "_Toc147438061" </w:instrText>
      </w:r>
      <w:r>
        <w:fldChar w:fldCharType="separate"/>
      </w:r>
      <w:r>
        <w:rPr>
          <w:rStyle w:val="10"/>
          <w:rFonts w:eastAsiaTheme="majorEastAsia"/>
        </w:rPr>
        <w:t>Table 5</w:t>
      </w:r>
      <w:r>
        <w:rPr>
          <w:rStyle w:val="10"/>
          <w:rFonts w:eastAsiaTheme="majorEastAsia"/>
          <w:lang w:val="en-US"/>
        </w:rPr>
        <w:t>: Income</w:t>
      </w:r>
      <w:r>
        <w:tab/>
      </w:r>
      <w:r>
        <w:fldChar w:fldCharType="begin"/>
      </w:r>
      <w:r>
        <w:instrText xml:space="preserve"> PAGEREF _Toc147438061 \h </w:instrText>
      </w:r>
      <w:r>
        <w:fldChar w:fldCharType="separate"/>
      </w:r>
      <w:r>
        <w:t>38</w:t>
      </w:r>
      <w:r>
        <w:fldChar w:fldCharType="end"/>
      </w:r>
      <w:r>
        <w:fldChar w:fldCharType="end"/>
      </w:r>
    </w:p>
    <w:p>
      <w:pPr>
        <w:spacing w:before="0" w:after="160" w:line="259" w:lineRule="auto"/>
      </w:pPr>
      <w:r>
        <w:fldChar w:fldCharType="end"/>
      </w:r>
      <w:r>
        <w:br w:type="page"/>
      </w:r>
    </w:p>
    <w:p>
      <w:pPr>
        <w:pStyle w:val="2"/>
      </w:pPr>
      <w:bookmarkStart w:id="4" w:name="_Toc147931414"/>
      <w:r>
        <w:t>List of figures</w:t>
      </w:r>
      <w:bookmarkEnd w:id="4"/>
    </w:p>
    <w:p>
      <w:pPr>
        <w:pStyle w:val="12"/>
        <w:tabs>
          <w:tab w:val="right" w:leader="dot" w:pos="9350"/>
        </w:tabs>
        <w:rPr>
          <w:rFonts w:eastAsiaTheme="minorEastAsia" w:cstheme="minorBidi"/>
          <w:color w:val="auto"/>
          <w:sz w:val="22"/>
          <w:szCs w:val="22"/>
          <w:lang w:val="en-US" w:eastAsia="en-US"/>
        </w:rPr>
      </w:pPr>
      <w:r>
        <w:fldChar w:fldCharType="begin"/>
      </w:r>
      <w:r>
        <w:instrText xml:space="preserve"> TOC \h \z \c "Figure" </w:instrText>
      </w:r>
      <w:r>
        <w:fldChar w:fldCharType="separate"/>
      </w:r>
      <w:r>
        <w:fldChar w:fldCharType="begin"/>
      </w:r>
      <w:r>
        <w:instrText xml:space="preserve"> HYPERLINK \l "_Toc147438062" </w:instrText>
      </w:r>
      <w:r>
        <w:fldChar w:fldCharType="separate"/>
      </w:r>
      <w:r>
        <w:rPr>
          <w:rStyle w:val="10"/>
          <w:rFonts w:eastAsiaTheme="majorEastAsia"/>
        </w:rPr>
        <w:t>Figure 1</w:t>
      </w:r>
      <w:r>
        <w:rPr>
          <w:rStyle w:val="10"/>
          <w:rFonts w:eastAsiaTheme="majorEastAsia"/>
          <w:lang w:val="en-US"/>
        </w:rPr>
        <w:t>: Proposed Framework</w:t>
      </w:r>
      <w:r>
        <w:tab/>
      </w:r>
      <w:r>
        <w:fldChar w:fldCharType="begin"/>
      </w:r>
      <w:r>
        <w:instrText xml:space="preserve"> PAGEREF _Toc147438062 \h </w:instrText>
      </w:r>
      <w:r>
        <w:fldChar w:fldCharType="separate"/>
      </w:r>
      <w:r>
        <w:t>27</w:t>
      </w:r>
      <w:r>
        <w:fldChar w:fldCharType="end"/>
      </w:r>
      <w:r>
        <w:fldChar w:fldCharType="end"/>
      </w:r>
    </w:p>
    <w:p>
      <w:pPr>
        <w:pStyle w:val="12"/>
        <w:tabs>
          <w:tab w:val="right" w:leader="dot" w:pos="9350"/>
        </w:tabs>
        <w:rPr>
          <w:rFonts w:eastAsiaTheme="minorEastAsia" w:cstheme="minorBidi"/>
          <w:color w:val="auto"/>
          <w:sz w:val="22"/>
          <w:szCs w:val="22"/>
          <w:lang w:val="en-US" w:eastAsia="en-US"/>
        </w:rPr>
      </w:pPr>
      <w:r>
        <w:fldChar w:fldCharType="begin"/>
      </w:r>
      <w:r>
        <w:instrText xml:space="preserve"> HYPERLINK "file:///F:\\Aysha%20Saleem\\free%20lancing\\Hamza%20FL\\Zeel%20Sursti\\First%20draft.docx" \l "_Toc147438063" </w:instrText>
      </w:r>
      <w:r>
        <w:fldChar w:fldCharType="separate"/>
      </w:r>
      <w:r>
        <w:rPr>
          <w:rStyle w:val="10"/>
          <w:rFonts w:eastAsiaTheme="majorEastAsia"/>
        </w:rPr>
        <w:t>Figure 2</w:t>
      </w:r>
      <w:r>
        <w:rPr>
          <w:rStyle w:val="10"/>
          <w:rFonts w:eastAsiaTheme="majorEastAsia"/>
          <w:lang w:val="en-US"/>
        </w:rPr>
        <w:t>: Gender</w:t>
      </w:r>
      <w:r>
        <w:tab/>
      </w:r>
      <w:r>
        <w:fldChar w:fldCharType="begin"/>
      </w:r>
      <w:r>
        <w:instrText xml:space="preserve"> PAGEREF _Toc147438063 \h </w:instrText>
      </w:r>
      <w:r>
        <w:fldChar w:fldCharType="separate"/>
      </w:r>
      <w:r>
        <w:t>35</w:t>
      </w:r>
      <w:r>
        <w:fldChar w:fldCharType="end"/>
      </w:r>
      <w:r>
        <w:fldChar w:fldCharType="end"/>
      </w:r>
    </w:p>
    <w:p>
      <w:pPr>
        <w:pStyle w:val="12"/>
        <w:tabs>
          <w:tab w:val="right" w:leader="dot" w:pos="9350"/>
        </w:tabs>
        <w:rPr>
          <w:rFonts w:eastAsiaTheme="minorEastAsia" w:cstheme="minorBidi"/>
          <w:color w:val="auto"/>
          <w:sz w:val="22"/>
          <w:szCs w:val="22"/>
          <w:lang w:val="en-US" w:eastAsia="en-US"/>
        </w:rPr>
      </w:pPr>
      <w:r>
        <w:fldChar w:fldCharType="begin"/>
      </w:r>
      <w:r>
        <w:instrText xml:space="preserve"> HYPERLINK \l "_Toc147438064" </w:instrText>
      </w:r>
      <w:r>
        <w:fldChar w:fldCharType="separate"/>
      </w:r>
      <w:r>
        <w:rPr>
          <w:rStyle w:val="10"/>
          <w:rFonts w:eastAsiaTheme="majorEastAsia"/>
        </w:rPr>
        <w:t>Figure 3</w:t>
      </w:r>
      <w:r>
        <w:rPr>
          <w:rStyle w:val="10"/>
          <w:rFonts w:eastAsiaTheme="majorEastAsia"/>
          <w:lang w:val="en-US"/>
        </w:rPr>
        <w:t>: Age</w:t>
      </w:r>
      <w:r>
        <w:tab/>
      </w:r>
      <w:r>
        <w:fldChar w:fldCharType="begin"/>
      </w:r>
      <w:r>
        <w:instrText xml:space="preserve"> PAGEREF _Toc147438064 \h </w:instrText>
      </w:r>
      <w:r>
        <w:fldChar w:fldCharType="separate"/>
      </w:r>
      <w:r>
        <w:t>36</w:t>
      </w:r>
      <w:r>
        <w:fldChar w:fldCharType="end"/>
      </w:r>
      <w:r>
        <w:fldChar w:fldCharType="end"/>
      </w:r>
    </w:p>
    <w:p>
      <w:pPr>
        <w:pStyle w:val="12"/>
        <w:tabs>
          <w:tab w:val="right" w:leader="dot" w:pos="9350"/>
        </w:tabs>
        <w:rPr>
          <w:rFonts w:eastAsiaTheme="minorEastAsia" w:cstheme="minorBidi"/>
          <w:color w:val="auto"/>
          <w:sz w:val="22"/>
          <w:szCs w:val="22"/>
          <w:lang w:val="en-US" w:eastAsia="en-US"/>
        </w:rPr>
      </w:pPr>
      <w:r>
        <w:fldChar w:fldCharType="begin"/>
      </w:r>
      <w:r>
        <w:instrText xml:space="preserve"> HYPERLINK "file:///F:\\Aysha%20Saleem\\free%20lancing\\Hamza%20FL\\Zeel%20Sursti\\First%20draft.docx" \l "_Toc147438065" </w:instrText>
      </w:r>
      <w:r>
        <w:fldChar w:fldCharType="separate"/>
      </w:r>
      <w:r>
        <w:rPr>
          <w:rStyle w:val="10"/>
          <w:rFonts w:eastAsiaTheme="majorEastAsia"/>
        </w:rPr>
        <w:t>Figure 4</w:t>
      </w:r>
      <w:r>
        <w:rPr>
          <w:rStyle w:val="10"/>
          <w:rFonts w:eastAsiaTheme="majorEastAsia"/>
          <w:lang w:val="en-US"/>
        </w:rPr>
        <w:t>: Education</w:t>
      </w:r>
      <w:r>
        <w:tab/>
      </w:r>
      <w:r>
        <w:fldChar w:fldCharType="begin"/>
      </w:r>
      <w:r>
        <w:instrText xml:space="preserve"> PAGEREF _Toc147438065 \h </w:instrText>
      </w:r>
      <w:r>
        <w:fldChar w:fldCharType="separate"/>
      </w:r>
      <w:r>
        <w:t>37</w:t>
      </w:r>
      <w:r>
        <w:fldChar w:fldCharType="end"/>
      </w:r>
      <w:r>
        <w:fldChar w:fldCharType="end"/>
      </w:r>
    </w:p>
    <w:p>
      <w:pPr>
        <w:pStyle w:val="12"/>
        <w:tabs>
          <w:tab w:val="right" w:leader="dot" w:pos="9350"/>
        </w:tabs>
        <w:rPr>
          <w:rFonts w:eastAsiaTheme="minorEastAsia" w:cstheme="minorBidi"/>
          <w:color w:val="auto"/>
          <w:sz w:val="22"/>
          <w:szCs w:val="22"/>
          <w:lang w:val="en-US" w:eastAsia="en-US"/>
        </w:rPr>
      </w:pPr>
      <w:r>
        <w:fldChar w:fldCharType="begin"/>
      </w:r>
      <w:r>
        <w:instrText xml:space="preserve"> HYPERLINK "file:///F:\\Aysha%20Saleem\\free%20lancing\\Hamza%20FL\\Zeel%20Sursti\\First%20draft.docx" \l "_Toc147438066" </w:instrText>
      </w:r>
      <w:r>
        <w:fldChar w:fldCharType="separate"/>
      </w:r>
      <w:r>
        <w:rPr>
          <w:rStyle w:val="10"/>
          <w:rFonts w:eastAsiaTheme="majorEastAsia"/>
        </w:rPr>
        <w:t>Figure 5</w:t>
      </w:r>
      <w:r>
        <w:rPr>
          <w:rStyle w:val="10"/>
          <w:rFonts w:eastAsiaTheme="majorEastAsia"/>
          <w:lang w:val="en-US"/>
        </w:rPr>
        <w:t>: Income</w:t>
      </w:r>
      <w:r>
        <w:tab/>
      </w:r>
      <w:r>
        <w:fldChar w:fldCharType="begin"/>
      </w:r>
      <w:r>
        <w:instrText xml:space="preserve"> PAGEREF _Toc147438066 \h </w:instrText>
      </w:r>
      <w:r>
        <w:fldChar w:fldCharType="separate"/>
      </w:r>
      <w:r>
        <w:t>38</w:t>
      </w:r>
      <w:r>
        <w:fldChar w:fldCharType="end"/>
      </w:r>
      <w:r>
        <w:fldChar w:fldCharType="end"/>
      </w:r>
    </w:p>
    <w:p>
      <w:pPr>
        <w:spacing w:before="0" w:after="160" w:line="259" w:lineRule="auto"/>
        <w:rPr>
          <w:rFonts w:eastAsiaTheme="majorEastAsia"/>
          <w:b/>
          <w:bCs/>
          <w:color w:val="auto"/>
          <w:sz w:val="28"/>
          <w:szCs w:val="28"/>
        </w:rPr>
      </w:pPr>
      <w:r>
        <w:fldChar w:fldCharType="end"/>
      </w:r>
      <w:r>
        <w:br w:type="page"/>
      </w:r>
    </w:p>
    <w:p>
      <w:pPr>
        <w:pStyle w:val="2"/>
      </w:pPr>
      <w:bookmarkStart w:id="5" w:name="_Toc147931415"/>
      <w:r>
        <w:t>CHAPTER # 1 INTRODUCTION:</w:t>
      </w:r>
      <w:bookmarkEnd w:id="5"/>
    </w:p>
    <w:p>
      <w:pPr>
        <w:pStyle w:val="3"/>
        <w:rPr>
          <w:color w:val="auto"/>
        </w:rPr>
      </w:pPr>
      <w:bookmarkStart w:id="6" w:name="_Toc147931416"/>
      <w:r>
        <w:rPr>
          <w:color w:val="auto"/>
        </w:rPr>
        <w:t>1.1 Background of the study:</w:t>
      </w:r>
      <w:bookmarkEnd w:id="6"/>
    </w:p>
    <w:p>
      <w:pPr>
        <w:ind w:firstLine="720"/>
        <w:jc w:val="both"/>
        <w:rPr>
          <w:color w:val="auto"/>
        </w:rPr>
      </w:pPr>
      <w:r>
        <w:rPr>
          <w:color w:val="auto"/>
        </w:rPr>
        <w:t xml:space="preserve">The automobile industry in India is experiencing rapid growth and has emerged as a substantial contributor to the country's gross domestic product (GDP) and exports (Sushil and Garg, 2019; </w:t>
      </w:r>
      <w:r>
        <w:rPr>
          <w:color w:val="auto"/>
          <w:shd w:val="clear" w:color="auto" w:fill="FFFFFF"/>
        </w:rPr>
        <w:t>Agrawal et al., 2021</w:t>
      </w:r>
      <w:r>
        <w:rPr>
          <w:color w:val="auto"/>
        </w:rPr>
        <w:t>). The aforementioned sector, serving as a crucial catalyst for economic expansion, has demonstrated notable fortitude in the face of economic volatility. Tata Motors Ltd serves as a notable example of resilience, as it has demonstrated impressive recuperation and expansion patterns in recent years, despite encountering various obstacles (</w:t>
      </w:r>
      <w:r>
        <w:rPr>
          <w:color w:val="auto"/>
          <w:shd w:val="clear" w:color="auto" w:fill="FFFFFF"/>
        </w:rPr>
        <w:t>Shafiulla, 2019)</w:t>
      </w:r>
      <w:r>
        <w:rPr>
          <w:color w:val="auto"/>
        </w:rPr>
        <w:t>. In the past, the Indian automobile industry was mostly dominated by domestic companies such as Hindustan Motors and Premier. Following the liberalisation policies implemented after 1991, the Indian market had an increased presence of international automobile brands such as Suzuki, Hyundai, and Toyota (</w:t>
      </w:r>
      <w:r>
        <w:rPr>
          <w:color w:val="auto"/>
          <w:shd w:val="clear" w:color="auto" w:fill="FFFFFF"/>
        </w:rPr>
        <w:t>ZXhang, Haxo, and Mat, 2023)</w:t>
      </w:r>
      <w:r>
        <w:rPr>
          <w:color w:val="auto"/>
        </w:rPr>
        <w:t>. This influx of foreign brands presented a heightened level of competition, posing significant challenges for established Indian-origin companies such as Tata Motors, Mahindra &amp; Mahindra, and Ashok Leyland.</w:t>
      </w:r>
    </w:p>
    <w:p>
      <w:pPr>
        <w:ind w:firstLine="720"/>
        <w:jc w:val="both"/>
        <w:rPr>
          <w:color w:val="auto"/>
        </w:rPr>
      </w:pPr>
      <w:r>
        <w:rPr>
          <w:color w:val="auto"/>
        </w:rPr>
        <w:t>In the contemporary business environment characterised by intense competition, the perception of a brand goes beyond a mere surface identification and assumes a crucial role in influencing several factors such as brand loyalty, purchase intention, consumer trust, and overall customer experience. Tata Motors, a prominent entity within the Indian automotive sector, currently faces a compelling juncture (</w:t>
      </w:r>
      <w:r>
        <w:rPr>
          <w:color w:val="auto"/>
          <w:shd w:val="clear" w:color="auto" w:fill="FFFFFF"/>
        </w:rPr>
        <w:t>Verma, 2018)</w:t>
      </w:r>
      <w:r>
        <w:rPr>
          <w:color w:val="auto"/>
        </w:rPr>
        <w:t>. On one side, the company is making efforts to enhance its reputation and establish a strong position in a market that has experienced substantial penetration by global brands (</w:t>
      </w:r>
      <w:r>
        <w:rPr>
          <w:color w:val="auto"/>
          <w:shd w:val="clear" w:color="auto" w:fill="FFFFFF"/>
        </w:rPr>
        <w:t>Bilgin, 2018)</w:t>
      </w:r>
      <w:r>
        <w:rPr>
          <w:color w:val="auto"/>
        </w:rPr>
        <w:t>. However, it is positioned to leverage the considerable potential that the Indian automotive industry holds. The statistic provided by Economic Times Auto in 2018 indicates that automobile ownership in India is quite low, with only 22 out of every 1000 individuals owning a car (</w:t>
      </w:r>
      <w:r>
        <w:rPr>
          <w:color w:val="auto"/>
          <w:shd w:val="clear" w:color="auto" w:fill="FFFFFF"/>
        </w:rPr>
        <w:t>Le Vine, Wu, and Polak, 2018)</w:t>
      </w:r>
      <w:r>
        <w:rPr>
          <w:color w:val="auto"/>
        </w:rPr>
        <w:t>. This data suggests that there is a significant untapped market potential for automotive penetration in the country. The vast unexplored potential holds the promise of highly profitable growth prospects. However, the narrative extends beyond just numerical figures. The narrative is enhanced by the qualitative elements of how brands, such as Tata Motors, actively interact with both prospective and current customers (</w:t>
      </w:r>
      <w:r>
        <w:rPr>
          <w:color w:val="auto"/>
          <w:shd w:val="clear" w:color="auto" w:fill="FFFFFF"/>
        </w:rPr>
        <w:t>Malhan, and Tandon, 2017)</w:t>
      </w:r>
      <w:r>
        <w:rPr>
          <w:color w:val="auto"/>
        </w:rPr>
        <w:t>.</w:t>
      </w:r>
    </w:p>
    <w:p>
      <w:pPr>
        <w:ind w:firstLine="720"/>
        <w:jc w:val="both"/>
        <w:rPr>
          <w:color w:val="auto"/>
        </w:rPr>
      </w:pPr>
      <w:r>
        <w:rPr>
          <w:color w:val="auto"/>
        </w:rPr>
        <w:t>Tata Motors, as a prominent domestic company, faces a dual challenge (</w:t>
      </w:r>
      <w:r>
        <w:rPr>
          <w:color w:val="auto"/>
          <w:shd w:val="clear" w:color="auto" w:fill="FFFFFF"/>
        </w:rPr>
        <w:t>Kidav, 2022)</w:t>
      </w:r>
      <w:r>
        <w:rPr>
          <w:color w:val="auto"/>
        </w:rPr>
        <w:t>. Firstly, it must effectively utilise its brand image to resonate with the preferences and cultural subtleties of the Indian market. Secondly, it must withstand the competitive pressure from multinational automobile giants, who possess extensive resources and employ global strategies (</w:t>
      </w:r>
      <w:r>
        <w:rPr>
          <w:color w:val="auto"/>
          <w:shd w:val="clear" w:color="auto" w:fill="FFFFFF"/>
        </w:rPr>
        <w:t>Malagihal, 2021</w:t>
      </w:r>
      <w:r>
        <w:rPr>
          <w:color w:val="auto"/>
        </w:rPr>
        <w:t>). The focal point of this study, thus, extends beyond simple market measurements. This analysis explores the complex interplay between brand image and consumer behaviour, with a specific emphasis on the strategies employed by Tata Motors to negotiate this dynamic relationship. The objective of this study is to get insight into the intricate aspects of consumer perceptions, expectations, and experiences, and to examine the extent to which they correspond or deviate from the brand's intended image. This study seeks to provide valuable insights that have the ability to rethink the positioning strategies of indigenous companies in an increasingly globalising marketplace.</w:t>
      </w:r>
    </w:p>
    <w:p>
      <w:pPr>
        <w:pStyle w:val="3"/>
        <w:rPr>
          <w:color w:val="auto"/>
        </w:rPr>
      </w:pPr>
      <w:bookmarkStart w:id="7" w:name="_Toc147931417"/>
      <w:r>
        <w:rPr>
          <w:color w:val="auto"/>
        </w:rPr>
        <w:t>1.2 Significance of the study:</w:t>
      </w:r>
      <w:bookmarkEnd w:id="7"/>
    </w:p>
    <w:p>
      <w:pPr>
        <w:pStyle w:val="19"/>
        <w:ind w:firstLine="720"/>
        <w:rPr>
          <w:color w:val="auto"/>
        </w:rPr>
      </w:pPr>
      <w:r>
        <w:rPr>
          <w:color w:val="auto"/>
        </w:rPr>
        <w:t>The investigation of the impact of brand image on many aspects like brand loyalty, purchase intention, customer trust, and customer experience, with Tata Motors as a case study, holds significant importance in the current dynamic consumer market. Tata Motors, a prominent player in the Indian automotive industry with a growing international presence, offers a valuable perspective for examining the complex relationship between brand perception and customer behaviour patterns. The establishment of a robust brand image has the ability to enhance consumer loyalty, stimulate purchase behaviour, reinforce trust, and enhance good customer experiences. Through an analysis of the interactions within the framework of Tata Motors, this research aims to shed light on the fundamental mechanisms through which brand image influences customer outcomes. Additionally, it aims to provide strategic recommendations for businesses to effectively use and develop their brand image. These unique insights have significant importance for both the academic and industrial sectors as they connect theoretical knowledge with practical applications. They can serve as a guiding tool for brand managers to refine their plans in order to achieve long-term growth and gain a competitive edge.</w:t>
      </w:r>
    </w:p>
    <w:p>
      <w:pPr>
        <w:pStyle w:val="3"/>
        <w:rPr>
          <w:color w:val="auto"/>
        </w:rPr>
      </w:pPr>
    </w:p>
    <w:p>
      <w:pPr>
        <w:pStyle w:val="3"/>
        <w:rPr>
          <w:color w:val="auto"/>
        </w:rPr>
      </w:pPr>
      <w:r>
        <w:rPr>
          <w:color w:val="auto"/>
        </w:rPr>
        <w:t xml:space="preserve"> </w:t>
      </w:r>
      <w:bookmarkStart w:id="8" w:name="_Toc147931418"/>
      <w:r>
        <w:rPr>
          <w:color w:val="auto"/>
        </w:rPr>
        <w:t>1.3 Research objectives:</w:t>
      </w:r>
      <w:bookmarkEnd w:id="8"/>
    </w:p>
    <w:p>
      <w:pPr>
        <w:pStyle w:val="19"/>
        <w:numPr>
          <w:ilvl w:val="0"/>
          <w:numId w:val="1"/>
        </w:numPr>
        <w:rPr>
          <w:color w:val="auto"/>
        </w:rPr>
      </w:pPr>
      <w:r>
        <w:rPr>
          <w:color w:val="auto"/>
        </w:rPr>
        <w:t>To examine the role of brand image on brand loyalty</w:t>
      </w:r>
    </w:p>
    <w:p>
      <w:pPr>
        <w:pStyle w:val="19"/>
        <w:numPr>
          <w:ilvl w:val="0"/>
          <w:numId w:val="1"/>
        </w:numPr>
        <w:rPr>
          <w:color w:val="auto"/>
        </w:rPr>
      </w:pPr>
      <w:r>
        <w:rPr>
          <w:color w:val="auto"/>
        </w:rPr>
        <w:t>To investigate the role of brand image on buyer’s intention</w:t>
      </w:r>
    </w:p>
    <w:p>
      <w:pPr>
        <w:pStyle w:val="19"/>
        <w:numPr>
          <w:ilvl w:val="0"/>
          <w:numId w:val="1"/>
        </w:numPr>
        <w:rPr>
          <w:color w:val="auto"/>
        </w:rPr>
      </w:pPr>
      <w:r>
        <w:rPr>
          <w:color w:val="auto"/>
        </w:rPr>
        <w:t>To examine the role of brand image on Customer Trust</w:t>
      </w:r>
    </w:p>
    <w:p>
      <w:pPr>
        <w:pStyle w:val="19"/>
        <w:numPr>
          <w:ilvl w:val="0"/>
          <w:numId w:val="1"/>
        </w:numPr>
        <w:rPr>
          <w:color w:val="auto"/>
        </w:rPr>
      </w:pPr>
      <w:r>
        <w:rPr>
          <w:color w:val="auto"/>
        </w:rPr>
        <w:t>To investigate the role of brand image on Customer experience</w:t>
      </w:r>
    </w:p>
    <w:p>
      <w:pPr>
        <w:pStyle w:val="3"/>
        <w:rPr>
          <w:color w:val="auto"/>
        </w:rPr>
      </w:pPr>
      <w:bookmarkStart w:id="9" w:name="_Toc147931419"/>
      <w:r>
        <w:rPr>
          <w:color w:val="auto"/>
        </w:rPr>
        <w:t>1.4 Research Aims:</w:t>
      </w:r>
      <w:bookmarkEnd w:id="9"/>
    </w:p>
    <w:p>
      <w:pPr>
        <w:pStyle w:val="19"/>
        <w:ind w:firstLine="720"/>
        <w:rPr>
          <w:color w:val="auto"/>
        </w:rPr>
      </w:pPr>
      <w:r>
        <w:rPr>
          <w:color w:val="auto"/>
        </w:rPr>
        <w:t>The objective of this study is to comprehensively examine the significant impact of brand image on several dimensions of consumer behaviour, with a specific emphasis on brand loyalty, purchase intention, customer trust, and customer experience. The case study of Tata Motors will be utilised as the primary focal point for this investigation. The main objective of this study is to investigate the role of Tata Motors' brand image in influencing consumer loyalty towards the brand. Furthermore, the objective of this study is to examine the relationship between the brand image of Tata Motors and the purchase intentions of prospective customers. In addition, our objective is to investigate the manner in which consumer trust is established or diminished in relation to the perceived reputation of Tata Motors. In conclusion, the study aims to assess the influence of Tata Motors' brand image on the holistic customer experience through an examination of genuine customer interactions and testimonials. Through the consolidation of many objectives, this study endeavours to provide a thorough comprehension of the efficacy of brand image in shaping various dimensions of customer behaviour.</w:t>
      </w:r>
    </w:p>
    <w:p>
      <w:pPr>
        <w:pStyle w:val="3"/>
        <w:rPr>
          <w:color w:val="auto"/>
        </w:rPr>
      </w:pPr>
      <w:bookmarkStart w:id="10" w:name="_Toc147931420"/>
      <w:r>
        <w:rPr>
          <w:color w:val="auto"/>
        </w:rPr>
        <w:t>1.5 Research Questions:</w:t>
      </w:r>
      <w:bookmarkEnd w:id="10"/>
    </w:p>
    <w:p>
      <w:pPr>
        <w:pStyle w:val="19"/>
        <w:numPr>
          <w:ilvl w:val="0"/>
          <w:numId w:val="2"/>
        </w:numPr>
        <w:rPr>
          <w:color w:val="auto"/>
        </w:rPr>
      </w:pPr>
      <w:r>
        <w:rPr>
          <w:color w:val="auto"/>
        </w:rPr>
        <w:t>Does brand image have an impact on brand loyalty?</w:t>
      </w:r>
    </w:p>
    <w:p>
      <w:pPr>
        <w:pStyle w:val="19"/>
        <w:numPr>
          <w:ilvl w:val="0"/>
          <w:numId w:val="2"/>
        </w:numPr>
        <w:rPr>
          <w:color w:val="auto"/>
        </w:rPr>
      </w:pPr>
      <w:r>
        <w:rPr>
          <w:color w:val="auto"/>
        </w:rPr>
        <w:t>Does brand image have an influence on buyer’s intention?</w:t>
      </w:r>
    </w:p>
    <w:p>
      <w:pPr>
        <w:pStyle w:val="19"/>
        <w:numPr>
          <w:ilvl w:val="0"/>
          <w:numId w:val="2"/>
        </w:numPr>
        <w:rPr>
          <w:color w:val="auto"/>
        </w:rPr>
      </w:pPr>
      <w:r>
        <w:rPr>
          <w:color w:val="auto"/>
        </w:rPr>
        <w:t>Does brand image have an impact on customer trust?</w:t>
      </w:r>
    </w:p>
    <w:p>
      <w:pPr>
        <w:pStyle w:val="19"/>
        <w:numPr>
          <w:ilvl w:val="0"/>
          <w:numId w:val="2"/>
        </w:numPr>
        <w:rPr>
          <w:color w:val="auto"/>
        </w:rPr>
      </w:pPr>
      <w:r>
        <w:rPr>
          <w:color w:val="auto"/>
        </w:rPr>
        <w:t>Does brand image have an influence on customer experience?</w:t>
      </w:r>
    </w:p>
    <w:p>
      <w:pPr>
        <w:pStyle w:val="3"/>
        <w:rPr>
          <w:color w:val="auto"/>
        </w:rPr>
      </w:pPr>
      <w:bookmarkStart w:id="11" w:name="_Toc147931421"/>
      <w:r>
        <w:rPr>
          <w:color w:val="auto"/>
        </w:rPr>
        <w:t>1.6 Definitions of the variables:</w:t>
      </w:r>
      <w:bookmarkEnd w:id="11"/>
    </w:p>
    <w:p>
      <w:pPr>
        <w:pStyle w:val="4"/>
        <w:rPr>
          <w:color w:val="auto"/>
        </w:rPr>
      </w:pPr>
      <w:bookmarkStart w:id="12" w:name="_Toc147931422"/>
      <w:r>
        <w:rPr>
          <w:color w:val="auto"/>
        </w:rPr>
        <w:t>1.6.1 Brand Image:</w:t>
      </w:r>
      <w:bookmarkEnd w:id="12"/>
    </w:p>
    <w:p>
      <w:pPr>
        <w:ind w:firstLine="720"/>
        <w:jc w:val="both"/>
        <w:rPr>
          <w:color w:val="auto"/>
        </w:rPr>
      </w:pPr>
      <w:r>
        <w:rPr>
          <w:color w:val="auto"/>
        </w:rPr>
        <w:t xml:space="preserve">The significance of brand image in marketing is emphasised by </w:t>
      </w:r>
      <w:r>
        <w:rPr>
          <w:color w:val="auto"/>
          <w:shd w:val="clear" w:color="auto" w:fill="FFFFFF"/>
        </w:rPr>
        <w:t>Alhaddad, 2015</w:t>
      </w:r>
      <w:r>
        <w:rPr>
          <w:color w:val="auto"/>
        </w:rPr>
        <w:t>). Although the establishment of brand equity is heavily reliant on brand awareness, it is important to note that brand image can also exert a significant, if not greater, impact (</w:t>
      </w:r>
      <w:r>
        <w:rPr>
          <w:color w:val="auto"/>
          <w:shd w:val="clear" w:color="auto" w:fill="FFFFFF"/>
        </w:rPr>
        <w:t>Bilgin, 2018</w:t>
      </w:r>
      <w:r>
        <w:rPr>
          <w:color w:val="auto"/>
        </w:rPr>
        <w:t xml:space="preserve">). Moreover, </w:t>
      </w:r>
      <w:r>
        <w:rPr>
          <w:color w:val="auto"/>
          <w:shd w:val="clear" w:color="auto" w:fill="FFFFFF"/>
        </w:rPr>
        <w:t>Bernarto et al. (2020</w:t>
      </w:r>
      <w:r>
        <w:rPr>
          <w:color w:val="auto"/>
        </w:rPr>
        <w:t>) provides evidence that brand image plays a crucial role in influencing brand equity.</w:t>
      </w:r>
    </w:p>
    <w:p>
      <w:pPr>
        <w:pStyle w:val="4"/>
        <w:rPr>
          <w:color w:val="auto"/>
        </w:rPr>
      </w:pPr>
      <w:bookmarkStart w:id="13" w:name="_Toc147931423"/>
      <w:r>
        <w:rPr>
          <w:color w:val="auto"/>
        </w:rPr>
        <w:t>1.6.2 Brand loyalty:</w:t>
      </w:r>
      <w:bookmarkEnd w:id="13"/>
    </w:p>
    <w:p>
      <w:pPr>
        <w:ind w:firstLine="720"/>
        <w:jc w:val="both"/>
        <w:rPr>
          <w:color w:val="auto"/>
        </w:rPr>
      </w:pPr>
      <w:r>
        <w:rPr>
          <w:color w:val="auto"/>
        </w:rPr>
        <w:t>Brand loyalty is a fundamental idea in the field of marketing that underscores the importance of cultivating long-lasting connections between consumers and companies (</w:t>
      </w:r>
      <w:r>
        <w:rPr>
          <w:color w:val="auto"/>
          <w:shd w:val="clear" w:color="auto" w:fill="FFFFFF"/>
        </w:rPr>
        <w:t>Chinomona, 2016)</w:t>
      </w:r>
      <w:r>
        <w:rPr>
          <w:color w:val="auto"/>
        </w:rPr>
        <w:t>. The measurement of brand equity and the evaluation of marketing strategies have been facilitated by the utilisation of this loyalty metric (</w:t>
      </w:r>
      <w:r>
        <w:rPr>
          <w:color w:val="auto"/>
          <w:shd w:val="clear" w:color="auto" w:fill="FFFFFF"/>
        </w:rPr>
        <w:t>Mabkhot, Shaari, and Md Salleh, 2017</w:t>
      </w:r>
      <w:r>
        <w:rPr>
          <w:color w:val="auto"/>
        </w:rPr>
        <w:t>). In light of the considerable expenses involved in gaining new consumers, organisations place significant emphasis on cultivating client loyalty as a strategic imperative.</w:t>
      </w:r>
    </w:p>
    <w:p>
      <w:pPr>
        <w:pStyle w:val="4"/>
        <w:rPr>
          <w:color w:val="auto"/>
        </w:rPr>
      </w:pPr>
      <w:bookmarkStart w:id="14" w:name="_Toc147931424"/>
      <w:r>
        <w:rPr>
          <w:color w:val="auto"/>
        </w:rPr>
        <w:t>1.6.3 Buyer’s Purchase intention:</w:t>
      </w:r>
      <w:bookmarkEnd w:id="14"/>
    </w:p>
    <w:p>
      <w:pPr>
        <w:ind w:firstLine="720"/>
        <w:jc w:val="both"/>
        <w:rPr>
          <w:color w:val="auto"/>
        </w:rPr>
      </w:pPr>
      <w:r>
        <w:rPr>
          <w:color w:val="auto"/>
        </w:rPr>
        <w:t>The assessment of purchase intentions can be utilised as a means of evaluating the implementation of a novel distribution channel (</w:t>
      </w:r>
      <w:r>
        <w:rPr>
          <w:color w:val="auto"/>
          <w:shd w:val="clear" w:color="auto" w:fill="FFFFFF"/>
        </w:rPr>
        <w:t>Chen et al., 2022)</w:t>
      </w:r>
      <w:r>
        <w:rPr>
          <w:color w:val="auto"/>
        </w:rPr>
        <w:t>. This evaluation aids managers in determining the potential of the channel and identifying the most suitable geographic markets and consumer categories to target through this particular channel (</w:t>
      </w:r>
      <w:r>
        <w:rPr>
          <w:color w:val="auto"/>
          <w:shd w:val="clear" w:color="auto" w:fill="FFFFFF"/>
        </w:rPr>
        <w:t>Chia et al., 2016)</w:t>
      </w:r>
      <w:r>
        <w:rPr>
          <w:color w:val="auto"/>
        </w:rPr>
        <w:t xml:space="preserve">. According to </w:t>
      </w:r>
      <w:r>
        <w:rPr>
          <w:color w:val="auto"/>
          <w:shd w:val="clear" w:color="auto" w:fill="FFFFFF"/>
        </w:rPr>
        <w:t>Peña-García et al. (2020</w:t>
      </w:r>
      <w:r>
        <w:rPr>
          <w:color w:val="auto"/>
        </w:rPr>
        <w:t>), consumer intentions indicate the extent to which individuals are inclined to participate in a specific behaviour, specifically in the context of online purchasing behaviour.</w:t>
      </w:r>
    </w:p>
    <w:p>
      <w:pPr>
        <w:pStyle w:val="4"/>
        <w:rPr>
          <w:color w:val="auto"/>
        </w:rPr>
      </w:pPr>
      <w:bookmarkStart w:id="15" w:name="_Toc147931425"/>
      <w:r>
        <w:rPr>
          <w:color w:val="auto"/>
        </w:rPr>
        <w:t>1.6.4 Customer trust:</w:t>
      </w:r>
      <w:bookmarkEnd w:id="15"/>
    </w:p>
    <w:p>
      <w:pPr>
        <w:ind w:firstLine="720"/>
        <w:jc w:val="both"/>
        <w:rPr>
          <w:rFonts w:asciiTheme="minorBidi" w:hAnsiTheme="minorBidi" w:cstheme="minorBidi"/>
          <w:color w:val="auto"/>
        </w:rPr>
      </w:pPr>
      <w:r>
        <w:rPr>
          <w:rFonts w:asciiTheme="minorBidi" w:hAnsiTheme="minorBidi" w:cstheme="minorBidi"/>
          <w:color w:val="auto"/>
        </w:rPr>
        <w:t xml:space="preserve">According to </w:t>
      </w:r>
      <w:r>
        <w:rPr>
          <w:rFonts w:asciiTheme="minorBidi" w:hAnsiTheme="minorBidi" w:cstheme="minorBidi"/>
          <w:color w:val="auto"/>
          <w:shd w:val="clear" w:color="auto" w:fill="FFFFFF"/>
        </w:rPr>
        <w:t>Leninkumar, (2017</w:t>
      </w:r>
      <w:r>
        <w:rPr>
          <w:rFonts w:asciiTheme="minorBidi" w:hAnsiTheme="minorBidi" w:cstheme="minorBidi"/>
          <w:color w:val="auto"/>
        </w:rPr>
        <w:t xml:space="preserve">), customer trust encompasses a range of cognitive and affective responses that occur when customers consider a provider to be reliable, particularly in situations where they must rely on the one who provides without exerting direct control. In a similar vein, the concept of trust has been explicated by </w:t>
      </w:r>
      <w:r>
        <w:rPr>
          <w:rFonts w:asciiTheme="minorBidi" w:hAnsiTheme="minorBidi" w:cstheme="minorBidi"/>
          <w:color w:val="auto"/>
          <w:shd w:val="clear" w:color="auto" w:fill="FFFFFF"/>
        </w:rPr>
        <w:t>Sitorus, and Yustisia, (2018</w:t>
      </w:r>
      <w:r>
        <w:rPr>
          <w:rFonts w:asciiTheme="minorBidi" w:hAnsiTheme="minorBidi" w:cstheme="minorBidi"/>
          <w:color w:val="auto"/>
        </w:rPr>
        <w:t>) as the manifestation of one party's confidence in another, which is derived from the latter's shown integrity and dependability.</w:t>
      </w:r>
    </w:p>
    <w:p>
      <w:pPr>
        <w:pStyle w:val="4"/>
        <w:rPr>
          <w:color w:val="auto"/>
        </w:rPr>
      </w:pPr>
      <w:bookmarkStart w:id="16" w:name="_Toc147931426"/>
      <w:r>
        <w:rPr>
          <w:color w:val="auto"/>
        </w:rPr>
        <w:t>1.6.5 Customer Experience:</w:t>
      </w:r>
      <w:bookmarkEnd w:id="16"/>
    </w:p>
    <w:p>
      <w:pPr>
        <w:ind w:firstLine="720"/>
        <w:jc w:val="both"/>
        <w:rPr>
          <w:rFonts w:asciiTheme="minorBidi" w:hAnsiTheme="minorBidi" w:cstheme="minorBidi"/>
          <w:color w:val="auto"/>
        </w:rPr>
      </w:pPr>
      <w:r>
        <w:rPr>
          <w:rFonts w:asciiTheme="minorBidi" w:hAnsiTheme="minorBidi" w:cstheme="minorBidi"/>
          <w:color w:val="auto"/>
        </w:rPr>
        <w:t xml:space="preserve">According to the research conducted by </w:t>
      </w:r>
      <w:r>
        <w:rPr>
          <w:rFonts w:asciiTheme="minorBidi" w:hAnsiTheme="minorBidi" w:cstheme="minorBidi"/>
          <w:color w:val="auto"/>
          <w:shd w:val="clear" w:color="auto" w:fill="FFFFFF"/>
        </w:rPr>
        <w:t>Lemon, and Verhoef, (2016</w:t>
      </w:r>
      <w:r>
        <w:rPr>
          <w:rFonts w:asciiTheme="minorBidi" w:hAnsiTheme="minorBidi" w:cstheme="minorBidi"/>
          <w:color w:val="auto"/>
        </w:rPr>
        <w:t>), customer experience refers to the internal and subjective responses that customers experience when engaging in direct or indirect interactions with a company. Direct interactions, typically instigated by the consumer, transpire in the course of acquiring or utilising a service or product (</w:t>
      </w:r>
      <w:r>
        <w:rPr>
          <w:rFonts w:asciiTheme="minorBidi" w:hAnsiTheme="minorBidi" w:cstheme="minorBidi"/>
          <w:color w:val="auto"/>
          <w:shd w:val="clear" w:color="auto" w:fill="FFFFFF"/>
        </w:rPr>
        <w:t>Foroudi et al., 2018)</w:t>
      </w:r>
      <w:r>
        <w:rPr>
          <w:rFonts w:asciiTheme="minorBidi" w:hAnsiTheme="minorBidi" w:cstheme="minorBidi"/>
          <w:color w:val="auto"/>
        </w:rPr>
        <w:t>. In contrast, indirect contacts encompass unanticipated meetings with a brand or its services, facilitated by means such as advertising, news dissemination, or word of mouth (</w:t>
      </w:r>
      <w:r>
        <w:rPr>
          <w:rFonts w:asciiTheme="minorBidi" w:hAnsiTheme="minorBidi" w:cstheme="minorBidi"/>
          <w:color w:val="auto"/>
          <w:shd w:val="clear" w:color="auto" w:fill="FFFFFF"/>
        </w:rPr>
        <w:t>Hoyer et al., 2020)</w:t>
      </w:r>
      <w:r>
        <w:rPr>
          <w:rFonts w:asciiTheme="minorBidi" w:hAnsiTheme="minorBidi" w:cstheme="minorBidi"/>
          <w:color w:val="auto"/>
        </w:rPr>
        <w:t xml:space="preserve">. </w:t>
      </w:r>
    </w:p>
    <w:p>
      <w:pPr>
        <w:pStyle w:val="3"/>
        <w:rPr>
          <w:color w:val="auto"/>
        </w:rPr>
      </w:pPr>
      <w:bookmarkStart w:id="17" w:name="_Toc147931427"/>
      <w:r>
        <w:rPr>
          <w:color w:val="auto"/>
        </w:rPr>
        <w:t>1.7 Structure of the study:</w:t>
      </w:r>
      <w:bookmarkEnd w:id="17"/>
    </w:p>
    <w:p>
      <w:pPr>
        <w:ind w:firstLine="720"/>
        <w:jc w:val="both"/>
        <w:rPr>
          <w:color w:val="auto"/>
        </w:rPr>
      </w:pPr>
      <w:r>
        <w:rPr>
          <w:color w:val="auto"/>
        </w:rPr>
        <w:t>The study paper is broken up into five sections, each of which serves a specific purpose. The first section of the study provides a high-level overview of the key topic, effectively explaining its context. This section elaborates on the study's aims, research issues, and significance. The study also discusses and clarifies the research constructs, such as the effect of brand image on brand loyalty, purchase intent, customer trust, and customer experience.</w:t>
      </w:r>
    </w:p>
    <w:p>
      <w:pPr>
        <w:ind w:firstLine="720"/>
        <w:jc w:val="both"/>
        <w:rPr>
          <w:color w:val="auto"/>
        </w:rPr>
      </w:pPr>
      <w:r>
        <w:rPr>
          <w:color w:val="auto"/>
        </w:rPr>
        <w:t>The following chapter conducts a thorough analysis of relevant scholarly publications, offering fresh insights into the theories and concepts that underpin the study's design. The theoretical landscape and conceptual framework of the study are mapped out by methodically reviewing the literature on each variable in the proposed model. In Chapter 3, the research technique is dissected in great detail, including such topics as the study's design, schedule, sampling methods, desired sample size, and the ethical considerations that must be taken into account throughout the investigation. In this study, the data analysis and presentation of results is covered in Chapter 4. SPSS was the major software used to analyse the data collected for this investigation. The acquired data was put through a battery of tests to determine how trustworthy it was. In addition, regression analysis and the Pearson correlation were used to test the hypotheses. Chapter five of the dissertation provides an analysis and interpretation of the test results and does a good job of tying together the various findings. This statement summarises the findings of the study, explains their significance, and suggests directions for additional research.</w:t>
      </w:r>
    </w:p>
    <w:p>
      <w:pPr>
        <w:pStyle w:val="3"/>
      </w:pPr>
      <w:bookmarkStart w:id="18" w:name="_Toc147931428"/>
      <w:r>
        <w:t>1.8 Summary:</w:t>
      </w:r>
      <w:bookmarkEnd w:id="18"/>
    </w:p>
    <w:p>
      <w:pPr>
        <w:jc w:val="both"/>
        <w:rPr>
          <w:color w:val="auto"/>
        </w:rPr>
      </w:pPr>
      <w:r>
        <w:rPr>
          <w:color w:val="auto"/>
        </w:rPr>
        <w:t>Using Tata Motors as a case study, Chapter 1 examines the link between brand image and a variety of customer-focused outcomes. In this chapter, we'll define brand image and discuss how it can be used to effectively shape a product's reputation in the minds of consumers. This highlights the need of building a positive and powerful brand image to increase brand loyalty, influence consumer purchasing decisions, foster trust among consumers, and boost quality of service provided to customers. This chapter provides a case study of Tata Motors, examining the company's history, major achievements, difficulties, and solutions in the context of the competitive automotive industry. Proactive stakeholder involvement, novel product offerings, and consistent brand messaging have the ability to boost a company's reputation, as demonstrated in this case study. This chapter lays the groundwork for the rest of the dissertation by outlining the core questions, goals, and justification for focusing on Tata Motors. In this chapter, we'll be using this lens to look at how consumers' impressions of a brand affect their actions and the bottom line.</w:t>
      </w:r>
    </w:p>
    <w:p>
      <w:pPr>
        <w:spacing w:before="0" w:after="160" w:line="259" w:lineRule="auto"/>
        <w:rPr>
          <w:color w:val="auto"/>
        </w:rPr>
      </w:pPr>
      <w:r>
        <w:rPr>
          <w:color w:val="auto"/>
        </w:rPr>
        <w:br w:type="page"/>
      </w:r>
    </w:p>
    <w:p>
      <w:pPr>
        <w:pStyle w:val="2"/>
      </w:pPr>
      <w:bookmarkStart w:id="19" w:name="_Toc147931429"/>
      <w:r>
        <w:t>CHAPTER# 2 LITERATURE REVIEW</w:t>
      </w:r>
      <w:bookmarkEnd w:id="19"/>
    </w:p>
    <w:p>
      <w:pPr>
        <w:pStyle w:val="3"/>
        <w:rPr>
          <w:color w:val="auto"/>
        </w:rPr>
      </w:pPr>
      <w:bookmarkStart w:id="20" w:name="_Toc147931430"/>
      <w:r>
        <w:rPr>
          <w:color w:val="auto"/>
        </w:rPr>
        <w:t>2.1 Introduction:</w:t>
      </w:r>
      <w:bookmarkEnd w:id="20"/>
    </w:p>
    <w:p>
      <w:pPr>
        <w:pStyle w:val="19"/>
        <w:ind w:firstLine="720"/>
        <w:rPr>
          <w:color w:val="auto"/>
        </w:rPr>
      </w:pPr>
      <w:r>
        <w:rPr>
          <w:color w:val="auto"/>
        </w:rPr>
        <w:t>Any serious academic effort must begin with a thorough examination of relevant prior work. Both hard work and a high level of intellectual prowess are required. The ability to conduct a critical analysis of the literature on a topic shows that the researcher has done extensive reading and study on the topic at hand. After gathering and analyzing relevant literature, researchers are better able to shed light on their topic of study, provide context, and draw connections to prior work. The researcher can see where their study fits in the bigger picture and what makes it distinctive through this process of analysis, which also helps to shed light on the study's motivations.</w:t>
      </w:r>
    </w:p>
    <w:p>
      <w:pPr>
        <w:pStyle w:val="19"/>
        <w:rPr>
          <w:color w:val="auto"/>
        </w:rPr>
      </w:pPr>
    </w:p>
    <w:p>
      <w:pPr>
        <w:pStyle w:val="19"/>
        <w:ind w:firstLine="720"/>
        <w:rPr>
          <w:color w:val="auto"/>
        </w:rPr>
      </w:pPr>
      <w:r>
        <w:rPr>
          <w:color w:val="auto"/>
        </w:rPr>
        <w:t>A review of the relevant literature can shed light on unexplored areas. Understanding the current state of the topic is crucial for future research because it reveals the most pressing questions that have yet to be answered and the most promising avenues for answering them. The researcher used a wide variety of print and digital resources, including scholarly articles, books, and journals, as well as reliable websites.</w:t>
      </w:r>
    </w:p>
    <w:p>
      <w:pPr>
        <w:pStyle w:val="3"/>
        <w:rPr>
          <w:color w:val="auto"/>
        </w:rPr>
      </w:pPr>
      <w:bookmarkStart w:id="21" w:name="_Toc147931431"/>
      <w:r>
        <w:rPr>
          <w:color w:val="auto"/>
        </w:rPr>
        <w:t>2.2 TATA MOTORS:</w:t>
      </w:r>
      <w:bookmarkEnd w:id="21"/>
    </w:p>
    <w:p>
      <w:pPr>
        <w:pStyle w:val="19"/>
        <w:ind w:firstLine="720"/>
        <w:rPr>
          <w:color w:val="auto"/>
        </w:rPr>
      </w:pPr>
      <w:r>
        <w:rPr>
          <w:color w:val="auto"/>
        </w:rPr>
        <w:t>The Tata Motors Limited headquarters are located in the Indian city of Mumbai in the state of Maharashtra. The corporation has a market valuation of $35 billion and produces cars, trucks, buses, sports cars, and even building supplies and military vehicles (Momaya, 2016).</w:t>
      </w:r>
    </w:p>
    <w:p>
      <w:pPr>
        <w:pStyle w:val="19"/>
        <w:ind w:firstLine="720"/>
        <w:rPr>
          <w:color w:val="auto"/>
        </w:rPr>
      </w:pPr>
      <w:r>
        <w:rPr>
          <w:color w:val="auto"/>
        </w:rPr>
        <w:t>The origins of Tata Motors may be traced all the way back to 1945, when the firm was established as a manufacturer of locomotives. In 1954, in conjunction with the German carmaker Daimler-Benz, they made their foray into the commercial vehicle industry. In 1991, the business launched a risky foray into the passenger vehicle market with the release of the Tata Sierra, a ground-breaking sport utility vehicle. Since then, the company has consistently introduced new variations of existing models aimed at different customer bases (</w:t>
      </w:r>
      <w:r>
        <w:rPr>
          <w:rFonts w:cs="Arial"/>
          <w:color w:val="auto"/>
          <w:shd w:val="clear" w:color="auto" w:fill="FFFFFF"/>
        </w:rPr>
        <w:t>Sharmelly, and Ray, 2018)</w:t>
      </w:r>
      <w:r>
        <w:rPr>
          <w:color w:val="auto"/>
        </w:rPr>
        <w:t>.</w:t>
      </w:r>
    </w:p>
    <w:p>
      <w:pPr>
        <w:pStyle w:val="19"/>
        <w:rPr>
          <w:color w:val="auto"/>
        </w:rPr>
      </w:pPr>
    </w:p>
    <w:p>
      <w:pPr>
        <w:pStyle w:val="19"/>
        <w:ind w:firstLine="720"/>
        <w:rPr>
          <w:color w:val="auto"/>
        </w:rPr>
      </w:pPr>
      <w:r>
        <w:rPr>
          <w:color w:val="auto"/>
        </w:rPr>
        <w:t>Tata Motors has spread its global wings to accomplish its mission of offering customers everywhere with superior products and experiences, not only in India (</w:t>
      </w:r>
      <w:r>
        <w:rPr>
          <w:rFonts w:cs="Arial"/>
          <w:color w:val="auto"/>
          <w:shd w:val="clear" w:color="auto" w:fill="FFFFFF"/>
        </w:rPr>
        <w:t>Hassan, and Shrivastava, 2019)</w:t>
      </w:r>
      <w:r>
        <w:rPr>
          <w:color w:val="auto"/>
        </w:rPr>
        <w:t>. It has grown to an astounding global scale, with operations in 182 countries and over 6,600 points of sale and contact for customers. Tata Motors has established a substantial global impact with its presence in markets across Europe, Africa, the Middle East, South Asia, Southeast Asia, South America, the CIS, and Russia. Tata Motors has taken extraordinary measures to guarantee complete client satisfaction (</w:t>
      </w:r>
      <w:r>
        <w:rPr>
          <w:rFonts w:cs="Arial"/>
          <w:color w:val="auto"/>
          <w:shd w:val="clear" w:color="auto" w:fill="FFFFFF"/>
        </w:rPr>
        <w:t>Malagihal, 2021)</w:t>
      </w:r>
      <w:r>
        <w:rPr>
          <w:color w:val="auto"/>
        </w:rPr>
        <w:t>.</w:t>
      </w:r>
    </w:p>
    <w:p>
      <w:pPr>
        <w:pStyle w:val="3"/>
      </w:pPr>
      <w:bookmarkStart w:id="22" w:name="_Toc147931432"/>
      <w:r>
        <w:t>2.3 Social Identity Theory:</w:t>
      </w:r>
      <w:bookmarkEnd w:id="22"/>
    </w:p>
    <w:p>
      <w:pPr>
        <w:pStyle w:val="19"/>
        <w:ind w:firstLine="720"/>
        <w:rPr>
          <w:color w:val="auto"/>
        </w:rPr>
      </w:pPr>
      <w:r>
        <w:rPr>
          <w:color w:val="auto"/>
        </w:rPr>
        <w:t xml:space="preserve">According to </w:t>
      </w:r>
      <w:r>
        <w:rPr>
          <w:color w:val="222222"/>
          <w:shd w:val="clear" w:color="auto" w:fill="FFFFFF"/>
        </w:rPr>
        <w:t>Tajfel, and Turner, (2004</w:t>
      </w:r>
      <w:r>
        <w:rPr>
          <w:color w:val="auto"/>
        </w:rPr>
        <w:t>), the social identity theory postulates that an individual's sense of self is generated not just from their own personal characteristics and desires but also from their memberships and affiliations within other society groupings. This means that people classify themselves into specific groups according to similar characteristics, such as their way of life, their professional roles, or their educational backgrounds. Individuals are better able to form their identities and comprehend the roles they play in society as a result of this categorization, while at the same time, others are categorized as either adhering to their group (in-group) or not (out-group) (</w:t>
      </w:r>
      <w:r>
        <w:rPr>
          <w:color w:val="222222"/>
          <w:shd w:val="clear" w:color="auto" w:fill="FFFFFF"/>
        </w:rPr>
        <w:t>Brown, 2000)</w:t>
      </w:r>
      <w:r>
        <w:rPr>
          <w:color w:val="auto"/>
        </w:rPr>
        <w:t>.</w:t>
      </w:r>
    </w:p>
    <w:p>
      <w:pPr>
        <w:pStyle w:val="19"/>
        <w:ind w:firstLine="720"/>
        <w:rPr>
          <w:rFonts w:ascii="Arial" w:hAnsi="Arial" w:cs="Arial"/>
          <w:color w:val="222222"/>
          <w:sz w:val="20"/>
          <w:szCs w:val="20"/>
          <w:shd w:val="clear" w:color="auto" w:fill="FFFFFF"/>
        </w:rPr>
      </w:pPr>
    </w:p>
    <w:p>
      <w:pPr>
        <w:pStyle w:val="19"/>
        <w:ind w:firstLine="720"/>
        <w:rPr>
          <w:color w:val="auto"/>
        </w:rPr>
      </w:pPr>
      <w:r>
        <w:rPr>
          <w:color w:val="auto"/>
        </w:rPr>
        <w:t xml:space="preserve">In the field of brand communities, a number of scholars have made use of the concepts that are central to social identity theory. According to research conducted by </w:t>
      </w:r>
      <w:r>
        <w:rPr>
          <w:color w:val="222222"/>
          <w:shd w:val="clear" w:color="auto" w:fill="FFFFFF"/>
        </w:rPr>
        <w:t>Ashforth, and Mael, (1989)</w:t>
      </w:r>
      <w:r>
        <w:rPr>
          <w:color w:val="auto"/>
        </w:rPr>
        <w:t xml:space="preserve">, individuals who are a part of brand communities frequently view themselves as essential components of these communities. This kind of acknowledgement not only helps them become more closely associated with the brand but also encourages them to recognize themselves in relation to the company and the community it serves. In addition, </w:t>
      </w:r>
      <w:r>
        <w:rPr>
          <w:color w:val="222222"/>
          <w:shd w:val="clear" w:color="auto" w:fill="FFFFFF"/>
        </w:rPr>
        <w:t>McLeod, (2008</w:t>
      </w:r>
      <w:r>
        <w:rPr>
          <w:color w:val="auto"/>
        </w:rPr>
        <w:t>) found that when a consumer's in-group identification is aligned with a brand's identity, the relationship between the buyer and the brand tends to become deeper.</w:t>
      </w:r>
    </w:p>
    <w:p>
      <w:pPr>
        <w:pStyle w:val="19"/>
        <w:rPr>
          <w:color w:val="auto"/>
        </w:rPr>
      </w:pPr>
    </w:p>
    <w:p>
      <w:pPr>
        <w:pStyle w:val="19"/>
        <w:ind w:firstLine="720"/>
        <w:rPr>
          <w:color w:val="auto"/>
        </w:rPr>
      </w:pPr>
      <w:r>
        <w:rPr>
          <w:color w:val="auto"/>
        </w:rPr>
        <w:t>The social identification theory also stresses the fact that individuals frequently link their sense of self-esteem to the accomplishments and perceptions of the group with which they identify (</w:t>
      </w:r>
      <w:r>
        <w:rPr>
          <w:color w:val="222222"/>
          <w:shd w:val="clear" w:color="auto" w:fill="FFFFFF"/>
        </w:rPr>
        <w:t>Ellemers, and Haslam, 2012)</w:t>
      </w:r>
      <w:r>
        <w:rPr>
          <w:color w:val="auto"/>
        </w:rPr>
        <w:t>. Because of this, they tend to emphasize the qualities that are unique to their group while downplaying the qualities that other organizations share. When this concept is applied to online brand communities, it means that members will typically have a favourable opinion of their brand while having a negative opinion of competing businesses or their communities (</w:t>
      </w:r>
      <w:r>
        <w:rPr>
          <w:color w:val="222222"/>
          <w:shd w:val="clear" w:color="auto" w:fill="FFFFFF"/>
        </w:rPr>
        <w:t>Hogg, M.A., 2016)</w:t>
      </w:r>
      <w:r>
        <w:rPr>
          <w:color w:val="auto"/>
        </w:rPr>
        <w:t>. This behaviour is a reflection of something known as oppositional brand loyalty, which can be seen in online forums dedicated to specific brands.</w:t>
      </w:r>
    </w:p>
    <w:p>
      <w:pPr>
        <w:pStyle w:val="19"/>
        <w:rPr>
          <w:color w:val="auto"/>
        </w:rPr>
      </w:pPr>
    </w:p>
    <w:p>
      <w:pPr>
        <w:pStyle w:val="19"/>
        <w:ind w:firstLine="720"/>
        <w:rPr>
          <w:color w:val="auto"/>
        </w:rPr>
      </w:pPr>
      <w:r>
        <w:rPr>
          <w:color w:val="auto"/>
        </w:rPr>
        <w:t>The strong brand loyalty that is expressed in brand communities is, in essence, a reflection of the partiality that is shown toward one's own in-group, which is clarified by social identity theory (</w:t>
      </w:r>
      <w:r>
        <w:rPr>
          <w:color w:val="222222"/>
          <w:shd w:val="clear" w:color="auto" w:fill="FFFFFF"/>
        </w:rPr>
        <w:t>Scheepers, and Ellemers, 2019)</w:t>
      </w:r>
      <w:r>
        <w:rPr>
          <w:color w:val="auto"/>
        </w:rPr>
        <w:t>. In light of this, the framework that we have presented would make use of the fundamentals of social identity theory, with a particular emphasis on the identification of consumers and brand communities, in order to investigate the deep linkages that exist between customers, brand communities, and the brands directly.</w:t>
      </w:r>
    </w:p>
    <w:p>
      <w:pPr>
        <w:pStyle w:val="3"/>
        <w:rPr>
          <w:color w:val="auto"/>
        </w:rPr>
      </w:pPr>
      <w:bookmarkStart w:id="23" w:name="_Toc147931433"/>
      <w:r>
        <w:rPr>
          <w:color w:val="auto"/>
        </w:rPr>
        <w:t>2.4 Brand Image:</w:t>
      </w:r>
      <w:bookmarkEnd w:id="23"/>
    </w:p>
    <w:p>
      <w:pPr>
        <w:pStyle w:val="19"/>
        <w:ind w:firstLine="720"/>
        <w:rPr>
          <w:color w:val="auto"/>
        </w:rPr>
      </w:pPr>
      <w:r>
        <w:rPr>
          <w:color w:val="auto"/>
        </w:rPr>
        <w:t>According to Reza Jalilvand and Samiei (2012), the construction of a positive brand image is of the utmost importance in ensuring the effective reception of a marketing program. This is because the creation of a favourable brand image nurtures distinct brand associations, which contribute to the retention of customers. According to Bruhn, Schoenmueller, and Schafer (2012), the formation of a brand image is driven by brand associations, which emphasize characteristics and benefits that build client trust. Specifically, these linkages highlight the fact that a brand is reliable. These connections serve as indicators of the degree to which a brand successfully satisfies the requirements of its customers, which eventually leads to favourable attitudes toward the brand. According to Singh (2013), the ability of these brand links to uphold and transmit accurate brand information is one of the factors that determines how long they will last. Because of the growing competition in the market, brands are being forced to find ways to set themselves apart from their competitors. As a result, the uniqueness of the associations consumers have with brands is of major value. According to Sasmita and Suki (2015), emergence can take place across various dimensions, including attributes connected with the product, perceived functional benefits, and the overall picture that consumers have of the brand. According to Godey et al. (2016), the idea of brand image encompasses not only the surface-level views of customers but also the psychological components of how customers perceive brands. This includes the impressions that are deeply embedded in the consumer's subconscious and which are shaped by the consumer's expectations of the brand as well as their interactions with the brand. In addition, Iorait (2018) explains that the concept of a brand image refers to how a company portrays its goods or services, combining symbolic implications that customers link with particular aspects of the products or services being offered. According to Hermawan (2019), it is noted that the image of a brand can represent its most significant relationships, which can take the form of intangible qualities or abstract advantages, especially when the brand spans a variety of product categories. This is particularly true when the brand in question includes many product categories. According to Andreja (2018), the concept of brand image incorporates both the rational and emotional assessments that purchasers create about a certain brand. According to Arifiya, Prasasty, and Nurhidayati (2021), positive perceptions are typically fueled by a brand's particular benefits, remarkable standing, general acceptability, dependability, and attention to providing unmatched service.</w:t>
      </w:r>
    </w:p>
    <w:p>
      <w:pPr>
        <w:pStyle w:val="19"/>
        <w:rPr>
          <w:color w:val="auto"/>
        </w:rPr>
      </w:pPr>
    </w:p>
    <w:p>
      <w:pPr>
        <w:pStyle w:val="19"/>
        <w:ind w:firstLine="720"/>
      </w:pPr>
      <w:r>
        <w:t>According to Jin, Lee, and Huffman, (2012), the image of a brand plays a significant part in determining how customers feel about and respond to a particular product or service. According to Zeithaml's research from 1988, it acts as an external reference point for customers as they evaluate a product or service prior to making a purchase. According to the theory of reasoned action (Lien et al., 2015), consumers assess the effects of various acts before deciding on them (Bahari et al., 2020). This theory was developed by Fishbein and Ajzen in 1975. According to Bang et al. (2000), a consumer's attitude toward a certain activity and the prevalent social norms in their society both have an effect on the consumer's intent to act.</w:t>
      </w:r>
    </w:p>
    <w:p>
      <w:pPr>
        <w:pStyle w:val="19"/>
        <w:ind w:firstLine="720"/>
      </w:pPr>
    </w:p>
    <w:p>
      <w:pPr>
        <w:pStyle w:val="19"/>
        <w:ind w:firstLine="720"/>
        <w:rPr>
          <w:color w:val="auto"/>
        </w:rPr>
      </w:pPr>
      <w:r>
        <w:rPr>
          <w:color w:val="222222"/>
          <w:shd w:val="clear" w:color="auto" w:fill="FFFFFF"/>
        </w:rPr>
        <w:t>Chinomona (2016</w:t>
      </w:r>
      <w:r>
        <w:rPr>
          <w:color w:val="auto"/>
        </w:rPr>
        <w:t xml:space="preserve">) defines brand image as the views that consumers have about a brand, which are impacted by their memories and associations with the brand. These impressions are referred to as "brand attitudes." According to </w:t>
      </w:r>
      <w:r>
        <w:rPr>
          <w:shd w:val="clear" w:color="auto" w:fill="FFFFFF"/>
        </w:rPr>
        <w:t>Bilgin (2018</w:t>
      </w:r>
      <w:r>
        <w:rPr>
          <w:color w:val="auto"/>
        </w:rPr>
        <w:t xml:space="preserve">), the durability of this relationship can be strengthened either through direct buyer encounters or through the efforts of marketers. Attributes, advantages, and overarching attitudes are the three categories that can be used to classify brand relationships. According to </w:t>
      </w:r>
      <w:r>
        <w:rPr>
          <w:color w:val="222222"/>
          <w:shd w:val="clear" w:color="auto" w:fill="FFFFFF"/>
        </w:rPr>
        <w:t>Plumeyer et al. (2019</w:t>
      </w:r>
      <w:r>
        <w:rPr>
          <w:color w:val="auto"/>
        </w:rPr>
        <w:t xml:space="preserve">), the appeal, power, and uniqueness of these relationships can each play a role in shaping their individual characteristics. According to </w:t>
      </w:r>
      <w:r>
        <w:rPr>
          <w:shd w:val="clear" w:color="auto" w:fill="FFFFFF"/>
        </w:rPr>
        <w:t>Novansa, and Ali, (2017</w:t>
      </w:r>
      <w:r>
        <w:rPr>
          <w:color w:val="auto"/>
        </w:rPr>
        <w:t xml:space="preserve">), a good attitude toward a brand and its qualities is the direct result of having a positive image of the brand. Furthermore, according to </w:t>
      </w:r>
      <w:r>
        <w:rPr>
          <w:color w:val="222222"/>
          <w:shd w:val="clear" w:color="auto" w:fill="FFFFFF"/>
        </w:rPr>
        <w:t>Erkmen, and Hancer, (2019</w:t>
      </w:r>
      <w:r>
        <w:rPr>
          <w:color w:val="auto"/>
        </w:rPr>
        <w:t>), a powerful brand image assists customers in determining the unique requirements they have in relation to the company and distinguishes the business from its rivals.</w:t>
      </w:r>
    </w:p>
    <w:p>
      <w:pPr>
        <w:pStyle w:val="3"/>
        <w:rPr>
          <w:color w:val="auto"/>
        </w:rPr>
      </w:pPr>
      <w:bookmarkStart w:id="24" w:name="_Toc147931434"/>
      <w:r>
        <w:rPr>
          <w:color w:val="auto"/>
        </w:rPr>
        <w:t>2.4 Brand loyalty:</w:t>
      </w:r>
      <w:bookmarkEnd w:id="24"/>
    </w:p>
    <w:p>
      <w:pPr>
        <w:pStyle w:val="19"/>
        <w:ind w:firstLine="720"/>
        <w:rPr>
          <w:color w:val="auto"/>
        </w:rPr>
      </w:pPr>
      <w:r>
        <w:rPr>
          <w:color w:val="auto"/>
        </w:rPr>
        <w:t xml:space="preserve">A multi-faceted idea, brand loyalty brings considerable benefits to customers as well as to the companies that serve them. According to </w:t>
      </w:r>
      <w:r>
        <w:t>Ishak, and Abd Ghani, (2013</w:t>
      </w:r>
      <w:r>
        <w:rPr>
          <w:color w:val="auto"/>
        </w:rPr>
        <w:t xml:space="preserve">), comprehending brand loyalty calls for a complex investigation due to the fact that it involves multiple different dimensions. According to </w:t>
      </w:r>
      <w:r>
        <w:t>Alhaddad, (2015</w:t>
      </w:r>
      <w:r>
        <w:rPr>
          <w:color w:val="auto"/>
        </w:rPr>
        <w:t>), defining and quantifying brand loyalty is difficult since it is formed by two independent aspects: an individual's attitude and their conduct. The factor of attitude emphasizes that loyalty results from a favorable relationship or allegiance between the customer and the brand. This sentiment is mostly caused by the matching of the characteristics of the brand with the preferences of individual customers. On the other hand, the behavioral part of loyalty is driven by the consumer's previous buying behaviors, which in turn leads to the formation of certain purchasing patterns (</w:t>
      </w:r>
      <w:r>
        <w:t>Ngobo, 2017</w:t>
      </w:r>
      <w:r>
        <w:rPr>
          <w:color w:val="auto"/>
        </w:rPr>
        <w:t>).</w:t>
      </w:r>
    </w:p>
    <w:p>
      <w:pPr>
        <w:pStyle w:val="19"/>
        <w:ind w:firstLine="720"/>
        <w:rPr>
          <w:color w:val="auto"/>
        </w:rPr>
      </w:pPr>
    </w:p>
    <w:p>
      <w:pPr>
        <w:pStyle w:val="19"/>
        <w:ind w:firstLine="720"/>
        <w:rPr>
          <w:color w:val="auto"/>
        </w:rPr>
      </w:pPr>
      <w:r>
        <w:rPr>
          <w:color w:val="auto"/>
        </w:rPr>
        <w:t xml:space="preserve">According to </w:t>
      </w:r>
      <w:r>
        <w:rPr>
          <w:shd w:val="clear" w:color="auto" w:fill="FFFFFF"/>
        </w:rPr>
        <w:t>Bisschoff, and Moolla, (2014</w:t>
      </w:r>
      <w:r>
        <w:rPr>
          <w:color w:val="auto"/>
        </w:rPr>
        <w:t>), brand loyalty can be defined as a profound commitment to continually choose and support a chosen product or service in the future. This devotion continues to hold true even in the face of external events or marketing efforts that might convince the customer to switch to a different brand. In the meantime</w:t>
      </w:r>
      <w:r>
        <w:rPr>
          <w:shd w:val="clear" w:color="auto" w:fill="FFFFFF"/>
        </w:rPr>
        <w:t xml:space="preserve"> Severi, and Ling, (2013</w:t>
      </w:r>
      <w:r>
        <w:rPr>
          <w:color w:val="auto"/>
        </w:rPr>
        <w:t>) defines brand loyalty as the tendency of a customer to remain with a brand, especially when that brand goes through changes in pricing or product attributes.</w:t>
      </w:r>
    </w:p>
    <w:p>
      <w:pPr>
        <w:pStyle w:val="19"/>
        <w:ind w:firstLine="720"/>
        <w:rPr>
          <w:color w:val="auto"/>
        </w:rPr>
      </w:pPr>
      <w:r>
        <w:rPr>
          <w:color w:val="auto"/>
        </w:rPr>
        <w:t>The conception and measurement of this phenomena take up a significant amount of space in the field of research on brand loyalty. According to He, Li, and Harris (2012), the complexity stems from the fact that brand loyalty is influenced by two distinct factors: specifically, one's attitude toward the brand, and one's behavior toward the brand. The attitudinal dimension emphasizes the idea that customer loyalty results from a strong attachment or commitment shared by the consumer and the brand. The formation of this bond takes place when there is congruence between the attributes of the brand and the preferences of the customer. The behavioral component, on the other hand, provides a relationship between consumer loyalty and the consumer's previous purchases. This connection indicates that consistent buying behaviors contribute to the creation of ingrained purchasing habits. According to Lazarevic (2012), the concept of "brand loyalty" may be described as "a deep-seated dedication displayed by consumers who repeatedly opt for a certain product or service in the future, even when presented with alternative options or marketing tactics aimed at promoting brand switching." In other words, brand loyalty can be thought of as "a deep-seated dedication exhibited by consumers who repeatedly opt for a certain product or service in the future." According to Romaniuk and Nenycz-Thiel (2013), the concept of "brand loyalty" can be summed up as the likelihood that a customer will migrate to a different brand, particularly in reaction to shifts in pricing or variations in the attributes of the product in question.</w:t>
      </w:r>
    </w:p>
    <w:p>
      <w:pPr>
        <w:pStyle w:val="19"/>
        <w:ind w:firstLine="720"/>
        <w:rPr>
          <w:color w:val="auto"/>
        </w:rPr>
      </w:pPr>
    </w:p>
    <w:p>
      <w:pPr>
        <w:pStyle w:val="19"/>
        <w:ind w:firstLine="720"/>
        <w:rPr>
          <w:color w:val="auto"/>
        </w:rPr>
      </w:pPr>
      <w:r>
        <w:rPr>
          <w:color w:val="auto"/>
        </w:rPr>
        <w:t>Earlier studies (Alhaddad, 2015; Cengiz, and Akdemir-Cengiz, 2016) stresses the significance of its contribution as a key component of brand value. The fact that there are several benefits connected with brand loyalty for enterprises (Alhaddad, 2015; Cengiz, and Akdemir-Cengiz, 2016). Loyal customers frequently contribute to the reduction of operational expenses, demonstrate less sensitivity to price variations, facilitate the acquisition of new loyal clientele, and provide a competitive edge within the global marketplace. In addition, loyal customers facilitate the acquisition of new loyal clientele. Within the scope of the research project that Tabaku and Zerellari (2015) carried out, an investigation was carried out to investigate the phenomena of brand loyalty via the prism of "brand resonance." According to Huang (2017) and Bilgin (2018), the concept of "brand relationship depth" refers to the level to which a link is developed between customers and brands. Customers who have real brand resonance are extremely loyal to the brand, take part in a variety of activities associated with the brand, and are willing to discuss their experiences with the brand with their contemporaries (Parris and Guzmán, 2023).</w:t>
      </w:r>
    </w:p>
    <w:p>
      <w:pPr>
        <w:pStyle w:val="3"/>
        <w:rPr>
          <w:color w:val="auto"/>
        </w:rPr>
      </w:pPr>
      <w:bookmarkStart w:id="25" w:name="_Toc147931435"/>
      <w:r>
        <w:rPr>
          <w:color w:val="auto"/>
        </w:rPr>
        <w:t>2.5 Buyer’s intention:</w:t>
      </w:r>
      <w:bookmarkEnd w:id="25"/>
    </w:p>
    <w:p>
      <w:pPr>
        <w:ind w:firstLine="720"/>
        <w:jc w:val="both"/>
        <w:rPr>
          <w:color w:val="000000" w:themeColor="text1"/>
          <w14:textFill>
            <w14:solidFill>
              <w14:schemeClr w14:val="tx1"/>
            </w14:solidFill>
          </w14:textFill>
        </w:rPr>
      </w:pPr>
      <w:r>
        <w:rPr>
          <w:color w:val="000000" w:themeColor="text1"/>
          <w14:textFill>
            <w14:solidFill>
              <w14:schemeClr w14:val="tx1"/>
            </w14:solidFill>
          </w14:textFill>
        </w:rPr>
        <w:t>Evaluation of the potential success of establishing a new distribution channel might benefit greatly from the utilization of purchase intentions as a key parameter (</w:t>
      </w:r>
      <w:r>
        <w:rPr>
          <w:color w:val="000000" w:themeColor="text1"/>
          <w:shd w:val="clear" w:color="auto" w:fill="FFFFFF"/>
          <w14:textFill>
            <w14:solidFill>
              <w14:schemeClr w14:val="tx1"/>
            </w14:solidFill>
          </w14:textFill>
        </w:rPr>
        <w:t>Chae et al., 2020)</w:t>
      </w:r>
      <w:r>
        <w:rPr>
          <w:color w:val="000000" w:themeColor="text1"/>
          <w14:textFill>
            <w14:solidFill>
              <w14:schemeClr w14:val="tx1"/>
            </w14:solidFill>
          </w14:textFill>
        </w:rPr>
        <w:t>. By evaluating these intents, managers are able to determine whether or not they should further develop the concept and also determine which locations and consumer demographics would be the most open to the introduction of a new channel (</w:t>
      </w:r>
      <w:r>
        <w:rPr>
          <w:color w:val="000000" w:themeColor="text1"/>
          <w:shd w:val="clear" w:color="auto" w:fill="FFFFFF"/>
          <w14:textFill>
            <w14:solidFill>
              <w14:schemeClr w14:val="tx1"/>
            </w14:solidFill>
          </w14:textFill>
        </w:rPr>
        <w:t>Phuong, and Dat, 2017</w:t>
      </w:r>
      <w:r>
        <w:rPr>
          <w:color w:val="000000" w:themeColor="text1"/>
          <w14:textFill>
            <w14:solidFill>
              <w14:schemeClr w14:val="tx1"/>
            </w14:solidFill>
          </w14:textFill>
        </w:rPr>
        <w:t xml:space="preserve">). According to </w:t>
      </w:r>
      <w:r>
        <w:rPr>
          <w:color w:val="000000" w:themeColor="text1"/>
          <w:shd w:val="clear" w:color="auto" w:fill="FFFFFF"/>
          <w14:textFill>
            <w14:solidFill>
              <w14:schemeClr w14:val="tx1"/>
            </w14:solidFill>
          </w14:textFill>
        </w:rPr>
        <w:t>Li et al. (2021</w:t>
      </w:r>
      <w:r>
        <w:rPr>
          <w:color w:val="000000" w:themeColor="text1"/>
          <w14:textFill>
            <w14:solidFill>
              <w14:schemeClr w14:val="tx1"/>
            </w14:solidFill>
          </w14:textFill>
        </w:rPr>
        <w:t>), the reason that purchase intentions are given such weight is because of their well-established function as a main indication of actual consumer behaviour. Examination of purchase intentions is essential to the success of online businesses given the potency of these intents to predict future behavior.</w:t>
      </w:r>
    </w:p>
    <w:p>
      <w:pPr>
        <w:jc w:val="both"/>
        <w:rPr>
          <w:color w:val="000000" w:themeColor="text1"/>
          <w14:textFill>
            <w14:solidFill>
              <w14:schemeClr w14:val="tx1"/>
            </w14:solidFill>
          </w14:textFill>
        </w:rPr>
      </w:pPr>
      <w:r>
        <w:rPr>
          <w:color w:val="000000" w:themeColor="text1"/>
          <w14:textFill>
            <w14:solidFill>
              <w14:schemeClr w14:val="tx1"/>
            </w14:solidFill>
          </w14:textFill>
        </w:rPr>
        <w:tab/>
      </w:r>
      <w:r>
        <w:rPr>
          <w:color w:val="000000" w:themeColor="text1"/>
          <w14:textFill>
            <w14:solidFill>
              <w14:schemeClr w14:val="tx1"/>
            </w14:solidFill>
          </w14:textFill>
        </w:rPr>
        <w:t>In the framework of our study, our investigation is focused mostly on people's intentions to make purchases. This model acts throughout the period leading up to a purchase and focuses on the aspects of motivation that influence a customer's actions (</w:t>
      </w:r>
      <w:r>
        <w:rPr>
          <w:color w:val="000000" w:themeColor="text1"/>
          <w:shd w:val="clear" w:color="auto" w:fill="FFFFFF"/>
          <w14:textFill>
            <w14:solidFill>
              <w14:schemeClr w14:val="tx1"/>
            </w14:solidFill>
          </w14:textFill>
        </w:rPr>
        <w:t>Hosein, 2012</w:t>
      </w:r>
      <w:r>
        <w:rPr>
          <w:color w:val="000000" w:themeColor="text1"/>
          <w14:textFill>
            <w14:solidFill>
              <w14:schemeClr w14:val="tx1"/>
            </w14:solidFill>
          </w14:textFill>
        </w:rPr>
        <w:t xml:space="preserve">). It runs during this phase. According to </w:t>
      </w:r>
      <w:r>
        <w:rPr>
          <w:color w:val="000000" w:themeColor="text1"/>
          <w:shd w:val="clear" w:color="auto" w:fill="FFFFFF"/>
          <w14:textFill>
            <w14:solidFill>
              <w14:schemeClr w14:val="tx1"/>
            </w14:solidFill>
          </w14:textFill>
        </w:rPr>
        <w:t>Asif et al. (2018</w:t>
      </w:r>
      <w:r>
        <w:rPr>
          <w:color w:val="000000" w:themeColor="text1"/>
          <w14:textFill>
            <w14:solidFill>
              <w14:schemeClr w14:val="tx1"/>
            </w14:solidFill>
          </w14:textFill>
        </w:rPr>
        <w:t xml:space="preserve">), one of the most important things to understand in order to forecast customer behaviour is the attitudes, evaluations, and internal factors that culminate in the intention to purchase. This research adopts </w:t>
      </w:r>
      <w:r>
        <w:rPr>
          <w:color w:val="000000" w:themeColor="text1"/>
          <w:shd w:val="clear" w:color="auto" w:fill="FFFFFF"/>
          <w14:textFill>
            <w14:solidFill>
              <w14:schemeClr w14:val="tx1"/>
            </w14:solidFill>
          </w14:textFill>
        </w:rPr>
        <w:t>Peña-García et al. (2020</w:t>
      </w:r>
      <w:r>
        <w:rPr>
          <w:color w:val="000000" w:themeColor="text1"/>
          <w14:textFill>
            <w14:solidFill>
              <w14:schemeClr w14:val="tx1"/>
            </w14:solidFill>
          </w14:textFill>
        </w:rPr>
        <w:t>) definition of online purchase intention, which states that the term refers to the degree to which a consumer is considering making a purchase from an online shop.</w:t>
      </w:r>
    </w:p>
    <w:p>
      <w:pPr>
        <w:pStyle w:val="19"/>
        <w:ind w:firstLine="720"/>
        <w:rPr>
          <w:color w:val="auto"/>
        </w:rPr>
      </w:pPr>
      <w:r>
        <w:rPr>
          <w:color w:val="auto"/>
        </w:rPr>
        <w:t>Selecting, acquiring, and assessing a product or service are all steps in the purchase decision-making process (</w:t>
      </w:r>
      <w:r>
        <w:rPr>
          <w:rFonts w:cs="Arial"/>
          <w:color w:val="auto"/>
          <w:shd w:val="clear" w:color="auto" w:fill="FFFFFF"/>
        </w:rPr>
        <w:t>Shiau, and Luo, 2012</w:t>
      </w:r>
      <w:r>
        <w:rPr>
          <w:color w:val="auto"/>
        </w:rPr>
        <w:t xml:space="preserve">). </w:t>
      </w:r>
      <w:r>
        <w:rPr>
          <w:rFonts w:cs="Arial"/>
          <w:color w:val="auto"/>
          <w:shd w:val="clear" w:color="auto" w:fill="FFFFFF"/>
        </w:rPr>
        <w:t>Cheng, and Huang, (2013</w:t>
      </w:r>
      <w:r>
        <w:rPr>
          <w:color w:val="auto"/>
        </w:rPr>
        <w:t xml:space="preserve">) argue that marketing stimuli and contextual factors, both of which alter individual attributes, influence consumer purchasing decisions. Societal and environmental factors that affect how much something is valued may have a significant effect on consumer behavior, as discovered by </w:t>
      </w:r>
      <w:r>
        <w:rPr>
          <w:rFonts w:cs="Arial"/>
          <w:color w:val="auto"/>
          <w:shd w:val="clear" w:color="auto" w:fill="FFFFFF"/>
        </w:rPr>
        <w:t>Sertoglu, Catli, and Korkmaz, 2014</w:t>
      </w:r>
      <w:r>
        <w:rPr>
          <w:color w:val="auto"/>
        </w:rPr>
        <w:t>). According to Li et al. (</w:t>
      </w:r>
      <w:r>
        <w:rPr>
          <w:rFonts w:cs="Arial"/>
          <w:color w:val="auto"/>
          <w:shd w:val="clear" w:color="auto" w:fill="FFFFFF"/>
        </w:rPr>
        <w:t>2012</w:t>
      </w:r>
      <w:r>
        <w:rPr>
          <w:color w:val="auto"/>
        </w:rPr>
        <w:t xml:space="preserve">), customers' purchasing decisions can be significantly impacted by a product's country of origin. Another factor that can influence a consumer's decision to buy is their level of familiarity with the product or brand, as suggested by </w:t>
      </w:r>
      <w:r>
        <w:rPr>
          <w:rFonts w:cs="Arial"/>
          <w:color w:val="auto"/>
          <w:shd w:val="clear" w:color="auto" w:fill="FFFFFF"/>
        </w:rPr>
        <w:t>Aziz et al. (2014</w:t>
      </w:r>
      <w:r>
        <w:rPr>
          <w:color w:val="auto"/>
        </w:rPr>
        <w:t>). It's also been observed that consumers lean toward purchasing goods made in economically advanced countries (</w:t>
      </w:r>
      <w:r>
        <w:rPr>
          <w:rFonts w:cs="Arial"/>
          <w:color w:val="auto"/>
          <w:shd w:val="clear" w:color="auto" w:fill="FFFFFF"/>
        </w:rPr>
        <w:t>Pornpitakpan, Yuan, and Han, 2017</w:t>
      </w:r>
      <w:r>
        <w:rPr>
          <w:color w:val="auto"/>
        </w:rPr>
        <w:t>). Li et al. (</w:t>
      </w:r>
      <w:r>
        <w:rPr>
          <w:rFonts w:cs="Arial"/>
          <w:color w:val="auto"/>
          <w:shd w:val="clear" w:color="auto" w:fill="FFFFFF"/>
        </w:rPr>
        <w:t>2012</w:t>
      </w:r>
      <w:r>
        <w:rPr>
          <w:color w:val="auto"/>
        </w:rPr>
        <w:t xml:space="preserve">) found that a product's or brand's reputation influenced consumers' decisions about whether or not to buy. </w:t>
      </w:r>
      <w:r>
        <w:rPr>
          <w:rFonts w:cs="Arial"/>
          <w:color w:val="auto"/>
          <w:shd w:val="clear" w:color="auto" w:fill="FFFFFF"/>
        </w:rPr>
        <w:t xml:space="preserve">Thanajaro, (2016) </w:t>
      </w:r>
      <w:r>
        <w:rPr>
          <w:color w:val="auto"/>
        </w:rPr>
        <w:t xml:space="preserve">research supports the idea that consumers' actions can be explained by the notion that their perceived self-worth will increase due to making a specific purchase. Additionally, </w:t>
      </w:r>
      <w:r>
        <w:rPr>
          <w:rFonts w:cs="Arial"/>
          <w:color w:val="auto"/>
          <w:shd w:val="clear" w:color="auto" w:fill="FFFFFF"/>
        </w:rPr>
        <w:t>Pornpitakpan, Yuan, and Han, (2017</w:t>
      </w:r>
      <w:r>
        <w:rPr>
          <w:color w:val="auto"/>
        </w:rPr>
        <w:t xml:space="preserve">) argues that the presence of a versatile payment mechanism and the possibility of a return policy for defective products significantly impact a customer's willingness to make a purchase. </w:t>
      </w:r>
      <w:r>
        <w:rPr>
          <w:rFonts w:cs="Arial"/>
          <w:color w:val="auto"/>
          <w:shd w:val="clear" w:color="auto" w:fill="FFFFFF"/>
        </w:rPr>
        <w:t>Ramkumar et al. (2019</w:t>
      </w:r>
      <w:r>
        <w:rPr>
          <w:color w:val="auto"/>
        </w:rPr>
        <w:t>) argues that suggestions from friends and family members, among other forms of peer influence, have a significant impact on the decision-making process. Choosing what to buy involves a series of actions, the first of which is the collection and evaluation of relevant information about available options.</w:t>
      </w:r>
    </w:p>
    <w:p>
      <w:pPr>
        <w:pStyle w:val="19"/>
        <w:ind w:firstLine="720"/>
        <w:rPr>
          <w:color w:val="auto"/>
        </w:rPr>
      </w:pPr>
    </w:p>
    <w:p>
      <w:pPr>
        <w:pStyle w:val="19"/>
        <w:ind w:firstLine="720"/>
        <w:rPr>
          <w:color w:val="auto"/>
        </w:rPr>
      </w:pPr>
      <w:r>
        <w:rPr>
          <w:color w:val="auto"/>
        </w:rPr>
        <w:t xml:space="preserve"> According to </w:t>
      </w:r>
      <w:r>
        <w:rPr>
          <w:rFonts w:cs="Arial"/>
          <w:color w:val="auto"/>
          <w:shd w:val="clear" w:color="auto" w:fill="FFFFFF"/>
        </w:rPr>
        <w:t>Pornpitakpan, Yuan, and Han, (2017</w:t>
      </w:r>
      <w:r>
        <w:rPr>
          <w:color w:val="auto"/>
        </w:rPr>
        <w:t xml:space="preserve">), this can be characterized as an integration process that combines knowledge in order to evaluate several possible actions before ultimately selecting one. According to </w:t>
      </w:r>
      <w:r>
        <w:rPr>
          <w:rFonts w:cs="Arial"/>
          <w:color w:val="auto"/>
          <w:shd w:val="clear" w:color="auto" w:fill="FFFFFF"/>
        </w:rPr>
        <w:t>Lăzăroiu et al. (2020</w:t>
      </w:r>
      <w:r>
        <w:rPr>
          <w:color w:val="auto"/>
        </w:rPr>
        <w:t xml:space="preserve">), customers go through multiple stages in the process of making a purchasing decision, which involves a detailed exploration of various factors before ultimately reaching a conclusion about a particular product. Additionally, </w:t>
      </w:r>
      <w:r>
        <w:rPr>
          <w:rFonts w:cs="Arial"/>
          <w:color w:val="auto"/>
          <w:shd w:val="clear" w:color="auto" w:fill="FFFFFF"/>
        </w:rPr>
        <w:t>Goel et al. (2022</w:t>
      </w:r>
      <w:r>
        <w:rPr>
          <w:color w:val="auto"/>
        </w:rPr>
        <w:t xml:space="preserve">) highlight the significance of purchasing decisions arising from a customer's desire to acquire a specific product. The determination of this choice is consistently based on individuals' assessment of the product's capacity to meet their requirements. </w:t>
      </w:r>
      <w:r>
        <w:rPr>
          <w:rFonts w:cs="Arial"/>
          <w:color w:val="auto"/>
          <w:shd w:val="clear" w:color="auto" w:fill="FFFFFF"/>
        </w:rPr>
        <w:t>Thanajaro, (2016</w:t>
      </w:r>
      <w:r>
        <w:rPr>
          <w:color w:val="auto"/>
        </w:rPr>
        <w:t>) enhances the comprehension of this subject by introducing the notion of purchase motives.</w:t>
      </w:r>
    </w:p>
    <w:p>
      <w:pPr>
        <w:pStyle w:val="3"/>
        <w:rPr>
          <w:color w:val="auto"/>
        </w:rPr>
      </w:pPr>
      <w:bookmarkStart w:id="26" w:name="_Toc147931436"/>
      <w:r>
        <w:rPr>
          <w:color w:val="auto"/>
        </w:rPr>
        <w:t>2.6 Customer trust:</w:t>
      </w:r>
      <w:bookmarkEnd w:id="26"/>
    </w:p>
    <w:p>
      <w:pPr>
        <w:pStyle w:val="19"/>
        <w:ind w:firstLine="720"/>
      </w:pPr>
      <w:r>
        <w:t>Consumer trust can be defined as the belief held by individuals that a particular product or service provider will consistently prioritize and protect the long-term well-being of consumers (Sarwar, Abbasi, and Pervaiz, 2012). Trust is a prominent topic in academic discourse, recognized as a crucial element in creating and sustaining long-term relationships between firms and their consumers (Choi, and La, 2013). This sentiment is notably widespread in marketplaces that prioritize service provision. According to Nguyen, Leclerc, and LeBlanc, (2013), establishing trust with customers is the initial stage in cultivating their loyalty. The significance of trust in influencing client loyalty is emphasized by scholars such as Martínez, and Del Bosque, (2013).</w:t>
      </w:r>
    </w:p>
    <w:p>
      <w:pPr>
        <w:pStyle w:val="19"/>
      </w:pPr>
    </w:p>
    <w:p>
      <w:pPr>
        <w:pStyle w:val="19"/>
        <w:ind w:firstLine="720"/>
      </w:pPr>
      <w:r>
        <w:t>Based on the principles of relationship marketing theory, numerous empirical investigations have repeatedly confirmed the significance of trust as a pivotal factor in establishing a connection between business strategy and consumer loyalty (Leninkumar, 2017). Moreover, trust plays a crucial role in fostering connections within the hotel industry. Trust, within the framework of transactions, is conceptualized as the confidence that one entity possesses regarding the dependability of another entity within an interactive association (Hariguna, and Berlilana, 2017). In the realm of marketing, trust is intricately linked to a consumer's expectations regarding a company's dedication to its obligations and the delivery of its promises (Iglesias et al., 2020). These expectations are based on three crucial elements: competence, honesty, and compassion (Manzoor et al., 2020).</w:t>
      </w:r>
    </w:p>
    <w:p>
      <w:pPr>
        <w:pStyle w:val="19"/>
        <w:ind w:firstLine="720"/>
      </w:pPr>
      <w:r>
        <w:t>Competence encompasses the realm of specialized knowledge and skills. From the standpoint of a consumer, this might be interpreted as the level of competence exhibited by a company in carrying out transactions and fulfilling predetermined requirements (Ye et al., 2019).The virtue of honesty aligns with the firm's established history of consistently upholding its commitments. Benevolence, conversely, reflects a company's intention to emphasize the well-being of consumers while formulating decisions and engaging in activities (Iglesias et al., 2020). The importance of trust in determining behavioral proclivities is clearly established in the literature. Trust plays a pivotal role in facilitating firms' ability to not only foster but also maintain client loyalty (Islam et al., 2021). Consumers that possess a high level of trust consistently anticipate that companies will uphold their commitments and prioritize their welfare.</w:t>
      </w:r>
    </w:p>
    <w:p>
      <w:pPr>
        <w:pStyle w:val="19"/>
        <w:ind w:firstLine="720"/>
      </w:pPr>
      <w:r>
        <w:t xml:space="preserve">According to </w:t>
      </w:r>
      <w:r>
        <w:rPr>
          <w:color w:val="222222"/>
          <w:shd w:val="clear" w:color="auto" w:fill="FFFFFF"/>
        </w:rPr>
        <w:t>Jung, and Soo, (2012</w:t>
      </w:r>
      <w:r>
        <w:t>), the term "customer trust" refers to an individual's propensity to interact with others in transactions, deriving from confidence in those other parties. This definition of "customer trust" In addition, it indicates that one believes another party will behave in accordance with their expectations, without taking excessive advantage of the circumstances (</w:t>
      </w:r>
      <w:r>
        <w:rPr>
          <w:color w:val="222222"/>
          <w:shd w:val="clear" w:color="auto" w:fill="FFFFFF"/>
        </w:rPr>
        <w:t>Usman, 2015</w:t>
      </w:r>
      <w:r>
        <w:t xml:space="preserve">). According to </w:t>
      </w:r>
      <w:r>
        <w:rPr>
          <w:color w:val="222222"/>
          <w:shd w:val="clear" w:color="auto" w:fill="FFFFFF"/>
        </w:rPr>
        <w:t>Sohaib, Rehman, and Akram, (2016</w:t>
      </w:r>
      <w:r>
        <w:t>), the field of marketing has seen the emergence of a number of distinct classifications of trust.</w:t>
      </w:r>
    </w:p>
    <w:p>
      <w:pPr>
        <w:pStyle w:val="19"/>
        <w:ind w:firstLine="720"/>
      </w:pPr>
      <w:r>
        <w:t>According to Halliburton and Poenaru (2010), trust can originate from both rational thinking and emotional ties. They define "rational trust" as the tendency of a consumer to depend on a service provider's competence and consistency in their explanation. On the other hand, "emotional trust" develops when one partner shows concern and attention to the other through their actions and words.</w:t>
      </w:r>
    </w:p>
    <w:p>
      <w:pPr>
        <w:pStyle w:val="19"/>
        <w:ind w:firstLine="720"/>
      </w:pPr>
    </w:p>
    <w:p>
      <w:pPr>
        <w:pStyle w:val="19"/>
        <w:ind w:firstLine="720"/>
      </w:pPr>
      <w:r>
        <w:t xml:space="preserve">Some studies, such as </w:t>
      </w:r>
      <w:r>
        <w:rPr>
          <w:color w:val="222222"/>
          <w:shd w:val="clear" w:color="auto" w:fill="FFFFFF"/>
        </w:rPr>
        <w:t>Mombeuil, and Fotiadis, (2017</w:t>
      </w:r>
      <w:r>
        <w:t xml:space="preserve">), show that trust is a singular idea. Other studies, however, offer interpretations that are more complicated. According to </w:t>
      </w:r>
      <w:r>
        <w:rPr>
          <w:color w:val="222222"/>
          <w:shd w:val="clear" w:color="auto" w:fill="FFFFFF"/>
        </w:rPr>
        <w:t>Iglesias et al. (2020</w:t>
      </w:r>
      <w:r>
        <w:t xml:space="preserve">), trust may be broken down into two categories: believability and benevolence, both of which direct one's goals toward the well-being of the consumer. To further on this point, </w:t>
      </w:r>
      <w:r>
        <w:rPr>
          <w:color w:val="222222"/>
          <w:shd w:val="clear" w:color="auto" w:fill="FFFFFF"/>
        </w:rPr>
        <w:t>Glaveli, (2021</w:t>
      </w:r>
      <w:r>
        <w:t>) present trust as a multifaceted notion that includes competence, honesty, and compassion.</w:t>
      </w:r>
    </w:p>
    <w:p>
      <w:pPr>
        <w:pStyle w:val="19"/>
        <w:ind w:firstLine="720"/>
      </w:pPr>
      <w:r>
        <w:t>In addition, a number of scholars highlight the significance of perceived credibility as a critical precursor to trust, alongside perceived compassion and honesty. (</w:t>
      </w:r>
      <w:r>
        <w:rPr>
          <w:color w:val="222222"/>
          <w:shd w:val="clear" w:color="auto" w:fill="FFFFFF"/>
        </w:rPr>
        <w:t>Latif, Bunce, and Ahmad, 2021</w:t>
      </w:r>
      <w:r>
        <w:t>) It is important for businesses to take into account these factors whenever they communicate with their clientele.</w:t>
      </w:r>
    </w:p>
    <w:p>
      <w:pPr>
        <w:pStyle w:val="19"/>
        <w:ind w:firstLine="720"/>
      </w:pPr>
    </w:p>
    <w:p>
      <w:pPr>
        <w:pStyle w:val="3"/>
      </w:pPr>
      <w:bookmarkStart w:id="27" w:name="_Toc147931437"/>
      <w:r>
        <w:t>2.7 Customer experience:</w:t>
      </w:r>
      <w:bookmarkEnd w:id="27"/>
    </w:p>
    <w:p>
      <w:pPr>
        <w:pStyle w:val="19"/>
        <w:ind w:firstLine="720"/>
        <w:rPr>
          <w:color w:val="auto"/>
        </w:rPr>
      </w:pPr>
      <w:r>
        <w:rPr>
          <w:color w:val="auto"/>
        </w:rPr>
        <w:t>The role of customer experience is of utmost importance in influencing perceptions and emotions throughout the process of making a purchase. This encompasses both cognitive and emotional aspects (Gentile, Spiller, and Noci, 2007). The direct and indirect encounters between customers and businesses are the source of this experience. Real-world interactions, such as talking to a service provider, making a purchase, or using a product, provide direct access to information. On the other hand, advertisements, websites, and social media all contribute to what are known as "indirect experiences," which are the result of a company's branding and presence.</w:t>
      </w:r>
    </w:p>
    <w:p>
      <w:pPr>
        <w:pStyle w:val="19"/>
        <w:ind w:firstLine="720"/>
        <w:rPr>
          <w:color w:val="auto"/>
        </w:rPr>
      </w:pPr>
      <w:r>
        <w:rPr>
          <w:color w:val="auto"/>
        </w:rPr>
        <w:t>Research by Personalization et al. (2009) indicates that the retail industry's customer experience is complex and multidimensional. Satisfaction from the perspective of the customer extends to their thoughts, feelings, behaviors, social interactions, and the store's physical appearance. In addition, Klaus and Maklan (2013) argue that all customer interactions, no matter how small, result in an experience for the customer. According to Lemon, and Verhoef, (2016), the aforementioned experiences encompass various dimensions, including the customer's intellectual, emotional, sensory, social, and spiritual responses to all interactions with a firm.</w:t>
      </w:r>
    </w:p>
    <w:p>
      <w:pPr>
        <w:pStyle w:val="19"/>
        <w:ind w:firstLine="720"/>
        <w:rPr>
          <w:color w:val="auto"/>
        </w:rPr>
      </w:pPr>
      <w:r>
        <w:rPr>
          <w:color w:val="auto"/>
        </w:rPr>
        <w:t xml:space="preserve">The process of making a buying choice is a multifaceted undertaking that involves the assessment of various alternatives followed by the ultimate selection of one option. According to </w:t>
      </w:r>
      <w:r>
        <w:rPr>
          <w:rFonts w:cs="Arial"/>
          <w:color w:val="auto"/>
          <w:shd w:val="clear" w:color="auto" w:fill="FFFFFF"/>
        </w:rPr>
        <w:t>Bolton et al. (2018</w:t>
      </w:r>
      <w:r>
        <w:rPr>
          <w:color w:val="auto"/>
        </w:rPr>
        <w:t xml:space="preserve">), this can be characterized as an integration process that combines knowledge in order to evaluate several possible actions before ultimately selecting one. According to </w:t>
      </w:r>
      <w:r>
        <w:rPr>
          <w:rFonts w:cs="Arial"/>
          <w:color w:val="auto"/>
          <w:shd w:val="clear" w:color="auto" w:fill="FFFFFF"/>
        </w:rPr>
        <w:t>Homburg, Jozić, and Kuehnl, (2017</w:t>
      </w:r>
      <w:r>
        <w:rPr>
          <w:color w:val="auto"/>
        </w:rPr>
        <w:t>), customers go through multiple stages in the process of making a purchasing decision, which involves a detailed exploration of various factors before ultimately reaching a conclusion about a particular product.</w:t>
      </w:r>
    </w:p>
    <w:p>
      <w:pPr>
        <w:pStyle w:val="19"/>
        <w:ind w:firstLine="720"/>
        <w:rPr>
          <w:color w:val="auto"/>
        </w:rPr>
      </w:pPr>
      <w:r>
        <w:rPr>
          <w:color w:val="auto"/>
        </w:rPr>
        <w:t xml:space="preserve">Additionally, </w:t>
      </w:r>
      <w:r>
        <w:rPr>
          <w:rFonts w:cs="Arial"/>
          <w:color w:val="auto"/>
          <w:shd w:val="clear" w:color="auto" w:fill="FFFFFF"/>
        </w:rPr>
        <w:t>Flavián, Ibáñez-Sánchez, and Orús, (2019</w:t>
      </w:r>
      <w:r>
        <w:rPr>
          <w:color w:val="auto"/>
        </w:rPr>
        <w:t xml:space="preserve">) highlight the significance of purchasing decisions arising from a customer's desire to acquire a specific product. The determination of this choice is consistently based on individuals' assessment of the product's capacity to meet their requirements. </w:t>
      </w:r>
      <w:r>
        <w:rPr>
          <w:rFonts w:cs="Arial"/>
          <w:color w:val="auto"/>
          <w:shd w:val="clear" w:color="auto" w:fill="FFFFFF"/>
        </w:rPr>
        <w:t>Becker, and Jaakkola, (2020</w:t>
      </w:r>
      <w:r>
        <w:rPr>
          <w:color w:val="auto"/>
        </w:rPr>
        <w:t>) enhances the comprehension of this subject by introducing the notion of purchase motives.</w:t>
      </w:r>
    </w:p>
    <w:p>
      <w:pPr>
        <w:pStyle w:val="3"/>
        <w:rPr>
          <w:color w:val="auto"/>
        </w:rPr>
      </w:pPr>
      <w:bookmarkStart w:id="28" w:name="_Toc147931438"/>
      <w:r>
        <w:rPr>
          <w:color w:val="auto"/>
        </w:rPr>
        <w:t>2.8 Hypotheses construction:</w:t>
      </w:r>
      <w:bookmarkEnd w:id="28"/>
    </w:p>
    <w:p>
      <w:pPr>
        <w:pStyle w:val="4"/>
        <w:rPr>
          <w:color w:val="auto"/>
        </w:rPr>
      </w:pPr>
      <w:bookmarkStart w:id="29" w:name="_Toc147931439"/>
      <w:r>
        <w:rPr>
          <w:color w:val="auto"/>
        </w:rPr>
        <w:t>2.8.1 Brand image and Brand loyalty</w:t>
      </w:r>
      <w:bookmarkEnd w:id="29"/>
    </w:p>
    <w:p>
      <w:pPr>
        <w:pStyle w:val="19"/>
        <w:rPr>
          <w:color w:val="auto"/>
        </w:rPr>
      </w:pPr>
      <w:r>
        <w:rPr>
          <w:color w:val="auto"/>
        </w:rPr>
        <w:tab/>
      </w:r>
      <w:r>
        <w:rPr>
          <w:color w:val="auto"/>
        </w:rPr>
        <w:t>According to Hossien, Ali, and Mehdi (2012), brand image is the collective perception of a brand, which is molded by previous interactions and knowledge associated to it. This vision is formed over time as more and more people get familiar with the brand. This impression is shaped over the course of time as more and more people acquire knowledge regarding the brand. This image is intricately tied to attitudes and thoughts that are held towards the most liked brand. As a result of this, positive responses from customers increase brand image, which, in turn, influences the commitment of consumers to the brand. According to Alhaddad (2015), it is critical for customers to use the image of a brand as a reference when recognizing and assessing the products they purchase. The evaluation process and the kinds of experiences that a brand produces are the two primary factors that eventually determine customer loyalty to a particular brand. In a similar spirit, Ecstasia and Chinomona (2016) claim that a strong brand image can have an effect on, or possibly significantly decide, brand loyalty. In this context, "have an effect" and "decide" are used interchangeably. Numerous pieces of study have shown evidence that there is a link between devoted customers and positive representations of a brand. Previous studies (Bilgin, 2018; Bernarto et al., 2020), as well as the current study, all testify to a positive and significant impact that a powerful brand image has on the development of brand loyalty. Therefore, it is stated that:</w:t>
      </w:r>
    </w:p>
    <w:p>
      <w:pPr>
        <w:jc w:val="center"/>
        <w:rPr>
          <w:color w:val="auto"/>
        </w:rPr>
      </w:pPr>
      <w:r>
        <w:rPr>
          <w:color w:val="auto"/>
        </w:rPr>
        <w:t>H1: Brand image has a significant impact on brand loyalty</w:t>
      </w:r>
    </w:p>
    <w:p>
      <w:pPr>
        <w:pStyle w:val="4"/>
        <w:rPr>
          <w:color w:val="auto"/>
        </w:rPr>
      </w:pPr>
      <w:bookmarkStart w:id="30" w:name="_Toc147931440"/>
      <w:r>
        <w:rPr>
          <w:color w:val="auto"/>
        </w:rPr>
        <w:t>2.8.2 Brand image and Buyer’s intention</w:t>
      </w:r>
      <w:bookmarkEnd w:id="30"/>
    </w:p>
    <w:p>
      <w:pPr>
        <w:pStyle w:val="19"/>
        <w:ind w:firstLine="720"/>
        <w:rPr>
          <w:color w:val="auto"/>
        </w:rPr>
      </w:pPr>
      <w:r>
        <w:rPr>
          <w:color w:val="auto"/>
        </w:rPr>
        <w:t>The practice of analyzing many facets of a product is something that consumers do in preparation for making a buying decision. According to Duman, Ozbal, and Duerod's (2018) interpretation, the concept of brand image includes the viewpoints of customers. These perceptions are formed by the consumers' memories and experiences with the product in question. According to Mete and Davies (2017), the idea of a brand may be defined as a singular and enduring mental picture of a product or service that is held inside the mind of the general populace as a whole. This definition suggests that a brand is something that can be thought of as existing in the minds of people. In the process of creating an enduring picture, Mete and Davies (2017) place a significant amount of stress on the value of traits such as positivity, significance, and ease of recall. According to the findings of earlier research (Guillen Jr., 2018; Budiyono and Novandalina, 2022), the strategic usefulness of having a well-defined brand image lies in the fact that it can bring benefits to a company over a longer period of time. In addition to that, these authors argue that having a clearly defined image for your brand can be useful from a strategic standpoint. According to Heriyati and Ono Supriadi (2021), the concept of brand image is something that is established by customers and is objectively impacted by the personal perspectives and emotional experiences that they have had. Specifically, the notion of brand image is something that is formed by buyers. According to the prior research (Chang, 2020; Putri and Tiarawati, 2021), brand image is defined as the consumer's perception of a brand. This perception can be influenced by both rational and emotional aspects. According to Andreini et al. (2017), the complications involved with branding extend beyond the choosing of an appropriate name, despite the fact that a well-chosen name can in fact offer advantages. This is despite the fact that a well-chosen name can indeed yield advantages. The saliency, differentiability, intensity, and trustworthiness of a brand name are significant aspects that contribute to its genuine strength, as stated by Halim et al. (2021). As a result, the following is suggested:</w:t>
      </w:r>
    </w:p>
    <w:p>
      <w:pPr>
        <w:jc w:val="center"/>
        <w:rPr>
          <w:color w:val="auto"/>
        </w:rPr>
      </w:pPr>
      <w:r>
        <w:rPr>
          <w:color w:val="auto"/>
        </w:rPr>
        <w:t>H2: Brand image has a significant impact on Buyer’s intention</w:t>
      </w:r>
    </w:p>
    <w:p>
      <w:pPr>
        <w:rPr>
          <w:color w:val="auto"/>
        </w:rPr>
      </w:pPr>
    </w:p>
    <w:p>
      <w:pPr>
        <w:pStyle w:val="4"/>
        <w:rPr>
          <w:color w:val="auto"/>
        </w:rPr>
      </w:pPr>
      <w:bookmarkStart w:id="31" w:name="_Toc147931441"/>
      <w:r>
        <w:rPr>
          <w:color w:val="auto"/>
        </w:rPr>
        <w:t>2.8.3 Brand image and Customer trust:</w:t>
      </w:r>
      <w:bookmarkEnd w:id="31"/>
    </w:p>
    <w:p>
      <w:pPr>
        <w:pStyle w:val="19"/>
        <w:ind w:firstLine="720"/>
        <w:rPr>
          <w:color w:val="auto"/>
        </w:rPr>
      </w:pPr>
      <w:r>
        <w:rPr>
          <w:color w:val="auto"/>
        </w:rPr>
        <w:t>The establishment of client trust relies heavily on the fundamental foundation of brand image. According to Iglesias et al. (2019), it is emphasized that a positive brand image has a significant impact on consumer purchasing behavior. According to Espinosa et al. (2018), brand image has a significant role in influencing customers' subjective perceptions, which subsequently influence their subsequent actions. According to Yen, (2018), a positive brand image has the dual effect of cultivating a consumer's favorable attitude towards the product and enhancing faith in its features. The authors Ansary, and Nik Hashim, (2018) emphasize the significance of brand image as a means of distinguishing a brand from its competitors, hence facilitating consumers in aligning their requirements and preferences more effectively.</w:t>
      </w:r>
    </w:p>
    <w:p>
      <w:pPr>
        <w:pStyle w:val="19"/>
        <w:ind w:firstLine="720"/>
        <w:rPr>
          <w:color w:val="auto"/>
        </w:rPr>
      </w:pPr>
      <w:r>
        <w:rPr>
          <w:color w:val="auto"/>
        </w:rPr>
        <w:t>According to Suhaily, and Darmoyo, (2017), the concept of image refers to the composite perceptions developed by customers, which are influenced by a wide range of information sources. Trust continues to be a fundamental principle in the realm of buyer-seller dynamics, as elucidated by Lien et al. (2015). According to the findings of Erkmen and Hancer (2019), buyers develop trust in a brand when they believe that the brand possesses attributes such as reliability and honesty. Çiftçi, (2018) provides a comprehensive conception of trust, emphasising the susceptibility of the trustor, which is dependent upon the behaviours that are expected to be exhibited by the trustee. In addition, Herrando, Jimenez-Martinez, and Martin-De Hoyos (2019) claim that the building of trust can be helped by cultivating a positive brand image, especially if it is rooted in the nation of origin of the product or a full understanding of the brand. This is particularly true when the favorable brand image is rooted in the product's place of origin. This viewpoint is in line with the findings of Chou and Hsu (2016), who conceptualize trust as a means of minimizing uncertainty in their research. The evidence supports this view. This lends even more credence to the idea that building and maintaining a positive image for the business is essential to attracting and retaining loyal customers.</w:t>
      </w:r>
    </w:p>
    <w:p>
      <w:pPr>
        <w:pStyle w:val="19"/>
        <w:ind w:firstLine="720"/>
        <w:rPr>
          <w:rFonts w:ascii="Arial" w:hAnsi="Arial" w:cs="Arial"/>
          <w:color w:val="auto"/>
          <w:sz w:val="20"/>
          <w:szCs w:val="20"/>
          <w:shd w:val="clear" w:color="auto" w:fill="FFFFFF"/>
        </w:rPr>
      </w:pPr>
    </w:p>
    <w:p>
      <w:pPr>
        <w:pStyle w:val="19"/>
        <w:ind w:firstLine="720"/>
        <w:rPr>
          <w:color w:val="auto"/>
        </w:rPr>
      </w:pPr>
    </w:p>
    <w:p>
      <w:pPr>
        <w:pStyle w:val="19"/>
        <w:jc w:val="center"/>
        <w:rPr>
          <w:color w:val="auto"/>
        </w:rPr>
      </w:pPr>
      <w:r>
        <w:rPr>
          <w:color w:val="auto"/>
        </w:rPr>
        <w:t>H3: Brand image has a significant impact on Customer trust</w:t>
      </w:r>
    </w:p>
    <w:p>
      <w:pPr>
        <w:rPr>
          <w:color w:val="auto"/>
        </w:rPr>
      </w:pPr>
    </w:p>
    <w:p>
      <w:pPr>
        <w:pStyle w:val="4"/>
        <w:rPr>
          <w:color w:val="auto"/>
        </w:rPr>
      </w:pPr>
      <w:bookmarkStart w:id="32" w:name="_Toc147931442"/>
      <w:r>
        <w:rPr>
          <w:color w:val="auto"/>
        </w:rPr>
        <w:t>2.8.4 Brand image and Customer experience</w:t>
      </w:r>
      <w:bookmarkEnd w:id="32"/>
    </w:p>
    <w:p>
      <w:pPr>
        <w:pStyle w:val="19"/>
        <w:ind w:firstLine="720"/>
        <w:rPr>
          <w:color w:val="auto"/>
        </w:rPr>
      </w:pPr>
      <w:r>
        <w:rPr>
          <w:color w:val="auto"/>
        </w:rPr>
        <w:t>According to Kotler et al. (2014), "brand image" is defined as "the aggregate of the consumer's acquired attitudes toward a brand as as a consequence of being exposed to the brand across different contexts." This image is strongly influenced, to a large extent, by the thoughts and tastes of the general population. When customers have a favourable opinion of a brand, they are more inclined to make additional purchases from that particular company. The argument made by Zhang, Y., 2015) is that customers' opinions of a brand shift over time when they think back on previous experiences they've had with the product. Additionally, Fadli, Sembiring, and Situmorang, (2023) suggest that an increase in the level of trust that customers have in a brand would lead to a rise in the level of favourable public perception that has been associated with that brand. Earlier studies (Plumeyer et al., 2019; Sinurat, and Dirgantara, 2021) and Lone and Bath (2018) stress the importance of a strong brand image for a company's success.</w:t>
      </w:r>
    </w:p>
    <w:p>
      <w:pPr>
        <w:pStyle w:val="19"/>
        <w:rPr>
          <w:color w:val="auto"/>
        </w:rPr>
      </w:pPr>
    </w:p>
    <w:p>
      <w:pPr>
        <w:pStyle w:val="19"/>
        <w:rPr>
          <w:color w:val="auto"/>
        </w:rPr>
      </w:pPr>
      <w:r>
        <w:rPr>
          <w:color w:val="auto"/>
        </w:rPr>
        <w:tab/>
      </w:r>
      <w:r>
        <w:rPr>
          <w:color w:val="auto"/>
        </w:rPr>
        <w:t>Brand image is essential to business success because it reflects how customers feel about a company and its products. When we delve deeper into the world of customer experience, we find that it is, as described by De Keyser et al. (2020), a synthesis of mental, physiological, sensory, spiritual, and social components. The experience a consumer has with a brand is heavily influenced by these factors, all of which are inextricably tied to the brand's reputation (Motta-Filho, 2021). Successful businesses in highly competitive marketplaces typically put a premium on and find resonation with these aspects of customer experience. According to Smilansky (2017), customers' pleasure with a brand depends on their total reaction to that brand during the course of their interaction with it. The trust in a brand is built on the solid foundation of the relationship between the brand, the company, and the consumer. Earlier studies (Mubarok et al., 2022; Fadli, Sembiring, and Situmorang, 2023) notes that building and retaining trust in one's products and services is crucial.</w:t>
      </w:r>
    </w:p>
    <w:p>
      <w:pPr>
        <w:pStyle w:val="19"/>
        <w:rPr>
          <w:rFonts w:cs="Arial"/>
          <w:color w:val="auto"/>
          <w:shd w:val="clear" w:color="auto" w:fill="FFFFFF"/>
        </w:rPr>
      </w:pPr>
    </w:p>
    <w:p>
      <w:pPr>
        <w:jc w:val="center"/>
        <w:rPr>
          <w:color w:val="auto"/>
        </w:rPr>
      </w:pPr>
      <w:r>
        <w:rPr>
          <w:color w:val="auto"/>
        </w:rPr>
        <w:t>H4: Brand image has a significant impact on Customer experience</w:t>
      </w:r>
    </w:p>
    <w:p>
      <w:pPr>
        <w:pStyle w:val="3"/>
        <w:rPr>
          <w:color w:val="auto"/>
        </w:rPr>
      </w:pPr>
      <w:bookmarkStart w:id="33" w:name="_Toc147931443"/>
      <w:r>
        <w:rPr>
          <w:color w:val="auto"/>
        </w:rPr>
        <w:t>2.9 Proposed Framework:</w:t>
      </w:r>
      <w:bookmarkEnd w:id="33"/>
    </w:p>
    <w:p>
      <w:pPr>
        <w:keepNext/>
        <w:spacing w:before="0" w:after="160" w:line="259" w:lineRule="auto"/>
      </w:pPr>
      <w:r>
        <w:rPr>
          <w:color w:val="auto"/>
          <w:lang w:val="en-US" w:eastAsia="en-US"/>
        </w:rPr>
        <w:drawing>
          <wp:inline distT="0" distB="0" distL="0" distR="0">
            <wp:extent cx="5276850" cy="37052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a:stretch>
                      <a:fillRect/>
                    </a:stretch>
                  </pic:blipFill>
                  <pic:spPr>
                    <a:xfrm>
                      <a:off x="0" y="0"/>
                      <a:ext cx="5276850" cy="3705225"/>
                    </a:xfrm>
                    <a:prstGeom prst="rect">
                      <a:avLst/>
                    </a:prstGeom>
                  </pic:spPr>
                </pic:pic>
              </a:graphicData>
            </a:graphic>
          </wp:inline>
        </w:drawing>
      </w:r>
    </w:p>
    <w:p>
      <w:pPr>
        <w:pStyle w:val="7"/>
        <w:jc w:val="center"/>
        <w:rPr>
          <w:color w:val="auto"/>
          <w:sz w:val="24"/>
          <w:szCs w:val="24"/>
        </w:rPr>
      </w:pPr>
      <w:bookmarkStart w:id="34" w:name="_Toc147438062"/>
      <w:r>
        <w:rPr>
          <w:color w:val="auto"/>
          <w:sz w:val="24"/>
          <w:szCs w:val="24"/>
        </w:rPr>
        <w:t xml:space="preserve">Figure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Pr>
          <w:color w:val="auto"/>
          <w:sz w:val="24"/>
          <w:szCs w:val="24"/>
        </w:rPr>
        <w:t>1</w:t>
      </w:r>
      <w:r>
        <w:rPr>
          <w:color w:val="auto"/>
          <w:sz w:val="24"/>
          <w:szCs w:val="24"/>
        </w:rPr>
        <w:fldChar w:fldCharType="end"/>
      </w:r>
      <w:r>
        <w:rPr>
          <w:color w:val="auto"/>
          <w:sz w:val="24"/>
          <w:szCs w:val="24"/>
          <w:lang w:val="en-US"/>
        </w:rPr>
        <w:t>: Proposed Framework</w:t>
      </w:r>
      <w:bookmarkEnd w:id="34"/>
    </w:p>
    <w:p>
      <w:pPr>
        <w:pStyle w:val="3"/>
      </w:pPr>
      <w:bookmarkStart w:id="35" w:name="_Toc147931444"/>
      <w:r>
        <w:t>2</w:t>
      </w:r>
      <w:r>
        <w:rPr>
          <w:rStyle w:val="17"/>
          <w:b/>
          <w:bCs/>
        </w:rPr>
        <w:t>.10 Summary:</w:t>
      </w:r>
      <w:bookmarkEnd w:id="35"/>
    </w:p>
    <w:p>
      <w:pPr>
        <w:pStyle w:val="19"/>
        <w:ind w:firstLine="720"/>
      </w:pPr>
      <w:r>
        <w:t>When it comes to branding, the image of a company is an influential factor that has a tremendous effect on many different aspects of consumer behavior. There is a substantial body of research that suggests a powerful brand image can result in increased brand loyalty. This means that customers who have favorable opinions of a company are more likely to continue to be loyal to that brand. In addition, a large amount of sway is exerted over the buyer's intention, which is a critical component for businesses, by the image of the brand. A buyer who is considering making a purchase may be dissuaded from doing so by a bad image, while a favorable one may encourage them to go ahead with the transaction.</w:t>
      </w:r>
    </w:p>
    <w:p>
      <w:pPr>
        <w:spacing w:before="0" w:after="160" w:line="259" w:lineRule="auto"/>
        <w:rPr>
          <w:color w:val="auto"/>
        </w:rPr>
      </w:pPr>
    </w:p>
    <w:p>
      <w:pPr>
        <w:pStyle w:val="19"/>
        <w:ind w:firstLine="720"/>
      </w:pPr>
      <w:r>
        <w:t>Another fundamental component of the relationship between a consumer and a brand is trust. According to the findings of numerous studies, consumers are more likely to place their faith in a company that projects a positive brand image. They feel that companies that have a good public image are more likely to keep their commitments and provide quality and service that is consistent from one instance to the next. This trust, in turn, determines the intention to repurchase as well as recommendations for the brand.</w:t>
      </w:r>
    </w:p>
    <w:p>
      <w:pPr>
        <w:spacing w:before="0" w:after="160" w:line="259" w:lineRule="auto"/>
        <w:rPr>
          <w:color w:val="auto"/>
        </w:rPr>
      </w:pPr>
      <w:r>
        <w:rPr>
          <w:color w:val="auto"/>
        </w:rPr>
        <w:br w:type="page"/>
      </w:r>
    </w:p>
    <w:p>
      <w:pPr>
        <w:pStyle w:val="2"/>
      </w:pPr>
      <w:bookmarkStart w:id="36" w:name="_Toc147931445"/>
      <w:r>
        <w:t>CHAPTER # 3 RESEARCH METHODLOGY:</w:t>
      </w:r>
      <w:bookmarkEnd w:id="36"/>
    </w:p>
    <w:p>
      <w:pPr>
        <w:pStyle w:val="3"/>
        <w:rPr>
          <w:color w:val="auto"/>
        </w:rPr>
      </w:pPr>
      <w:bookmarkStart w:id="37" w:name="_Toc147931446"/>
      <w:r>
        <w:rPr>
          <w:color w:val="auto"/>
        </w:rPr>
        <w:t>3.1 Introduction:</w:t>
      </w:r>
      <w:bookmarkEnd w:id="37"/>
    </w:p>
    <w:p>
      <w:pPr>
        <w:pStyle w:val="19"/>
        <w:ind w:firstLine="720"/>
        <w:rPr>
          <w:color w:val="auto"/>
        </w:rPr>
      </w:pPr>
      <w:r>
        <w:rPr>
          <w:color w:val="auto"/>
        </w:rPr>
        <w:t>The primary focus of this dissertation centres on the research methodology, which refers to the methodical and structured strategy employed by the researcher to investigate the research question at hand. This dissertation will primarily focus on thoroughly analysing and elucidating the intricacies of the selected approach. The concept comprises multiple aspects, which include the fundamental philosophical principles that form the basis of the research, the selected methodologies and tactics, the timetable for doing the research, and the specific approaches utilized for data collection and analysis.</w:t>
      </w:r>
    </w:p>
    <w:p>
      <w:pPr>
        <w:pStyle w:val="19"/>
        <w:rPr>
          <w:color w:val="auto"/>
        </w:rPr>
      </w:pPr>
      <w:r>
        <w:rPr>
          <w:color w:val="auto"/>
        </w:rPr>
        <w:tab/>
      </w:r>
      <w:r>
        <w:rPr>
          <w:color w:val="auto"/>
        </w:rPr>
        <w:t>The chosen framework for this research attempt will be the widely recognized 'research onion' model. This conceptual model effectively outlines the various stages and layers that are present in a research process. The purpose of this model is to provide a framework that ensures the dissertation is grounded in a methodological structure that promotes clarity, coherence, and rigor. The onion model is comprised of several layers, each of which symbolizes a crucial phase within the study design process. In accordance with the layers of the onion model, every phase of the research will be thoroughly examined, elucidated, and substantiated. This comprehensive analysis will provide readers with a thorough understanding of the underlying reasons for the methodological decisions used, thereby promoting transparency and bolstering the research process's credibility.</w:t>
      </w:r>
    </w:p>
    <w:p>
      <w:pPr>
        <w:pStyle w:val="3"/>
        <w:rPr>
          <w:color w:val="auto"/>
        </w:rPr>
      </w:pPr>
      <w:bookmarkStart w:id="38" w:name="_Toc147931447"/>
      <w:r>
        <w:rPr>
          <w:color w:val="auto"/>
        </w:rPr>
        <w:t>3.2 Research Philosophy:</w:t>
      </w:r>
      <w:bookmarkEnd w:id="38"/>
    </w:p>
    <w:p>
      <w:pPr>
        <w:pStyle w:val="19"/>
        <w:ind w:firstLine="720"/>
        <w:rPr>
          <w:color w:val="auto"/>
        </w:rPr>
      </w:pPr>
      <w:r>
        <w:rPr>
          <w:color w:val="auto"/>
        </w:rPr>
        <w:t>The field of research methodology is grounded in various paradigms, each presenting a distinct viewpoint on the interpretation and comprehension of the universe. There are four primary paradigms that have been identified within the scholarly sphere, including positivism, post-positivism, critical theory, and constructivism (</w:t>
      </w:r>
      <w:r>
        <w:rPr>
          <w:rFonts w:cs="Arial"/>
          <w:color w:val="auto"/>
          <w:shd w:val="clear" w:color="auto" w:fill="FFFFFF"/>
        </w:rPr>
        <w:t>Soleimani, 2017)</w:t>
      </w:r>
      <w:r>
        <w:rPr>
          <w:color w:val="auto"/>
        </w:rPr>
        <w:t xml:space="preserve">. The selection of a particular paradigm is dependent on the study objectives and the fundamental inquiries it aims to explore. According to </w:t>
      </w:r>
      <w:r>
        <w:rPr>
          <w:color w:val="auto"/>
          <w:shd w:val="clear" w:color="auto" w:fill="FFFFFF"/>
        </w:rPr>
        <w:t>Yong, Maizaitulaidawati, and Kamarudin, (2021</w:t>
      </w:r>
      <w:r>
        <w:rPr>
          <w:color w:val="auto"/>
        </w:rPr>
        <w:t>), the positivist paradigm is notable for its emphasis on empirical evidence that accurately reflects reality. The approach supports a systematic and measurable methodology, which guarantees the reliability and wide applicability of research outcomes. This methodology proves advantageous when striving to derive conclusions based on observable and objective phenomena.</w:t>
      </w:r>
    </w:p>
    <w:p>
      <w:pPr>
        <w:pStyle w:val="3"/>
        <w:rPr>
          <w:color w:val="auto"/>
        </w:rPr>
      </w:pPr>
      <w:bookmarkStart w:id="39" w:name="_Toc147931448"/>
      <w:r>
        <w:rPr>
          <w:color w:val="auto"/>
        </w:rPr>
        <w:t>3.3 Research design:</w:t>
      </w:r>
      <w:bookmarkEnd w:id="39"/>
    </w:p>
    <w:p>
      <w:pPr>
        <w:pStyle w:val="19"/>
        <w:ind w:firstLine="720"/>
        <w:rPr>
          <w:color w:val="auto"/>
        </w:rPr>
      </w:pPr>
      <w:r>
        <w:rPr>
          <w:color w:val="auto"/>
        </w:rPr>
        <w:t>The purpose of this research is to analyze the relationship between independent variables and dependent variables, with a particular emphasis on people who are a part of a setting that is organizational. The research made use of a statistical method known as regression analysis, which aimed to investigate and assess the connection as well as the impact that exists between two variables (Gupta and Gupta, 2022). A probabilistic sampling process was used, and the sample size was chosen so that it would closely resemble the features of the larger population. This was done so that the results of the study would be more accurate and reliable. Specifically, this was accomplished by ensuring that the characteristics of the larger population were accurately represented in the sample.</w:t>
      </w:r>
    </w:p>
    <w:p>
      <w:pPr>
        <w:pStyle w:val="19"/>
        <w:ind w:firstLine="720"/>
        <w:rPr>
          <w:color w:val="auto"/>
        </w:rPr>
      </w:pPr>
    </w:p>
    <w:p>
      <w:pPr>
        <w:pStyle w:val="19"/>
        <w:ind w:firstLine="720"/>
        <w:rPr>
          <w:color w:val="auto"/>
        </w:rPr>
      </w:pPr>
      <w:r>
        <w:rPr>
          <w:color w:val="auto"/>
        </w:rPr>
        <w:t>The environmental settings during the course of the examination were not strictly controlled, which allowed for a limited amount of outside impact, and the study was carried out during a single sitting rather than over the course of multiple sessions. The procedure for gathering the necessary information required the use of a questionnaire developed by Davies and Fisher (2018). A nominal scale was applied for the majority of the data classification, whereas a Likert scale was utilized for the assessment of the measures. The hypotheses were subjected to careful examination prior to the beginning of the data analysis.</w:t>
      </w:r>
    </w:p>
    <w:p>
      <w:pPr>
        <w:pStyle w:val="3"/>
        <w:rPr>
          <w:color w:val="auto"/>
        </w:rPr>
      </w:pPr>
      <w:bookmarkStart w:id="40" w:name="_Toc147931449"/>
      <w:r>
        <w:rPr>
          <w:color w:val="auto"/>
        </w:rPr>
        <w:t>3.4 Data collection:</w:t>
      </w:r>
      <w:bookmarkEnd w:id="40"/>
    </w:p>
    <w:p>
      <w:pPr>
        <w:pStyle w:val="19"/>
        <w:ind w:firstLine="720"/>
        <w:rPr>
          <w:color w:val="auto"/>
        </w:rPr>
      </w:pPr>
      <w:r>
        <w:rPr>
          <w:color w:val="auto"/>
        </w:rPr>
        <w:t xml:space="preserve">In contemporary scholarly discourse, within the realm of research, surveys and questionnaires have emerged as the prevailing methodologies, despite the extensive array of data gathering approaches at one's disposal (Taherdoost, 2016; </w:t>
      </w:r>
      <w:r>
        <w:rPr>
          <w:rFonts w:cs="Arial"/>
          <w:color w:val="auto"/>
          <w:shd w:val="clear" w:color="auto" w:fill="FFFFFF"/>
        </w:rPr>
        <w:t>Dalati, and Marx Gómez, 2018</w:t>
      </w:r>
      <w:r>
        <w:rPr>
          <w:color w:val="auto"/>
        </w:rPr>
        <w:t>). According to Nayak and Narayan (2019), individuals tend to develop a more comprehensive comprehension of the subject matter when actively participating in questionnaires, resulting in increased coherence and consistency in their responses. This approach enables the straightforward collection of extensive datasets from a particular sample (Majid, 2018). Fundamentally, a questionnaire is composed of carefully organized inquiries designed to extract the perspectives and emotions of participants. These techniques are essential for acquiring primary quantitative data. In order to ensure the data is consistently analytical, it is imperative that all inquiries are adequately handled. The research objectives were given primary attention when designing the questionnaire for this study.</w:t>
      </w:r>
    </w:p>
    <w:p>
      <w:pPr>
        <w:pStyle w:val="19"/>
        <w:rPr>
          <w:color w:val="auto"/>
        </w:rPr>
      </w:pPr>
      <w:r>
        <w:rPr>
          <w:color w:val="auto"/>
        </w:rPr>
        <w:tab/>
      </w:r>
      <w:r>
        <w:rPr>
          <w:color w:val="auto"/>
        </w:rPr>
        <w:t>In order to carry out the survey for this quantitative research, the researcher utilized a standardized questionnaire. The questionnaire was carefully designed, taking influence from the conceptual framework. The subject matter was divided into three distinct halves. Section A provided a clear explanation of the research objective, Section B focused on inquiries related to the participants' demographic characteristics, and Section C explored questions pertaining to the variables specified in the conceptual framework.</w:t>
      </w:r>
    </w:p>
    <w:p>
      <w:pPr>
        <w:pStyle w:val="4"/>
        <w:rPr>
          <w:color w:val="auto"/>
        </w:rPr>
      </w:pPr>
      <w:bookmarkStart w:id="41" w:name="_Toc147931450"/>
      <w:r>
        <w:rPr>
          <w:color w:val="auto"/>
        </w:rPr>
        <w:t>3.4.1 Instrument:</w:t>
      </w:r>
      <w:bookmarkEnd w:id="41"/>
    </w:p>
    <w:p>
      <w:pPr>
        <w:pStyle w:val="19"/>
        <w:ind w:firstLine="720"/>
        <w:rPr>
          <w:color w:val="auto"/>
        </w:rPr>
      </w:pPr>
      <w:r>
        <w:rPr>
          <w:color w:val="auto"/>
        </w:rPr>
        <w:t>In contemporary research, questionnaires and surveys continue to be the most common means of data collection (Taherdoost, 2016; Mwita, 2022). This is despite the fact that there is a wide variety of methods for data collection that are currently available. Individuals that take part in surveys have a greater chance of comprehending the information that is offered to them and providing responses that are internally coherent, as stated by Oribhabor and Anyanwu (2019). According to Majid (2018), the methodology described above simplifies the process of collecting detailed data from a selected sample. In its most basic form, a questionnaire takes the form of a set of questions that have been meticulously crafted and organized, and to which participants are obligated to provide responses in order to facilitate the collection of their ideas and feelings. According to Sileyew (2019), questionnaires are widely acknowledged as vital instruments for the collection of primary quantitative data. It is essential to provide responses to all questions in order to ensure that the data obtained is suitable for later analysis and adheres to a logical chain of reasoning. The researcher made sure to keep the objectives of the study in mind while designing the questionnaire to ensure that they would collect all of the necessary information.</w:t>
      </w:r>
    </w:p>
    <w:p>
      <w:pPr>
        <w:pStyle w:val="3"/>
        <w:rPr>
          <w:color w:val="auto"/>
        </w:rPr>
      </w:pPr>
      <w:bookmarkStart w:id="42" w:name="_Toc147931451"/>
      <w:r>
        <w:rPr>
          <w:color w:val="auto"/>
        </w:rPr>
        <w:t>3.5 Techniques &amp; tools:</w:t>
      </w:r>
      <w:bookmarkEnd w:id="42"/>
    </w:p>
    <w:p>
      <w:pPr>
        <w:pStyle w:val="19"/>
        <w:ind w:firstLine="720"/>
        <w:rPr>
          <w:color w:val="auto"/>
        </w:rPr>
      </w:pPr>
      <w:r>
        <w:rPr>
          <w:color w:val="auto"/>
        </w:rPr>
        <w:t>Surveys and questionnaires continue to be widely utilized as prominent data collection strategies in modern research (</w:t>
      </w:r>
      <w:r>
        <w:rPr>
          <w:color w:val="auto"/>
          <w:shd w:val="clear" w:color="auto" w:fill="FFFFFF"/>
        </w:rPr>
        <w:t>Evans, and Mathur, 2018</w:t>
      </w:r>
      <w:r>
        <w:rPr>
          <w:color w:val="auto"/>
        </w:rPr>
        <w:t>). According to Toepoel, (2017), individuals who actively participate in questionnaires tend to develop a more comprehensive understanding of the subject matter, resulting in more coherence and consistency in their responses. The utilization of this efficient method enables the acquisition of extensive quantities of data from a designated cohort (</w:t>
      </w:r>
      <w:r>
        <w:rPr>
          <w:rFonts w:cs="Arial"/>
          <w:color w:val="auto"/>
          <w:shd w:val="clear" w:color="auto" w:fill="FFFFFF"/>
        </w:rPr>
        <w:t>Dalati, and Marx Gómez, 2018</w:t>
      </w:r>
      <w:r>
        <w:rPr>
          <w:color w:val="auto"/>
        </w:rPr>
        <w:t>). Questionnaires are structured instruments consisting of a series of enquiries designed to elicit participants' perspectives and emotions. Surveys are widely recognized as the predominant method for collecting quantitative primary data (</w:t>
      </w:r>
      <w:r>
        <w:rPr>
          <w:rFonts w:cs="Arial"/>
          <w:color w:val="auto"/>
          <w:shd w:val="clear" w:color="auto" w:fill="FFFFFF"/>
        </w:rPr>
        <w:t>Cheung, 2021)</w:t>
      </w:r>
      <w:r>
        <w:rPr>
          <w:color w:val="auto"/>
        </w:rPr>
        <w:t>. In order to obtain relevant and analyzable quantitative findings, it is imperative that respondents provide comprehensive answers to all the questions.</w:t>
      </w:r>
    </w:p>
    <w:p>
      <w:pPr>
        <w:pStyle w:val="19"/>
        <w:ind w:firstLine="720"/>
        <w:rPr>
          <w:color w:val="auto"/>
        </w:rPr>
      </w:pPr>
      <w:r>
        <w:rPr>
          <w:color w:val="auto"/>
        </w:rPr>
        <w:t>The design and format of the questionnaire were significantly impacted by the research objectives (Bee, and Murdoch-Eaton, 2016). The researcher utilized a questionnaire that was specifically designed to meet the requirements of the quantitative investigation, taking inspiration from the conceptual framework of the study. Surveys are regarded as valuable instruments for extracting information pertaining to the attitudes, perspectives, and behaviors exhibited by a representative subset that closely resembles a broader population. These observations can subsequently be extended to the wider population. A survey is fundamentally a collection of inquiries administered to individuals, with the subsequent collation and examination of the obtained responses. In their study, Gürbüz, (2017) propose a range of strategies aimed at mitigating ambiguity in survey instruments. The major method of data collecting for this project will involve the use of a questionnaire-based survey. As the questionnaire will be designed on Microsoft forms, for that instance, the link will be spread through using social media platforms.</w:t>
      </w:r>
    </w:p>
    <w:p>
      <w:pPr>
        <w:pStyle w:val="3"/>
        <w:rPr>
          <w:color w:val="auto"/>
        </w:rPr>
      </w:pPr>
      <w:bookmarkStart w:id="43" w:name="_Toc147931452"/>
      <w:r>
        <w:rPr>
          <w:color w:val="auto"/>
        </w:rPr>
        <w:t>3.6 Sample size:</w:t>
      </w:r>
      <w:bookmarkEnd w:id="43"/>
    </w:p>
    <w:p>
      <w:pPr>
        <w:pStyle w:val="19"/>
        <w:ind w:firstLine="720"/>
        <w:rPr>
          <w:color w:val="auto"/>
        </w:rPr>
      </w:pPr>
      <w:r>
        <w:rPr>
          <w:color w:val="auto"/>
        </w:rPr>
        <w:t>The research sample consisted of consumers of TATA motors, India. A sample size of 65 purchasers will be selected for the investigation. In order to enhance the ease of dissemination and accessibility, the questionnaire was created utilizing Microsoft Forms and afterwards disseminated through several internet platforms (Majid, 2018).</w:t>
      </w:r>
    </w:p>
    <w:p>
      <w:pPr>
        <w:pStyle w:val="3"/>
        <w:rPr>
          <w:color w:val="auto"/>
        </w:rPr>
      </w:pPr>
      <w:bookmarkStart w:id="44" w:name="_Toc147931453"/>
      <w:r>
        <w:rPr>
          <w:color w:val="auto"/>
        </w:rPr>
        <w:t>3.7 Ethical consideration:</w:t>
      </w:r>
      <w:bookmarkEnd w:id="44"/>
    </w:p>
    <w:p>
      <w:pPr>
        <w:pStyle w:val="19"/>
        <w:ind w:firstLine="720"/>
        <w:rPr>
          <w:color w:val="auto"/>
        </w:rPr>
      </w:pPr>
      <w:r>
        <w:rPr>
          <w:color w:val="auto"/>
        </w:rPr>
        <w:t>The university's research committee is the source from which students can get the necessary ethics form, if they so want. The participants' consent will be obtained before the survey is distributed to them, and the data will be treated with the utmost confidentiality as described in the ethics form before the survey is distributed to the participants (Hammer, 2017). The results of the research were integrated into each and every instructional session in a consistent manner. After the framework of the study and the questionnaire had been given the go-ahead by the ethics board, data were collected from willing participants in the study (Facca et al., 2020). The researcher made a concerted effort to convey the findings from the original data in an accurate manner while maintaining objectivity and staying away from any appearance of bias.</w:t>
      </w:r>
    </w:p>
    <w:p>
      <w:pPr>
        <w:pStyle w:val="3"/>
        <w:rPr>
          <w:color w:val="auto"/>
        </w:rPr>
      </w:pPr>
      <w:bookmarkStart w:id="45" w:name="_Toc147931454"/>
      <w:r>
        <w:rPr>
          <w:color w:val="auto"/>
        </w:rPr>
        <w:t>3.8 Limitation:</w:t>
      </w:r>
      <w:bookmarkEnd w:id="45"/>
    </w:p>
    <w:p>
      <w:pPr>
        <w:pStyle w:val="19"/>
        <w:ind w:firstLine="720"/>
        <w:rPr>
          <w:color w:val="auto"/>
        </w:rPr>
      </w:pPr>
      <w:r>
        <w:rPr>
          <w:color w:val="auto"/>
        </w:rPr>
        <w:t>An investigation's usefulness is directly proportional to the extent to which its design, technique, and data analysis are able to satisfactorily address the research questions or hypotheses being investigated. Nevertheless, it is vital to acknowledge that there are certain limitations, despite the painstaking efforts to maintain the integrity of the study by employing a rigorous framework, dependable procedures, and in-depth data analysis. To begin, the nature of the study, which is cross-sectional, makes it impossible to establish a causal relationship or to identify the direction of the connections that exist between the variables. In addition, given that the data was collected through self-reporting, there is the possibility of biases resulting from the respondents' tendency to produce socially desired responses. This is because the data was obtained through self-reporting. Additional limitations include the small sample size, which was restricted to a specific demographic. As a result, it was difficult to apply the findings to more general settings because the sample was so specific. The study placed a significant emphasis on quantitative data, but it did not make any effort to analyze the complex and subjective viewpoints held by the participants. On the other hand, the findings of this study offer important new perspectives on the connection between employee benefits and workplace productivity. These findings can serve as a foundation for subsequent investigations and real-world applications of findings from this field of research.</w:t>
      </w:r>
    </w:p>
    <w:p>
      <w:pPr>
        <w:pStyle w:val="3"/>
        <w:rPr>
          <w:color w:val="auto"/>
        </w:rPr>
      </w:pPr>
      <w:bookmarkStart w:id="46" w:name="_Toc147931455"/>
      <w:r>
        <w:rPr>
          <w:color w:val="auto"/>
        </w:rPr>
        <w:t>3.9 Summary:</w:t>
      </w:r>
      <w:bookmarkEnd w:id="46"/>
    </w:p>
    <w:p>
      <w:pPr>
        <w:pStyle w:val="19"/>
        <w:ind w:firstLine="720"/>
        <w:rPr>
          <w:color w:val="auto"/>
        </w:rPr>
      </w:pPr>
      <w:r>
        <w:rPr>
          <w:color w:val="auto"/>
        </w:rPr>
        <w:t>This chapter offers a comprehensive summary of the research technique utilized for this dissertation, along with an explanation of the thought process that went into each decision. The study favored a positivist research methodology, partly because this method works well with quantitative primary data collecting. However, the study did not explicitly state this preference. The deductive approach was embraced as a means of supporting this positivist philosophical position. The use of survey-based tactics was central to the process of data gathering, while a quantitative approach was the method of choice for data analysis. In light of the time constraints imposed by this dissertation and the suitability of its methodology for investigations lasting only a short amount of time, a cross-sectional temporal horizon was selected.</w:t>
      </w:r>
    </w:p>
    <w:p>
      <w:pPr>
        <w:spacing w:before="0" w:after="160" w:line="259" w:lineRule="auto"/>
        <w:rPr>
          <w:rFonts w:eastAsiaTheme="majorEastAsia"/>
          <w:b/>
          <w:bCs/>
          <w:color w:val="auto"/>
          <w:sz w:val="28"/>
          <w:szCs w:val="28"/>
        </w:rPr>
      </w:pPr>
      <w:r>
        <w:br w:type="page"/>
      </w:r>
    </w:p>
    <w:p>
      <w:pPr>
        <w:pStyle w:val="2"/>
      </w:pPr>
      <w:bookmarkStart w:id="47" w:name="_Toc147931456"/>
      <w:r>
        <w:t>CHAPTER 4 – FINDINGS AND DISCUSSION</w:t>
      </w:r>
      <w:bookmarkEnd w:id="47"/>
    </w:p>
    <w:p>
      <w:pPr>
        <w:pStyle w:val="3"/>
        <w:rPr>
          <w:color w:val="auto"/>
        </w:rPr>
      </w:pPr>
      <w:bookmarkStart w:id="48" w:name="_Toc147931457"/>
      <w:r>
        <w:rPr>
          <w:color w:val="auto"/>
        </w:rPr>
        <w:t>4.1</w:t>
      </w:r>
      <w:r>
        <w:rPr>
          <w:color w:val="auto"/>
        </w:rPr>
        <w:tab/>
      </w:r>
      <w:r>
        <w:rPr>
          <w:color w:val="auto"/>
        </w:rPr>
        <w:t>Introduction</w:t>
      </w:r>
      <w:bookmarkEnd w:id="48"/>
    </w:p>
    <w:p>
      <w:pPr>
        <w:pStyle w:val="19"/>
      </w:pPr>
      <w:r>
        <w:t>The findings and discussions derived from the research are presented in Chapter 4 with a thorough analysis and interpretation of the collected data. The chapter begins by outlining the temporal framework of the data collection in order to provide a clear comprehension of the context in which the research was conducted. Following this is an examination of the response rate, which provides insight into participant engagement and potential data biases. The focus then shifts to data processing, specifically managing missing values to maintain data integrity. Afterwards, a demographic analysis presents a snapshot of the subject's characteristics, ensuring the sample's representativeness is conveyed openly. The subsequent sections provide a comprehensive data analysis, including frequency and percentage of responses, descriptive statistics, and analyses of reliability and correlation. These analyses pave the way for thoroughly examining the proposed hypotheses, including an in-depth look at the anticipated relationships and predictions. The chapter concludes with a discussion that not only creates and interprets the findings, but also assesses them critically in light of the theoretical framework, thereby providing an in-depth account of the research outcomes and their broader implications and paving the way for future research endeavours.</w:t>
      </w:r>
      <w:bookmarkStart w:id="84" w:name="_GoBack"/>
      <w:bookmarkEnd w:id="84"/>
    </w:p>
    <w:p>
      <w:pPr>
        <w:pStyle w:val="3"/>
        <w:rPr>
          <w:color w:val="auto"/>
        </w:rPr>
      </w:pPr>
      <w:bookmarkStart w:id="49" w:name="_Toc147931458"/>
      <w:r>
        <w:rPr>
          <w:color w:val="auto"/>
        </w:rPr>
        <w:t>4.2</w:t>
      </w:r>
      <w:r>
        <w:rPr>
          <w:color w:val="auto"/>
        </w:rPr>
        <w:tab/>
      </w:r>
      <w:r>
        <w:rPr>
          <w:color w:val="auto"/>
        </w:rPr>
        <w:t>Date Collection Period</w:t>
      </w:r>
      <w:bookmarkEnd w:id="49"/>
    </w:p>
    <w:p>
      <w:pPr>
        <w:pStyle w:val="19"/>
      </w:pPr>
      <w:r>
        <w:t>From 15th September 2023 to 25th September 2023, this research's data collection was conducted. During this 10-day period, 65 responses were received in total.</w:t>
      </w:r>
    </w:p>
    <w:p>
      <w:pPr>
        <w:pStyle w:val="3"/>
        <w:rPr>
          <w:color w:val="auto"/>
        </w:rPr>
      </w:pPr>
      <w:bookmarkStart w:id="50" w:name="_Toc147931459"/>
      <w:r>
        <w:rPr>
          <w:color w:val="auto"/>
        </w:rPr>
        <w:t>4.3</w:t>
      </w:r>
      <w:r>
        <w:rPr>
          <w:color w:val="auto"/>
        </w:rPr>
        <w:tab/>
      </w:r>
      <w:r>
        <w:rPr>
          <w:color w:val="auto"/>
        </w:rPr>
        <w:t>Response Rate</w:t>
      </w:r>
      <w:bookmarkEnd w:id="50"/>
    </w:p>
    <w:p>
      <w:pPr>
        <w:pStyle w:val="7"/>
        <w:keepNext/>
        <w:jc w:val="center"/>
        <w:rPr>
          <w:b/>
          <w:bCs/>
          <w:color w:val="auto"/>
          <w:sz w:val="24"/>
          <w:szCs w:val="24"/>
        </w:rPr>
      </w:pPr>
      <w:bookmarkStart w:id="51" w:name="_Toc147438057"/>
      <w:r>
        <w:rPr>
          <w:b/>
          <w:bCs/>
          <w:color w:val="auto"/>
          <w:sz w:val="24"/>
          <w:szCs w:val="24"/>
        </w:rPr>
        <w:t xml:space="preserve">Table </w:t>
      </w:r>
      <w:r>
        <w:rPr>
          <w:b/>
          <w:bCs/>
          <w:color w:val="auto"/>
          <w:sz w:val="24"/>
          <w:szCs w:val="24"/>
        </w:rPr>
        <w:fldChar w:fldCharType="begin"/>
      </w:r>
      <w:r>
        <w:rPr>
          <w:b/>
          <w:bCs/>
          <w:color w:val="auto"/>
          <w:sz w:val="24"/>
          <w:szCs w:val="24"/>
        </w:rPr>
        <w:instrText xml:space="preserve"> SEQ Table \* ARABIC </w:instrText>
      </w:r>
      <w:r>
        <w:rPr>
          <w:b/>
          <w:bCs/>
          <w:color w:val="auto"/>
          <w:sz w:val="24"/>
          <w:szCs w:val="24"/>
        </w:rPr>
        <w:fldChar w:fldCharType="separate"/>
      </w:r>
      <w:r>
        <w:rPr>
          <w:b/>
          <w:bCs/>
          <w:color w:val="auto"/>
          <w:sz w:val="24"/>
          <w:szCs w:val="24"/>
        </w:rPr>
        <w:t>1</w:t>
      </w:r>
      <w:r>
        <w:rPr>
          <w:b/>
          <w:bCs/>
          <w:color w:val="auto"/>
          <w:sz w:val="24"/>
          <w:szCs w:val="24"/>
        </w:rPr>
        <w:fldChar w:fldCharType="end"/>
      </w:r>
      <w:r>
        <w:rPr>
          <w:b/>
          <w:bCs/>
          <w:color w:val="auto"/>
          <w:sz w:val="24"/>
          <w:szCs w:val="24"/>
          <w:lang w:val="en-US"/>
        </w:rPr>
        <w:t>: Response Rate</w:t>
      </w:r>
      <w:bookmarkEnd w:id="51"/>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19"/>
        <w:gridCol w:w="35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3143" w:type="pct"/>
          </w:tcPr>
          <w:p>
            <w:pPr>
              <w:jc w:val="center"/>
              <w:rPr>
                <w:b/>
                <w:bCs/>
              </w:rPr>
            </w:pPr>
            <w:r>
              <w:rPr>
                <w:b/>
                <w:bCs/>
              </w:rPr>
              <w:t>Description</w:t>
            </w:r>
          </w:p>
        </w:tc>
        <w:tc>
          <w:tcPr>
            <w:tcW w:w="1857" w:type="pct"/>
          </w:tcPr>
          <w:p>
            <w:pPr>
              <w:jc w:val="center"/>
              <w:rPr>
                <w:b/>
                <w:bCs/>
              </w:rPr>
            </w:pPr>
            <w:r>
              <w:rPr>
                <w:b/>
                <w:bCs/>
              </w:rPr>
              <w:t>Number of People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pct"/>
          </w:tcPr>
          <w:p>
            <w:r>
              <w:t>Total Questionnaires Distributed</w:t>
            </w:r>
          </w:p>
        </w:tc>
        <w:tc>
          <w:tcPr>
            <w:tcW w:w="1857" w:type="pct"/>
          </w:tcPr>
          <w:p>
            <w:pPr>
              <w:jc w:val="center"/>
            </w:pPr>
            <w: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pct"/>
          </w:tcPr>
          <w:p>
            <w:r>
              <w:t>Total Responses Received</w:t>
            </w:r>
          </w:p>
        </w:tc>
        <w:tc>
          <w:tcPr>
            <w:tcW w:w="1857" w:type="pct"/>
          </w:tcPr>
          <w:p>
            <w:pPr>
              <w:jc w:val="center"/>
            </w:pPr>
            <w: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pct"/>
          </w:tcPr>
          <w:p>
            <w:r>
              <w:t>Fully Completed Responses</w:t>
            </w:r>
          </w:p>
        </w:tc>
        <w:tc>
          <w:tcPr>
            <w:tcW w:w="1857" w:type="pct"/>
          </w:tcPr>
          <w:p>
            <w:pPr>
              <w:jc w:val="center"/>
            </w:pPr>
            <w: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3" w:type="pct"/>
          </w:tcPr>
          <w:p>
            <w:r>
              <w:t>Response Rate</w:t>
            </w:r>
          </w:p>
        </w:tc>
        <w:tc>
          <w:tcPr>
            <w:tcW w:w="1857" w:type="pct"/>
          </w:tcPr>
          <w:p>
            <w:pPr>
              <w:jc w:val="center"/>
            </w:pPr>
            <w:r>
              <w:t>65%</w:t>
            </w:r>
          </w:p>
        </w:tc>
      </w:tr>
    </w:tbl>
    <w:p>
      <w:pPr>
        <w:ind w:firstLine="720"/>
        <w:rPr>
          <w:color w:val="auto"/>
        </w:rPr>
      </w:pPr>
      <w:r>
        <w:rPr>
          <w:color w:val="auto"/>
        </w:rPr>
        <w:t>65 of the 100 questionnaires that were sent out for distribution were brought back, which gives us a response rate of 65%. Because each of the 65 responses that were received was in its entirety and accurately filled out, the data obtained from these individuals is both thorough and usable for further research. This indicates that 65 individuals out of every 100 who were contacted with the questionnaire participated fully in the process and submitted information that was accurate.</w:t>
      </w:r>
    </w:p>
    <w:p>
      <w:pPr>
        <w:pStyle w:val="3"/>
        <w:rPr>
          <w:color w:val="auto"/>
        </w:rPr>
      </w:pPr>
      <w:bookmarkStart w:id="52" w:name="_Toc147931460"/>
      <w:r>
        <w:rPr>
          <w:color w:val="auto"/>
        </w:rPr>
        <w:t>4.4</w:t>
      </w:r>
      <w:r>
        <w:rPr>
          <w:color w:val="auto"/>
        </w:rPr>
        <w:tab/>
      </w:r>
      <w:r>
        <w:rPr>
          <w:color w:val="auto"/>
        </w:rPr>
        <w:t>Data Processing</w:t>
      </w:r>
      <w:bookmarkEnd w:id="52"/>
    </w:p>
    <w:p>
      <w:pPr>
        <w:rPr>
          <w:color w:val="auto"/>
        </w:rPr>
      </w:pPr>
      <w:r>
        <w:rPr>
          <w:color w:val="auto"/>
        </w:rPr>
        <w:t>Processing the data that has been obtained involves cleaning, transforming, and analyzing the data in order to derive information that is meaningful from it. This is an essential step in the research process.</w:t>
      </w:r>
    </w:p>
    <w:p>
      <w:pPr>
        <w:pStyle w:val="3"/>
        <w:rPr>
          <w:color w:val="auto"/>
        </w:rPr>
      </w:pPr>
      <w:bookmarkStart w:id="53" w:name="_Toc147931461"/>
      <w:r>
        <w:rPr>
          <w:color w:val="auto"/>
        </w:rPr>
        <w:t>4.4.1</w:t>
      </w:r>
      <w:r>
        <w:rPr>
          <w:color w:val="auto"/>
        </w:rPr>
        <w:tab/>
      </w:r>
      <w:r>
        <w:rPr>
          <w:color w:val="auto"/>
        </w:rPr>
        <w:t>Missing values</w:t>
      </w:r>
      <w:bookmarkEnd w:id="53"/>
    </w:p>
    <w:p>
      <w:pPr>
        <w:pStyle w:val="19"/>
        <w:rPr>
          <w:color w:val="auto"/>
        </w:rPr>
      </w:pPr>
      <w:r>
        <w:rPr>
          <w:color w:val="auto"/>
        </w:rPr>
        <w:t>In the context of this study, the integrity of the dataset was extraordinary, as there were no missing values in any of the responses received. Not only is this uncommon in survey research, but it also strengthens the robustness and dependability of the subsequent analyses. This lack of missing values obviates the need to employ imputation methods or conduct a missing data analysis, thereby preserving the originality and veracity of the data.</w:t>
      </w:r>
    </w:p>
    <w:p>
      <w:pPr>
        <w:pStyle w:val="3"/>
        <w:rPr>
          <w:color w:val="auto"/>
        </w:rPr>
      </w:pPr>
      <w:bookmarkStart w:id="54" w:name="_Toc147931462"/>
      <w:r>
        <w:rPr>
          <w:color w:val="auto"/>
        </w:rPr>
        <w:t>4.5</w:t>
      </w:r>
      <w:r>
        <w:rPr>
          <w:color w:val="auto"/>
        </w:rPr>
        <w:tab/>
      </w:r>
      <w:r>
        <w:rPr>
          <w:color w:val="auto"/>
        </w:rPr>
        <w:t>Demographic Analysis</w:t>
      </w:r>
      <w:bookmarkEnd w:id="54"/>
    </w:p>
    <w:p>
      <w:pPr>
        <w:pStyle w:val="7"/>
        <w:keepNext/>
        <w:jc w:val="center"/>
        <w:rPr>
          <w:b/>
          <w:bCs/>
          <w:color w:val="auto"/>
          <w:sz w:val="24"/>
          <w:szCs w:val="24"/>
        </w:rPr>
      </w:pPr>
      <w:bookmarkStart w:id="55" w:name="_Toc147438058"/>
      <w:r>
        <w:rPr>
          <w:b/>
          <w:bCs/>
          <w:color w:val="auto"/>
          <w:sz w:val="24"/>
          <w:szCs w:val="24"/>
        </w:rPr>
        <w:t xml:space="preserve">Table </w:t>
      </w:r>
      <w:r>
        <w:rPr>
          <w:b/>
          <w:bCs/>
          <w:color w:val="auto"/>
          <w:sz w:val="24"/>
          <w:szCs w:val="24"/>
        </w:rPr>
        <w:fldChar w:fldCharType="begin"/>
      </w:r>
      <w:r>
        <w:rPr>
          <w:b/>
          <w:bCs/>
          <w:color w:val="auto"/>
          <w:sz w:val="24"/>
          <w:szCs w:val="24"/>
        </w:rPr>
        <w:instrText xml:space="preserve"> SEQ Table \* ARABIC </w:instrText>
      </w:r>
      <w:r>
        <w:rPr>
          <w:b/>
          <w:bCs/>
          <w:color w:val="auto"/>
          <w:sz w:val="24"/>
          <w:szCs w:val="24"/>
        </w:rPr>
        <w:fldChar w:fldCharType="separate"/>
      </w:r>
      <w:r>
        <w:rPr>
          <w:b/>
          <w:bCs/>
          <w:color w:val="auto"/>
          <w:sz w:val="24"/>
          <w:szCs w:val="24"/>
        </w:rPr>
        <w:t>2</w:t>
      </w:r>
      <w:r>
        <w:rPr>
          <w:b/>
          <w:bCs/>
          <w:color w:val="auto"/>
          <w:sz w:val="24"/>
          <w:szCs w:val="24"/>
        </w:rPr>
        <w:fldChar w:fldCharType="end"/>
      </w:r>
      <w:r>
        <w:rPr>
          <w:b/>
          <w:bCs/>
          <w:color w:val="auto"/>
          <w:sz w:val="24"/>
          <w:szCs w:val="24"/>
          <w:lang w:val="en-US"/>
        </w:rPr>
        <w:t>: Gender</w:t>
      </w:r>
      <w:bookmarkEnd w:id="55"/>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1"/>
        <w:gridCol w:w="3570"/>
        <w:gridCol w:w="31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5000" w:type="pct"/>
            <w:gridSpan w:val="3"/>
          </w:tcPr>
          <w:p>
            <w:pPr>
              <w:autoSpaceDE w:val="0"/>
              <w:autoSpaceDN w:val="0"/>
              <w:adjustRightInd w:val="0"/>
              <w:spacing w:before="0" w:after="0" w:line="320" w:lineRule="atLeast"/>
              <w:ind w:left="60" w:right="60"/>
              <w:jc w:val="center"/>
              <w:rPr>
                <w:rFonts w:cs="Times New Roman"/>
                <w:color w:val="auto"/>
              </w:rPr>
            </w:pPr>
            <w:r>
              <w:rPr>
                <w:rFonts w:cs="Times New Roman"/>
                <w:b/>
                <w:bCs/>
                <w:color w:val="auto"/>
              </w:rPr>
              <w:t>Gender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1494" w:type="pct"/>
          </w:tcPr>
          <w:p>
            <w:pPr>
              <w:autoSpaceDE w:val="0"/>
              <w:autoSpaceDN w:val="0"/>
              <w:adjustRightInd w:val="0"/>
              <w:spacing w:before="0" w:after="0" w:line="240" w:lineRule="auto"/>
              <w:rPr>
                <w:rFonts w:cs="Times New Roman"/>
                <w:color w:val="auto"/>
              </w:rPr>
            </w:pPr>
          </w:p>
        </w:tc>
        <w:tc>
          <w:tcPr>
            <w:tcW w:w="1864" w:type="pct"/>
          </w:tcPr>
          <w:p>
            <w:pPr>
              <w:autoSpaceDE w:val="0"/>
              <w:autoSpaceDN w:val="0"/>
              <w:adjustRightInd w:val="0"/>
              <w:spacing w:before="0" w:after="0" w:line="320" w:lineRule="atLeast"/>
              <w:ind w:left="60" w:right="60"/>
              <w:jc w:val="center"/>
              <w:rPr>
                <w:rFonts w:cs="Times New Roman"/>
                <w:b/>
                <w:bCs/>
                <w:color w:val="auto"/>
              </w:rPr>
            </w:pPr>
            <w:r>
              <w:rPr>
                <w:rFonts w:cs="Times New Roman"/>
                <w:b/>
                <w:bCs/>
                <w:color w:val="auto"/>
              </w:rPr>
              <w:t>N</w:t>
            </w:r>
          </w:p>
        </w:tc>
        <w:tc>
          <w:tcPr>
            <w:tcW w:w="1642" w:type="pct"/>
          </w:tcPr>
          <w:p>
            <w:pPr>
              <w:autoSpaceDE w:val="0"/>
              <w:autoSpaceDN w:val="0"/>
              <w:adjustRightInd w:val="0"/>
              <w:spacing w:before="0" w:after="0" w:line="320" w:lineRule="atLeast"/>
              <w:ind w:left="60" w:right="60"/>
              <w:jc w:val="center"/>
              <w:rPr>
                <w:rFonts w:cs="Times New Roman"/>
                <w:b/>
                <w:bCs/>
                <w:color w:val="auto"/>
              </w:rPr>
            </w:pPr>
            <w:r>
              <w:rPr>
                <w:rFonts w:cs="Times New Roman"/>
                <w:b/>
                <w:bCs/>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494" w:type="pct"/>
          </w:tcPr>
          <w:p>
            <w:pPr>
              <w:autoSpaceDE w:val="0"/>
              <w:autoSpaceDN w:val="0"/>
              <w:adjustRightInd w:val="0"/>
              <w:spacing w:before="0" w:after="0" w:line="320" w:lineRule="atLeast"/>
              <w:ind w:left="60" w:right="60"/>
              <w:rPr>
                <w:rFonts w:cs="Times New Roman"/>
                <w:color w:val="auto"/>
              </w:rPr>
            </w:pPr>
            <w:r>
              <w:rPr>
                <w:rFonts w:cs="Times New Roman"/>
                <w:color w:val="auto"/>
              </w:rPr>
              <w:t>Male</w:t>
            </w:r>
          </w:p>
        </w:tc>
        <w:tc>
          <w:tcPr>
            <w:tcW w:w="186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42</w:t>
            </w:r>
          </w:p>
        </w:tc>
        <w:tc>
          <w:tcPr>
            <w:tcW w:w="1642"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64.6%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494" w:type="pct"/>
          </w:tcPr>
          <w:p>
            <w:pPr>
              <w:autoSpaceDE w:val="0"/>
              <w:autoSpaceDN w:val="0"/>
              <w:adjustRightInd w:val="0"/>
              <w:spacing w:before="0" w:after="0" w:line="320" w:lineRule="atLeast"/>
              <w:ind w:left="60" w:right="60"/>
              <w:rPr>
                <w:rFonts w:cs="Times New Roman"/>
                <w:color w:val="auto"/>
              </w:rPr>
            </w:pPr>
            <w:r>
              <w:rPr>
                <w:rFonts w:cs="Times New Roman"/>
                <w:color w:val="auto"/>
              </w:rPr>
              <w:t>Female</w:t>
            </w:r>
          </w:p>
        </w:tc>
        <w:tc>
          <w:tcPr>
            <w:tcW w:w="186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23</w:t>
            </w:r>
          </w:p>
        </w:tc>
        <w:tc>
          <w:tcPr>
            <w:tcW w:w="1642"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35.4%</w:t>
            </w:r>
          </w:p>
        </w:tc>
      </w:tr>
    </w:tbl>
    <w:p>
      <w:pPr>
        <w:autoSpaceDE w:val="0"/>
        <w:autoSpaceDN w:val="0"/>
        <w:adjustRightInd w:val="0"/>
        <w:spacing w:before="0" w:after="0" w:line="400" w:lineRule="atLeast"/>
        <w:rPr>
          <w:rFonts w:cs="Times New Roman"/>
          <w:color w:val="auto"/>
        </w:rPr>
      </w:pPr>
    </w:p>
    <w:p>
      <w:pPr>
        <w:pStyle w:val="19"/>
        <w:rPr>
          <w:color w:val="auto"/>
        </w:rPr>
      </w:pPr>
      <w:r>
        <w:rPr>
          <w:color w:val="auto"/>
          <w:lang w:val="en-US" w:eastAsia="en-US"/>
        </w:rPr>
        <mc:AlternateContent>
          <mc:Choice Requires="wps">
            <w:drawing>
              <wp:anchor distT="0" distB="0" distL="114300" distR="114300" simplePos="0" relativeHeight="251662336" behindDoc="0" locked="0" layoutInCell="1" allowOverlap="1">
                <wp:simplePos x="0" y="0"/>
                <wp:positionH relativeFrom="column">
                  <wp:posOffset>721995</wp:posOffset>
                </wp:positionH>
                <wp:positionV relativeFrom="paragraph">
                  <wp:posOffset>2584450</wp:posOffset>
                </wp:positionV>
                <wp:extent cx="4027170"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4027170" cy="635"/>
                        </a:xfrm>
                        <a:prstGeom prst="rect">
                          <a:avLst/>
                        </a:prstGeom>
                        <a:solidFill>
                          <a:prstClr val="white"/>
                        </a:solidFill>
                        <a:ln>
                          <a:noFill/>
                        </a:ln>
                      </wps:spPr>
                      <wps:txbx>
                        <w:txbxContent>
                          <w:p>
                            <w:pPr>
                              <w:pStyle w:val="7"/>
                              <w:jc w:val="center"/>
                              <w:rPr>
                                <w:rFonts w:cs="Times New Roman"/>
                                <w:color w:val="000000" w:themeColor="text1"/>
                                <w:sz w:val="32"/>
                                <w:szCs w:val="32"/>
                                <w14:textFill>
                                  <w14:solidFill>
                                    <w14:schemeClr w14:val="tx1"/>
                                  </w14:solidFill>
                                </w14:textFill>
                              </w:rPr>
                            </w:pPr>
                            <w:bookmarkStart w:id="81" w:name="_Toc147438063"/>
                            <w:r>
                              <w:rPr>
                                <w:color w:val="000000" w:themeColor="text1"/>
                                <w:sz w:val="22"/>
                                <w:szCs w:val="22"/>
                                <w14:textFill>
                                  <w14:solidFill>
                                    <w14:schemeClr w14:val="tx1"/>
                                  </w14:solidFill>
                                </w14:textFill>
                              </w:rPr>
                              <w:t xml:space="preserve">Figure </w:t>
                            </w:r>
                            <w:r>
                              <w:rPr>
                                <w:color w:val="000000" w:themeColor="text1"/>
                                <w:sz w:val="22"/>
                                <w:szCs w:val="22"/>
                                <w14:textFill>
                                  <w14:solidFill>
                                    <w14:schemeClr w14:val="tx1"/>
                                  </w14:solidFill>
                                </w14:textFill>
                              </w:rPr>
                              <w:fldChar w:fldCharType="begin"/>
                            </w:r>
                            <w:r>
                              <w:rPr>
                                <w:color w:val="000000" w:themeColor="text1"/>
                                <w:sz w:val="22"/>
                                <w:szCs w:val="22"/>
                                <w14:textFill>
                                  <w14:solidFill>
                                    <w14:schemeClr w14:val="tx1"/>
                                  </w14:solidFill>
                                </w14:textFill>
                              </w:rPr>
                              <w:instrText xml:space="preserve"> SEQ Figure \* ARABIC </w:instrText>
                            </w:r>
                            <w:r>
                              <w:rPr>
                                <w:color w:val="000000" w:themeColor="text1"/>
                                <w:sz w:val="22"/>
                                <w:szCs w:val="22"/>
                                <w14:textFill>
                                  <w14:solidFill>
                                    <w14:schemeClr w14:val="tx1"/>
                                  </w14:solidFill>
                                </w14:textFill>
                              </w:rPr>
                              <w:fldChar w:fldCharType="separate"/>
                            </w:r>
                            <w:r>
                              <w:rPr>
                                <w:color w:val="000000" w:themeColor="text1"/>
                                <w:sz w:val="22"/>
                                <w:szCs w:val="22"/>
                                <w14:textFill>
                                  <w14:solidFill>
                                    <w14:schemeClr w14:val="tx1"/>
                                  </w14:solidFill>
                                </w14:textFill>
                              </w:rPr>
                              <w:t>2</w:t>
                            </w:r>
                            <w:r>
                              <w:rPr>
                                <w:color w:val="000000" w:themeColor="text1"/>
                                <w:sz w:val="22"/>
                                <w:szCs w:val="22"/>
                                <w14:textFill>
                                  <w14:solidFill>
                                    <w14:schemeClr w14:val="tx1"/>
                                  </w14:solidFill>
                                </w14:textFill>
                              </w:rPr>
                              <w:fldChar w:fldCharType="end"/>
                            </w:r>
                            <w:r>
                              <w:rPr>
                                <w:color w:val="000000" w:themeColor="text1"/>
                                <w:sz w:val="22"/>
                                <w:szCs w:val="22"/>
                                <w:lang w:val="en-US"/>
                                <w14:textFill>
                                  <w14:solidFill>
                                    <w14:schemeClr w14:val="tx1"/>
                                  </w14:solidFill>
                                </w14:textFill>
                              </w:rPr>
                              <w:t>: Gender</w:t>
                            </w:r>
                            <w:bookmarkEnd w:id="81"/>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6.85pt;margin-top:203.5pt;height:0.05pt;width:317.1pt;mso-wrap-distance-bottom:0pt;mso-wrap-distance-top:0pt;z-index:251662336;mso-width-relative:page;mso-height-relative:page;" fillcolor="#FFFFFF" filled="t" stroked="f" coordsize="21600,21600" o:gfxdata="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E8DoF3aAAAACwEAAA8AAAAAAAAAAQAgAAAAIgAAAGRycy9kb3ducmV2LnhtbFBLAQIU&#10;ABQAAAAIAIdO4kAOSQ2YKgIAAHEEAAAOAAAAAAAAAAEAIAAAACkBAABkcnMvZTJvRG9jLnhtbFBL&#10;BQYAAAAABgAGAFkBAADFBQAAAAA=&#10;">
                <v:fill on="t" focussize="0,0"/>
                <v:stroke on="f"/>
                <v:imagedata o:title=""/>
                <o:lock v:ext="edit" aspectratio="f"/>
                <v:textbox inset="0mm,0mm,0mm,0mm" style="mso-fit-shape-to-text:t;">
                  <w:txbxContent>
                    <w:p>
                      <w:pPr>
                        <w:pStyle w:val="7"/>
                        <w:jc w:val="center"/>
                        <w:rPr>
                          <w:rFonts w:cs="Times New Roman"/>
                          <w:color w:val="000000" w:themeColor="text1"/>
                          <w:sz w:val="32"/>
                          <w:szCs w:val="32"/>
                          <w14:textFill>
                            <w14:solidFill>
                              <w14:schemeClr w14:val="tx1"/>
                            </w14:solidFill>
                          </w14:textFill>
                        </w:rPr>
                      </w:pPr>
                      <w:bookmarkStart w:id="81" w:name="_Toc147438063"/>
                      <w:r>
                        <w:rPr>
                          <w:color w:val="000000" w:themeColor="text1"/>
                          <w:sz w:val="22"/>
                          <w:szCs w:val="22"/>
                          <w14:textFill>
                            <w14:solidFill>
                              <w14:schemeClr w14:val="tx1"/>
                            </w14:solidFill>
                          </w14:textFill>
                        </w:rPr>
                        <w:t xml:space="preserve">Figure </w:t>
                      </w:r>
                      <w:r>
                        <w:rPr>
                          <w:color w:val="000000" w:themeColor="text1"/>
                          <w:sz w:val="22"/>
                          <w:szCs w:val="22"/>
                          <w14:textFill>
                            <w14:solidFill>
                              <w14:schemeClr w14:val="tx1"/>
                            </w14:solidFill>
                          </w14:textFill>
                        </w:rPr>
                        <w:fldChar w:fldCharType="begin"/>
                      </w:r>
                      <w:r>
                        <w:rPr>
                          <w:color w:val="000000" w:themeColor="text1"/>
                          <w:sz w:val="22"/>
                          <w:szCs w:val="22"/>
                          <w14:textFill>
                            <w14:solidFill>
                              <w14:schemeClr w14:val="tx1"/>
                            </w14:solidFill>
                          </w14:textFill>
                        </w:rPr>
                        <w:instrText xml:space="preserve"> SEQ Figure \* ARABIC </w:instrText>
                      </w:r>
                      <w:r>
                        <w:rPr>
                          <w:color w:val="000000" w:themeColor="text1"/>
                          <w:sz w:val="22"/>
                          <w:szCs w:val="22"/>
                          <w14:textFill>
                            <w14:solidFill>
                              <w14:schemeClr w14:val="tx1"/>
                            </w14:solidFill>
                          </w14:textFill>
                        </w:rPr>
                        <w:fldChar w:fldCharType="separate"/>
                      </w:r>
                      <w:r>
                        <w:rPr>
                          <w:color w:val="000000" w:themeColor="text1"/>
                          <w:sz w:val="22"/>
                          <w:szCs w:val="22"/>
                          <w14:textFill>
                            <w14:solidFill>
                              <w14:schemeClr w14:val="tx1"/>
                            </w14:solidFill>
                          </w14:textFill>
                        </w:rPr>
                        <w:t>2</w:t>
                      </w:r>
                      <w:r>
                        <w:rPr>
                          <w:color w:val="000000" w:themeColor="text1"/>
                          <w:sz w:val="22"/>
                          <w:szCs w:val="22"/>
                          <w14:textFill>
                            <w14:solidFill>
                              <w14:schemeClr w14:val="tx1"/>
                            </w14:solidFill>
                          </w14:textFill>
                        </w:rPr>
                        <w:fldChar w:fldCharType="end"/>
                      </w:r>
                      <w:r>
                        <w:rPr>
                          <w:color w:val="000000" w:themeColor="text1"/>
                          <w:sz w:val="22"/>
                          <w:szCs w:val="22"/>
                          <w:lang w:val="en-US"/>
                          <w14:textFill>
                            <w14:solidFill>
                              <w14:schemeClr w14:val="tx1"/>
                            </w14:solidFill>
                          </w14:textFill>
                        </w:rPr>
                        <w:t>: Gender</w:t>
                      </w:r>
                      <w:bookmarkEnd w:id="81"/>
                    </w:p>
                  </w:txbxContent>
                </v:textbox>
                <w10:wrap type="topAndBottom"/>
              </v:shape>
            </w:pict>
          </mc:Fallback>
        </mc:AlternateContent>
      </w:r>
      <w:r>
        <w:rPr>
          <w:rFonts w:cs="Times New Roman"/>
          <w:color w:val="auto"/>
          <w:lang w:val="en-US" w:eastAsia="en-US"/>
        </w:rPr>
        <w:drawing>
          <wp:anchor distT="0" distB="0" distL="114300" distR="114300" simplePos="0" relativeHeight="251661312" behindDoc="0" locked="0" layoutInCell="1" allowOverlap="1">
            <wp:simplePos x="0" y="0"/>
            <wp:positionH relativeFrom="margin">
              <wp:posOffset>706120</wp:posOffset>
            </wp:positionH>
            <wp:positionV relativeFrom="paragraph">
              <wp:posOffset>170815</wp:posOffset>
            </wp:positionV>
            <wp:extent cx="4027170" cy="2367915"/>
            <wp:effectExtent l="19050" t="19050" r="11430" b="1397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027170" cy="2367847"/>
                    </a:xfrm>
                    <a:prstGeom prst="rect">
                      <a:avLst/>
                    </a:prstGeom>
                    <a:noFill/>
                    <a:ln>
                      <a:solidFill>
                        <a:schemeClr val="bg2"/>
                      </a:solidFill>
                    </a:ln>
                  </pic:spPr>
                </pic:pic>
              </a:graphicData>
            </a:graphic>
          </wp:anchor>
        </w:drawing>
      </w:r>
    </w:p>
    <w:p>
      <w:pPr>
        <w:pStyle w:val="19"/>
        <w:rPr>
          <w:color w:val="auto"/>
        </w:rPr>
      </w:pPr>
      <w:r>
        <w:rPr>
          <w:color w:val="auto"/>
        </w:rPr>
        <w:t>There was a total of 65 responders, with 42 men (64.6% of the total) and 23 women (35.4% of the total). It is important to keep in mind that males and females may have distinct perspectives and experiences with companies due to the uneven gender distribution in the sample. This may indicate that male respondents had a more favorable impression of the automobile sector in general and Tata Motors in particular.</w:t>
      </w:r>
    </w:p>
    <w:p>
      <w:pPr>
        <w:autoSpaceDE w:val="0"/>
        <w:autoSpaceDN w:val="0"/>
        <w:adjustRightInd w:val="0"/>
        <w:spacing w:before="0" w:after="0" w:line="400" w:lineRule="atLeast"/>
        <w:rPr>
          <w:rFonts w:cs="Times New Roman"/>
          <w:color w:val="auto"/>
        </w:rPr>
      </w:pPr>
    </w:p>
    <w:p>
      <w:pPr>
        <w:autoSpaceDE w:val="0"/>
        <w:autoSpaceDN w:val="0"/>
        <w:adjustRightInd w:val="0"/>
        <w:spacing w:before="0" w:after="0" w:line="400" w:lineRule="atLeast"/>
        <w:rPr>
          <w:rFonts w:cs="Times New Roman"/>
          <w:color w:val="auto"/>
        </w:rPr>
      </w:pPr>
    </w:p>
    <w:p>
      <w:pPr>
        <w:pStyle w:val="7"/>
        <w:keepNext/>
        <w:jc w:val="center"/>
        <w:rPr>
          <w:color w:val="auto"/>
          <w:sz w:val="24"/>
          <w:szCs w:val="24"/>
        </w:rPr>
      </w:pPr>
      <w:bookmarkStart w:id="56" w:name="_Toc147438059"/>
      <w:r>
        <w:rPr>
          <w:color w:val="auto"/>
          <w:sz w:val="24"/>
          <w:szCs w:val="24"/>
        </w:rPr>
        <w:t xml:space="preserve">Table </w:t>
      </w:r>
      <w:r>
        <w:rPr>
          <w:color w:val="auto"/>
          <w:sz w:val="24"/>
          <w:szCs w:val="24"/>
        </w:rPr>
        <w:fldChar w:fldCharType="begin"/>
      </w:r>
      <w:r>
        <w:rPr>
          <w:color w:val="auto"/>
          <w:sz w:val="24"/>
          <w:szCs w:val="24"/>
        </w:rPr>
        <w:instrText xml:space="preserve"> SEQ Table \* ARABIC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lang w:val="en-US"/>
        </w:rPr>
        <w:t xml:space="preserve"> Age:</w:t>
      </w:r>
      <w:bookmarkEnd w:id="56"/>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6"/>
        <w:gridCol w:w="3434"/>
        <w:gridCol w:w="3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7" w:hRule="atLeast"/>
        </w:trPr>
        <w:tc>
          <w:tcPr>
            <w:tcW w:w="5000" w:type="pct"/>
            <w:gridSpan w:val="3"/>
          </w:tcPr>
          <w:p>
            <w:pPr>
              <w:spacing w:line="276" w:lineRule="auto"/>
              <w:jc w:val="center"/>
              <w:rPr>
                <w:b/>
                <w:bCs/>
                <w:color w:val="auto"/>
              </w:rPr>
            </w:pPr>
            <w:r>
              <w:rPr>
                <w:b/>
                <w:bCs/>
                <w:color w:val="auto"/>
              </w:rPr>
              <w:t>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pct"/>
          </w:tcPr>
          <w:p>
            <w:pPr>
              <w:spacing w:line="276" w:lineRule="auto"/>
              <w:rPr>
                <w:rFonts w:cs="Times New Roman"/>
                <w:color w:val="auto"/>
              </w:rPr>
            </w:pPr>
          </w:p>
        </w:tc>
        <w:tc>
          <w:tcPr>
            <w:tcW w:w="1793" w:type="pct"/>
          </w:tcPr>
          <w:p>
            <w:pPr>
              <w:spacing w:line="276" w:lineRule="auto"/>
              <w:jc w:val="center"/>
              <w:rPr>
                <w:color w:val="auto"/>
              </w:rPr>
            </w:pPr>
            <w:r>
              <w:rPr>
                <w:color w:val="auto"/>
              </w:rPr>
              <w:t>N</w:t>
            </w:r>
          </w:p>
        </w:tc>
        <w:tc>
          <w:tcPr>
            <w:tcW w:w="1580" w:type="pct"/>
          </w:tcPr>
          <w:p>
            <w:pPr>
              <w:spacing w:line="276" w:lineRule="auto"/>
              <w:jc w:val="center"/>
              <w:rPr>
                <w:color w:val="auto"/>
              </w:rPr>
            </w:pPr>
            <w:r>
              <w:rPr>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pct"/>
          </w:tcPr>
          <w:p>
            <w:pPr>
              <w:spacing w:line="276" w:lineRule="auto"/>
              <w:rPr>
                <w:color w:val="auto"/>
              </w:rPr>
            </w:pPr>
            <w:r>
              <w:rPr>
                <w:color w:val="auto"/>
              </w:rPr>
              <w:t>18-24</w:t>
            </w:r>
          </w:p>
        </w:tc>
        <w:tc>
          <w:tcPr>
            <w:tcW w:w="1793" w:type="pct"/>
          </w:tcPr>
          <w:p>
            <w:pPr>
              <w:spacing w:line="276" w:lineRule="auto"/>
              <w:jc w:val="center"/>
              <w:rPr>
                <w:color w:val="auto"/>
              </w:rPr>
            </w:pPr>
            <w:r>
              <w:rPr>
                <w:color w:val="auto"/>
              </w:rPr>
              <w:t>14</w:t>
            </w:r>
          </w:p>
        </w:tc>
        <w:tc>
          <w:tcPr>
            <w:tcW w:w="1580" w:type="pct"/>
          </w:tcPr>
          <w:p>
            <w:pPr>
              <w:spacing w:line="276" w:lineRule="auto"/>
              <w:jc w:val="center"/>
              <w:rPr>
                <w:color w:val="auto"/>
              </w:rPr>
            </w:pPr>
            <w:r>
              <w:rPr>
                <w:color w:val="auto"/>
              </w:rPr>
              <w:t>21.5%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pct"/>
          </w:tcPr>
          <w:p>
            <w:pPr>
              <w:spacing w:line="276" w:lineRule="auto"/>
              <w:rPr>
                <w:color w:val="auto"/>
              </w:rPr>
            </w:pPr>
            <w:r>
              <w:rPr>
                <w:color w:val="auto"/>
              </w:rPr>
              <w:t>25-31</w:t>
            </w:r>
          </w:p>
        </w:tc>
        <w:tc>
          <w:tcPr>
            <w:tcW w:w="1793" w:type="pct"/>
          </w:tcPr>
          <w:p>
            <w:pPr>
              <w:spacing w:line="276" w:lineRule="auto"/>
              <w:jc w:val="center"/>
              <w:rPr>
                <w:color w:val="auto"/>
              </w:rPr>
            </w:pPr>
            <w:r>
              <w:rPr>
                <w:color w:val="auto"/>
              </w:rPr>
              <w:t>25</w:t>
            </w:r>
          </w:p>
        </w:tc>
        <w:tc>
          <w:tcPr>
            <w:tcW w:w="1580" w:type="pct"/>
          </w:tcPr>
          <w:p>
            <w:pPr>
              <w:spacing w:line="276" w:lineRule="auto"/>
              <w:jc w:val="center"/>
              <w:rPr>
                <w:color w:val="auto"/>
              </w:rPr>
            </w:pPr>
            <w:r>
              <w:rPr>
                <w:color w:val="auto"/>
              </w:rPr>
              <w:t>38.5%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pct"/>
          </w:tcPr>
          <w:p>
            <w:pPr>
              <w:spacing w:line="276" w:lineRule="auto"/>
              <w:rPr>
                <w:color w:val="auto"/>
              </w:rPr>
            </w:pPr>
            <w:r>
              <w:rPr>
                <w:color w:val="auto"/>
              </w:rPr>
              <w:t>32-38</w:t>
            </w:r>
          </w:p>
        </w:tc>
        <w:tc>
          <w:tcPr>
            <w:tcW w:w="1793" w:type="pct"/>
          </w:tcPr>
          <w:p>
            <w:pPr>
              <w:spacing w:line="276" w:lineRule="auto"/>
              <w:jc w:val="center"/>
              <w:rPr>
                <w:color w:val="auto"/>
              </w:rPr>
            </w:pPr>
            <w:r>
              <w:rPr>
                <w:color w:val="auto"/>
              </w:rPr>
              <w:t>5</w:t>
            </w:r>
          </w:p>
        </w:tc>
        <w:tc>
          <w:tcPr>
            <w:tcW w:w="1580" w:type="pct"/>
          </w:tcPr>
          <w:p>
            <w:pPr>
              <w:spacing w:line="276" w:lineRule="auto"/>
              <w:jc w:val="center"/>
              <w:rPr>
                <w:color w:val="auto"/>
              </w:rPr>
            </w:pPr>
            <w:r>
              <w:rPr>
                <w:color w:val="auto"/>
              </w:rPr>
              <w:t>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pct"/>
          </w:tcPr>
          <w:p>
            <w:pPr>
              <w:spacing w:line="276" w:lineRule="auto"/>
              <w:rPr>
                <w:color w:val="auto"/>
              </w:rPr>
            </w:pPr>
            <w:r>
              <w:rPr>
                <w:color w:val="auto"/>
              </w:rPr>
              <w:t>39-45</w:t>
            </w:r>
          </w:p>
        </w:tc>
        <w:tc>
          <w:tcPr>
            <w:tcW w:w="1793" w:type="pct"/>
          </w:tcPr>
          <w:p>
            <w:pPr>
              <w:spacing w:line="276" w:lineRule="auto"/>
              <w:jc w:val="center"/>
              <w:rPr>
                <w:color w:val="auto"/>
              </w:rPr>
            </w:pPr>
            <w:r>
              <w:rPr>
                <w:color w:val="auto"/>
              </w:rPr>
              <w:t>12</w:t>
            </w:r>
          </w:p>
        </w:tc>
        <w:tc>
          <w:tcPr>
            <w:tcW w:w="1580" w:type="pct"/>
          </w:tcPr>
          <w:p>
            <w:pPr>
              <w:spacing w:line="276" w:lineRule="auto"/>
              <w:jc w:val="center"/>
              <w:rPr>
                <w:color w:val="auto"/>
              </w:rPr>
            </w:pPr>
            <w:r>
              <w:rPr>
                <w:color w:val="auto"/>
              </w:rPr>
              <w:t>18.5%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pct"/>
          </w:tcPr>
          <w:p>
            <w:pPr>
              <w:spacing w:line="276" w:lineRule="auto"/>
              <w:rPr>
                <w:color w:val="auto"/>
              </w:rPr>
            </w:pPr>
            <w:r>
              <w:rPr>
                <w:color w:val="auto"/>
              </w:rPr>
              <w:t>Above 45</w:t>
            </w:r>
          </w:p>
        </w:tc>
        <w:tc>
          <w:tcPr>
            <w:tcW w:w="1793" w:type="pct"/>
          </w:tcPr>
          <w:p>
            <w:pPr>
              <w:spacing w:line="276" w:lineRule="auto"/>
              <w:jc w:val="center"/>
              <w:rPr>
                <w:color w:val="auto"/>
              </w:rPr>
            </w:pPr>
            <w:r>
              <w:rPr>
                <w:color w:val="auto"/>
              </w:rPr>
              <w:t>9</w:t>
            </w:r>
          </w:p>
        </w:tc>
        <w:tc>
          <w:tcPr>
            <w:tcW w:w="1580" w:type="pct"/>
          </w:tcPr>
          <w:p>
            <w:pPr>
              <w:spacing w:line="276" w:lineRule="auto"/>
              <w:jc w:val="center"/>
              <w:rPr>
                <w:color w:val="auto"/>
              </w:rPr>
            </w:pPr>
            <w:r>
              <w:rPr>
                <w:color w:val="auto"/>
              </w:rPr>
              <w:t>13.8%</w:t>
            </w:r>
          </w:p>
        </w:tc>
      </w:tr>
    </w:tbl>
    <w:p>
      <w:pPr>
        <w:autoSpaceDE w:val="0"/>
        <w:autoSpaceDN w:val="0"/>
        <w:adjustRightInd w:val="0"/>
        <w:spacing w:before="0" w:after="0" w:line="400" w:lineRule="atLeast"/>
        <w:rPr>
          <w:rFonts w:cs="Times New Roman"/>
          <w:color w:val="auto"/>
        </w:rPr>
      </w:pPr>
    </w:p>
    <w:p>
      <w:pPr>
        <w:pStyle w:val="19"/>
        <w:rPr>
          <w:color w:val="auto"/>
        </w:rPr>
      </w:pPr>
      <w:r>
        <w:rPr>
          <w:color w:val="auto"/>
        </w:rPr>
        <w:t>Among the respondents, those between the ages of 25 and 31 make up the biggest age group at 38.5%, followed by those between the ages of 39 and 45 at 18.5%, those between the ages of 18 and 24 at 21.5%, those above the age of 45 at 13.8%, and those between the ages of 32 and 38 at 7.7%. This distribution suggests that there is a disproportionately large number of people in the 18–34 age range who have interacted with or formed opinions about Tata Motors.</w:t>
      </w:r>
    </w:p>
    <w:p>
      <w:pPr>
        <w:autoSpaceDE w:val="0"/>
        <w:autoSpaceDN w:val="0"/>
        <w:adjustRightInd w:val="0"/>
        <w:spacing w:before="0" w:after="0" w:line="400" w:lineRule="atLeast"/>
        <w:rPr>
          <w:rFonts w:cs="Times New Roman"/>
          <w:color w:val="auto"/>
        </w:rPr>
      </w:pPr>
    </w:p>
    <w:p>
      <w:pPr>
        <w:keepNext/>
        <w:autoSpaceDE w:val="0"/>
        <w:autoSpaceDN w:val="0"/>
        <w:adjustRightInd w:val="0"/>
        <w:spacing w:before="0" w:after="0" w:line="240" w:lineRule="auto"/>
      </w:pPr>
      <w:r>
        <w:rPr>
          <w:rFonts w:cs="Times New Roman"/>
          <w:color w:val="auto"/>
          <w:lang w:val="en-US" w:eastAsia="en-US"/>
        </w:rPr>
        <w:drawing>
          <wp:inline distT="0" distB="0" distL="0" distR="0">
            <wp:extent cx="5731510" cy="3369945"/>
            <wp:effectExtent l="19050" t="19050" r="21590" b="209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731510" cy="3369945"/>
                    </a:xfrm>
                    <a:prstGeom prst="rect">
                      <a:avLst/>
                    </a:prstGeom>
                    <a:noFill/>
                    <a:ln>
                      <a:solidFill>
                        <a:schemeClr val="bg2"/>
                      </a:solidFill>
                    </a:ln>
                  </pic:spPr>
                </pic:pic>
              </a:graphicData>
            </a:graphic>
          </wp:inline>
        </w:drawing>
      </w:r>
    </w:p>
    <w:p>
      <w:pPr>
        <w:pStyle w:val="7"/>
        <w:jc w:val="center"/>
        <w:rPr>
          <w:rFonts w:cs="Times New Roman"/>
          <w:color w:val="auto"/>
          <w:sz w:val="24"/>
          <w:szCs w:val="24"/>
        </w:rPr>
      </w:pPr>
      <w:bookmarkStart w:id="57" w:name="_Toc147438064"/>
      <w:r>
        <w:rPr>
          <w:color w:val="auto"/>
          <w:sz w:val="24"/>
          <w:szCs w:val="24"/>
        </w:rPr>
        <w:t xml:space="preserve">Figure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lang w:val="en-US"/>
        </w:rPr>
        <w:t>: Age</w:t>
      </w:r>
      <w:bookmarkEnd w:id="57"/>
    </w:p>
    <w:p>
      <w:pPr>
        <w:autoSpaceDE w:val="0"/>
        <w:autoSpaceDN w:val="0"/>
        <w:adjustRightInd w:val="0"/>
        <w:spacing w:before="0" w:after="0" w:line="240" w:lineRule="auto"/>
        <w:rPr>
          <w:rFonts w:cs="Times New Roman"/>
          <w:color w:val="auto"/>
        </w:rPr>
      </w:pPr>
    </w:p>
    <w:p>
      <w:pPr>
        <w:spacing w:before="0" w:after="160" w:line="259" w:lineRule="auto"/>
        <w:rPr>
          <w:rFonts w:cs="Times New Roman"/>
          <w:color w:val="auto"/>
        </w:rPr>
      </w:pPr>
      <w:r>
        <w:rPr>
          <w:rFonts w:cs="Times New Roman"/>
          <w:color w:val="auto"/>
        </w:rPr>
        <w:br w:type="page"/>
      </w:r>
    </w:p>
    <w:p>
      <w:pPr>
        <w:pStyle w:val="7"/>
        <w:keepNext/>
        <w:rPr>
          <w:color w:val="auto"/>
          <w:sz w:val="24"/>
          <w:szCs w:val="24"/>
        </w:rPr>
      </w:pPr>
      <w:bookmarkStart w:id="58" w:name="_Toc147438060"/>
      <w:r>
        <w:rPr>
          <w:color w:val="auto"/>
          <w:sz w:val="24"/>
          <w:szCs w:val="24"/>
        </w:rPr>
        <w:t xml:space="preserve">Table </w:t>
      </w:r>
      <w:r>
        <w:rPr>
          <w:color w:val="auto"/>
          <w:sz w:val="24"/>
          <w:szCs w:val="24"/>
        </w:rPr>
        <w:fldChar w:fldCharType="begin"/>
      </w:r>
      <w:r>
        <w:rPr>
          <w:color w:val="auto"/>
          <w:sz w:val="24"/>
          <w:szCs w:val="24"/>
        </w:rPr>
        <w:instrText xml:space="preserve"> SEQ Table \* ARABIC </w:instrText>
      </w:r>
      <w:r>
        <w:rPr>
          <w:color w:val="auto"/>
          <w:sz w:val="24"/>
          <w:szCs w:val="24"/>
        </w:rPr>
        <w:fldChar w:fldCharType="separate"/>
      </w:r>
      <w:r>
        <w:rPr>
          <w:color w:val="auto"/>
          <w:sz w:val="24"/>
          <w:szCs w:val="24"/>
        </w:rPr>
        <w:t>4</w:t>
      </w:r>
      <w:r>
        <w:rPr>
          <w:color w:val="auto"/>
          <w:sz w:val="24"/>
          <w:szCs w:val="24"/>
        </w:rPr>
        <w:fldChar w:fldCharType="end"/>
      </w:r>
      <w:r>
        <w:rPr>
          <w:color w:val="auto"/>
          <w:sz w:val="24"/>
          <w:szCs w:val="24"/>
          <w:lang w:val="en-US"/>
        </w:rPr>
        <w:t>: Education</w:t>
      </w:r>
      <w:bookmarkEnd w:id="58"/>
    </w:p>
    <w:tbl>
      <w:tblPr>
        <w:tblStyle w:val="11"/>
        <w:tblW w:w="463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6"/>
        <w:gridCol w:w="3200"/>
        <w:gridCol w:w="2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5000" w:type="pct"/>
            <w:gridSpan w:val="3"/>
          </w:tcPr>
          <w:p>
            <w:pPr>
              <w:autoSpaceDE w:val="0"/>
              <w:autoSpaceDN w:val="0"/>
              <w:adjustRightInd w:val="0"/>
              <w:spacing w:before="0" w:after="0" w:line="320" w:lineRule="atLeast"/>
              <w:ind w:left="60" w:right="60"/>
              <w:jc w:val="center"/>
              <w:rPr>
                <w:rFonts w:cs="Times New Roman"/>
                <w:color w:val="auto"/>
              </w:rPr>
            </w:pPr>
            <w:r>
              <w:rPr>
                <w:rFonts w:cs="Times New Roman"/>
                <w:b/>
                <w:bCs/>
                <w:color w:val="auto"/>
              </w:rPr>
              <w:t>Education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613" w:type="pct"/>
          </w:tcPr>
          <w:p>
            <w:pPr>
              <w:autoSpaceDE w:val="0"/>
              <w:autoSpaceDN w:val="0"/>
              <w:adjustRightInd w:val="0"/>
              <w:spacing w:before="0" w:after="0" w:line="240" w:lineRule="auto"/>
              <w:rPr>
                <w:rFonts w:cs="Times New Roman"/>
                <w:color w:val="auto"/>
              </w:rPr>
            </w:pPr>
          </w:p>
        </w:tc>
        <w:tc>
          <w:tcPr>
            <w:tcW w:w="1801"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N</w:t>
            </w:r>
          </w:p>
        </w:tc>
        <w:tc>
          <w:tcPr>
            <w:tcW w:w="1586"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613" w:type="pct"/>
          </w:tcPr>
          <w:p>
            <w:pPr>
              <w:autoSpaceDE w:val="0"/>
              <w:autoSpaceDN w:val="0"/>
              <w:adjustRightInd w:val="0"/>
              <w:spacing w:before="0" w:after="0" w:line="320" w:lineRule="atLeast"/>
              <w:ind w:left="60" w:right="60"/>
              <w:rPr>
                <w:rFonts w:cs="Times New Roman"/>
                <w:color w:val="auto"/>
              </w:rPr>
            </w:pPr>
            <w:r>
              <w:rPr>
                <w:rFonts w:cs="Times New Roman"/>
                <w:color w:val="auto"/>
              </w:rPr>
              <w:t>A-levels</w:t>
            </w:r>
          </w:p>
        </w:tc>
        <w:tc>
          <w:tcPr>
            <w:tcW w:w="1801"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6</w:t>
            </w:r>
          </w:p>
        </w:tc>
        <w:tc>
          <w:tcPr>
            <w:tcW w:w="1586"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613" w:type="pct"/>
          </w:tcPr>
          <w:p>
            <w:pPr>
              <w:autoSpaceDE w:val="0"/>
              <w:autoSpaceDN w:val="0"/>
              <w:adjustRightInd w:val="0"/>
              <w:spacing w:before="0" w:after="0" w:line="320" w:lineRule="atLeast"/>
              <w:ind w:left="60" w:right="60"/>
              <w:rPr>
                <w:rFonts w:cs="Times New Roman"/>
                <w:color w:val="auto"/>
              </w:rPr>
            </w:pPr>
            <w:r>
              <w:rPr>
                <w:rFonts w:cs="Times New Roman"/>
                <w:color w:val="auto"/>
              </w:rPr>
              <w:t>Bachelor</w:t>
            </w:r>
          </w:p>
        </w:tc>
        <w:tc>
          <w:tcPr>
            <w:tcW w:w="1801"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27</w:t>
            </w:r>
          </w:p>
        </w:tc>
        <w:tc>
          <w:tcPr>
            <w:tcW w:w="1586"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41.5%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613" w:type="pct"/>
          </w:tcPr>
          <w:p>
            <w:pPr>
              <w:autoSpaceDE w:val="0"/>
              <w:autoSpaceDN w:val="0"/>
              <w:adjustRightInd w:val="0"/>
              <w:spacing w:before="0" w:after="0" w:line="320" w:lineRule="atLeast"/>
              <w:ind w:left="60" w:right="60"/>
              <w:rPr>
                <w:rFonts w:cs="Times New Roman"/>
                <w:color w:val="auto"/>
              </w:rPr>
            </w:pPr>
            <w:r>
              <w:rPr>
                <w:rFonts w:cs="Times New Roman"/>
                <w:color w:val="auto"/>
              </w:rPr>
              <w:t>Master</w:t>
            </w:r>
          </w:p>
        </w:tc>
        <w:tc>
          <w:tcPr>
            <w:tcW w:w="1801"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27</w:t>
            </w:r>
          </w:p>
        </w:tc>
        <w:tc>
          <w:tcPr>
            <w:tcW w:w="1586"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41.5%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613" w:type="pct"/>
          </w:tcPr>
          <w:p>
            <w:pPr>
              <w:autoSpaceDE w:val="0"/>
              <w:autoSpaceDN w:val="0"/>
              <w:adjustRightInd w:val="0"/>
              <w:spacing w:before="0" w:after="0" w:line="320" w:lineRule="atLeast"/>
              <w:ind w:left="60" w:right="60"/>
              <w:rPr>
                <w:rFonts w:cs="Times New Roman"/>
                <w:color w:val="auto"/>
              </w:rPr>
            </w:pPr>
            <w:r>
              <w:rPr>
                <w:rFonts w:cs="Times New Roman"/>
                <w:color w:val="auto"/>
              </w:rPr>
              <w:t>Other</w:t>
            </w:r>
          </w:p>
        </w:tc>
        <w:tc>
          <w:tcPr>
            <w:tcW w:w="1801"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5</w:t>
            </w:r>
          </w:p>
        </w:tc>
        <w:tc>
          <w:tcPr>
            <w:tcW w:w="1586"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7.7%</w:t>
            </w:r>
          </w:p>
        </w:tc>
      </w:tr>
    </w:tbl>
    <w:p>
      <w:pPr>
        <w:autoSpaceDE w:val="0"/>
        <w:autoSpaceDN w:val="0"/>
        <w:adjustRightInd w:val="0"/>
        <w:spacing w:before="0" w:after="0" w:line="400" w:lineRule="atLeast"/>
        <w:rPr>
          <w:rFonts w:cs="Times New Roman"/>
          <w:color w:val="auto"/>
        </w:rPr>
      </w:pPr>
    </w:p>
    <w:p>
      <w:pPr>
        <w:pStyle w:val="19"/>
        <w:rPr>
          <w:color w:val="auto"/>
        </w:rPr>
      </w:pPr>
      <w:r>
        <w:rPr>
          <w:color w:val="auto"/>
        </w:rPr>
        <w:t>Respondents come from a wide variety of educational backgrounds: 41.5% of the sample has at least a bachelor's degree, 9.2% of the sample has at least an associate's degree, and 7.7% has some other educational qualification. Insight into how people of varying levels of education feel about Tata Motors is provided by this distribution, which may be indicative of differing cognitive frameworks and decision-making tendencies in the context of brand image and loyalty. The ensuing analysis and conversations will benefit greatly from this wide range of educational experiences and perspectives.</w:t>
      </w:r>
    </w:p>
    <w:p>
      <w:pPr>
        <w:autoSpaceDE w:val="0"/>
        <w:autoSpaceDN w:val="0"/>
        <w:adjustRightInd w:val="0"/>
        <w:spacing w:before="0" w:after="0" w:line="240" w:lineRule="auto"/>
        <w:rPr>
          <w:rFonts w:cs="Times New Roman"/>
          <w:color w:val="auto"/>
        </w:rPr>
      </w:pPr>
      <w:r>
        <w:rPr>
          <w:lang w:val="en-US" w:eastAsia="en-US"/>
        </w:rPr>
        <mc:AlternateContent>
          <mc:Choice Requires="wps">
            <w:drawing>
              <wp:anchor distT="0" distB="0" distL="114300" distR="114300" simplePos="0" relativeHeight="251663360" behindDoc="0" locked="0" layoutInCell="1" allowOverlap="1">
                <wp:simplePos x="0" y="0"/>
                <wp:positionH relativeFrom="column">
                  <wp:posOffset>190500</wp:posOffset>
                </wp:positionH>
                <wp:positionV relativeFrom="paragraph">
                  <wp:posOffset>3693795</wp:posOffset>
                </wp:positionV>
                <wp:extent cx="573151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pPr>
                              <w:pStyle w:val="7"/>
                              <w:rPr>
                                <w:rFonts w:cs="Times New Roman"/>
                                <w:color w:val="auto"/>
                                <w:sz w:val="36"/>
                                <w:szCs w:val="36"/>
                              </w:rPr>
                            </w:pPr>
                            <w:bookmarkStart w:id="82" w:name="_Toc147438065"/>
                            <w:r>
                              <w:rPr>
                                <w:color w:val="auto"/>
                                <w:sz w:val="24"/>
                                <w:szCs w:val="24"/>
                              </w:rPr>
                              <w:t xml:space="preserve">Figure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Pr>
                                <w:color w:val="auto"/>
                                <w:sz w:val="24"/>
                                <w:szCs w:val="24"/>
                              </w:rPr>
                              <w:t>4</w:t>
                            </w:r>
                            <w:r>
                              <w:rPr>
                                <w:color w:val="auto"/>
                                <w:sz w:val="24"/>
                                <w:szCs w:val="24"/>
                              </w:rPr>
                              <w:fldChar w:fldCharType="end"/>
                            </w:r>
                            <w:r>
                              <w:rPr>
                                <w:color w:val="auto"/>
                                <w:sz w:val="24"/>
                                <w:szCs w:val="24"/>
                                <w:lang w:val="en-US"/>
                              </w:rPr>
                              <w:t>: Education</w:t>
                            </w:r>
                            <w:bookmarkEnd w:id="82"/>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5pt;margin-top:290.85pt;height:0.05pt;width:451.3pt;mso-wrap-distance-bottom:0pt;mso-wrap-distance-top:0pt;z-index:251663360;mso-width-relative:page;mso-height-relative:page;" fillcolor="#FFFFFF" filled="t" stroked="f" coordsize="21600,21600" o:gfxdata="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7rfz62wAAAAoBAAAPAAAAAAAAAAEAIAAAACIAAABkcnMvZG93bnJldi54bWxQSwEC&#10;FAAUAAAACACHTuJArA6f5CoCAABxBAAADgAAAAAAAAABACAAAAAqAQAAZHJzL2Uyb0RvYy54bWxQ&#10;SwUGAAAAAAYABgBZAQAAxgUAAAAA&#10;">
                <v:fill on="t" focussize="0,0"/>
                <v:stroke on="f"/>
                <v:imagedata o:title=""/>
                <o:lock v:ext="edit" aspectratio="f"/>
                <v:textbox inset="0mm,0mm,0mm,0mm" style="mso-fit-shape-to-text:t;">
                  <w:txbxContent>
                    <w:p>
                      <w:pPr>
                        <w:pStyle w:val="7"/>
                        <w:rPr>
                          <w:rFonts w:cs="Times New Roman"/>
                          <w:color w:val="auto"/>
                          <w:sz w:val="36"/>
                          <w:szCs w:val="36"/>
                        </w:rPr>
                      </w:pPr>
                      <w:bookmarkStart w:id="82" w:name="_Toc147438065"/>
                      <w:r>
                        <w:rPr>
                          <w:color w:val="auto"/>
                          <w:sz w:val="24"/>
                          <w:szCs w:val="24"/>
                        </w:rPr>
                        <w:t xml:space="preserve">Figure </w:t>
                      </w:r>
                      <w:r>
                        <w:rPr>
                          <w:color w:val="auto"/>
                          <w:sz w:val="24"/>
                          <w:szCs w:val="24"/>
                        </w:rPr>
                        <w:fldChar w:fldCharType="begin"/>
                      </w:r>
                      <w:r>
                        <w:rPr>
                          <w:color w:val="auto"/>
                          <w:sz w:val="24"/>
                          <w:szCs w:val="24"/>
                        </w:rPr>
                        <w:instrText xml:space="preserve"> SEQ Figure \* ARABIC </w:instrText>
                      </w:r>
                      <w:r>
                        <w:rPr>
                          <w:color w:val="auto"/>
                          <w:sz w:val="24"/>
                          <w:szCs w:val="24"/>
                        </w:rPr>
                        <w:fldChar w:fldCharType="separate"/>
                      </w:r>
                      <w:r>
                        <w:rPr>
                          <w:color w:val="auto"/>
                          <w:sz w:val="24"/>
                          <w:szCs w:val="24"/>
                        </w:rPr>
                        <w:t>4</w:t>
                      </w:r>
                      <w:r>
                        <w:rPr>
                          <w:color w:val="auto"/>
                          <w:sz w:val="24"/>
                          <w:szCs w:val="24"/>
                        </w:rPr>
                        <w:fldChar w:fldCharType="end"/>
                      </w:r>
                      <w:r>
                        <w:rPr>
                          <w:color w:val="auto"/>
                          <w:sz w:val="24"/>
                          <w:szCs w:val="24"/>
                          <w:lang w:val="en-US"/>
                        </w:rPr>
                        <w:t>: Education</w:t>
                      </w:r>
                      <w:bookmarkEnd w:id="82"/>
                    </w:p>
                  </w:txbxContent>
                </v:textbox>
                <w10:wrap type="topAndBottom"/>
              </v:shape>
            </w:pict>
          </mc:Fallback>
        </mc:AlternateContent>
      </w:r>
      <w:r>
        <w:rPr>
          <w:rFonts w:cs="Times New Roman"/>
          <w:color w:val="auto"/>
          <w:lang w:val="en-US" w:eastAsia="en-US"/>
        </w:rPr>
        <w:drawing>
          <wp:anchor distT="0" distB="0" distL="114300" distR="114300" simplePos="0" relativeHeight="251659264" behindDoc="0" locked="0" layoutInCell="1" allowOverlap="1">
            <wp:simplePos x="0" y="0"/>
            <wp:positionH relativeFrom="margin">
              <wp:align>right</wp:align>
            </wp:positionH>
            <wp:positionV relativeFrom="paragraph">
              <wp:posOffset>266700</wp:posOffset>
            </wp:positionV>
            <wp:extent cx="5731510" cy="3369945"/>
            <wp:effectExtent l="19050" t="19050" r="21590" b="2095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731510" cy="3369945"/>
                    </a:xfrm>
                    <a:prstGeom prst="rect">
                      <a:avLst/>
                    </a:prstGeom>
                    <a:noFill/>
                    <a:ln>
                      <a:solidFill>
                        <a:schemeClr val="bg2"/>
                      </a:solidFill>
                    </a:ln>
                  </pic:spPr>
                </pic:pic>
              </a:graphicData>
            </a:graphic>
          </wp:anchor>
        </w:drawing>
      </w:r>
    </w:p>
    <w:p>
      <w:pPr>
        <w:spacing w:before="0" w:after="160" w:line="259" w:lineRule="auto"/>
        <w:rPr>
          <w:color w:val="auto"/>
        </w:rPr>
      </w:pPr>
      <w:r>
        <w:rPr>
          <w:rFonts w:cs="Times New Roman"/>
          <w:color w:val="auto"/>
        </w:rPr>
        <w:br w:type="page"/>
      </w:r>
      <w:bookmarkStart w:id="59" w:name="_Toc147438061"/>
      <w:r>
        <w:rPr>
          <w:color w:val="auto"/>
        </w:rPr>
        <w:t xml:space="preserve">Table </w:t>
      </w:r>
      <w:r>
        <w:rPr>
          <w:color w:val="auto"/>
        </w:rPr>
        <w:fldChar w:fldCharType="begin"/>
      </w:r>
      <w:r>
        <w:rPr>
          <w:color w:val="auto"/>
        </w:rPr>
        <w:instrText xml:space="preserve"> SEQ Table \* ARABIC </w:instrText>
      </w:r>
      <w:r>
        <w:rPr>
          <w:color w:val="auto"/>
        </w:rPr>
        <w:fldChar w:fldCharType="separate"/>
      </w:r>
      <w:r>
        <w:rPr>
          <w:color w:val="auto"/>
        </w:rPr>
        <w:t>5</w:t>
      </w:r>
      <w:r>
        <w:rPr>
          <w:color w:val="auto"/>
        </w:rPr>
        <w:fldChar w:fldCharType="end"/>
      </w:r>
      <w:r>
        <w:rPr>
          <w:color w:val="auto"/>
          <w:lang w:val="en-US"/>
        </w:rPr>
        <w:t>: Income</w:t>
      </w:r>
      <w:bookmarkEnd w:id="59"/>
    </w:p>
    <w:tbl>
      <w:tblPr>
        <w:tblStyle w:val="11"/>
        <w:tblW w:w="48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12"/>
        <w:gridCol w:w="2686"/>
        <w:gridCol w:w="2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5000" w:type="pct"/>
            <w:gridSpan w:val="3"/>
          </w:tcPr>
          <w:p>
            <w:pPr>
              <w:autoSpaceDE w:val="0"/>
              <w:autoSpaceDN w:val="0"/>
              <w:adjustRightInd w:val="0"/>
              <w:spacing w:before="0" w:after="0" w:line="320" w:lineRule="atLeast"/>
              <w:ind w:left="60" w:right="60"/>
              <w:jc w:val="center"/>
              <w:rPr>
                <w:rFonts w:cs="Times New Roman"/>
                <w:color w:val="auto"/>
              </w:rPr>
            </w:pPr>
            <w:r>
              <w:rPr>
                <w:rFonts w:cs="Times New Roman"/>
                <w:b/>
                <w:bCs/>
                <w:color w:val="auto"/>
              </w:rPr>
              <w:t>Income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2302" w:type="pct"/>
          </w:tcPr>
          <w:p>
            <w:pPr>
              <w:autoSpaceDE w:val="0"/>
              <w:autoSpaceDN w:val="0"/>
              <w:adjustRightInd w:val="0"/>
              <w:spacing w:before="0" w:after="0" w:line="240" w:lineRule="auto"/>
              <w:rPr>
                <w:rFonts w:cs="Times New Roman"/>
                <w:color w:val="auto"/>
              </w:rPr>
            </w:pPr>
          </w:p>
        </w:tc>
        <w:tc>
          <w:tcPr>
            <w:tcW w:w="143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N</w:t>
            </w:r>
          </w:p>
        </w:tc>
        <w:tc>
          <w:tcPr>
            <w:tcW w:w="126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2302" w:type="pct"/>
          </w:tcPr>
          <w:p>
            <w:pPr>
              <w:autoSpaceDE w:val="0"/>
              <w:autoSpaceDN w:val="0"/>
              <w:adjustRightInd w:val="0"/>
              <w:spacing w:before="0" w:after="0" w:line="320" w:lineRule="atLeast"/>
              <w:ind w:left="60" w:right="60"/>
              <w:rPr>
                <w:rFonts w:cs="Times New Roman"/>
                <w:color w:val="auto"/>
              </w:rPr>
            </w:pPr>
            <w:r>
              <w:rPr>
                <w:rFonts w:cs="Times New Roman"/>
                <w:color w:val="auto"/>
              </w:rPr>
              <w:t>Up to ₹25,000</w:t>
            </w:r>
          </w:p>
        </w:tc>
        <w:tc>
          <w:tcPr>
            <w:tcW w:w="143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22</w:t>
            </w:r>
          </w:p>
        </w:tc>
        <w:tc>
          <w:tcPr>
            <w:tcW w:w="126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33.8%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302" w:type="pct"/>
          </w:tcPr>
          <w:p>
            <w:pPr>
              <w:autoSpaceDE w:val="0"/>
              <w:autoSpaceDN w:val="0"/>
              <w:adjustRightInd w:val="0"/>
              <w:spacing w:before="0" w:after="0" w:line="320" w:lineRule="atLeast"/>
              <w:ind w:left="60" w:right="60"/>
              <w:rPr>
                <w:rFonts w:cs="Times New Roman"/>
                <w:color w:val="auto"/>
              </w:rPr>
            </w:pPr>
            <w:r>
              <w:rPr>
                <w:rFonts w:cs="Times New Roman"/>
                <w:color w:val="auto"/>
              </w:rPr>
              <w:t>₹25,001- ₹30,000</w:t>
            </w:r>
          </w:p>
        </w:tc>
        <w:tc>
          <w:tcPr>
            <w:tcW w:w="143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15</w:t>
            </w:r>
          </w:p>
        </w:tc>
        <w:tc>
          <w:tcPr>
            <w:tcW w:w="126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23.1%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2302" w:type="pct"/>
          </w:tcPr>
          <w:p>
            <w:pPr>
              <w:autoSpaceDE w:val="0"/>
              <w:autoSpaceDN w:val="0"/>
              <w:adjustRightInd w:val="0"/>
              <w:spacing w:before="0" w:after="0" w:line="320" w:lineRule="atLeast"/>
              <w:ind w:left="60" w:right="60"/>
              <w:rPr>
                <w:rFonts w:cs="Times New Roman"/>
                <w:color w:val="auto"/>
              </w:rPr>
            </w:pPr>
            <w:r>
              <w:rPr>
                <w:rFonts w:cs="Times New Roman"/>
                <w:color w:val="auto"/>
              </w:rPr>
              <w:t>₹30,001 – ₹40,000</w:t>
            </w:r>
          </w:p>
        </w:tc>
        <w:tc>
          <w:tcPr>
            <w:tcW w:w="143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7</w:t>
            </w:r>
          </w:p>
        </w:tc>
        <w:tc>
          <w:tcPr>
            <w:tcW w:w="126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2302" w:type="pct"/>
          </w:tcPr>
          <w:p>
            <w:pPr>
              <w:autoSpaceDE w:val="0"/>
              <w:autoSpaceDN w:val="0"/>
              <w:adjustRightInd w:val="0"/>
              <w:spacing w:before="0" w:after="0" w:line="320" w:lineRule="atLeast"/>
              <w:ind w:left="60" w:right="60"/>
              <w:rPr>
                <w:rFonts w:cs="Times New Roman"/>
                <w:color w:val="auto"/>
              </w:rPr>
            </w:pPr>
            <w:r>
              <w:rPr>
                <w:rFonts w:cs="Times New Roman"/>
                <w:color w:val="auto"/>
              </w:rPr>
              <w:t>₹40,001 – ₹50,000</w:t>
            </w:r>
          </w:p>
        </w:tc>
        <w:tc>
          <w:tcPr>
            <w:tcW w:w="143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8</w:t>
            </w:r>
          </w:p>
        </w:tc>
        <w:tc>
          <w:tcPr>
            <w:tcW w:w="126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 w:hRule="atLeast"/>
        </w:trPr>
        <w:tc>
          <w:tcPr>
            <w:tcW w:w="2302" w:type="pct"/>
          </w:tcPr>
          <w:p>
            <w:pPr>
              <w:autoSpaceDE w:val="0"/>
              <w:autoSpaceDN w:val="0"/>
              <w:adjustRightInd w:val="0"/>
              <w:spacing w:before="0" w:after="0" w:line="320" w:lineRule="atLeast"/>
              <w:ind w:left="60" w:right="60"/>
              <w:rPr>
                <w:rFonts w:cs="Times New Roman"/>
                <w:color w:val="auto"/>
              </w:rPr>
            </w:pPr>
            <w:r>
              <w:rPr>
                <w:rFonts w:cs="Times New Roman"/>
                <w:color w:val="auto"/>
              </w:rPr>
              <w:t>Above ₹ 50,001</w:t>
            </w:r>
          </w:p>
        </w:tc>
        <w:tc>
          <w:tcPr>
            <w:tcW w:w="143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13</w:t>
            </w:r>
          </w:p>
        </w:tc>
        <w:tc>
          <w:tcPr>
            <w:tcW w:w="1264" w:type="pct"/>
          </w:tcPr>
          <w:p>
            <w:pPr>
              <w:autoSpaceDE w:val="0"/>
              <w:autoSpaceDN w:val="0"/>
              <w:adjustRightInd w:val="0"/>
              <w:spacing w:before="0" w:after="0" w:line="320" w:lineRule="atLeast"/>
              <w:ind w:left="60" w:right="60"/>
              <w:jc w:val="center"/>
              <w:rPr>
                <w:rFonts w:cs="Times New Roman"/>
                <w:color w:val="auto"/>
              </w:rPr>
            </w:pPr>
            <w:r>
              <w:rPr>
                <w:rFonts w:cs="Times New Roman"/>
                <w:color w:val="auto"/>
              </w:rPr>
              <w:t>20.0%</w:t>
            </w:r>
          </w:p>
        </w:tc>
      </w:tr>
    </w:tbl>
    <w:p>
      <w:pPr>
        <w:pStyle w:val="19"/>
        <w:rPr>
          <w:color w:val="auto"/>
        </w:rPr>
      </w:pPr>
    </w:p>
    <w:p>
      <w:pPr>
        <w:pStyle w:val="19"/>
        <w:rPr>
          <w:color w:val="auto"/>
        </w:rPr>
      </w:pPr>
      <w:r>
        <w:rPr>
          <w:lang w:val="en-US" w:eastAsia="en-US"/>
        </w:rPr>
        <mc:AlternateContent>
          <mc:Choice Requires="wps">
            <w:drawing>
              <wp:anchor distT="0" distB="0" distL="114300" distR="114300" simplePos="0" relativeHeight="251664384" behindDoc="0" locked="0" layoutInCell="1" allowOverlap="1">
                <wp:simplePos x="0" y="0"/>
                <wp:positionH relativeFrom="column">
                  <wp:posOffset>46355</wp:posOffset>
                </wp:positionH>
                <wp:positionV relativeFrom="paragraph">
                  <wp:posOffset>5488940</wp:posOffset>
                </wp:positionV>
                <wp:extent cx="5697220"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5697220" cy="635"/>
                        </a:xfrm>
                        <a:prstGeom prst="rect">
                          <a:avLst/>
                        </a:prstGeom>
                        <a:solidFill>
                          <a:prstClr val="white"/>
                        </a:solidFill>
                        <a:ln>
                          <a:noFill/>
                        </a:ln>
                      </wps:spPr>
                      <wps:txbx>
                        <w:txbxContent>
                          <w:p>
                            <w:pPr>
                              <w:pStyle w:val="7"/>
                              <w:jc w:val="center"/>
                              <w:rPr>
                                <w:rFonts w:cs="Times New Roman"/>
                                <w:color w:val="auto"/>
                                <w:sz w:val="32"/>
                                <w:szCs w:val="32"/>
                              </w:rPr>
                            </w:pPr>
                            <w:bookmarkStart w:id="83" w:name="_Toc147438066"/>
                            <w:r>
                              <w:rPr>
                                <w:color w:val="auto"/>
                                <w:sz w:val="22"/>
                                <w:szCs w:val="22"/>
                              </w:rPr>
                              <w:t xml:space="preserve">Figure </w:t>
                            </w:r>
                            <w:r>
                              <w:rPr>
                                <w:color w:val="auto"/>
                                <w:sz w:val="22"/>
                                <w:szCs w:val="22"/>
                              </w:rPr>
                              <w:fldChar w:fldCharType="begin"/>
                            </w:r>
                            <w:r>
                              <w:rPr>
                                <w:color w:val="auto"/>
                                <w:sz w:val="22"/>
                                <w:szCs w:val="22"/>
                              </w:rPr>
                              <w:instrText xml:space="preserve"> SEQ Figure \* ARABIC </w:instrText>
                            </w:r>
                            <w:r>
                              <w:rPr>
                                <w:color w:val="auto"/>
                                <w:sz w:val="22"/>
                                <w:szCs w:val="22"/>
                              </w:rPr>
                              <w:fldChar w:fldCharType="separate"/>
                            </w:r>
                            <w:r>
                              <w:rPr>
                                <w:color w:val="auto"/>
                                <w:sz w:val="22"/>
                                <w:szCs w:val="22"/>
                              </w:rPr>
                              <w:t>5</w:t>
                            </w:r>
                            <w:r>
                              <w:rPr>
                                <w:color w:val="auto"/>
                                <w:sz w:val="22"/>
                                <w:szCs w:val="22"/>
                              </w:rPr>
                              <w:fldChar w:fldCharType="end"/>
                            </w:r>
                            <w:r>
                              <w:rPr>
                                <w:color w:val="auto"/>
                                <w:sz w:val="22"/>
                                <w:szCs w:val="22"/>
                                <w:lang w:val="en-US"/>
                              </w:rPr>
                              <w:t>: Income</w:t>
                            </w:r>
                            <w:bookmarkEnd w:id="83"/>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65pt;margin-top:432.2pt;height:0.05pt;width:448.6pt;mso-wrap-distance-bottom:0pt;mso-wrap-distance-top:0pt;z-index:251664384;mso-width-relative:page;mso-height-relative:page;" fillcolor="#FFFFFF" filled="t" stroked="f" coordsize="21600,21600" o:gfxdata="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gSEVXaAAAACQEAAA8AAAAAAAAAAQAgAAAAIgAAAGRycy9kb3ducmV2LnhtbFBLAQIU&#10;ABQAAAAIAIdO4kCG/PZYKgIAAHEEAAAOAAAAAAAAAAEAIAAAACkBAABkcnMvZTJvRG9jLnhtbFBL&#10;BQYAAAAABgAGAFkBAADFBQAAAAA=&#10;">
                <v:fill on="t" focussize="0,0"/>
                <v:stroke on="f"/>
                <v:imagedata o:title=""/>
                <o:lock v:ext="edit" aspectratio="f"/>
                <v:textbox inset="0mm,0mm,0mm,0mm" style="mso-fit-shape-to-text:t;">
                  <w:txbxContent>
                    <w:p>
                      <w:pPr>
                        <w:pStyle w:val="7"/>
                        <w:jc w:val="center"/>
                        <w:rPr>
                          <w:rFonts w:cs="Times New Roman"/>
                          <w:color w:val="auto"/>
                          <w:sz w:val="32"/>
                          <w:szCs w:val="32"/>
                        </w:rPr>
                      </w:pPr>
                      <w:bookmarkStart w:id="83" w:name="_Toc147438066"/>
                      <w:r>
                        <w:rPr>
                          <w:color w:val="auto"/>
                          <w:sz w:val="22"/>
                          <w:szCs w:val="22"/>
                        </w:rPr>
                        <w:t xml:space="preserve">Figure </w:t>
                      </w:r>
                      <w:r>
                        <w:rPr>
                          <w:color w:val="auto"/>
                          <w:sz w:val="22"/>
                          <w:szCs w:val="22"/>
                        </w:rPr>
                        <w:fldChar w:fldCharType="begin"/>
                      </w:r>
                      <w:r>
                        <w:rPr>
                          <w:color w:val="auto"/>
                          <w:sz w:val="22"/>
                          <w:szCs w:val="22"/>
                        </w:rPr>
                        <w:instrText xml:space="preserve"> SEQ Figure \* ARABIC </w:instrText>
                      </w:r>
                      <w:r>
                        <w:rPr>
                          <w:color w:val="auto"/>
                          <w:sz w:val="22"/>
                          <w:szCs w:val="22"/>
                        </w:rPr>
                        <w:fldChar w:fldCharType="separate"/>
                      </w:r>
                      <w:r>
                        <w:rPr>
                          <w:color w:val="auto"/>
                          <w:sz w:val="22"/>
                          <w:szCs w:val="22"/>
                        </w:rPr>
                        <w:t>5</w:t>
                      </w:r>
                      <w:r>
                        <w:rPr>
                          <w:color w:val="auto"/>
                          <w:sz w:val="22"/>
                          <w:szCs w:val="22"/>
                        </w:rPr>
                        <w:fldChar w:fldCharType="end"/>
                      </w:r>
                      <w:r>
                        <w:rPr>
                          <w:color w:val="auto"/>
                          <w:sz w:val="22"/>
                          <w:szCs w:val="22"/>
                          <w:lang w:val="en-US"/>
                        </w:rPr>
                        <w:t>: Income</w:t>
                      </w:r>
                      <w:bookmarkEnd w:id="83"/>
                    </w:p>
                  </w:txbxContent>
                </v:textbox>
                <w10:wrap type="topAndBottom"/>
              </v:shape>
            </w:pict>
          </mc:Fallback>
        </mc:AlternateContent>
      </w:r>
      <w:r>
        <w:rPr>
          <w:rFonts w:cs="Times New Roman"/>
          <w:color w:val="auto"/>
          <w:lang w:val="en-US" w:eastAsia="en-US"/>
        </w:rPr>
        <w:drawing>
          <wp:anchor distT="0" distB="0" distL="114300" distR="114300" simplePos="0" relativeHeight="251660288" behindDoc="0" locked="0" layoutInCell="1" allowOverlap="1">
            <wp:simplePos x="0" y="0"/>
            <wp:positionH relativeFrom="margin">
              <wp:posOffset>46355</wp:posOffset>
            </wp:positionH>
            <wp:positionV relativeFrom="paragraph">
              <wp:posOffset>2131695</wp:posOffset>
            </wp:positionV>
            <wp:extent cx="5697220" cy="3369945"/>
            <wp:effectExtent l="19050" t="19050" r="17780" b="2095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697220" cy="3369945"/>
                    </a:xfrm>
                    <a:prstGeom prst="rect">
                      <a:avLst/>
                    </a:prstGeom>
                    <a:noFill/>
                    <a:ln>
                      <a:solidFill>
                        <a:schemeClr val="bg2"/>
                      </a:solidFill>
                    </a:ln>
                  </pic:spPr>
                </pic:pic>
              </a:graphicData>
            </a:graphic>
          </wp:anchor>
        </w:drawing>
      </w:r>
      <w:r>
        <w:rPr>
          <w:color w:val="auto"/>
        </w:rPr>
        <w:t>The income distribution of the respondents spans various brackets, with the largest group earning up to ₹25,000 (33.8%). The subsequent income brackets, ₹25,001- ₹30,000 and ₹30,001 – ₹40,000, represent 23.1% and 10.8% of respondents respectively, while those earning ₹40,001 – ₹50,000 and above ₹50,001 constitute 12.3% and 20.0% respectively. This diverse financial demographic enables an exploration into how income may influence perceptions and loyalty towards Tata Motors, providing insights that could inform socio-economically targeted brand strategies.</w:t>
      </w:r>
    </w:p>
    <w:p>
      <w:pPr>
        <w:pStyle w:val="3"/>
        <w:numPr>
          <w:ilvl w:val="1"/>
          <w:numId w:val="2"/>
        </w:numPr>
        <w:rPr>
          <w:color w:val="auto"/>
        </w:rPr>
      </w:pPr>
      <w:bookmarkStart w:id="60" w:name="_Toc147931463"/>
      <w:r>
        <w:rPr>
          <w:color w:val="auto"/>
        </w:rPr>
        <w:t>Frequency and distribution:</w:t>
      </w:r>
      <w:bookmarkEnd w:id="60"/>
    </w:p>
    <w:tbl>
      <w:tblPr>
        <w:tblStyle w:val="20"/>
        <w:tblW w:w="9071"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040"/>
        <w:gridCol w:w="2669"/>
        <w:gridCol w:w="2362"/>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9" w:hRule="atLeast"/>
        </w:trPr>
        <w:tc>
          <w:tcPr>
            <w:tcW w:w="9071" w:type="dxa"/>
            <w:gridSpan w:val="3"/>
            <w:shd w:val="clear" w:color="auto" w:fill="CCCCCC" w:themeFill="text1" w:themeFillTint="33"/>
          </w:tcPr>
          <w:p>
            <w:pPr>
              <w:jc w:val="center"/>
              <w:rPr>
                <w:color w:val="auto"/>
              </w:rPr>
            </w:pPr>
            <w:r>
              <w:rPr>
                <w:b/>
                <w:bCs/>
                <w:color w:val="auto"/>
              </w:rPr>
              <w:t>Tata Motors quality is high.</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63" w:hRule="atLeast"/>
        </w:trPr>
        <w:tc>
          <w:tcPr>
            <w:tcW w:w="4040" w:type="dxa"/>
            <w:shd w:val="clear" w:color="auto" w:fill="CCCCCC" w:themeFill="text1" w:themeFillTint="33"/>
          </w:tcPr>
          <w:p>
            <w:pPr>
              <w:jc w:val="center"/>
              <w:rPr>
                <w:color w:val="auto"/>
              </w:rPr>
            </w:pPr>
          </w:p>
        </w:tc>
        <w:tc>
          <w:tcPr>
            <w:tcW w:w="2669" w:type="dxa"/>
          </w:tcPr>
          <w:p>
            <w:pPr>
              <w:jc w:val="center"/>
              <w:rPr>
                <w:color w:val="auto"/>
              </w:rPr>
            </w:pPr>
            <w:r>
              <w:rPr>
                <w:color w:val="auto"/>
              </w:rPr>
              <w:t>N</w:t>
            </w:r>
          </w:p>
        </w:tc>
        <w:tc>
          <w:tcPr>
            <w:tcW w:w="2362" w:type="dxa"/>
            <w:shd w:val="clear" w:color="auto" w:fill="CCCCCC" w:themeFill="text1" w:themeFillTint="33"/>
          </w:tcPr>
          <w:p>
            <w:pPr>
              <w:jc w:val="cente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5" w:hRule="atLeast"/>
        </w:trPr>
        <w:tc>
          <w:tcPr>
            <w:tcW w:w="4040" w:type="dxa"/>
            <w:shd w:val="clear" w:color="auto" w:fill="CCCCCC" w:themeFill="text1" w:themeFillTint="33"/>
          </w:tcPr>
          <w:p>
            <w:pPr>
              <w:jc w:val="center"/>
              <w:rPr>
                <w:color w:val="auto"/>
              </w:rPr>
            </w:pPr>
            <w:r>
              <w:rPr>
                <w:color w:val="auto"/>
              </w:rPr>
              <w:t>Strongly disagree</w:t>
            </w:r>
          </w:p>
        </w:tc>
        <w:tc>
          <w:tcPr>
            <w:tcW w:w="2669" w:type="dxa"/>
            <w:shd w:val="clear" w:color="auto" w:fill="CCCCCC" w:themeFill="text1" w:themeFillTint="33"/>
          </w:tcPr>
          <w:p>
            <w:pPr>
              <w:jc w:val="center"/>
              <w:rPr>
                <w:color w:val="auto"/>
              </w:rPr>
            </w:pPr>
            <w:r>
              <w:rPr>
                <w:color w:val="auto"/>
              </w:rPr>
              <w:t>2</w:t>
            </w:r>
          </w:p>
        </w:tc>
        <w:tc>
          <w:tcPr>
            <w:tcW w:w="2362" w:type="dxa"/>
            <w:shd w:val="clear" w:color="auto" w:fill="CCCCCC" w:themeFill="text1" w:themeFillTint="33"/>
          </w:tcPr>
          <w:p>
            <w:pPr>
              <w:jc w:val="cente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63" w:hRule="atLeast"/>
        </w:trPr>
        <w:tc>
          <w:tcPr>
            <w:tcW w:w="4040" w:type="dxa"/>
            <w:shd w:val="clear" w:color="auto" w:fill="CCCCCC" w:themeFill="text1" w:themeFillTint="33"/>
          </w:tcPr>
          <w:p>
            <w:pPr>
              <w:jc w:val="center"/>
              <w:rPr>
                <w:color w:val="auto"/>
              </w:rPr>
            </w:pPr>
            <w:r>
              <w:rPr>
                <w:color w:val="auto"/>
              </w:rPr>
              <w:t>Disagree</w:t>
            </w:r>
          </w:p>
        </w:tc>
        <w:tc>
          <w:tcPr>
            <w:tcW w:w="2669" w:type="dxa"/>
          </w:tcPr>
          <w:p>
            <w:pPr>
              <w:jc w:val="center"/>
              <w:rPr>
                <w:color w:val="auto"/>
              </w:rPr>
            </w:pPr>
            <w:r>
              <w:rPr>
                <w:color w:val="auto"/>
              </w:rPr>
              <w:t>1</w:t>
            </w:r>
          </w:p>
        </w:tc>
        <w:tc>
          <w:tcPr>
            <w:tcW w:w="2362" w:type="dxa"/>
            <w:shd w:val="clear" w:color="auto" w:fill="CCCCCC" w:themeFill="text1" w:themeFillTint="33"/>
          </w:tcPr>
          <w:p>
            <w:pPr>
              <w:jc w:val="cente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9" w:hRule="atLeast"/>
        </w:trPr>
        <w:tc>
          <w:tcPr>
            <w:tcW w:w="4040" w:type="dxa"/>
            <w:shd w:val="clear" w:color="auto" w:fill="CCCCCC" w:themeFill="text1" w:themeFillTint="33"/>
          </w:tcPr>
          <w:p>
            <w:pPr>
              <w:jc w:val="center"/>
              <w:rPr>
                <w:color w:val="auto"/>
              </w:rPr>
            </w:pPr>
            <w:r>
              <w:rPr>
                <w:color w:val="auto"/>
              </w:rPr>
              <w:t>Neutral</w:t>
            </w:r>
          </w:p>
        </w:tc>
        <w:tc>
          <w:tcPr>
            <w:tcW w:w="2669" w:type="dxa"/>
            <w:shd w:val="clear" w:color="auto" w:fill="CCCCCC" w:themeFill="text1" w:themeFillTint="33"/>
          </w:tcPr>
          <w:p>
            <w:pPr>
              <w:jc w:val="center"/>
              <w:rPr>
                <w:color w:val="auto"/>
              </w:rPr>
            </w:pPr>
            <w:r>
              <w:rPr>
                <w:color w:val="auto"/>
              </w:rPr>
              <w:t>3</w:t>
            </w:r>
          </w:p>
        </w:tc>
        <w:tc>
          <w:tcPr>
            <w:tcW w:w="2362" w:type="dxa"/>
            <w:shd w:val="clear" w:color="auto" w:fill="CCCCCC" w:themeFill="text1" w:themeFillTint="33"/>
          </w:tcPr>
          <w:p>
            <w:pPr>
              <w:jc w:val="center"/>
              <w:rPr>
                <w:color w:val="auto"/>
              </w:rPr>
            </w:pPr>
            <w:r>
              <w:rPr>
                <w:color w:val="auto"/>
              </w:rPr>
              <w:t>4.6%</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00" w:hRule="atLeast"/>
        </w:trPr>
        <w:tc>
          <w:tcPr>
            <w:tcW w:w="4040" w:type="dxa"/>
            <w:shd w:val="clear" w:color="auto" w:fill="CCCCCC" w:themeFill="text1" w:themeFillTint="33"/>
          </w:tcPr>
          <w:p>
            <w:pPr>
              <w:jc w:val="center"/>
              <w:rPr>
                <w:color w:val="auto"/>
              </w:rPr>
            </w:pPr>
            <w:r>
              <w:rPr>
                <w:color w:val="auto"/>
              </w:rPr>
              <w:t>Agree</w:t>
            </w:r>
          </w:p>
        </w:tc>
        <w:tc>
          <w:tcPr>
            <w:tcW w:w="2669" w:type="dxa"/>
          </w:tcPr>
          <w:p>
            <w:pPr>
              <w:jc w:val="center"/>
              <w:rPr>
                <w:color w:val="auto"/>
              </w:rPr>
            </w:pPr>
            <w:r>
              <w:rPr>
                <w:color w:val="auto"/>
              </w:rPr>
              <w:t>26</w:t>
            </w:r>
          </w:p>
        </w:tc>
        <w:tc>
          <w:tcPr>
            <w:tcW w:w="2362" w:type="dxa"/>
            <w:shd w:val="clear" w:color="auto" w:fill="CCCCCC" w:themeFill="text1" w:themeFillTint="33"/>
          </w:tcPr>
          <w:p>
            <w:pPr>
              <w:jc w:val="center"/>
              <w:rPr>
                <w:color w:val="auto"/>
              </w:rPr>
            </w:pPr>
            <w:r>
              <w:rPr>
                <w:color w:val="auto"/>
              </w:rPr>
              <w:t>40.0%</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9" w:hRule="atLeast"/>
        </w:trPr>
        <w:tc>
          <w:tcPr>
            <w:tcW w:w="4040" w:type="dxa"/>
            <w:shd w:val="clear" w:color="auto" w:fill="CCCCCC" w:themeFill="text1" w:themeFillTint="33"/>
          </w:tcPr>
          <w:p>
            <w:pPr>
              <w:jc w:val="center"/>
              <w:rPr>
                <w:color w:val="auto"/>
              </w:rPr>
            </w:pPr>
            <w:r>
              <w:rPr>
                <w:color w:val="auto"/>
              </w:rPr>
              <w:t>Strongly agree</w:t>
            </w:r>
          </w:p>
        </w:tc>
        <w:tc>
          <w:tcPr>
            <w:tcW w:w="2669" w:type="dxa"/>
            <w:shd w:val="clear" w:color="auto" w:fill="CCCCCC" w:themeFill="text1" w:themeFillTint="33"/>
          </w:tcPr>
          <w:p>
            <w:pPr>
              <w:jc w:val="center"/>
              <w:rPr>
                <w:color w:val="auto"/>
              </w:rPr>
            </w:pPr>
            <w:r>
              <w:rPr>
                <w:color w:val="auto"/>
              </w:rPr>
              <w:t>33</w:t>
            </w:r>
          </w:p>
        </w:tc>
        <w:tc>
          <w:tcPr>
            <w:tcW w:w="2362" w:type="dxa"/>
            <w:shd w:val="clear" w:color="auto" w:fill="CCCCCC" w:themeFill="text1" w:themeFillTint="33"/>
          </w:tcPr>
          <w:p>
            <w:pPr>
              <w:jc w:val="center"/>
              <w:rPr>
                <w:color w:val="auto"/>
              </w:rPr>
            </w:pPr>
            <w:r>
              <w:rPr>
                <w:color w:val="auto"/>
              </w:rPr>
              <w:t>50.8%</w:t>
            </w:r>
          </w:p>
        </w:tc>
      </w:tr>
    </w:tbl>
    <w:p>
      <w:pPr>
        <w:pStyle w:val="19"/>
        <w:rPr>
          <w:color w:val="auto"/>
          <w:lang w:val="en-US"/>
        </w:rPr>
      </w:pPr>
    </w:p>
    <w:p>
      <w:pPr>
        <w:pStyle w:val="19"/>
        <w:rPr>
          <w:color w:val="auto"/>
          <w:lang w:val="en-US"/>
        </w:rPr>
      </w:pPr>
      <w:r>
        <w:rPr>
          <w:color w:val="auto"/>
          <w:lang w:val="en-US"/>
        </w:rPr>
        <w:t>The table illustrates the proposed statement “Tata motors quality is high”. Besides, the respondents revealed that 3.1% of the total population strongly disagree and 1.5% disagree with the proposed statement. Moreover, 4.6% remains neutral with the proposed statement by neither agree nor disagree. Furthermore, 40% the respondents agree whereas 50.8% strongly agrees with the stated statement.</w:t>
      </w:r>
    </w:p>
    <w:tbl>
      <w:tblPr>
        <w:tblStyle w:val="20"/>
        <w:tblW w:w="9012"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013"/>
        <w:gridCol w:w="2654"/>
        <w:gridCol w:w="2345"/>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5" w:hRule="atLeast"/>
        </w:trPr>
        <w:tc>
          <w:tcPr>
            <w:tcW w:w="9012" w:type="dxa"/>
            <w:gridSpan w:val="3"/>
            <w:shd w:val="clear" w:color="auto" w:fill="CCCCCC" w:themeFill="text1" w:themeFillTint="33"/>
          </w:tcPr>
          <w:p>
            <w:pPr>
              <w:rPr>
                <w:color w:val="auto"/>
              </w:rPr>
            </w:pPr>
            <w:r>
              <w:rPr>
                <w:b/>
                <w:bCs/>
                <w:color w:val="auto"/>
              </w:rPr>
              <w:t>Tata Motors' features are better than its competitors ones.</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7" w:hRule="atLeast"/>
        </w:trPr>
        <w:tc>
          <w:tcPr>
            <w:tcW w:w="4013" w:type="dxa"/>
            <w:shd w:val="clear" w:color="auto" w:fill="CCCCCC" w:themeFill="text1" w:themeFillTint="33"/>
          </w:tcPr>
          <w:p>
            <w:pPr>
              <w:rPr>
                <w:color w:val="auto"/>
              </w:rPr>
            </w:pPr>
          </w:p>
        </w:tc>
        <w:tc>
          <w:tcPr>
            <w:tcW w:w="2654" w:type="dxa"/>
          </w:tcPr>
          <w:p>
            <w:pPr>
              <w:rPr>
                <w:color w:val="auto"/>
              </w:rPr>
            </w:pPr>
            <w:r>
              <w:rPr>
                <w:color w:val="auto"/>
              </w:rPr>
              <w:t>N</w:t>
            </w:r>
          </w:p>
        </w:tc>
        <w:tc>
          <w:tcPr>
            <w:tcW w:w="2343"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7" w:hRule="atLeast"/>
        </w:trPr>
        <w:tc>
          <w:tcPr>
            <w:tcW w:w="4013" w:type="dxa"/>
            <w:shd w:val="clear" w:color="auto" w:fill="CCCCCC" w:themeFill="text1" w:themeFillTint="33"/>
          </w:tcPr>
          <w:p>
            <w:pPr>
              <w:rPr>
                <w:color w:val="auto"/>
              </w:rPr>
            </w:pPr>
            <w:r>
              <w:rPr>
                <w:color w:val="auto"/>
              </w:rPr>
              <w:t>Strongly disagree</w:t>
            </w:r>
          </w:p>
        </w:tc>
        <w:tc>
          <w:tcPr>
            <w:tcW w:w="2654" w:type="dxa"/>
            <w:shd w:val="clear" w:color="auto" w:fill="CCCCCC" w:themeFill="text1" w:themeFillTint="33"/>
          </w:tcPr>
          <w:p>
            <w:pPr>
              <w:rPr>
                <w:color w:val="auto"/>
              </w:rPr>
            </w:pPr>
            <w:r>
              <w:rPr>
                <w:color w:val="auto"/>
              </w:rPr>
              <w:t>2</w:t>
            </w:r>
          </w:p>
        </w:tc>
        <w:tc>
          <w:tcPr>
            <w:tcW w:w="2343"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7" w:hRule="atLeast"/>
        </w:trPr>
        <w:tc>
          <w:tcPr>
            <w:tcW w:w="4013" w:type="dxa"/>
            <w:shd w:val="clear" w:color="auto" w:fill="CCCCCC" w:themeFill="text1" w:themeFillTint="33"/>
          </w:tcPr>
          <w:p>
            <w:pPr>
              <w:rPr>
                <w:color w:val="auto"/>
              </w:rPr>
            </w:pPr>
            <w:r>
              <w:rPr>
                <w:color w:val="auto"/>
              </w:rPr>
              <w:t>Disagree</w:t>
            </w:r>
          </w:p>
        </w:tc>
        <w:tc>
          <w:tcPr>
            <w:tcW w:w="2654" w:type="dxa"/>
          </w:tcPr>
          <w:p>
            <w:pPr>
              <w:rPr>
                <w:color w:val="auto"/>
              </w:rPr>
            </w:pPr>
            <w:r>
              <w:rPr>
                <w:color w:val="auto"/>
              </w:rPr>
              <w:t>2</w:t>
            </w:r>
          </w:p>
        </w:tc>
        <w:tc>
          <w:tcPr>
            <w:tcW w:w="2343"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7" w:hRule="atLeast"/>
        </w:trPr>
        <w:tc>
          <w:tcPr>
            <w:tcW w:w="4013" w:type="dxa"/>
            <w:shd w:val="clear" w:color="auto" w:fill="CCCCCC" w:themeFill="text1" w:themeFillTint="33"/>
          </w:tcPr>
          <w:p>
            <w:pPr>
              <w:rPr>
                <w:color w:val="auto"/>
              </w:rPr>
            </w:pPr>
            <w:r>
              <w:rPr>
                <w:color w:val="auto"/>
              </w:rPr>
              <w:t>Neutral</w:t>
            </w:r>
          </w:p>
        </w:tc>
        <w:tc>
          <w:tcPr>
            <w:tcW w:w="2654" w:type="dxa"/>
            <w:shd w:val="clear" w:color="auto" w:fill="CCCCCC" w:themeFill="text1" w:themeFillTint="33"/>
          </w:tcPr>
          <w:p>
            <w:pPr>
              <w:rPr>
                <w:color w:val="auto"/>
              </w:rPr>
            </w:pPr>
            <w:r>
              <w:rPr>
                <w:color w:val="auto"/>
              </w:rPr>
              <w:t>5</w:t>
            </w:r>
          </w:p>
        </w:tc>
        <w:tc>
          <w:tcPr>
            <w:tcW w:w="2343" w:type="dxa"/>
            <w:shd w:val="clear" w:color="auto" w:fill="CCCCCC" w:themeFill="text1" w:themeFillTint="33"/>
          </w:tcPr>
          <w:p>
            <w:pPr>
              <w:rPr>
                <w:color w:val="auto"/>
              </w:rPr>
            </w:pPr>
            <w:r>
              <w:rPr>
                <w:color w:val="auto"/>
              </w:rPr>
              <w:t>7.7%</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7" w:hRule="atLeast"/>
        </w:trPr>
        <w:tc>
          <w:tcPr>
            <w:tcW w:w="4013" w:type="dxa"/>
            <w:shd w:val="clear" w:color="auto" w:fill="CCCCCC" w:themeFill="text1" w:themeFillTint="33"/>
          </w:tcPr>
          <w:p>
            <w:pPr>
              <w:rPr>
                <w:color w:val="auto"/>
              </w:rPr>
            </w:pPr>
            <w:r>
              <w:rPr>
                <w:color w:val="auto"/>
              </w:rPr>
              <w:t>Agree</w:t>
            </w:r>
          </w:p>
        </w:tc>
        <w:tc>
          <w:tcPr>
            <w:tcW w:w="2654" w:type="dxa"/>
          </w:tcPr>
          <w:p>
            <w:pPr>
              <w:rPr>
                <w:color w:val="auto"/>
              </w:rPr>
            </w:pPr>
            <w:r>
              <w:rPr>
                <w:color w:val="auto"/>
              </w:rPr>
              <w:t>36</w:t>
            </w:r>
          </w:p>
        </w:tc>
        <w:tc>
          <w:tcPr>
            <w:tcW w:w="2343" w:type="dxa"/>
            <w:shd w:val="clear" w:color="auto" w:fill="CCCCCC" w:themeFill="text1" w:themeFillTint="33"/>
          </w:tcPr>
          <w:p>
            <w:pPr>
              <w:rPr>
                <w:color w:val="auto"/>
              </w:rPr>
            </w:pPr>
            <w:r>
              <w:rPr>
                <w:color w:val="auto"/>
              </w:rPr>
              <w:t>55.4%</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7" w:hRule="atLeast"/>
        </w:trPr>
        <w:tc>
          <w:tcPr>
            <w:tcW w:w="4013" w:type="dxa"/>
            <w:shd w:val="clear" w:color="auto" w:fill="CCCCCC" w:themeFill="text1" w:themeFillTint="33"/>
          </w:tcPr>
          <w:p>
            <w:pPr>
              <w:rPr>
                <w:color w:val="auto"/>
              </w:rPr>
            </w:pPr>
            <w:r>
              <w:rPr>
                <w:color w:val="auto"/>
              </w:rPr>
              <w:t>Strongly agree</w:t>
            </w:r>
          </w:p>
        </w:tc>
        <w:tc>
          <w:tcPr>
            <w:tcW w:w="2654" w:type="dxa"/>
            <w:shd w:val="clear" w:color="auto" w:fill="CCCCCC" w:themeFill="text1" w:themeFillTint="33"/>
          </w:tcPr>
          <w:p>
            <w:pPr>
              <w:rPr>
                <w:color w:val="auto"/>
              </w:rPr>
            </w:pPr>
            <w:r>
              <w:rPr>
                <w:color w:val="auto"/>
              </w:rPr>
              <w:t>20</w:t>
            </w:r>
          </w:p>
        </w:tc>
        <w:tc>
          <w:tcPr>
            <w:tcW w:w="2343" w:type="dxa"/>
            <w:shd w:val="clear" w:color="auto" w:fill="CCCCCC" w:themeFill="text1" w:themeFillTint="33"/>
          </w:tcPr>
          <w:p>
            <w:pPr>
              <w:rPr>
                <w:color w:val="auto"/>
              </w:rPr>
            </w:pPr>
            <w:r>
              <w:rPr>
                <w:color w:val="auto"/>
              </w:rPr>
              <w:t>30.8%</w:t>
            </w:r>
          </w:p>
        </w:tc>
      </w:tr>
    </w:tbl>
    <w:p>
      <w:pPr>
        <w:pStyle w:val="19"/>
        <w:rPr>
          <w:color w:val="auto"/>
          <w:lang w:val="en-US"/>
        </w:rPr>
      </w:pPr>
    </w:p>
    <w:p>
      <w:pPr>
        <w:pStyle w:val="19"/>
        <w:rPr>
          <w:color w:val="auto"/>
          <w:lang w:val="en-US"/>
        </w:rPr>
      </w:pPr>
      <w:r>
        <w:rPr>
          <w:color w:val="auto"/>
          <w:lang w:val="en-US"/>
        </w:rPr>
        <w:t>The table illustrates the proposed statement “Tata motors features are better than its competitor’s ones”. Besides, the respondents revealed that 3.1% of the total population strongly disagree and 3.1% disagree with the proposed statement. Moreover, 7.7% remains neutral with the proposed statement by neither agree nor disagree. Furthermore, 55.4% the respondents agree whereas 30.8% strongly agrees with the stated statement.</w:t>
      </w:r>
    </w:p>
    <w:p>
      <w:pPr>
        <w:pStyle w:val="19"/>
        <w:rPr>
          <w:color w:val="auto"/>
          <w:lang w:val="en-US"/>
        </w:rPr>
      </w:pPr>
    </w:p>
    <w:tbl>
      <w:tblPr>
        <w:tblStyle w:val="20"/>
        <w:tblW w:w="8889"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3960"/>
        <w:gridCol w:w="2620"/>
        <w:gridCol w:w="2309"/>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600" w:hRule="atLeast"/>
        </w:trPr>
        <w:tc>
          <w:tcPr>
            <w:tcW w:w="8889" w:type="dxa"/>
            <w:gridSpan w:val="3"/>
            <w:shd w:val="clear" w:color="auto" w:fill="CCCCCC" w:themeFill="text1" w:themeFillTint="33"/>
          </w:tcPr>
          <w:p>
            <w:pPr>
              <w:rPr>
                <w:color w:val="auto"/>
              </w:rPr>
            </w:pPr>
            <w:r>
              <w:rPr>
                <w:b/>
                <w:bCs/>
                <w:color w:val="auto"/>
              </w:rPr>
              <w:t>Tata Motors characteristics can be distinguished from its competitors.</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13" w:hRule="atLeast"/>
        </w:trPr>
        <w:tc>
          <w:tcPr>
            <w:tcW w:w="3960" w:type="dxa"/>
            <w:shd w:val="clear" w:color="auto" w:fill="CCCCCC" w:themeFill="text1" w:themeFillTint="33"/>
          </w:tcPr>
          <w:p>
            <w:pPr>
              <w:rPr>
                <w:color w:val="auto"/>
              </w:rPr>
            </w:pPr>
          </w:p>
        </w:tc>
        <w:tc>
          <w:tcPr>
            <w:tcW w:w="2620" w:type="dxa"/>
          </w:tcPr>
          <w:p>
            <w:pPr>
              <w:rPr>
                <w:color w:val="auto"/>
              </w:rPr>
            </w:pPr>
            <w:r>
              <w:rPr>
                <w:color w:val="auto"/>
              </w:rPr>
              <w:t>N</w:t>
            </w:r>
          </w:p>
        </w:tc>
        <w:tc>
          <w:tcPr>
            <w:tcW w:w="2309"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600" w:hRule="atLeast"/>
        </w:trPr>
        <w:tc>
          <w:tcPr>
            <w:tcW w:w="3960" w:type="dxa"/>
            <w:shd w:val="clear" w:color="auto" w:fill="CCCCCC" w:themeFill="text1" w:themeFillTint="33"/>
          </w:tcPr>
          <w:p>
            <w:pPr>
              <w:rPr>
                <w:color w:val="auto"/>
              </w:rPr>
            </w:pPr>
            <w:r>
              <w:rPr>
                <w:color w:val="auto"/>
              </w:rPr>
              <w:t>Strongly disagree</w:t>
            </w:r>
          </w:p>
        </w:tc>
        <w:tc>
          <w:tcPr>
            <w:tcW w:w="2620" w:type="dxa"/>
            <w:shd w:val="clear" w:color="auto" w:fill="CCCCCC" w:themeFill="text1" w:themeFillTint="33"/>
          </w:tcPr>
          <w:p>
            <w:pPr>
              <w:rPr>
                <w:color w:val="auto"/>
              </w:rPr>
            </w:pPr>
            <w:r>
              <w:rPr>
                <w:color w:val="auto"/>
              </w:rPr>
              <w:t>2</w:t>
            </w:r>
          </w:p>
        </w:tc>
        <w:tc>
          <w:tcPr>
            <w:tcW w:w="2309"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03" w:hRule="atLeast"/>
        </w:trPr>
        <w:tc>
          <w:tcPr>
            <w:tcW w:w="3960" w:type="dxa"/>
            <w:shd w:val="clear" w:color="auto" w:fill="CCCCCC" w:themeFill="text1" w:themeFillTint="33"/>
          </w:tcPr>
          <w:p>
            <w:pPr>
              <w:rPr>
                <w:color w:val="auto"/>
              </w:rPr>
            </w:pPr>
            <w:r>
              <w:rPr>
                <w:color w:val="auto"/>
              </w:rPr>
              <w:t>Disagree</w:t>
            </w:r>
          </w:p>
        </w:tc>
        <w:tc>
          <w:tcPr>
            <w:tcW w:w="2620" w:type="dxa"/>
          </w:tcPr>
          <w:p>
            <w:pPr>
              <w:rPr>
                <w:color w:val="auto"/>
              </w:rPr>
            </w:pPr>
            <w:r>
              <w:rPr>
                <w:color w:val="auto"/>
              </w:rPr>
              <w:t>1</w:t>
            </w:r>
          </w:p>
        </w:tc>
        <w:tc>
          <w:tcPr>
            <w:tcW w:w="2309"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93" w:hRule="atLeast"/>
        </w:trPr>
        <w:tc>
          <w:tcPr>
            <w:tcW w:w="3960" w:type="dxa"/>
            <w:shd w:val="clear" w:color="auto" w:fill="CCCCCC" w:themeFill="text1" w:themeFillTint="33"/>
          </w:tcPr>
          <w:p>
            <w:pPr>
              <w:rPr>
                <w:color w:val="auto"/>
              </w:rPr>
            </w:pPr>
            <w:r>
              <w:rPr>
                <w:color w:val="auto"/>
              </w:rPr>
              <w:t>Neutral</w:t>
            </w:r>
          </w:p>
        </w:tc>
        <w:tc>
          <w:tcPr>
            <w:tcW w:w="2620" w:type="dxa"/>
            <w:shd w:val="clear" w:color="auto" w:fill="CCCCCC" w:themeFill="text1" w:themeFillTint="33"/>
          </w:tcPr>
          <w:p>
            <w:pPr>
              <w:rPr>
                <w:color w:val="auto"/>
              </w:rPr>
            </w:pPr>
            <w:r>
              <w:rPr>
                <w:color w:val="auto"/>
              </w:rPr>
              <w:t>14</w:t>
            </w:r>
          </w:p>
        </w:tc>
        <w:tc>
          <w:tcPr>
            <w:tcW w:w="2309" w:type="dxa"/>
            <w:shd w:val="clear" w:color="auto" w:fill="CCCCCC" w:themeFill="text1" w:themeFillTint="33"/>
          </w:tcPr>
          <w:p>
            <w:pPr>
              <w:rPr>
                <w:color w:val="auto"/>
              </w:rPr>
            </w:pPr>
            <w:r>
              <w:rPr>
                <w:color w:val="auto"/>
              </w:rPr>
              <w:t>21.5%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13" w:hRule="atLeast"/>
        </w:trPr>
        <w:tc>
          <w:tcPr>
            <w:tcW w:w="3960" w:type="dxa"/>
            <w:shd w:val="clear" w:color="auto" w:fill="CCCCCC" w:themeFill="text1" w:themeFillTint="33"/>
          </w:tcPr>
          <w:p>
            <w:pPr>
              <w:rPr>
                <w:color w:val="auto"/>
              </w:rPr>
            </w:pPr>
            <w:r>
              <w:rPr>
                <w:color w:val="auto"/>
              </w:rPr>
              <w:t>Agree</w:t>
            </w:r>
          </w:p>
        </w:tc>
        <w:tc>
          <w:tcPr>
            <w:tcW w:w="2620" w:type="dxa"/>
          </w:tcPr>
          <w:p>
            <w:pPr>
              <w:rPr>
                <w:color w:val="auto"/>
              </w:rPr>
            </w:pPr>
            <w:r>
              <w:rPr>
                <w:color w:val="auto"/>
              </w:rPr>
              <w:t>33</w:t>
            </w:r>
          </w:p>
        </w:tc>
        <w:tc>
          <w:tcPr>
            <w:tcW w:w="2309" w:type="dxa"/>
            <w:shd w:val="clear" w:color="auto" w:fill="CCCCCC" w:themeFill="text1" w:themeFillTint="33"/>
          </w:tcPr>
          <w:p>
            <w:pPr>
              <w:rPr>
                <w:color w:val="auto"/>
              </w:rPr>
            </w:pPr>
            <w:r>
              <w:rPr>
                <w:color w:val="auto"/>
              </w:rPr>
              <w:t>50.8%</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03" w:hRule="atLeast"/>
        </w:trPr>
        <w:tc>
          <w:tcPr>
            <w:tcW w:w="3960" w:type="dxa"/>
            <w:shd w:val="clear" w:color="auto" w:fill="CCCCCC" w:themeFill="text1" w:themeFillTint="33"/>
          </w:tcPr>
          <w:p>
            <w:pPr>
              <w:rPr>
                <w:color w:val="auto"/>
              </w:rPr>
            </w:pPr>
            <w:r>
              <w:rPr>
                <w:color w:val="auto"/>
              </w:rPr>
              <w:t>Strongly agree</w:t>
            </w:r>
          </w:p>
        </w:tc>
        <w:tc>
          <w:tcPr>
            <w:tcW w:w="2620" w:type="dxa"/>
            <w:shd w:val="clear" w:color="auto" w:fill="CCCCCC" w:themeFill="text1" w:themeFillTint="33"/>
          </w:tcPr>
          <w:p>
            <w:pPr>
              <w:rPr>
                <w:color w:val="auto"/>
              </w:rPr>
            </w:pPr>
            <w:r>
              <w:rPr>
                <w:color w:val="auto"/>
              </w:rPr>
              <w:t>15</w:t>
            </w:r>
          </w:p>
        </w:tc>
        <w:tc>
          <w:tcPr>
            <w:tcW w:w="2309" w:type="dxa"/>
            <w:shd w:val="clear" w:color="auto" w:fill="CCCCCC" w:themeFill="text1" w:themeFillTint="33"/>
          </w:tcPr>
          <w:p>
            <w:pPr>
              <w:rPr>
                <w:color w:val="auto"/>
              </w:rPr>
            </w:pPr>
            <w:r>
              <w:rPr>
                <w:color w:val="auto"/>
              </w:rPr>
              <w:t>23.1%</w:t>
            </w:r>
          </w:p>
        </w:tc>
      </w:tr>
    </w:tbl>
    <w:p>
      <w:pPr>
        <w:pStyle w:val="19"/>
        <w:rPr>
          <w:color w:val="auto"/>
          <w:lang w:val="en-US"/>
        </w:rPr>
      </w:pPr>
      <w:r>
        <w:rPr>
          <w:color w:val="auto"/>
          <w:lang w:val="en-US"/>
        </w:rPr>
        <w:t>The table illustrates the proposed statement “Tata motors characteristics can be distinguished from its competitors”. Besides, the respondents revealed that 3.1% of the total population strongly disagree and 1.5% disagree with the proposed statement. Moreover, 21.5% remains neutral with the proposed statement by neither agree nor disagree. Furthermore, 50.8% the respondents agree whereas 23.1% strongly agrees with the stated statement.</w:t>
      </w:r>
    </w:p>
    <w:tbl>
      <w:tblPr>
        <w:tblStyle w:val="20"/>
        <w:tblW w:w="9281"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134"/>
        <w:gridCol w:w="2734"/>
        <w:gridCol w:w="2413"/>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95" w:hRule="atLeast"/>
        </w:trPr>
        <w:tc>
          <w:tcPr>
            <w:tcW w:w="9281" w:type="dxa"/>
            <w:gridSpan w:val="3"/>
            <w:shd w:val="clear" w:color="auto" w:fill="CCCCCC" w:themeFill="text1" w:themeFillTint="33"/>
          </w:tcPr>
          <w:p>
            <w:pPr>
              <w:rPr>
                <w:color w:val="auto"/>
              </w:rPr>
            </w:pPr>
            <w:r>
              <w:rPr>
                <w:b/>
                <w:bCs/>
                <w:color w:val="auto"/>
              </w:rPr>
              <w:t>Tata Motors does not disappoint its customers.</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60" w:hRule="atLeast"/>
        </w:trPr>
        <w:tc>
          <w:tcPr>
            <w:tcW w:w="4134" w:type="dxa"/>
            <w:shd w:val="clear" w:color="auto" w:fill="CCCCCC" w:themeFill="text1" w:themeFillTint="33"/>
          </w:tcPr>
          <w:p>
            <w:pPr>
              <w:rPr>
                <w:color w:val="auto"/>
              </w:rPr>
            </w:pPr>
          </w:p>
        </w:tc>
        <w:tc>
          <w:tcPr>
            <w:tcW w:w="2734" w:type="dxa"/>
          </w:tcPr>
          <w:p>
            <w:pPr>
              <w:rPr>
                <w:color w:val="auto"/>
              </w:rPr>
            </w:pPr>
            <w:r>
              <w:rPr>
                <w:color w:val="auto"/>
              </w:rPr>
              <w:t>N</w:t>
            </w:r>
          </w:p>
        </w:tc>
        <w:tc>
          <w:tcPr>
            <w:tcW w:w="2413"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95" w:hRule="atLeast"/>
        </w:trPr>
        <w:tc>
          <w:tcPr>
            <w:tcW w:w="4134" w:type="dxa"/>
            <w:shd w:val="clear" w:color="auto" w:fill="CCCCCC" w:themeFill="text1" w:themeFillTint="33"/>
          </w:tcPr>
          <w:p>
            <w:pPr>
              <w:rPr>
                <w:color w:val="auto"/>
              </w:rPr>
            </w:pPr>
            <w:r>
              <w:rPr>
                <w:color w:val="auto"/>
              </w:rPr>
              <w:t>Strongly disagree</w:t>
            </w:r>
          </w:p>
        </w:tc>
        <w:tc>
          <w:tcPr>
            <w:tcW w:w="2734" w:type="dxa"/>
            <w:shd w:val="clear" w:color="auto" w:fill="CCCCCC" w:themeFill="text1" w:themeFillTint="33"/>
          </w:tcPr>
          <w:p>
            <w:pPr>
              <w:rPr>
                <w:color w:val="auto"/>
              </w:rPr>
            </w:pPr>
            <w:r>
              <w:rPr>
                <w:color w:val="auto"/>
              </w:rPr>
              <w:t>4</w:t>
            </w:r>
          </w:p>
        </w:tc>
        <w:tc>
          <w:tcPr>
            <w:tcW w:w="2413" w:type="dxa"/>
            <w:shd w:val="clear" w:color="auto" w:fill="CCCCCC" w:themeFill="text1" w:themeFillTint="33"/>
          </w:tcPr>
          <w:p>
            <w:pPr>
              <w:rPr>
                <w:color w:val="auto"/>
              </w:rPr>
            </w:pPr>
            <w:r>
              <w:rPr>
                <w:color w:val="auto"/>
              </w:rPr>
              <w:t>6.2%</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60" w:hRule="atLeast"/>
        </w:trPr>
        <w:tc>
          <w:tcPr>
            <w:tcW w:w="4134" w:type="dxa"/>
            <w:shd w:val="clear" w:color="auto" w:fill="CCCCCC" w:themeFill="text1" w:themeFillTint="33"/>
          </w:tcPr>
          <w:p>
            <w:pPr>
              <w:rPr>
                <w:color w:val="auto"/>
              </w:rPr>
            </w:pPr>
            <w:r>
              <w:rPr>
                <w:color w:val="auto"/>
              </w:rPr>
              <w:t>Neutral</w:t>
            </w:r>
          </w:p>
        </w:tc>
        <w:tc>
          <w:tcPr>
            <w:tcW w:w="2734" w:type="dxa"/>
          </w:tcPr>
          <w:p>
            <w:pPr>
              <w:rPr>
                <w:color w:val="auto"/>
              </w:rPr>
            </w:pPr>
            <w:r>
              <w:rPr>
                <w:color w:val="auto"/>
              </w:rPr>
              <w:t>5</w:t>
            </w:r>
          </w:p>
        </w:tc>
        <w:tc>
          <w:tcPr>
            <w:tcW w:w="2413" w:type="dxa"/>
            <w:shd w:val="clear" w:color="auto" w:fill="CCCCCC" w:themeFill="text1" w:themeFillTint="33"/>
          </w:tcPr>
          <w:p>
            <w:pPr>
              <w:rPr>
                <w:color w:val="auto"/>
              </w:rPr>
            </w:pPr>
            <w:r>
              <w:rPr>
                <w:color w:val="auto"/>
              </w:rPr>
              <w:t>7.7%</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48" w:hRule="atLeast"/>
        </w:trPr>
        <w:tc>
          <w:tcPr>
            <w:tcW w:w="4134" w:type="dxa"/>
            <w:shd w:val="clear" w:color="auto" w:fill="CCCCCC" w:themeFill="text1" w:themeFillTint="33"/>
          </w:tcPr>
          <w:p>
            <w:pPr>
              <w:rPr>
                <w:color w:val="auto"/>
              </w:rPr>
            </w:pPr>
            <w:r>
              <w:rPr>
                <w:color w:val="auto"/>
              </w:rPr>
              <w:t>Agree</w:t>
            </w:r>
          </w:p>
        </w:tc>
        <w:tc>
          <w:tcPr>
            <w:tcW w:w="2734" w:type="dxa"/>
            <w:shd w:val="clear" w:color="auto" w:fill="CCCCCC" w:themeFill="text1" w:themeFillTint="33"/>
          </w:tcPr>
          <w:p>
            <w:pPr>
              <w:rPr>
                <w:color w:val="auto"/>
              </w:rPr>
            </w:pPr>
            <w:r>
              <w:rPr>
                <w:color w:val="auto"/>
              </w:rPr>
              <w:t>37</w:t>
            </w:r>
          </w:p>
        </w:tc>
        <w:tc>
          <w:tcPr>
            <w:tcW w:w="2413" w:type="dxa"/>
            <w:shd w:val="clear" w:color="auto" w:fill="CCCCCC" w:themeFill="text1" w:themeFillTint="33"/>
          </w:tcPr>
          <w:p>
            <w:pPr>
              <w:rPr>
                <w:color w:val="auto"/>
              </w:rPr>
            </w:pPr>
            <w:r>
              <w:rPr>
                <w:color w:val="auto"/>
              </w:rPr>
              <w:t>56.9%</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60" w:hRule="atLeast"/>
        </w:trPr>
        <w:tc>
          <w:tcPr>
            <w:tcW w:w="4134" w:type="dxa"/>
            <w:shd w:val="clear" w:color="auto" w:fill="CCCCCC" w:themeFill="text1" w:themeFillTint="33"/>
          </w:tcPr>
          <w:p>
            <w:pPr>
              <w:rPr>
                <w:color w:val="auto"/>
              </w:rPr>
            </w:pPr>
            <w:r>
              <w:rPr>
                <w:color w:val="auto"/>
              </w:rPr>
              <w:t>Strongly agree</w:t>
            </w:r>
          </w:p>
        </w:tc>
        <w:tc>
          <w:tcPr>
            <w:tcW w:w="2734" w:type="dxa"/>
          </w:tcPr>
          <w:p>
            <w:pPr>
              <w:rPr>
                <w:color w:val="auto"/>
              </w:rPr>
            </w:pPr>
            <w:r>
              <w:rPr>
                <w:color w:val="auto"/>
              </w:rPr>
              <w:t>19</w:t>
            </w:r>
          </w:p>
        </w:tc>
        <w:tc>
          <w:tcPr>
            <w:tcW w:w="2413" w:type="dxa"/>
            <w:shd w:val="clear" w:color="auto" w:fill="CCCCCC" w:themeFill="text1" w:themeFillTint="33"/>
          </w:tcPr>
          <w:p>
            <w:pPr>
              <w:rPr>
                <w:color w:val="auto"/>
              </w:rPr>
            </w:pPr>
            <w:r>
              <w:rPr>
                <w:color w:val="auto"/>
              </w:rPr>
              <w:t>29.2%</w:t>
            </w:r>
          </w:p>
        </w:tc>
      </w:tr>
    </w:tbl>
    <w:p>
      <w:pPr>
        <w:pStyle w:val="19"/>
        <w:rPr>
          <w:color w:val="auto"/>
          <w:lang w:val="en-US"/>
        </w:rPr>
      </w:pPr>
    </w:p>
    <w:p>
      <w:pPr>
        <w:pStyle w:val="19"/>
        <w:rPr>
          <w:color w:val="auto"/>
          <w:lang w:val="en-US"/>
        </w:rPr>
      </w:pPr>
      <w:r>
        <w:rPr>
          <w:color w:val="auto"/>
          <w:lang w:val="en-US"/>
        </w:rPr>
        <w:t>The table illustrates the proposed statement “Tata motors does not disappoint its customers”. Besides, the respondents revealed that 6.2% of the total population strongly disagree and 7.7% remains neutral with the proposed statement by neither agree nor disagree. Furthermore, 56.9% the respondents agree whereas 29.2% strongly agrees with the stated statement.</w:t>
      </w:r>
    </w:p>
    <w:tbl>
      <w:tblPr>
        <w:tblStyle w:val="20"/>
        <w:tblW w:w="9694"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318"/>
        <w:gridCol w:w="2857"/>
        <w:gridCol w:w="2519"/>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90" w:hRule="atLeast"/>
        </w:trPr>
        <w:tc>
          <w:tcPr>
            <w:tcW w:w="9694" w:type="dxa"/>
            <w:gridSpan w:val="3"/>
            <w:shd w:val="clear" w:color="auto" w:fill="CCCCCC" w:themeFill="text1" w:themeFillTint="33"/>
          </w:tcPr>
          <w:p>
            <w:pPr>
              <w:rPr>
                <w:color w:val="auto"/>
              </w:rPr>
            </w:pPr>
            <w:r>
              <w:rPr>
                <w:b/>
                <w:bCs/>
                <w:color w:val="auto"/>
              </w:rPr>
              <w:t>It is one of the best brands in the automobile industry</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57" w:hRule="atLeast"/>
        </w:trPr>
        <w:tc>
          <w:tcPr>
            <w:tcW w:w="4318" w:type="dxa"/>
            <w:shd w:val="clear" w:color="auto" w:fill="CCCCCC" w:themeFill="text1" w:themeFillTint="33"/>
          </w:tcPr>
          <w:p>
            <w:pPr>
              <w:rPr>
                <w:color w:val="auto"/>
              </w:rPr>
            </w:pPr>
          </w:p>
        </w:tc>
        <w:tc>
          <w:tcPr>
            <w:tcW w:w="2857" w:type="dxa"/>
          </w:tcPr>
          <w:p>
            <w:pPr>
              <w:rPr>
                <w:color w:val="auto"/>
              </w:rPr>
            </w:pPr>
            <w:r>
              <w:rPr>
                <w:color w:val="auto"/>
              </w:rPr>
              <w:t>N</w:t>
            </w:r>
          </w:p>
        </w:tc>
        <w:tc>
          <w:tcPr>
            <w:tcW w:w="2519"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90" w:hRule="atLeast"/>
        </w:trPr>
        <w:tc>
          <w:tcPr>
            <w:tcW w:w="4318" w:type="dxa"/>
            <w:shd w:val="clear" w:color="auto" w:fill="CCCCCC" w:themeFill="text1" w:themeFillTint="33"/>
          </w:tcPr>
          <w:p>
            <w:pPr>
              <w:rPr>
                <w:color w:val="auto"/>
              </w:rPr>
            </w:pPr>
            <w:r>
              <w:rPr>
                <w:color w:val="auto"/>
              </w:rPr>
              <w:t>Strongly disagree</w:t>
            </w:r>
          </w:p>
        </w:tc>
        <w:tc>
          <w:tcPr>
            <w:tcW w:w="2857" w:type="dxa"/>
            <w:shd w:val="clear" w:color="auto" w:fill="CCCCCC" w:themeFill="text1" w:themeFillTint="33"/>
          </w:tcPr>
          <w:p>
            <w:pPr>
              <w:rPr>
                <w:color w:val="auto"/>
              </w:rPr>
            </w:pPr>
            <w:r>
              <w:rPr>
                <w:color w:val="auto"/>
              </w:rPr>
              <w:t>1</w:t>
            </w:r>
          </w:p>
        </w:tc>
        <w:tc>
          <w:tcPr>
            <w:tcW w:w="2519"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57" w:hRule="atLeast"/>
        </w:trPr>
        <w:tc>
          <w:tcPr>
            <w:tcW w:w="4318" w:type="dxa"/>
            <w:shd w:val="clear" w:color="auto" w:fill="CCCCCC" w:themeFill="text1" w:themeFillTint="33"/>
          </w:tcPr>
          <w:p>
            <w:pPr>
              <w:rPr>
                <w:color w:val="auto"/>
              </w:rPr>
            </w:pPr>
            <w:r>
              <w:rPr>
                <w:color w:val="auto"/>
              </w:rPr>
              <w:t>Disagree</w:t>
            </w:r>
          </w:p>
        </w:tc>
        <w:tc>
          <w:tcPr>
            <w:tcW w:w="2857" w:type="dxa"/>
          </w:tcPr>
          <w:p>
            <w:pPr>
              <w:rPr>
                <w:color w:val="auto"/>
              </w:rPr>
            </w:pPr>
            <w:r>
              <w:rPr>
                <w:color w:val="auto"/>
              </w:rPr>
              <w:t>1</w:t>
            </w:r>
          </w:p>
        </w:tc>
        <w:tc>
          <w:tcPr>
            <w:tcW w:w="2519"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45" w:hRule="atLeast"/>
        </w:trPr>
        <w:tc>
          <w:tcPr>
            <w:tcW w:w="4318" w:type="dxa"/>
            <w:shd w:val="clear" w:color="auto" w:fill="CCCCCC" w:themeFill="text1" w:themeFillTint="33"/>
          </w:tcPr>
          <w:p>
            <w:pPr>
              <w:rPr>
                <w:color w:val="auto"/>
              </w:rPr>
            </w:pPr>
            <w:r>
              <w:rPr>
                <w:color w:val="auto"/>
              </w:rPr>
              <w:t>Neutral</w:t>
            </w:r>
          </w:p>
        </w:tc>
        <w:tc>
          <w:tcPr>
            <w:tcW w:w="2857" w:type="dxa"/>
            <w:shd w:val="clear" w:color="auto" w:fill="CCCCCC" w:themeFill="text1" w:themeFillTint="33"/>
          </w:tcPr>
          <w:p>
            <w:pPr>
              <w:rPr>
                <w:color w:val="auto"/>
              </w:rPr>
            </w:pPr>
            <w:r>
              <w:rPr>
                <w:color w:val="auto"/>
              </w:rPr>
              <w:t>6</w:t>
            </w:r>
          </w:p>
        </w:tc>
        <w:tc>
          <w:tcPr>
            <w:tcW w:w="2519" w:type="dxa"/>
            <w:shd w:val="clear" w:color="auto" w:fill="CCCCCC" w:themeFill="text1" w:themeFillTint="33"/>
          </w:tcPr>
          <w:p>
            <w:pPr>
              <w:rPr>
                <w:color w:val="auto"/>
              </w:rPr>
            </w:pPr>
            <w:r>
              <w:rPr>
                <w:color w:val="auto"/>
              </w:rPr>
              <w:t>9.2%</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57" w:hRule="atLeast"/>
        </w:trPr>
        <w:tc>
          <w:tcPr>
            <w:tcW w:w="4318" w:type="dxa"/>
            <w:shd w:val="clear" w:color="auto" w:fill="CCCCCC" w:themeFill="text1" w:themeFillTint="33"/>
          </w:tcPr>
          <w:p>
            <w:pPr>
              <w:rPr>
                <w:color w:val="auto"/>
              </w:rPr>
            </w:pPr>
            <w:r>
              <w:rPr>
                <w:color w:val="auto"/>
              </w:rPr>
              <w:t>Agree</w:t>
            </w:r>
          </w:p>
        </w:tc>
        <w:tc>
          <w:tcPr>
            <w:tcW w:w="2857" w:type="dxa"/>
          </w:tcPr>
          <w:p>
            <w:pPr>
              <w:rPr>
                <w:color w:val="auto"/>
              </w:rPr>
            </w:pPr>
            <w:r>
              <w:rPr>
                <w:color w:val="auto"/>
              </w:rPr>
              <w:t>30</w:t>
            </w:r>
          </w:p>
        </w:tc>
        <w:tc>
          <w:tcPr>
            <w:tcW w:w="2519" w:type="dxa"/>
            <w:shd w:val="clear" w:color="auto" w:fill="CCCCCC" w:themeFill="text1" w:themeFillTint="33"/>
          </w:tcPr>
          <w:p>
            <w:pPr>
              <w:rPr>
                <w:color w:val="auto"/>
              </w:rPr>
            </w:pPr>
            <w:r>
              <w:rPr>
                <w:color w:val="auto"/>
              </w:rPr>
              <w:t>46.2%</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45" w:hRule="atLeast"/>
        </w:trPr>
        <w:tc>
          <w:tcPr>
            <w:tcW w:w="4318" w:type="dxa"/>
            <w:shd w:val="clear" w:color="auto" w:fill="CCCCCC" w:themeFill="text1" w:themeFillTint="33"/>
          </w:tcPr>
          <w:p>
            <w:pPr>
              <w:rPr>
                <w:color w:val="auto"/>
              </w:rPr>
            </w:pPr>
            <w:r>
              <w:rPr>
                <w:color w:val="auto"/>
              </w:rPr>
              <w:t>Strongly agree</w:t>
            </w:r>
          </w:p>
        </w:tc>
        <w:tc>
          <w:tcPr>
            <w:tcW w:w="2857" w:type="dxa"/>
            <w:shd w:val="clear" w:color="auto" w:fill="CCCCCC" w:themeFill="text1" w:themeFillTint="33"/>
          </w:tcPr>
          <w:p>
            <w:pPr>
              <w:rPr>
                <w:color w:val="auto"/>
              </w:rPr>
            </w:pPr>
            <w:r>
              <w:rPr>
                <w:color w:val="auto"/>
              </w:rPr>
              <w:t>27</w:t>
            </w:r>
          </w:p>
        </w:tc>
        <w:tc>
          <w:tcPr>
            <w:tcW w:w="2519" w:type="dxa"/>
            <w:shd w:val="clear" w:color="auto" w:fill="CCCCCC" w:themeFill="text1" w:themeFillTint="33"/>
          </w:tcPr>
          <w:p>
            <w:pPr>
              <w:rPr>
                <w:color w:val="auto"/>
              </w:rPr>
            </w:pPr>
            <w:r>
              <w:rPr>
                <w:color w:val="auto"/>
              </w:rPr>
              <w:t>41.5%</w:t>
            </w:r>
          </w:p>
        </w:tc>
      </w:tr>
    </w:tbl>
    <w:p>
      <w:pPr>
        <w:pStyle w:val="19"/>
        <w:rPr>
          <w:color w:val="auto"/>
          <w:lang w:val="en-US"/>
        </w:rPr>
      </w:pPr>
    </w:p>
    <w:p>
      <w:pPr>
        <w:pStyle w:val="19"/>
        <w:rPr>
          <w:color w:val="auto"/>
          <w:lang w:val="en-US"/>
        </w:rPr>
      </w:pPr>
      <w:r>
        <w:rPr>
          <w:color w:val="auto"/>
          <w:lang w:val="en-US"/>
        </w:rPr>
        <w:t>The table illustrates the proposed statement “It is one of the best brands in the automobile industry”. Besides, the respondents revealed that 1.5% of the total population strongly disagree and 1.5% disagree with the proposed statement. Moreover, 9.2% remains neutral with the proposed statement by neither agree nor disagree. Furthermore, 46.2% the respondents agree whereas 41.5% strongly agrees with the stated statement.</w:t>
      </w:r>
    </w:p>
    <w:p>
      <w:pPr>
        <w:spacing w:before="0" w:after="160" w:line="259" w:lineRule="auto"/>
        <w:rPr>
          <w:color w:val="auto"/>
        </w:rPr>
      </w:pPr>
    </w:p>
    <w:tbl>
      <w:tblPr>
        <w:tblStyle w:val="20"/>
        <w:tblW w:w="8975"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3998"/>
        <w:gridCol w:w="2645"/>
        <w:gridCol w:w="2332"/>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63" w:hRule="atLeast"/>
        </w:trPr>
        <w:tc>
          <w:tcPr>
            <w:tcW w:w="8975" w:type="dxa"/>
            <w:gridSpan w:val="3"/>
            <w:shd w:val="clear" w:color="auto" w:fill="CCCCCC" w:themeFill="text1" w:themeFillTint="33"/>
          </w:tcPr>
          <w:p>
            <w:pPr>
              <w:rPr>
                <w:color w:val="auto"/>
              </w:rPr>
            </w:pPr>
            <w:r>
              <w:rPr>
                <w:b/>
                <w:bCs/>
                <w:color w:val="auto"/>
              </w:rPr>
              <w:t>Tata Motors are stable in the market.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63" w:hRule="atLeast"/>
        </w:trPr>
        <w:tc>
          <w:tcPr>
            <w:tcW w:w="3998" w:type="dxa"/>
            <w:shd w:val="clear" w:color="auto" w:fill="CCCCCC" w:themeFill="text1" w:themeFillTint="33"/>
          </w:tcPr>
          <w:p>
            <w:pPr>
              <w:rPr>
                <w:color w:val="auto"/>
              </w:rPr>
            </w:pPr>
          </w:p>
        </w:tc>
        <w:tc>
          <w:tcPr>
            <w:tcW w:w="2645" w:type="dxa"/>
          </w:tcPr>
          <w:p>
            <w:pPr>
              <w:rPr>
                <w:color w:val="auto"/>
              </w:rPr>
            </w:pPr>
            <w:r>
              <w:rPr>
                <w:color w:val="auto"/>
              </w:rPr>
              <w:t>N</w:t>
            </w:r>
          </w:p>
        </w:tc>
        <w:tc>
          <w:tcPr>
            <w:tcW w:w="2332"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01" w:hRule="atLeast"/>
        </w:trPr>
        <w:tc>
          <w:tcPr>
            <w:tcW w:w="3998" w:type="dxa"/>
            <w:shd w:val="clear" w:color="auto" w:fill="CCCCCC" w:themeFill="text1" w:themeFillTint="33"/>
          </w:tcPr>
          <w:p>
            <w:pPr>
              <w:rPr>
                <w:color w:val="auto"/>
              </w:rPr>
            </w:pPr>
            <w:r>
              <w:rPr>
                <w:color w:val="auto"/>
              </w:rPr>
              <w:t>Strongly disagree</w:t>
            </w:r>
          </w:p>
        </w:tc>
        <w:tc>
          <w:tcPr>
            <w:tcW w:w="2645" w:type="dxa"/>
            <w:shd w:val="clear" w:color="auto" w:fill="CCCCCC" w:themeFill="text1" w:themeFillTint="33"/>
          </w:tcPr>
          <w:p>
            <w:pPr>
              <w:rPr>
                <w:color w:val="auto"/>
              </w:rPr>
            </w:pPr>
            <w:r>
              <w:rPr>
                <w:color w:val="auto"/>
              </w:rPr>
              <w:t>2</w:t>
            </w:r>
          </w:p>
        </w:tc>
        <w:tc>
          <w:tcPr>
            <w:tcW w:w="2332"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63" w:hRule="atLeast"/>
        </w:trPr>
        <w:tc>
          <w:tcPr>
            <w:tcW w:w="3998" w:type="dxa"/>
            <w:shd w:val="clear" w:color="auto" w:fill="CCCCCC" w:themeFill="text1" w:themeFillTint="33"/>
          </w:tcPr>
          <w:p>
            <w:pPr>
              <w:rPr>
                <w:color w:val="auto"/>
              </w:rPr>
            </w:pPr>
            <w:r>
              <w:rPr>
                <w:color w:val="auto"/>
              </w:rPr>
              <w:t>Disagree</w:t>
            </w:r>
          </w:p>
        </w:tc>
        <w:tc>
          <w:tcPr>
            <w:tcW w:w="2645" w:type="dxa"/>
          </w:tcPr>
          <w:p>
            <w:pPr>
              <w:rPr>
                <w:color w:val="auto"/>
              </w:rPr>
            </w:pPr>
            <w:r>
              <w:rPr>
                <w:color w:val="auto"/>
              </w:rPr>
              <w:t>2</w:t>
            </w:r>
          </w:p>
        </w:tc>
        <w:tc>
          <w:tcPr>
            <w:tcW w:w="2332"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63" w:hRule="atLeast"/>
        </w:trPr>
        <w:tc>
          <w:tcPr>
            <w:tcW w:w="3998" w:type="dxa"/>
            <w:shd w:val="clear" w:color="auto" w:fill="CCCCCC" w:themeFill="text1" w:themeFillTint="33"/>
          </w:tcPr>
          <w:p>
            <w:pPr>
              <w:rPr>
                <w:color w:val="auto"/>
              </w:rPr>
            </w:pPr>
            <w:r>
              <w:rPr>
                <w:color w:val="auto"/>
              </w:rPr>
              <w:t>Neutral</w:t>
            </w:r>
          </w:p>
        </w:tc>
        <w:tc>
          <w:tcPr>
            <w:tcW w:w="2645" w:type="dxa"/>
            <w:shd w:val="clear" w:color="auto" w:fill="CCCCCC" w:themeFill="text1" w:themeFillTint="33"/>
          </w:tcPr>
          <w:p>
            <w:pPr>
              <w:rPr>
                <w:color w:val="auto"/>
              </w:rPr>
            </w:pPr>
            <w:r>
              <w:rPr>
                <w:color w:val="auto"/>
              </w:rPr>
              <w:t>4</w:t>
            </w:r>
          </w:p>
        </w:tc>
        <w:tc>
          <w:tcPr>
            <w:tcW w:w="2332" w:type="dxa"/>
            <w:shd w:val="clear" w:color="auto" w:fill="CCCCCC" w:themeFill="text1" w:themeFillTint="33"/>
          </w:tcPr>
          <w:p>
            <w:pPr>
              <w:rPr>
                <w:color w:val="auto"/>
              </w:rPr>
            </w:pPr>
            <w:r>
              <w:rPr>
                <w:color w:val="auto"/>
              </w:rPr>
              <w:t>6.2%</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63" w:hRule="atLeast"/>
        </w:trPr>
        <w:tc>
          <w:tcPr>
            <w:tcW w:w="3998" w:type="dxa"/>
            <w:shd w:val="clear" w:color="auto" w:fill="CCCCCC" w:themeFill="text1" w:themeFillTint="33"/>
          </w:tcPr>
          <w:p>
            <w:pPr>
              <w:rPr>
                <w:color w:val="auto"/>
              </w:rPr>
            </w:pPr>
            <w:r>
              <w:rPr>
                <w:color w:val="auto"/>
              </w:rPr>
              <w:t>Agree</w:t>
            </w:r>
          </w:p>
        </w:tc>
        <w:tc>
          <w:tcPr>
            <w:tcW w:w="2645" w:type="dxa"/>
          </w:tcPr>
          <w:p>
            <w:pPr>
              <w:rPr>
                <w:color w:val="auto"/>
              </w:rPr>
            </w:pPr>
            <w:r>
              <w:rPr>
                <w:color w:val="auto"/>
              </w:rPr>
              <w:t>27</w:t>
            </w:r>
          </w:p>
        </w:tc>
        <w:tc>
          <w:tcPr>
            <w:tcW w:w="2332" w:type="dxa"/>
            <w:shd w:val="clear" w:color="auto" w:fill="CCCCCC" w:themeFill="text1" w:themeFillTint="33"/>
          </w:tcPr>
          <w:p>
            <w:pPr>
              <w:rPr>
                <w:color w:val="auto"/>
              </w:rPr>
            </w:pPr>
            <w:r>
              <w:rPr>
                <w:color w:val="auto"/>
              </w:rPr>
              <w:t>41.5%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75" w:hRule="atLeast"/>
        </w:trPr>
        <w:tc>
          <w:tcPr>
            <w:tcW w:w="3998" w:type="dxa"/>
            <w:shd w:val="clear" w:color="auto" w:fill="CCCCCC" w:themeFill="text1" w:themeFillTint="33"/>
          </w:tcPr>
          <w:p>
            <w:pPr>
              <w:rPr>
                <w:color w:val="auto"/>
              </w:rPr>
            </w:pPr>
            <w:r>
              <w:rPr>
                <w:color w:val="auto"/>
              </w:rPr>
              <w:t>Strongly agree</w:t>
            </w:r>
          </w:p>
        </w:tc>
        <w:tc>
          <w:tcPr>
            <w:tcW w:w="2645" w:type="dxa"/>
            <w:shd w:val="clear" w:color="auto" w:fill="CCCCCC" w:themeFill="text1" w:themeFillTint="33"/>
          </w:tcPr>
          <w:p>
            <w:pPr>
              <w:rPr>
                <w:color w:val="auto"/>
              </w:rPr>
            </w:pPr>
            <w:r>
              <w:rPr>
                <w:color w:val="auto"/>
              </w:rPr>
              <w:t>30</w:t>
            </w:r>
          </w:p>
        </w:tc>
        <w:tc>
          <w:tcPr>
            <w:tcW w:w="2332" w:type="dxa"/>
            <w:shd w:val="clear" w:color="auto" w:fill="CCCCCC" w:themeFill="text1" w:themeFillTint="33"/>
          </w:tcPr>
          <w:p>
            <w:pPr>
              <w:rPr>
                <w:color w:val="auto"/>
              </w:rPr>
            </w:pPr>
            <w:r>
              <w:rPr>
                <w:color w:val="auto"/>
              </w:rPr>
              <w:t>46.2%</w:t>
            </w:r>
          </w:p>
        </w:tc>
      </w:tr>
    </w:tbl>
    <w:p>
      <w:pPr>
        <w:pStyle w:val="19"/>
        <w:rPr>
          <w:color w:val="auto"/>
          <w:lang w:val="en-US"/>
        </w:rPr>
      </w:pPr>
    </w:p>
    <w:p>
      <w:pPr>
        <w:pStyle w:val="19"/>
        <w:rPr>
          <w:color w:val="auto"/>
          <w:lang w:val="en-US"/>
        </w:rPr>
      </w:pPr>
      <w:r>
        <w:rPr>
          <w:color w:val="auto"/>
          <w:lang w:val="en-US"/>
        </w:rPr>
        <w:t>The table illustrates the proposed statement “Tata motors are stable in the market”. Besides, the respondents revealed that 3.1% of the total population strongly disagree and 3.1% disagree with the proposed statement. Moreover, 6.2% remains neutral with the proposed statement by neither agree nor disagree. Furthermore, 41.5% the respondents agree whereas 46.2% strongly agrees with the stated statement.</w:t>
      </w:r>
    </w:p>
    <w:p>
      <w:pPr>
        <w:spacing w:before="0" w:after="160" w:line="259" w:lineRule="auto"/>
        <w:rPr>
          <w:color w:val="auto"/>
        </w:rPr>
      </w:pPr>
    </w:p>
    <w:tbl>
      <w:tblPr>
        <w:tblStyle w:val="20"/>
        <w:tblW w:w="9432"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201"/>
        <w:gridCol w:w="2779"/>
        <w:gridCol w:w="2452"/>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687" w:hRule="atLeast"/>
        </w:trPr>
        <w:tc>
          <w:tcPr>
            <w:tcW w:w="9432" w:type="dxa"/>
            <w:gridSpan w:val="3"/>
            <w:shd w:val="clear" w:color="auto" w:fill="CCCCCC" w:themeFill="text1" w:themeFillTint="33"/>
          </w:tcPr>
          <w:p>
            <w:pPr>
              <w:rPr>
                <w:color w:val="auto"/>
              </w:rPr>
            </w:pPr>
            <w:r>
              <w:rPr>
                <w:b/>
                <w:bCs/>
                <w:color w:val="auto"/>
              </w:rPr>
              <w:t>I will not buy other brands if this company is available.</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61" w:hRule="atLeast"/>
        </w:trPr>
        <w:tc>
          <w:tcPr>
            <w:tcW w:w="4201" w:type="dxa"/>
            <w:shd w:val="clear" w:color="auto" w:fill="CCCCCC" w:themeFill="text1" w:themeFillTint="33"/>
          </w:tcPr>
          <w:p>
            <w:pPr>
              <w:rPr>
                <w:color w:val="auto"/>
              </w:rPr>
            </w:pPr>
          </w:p>
        </w:tc>
        <w:tc>
          <w:tcPr>
            <w:tcW w:w="2779" w:type="dxa"/>
          </w:tcPr>
          <w:p>
            <w:pPr>
              <w:rPr>
                <w:color w:val="auto"/>
              </w:rPr>
            </w:pPr>
            <w:r>
              <w:rPr>
                <w:color w:val="auto"/>
              </w:rPr>
              <w:t>N</w:t>
            </w:r>
          </w:p>
        </w:tc>
        <w:tc>
          <w:tcPr>
            <w:tcW w:w="2452"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687" w:hRule="atLeast"/>
        </w:trPr>
        <w:tc>
          <w:tcPr>
            <w:tcW w:w="4201" w:type="dxa"/>
            <w:shd w:val="clear" w:color="auto" w:fill="CCCCCC" w:themeFill="text1" w:themeFillTint="33"/>
          </w:tcPr>
          <w:p>
            <w:pPr>
              <w:rPr>
                <w:color w:val="auto"/>
              </w:rPr>
            </w:pPr>
            <w:r>
              <w:rPr>
                <w:color w:val="auto"/>
              </w:rPr>
              <w:t>Strongly disagree</w:t>
            </w:r>
          </w:p>
        </w:tc>
        <w:tc>
          <w:tcPr>
            <w:tcW w:w="2779" w:type="dxa"/>
            <w:shd w:val="clear" w:color="auto" w:fill="CCCCCC" w:themeFill="text1" w:themeFillTint="33"/>
          </w:tcPr>
          <w:p>
            <w:pPr>
              <w:rPr>
                <w:color w:val="auto"/>
              </w:rPr>
            </w:pPr>
            <w:r>
              <w:rPr>
                <w:color w:val="auto"/>
              </w:rPr>
              <w:t>1</w:t>
            </w:r>
          </w:p>
        </w:tc>
        <w:tc>
          <w:tcPr>
            <w:tcW w:w="2452"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61" w:hRule="atLeast"/>
        </w:trPr>
        <w:tc>
          <w:tcPr>
            <w:tcW w:w="4201" w:type="dxa"/>
            <w:shd w:val="clear" w:color="auto" w:fill="CCCCCC" w:themeFill="text1" w:themeFillTint="33"/>
          </w:tcPr>
          <w:p>
            <w:pPr>
              <w:rPr>
                <w:color w:val="auto"/>
              </w:rPr>
            </w:pPr>
            <w:r>
              <w:rPr>
                <w:color w:val="auto"/>
              </w:rPr>
              <w:t>Disagree</w:t>
            </w:r>
          </w:p>
        </w:tc>
        <w:tc>
          <w:tcPr>
            <w:tcW w:w="2779" w:type="dxa"/>
          </w:tcPr>
          <w:p>
            <w:pPr>
              <w:rPr>
                <w:color w:val="auto"/>
              </w:rPr>
            </w:pPr>
            <w:r>
              <w:rPr>
                <w:color w:val="auto"/>
              </w:rPr>
              <w:t>5</w:t>
            </w:r>
          </w:p>
        </w:tc>
        <w:tc>
          <w:tcPr>
            <w:tcW w:w="2452" w:type="dxa"/>
            <w:shd w:val="clear" w:color="auto" w:fill="CCCCCC" w:themeFill="text1" w:themeFillTint="33"/>
          </w:tcPr>
          <w:p>
            <w:pPr>
              <w:rPr>
                <w:color w:val="auto"/>
              </w:rPr>
            </w:pPr>
            <w:r>
              <w:rPr>
                <w:color w:val="auto"/>
              </w:rPr>
              <w:t>7.7%</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43" w:hRule="atLeast"/>
        </w:trPr>
        <w:tc>
          <w:tcPr>
            <w:tcW w:w="4201" w:type="dxa"/>
            <w:shd w:val="clear" w:color="auto" w:fill="CCCCCC" w:themeFill="text1" w:themeFillTint="33"/>
          </w:tcPr>
          <w:p>
            <w:pPr>
              <w:rPr>
                <w:color w:val="auto"/>
              </w:rPr>
            </w:pPr>
            <w:r>
              <w:rPr>
                <w:color w:val="auto"/>
              </w:rPr>
              <w:t>Neutral</w:t>
            </w:r>
          </w:p>
        </w:tc>
        <w:tc>
          <w:tcPr>
            <w:tcW w:w="2779" w:type="dxa"/>
            <w:shd w:val="clear" w:color="auto" w:fill="CCCCCC" w:themeFill="text1" w:themeFillTint="33"/>
          </w:tcPr>
          <w:p>
            <w:pPr>
              <w:rPr>
                <w:color w:val="auto"/>
              </w:rPr>
            </w:pPr>
            <w:r>
              <w:rPr>
                <w:color w:val="auto"/>
              </w:rPr>
              <w:t>19</w:t>
            </w:r>
          </w:p>
        </w:tc>
        <w:tc>
          <w:tcPr>
            <w:tcW w:w="2452" w:type="dxa"/>
            <w:shd w:val="clear" w:color="auto" w:fill="CCCCCC" w:themeFill="text1" w:themeFillTint="33"/>
          </w:tcPr>
          <w:p>
            <w:pPr>
              <w:rPr>
                <w:color w:val="auto"/>
              </w:rPr>
            </w:pPr>
            <w:r>
              <w:rPr>
                <w:color w:val="auto"/>
              </w:rPr>
              <w:t>29.2%</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61" w:hRule="atLeast"/>
        </w:trPr>
        <w:tc>
          <w:tcPr>
            <w:tcW w:w="4201" w:type="dxa"/>
            <w:shd w:val="clear" w:color="auto" w:fill="CCCCCC" w:themeFill="text1" w:themeFillTint="33"/>
          </w:tcPr>
          <w:p>
            <w:pPr>
              <w:rPr>
                <w:color w:val="auto"/>
              </w:rPr>
            </w:pPr>
            <w:r>
              <w:rPr>
                <w:color w:val="auto"/>
              </w:rPr>
              <w:t>Agree</w:t>
            </w:r>
          </w:p>
        </w:tc>
        <w:tc>
          <w:tcPr>
            <w:tcW w:w="2779" w:type="dxa"/>
          </w:tcPr>
          <w:p>
            <w:pPr>
              <w:rPr>
                <w:color w:val="auto"/>
              </w:rPr>
            </w:pPr>
            <w:r>
              <w:rPr>
                <w:color w:val="auto"/>
              </w:rPr>
              <w:t>21</w:t>
            </w:r>
          </w:p>
        </w:tc>
        <w:tc>
          <w:tcPr>
            <w:tcW w:w="2452" w:type="dxa"/>
            <w:shd w:val="clear" w:color="auto" w:fill="CCCCCC" w:themeFill="text1" w:themeFillTint="33"/>
          </w:tcPr>
          <w:p>
            <w:pPr>
              <w:rPr>
                <w:color w:val="auto"/>
              </w:rPr>
            </w:pPr>
            <w:r>
              <w:rPr>
                <w:color w:val="auto"/>
              </w:rPr>
              <w:t>32.3%</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43" w:hRule="atLeast"/>
        </w:trPr>
        <w:tc>
          <w:tcPr>
            <w:tcW w:w="4201" w:type="dxa"/>
            <w:shd w:val="clear" w:color="auto" w:fill="CCCCCC" w:themeFill="text1" w:themeFillTint="33"/>
          </w:tcPr>
          <w:p>
            <w:pPr>
              <w:rPr>
                <w:color w:val="auto"/>
              </w:rPr>
            </w:pPr>
            <w:r>
              <w:rPr>
                <w:color w:val="auto"/>
              </w:rPr>
              <w:t>Strongly agree</w:t>
            </w:r>
          </w:p>
        </w:tc>
        <w:tc>
          <w:tcPr>
            <w:tcW w:w="2779" w:type="dxa"/>
            <w:shd w:val="clear" w:color="auto" w:fill="CCCCCC" w:themeFill="text1" w:themeFillTint="33"/>
          </w:tcPr>
          <w:p>
            <w:pPr>
              <w:rPr>
                <w:color w:val="auto"/>
              </w:rPr>
            </w:pPr>
            <w:r>
              <w:rPr>
                <w:color w:val="auto"/>
              </w:rPr>
              <w:t>19</w:t>
            </w:r>
          </w:p>
        </w:tc>
        <w:tc>
          <w:tcPr>
            <w:tcW w:w="2452" w:type="dxa"/>
            <w:shd w:val="clear" w:color="auto" w:fill="CCCCCC" w:themeFill="text1" w:themeFillTint="33"/>
          </w:tcPr>
          <w:p>
            <w:pPr>
              <w:rPr>
                <w:color w:val="auto"/>
              </w:rPr>
            </w:pPr>
            <w:r>
              <w:rPr>
                <w:color w:val="auto"/>
              </w:rPr>
              <w:t>29.2%</w:t>
            </w:r>
          </w:p>
        </w:tc>
      </w:tr>
    </w:tbl>
    <w:p>
      <w:pPr>
        <w:pStyle w:val="19"/>
        <w:rPr>
          <w:color w:val="auto"/>
          <w:lang w:val="en-US"/>
        </w:rPr>
      </w:pPr>
    </w:p>
    <w:p>
      <w:pPr>
        <w:pStyle w:val="19"/>
        <w:rPr>
          <w:color w:val="auto"/>
          <w:lang w:val="en-US"/>
        </w:rPr>
      </w:pPr>
      <w:r>
        <w:rPr>
          <w:color w:val="auto"/>
          <w:lang w:val="en-US"/>
        </w:rPr>
        <w:t>The table illustrates the proposed statement “I will not buy other brands if this company is available”. Besides, the respondents revealed that 1.5% of the total population strongly disagree and 7.7% disagree with the proposed statement. Moreover, 29.2% remains neutral with the proposed statement by neither agree nor disagree. Furthermore, 32.3% the respondents agree whereas 29.2% strongly agrees with the stated statement.</w:t>
      </w:r>
    </w:p>
    <w:p>
      <w:pPr>
        <w:spacing w:before="0" w:after="160" w:line="259" w:lineRule="auto"/>
        <w:rPr>
          <w:color w:val="auto"/>
        </w:rPr>
      </w:pPr>
    </w:p>
    <w:tbl>
      <w:tblPr>
        <w:tblStyle w:val="20"/>
        <w:tblW w:w="9172"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086"/>
        <w:gridCol w:w="2703"/>
        <w:gridCol w:w="2383"/>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29" w:hRule="atLeast"/>
        </w:trPr>
        <w:tc>
          <w:tcPr>
            <w:tcW w:w="9172" w:type="dxa"/>
            <w:gridSpan w:val="3"/>
            <w:shd w:val="clear" w:color="auto" w:fill="CCCCCC" w:themeFill="text1" w:themeFillTint="33"/>
          </w:tcPr>
          <w:p>
            <w:pPr>
              <w:rPr>
                <w:color w:val="auto"/>
              </w:rPr>
            </w:pPr>
            <w:r>
              <w:rPr>
                <w:b/>
                <w:bCs/>
                <w:color w:val="auto"/>
              </w:rPr>
              <w:t>I consider myself loyal to this company.</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78" w:hRule="atLeast"/>
        </w:trPr>
        <w:tc>
          <w:tcPr>
            <w:tcW w:w="4086" w:type="dxa"/>
            <w:shd w:val="clear" w:color="auto" w:fill="CCCCCC" w:themeFill="text1" w:themeFillTint="33"/>
          </w:tcPr>
          <w:p>
            <w:pPr>
              <w:rPr>
                <w:color w:val="auto"/>
              </w:rPr>
            </w:pPr>
          </w:p>
        </w:tc>
        <w:tc>
          <w:tcPr>
            <w:tcW w:w="2703" w:type="dxa"/>
          </w:tcPr>
          <w:p>
            <w:pPr>
              <w:rPr>
                <w:color w:val="auto"/>
              </w:rPr>
            </w:pPr>
            <w:r>
              <w:rPr>
                <w:color w:val="auto"/>
              </w:rPr>
              <w:t>N</w:t>
            </w:r>
          </w:p>
        </w:tc>
        <w:tc>
          <w:tcPr>
            <w:tcW w:w="2383"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29" w:hRule="atLeast"/>
        </w:trPr>
        <w:tc>
          <w:tcPr>
            <w:tcW w:w="4086" w:type="dxa"/>
            <w:shd w:val="clear" w:color="auto" w:fill="CCCCCC" w:themeFill="text1" w:themeFillTint="33"/>
          </w:tcPr>
          <w:p>
            <w:pPr>
              <w:rPr>
                <w:color w:val="auto"/>
              </w:rPr>
            </w:pPr>
            <w:r>
              <w:rPr>
                <w:color w:val="auto"/>
              </w:rPr>
              <w:t>Strongly disagree</w:t>
            </w:r>
          </w:p>
        </w:tc>
        <w:tc>
          <w:tcPr>
            <w:tcW w:w="2703" w:type="dxa"/>
            <w:shd w:val="clear" w:color="auto" w:fill="CCCCCC" w:themeFill="text1" w:themeFillTint="33"/>
          </w:tcPr>
          <w:p>
            <w:pPr>
              <w:rPr>
                <w:color w:val="auto"/>
              </w:rPr>
            </w:pPr>
            <w:r>
              <w:rPr>
                <w:color w:val="auto"/>
              </w:rPr>
              <w:t>2</w:t>
            </w:r>
          </w:p>
        </w:tc>
        <w:tc>
          <w:tcPr>
            <w:tcW w:w="2383"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78" w:hRule="atLeast"/>
        </w:trPr>
        <w:tc>
          <w:tcPr>
            <w:tcW w:w="4086" w:type="dxa"/>
            <w:shd w:val="clear" w:color="auto" w:fill="CCCCCC" w:themeFill="text1" w:themeFillTint="33"/>
          </w:tcPr>
          <w:p>
            <w:pPr>
              <w:rPr>
                <w:color w:val="auto"/>
              </w:rPr>
            </w:pPr>
            <w:r>
              <w:rPr>
                <w:color w:val="auto"/>
              </w:rPr>
              <w:t>Disagree</w:t>
            </w:r>
          </w:p>
        </w:tc>
        <w:tc>
          <w:tcPr>
            <w:tcW w:w="2703" w:type="dxa"/>
          </w:tcPr>
          <w:p>
            <w:pPr>
              <w:rPr>
                <w:color w:val="auto"/>
              </w:rPr>
            </w:pPr>
            <w:r>
              <w:rPr>
                <w:color w:val="auto"/>
              </w:rPr>
              <w:t>2</w:t>
            </w:r>
          </w:p>
        </w:tc>
        <w:tc>
          <w:tcPr>
            <w:tcW w:w="2383"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64" w:hRule="atLeast"/>
        </w:trPr>
        <w:tc>
          <w:tcPr>
            <w:tcW w:w="4086" w:type="dxa"/>
            <w:shd w:val="clear" w:color="auto" w:fill="CCCCCC" w:themeFill="text1" w:themeFillTint="33"/>
          </w:tcPr>
          <w:p>
            <w:pPr>
              <w:rPr>
                <w:color w:val="auto"/>
              </w:rPr>
            </w:pPr>
            <w:r>
              <w:rPr>
                <w:color w:val="auto"/>
              </w:rPr>
              <w:t>Neutral</w:t>
            </w:r>
          </w:p>
        </w:tc>
        <w:tc>
          <w:tcPr>
            <w:tcW w:w="2703" w:type="dxa"/>
            <w:shd w:val="clear" w:color="auto" w:fill="CCCCCC" w:themeFill="text1" w:themeFillTint="33"/>
          </w:tcPr>
          <w:p>
            <w:pPr>
              <w:rPr>
                <w:color w:val="auto"/>
              </w:rPr>
            </w:pPr>
            <w:r>
              <w:rPr>
                <w:color w:val="auto"/>
              </w:rPr>
              <w:t>12</w:t>
            </w:r>
          </w:p>
        </w:tc>
        <w:tc>
          <w:tcPr>
            <w:tcW w:w="2383" w:type="dxa"/>
            <w:shd w:val="clear" w:color="auto" w:fill="CCCCCC" w:themeFill="text1" w:themeFillTint="33"/>
          </w:tcPr>
          <w:p>
            <w:pPr>
              <w:rPr>
                <w:color w:val="auto"/>
              </w:rPr>
            </w:pPr>
            <w:r>
              <w:rPr>
                <w:color w:val="auto"/>
              </w:rPr>
              <w:t>18.5%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78" w:hRule="atLeast"/>
        </w:trPr>
        <w:tc>
          <w:tcPr>
            <w:tcW w:w="4086" w:type="dxa"/>
            <w:shd w:val="clear" w:color="auto" w:fill="CCCCCC" w:themeFill="text1" w:themeFillTint="33"/>
          </w:tcPr>
          <w:p>
            <w:pPr>
              <w:rPr>
                <w:color w:val="auto"/>
              </w:rPr>
            </w:pPr>
            <w:r>
              <w:rPr>
                <w:color w:val="auto"/>
              </w:rPr>
              <w:t>Agree</w:t>
            </w:r>
          </w:p>
        </w:tc>
        <w:tc>
          <w:tcPr>
            <w:tcW w:w="2703" w:type="dxa"/>
          </w:tcPr>
          <w:p>
            <w:pPr>
              <w:rPr>
                <w:color w:val="auto"/>
              </w:rPr>
            </w:pPr>
            <w:r>
              <w:rPr>
                <w:color w:val="auto"/>
              </w:rPr>
              <w:t>29</w:t>
            </w:r>
          </w:p>
        </w:tc>
        <w:tc>
          <w:tcPr>
            <w:tcW w:w="2383" w:type="dxa"/>
            <w:shd w:val="clear" w:color="auto" w:fill="CCCCCC" w:themeFill="text1" w:themeFillTint="33"/>
          </w:tcPr>
          <w:p>
            <w:pPr>
              <w:rPr>
                <w:color w:val="auto"/>
              </w:rPr>
            </w:pPr>
            <w:r>
              <w:rPr>
                <w:color w:val="auto"/>
              </w:rPr>
              <w:t>44.6%</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64" w:hRule="atLeast"/>
        </w:trPr>
        <w:tc>
          <w:tcPr>
            <w:tcW w:w="4086" w:type="dxa"/>
            <w:shd w:val="clear" w:color="auto" w:fill="CCCCCC" w:themeFill="text1" w:themeFillTint="33"/>
          </w:tcPr>
          <w:p>
            <w:pPr>
              <w:rPr>
                <w:color w:val="auto"/>
              </w:rPr>
            </w:pPr>
            <w:r>
              <w:rPr>
                <w:color w:val="auto"/>
              </w:rPr>
              <w:t>Strongly agree</w:t>
            </w:r>
          </w:p>
        </w:tc>
        <w:tc>
          <w:tcPr>
            <w:tcW w:w="2703" w:type="dxa"/>
            <w:shd w:val="clear" w:color="auto" w:fill="CCCCCC" w:themeFill="text1" w:themeFillTint="33"/>
          </w:tcPr>
          <w:p>
            <w:pPr>
              <w:rPr>
                <w:color w:val="auto"/>
              </w:rPr>
            </w:pPr>
            <w:r>
              <w:rPr>
                <w:color w:val="auto"/>
              </w:rPr>
              <w:t>20</w:t>
            </w:r>
          </w:p>
        </w:tc>
        <w:tc>
          <w:tcPr>
            <w:tcW w:w="2383" w:type="dxa"/>
            <w:shd w:val="clear" w:color="auto" w:fill="CCCCCC" w:themeFill="text1" w:themeFillTint="33"/>
          </w:tcPr>
          <w:p>
            <w:pPr>
              <w:rPr>
                <w:color w:val="auto"/>
              </w:rPr>
            </w:pPr>
            <w:r>
              <w:rPr>
                <w:color w:val="auto"/>
              </w:rPr>
              <w:t>30.8%</w:t>
            </w:r>
          </w:p>
        </w:tc>
      </w:tr>
    </w:tbl>
    <w:p>
      <w:pPr>
        <w:pStyle w:val="19"/>
        <w:rPr>
          <w:color w:val="auto"/>
          <w:lang w:val="en-US"/>
        </w:rPr>
      </w:pPr>
    </w:p>
    <w:p>
      <w:pPr>
        <w:pStyle w:val="19"/>
        <w:rPr>
          <w:color w:val="auto"/>
          <w:lang w:val="en-US"/>
        </w:rPr>
      </w:pPr>
      <w:r>
        <w:rPr>
          <w:color w:val="auto"/>
          <w:lang w:val="en-US"/>
        </w:rPr>
        <w:t>The table illustrates the proposed statement “I consider myself loyal to this company”. Besides, the respondents revealed that 3.1% of the total population strongly disagree and 3.1% disagree with the proposed statement. Moreover, 18.5% remains neutral with the proposed statement by neither agree nor disagree. Furthermore, 44.6% the respondents agree whereas 30.8% strongly agrees with the stated statement.</w:t>
      </w:r>
    </w:p>
    <w:p>
      <w:pPr>
        <w:pStyle w:val="19"/>
        <w:rPr>
          <w:color w:val="auto"/>
          <w:lang w:val="en-US"/>
        </w:rPr>
      </w:pPr>
    </w:p>
    <w:tbl>
      <w:tblPr>
        <w:tblStyle w:val="20"/>
        <w:tblW w:w="9671"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308"/>
        <w:gridCol w:w="2850"/>
        <w:gridCol w:w="2513"/>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65" w:hRule="atLeast"/>
        </w:trPr>
        <w:tc>
          <w:tcPr>
            <w:tcW w:w="9671" w:type="dxa"/>
            <w:gridSpan w:val="3"/>
            <w:shd w:val="clear" w:color="auto" w:fill="CCCCCC" w:themeFill="text1" w:themeFillTint="33"/>
          </w:tcPr>
          <w:p>
            <w:pPr>
              <w:rPr>
                <w:color w:val="auto"/>
              </w:rPr>
            </w:pPr>
            <w:r>
              <w:rPr>
                <w:color w:val="auto"/>
              </w:rPr>
              <w:br w:type="page"/>
            </w:r>
            <w:r>
              <w:rPr>
                <w:b/>
                <w:bCs/>
                <w:color w:val="auto"/>
              </w:rPr>
              <w:t>This company would be my first choice.</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91" w:hRule="atLeast"/>
        </w:trPr>
        <w:tc>
          <w:tcPr>
            <w:tcW w:w="4308" w:type="dxa"/>
            <w:shd w:val="clear" w:color="auto" w:fill="CCCCCC" w:themeFill="text1" w:themeFillTint="33"/>
          </w:tcPr>
          <w:p>
            <w:pPr>
              <w:rPr>
                <w:color w:val="auto"/>
              </w:rPr>
            </w:pPr>
          </w:p>
        </w:tc>
        <w:tc>
          <w:tcPr>
            <w:tcW w:w="2850" w:type="dxa"/>
          </w:tcPr>
          <w:p>
            <w:pPr>
              <w:rPr>
                <w:color w:val="auto"/>
              </w:rPr>
            </w:pPr>
            <w:r>
              <w:rPr>
                <w:color w:val="auto"/>
              </w:rPr>
              <w:t>N</w:t>
            </w:r>
          </w:p>
        </w:tc>
        <w:tc>
          <w:tcPr>
            <w:tcW w:w="2513"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65" w:hRule="atLeast"/>
        </w:trPr>
        <w:tc>
          <w:tcPr>
            <w:tcW w:w="4308" w:type="dxa"/>
            <w:shd w:val="clear" w:color="auto" w:fill="CCCCCC" w:themeFill="text1" w:themeFillTint="33"/>
          </w:tcPr>
          <w:p>
            <w:pPr>
              <w:rPr>
                <w:color w:val="auto"/>
              </w:rPr>
            </w:pPr>
            <w:r>
              <w:rPr>
                <w:color w:val="auto"/>
              </w:rPr>
              <w:t>Strongly disagree</w:t>
            </w:r>
          </w:p>
        </w:tc>
        <w:tc>
          <w:tcPr>
            <w:tcW w:w="2850" w:type="dxa"/>
            <w:shd w:val="clear" w:color="auto" w:fill="CCCCCC" w:themeFill="text1" w:themeFillTint="33"/>
          </w:tcPr>
          <w:p>
            <w:pPr>
              <w:rPr>
                <w:color w:val="auto"/>
              </w:rPr>
            </w:pPr>
            <w:r>
              <w:rPr>
                <w:color w:val="auto"/>
              </w:rPr>
              <w:t>1</w:t>
            </w:r>
          </w:p>
        </w:tc>
        <w:tc>
          <w:tcPr>
            <w:tcW w:w="2513"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91" w:hRule="atLeast"/>
        </w:trPr>
        <w:tc>
          <w:tcPr>
            <w:tcW w:w="4308" w:type="dxa"/>
            <w:shd w:val="clear" w:color="auto" w:fill="CCCCCC" w:themeFill="text1" w:themeFillTint="33"/>
          </w:tcPr>
          <w:p>
            <w:pPr>
              <w:rPr>
                <w:color w:val="auto"/>
              </w:rPr>
            </w:pPr>
            <w:r>
              <w:rPr>
                <w:color w:val="auto"/>
              </w:rPr>
              <w:t>Disagree</w:t>
            </w:r>
          </w:p>
        </w:tc>
        <w:tc>
          <w:tcPr>
            <w:tcW w:w="2850" w:type="dxa"/>
          </w:tcPr>
          <w:p>
            <w:pPr>
              <w:rPr>
                <w:color w:val="auto"/>
              </w:rPr>
            </w:pPr>
            <w:r>
              <w:rPr>
                <w:color w:val="auto"/>
              </w:rPr>
              <w:t>5</w:t>
            </w:r>
          </w:p>
        </w:tc>
        <w:tc>
          <w:tcPr>
            <w:tcW w:w="2513" w:type="dxa"/>
            <w:shd w:val="clear" w:color="auto" w:fill="CCCCCC" w:themeFill="text1" w:themeFillTint="33"/>
          </w:tcPr>
          <w:p>
            <w:pPr>
              <w:rPr>
                <w:color w:val="auto"/>
              </w:rPr>
            </w:pPr>
            <w:r>
              <w:rPr>
                <w:color w:val="auto"/>
              </w:rPr>
              <w:t>7.7%</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82" w:hRule="atLeast"/>
        </w:trPr>
        <w:tc>
          <w:tcPr>
            <w:tcW w:w="4308" w:type="dxa"/>
            <w:shd w:val="clear" w:color="auto" w:fill="CCCCCC" w:themeFill="text1" w:themeFillTint="33"/>
          </w:tcPr>
          <w:p>
            <w:pPr>
              <w:rPr>
                <w:color w:val="auto"/>
              </w:rPr>
            </w:pPr>
            <w:r>
              <w:rPr>
                <w:color w:val="auto"/>
              </w:rPr>
              <w:t>Neutral</w:t>
            </w:r>
          </w:p>
        </w:tc>
        <w:tc>
          <w:tcPr>
            <w:tcW w:w="2850" w:type="dxa"/>
            <w:shd w:val="clear" w:color="auto" w:fill="CCCCCC" w:themeFill="text1" w:themeFillTint="33"/>
          </w:tcPr>
          <w:p>
            <w:pPr>
              <w:rPr>
                <w:color w:val="auto"/>
              </w:rPr>
            </w:pPr>
            <w:r>
              <w:rPr>
                <w:color w:val="auto"/>
              </w:rPr>
              <w:t>12</w:t>
            </w:r>
          </w:p>
        </w:tc>
        <w:tc>
          <w:tcPr>
            <w:tcW w:w="2513" w:type="dxa"/>
            <w:shd w:val="clear" w:color="auto" w:fill="CCCCCC" w:themeFill="text1" w:themeFillTint="33"/>
          </w:tcPr>
          <w:p>
            <w:pPr>
              <w:rPr>
                <w:color w:val="auto"/>
              </w:rPr>
            </w:pPr>
            <w:r>
              <w:rPr>
                <w:color w:val="auto"/>
              </w:rPr>
              <w:t>18.5%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91" w:hRule="atLeast"/>
        </w:trPr>
        <w:tc>
          <w:tcPr>
            <w:tcW w:w="4308" w:type="dxa"/>
            <w:shd w:val="clear" w:color="auto" w:fill="CCCCCC" w:themeFill="text1" w:themeFillTint="33"/>
          </w:tcPr>
          <w:p>
            <w:pPr>
              <w:rPr>
                <w:color w:val="auto"/>
              </w:rPr>
            </w:pPr>
            <w:r>
              <w:rPr>
                <w:color w:val="auto"/>
              </w:rPr>
              <w:t>Agree</w:t>
            </w:r>
          </w:p>
        </w:tc>
        <w:tc>
          <w:tcPr>
            <w:tcW w:w="2850" w:type="dxa"/>
          </w:tcPr>
          <w:p>
            <w:pPr>
              <w:rPr>
                <w:color w:val="auto"/>
              </w:rPr>
            </w:pPr>
            <w:r>
              <w:rPr>
                <w:color w:val="auto"/>
              </w:rPr>
              <w:t>22</w:t>
            </w:r>
          </w:p>
        </w:tc>
        <w:tc>
          <w:tcPr>
            <w:tcW w:w="2513" w:type="dxa"/>
            <w:shd w:val="clear" w:color="auto" w:fill="CCCCCC" w:themeFill="text1" w:themeFillTint="33"/>
          </w:tcPr>
          <w:p>
            <w:pPr>
              <w:rPr>
                <w:color w:val="auto"/>
              </w:rPr>
            </w:pPr>
            <w:r>
              <w:rPr>
                <w:color w:val="auto"/>
              </w:rPr>
              <w:t>33.8%</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82" w:hRule="atLeast"/>
        </w:trPr>
        <w:tc>
          <w:tcPr>
            <w:tcW w:w="4308" w:type="dxa"/>
            <w:shd w:val="clear" w:color="auto" w:fill="CCCCCC" w:themeFill="text1" w:themeFillTint="33"/>
          </w:tcPr>
          <w:p>
            <w:pPr>
              <w:rPr>
                <w:color w:val="auto"/>
              </w:rPr>
            </w:pPr>
            <w:r>
              <w:rPr>
                <w:color w:val="auto"/>
              </w:rPr>
              <w:t>Strongly agree</w:t>
            </w:r>
          </w:p>
        </w:tc>
        <w:tc>
          <w:tcPr>
            <w:tcW w:w="2850" w:type="dxa"/>
            <w:shd w:val="clear" w:color="auto" w:fill="CCCCCC" w:themeFill="text1" w:themeFillTint="33"/>
          </w:tcPr>
          <w:p>
            <w:pPr>
              <w:rPr>
                <w:color w:val="auto"/>
              </w:rPr>
            </w:pPr>
            <w:r>
              <w:rPr>
                <w:color w:val="auto"/>
              </w:rPr>
              <w:t>25</w:t>
            </w:r>
          </w:p>
        </w:tc>
        <w:tc>
          <w:tcPr>
            <w:tcW w:w="2513" w:type="dxa"/>
            <w:shd w:val="clear" w:color="auto" w:fill="CCCCCC" w:themeFill="text1" w:themeFillTint="33"/>
          </w:tcPr>
          <w:p>
            <w:pPr>
              <w:rPr>
                <w:color w:val="auto"/>
              </w:rPr>
            </w:pPr>
            <w:r>
              <w:rPr>
                <w:color w:val="auto"/>
              </w:rPr>
              <w:t>38.5%</w:t>
            </w:r>
          </w:p>
        </w:tc>
      </w:tr>
    </w:tbl>
    <w:p>
      <w:pPr>
        <w:pStyle w:val="19"/>
        <w:rPr>
          <w:color w:val="auto"/>
          <w:lang w:val="en-US"/>
        </w:rPr>
      </w:pPr>
    </w:p>
    <w:p>
      <w:pPr>
        <w:pStyle w:val="19"/>
        <w:rPr>
          <w:color w:val="auto"/>
          <w:lang w:val="en-US"/>
        </w:rPr>
      </w:pPr>
      <w:r>
        <w:rPr>
          <w:color w:val="auto"/>
          <w:lang w:val="en-US"/>
        </w:rPr>
        <w:t>The table illustrates the proposed statement “This Company would be my first choice”. Besides, the respondents revealed that 1.5% of the total population strongly disagree and 7.7% disagree with the proposed statement. Moreover, 18.5% remains neutral with the proposed statement by neither agree nor disagree. Furthermore, 33.8% the respondents agree whereas 38.5% strongly agrees with the stated statement.</w:t>
      </w:r>
    </w:p>
    <w:p>
      <w:pPr>
        <w:spacing w:before="0" w:after="160" w:line="259" w:lineRule="auto"/>
        <w:rPr>
          <w:color w:val="auto"/>
        </w:rPr>
      </w:pPr>
    </w:p>
    <w:tbl>
      <w:tblPr>
        <w:tblStyle w:val="20"/>
        <w:tblW w:w="9019"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017"/>
        <w:gridCol w:w="2657"/>
        <w:gridCol w:w="2345"/>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851" w:hRule="atLeast"/>
        </w:trPr>
        <w:tc>
          <w:tcPr>
            <w:tcW w:w="9019" w:type="dxa"/>
            <w:gridSpan w:val="3"/>
            <w:shd w:val="clear" w:color="auto" w:fill="CCCCCC" w:themeFill="text1" w:themeFillTint="33"/>
          </w:tcPr>
          <w:p>
            <w:pPr>
              <w:rPr>
                <w:color w:val="auto"/>
              </w:rPr>
            </w:pPr>
            <w:r>
              <w:rPr>
                <w:b/>
                <w:bCs/>
                <w:color w:val="auto"/>
              </w:rPr>
              <w:t>I rarely switch from this brand to this company just to try something different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98" w:hRule="atLeast"/>
        </w:trPr>
        <w:tc>
          <w:tcPr>
            <w:tcW w:w="4017" w:type="dxa"/>
            <w:shd w:val="clear" w:color="auto" w:fill="CCCCCC" w:themeFill="text1" w:themeFillTint="33"/>
          </w:tcPr>
          <w:p>
            <w:pPr>
              <w:rPr>
                <w:color w:val="auto"/>
              </w:rPr>
            </w:pPr>
          </w:p>
        </w:tc>
        <w:tc>
          <w:tcPr>
            <w:tcW w:w="2657" w:type="dxa"/>
          </w:tcPr>
          <w:p>
            <w:pPr>
              <w:rPr>
                <w:color w:val="auto"/>
              </w:rPr>
            </w:pPr>
            <w:r>
              <w:rPr>
                <w:color w:val="auto"/>
              </w:rPr>
              <w:t>N</w:t>
            </w:r>
          </w:p>
        </w:tc>
        <w:tc>
          <w:tcPr>
            <w:tcW w:w="2345"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67" w:hRule="atLeast"/>
        </w:trPr>
        <w:tc>
          <w:tcPr>
            <w:tcW w:w="4017" w:type="dxa"/>
            <w:shd w:val="clear" w:color="auto" w:fill="CCCCCC" w:themeFill="text1" w:themeFillTint="33"/>
          </w:tcPr>
          <w:p>
            <w:pPr>
              <w:rPr>
                <w:color w:val="auto"/>
              </w:rPr>
            </w:pPr>
            <w:r>
              <w:rPr>
                <w:color w:val="auto"/>
              </w:rPr>
              <w:t>Strongly disagree</w:t>
            </w:r>
          </w:p>
        </w:tc>
        <w:tc>
          <w:tcPr>
            <w:tcW w:w="2657" w:type="dxa"/>
            <w:shd w:val="clear" w:color="auto" w:fill="CCCCCC" w:themeFill="text1" w:themeFillTint="33"/>
          </w:tcPr>
          <w:p>
            <w:pPr>
              <w:rPr>
                <w:color w:val="auto"/>
              </w:rPr>
            </w:pPr>
            <w:r>
              <w:rPr>
                <w:color w:val="auto"/>
              </w:rPr>
              <w:t>1</w:t>
            </w:r>
          </w:p>
        </w:tc>
        <w:tc>
          <w:tcPr>
            <w:tcW w:w="2345"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98" w:hRule="atLeast"/>
        </w:trPr>
        <w:tc>
          <w:tcPr>
            <w:tcW w:w="4017" w:type="dxa"/>
            <w:shd w:val="clear" w:color="auto" w:fill="CCCCCC" w:themeFill="text1" w:themeFillTint="33"/>
          </w:tcPr>
          <w:p>
            <w:pPr>
              <w:rPr>
                <w:color w:val="auto"/>
              </w:rPr>
            </w:pPr>
            <w:r>
              <w:rPr>
                <w:color w:val="auto"/>
              </w:rPr>
              <w:t>Disagree</w:t>
            </w:r>
          </w:p>
        </w:tc>
        <w:tc>
          <w:tcPr>
            <w:tcW w:w="2657" w:type="dxa"/>
          </w:tcPr>
          <w:p>
            <w:pPr>
              <w:rPr>
                <w:color w:val="auto"/>
              </w:rPr>
            </w:pPr>
            <w:r>
              <w:rPr>
                <w:color w:val="auto"/>
              </w:rPr>
              <w:t>7</w:t>
            </w:r>
          </w:p>
        </w:tc>
        <w:tc>
          <w:tcPr>
            <w:tcW w:w="2345" w:type="dxa"/>
            <w:shd w:val="clear" w:color="auto" w:fill="CCCCCC" w:themeFill="text1" w:themeFillTint="33"/>
          </w:tcPr>
          <w:p>
            <w:pPr>
              <w:rPr>
                <w:color w:val="auto"/>
              </w:rPr>
            </w:pPr>
            <w:r>
              <w:rPr>
                <w:color w:val="auto"/>
              </w:rPr>
              <w:t>10.8%</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83" w:hRule="atLeast"/>
        </w:trPr>
        <w:tc>
          <w:tcPr>
            <w:tcW w:w="4017" w:type="dxa"/>
            <w:shd w:val="clear" w:color="auto" w:fill="CCCCCC" w:themeFill="text1" w:themeFillTint="33"/>
          </w:tcPr>
          <w:p>
            <w:pPr>
              <w:rPr>
                <w:color w:val="auto"/>
              </w:rPr>
            </w:pPr>
            <w:r>
              <w:rPr>
                <w:color w:val="auto"/>
              </w:rPr>
              <w:t>Neutral</w:t>
            </w:r>
          </w:p>
        </w:tc>
        <w:tc>
          <w:tcPr>
            <w:tcW w:w="2657" w:type="dxa"/>
            <w:shd w:val="clear" w:color="auto" w:fill="CCCCCC" w:themeFill="text1" w:themeFillTint="33"/>
          </w:tcPr>
          <w:p>
            <w:pPr>
              <w:rPr>
                <w:color w:val="auto"/>
              </w:rPr>
            </w:pPr>
            <w:r>
              <w:rPr>
                <w:color w:val="auto"/>
              </w:rPr>
              <w:t>14</w:t>
            </w:r>
          </w:p>
        </w:tc>
        <w:tc>
          <w:tcPr>
            <w:tcW w:w="2345" w:type="dxa"/>
            <w:shd w:val="clear" w:color="auto" w:fill="CCCCCC" w:themeFill="text1" w:themeFillTint="33"/>
          </w:tcPr>
          <w:p>
            <w:pPr>
              <w:rPr>
                <w:color w:val="auto"/>
              </w:rPr>
            </w:pPr>
            <w:r>
              <w:rPr>
                <w:color w:val="auto"/>
              </w:rPr>
              <w:t>21.5%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98" w:hRule="atLeast"/>
        </w:trPr>
        <w:tc>
          <w:tcPr>
            <w:tcW w:w="4017" w:type="dxa"/>
            <w:shd w:val="clear" w:color="auto" w:fill="CCCCCC" w:themeFill="text1" w:themeFillTint="33"/>
          </w:tcPr>
          <w:p>
            <w:pPr>
              <w:rPr>
                <w:color w:val="auto"/>
              </w:rPr>
            </w:pPr>
            <w:r>
              <w:rPr>
                <w:color w:val="auto"/>
              </w:rPr>
              <w:t>Agree</w:t>
            </w:r>
          </w:p>
        </w:tc>
        <w:tc>
          <w:tcPr>
            <w:tcW w:w="2657" w:type="dxa"/>
          </w:tcPr>
          <w:p>
            <w:pPr>
              <w:rPr>
                <w:color w:val="auto"/>
              </w:rPr>
            </w:pPr>
            <w:r>
              <w:rPr>
                <w:color w:val="auto"/>
              </w:rPr>
              <w:t>28</w:t>
            </w:r>
          </w:p>
        </w:tc>
        <w:tc>
          <w:tcPr>
            <w:tcW w:w="2345" w:type="dxa"/>
            <w:shd w:val="clear" w:color="auto" w:fill="CCCCCC" w:themeFill="text1" w:themeFillTint="33"/>
          </w:tcPr>
          <w:p>
            <w:pPr>
              <w:rPr>
                <w:color w:val="auto"/>
              </w:rPr>
            </w:pPr>
            <w:r>
              <w:rPr>
                <w:color w:val="auto"/>
              </w:rPr>
              <w:t>43.1%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83" w:hRule="atLeast"/>
        </w:trPr>
        <w:tc>
          <w:tcPr>
            <w:tcW w:w="4017" w:type="dxa"/>
            <w:shd w:val="clear" w:color="auto" w:fill="CCCCCC" w:themeFill="text1" w:themeFillTint="33"/>
          </w:tcPr>
          <w:p>
            <w:pPr>
              <w:rPr>
                <w:color w:val="auto"/>
              </w:rPr>
            </w:pPr>
            <w:r>
              <w:rPr>
                <w:color w:val="auto"/>
              </w:rPr>
              <w:t>Strongly agree</w:t>
            </w:r>
          </w:p>
        </w:tc>
        <w:tc>
          <w:tcPr>
            <w:tcW w:w="2657" w:type="dxa"/>
            <w:shd w:val="clear" w:color="auto" w:fill="CCCCCC" w:themeFill="text1" w:themeFillTint="33"/>
          </w:tcPr>
          <w:p>
            <w:pPr>
              <w:rPr>
                <w:color w:val="auto"/>
              </w:rPr>
            </w:pPr>
            <w:r>
              <w:rPr>
                <w:color w:val="auto"/>
              </w:rPr>
              <w:t>15</w:t>
            </w:r>
          </w:p>
        </w:tc>
        <w:tc>
          <w:tcPr>
            <w:tcW w:w="2345" w:type="dxa"/>
            <w:shd w:val="clear" w:color="auto" w:fill="CCCCCC" w:themeFill="text1" w:themeFillTint="33"/>
          </w:tcPr>
          <w:p>
            <w:pPr>
              <w:rPr>
                <w:color w:val="auto"/>
              </w:rPr>
            </w:pPr>
            <w:r>
              <w:rPr>
                <w:color w:val="auto"/>
              </w:rPr>
              <w:t>23.1%</w:t>
            </w:r>
          </w:p>
        </w:tc>
      </w:tr>
    </w:tbl>
    <w:p>
      <w:pPr>
        <w:pStyle w:val="19"/>
        <w:rPr>
          <w:color w:val="auto"/>
          <w:lang w:val="en-US"/>
        </w:rPr>
      </w:pPr>
    </w:p>
    <w:p>
      <w:pPr>
        <w:pStyle w:val="19"/>
        <w:rPr>
          <w:color w:val="auto"/>
          <w:lang w:val="en-US"/>
        </w:rPr>
      </w:pPr>
      <w:r>
        <w:rPr>
          <w:color w:val="auto"/>
          <w:lang w:val="en-US"/>
        </w:rPr>
        <w:t>The table illustrates the proposed statement “I rarely switch from this brand to this company just to try something different”. Besides, the respondents revealed that 1.5% of the total population strongly disagree and 10.8% disagree with the proposed statement. Moreover, 21.5% remains neutral with the proposed statement by neither agree nor disagree. Furthermore, 43.1% the respondents agree whereas 23.1% strongly agrees with the stated statement.</w:t>
      </w:r>
    </w:p>
    <w:tbl>
      <w:tblPr>
        <w:tblStyle w:val="20"/>
        <w:tblW w:w="8714"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3882"/>
        <w:gridCol w:w="2568"/>
        <w:gridCol w:w="2264"/>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018" w:hRule="atLeast"/>
        </w:trPr>
        <w:tc>
          <w:tcPr>
            <w:tcW w:w="8714" w:type="dxa"/>
            <w:gridSpan w:val="3"/>
            <w:shd w:val="clear" w:color="auto" w:fill="CCCCCC" w:themeFill="text1" w:themeFillTint="33"/>
          </w:tcPr>
          <w:p>
            <w:pPr>
              <w:rPr>
                <w:color w:val="auto"/>
              </w:rPr>
            </w:pPr>
            <w:r>
              <w:rPr>
                <w:b/>
                <w:bCs/>
                <w:color w:val="auto"/>
              </w:rPr>
              <w:t>I plan to keep buying the same product and brand in the future.</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00" w:hRule="atLeast"/>
        </w:trPr>
        <w:tc>
          <w:tcPr>
            <w:tcW w:w="3882" w:type="dxa"/>
            <w:shd w:val="clear" w:color="auto" w:fill="CCCCCC" w:themeFill="text1" w:themeFillTint="33"/>
          </w:tcPr>
          <w:p>
            <w:pPr>
              <w:rPr>
                <w:color w:val="auto"/>
              </w:rPr>
            </w:pPr>
          </w:p>
        </w:tc>
        <w:tc>
          <w:tcPr>
            <w:tcW w:w="2568" w:type="dxa"/>
          </w:tcPr>
          <w:p>
            <w:pPr>
              <w:rPr>
                <w:color w:val="auto"/>
              </w:rPr>
            </w:pPr>
            <w:r>
              <w:rPr>
                <w:color w:val="auto"/>
              </w:rPr>
              <w:t>N</w:t>
            </w:r>
          </w:p>
        </w:tc>
        <w:tc>
          <w:tcPr>
            <w:tcW w:w="2264"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018" w:hRule="atLeast"/>
        </w:trPr>
        <w:tc>
          <w:tcPr>
            <w:tcW w:w="3882" w:type="dxa"/>
            <w:shd w:val="clear" w:color="auto" w:fill="CCCCCC" w:themeFill="text1" w:themeFillTint="33"/>
          </w:tcPr>
          <w:p>
            <w:pPr>
              <w:rPr>
                <w:color w:val="auto"/>
              </w:rPr>
            </w:pPr>
            <w:r>
              <w:rPr>
                <w:color w:val="auto"/>
              </w:rPr>
              <w:t>Strongly disagree</w:t>
            </w:r>
          </w:p>
        </w:tc>
        <w:tc>
          <w:tcPr>
            <w:tcW w:w="2568" w:type="dxa"/>
            <w:shd w:val="clear" w:color="auto" w:fill="CCCCCC" w:themeFill="text1" w:themeFillTint="33"/>
          </w:tcPr>
          <w:p>
            <w:pPr>
              <w:rPr>
                <w:color w:val="auto"/>
              </w:rPr>
            </w:pPr>
            <w:r>
              <w:rPr>
                <w:color w:val="auto"/>
              </w:rPr>
              <w:t>2</w:t>
            </w:r>
          </w:p>
        </w:tc>
        <w:tc>
          <w:tcPr>
            <w:tcW w:w="2264"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684" w:hRule="atLeast"/>
        </w:trPr>
        <w:tc>
          <w:tcPr>
            <w:tcW w:w="3882" w:type="dxa"/>
            <w:shd w:val="clear" w:color="auto" w:fill="CCCCCC" w:themeFill="text1" w:themeFillTint="33"/>
          </w:tcPr>
          <w:p>
            <w:pPr>
              <w:rPr>
                <w:color w:val="auto"/>
              </w:rPr>
            </w:pPr>
            <w:r>
              <w:rPr>
                <w:color w:val="auto"/>
              </w:rPr>
              <w:t>Disagree</w:t>
            </w:r>
          </w:p>
        </w:tc>
        <w:tc>
          <w:tcPr>
            <w:tcW w:w="2568" w:type="dxa"/>
          </w:tcPr>
          <w:p>
            <w:pPr>
              <w:rPr>
                <w:color w:val="auto"/>
              </w:rPr>
            </w:pPr>
            <w:r>
              <w:rPr>
                <w:color w:val="auto"/>
              </w:rPr>
              <w:t>3</w:t>
            </w:r>
          </w:p>
        </w:tc>
        <w:tc>
          <w:tcPr>
            <w:tcW w:w="2264" w:type="dxa"/>
            <w:shd w:val="clear" w:color="auto" w:fill="CCCCCC" w:themeFill="text1" w:themeFillTint="33"/>
          </w:tcPr>
          <w:p>
            <w:pPr>
              <w:rPr>
                <w:color w:val="auto"/>
              </w:rPr>
            </w:pPr>
            <w:r>
              <w:rPr>
                <w:color w:val="auto"/>
              </w:rPr>
              <w:t>4.6%</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684" w:hRule="atLeast"/>
        </w:trPr>
        <w:tc>
          <w:tcPr>
            <w:tcW w:w="3882" w:type="dxa"/>
            <w:shd w:val="clear" w:color="auto" w:fill="CCCCCC" w:themeFill="text1" w:themeFillTint="33"/>
          </w:tcPr>
          <w:p>
            <w:pPr>
              <w:rPr>
                <w:color w:val="auto"/>
              </w:rPr>
            </w:pPr>
            <w:r>
              <w:rPr>
                <w:color w:val="auto"/>
              </w:rPr>
              <w:t>Neutral</w:t>
            </w:r>
          </w:p>
        </w:tc>
        <w:tc>
          <w:tcPr>
            <w:tcW w:w="2568" w:type="dxa"/>
            <w:shd w:val="clear" w:color="auto" w:fill="CCCCCC" w:themeFill="text1" w:themeFillTint="33"/>
          </w:tcPr>
          <w:p>
            <w:pPr>
              <w:rPr>
                <w:color w:val="auto"/>
              </w:rPr>
            </w:pPr>
            <w:r>
              <w:rPr>
                <w:color w:val="auto"/>
              </w:rPr>
              <w:t>11</w:t>
            </w:r>
          </w:p>
        </w:tc>
        <w:tc>
          <w:tcPr>
            <w:tcW w:w="2264" w:type="dxa"/>
            <w:shd w:val="clear" w:color="auto" w:fill="CCCCCC" w:themeFill="text1" w:themeFillTint="33"/>
          </w:tcPr>
          <w:p>
            <w:pPr>
              <w:rPr>
                <w:color w:val="auto"/>
              </w:rPr>
            </w:pPr>
            <w:r>
              <w:rPr>
                <w:color w:val="auto"/>
              </w:rPr>
              <w:t>16.9%</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00" w:hRule="atLeast"/>
        </w:trPr>
        <w:tc>
          <w:tcPr>
            <w:tcW w:w="3882" w:type="dxa"/>
            <w:shd w:val="clear" w:color="auto" w:fill="CCCCCC" w:themeFill="text1" w:themeFillTint="33"/>
          </w:tcPr>
          <w:p>
            <w:pPr>
              <w:rPr>
                <w:color w:val="auto"/>
              </w:rPr>
            </w:pPr>
            <w:r>
              <w:rPr>
                <w:color w:val="auto"/>
              </w:rPr>
              <w:t>Agree</w:t>
            </w:r>
          </w:p>
        </w:tc>
        <w:tc>
          <w:tcPr>
            <w:tcW w:w="2568" w:type="dxa"/>
          </w:tcPr>
          <w:p>
            <w:pPr>
              <w:rPr>
                <w:color w:val="auto"/>
              </w:rPr>
            </w:pPr>
            <w:r>
              <w:rPr>
                <w:color w:val="auto"/>
              </w:rPr>
              <w:t>23</w:t>
            </w:r>
          </w:p>
        </w:tc>
        <w:tc>
          <w:tcPr>
            <w:tcW w:w="2264" w:type="dxa"/>
            <w:shd w:val="clear" w:color="auto" w:fill="CCCCCC" w:themeFill="text1" w:themeFillTint="33"/>
          </w:tcPr>
          <w:p>
            <w:pPr>
              <w:rPr>
                <w:color w:val="auto"/>
              </w:rPr>
            </w:pPr>
            <w:r>
              <w:rPr>
                <w:color w:val="auto"/>
              </w:rPr>
              <w:t>35.4%</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684" w:hRule="atLeast"/>
        </w:trPr>
        <w:tc>
          <w:tcPr>
            <w:tcW w:w="3882" w:type="dxa"/>
            <w:shd w:val="clear" w:color="auto" w:fill="CCCCCC" w:themeFill="text1" w:themeFillTint="33"/>
          </w:tcPr>
          <w:p>
            <w:pPr>
              <w:rPr>
                <w:color w:val="auto"/>
              </w:rPr>
            </w:pPr>
            <w:r>
              <w:rPr>
                <w:color w:val="auto"/>
              </w:rPr>
              <w:t>Strongly agree</w:t>
            </w:r>
          </w:p>
        </w:tc>
        <w:tc>
          <w:tcPr>
            <w:tcW w:w="2568" w:type="dxa"/>
            <w:shd w:val="clear" w:color="auto" w:fill="CCCCCC" w:themeFill="text1" w:themeFillTint="33"/>
          </w:tcPr>
          <w:p>
            <w:pPr>
              <w:rPr>
                <w:color w:val="auto"/>
              </w:rPr>
            </w:pPr>
            <w:r>
              <w:rPr>
                <w:color w:val="auto"/>
              </w:rPr>
              <w:t>26</w:t>
            </w:r>
          </w:p>
        </w:tc>
        <w:tc>
          <w:tcPr>
            <w:tcW w:w="2264" w:type="dxa"/>
            <w:shd w:val="clear" w:color="auto" w:fill="CCCCCC" w:themeFill="text1" w:themeFillTint="33"/>
          </w:tcPr>
          <w:p>
            <w:pPr>
              <w:rPr>
                <w:color w:val="auto"/>
              </w:rPr>
            </w:pPr>
            <w:r>
              <w:rPr>
                <w:color w:val="auto"/>
              </w:rPr>
              <w:t>40.0%</w:t>
            </w:r>
          </w:p>
        </w:tc>
      </w:tr>
    </w:tbl>
    <w:p>
      <w:pPr>
        <w:pStyle w:val="19"/>
        <w:rPr>
          <w:color w:val="auto"/>
          <w:lang w:val="en-US"/>
        </w:rPr>
      </w:pPr>
    </w:p>
    <w:p>
      <w:pPr>
        <w:pStyle w:val="19"/>
        <w:rPr>
          <w:color w:val="auto"/>
          <w:lang w:val="en-US"/>
        </w:rPr>
      </w:pPr>
      <w:r>
        <w:rPr>
          <w:color w:val="auto"/>
          <w:lang w:val="en-US"/>
        </w:rPr>
        <w:t>The table illustrates the proposed statement “I plan to keep buying the same product and brand in the future”. Besides, the respondents revealed that 3.1% of the total population strongly disagree and 4.6% disagree with the proposed statement. Moreover, 16.9% remains neutral with the proposed statement by neither agree nor disagree. Furthermore, 35.4% the respondents agree whereas 40% strongly agrees with the stated statement.</w:t>
      </w:r>
    </w:p>
    <w:tbl>
      <w:tblPr>
        <w:tblStyle w:val="20"/>
        <w:tblW w:w="9738"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338"/>
        <w:gridCol w:w="2870"/>
        <w:gridCol w:w="2530"/>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685" w:hRule="atLeast"/>
        </w:trPr>
        <w:tc>
          <w:tcPr>
            <w:tcW w:w="9738" w:type="dxa"/>
            <w:gridSpan w:val="3"/>
            <w:shd w:val="clear" w:color="auto" w:fill="CCCCCC" w:themeFill="text1" w:themeFillTint="33"/>
          </w:tcPr>
          <w:p>
            <w:pPr>
              <w:rPr>
                <w:color w:val="auto"/>
              </w:rPr>
            </w:pPr>
            <w:r>
              <w:rPr>
                <w:b/>
                <w:bCs/>
                <w:color w:val="auto"/>
              </w:rPr>
              <w:t>I will consider this brand as my first option to the purchase of other products</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40" w:hRule="atLeast"/>
        </w:trPr>
        <w:tc>
          <w:tcPr>
            <w:tcW w:w="4338" w:type="dxa"/>
            <w:shd w:val="clear" w:color="auto" w:fill="CCCCCC" w:themeFill="text1" w:themeFillTint="33"/>
          </w:tcPr>
          <w:p>
            <w:pPr>
              <w:rPr>
                <w:color w:val="auto"/>
              </w:rPr>
            </w:pPr>
          </w:p>
        </w:tc>
        <w:tc>
          <w:tcPr>
            <w:tcW w:w="2870" w:type="dxa"/>
          </w:tcPr>
          <w:p>
            <w:pPr>
              <w:rPr>
                <w:color w:val="auto"/>
              </w:rPr>
            </w:pPr>
            <w:r>
              <w:rPr>
                <w:color w:val="auto"/>
              </w:rPr>
              <w:t>N</w:t>
            </w:r>
          </w:p>
        </w:tc>
        <w:tc>
          <w:tcPr>
            <w:tcW w:w="2530"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56" w:hRule="atLeast"/>
        </w:trPr>
        <w:tc>
          <w:tcPr>
            <w:tcW w:w="4338" w:type="dxa"/>
            <w:shd w:val="clear" w:color="auto" w:fill="CCCCCC" w:themeFill="text1" w:themeFillTint="33"/>
          </w:tcPr>
          <w:p>
            <w:pPr>
              <w:rPr>
                <w:color w:val="auto"/>
              </w:rPr>
            </w:pPr>
            <w:r>
              <w:rPr>
                <w:color w:val="auto"/>
              </w:rPr>
              <w:t>Strongly disagree</w:t>
            </w:r>
          </w:p>
        </w:tc>
        <w:tc>
          <w:tcPr>
            <w:tcW w:w="2870" w:type="dxa"/>
            <w:shd w:val="clear" w:color="auto" w:fill="CCCCCC" w:themeFill="text1" w:themeFillTint="33"/>
          </w:tcPr>
          <w:p>
            <w:pPr>
              <w:rPr>
                <w:color w:val="auto"/>
              </w:rPr>
            </w:pPr>
            <w:r>
              <w:rPr>
                <w:color w:val="auto"/>
              </w:rPr>
              <w:t>2</w:t>
            </w:r>
          </w:p>
        </w:tc>
        <w:tc>
          <w:tcPr>
            <w:tcW w:w="2530"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40" w:hRule="atLeast"/>
        </w:trPr>
        <w:tc>
          <w:tcPr>
            <w:tcW w:w="4338" w:type="dxa"/>
            <w:shd w:val="clear" w:color="auto" w:fill="CCCCCC" w:themeFill="text1" w:themeFillTint="33"/>
          </w:tcPr>
          <w:p>
            <w:pPr>
              <w:rPr>
                <w:color w:val="auto"/>
              </w:rPr>
            </w:pPr>
            <w:r>
              <w:rPr>
                <w:color w:val="auto"/>
              </w:rPr>
              <w:t>Disagree</w:t>
            </w:r>
          </w:p>
        </w:tc>
        <w:tc>
          <w:tcPr>
            <w:tcW w:w="2870" w:type="dxa"/>
          </w:tcPr>
          <w:p>
            <w:pPr>
              <w:rPr>
                <w:color w:val="auto"/>
              </w:rPr>
            </w:pPr>
            <w:r>
              <w:rPr>
                <w:color w:val="auto"/>
              </w:rPr>
              <w:t>2</w:t>
            </w:r>
          </w:p>
        </w:tc>
        <w:tc>
          <w:tcPr>
            <w:tcW w:w="2530"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28" w:hRule="atLeast"/>
        </w:trPr>
        <w:tc>
          <w:tcPr>
            <w:tcW w:w="4338" w:type="dxa"/>
            <w:shd w:val="clear" w:color="auto" w:fill="CCCCCC" w:themeFill="text1" w:themeFillTint="33"/>
          </w:tcPr>
          <w:p>
            <w:pPr>
              <w:rPr>
                <w:color w:val="auto"/>
              </w:rPr>
            </w:pPr>
            <w:r>
              <w:rPr>
                <w:color w:val="auto"/>
              </w:rPr>
              <w:t>Neutral</w:t>
            </w:r>
          </w:p>
        </w:tc>
        <w:tc>
          <w:tcPr>
            <w:tcW w:w="2870" w:type="dxa"/>
            <w:shd w:val="clear" w:color="auto" w:fill="CCCCCC" w:themeFill="text1" w:themeFillTint="33"/>
          </w:tcPr>
          <w:p>
            <w:pPr>
              <w:rPr>
                <w:color w:val="auto"/>
              </w:rPr>
            </w:pPr>
            <w:r>
              <w:rPr>
                <w:color w:val="auto"/>
              </w:rPr>
              <w:t>11</w:t>
            </w:r>
          </w:p>
        </w:tc>
        <w:tc>
          <w:tcPr>
            <w:tcW w:w="2530" w:type="dxa"/>
            <w:shd w:val="clear" w:color="auto" w:fill="CCCCCC" w:themeFill="text1" w:themeFillTint="33"/>
          </w:tcPr>
          <w:p>
            <w:pPr>
              <w:rPr>
                <w:color w:val="auto"/>
              </w:rPr>
            </w:pPr>
            <w:r>
              <w:rPr>
                <w:color w:val="auto"/>
              </w:rPr>
              <w:t>16.9%</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40" w:hRule="atLeast"/>
        </w:trPr>
        <w:tc>
          <w:tcPr>
            <w:tcW w:w="4338" w:type="dxa"/>
            <w:shd w:val="clear" w:color="auto" w:fill="CCCCCC" w:themeFill="text1" w:themeFillTint="33"/>
          </w:tcPr>
          <w:p>
            <w:pPr>
              <w:rPr>
                <w:color w:val="auto"/>
              </w:rPr>
            </w:pPr>
            <w:r>
              <w:rPr>
                <w:color w:val="auto"/>
              </w:rPr>
              <w:t>Agree</w:t>
            </w:r>
          </w:p>
        </w:tc>
        <w:tc>
          <w:tcPr>
            <w:tcW w:w="2870" w:type="dxa"/>
          </w:tcPr>
          <w:p>
            <w:pPr>
              <w:rPr>
                <w:color w:val="auto"/>
              </w:rPr>
            </w:pPr>
            <w:r>
              <w:rPr>
                <w:color w:val="auto"/>
              </w:rPr>
              <w:t>27</w:t>
            </w:r>
          </w:p>
        </w:tc>
        <w:tc>
          <w:tcPr>
            <w:tcW w:w="2530" w:type="dxa"/>
            <w:shd w:val="clear" w:color="auto" w:fill="CCCCCC" w:themeFill="text1" w:themeFillTint="33"/>
          </w:tcPr>
          <w:p>
            <w:pPr>
              <w:rPr>
                <w:color w:val="auto"/>
              </w:rPr>
            </w:pPr>
            <w:r>
              <w:rPr>
                <w:color w:val="auto"/>
              </w:rPr>
              <w:t>41.5%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28" w:hRule="atLeast"/>
        </w:trPr>
        <w:tc>
          <w:tcPr>
            <w:tcW w:w="4338" w:type="dxa"/>
            <w:shd w:val="clear" w:color="auto" w:fill="CCCCCC" w:themeFill="text1" w:themeFillTint="33"/>
          </w:tcPr>
          <w:p>
            <w:pPr>
              <w:rPr>
                <w:color w:val="auto"/>
              </w:rPr>
            </w:pPr>
            <w:r>
              <w:rPr>
                <w:color w:val="auto"/>
              </w:rPr>
              <w:t>Strongly agree</w:t>
            </w:r>
          </w:p>
        </w:tc>
        <w:tc>
          <w:tcPr>
            <w:tcW w:w="2870" w:type="dxa"/>
            <w:shd w:val="clear" w:color="auto" w:fill="CCCCCC" w:themeFill="text1" w:themeFillTint="33"/>
          </w:tcPr>
          <w:p>
            <w:pPr>
              <w:rPr>
                <w:color w:val="auto"/>
              </w:rPr>
            </w:pPr>
            <w:r>
              <w:rPr>
                <w:color w:val="auto"/>
              </w:rPr>
              <w:t>23</w:t>
            </w:r>
          </w:p>
        </w:tc>
        <w:tc>
          <w:tcPr>
            <w:tcW w:w="2530" w:type="dxa"/>
            <w:shd w:val="clear" w:color="auto" w:fill="CCCCCC" w:themeFill="text1" w:themeFillTint="33"/>
          </w:tcPr>
          <w:p>
            <w:pPr>
              <w:rPr>
                <w:color w:val="auto"/>
              </w:rPr>
            </w:pPr>
            <w:r>
              <w:rPr>
                <w:color w:val="auto"/>
              </w:rPr>
              <w:t>35.4%</w:t>
            </w:r>
          </w:p>
        </w:tc>
      </w:tr>
    </w:tbl>
    <w:p>
      <w:pPr>
        <w:pStyle w:val="19"/>
        <w:rPr>
          <w:color w:val="auto"/>
          <w:lang w:val="en-US"/>
        </w:rPr>
      </w:pPr>
    </w:p>
    <w:p>
      <w:pPr>
        <w:pStyle w:val="19"/>
        <w:rPr>
          <w:color w:val="auto"/>
          <w:lang w:val="en-US"/>
        </w:rPr>
      </w:pPr>
      <w:r>
        <w:rPr>
          <w:color w:val="auto"/>
          <w:lang w:val="en-US"/>
        </w:rPr>
        <w:t>The table illustrates the proposed statement “I will consider this brand as my first option to the purchase of other products”. Besides, the respondents revealed that 3.1% of the total population strongly disagree and 3.1% disagree with the proposed statement. Moreover, 16.9% remains neutral with the proposed statement by neither agree nor disagree. Furthermore, 41.5% the respondents agree whereas 35.4% strongly agrees with the stated statement.</w:t>
      </w:r>
    </w:p>
    <w:p>
      <w:pPr>
        <w:spacing w:before="0" w:after="160" w:line="259" w:lineRule="auto"/>
        <w:rPr>
          <w:color w:val="auto"/>
        </w:rPr>
      </w:pPr>
    </w:p>
    <w:tbl>
      <w:tblPr>
        <w:tblStyle w:val="20"/>
        <w:tblW w:w="9089"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049"/>
        <w:gridCol w:w="2678"/>
        <w:gridCol w:w="2362"/>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69" w:hRule="atLeast"/>
        </w:trPr>
        <w:tc>
          <w:tcPr>
            <w:tcW w:w="9089" w:type="dxa"/>
            <w:gridSpan w:val="3"/>
            <w:shd w:val="clear" w:color="auto" w:fill="CCCCCC" w:themeFill="text1" w:themeFillTint="33"/>
          </w:tcPr>
          <w:p>
            <w:pPr>
              <w:rPr>
                <w:color w:val="auto"/>
              </w:rPr>
            </w:pPr>
            <w:r>
              <w:rPr>
                <w:b/>
                <w:bCs/>
                <w:color w:val="auto"/>
              </w:rPr>
              <w:t>I intend to buy products of this same brand more frequently in the future.</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09" w:hRule="atLeast"/>
        </w:trPr>
        <w:tc>
          <w:tcPr>
            <w:tcW w:w="4049" w:type="dxa"/>
            <w:shd w:val="clear" w:color="auto" w:fill="CCCCCC" w:themeFill="text1" w:themeFillTint="33"/>
          </w:tcPr>
          <w:p>
            <w:pPr>
              <w:rPr>
                <w:color w:val="auto"/>
              </w:rPr>
            </w:pPr>
          </w:p>
        </w:tc>
        <w:tc>
          <w:tcPr>
            <w:tcW w:w="2678" w:type="dxa"/>
          </w:tcPr>
          <w:p>
            <w:pPr>
              <w:rPr>
                <w:color w:val="auto"/>
              </w:rPr>
            </w:pPr>
            <w:r>
              <w:rPr>
                <w:color w:val="auto"/>
              </w:rPr>
              <w:t>N</w:t>
            </w:r>
          </w:p>
        </w:tc>
        <w:tc>
          <w:tcPr>
            <w:tcW w:w="2362"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69" w:hRule="atLeast"/>
        </w:trPr>
        <w:tc>
          <w:tcPr>
            <w:tcW w:w="4049" w:type="dxa"/>
            <w:shd w:val="clear" w:color="auto" w:fill="CCCCCC" w:themeFill="text1" w:themeFillTint="33"/>
          </w:tcPr>
          <w:p>
            <w:pPr>
              <w:rPr>
                <w:color w:val="auto"/>
              </w:rPr>
            </w:pPr>
            <w:r>
              <w:rPr>
                <w:color w:val="auto"/>
              </w:rPr>
              <w:t>Strongly disagree</w:t>
            </w:r>
          </w:p>
        </w:tc>
        <w:tc>
          <w:tcPr>
            <w:tcW w:w="2678" w:type="dxa"/>
            <w:shd w:val="clear" w:color="auto" w:fill="CCCCCC" w:themeFill="text1" w:themeFillTint="33"/>
          </w:tcPr>
          <w:p>
            <w:pPr>
              <w:rPr>
                <w:color w:val="auto"/>
              </w:rPr>
            </w:pPr>
            <w:r>
              <w:rPr>
                <w:color w:val="auto"/>
              </w:rPr>
              <w:t>3</w:t>
            </w:r>
          </w:p>
        </w:tc>
        <w:tc>
          <w:tcPr>
            <w:tcW w:w="2362" w:type="dxa"/>
            <w:shd w:val="clear" w:color="auto" w:fill="CCCCCC" w:themeFill="text1" w:themeFillTint="33"/>
          </w:tcPr>
          <w:p>
            <w:pPr>
              <w:rPr>
                <w:color w:val="auto"/>
              </w:rPr>
            </w:pPr>
            <w:r>
              <w:rPr>
                <w:color w:val="auto"/>
              </w:rPr>
              <w:t>4.6%</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09" w:hRule="atLeast"/>
        </w:trPr>
        <w:tc>
          <w:tcPr>
            <w:tcW w:w="4049" w:type="dxa"/>
            <w:shd w:val="clear" w:color="auto" w:fill="CCCCCC" w:themeFill="text1" w:themeFillTint="33"/>
          </w:tcPr>
          <w:p>
            <w:pPr>
              <w:rPr>
                <w:color w:val="auto"/>
              </w:rPr>
            </w:pPr>
            <w:r>
              <w:rPr>
                <w:color w:val="auto"/>
              </w:rPr>
              <w:t>Disagree</w:t>
            </w:r>
          </w:p>
        </w:tc>
        <w:tc>
          <w:tcPr>
            <w:tcW w:w="2678" w:type="dxa"/>
          </w:tcPr>
          <w:p>
            <w:pPr>
              <w:rPr>
                <w:color w:val="auto"/>
              </w:rPr>
            </w:pPr>
            <w:r>
              <w:rPr>
                <w:color w:val="auto"/>
              </w:rPr>
              <w:t>1</w:t>
            </w:r>
          </w:p>
        </w:tc>
        <w:tc>
          <w:tcPr>
            <w:tcW w:w="2362"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09" w:hRule="atLeast"/>
        </w:trPr>
        <w:tc>
          <w:tcPr>
            <w:tcW w:w="4049" w:type="dxa"/>
            <w:shd w:val="clear" w:color="auto" w:fill="CCCCCC" w:themeFill="text1" w:themeFillTint="33"/>
          </w:tcPr>
          <w:p>
            <w:pPr>
              <w:rPr>
                <w:color w:val="auto"/>
              </w:rPr>
            </w:pPr>
            <w:r>
              <w:rPr>
                <w:color w:val="auto"/>
              </w:rPr>
              <w:t>Neutral</w:t>
            </w:r>
          </w:p>
        </w:tc>
        <w:tc>
          <w:tcPr>
            <w:tcW w:w="2678" w:type="dxa"/>
            <w:shd w:val="clear" w:color="auto" w:fill="CCCCCC" w:themeFill="text1" w:themeFillTint="33"/>
          </w:tcPr>
          <w:p>
            <w:pPr>
              <w:rPr>
                <w:color w:val="auto"/>
              </w:rPr>
            </w:pPr>
            <w:r>
              <w:rPr>
                <w:color w:val="auto"/>
              </w:rPr>
              <w:t>13</w:t>
            </w:r>
          </w:p>
        </w:tc>
        <w:tc>
          <w:tcPr>
            <w:tcW w:w="2362" w:type="dxa"/>
            <w:shd w:val="clear" w:color="auto" w:fill="CCCCCC" w:themeFill="text1" w:themeFillTint="33"/>
          </w:tcPr>
          <w:p>
            <w:pPr>
              <w:rPr>
                <w:color w:val="auto"/>
              </w:rPr>
            </w:pPr>
            <w:r>
              <w:rPr>
                <w:color w:val="auto"/>
              </w:rPr>
              <w:t>20.0%</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09" w:hRule="atLeast"/>
        </w:trPr>
        <w:tc>
          <w:tcPr>
            <w:tcW w:w="4049" w:type="dxa"/>
            <w:shd w:val="clear" w:color="auto" w:fill="CCCCCC" w:themeFill="text1" w:themeFillTint="33"/>
          </w:tcPr>
          <w:p>
            <w:pPr>
              <w:rPr>
                <w:color w:val="auto"/>
              </w:rPr>
            </w:pPr>
            <w:r>
              <w:rPr>
                <w:color w:val="auto"/>
              </w:rPr>
              <w:t>Agree</w:t>
            </w:r>
          </w:p>
        </w:tc>
        <w:tc>
          <w:tcPr>
            <w:tcW w:w="2678" w:type="dxa"/>
          </w:tcPr>
          <w:p>
            <w:pPr>
              <w:rPr>
                <w:color w:val="auto"/>
              </w:rPr>
            </w:pPr>
            <w:r>
              <w:rPr>
                <w:color w:val="auto"/>
              </w:rPr>
              <w:t>24</w:t>
            </w:r>
          </w:p>
        </w:tc>
        <w:tc>
          <w:tcPr>
            <w:tcW w:w="2362" w:type="dxa"/>
            <w:shd w:val="clear" w:color="auto" w:fill="CCCCCC" w:themeFill="text1" w:themeFillTint="33"/>
          </w:tcPr>
          <w:p>
            <w:pPr>
              <w:rPr>
                <w:color w:val="auto"/>
              </w:rPr>
            </w:pPr>
            <w:r>
              <w:rPr>
                <w:color w:val="auto"/>
              </w:rPr>
              <w:t>36.9%</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17" w:hRule="atLeast"/>
        </w:trPr>
        <w:tc>
          <w:tcPr>
            <w:tcW w:w="4049" w:type="dxa"/>
            <w:shd w:val="clear" w:color="auto" w:fill="CCCCCC" w:themeFill="text1" w:themeFillTint="33"/>
          </w:tcPr>
          <w:p>
            <w:pPr>
              <w:rPr>
                <w:color w:val="auto"/>
              </w:rPr>
            </w:pPr>
            <w:r>
              <w:rPr>
                <w:color w:val="auto"/>
              </w:rPr>
              <w:t>Strongly agree</w:t>
            </w:r>
          </w:p>
        </w:tc>
        <w:tc>
          <w:tcPr>
            <w:tcW w:w="2678" w:type="dxa"/>
            <w:shd w:val="clear" w:color="auto" w:fill="CCCCCC" w:themeFill="text1" w:themeFillTint="33"/>
          </w:tcPr>
          <w:p>
            <w:pPr>
              <w:rPr>
                <w:color w:val="auto"/>
              </w:rPr>
            </w:pPr>
            <w:r>
              <w:rPr>
                <w:color w:val="auto"/>
              </w:rPr>
              <w:t>24</w:t>
            </w:r>
          </w:p>
        </w:tc>
        <w:tc>
          <w:tcPr>
            <w:tcW w:w="2362" w:type="dxa"/>
            <w:shd w:val="clear" w:color="auto" w:fill="CCCCCC" w:themeFill="text1" w:themeFillTint="33"/>
          </w:tcPr>
          <w:p>
            <w:pPr>
              <w:rPr>
                <w:color w:val="auto"/>
              </w:rPr>
            </w:pPr>
            <w:r>
              <w:rPr>
                <w:color w:val="auto"/>
              </w:rPr>
              <w:t>36.9%</w:t>
            </w:r>
          </w:p>
        </w:tc>
      </w:tr>
    </w:tbl>
    <w:p>
      <w:pPr>
        <w:pStyle w:val="19"/>
        <w:rPr>
          <w:color w:val="auto"/>
          <w:lang w:val="en-US"/>
        </w:rPr>
      </w:pPr>
    </w:p>
    <w:p>
      <w:pPr>
        <w:pStyle w:val="19"/>
        <w:rPr>
          <w:color w:val="auto"/>
          <w:lang w:val="en-US"/>
        </w:rPr>
      </w:pPr>
      <w:r>
        <w:rPr>
          <w:color w:val="auto"/>
          <w:lang w:val="en-US"/>
        </w:rPr>
        <w:t>The table illustrates the proposed statement “I intend to buy products of this same brand more frequently in the future”. Besides, the respondents revealed that 4.6% of the total population strongly disagree and 1.5% disagree with the proposed statement. Moreover, 20% remains neutral with the proposed statement by neither agree nor disagree. Furthermore, 36.9% the respondents agree whereas 36.9% strongly agrees with the stated statement.</w:t>
      </w:r>
    </w:p>
    <w:p>
      <w:pPr>
        <w:spacing w:before="0" w:after="160" w:line="259" w:lineRule="auto"/>
        <w:rPr>
          <w:color w:val="auto"/>
        </w:rPr>
      </w:pPr>
    </w:p>
    <w:tbl>
      <w:tblPr>
        <w:tblStyle w:val="20"/>
        <w:tblW w:w="9521"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241"/>
        <w:gridCol w:w="2806"/>
        <w:gridCol w:w="2474"/>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98" w:hRule="atLeast"/>
        </w:trPr>
        <w:tc>
          <w:tcPr>
            <w:tcW w:w="9521" w:type="dxa"/>
            <w:gridSpan w:val="3"/>
            <w:shd w:val="clear" w:color="auto" w:fill="CCCCCC" w:themeFill="text1" w:themeFillTint="33"/>
          </w:tcPr>
          <w:p>
            <w:pPr>
              <w:rPr>
                <w:color w:val="auto"/>
              </w:rPr>
            </w:pPr>
            <w:r>
              <w:rPr>
                <w:b/>
                <w:bCs/>
                <w:color w:val="auto"/>
              </w:rPr>
              <w:t>This company makes a strong impression on me</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49" w:hRule="atLeast"/>
        </w:trPr>
        <w:tc>
          <w:tcPr>
            <w:tcW w:w="4241" w:type="dxa"/>
            <w:shd w:val="clear" w:color="auto" w:fill="CCCCCC" w:themeFill="text1" w:themeFillTint="33"/>
          </w:tcPr>
          <w:p>
            <w:pPr>
              <w:rPr>
                <w:color w:val="auto"/>
              </w:rPr>
            </w:pPr>
          </w:p>
        </w:tc>
        <w:tc>
          <w:tcPr>
            <w:tcW w:w="2806" w:type="dxa"/>
          </w:tcPr>
          <w:p>
            <w:pPr>
              <w:rPr>
                <w:color w:val="auto"/>
              </w:rPr>
            </w:pPr>
            <w:r>
              <w:rPr>
                <w:color w:val="auto"/>
              </w:rPr>
              <w:t>N</w:t>
            </w:r>
          </w:p>
        </w:tc>
        <w:tc>
          <w:tcPr>
            <w:tcW w:w="2474"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98" w:hRule="atLeast"/>
        </w:trPr>
        <w:tc>
          <w:tcPr>
            <w:tcW w:w="4241" w:type="dxa"/>
            <w:shd w:val="clear" w:color="auto" w:fill="CCCCCC" w:themeFill="text1" w:themeFillTint="33"/>
          </w:tcPr>
          <w:p>
            <w:pPr>
              <w:rPr>
                <w:color w:val="auto"/>
              </w:rPr>
            </w:pPr>
            <w:r>
              <w:rPr>
                <w:color w:val="auto"/>
              </w:rPr>
              <w:t>Strongly disagree</w:t>
            </w:r>
          </w:p>
        </w:tc>
        <w:tc>
          <w:tcPr>
            <w:tcW w:w="2806" w:type="dxa"/>
            <w:shd w:val="clear" w:color="auto" w:fill="CCCCCC" w:themeFill="text1" w:themeFillTint="33"/>
          </w:tcPr>
          <w:p>
            <w:pPr>
              <w:rPr>
                <w:color w:val="auto"/>
              </w:rPr>
            </w:pPr>
            <w:r>
              <w:rPr>
                <w:color w:val="auto"/>
              </w:rPr>
              <w:t>2</w:t>
            </w:r>
          </w:p>
        </w:tc>
        <w:tc>
          <w:tcPr>
            <w:tcW w:w="2474"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36" w:hRule="atLeast"/>
        </w:trPr>
        <w:tc>
          <w:tcPr>
            <w:tcW w:w="4241" w:type="dxa"/>
            <w:shd w:val="clear" w:color="auto" w:fill="CCCCCC" w:themeFill="text1" w:themeFillTint="33"/>
          </w:tcPr>
          <w:p>
            <w:pPr>
              <w:rPr>
                <w:color w:val="auto"/>
              </w:rPr>
            </w:pPr>
            <w:r>
              <w:rPr>
                <w:color w:val="auto"/>
              </w:rPr>
              <w:t>Disagree</w:t>
            </w:r>
          </w:p>
        </w:tc>
        <w:tc>
          <w:tcPr>
            <w:tcW w:w="2806" w:type="dxa"/>
          </w:tcPr>
          <w:p>
            <w:pPr>
              <w:rPr>
                <w:color w:val="auto"/>
              </w:rPr>
            </w:pPr>
            <w:r>
              <w:rPr>
                <w:color w:val="auto"/>
              </w:rPr>
              <w:t>2</w:t>
            </w:r>
          </w:p>
        </w:tc>
        <w:tc>
          <w:tcPr>
            <w:tcW w:w="2474"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36" w:hRule="atLeast"/>
        </w:trPr>
        <w:tc>
          <w:tcPr>
            <w:tcW w:w="4241" w:type="dxa"/>
            <w:shd w:val="clear" w:color="auto" w:fill="CCCCCC" w:themeFill="text1" w:themeFillTint="33"/>
          </w:tcPr>
          <w:p>
            <w:pPr>
              <w:rPr>
                <w:color w:val="auto"/>
              </w:rPr>
            </w:pPr>
            <w:r>
              <w:rPr>
                <w:color w:val="auto"/>
              </w:rPr>
              <w:t>Neutral</w:t>
            </w:r>
          </w:p>
        </w:tc>
        <w:tc>
          <w:tcPr>
            <w:tcW w:w="2806" w:type="dxa"/>
            <w:shd w:val="clear" w:color="auto" w:fill="CCCCCC" w:themeFill="text1" w:themeFillTint="33"/>
          </w:tcPr>
          <w:p>
            <w:pPr>
              <w:rPr>
                <w:color w:val="auto"/>
              </w:rPr>
            </w:pPr>
            <w:r>
              <w:rPr>
                <w:color w:val="auto"/>
              </w:rPr>
              <w:t>5</w:t>
            </w:r>
          </w:p>
        </w:tc>
        <w:tc>
          <w:tcPr>
            <w:tcW w:w="2474" w:type="dxa"/>
            <w:shd w:val="clear" w:color="auto" w:fill="CCCCCC" w:themeFill="text1" w:themeFillTint="33"/>
          </w:tcPr>
          <w:p>
            <w:pPr>
              <w:rPr>
                <w:color w:val="auto"/>
              </w:rPr>
            </w:pPr>
            <w:r>
              <w:rPr>
                <w:color w:val="auto"/>
              </w:rPr>
              <w:t>7.7%</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49" w:hRule="atLeast"/>
        </w:trPr>
        <w:tc>
          <w:tcPr>
            <w:tcW w:w="4241" w:type="dxa"/>
            <w:shd w:val="clear" w:color="auto" w:fill="CCCCCC" w:themeFill="text1" w:themeFillTint="33"/>
          </w:tcPr>
          <w:p>
            <w:pPr>
              <w:rPr>
                <w:color w:val="auto"/>
              </w:rPr>
            </w:pPr>
            <w:r>
              <w:rPr>
                <w:color w:val="auto"/>
              </w:rPr>
              <w:t>Agree</w:t>
            </w:r>
          </w:p>
        </w:tc>
        <w:tc>
          <w:tcPr>
            <w:tcW w:w="2806" w:type="dxa"/>
          </w:tcPr>
          <w:p>
            <w:pPr>
              <w:rPr>
                <w:color w:val="auto"/>
              </w:rPr>
            </w:pPr>
            <w:r>
              <w:rPr>
                <w:color w:val="auto"/>
              </w:rPr>
              <w:t>29</w:t>
            </w:r>
          </w:p>
        </w:tc>
        <w:tc>
          <w:tcPr>
            <w:tcW w:w="2474" w:type="dxa"/>
            <w:shd w:val="clear" w:color="auto" w:fill="CCCCCC" w:themeFill="text1" w:themeFillTint="33"/>
          </w:tcPr>
          <w:p>
            <w:pPr>
              <w:rPr>
                <w:color w:val="auto"/>
              </w:rPr>
            </w:pPr>
            <w:r>
              <w:rPr>
                <w:color w:val="auto"/>
              </w:rPr>
              <w:t>44.6%</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36" w:hRule="atLeast"/>
        </w:trPr>
        <w:tc>
          <w:tcPr>
            <w:tcW w:w="4241" w:type="dxa"/>
            <w:shd w:val="clear" w:color="auto" w:fill="CCCCCC" w:themeFill="text1" w:themeFillTint="33"/>
          </w:tcPr>
          <w:p>
            <w:pPr>
              <w:rPr>
                <w:color w:val="auto"/>
              </w:rPr>
            </w:pPr>
            <w:r>
              <w:rPr>
                <w:color w:val="auto"/>
              </w:rPr>
              <w:t>Strongly agree</w:t>
            </w:r>
          </w:p>
        </w:tc>
        <w:tc>
          <w:tcPr>
            <w:tcW w:w="2806" w:type="dxa"/>
            <w:shd w:val="clear" w:color="auto" w:fill="CCCCCC" w:themeFill="text1" w:themeFillTint="33"/>
          </w:tcPr>
          <w:p>
            <w:pPr>
              <w:rPr>
                <w:color w:val="auto"/>
              </w:rPr>
            </w:pPr>
            <w:r>
              <w:rPr>
                <w:color w:val="auto"/>
              </w:rPr>
              <w:t>27</w:t>
            </w:r>
          </w:p>
        </w:tc>
        <w:tc>
          <w:tcPr>
            <w:tcW w:w="2474" w:type="dxa"/>
            <w:shd w:val="clear" w:color="auto" w:fill="CCCCCC" w:themeFill="text1" w:themeFillTint="33"/>
          </w:tcPr>
          <w:p>
            <w:pPr>
              <w:rPr>
                <w:color w:val="auto"/>
              </w:rPr>
            </w:pPr>
            <w:r>
              <w:rPr>
                <w:color w:val="auto"/>
              </w:rPr>
              <w:t>41.5%</w:t>
            </w:r>
          </w:p>
        </w:tc>
      </w:tr>
    </w:tbl>
    <w:p>
      <w:pPr>
        <w:pStyle w:val="19"/>
        <w:rPr>
          <w:color w:val="auto"/>
          <w:lang w:val="en-US"/>
        </w:rPr>
      </w:pPr>
    </w:p>
    <w:p>
      <w:pPr>
        <w:pStyle w:val="19"/>
        <w:rPr>
          <w:color w:val="auto"/>
          <w:lang w:val="en-US"/>
        </w:rPr>
      </w:pPr>
      <w:r>
        <w:rPr>
          <w:color w:val="auto"/>
          <w:lang w:val="en-US"/>
        </w:rPr>
        <w:t>The table illustrates the proposed statement “This company makes a strong impression on me”. Besides, the respondents revealed that 3.1% of the total population strongly disagree and 3.1% disagree with the proposed statement. Moreover, 7.7% remains neutral with the proposed statement by neither agree nor disagree. Furthermore, 44.6% the respondents agree whereas 41.5% strongly agrees with the stated statement.</w:t>
      </w:r>
    </w:p>
    <w:tbl>
      <w:tblPr>
        <w:tblStyle w:val="20"/>
        <w:tblW w:w="9977"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444"/>
        <w:gridCol w:w="2940"/>
        <w:gridCol w:w="2593"/>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20" w:hRule="atLeast"/>
        </w:trPr>
        <w:tc>
          <w:tcPr>
            <w:tcW w:w="9977" w:type="dxa"/>
            <w:gridSpan w:val="3"/>
            <w:shd w:val="clear" w:color="auto" w:fill="CCCCCC" w:themeFill="text1" w:themeFillTint="33"/>
          </w:tcPr>
          <w:p>
            <w:pPr>
              <w:rPr>
                <w:color w:val="auto"/>
              </w:rPr>
            </w:pPr>
            <w:r>
              <w:rPr>
                <w:b/>
                <w:bCs/>
                <w:color w:val="auto"/>
              </w:rPr>
              <w:t>I find this company interesting</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36" w:hRule="atLeast"/>
        </w:trPr>
        <w:tc>
          <w:tcPr>
            <w:tcW w:w="4444" w:type="dxa"/>
            <w:shd w:val="clear" w:color="auto" w:fill="CCCCCC" w:themeFill="text1" w:themeFillTint="33"/>
          </w:tcPr>
          <w:p>
            <w:pPr>
              <w:rPr>
                <w:color w:val="auto"/>
              </w:rPr>
            </w:pPr>
          </w:p>
        </w:tc>
        <w:tc>
          <w:tcPr>
            <w:tcW w:w="2940" w:type="dxa"/>
          </w:tcPr>
          <w:p>
            <w:pPr>
              <w:rPr>
                <w:color w:val="auto"/>
              </w:rPr>
            </w:pPr>
            <w:r>
              <w:rPr>
                <w:color w:val="auto"/>
              </w:rPr>
              <w:t>N</w:t>
            </w:r>
          </w:p>
        </w:tc>
        <w:tc>
          <w:tcPr>
            <w:tcW w:w="2593"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641" w:hRule="atLeast"/>
        </w:trPr>
        <w:tc>
          <w:tcPr>
            <w:tcW w:w="4444" w:type="dxa"/>
            <w:shd w:val="clear" w:color="auto" w:fill="CCCCCC" w:themeFill="text1" w:themeFillTint="33"/>
          </w:tcPr>
          <w:p>
            <w:pPr>
              <w:rPr>
                <w:color w:val="auto"/>
              </w:rPr>
            </w:pPr>
            <w:r>
              <w:rPr>
                <w:color w:val="auto"/>
              </w:rPr>
              <w:t>Strongly disagree</w:t>
            </w:r>
          </w:p>
        </w:tc>
        <w:tc>
          <w:tcPr>
            <w:tcW w:w="2940" w:type="dxa"/>
            <w:shd w:val="clear" w:color="auto" w:fill="CCCCCC" w:themeFill="text1" w:themeFillTint="33"/>
          </w:tcPr>
          <w:p>
            <w:pPr>
              <w:rPr>
                <w:color w:val="auto"/>
              </w:rPr>
            </w:pPr>
            <w:r>
              <w:rPr>
                <w:color w:val="auto"/>
              </w:rPr>
              <w:t>2</w:t>
            </w:r>
          </w:p>
        </w:tc>
        <w:tc>
          <w:tcPr>
            <w:tcW w:w="2593"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36" w:hRule="atLeast"/>
        </w:trPr>
        <w:tc>
          <w:tcPr>
            <w:tcW w:w="4444" w:type="dxa"/>
            <w:shd w:val="clear" w:color="auto" w:fill="CCCCCC" w:themeFill="text1" w:themeFillTint="33"/>
          </w:tcPr>
          <w:p>
            <w:pPr>
              <w:rPr>
                <w:color w:val="auto"/>
              </w:rPr>
            </w:pPr>
            <w:r>
              <w:rPr>
                <w:color w:val="auto"/>
              </w:rPr>
              <w:t>Neutral</w:t>
            </w:r>
          </w:p>
        </w:tc>
        <w:tc>
          <w:tcPr>
            <w:tcW w:w="2940" w:type="dxa"/>
          </w:tcPr>
          <w:p>
            <w:pPr>
              <w:rPr>
                <w:color w:val="auto"/>
              </w:rPr>
            </w:pPr>
            <w:r>
              <w:rPr>
                <w:color w:val="auto"/>
              </w:rPr>
              <w:t>3</w:t>
            </w:r>
          </w:p>
        </w:tc>
        <w:tc>
          <w:tcPr>
            <w:tcW w:w="2593" w:type="dxa"/>
            <w:shd w:val="clear" w:color="auto" w:fill="CCCCCC" w:themeFill="text1" w:themeFillTint="33"/>
          </w:tcPr>
          <w:p>
            <w:pPr>
              <w:rPr>
                <w:color w:val="auto"/>
              </w:rPr>
            </w:pPr>
            <w:r>
              <w:rPr>
                <w:color w:val="auto"/>
              </w:rPr>
              <w:t>4.6%</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20" w:hRule="atLeast"/>
        </w:trPr>
        <w:tc>
          <w:tcPr>
            <w:tcW w:w="4444" w:type="dxa"/>
            <w:shd w:val="clear" w:color="auto" w:fill="CCCCCC" w:themeFill="text1" w:themeFillTint="33"/>
          </w:tcPr>
          <w:p>
            <w:pPr>
              <w:rPr>
                <w:color w:val="auto"/>
              </w:rPr>
            </w:pPr>
            <w:r>
              <w:rPr>
                <w:color w:val="auto"/>
              </w:rPr>
              <w:t>Agree</w:t>
            </w:r>
          </w:p>
        </w:tc>
        <w:tc>
          <w:tcPr>
            <w:tcW w:w="2940" w:type="dxa"/>
            <w:shd w:val="clear" w:color="auto" w:fill="CCCCCC" w:themeFill="text1" w:themeFillTint="33"/>
          </w:tcPr>
          <w:p>
            <w:pPr>
              <w:rPr>
                <w:color w:val="auto"/>
              </w:rPr>
            </w:pPr>
            <w:r>
              <w:rPr>
                <w:color w:val="auto"/>
              </w:rPr>
              <w:t>37</w:t>
            </w:r>
          </w:p>
        </w:tc>
        <w:tc>
          <w:tcPr>
            <w:tcW w:w="2593" w:type="dxa"/>
            <w:shd w:val="clear" w:color="auto" w:fill="CCCCCC" w:themeFill="text1" w:themeFillTint="33"/>
          </w:tcPr>
          <w:p>
            <w:pPr>
              <w:rPr>
                <w:color w:val="auto"/>
              </w:rPr>
            </w:pPr>
            <w:r>
              <w:rPr>
                <w:color w:val="auto"/>
              </w:rPr>
              <w:t>56.9%</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36" w:hRule="atLeast"/>
        </w:trPr>
        <w:tc>
          <w:tcPr>
            <w:tcW w:w="4444" w:type="dxa"/>
            <w:shd w:val="clear" w:color="auto" w:fill="CCCCCC" w:themeFill="text1" w:themeFillTint="33"/>
          </w:tcPr>
          <w:p>
            <w:pPr>
              <w:rPr>
                <w:color w:val="auto"/>
              </w:rPr>
            </w:pPr>
            <w:r>
              <w:rPr>
                <w:color w:val="auto"/>
              </w:rPr>
              <w:t>Strongly agree</w:t>
            </w:r>
          </w:p>
        </w:tc>
        <w:tc>
          <w:tcPr>
            <w:tcW w:w="2940" w:type="dxa"/>
          </w:tcPr>
          <w:p>
            <w:pPr>
              <w:rPr>
                <w:color w:val="auto"/>
              </w:rPr>
            </w:pPr>
            <w:r>
              <w:rPr>
                <w:color w:val="auto"/>
              </w:rPr>
              <w:t>23</w:t>
            </w:r>
          </w:p>
        </w:tc>
        <w:tc>
          <w:tcPr>
            <w:tcW w:w="2593" w:type="dxa"/>
            <w:shd w:val="clear" w:color="auto" w:fill="CCCCCC" w:themeFill="text1" w:themeFillTint="33"/>
          </w:tcPr>
          <w:p>
            <w:pPr>
              <w:rPr>
                <w:color w:val="auto"/>
              </w:rPr>
            </w:pPr>
            <w:r>
              <w:rPr>
                <w:color w:val="auto"/>
              </w:rPr>
              <w:t>35.4%</w:t>
            </w:r>
          </w:p>
        </w:tc>
      </w:tr>
    </w:tbl>
    <w:p>
      <w:pPr>
        <w:pStyle w:val="19"/>
        <w:rPr>
          <w:color w:val="auto"/>
          <w:lang w:val="en-US"/>
        </w:rPr>
      </w:pPr>
    </w:p>
    <w:p>
      <w:pPr>
        <w:pStyle w:val="19"/>
        <w:rPr>
          <w:color w:val="auto"/>
          <w:lang w:val="en-US"/>
        </w:rPr>
      </w:pPr>
      <w:r>
        <w:rPr>
          <w:color w:val="auto"/>
          <w:lang w:val="en-US"/>
        </w:rPr>
        <w:t>The table illustrates the proposed statement “I find this company interesting”. Besides, the respondents revealed that 3.1% of the total population strongly disagree 4.6% remains neutral with the proposed statement by neither agree nor disagree. Furthermore, 56.9% the respondents agree whereas 35.4% strongly agrees with the stated statement.</w:t>
      </w:r>
    </w:p>
    <w:p>
      <w:pPr>
        <w:spacing w:before="0" w:after="160" w:line="259" w:lineRule="auto"/>
        <w:rPr>
          <w:color w:val="auto"/>
        </w:rPr>
      </w:pPr>
      <w:r>
        <w:rPr>
          <w:color w:val="auto"/>
        </w:rPr>
        <w:br w:type="page"/>
      </w:r>
    </w:p>
    <w:p>
      <w:pPr>
        <w:rPr>
          <w:color w:val="auto"/>
        </w:rPr>
      </w:pPr>
    </w:p>
    <w:tbl>
      <w:tblPr>
        <w:tblStyle w:val="20"/>
        <w:tblW w:w="9607"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279"/>
        <w:gridCol w:w="2831"/>
        <w:gridCol w:w="2497"/>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23" w:hRule="atLeast"/>
        </w:trPr>
        <w:tc>
          <w:tcPr>
            <w:tcW w:w="9607" w:type="dxa"/>
            <w:gridSpan w:val="3"/>
            <w:shd w:val="clear" w:color="auto" w:fill="CCCCCC" w:themeFill="text1" w:themeFillTint="33"/>
          </w:tcPr>
          <w:p>
            <w:pPr>
              <w:rPr>
                <w:color w:val="auto"/>
              </w:rPr>
            </w:pPr>
            <w:r>
              <w:rPr>
                <w:b/>
                <w:bCs/>
                <w:color w:val="auto"/>
              </w:rPr>
              <w:t>This company appeals to my senses</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23" w:hRule="atLeast"/>
        </w:trPr>
        <w:tc>
          <w:tcPr>
            <w:tcW w:w="4279" w:type="dxa"/>
            <w:shd w:val="clear" w:color="auto" w:fill="CCCCCC" w:themeFill="text1" w:themeFillTint="33"/>
          </w:tcPr>
          <w:p>
            <w:pPr>
              <w:rPr>
                <w:color w:val="auto"/>
              </w:rPr>
            </w:pPr>
          </w:p>
        </w:tc>
        <w:tc>
          <w:tcPr>
            <w:tcW w:w="2831" w:type="dxa"/>
          </w:tcPr>
          <w:p>
            <w:pPr>
              <w:rPr>
                <w:color w:val="auto"/>
              </w:rPr>
            </w:pPr>
            <w:r>
              <w:rPr>
                <w:color w:val="auto"/>
              </w:rPr>
              <w:t>N</w:t>
            </w:r>
          </w:p>
        </w:tc>
        <w:tc>
          <w:tcPr>
            <w:tcW w:w="2496"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641" w:hRule="atLeast"/>
        </w:trPr>
        <w:tc>
          <w:tcPr>
            <w:tcW w:w="4279" w:type="dxa"/>
            <w:shd w:val="clear" w:color="auto" w:fill="CCCCCC" w:themeFill="text1" w:themeFillTint="33"/>
          </w:tcPr>
          <w:p>
            <w:pPr>
              <w:rPr>
                <w:color w:val="auto"/>
              </w:rPr>
            </w:pPr>
            <w:r>
              <w:rPr>
                <w:color w:val="auto"/>
              </w:rPr>
              <w:t>Strongly disagree</w:t>
            </w:r>
          </w:p>
        </w:tc>
        <w:tc>
          <w:tcPr>
            <w:tcW w:w="2831" w:type="dxa"/>
            <w:shd w:val="clear" w:color="auto" w:fill="CCCCCC" w:themeFill="text1" w:themeFillTint="33"/>
          </w:tcPr>
          <w:p>
            <w:pPr>
              <w:rPr>
                <w:color w:val="auto"/>
              </w:rPr>
            </w:pPr>
            <w:r>
              <w:rPr>
                <w:color w:val="auto"/>
              </w:rPr>
              <w:t>2</w:t>
            </w:r>
          </w:p>
        </w:tc>
        <w:tc>
          <w:tcPr>
            <w:tcW w:w="2496"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23" w:hRule="atLeast"/>
        </w:trPr>
        <w:tc>
          <w:tcPr>
            <w:tcW w:w="4279" w:type="dxa"/>
            <w:shd w:val="clear" w:color="auto" w:fill="CCCCCC" w:themeFill="text1" w:themeFillTint="33"/>
          </w:tcPr>
          <w:p>
            <w:pPr>
              <w:rPr>
                <w:color w:val="auto"/>
              </w:rPr>
            </w:pPr>
            <w:r>
              <w:rPr>
                <w:color w:val="auto"/>
              </w:rPr>
              <w:t>Neutral</w:t>
            </w:r>
          </w:p>
        </w:tc>
        <w:tc>
          <w:tcPr>
            <w:tcW w:w="2831" w:type="dxa"/>
          </w:tcPr>
          <w:p>
            <w:pPr>
              <w:rPr>
                <w:color w:val="auto"/>
              </w:rPr>
            </w:pPr>
            <w:r>
              <w:rPr>
                <w:color w:val="auto"/>
              </w:rPr>
              <w:t>12</w:t>
            </w:r>
          </w:p>
        </w:tc>
        <w:tc>
          <w:tcPr>
            <w:tcW w:w="2496" w:type="dxa"/>
            <w:shd w:val="clear" w:color="auto" w:fill="CCCCCC" w:themeFill="text1" w:themeFillTint="33"/>
          </w:tcPr>
          <w:p>
            <w:pPr>
              <w:rPr>
                <w:color w:val="auto"/>
              </w:rPr>
            </w:pPr>
            <w:r>
              <w:rPr>
                <w:color w:val="auto"/>
              </w:rPr>
              <w:t>18.5%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13" w:hRule="atLeast"/>
        </w:trPr>
        <w:tc>
          <w:tcPr>
            <w:tcW w:w="4279" w:type="dxa"/>
            <w:shd w:val="clear" w:color="auto" w:fill="CCCCCC" w:themeFill="text1" w:themeFillTint="33"/>
          </w:tcPr>
          <w:p>
            <w:pPr>
              <w:rPr>
                <w:color w:val="auto"/>
              </w:rPr>
            </w:pPr>
            <w:r>
              <w:rPr>
                <w:color w:val="auto"/>
              </w:rPr>
              <w:t>Agree</w:t>
            </w:r>
          </w:p>
        </w:tc>
        <w:tc>
          <w:tcPr>
            <w:tcW w:w="2831" w:type="dxa"/>
            <w:shd w:val="clear" w:color="auto" w:fill="CCCCCC" w:themeFill="text1" w:themeFillTint="33"/>
          </w:tcPr>
          <w:p>
            <w:pPr>
              <w:rPr>
                <w:color w:val="auto"/>
              </w:rPr>
            </w:pPr>
            <w:r>
              <w:rPr>
                <w:color w:val="auto"/>
              </w:rPr>
              <w:t>35</w:t>
            </w:r>
          </w:p>
        </w:tc>
        <w:tc>
          <w:tcPr>
            <w:tcW w:w="2496" w:type="dxa"/>
            <w:shd w:val="clear" w:color="auto" w:fill="CCCCCC" w:themeFill="text1" w:themeFillTint="33"/>
          </w:tcPr>
          <w:p>
            <w:pPr>
              <w:rPr>
                <w:color w:val="auto"/>
              </w:rPr>
            </w:pPr>
            <w:r>
              <w:rPr>
                <w:color w:val="auto"/>
              </w:rPr>
              <w:t>53.8%</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34" w:hRule="atLeast"/>
        </w:trPr>
        <w:tc>
          <w:tcPr>
            <w:tcW w:w="4279" w:type="dxa"/>
            <w:shd w:val="clear" w:color="auto" w:fill="CCCCCC" w:themeFill="text1" w:themeFillTint="33"/>
          </w:tcPr>
          <w:p>
            <w:pPr>
              <w:rPr>
                <w:color w:val="auto"/>
              </w:rPr>
            </w:pPr>
            <w:r>
              <w:rPr>
                <w:color w:val="auto"/>
              </w:rPr>
              <w:t>Strongly agree</w:t>
            </w:r>
          </w:p>
        </w:tc>
        <w:tc>
          <w:tcPr>
            <w:tcW w:w="2831" w:type="dxa"/>
          </w:tcPr>
          <w:p>
            <w:pPr>
              <w:rPr>
                <w:color w:val="auto"/>
              </w:rPr>
            </w:pPr>
            <w:r>
              <w:rPr>
                <w:color w:val="auto"/>
              </w:rPr>
              <w:t>16</w:t>
            </w:r>
          </w:p>
        </w:tc>
        <w:tc>
          <w:tcPr>
            <w:tcW w:w="2496" w:type="dxa"/>
            <w:shd w:val="clear" w:color="auto" w:fill="CCCCCC" w:themeFill="text1" w:themeFillTint="33"/>
          </w:tcPr>
          <w:p>
            <w:pPr>
              <w:rPr>
                <w:color w:val="auto"/>
              </w:rPr>
            </w:pPr>
            <w:r>
              <w:rPr>
                <w:color w:val="auto"/>
              </w:rPr>
              <w:t>24.6%</w:t>
            </w:r>
          </w:p>
        </w:tc>
      </w:tr>
    </w:tbl>
    <w:p>
      <w:pPr>
        <w:pStyle w:val="19"/>
        <w:rPr>
          <w:color w:val="auto"/>
          <w:lang w:val="en-US"/>
        </w:rPr>
      </w:pPr>
    </w:p>
    <w:p>
      <w:pPr>
        <w:pStyle w:val="19"/>
        <w:ind w:firstLine="720"/>
        <w:rPr>
          <w:color w:val="auto"/>
          <w:lang w:val="en-US"/>
        </w:rPr>
      </w:pPr>
      <w:r>
        <w:rPr>
          <w:color w:val="auto"/>
          <w:lang w:val="en-US"/>
        </w:rPr>
        <w:t>The table illustrates the proposed statement “This company appeals to my sense”. Besides, the respondents revealed that 3.1% of the total population strongly disagree and 18.5% remains neutral with the proposed statement by neither agree nor disagree. Furthermore, 53.8% the respondents agree whereas 24.6% strongly agrees with the stated statement.</w:t>
      </w:r>
    </w:p>
    <w:tbl>
      <w:tblPr>
        <w:tblStyle w:val="20"/>
        <w:tblW w:w="9586"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270"/>
        <w:gridCol w:w="2825"/>
        <w:gridCol w:w="2491"/>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85" w:hRule="atLeast"/>
        </w:trPr>
        <w:tc>
          <w:tcPr>
            <w:tcW w:w="9586" w:type="dxa"/>
            <w:gridSpan w:val="3"/>
            <w:shd w:val="clear" w:color="auto" w:fill="CCCCCC" w:themeFill="text1" w:themeFillTint="33"/>
          </w:tcPr>
          <w:p>
            <w:pPr>
              <w:rPr>
                <w:color w:val="auto"/>
              </w:rPr>
            </w:pPr>
            <w:r>
              <w:rPr>
                <w:b/>
                <w:bCs/>
                <w:color w:val="auto"/>
              </w:rPr>
              <w:t>This brand induces my feelings and sentiments.</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13" w:hRule="atLeast"/>
        </w:trPr>
        <w:tc>
          <w:tcPr>
            <w:tcW w:w="4270" w:type="dxa"/>
            <w:shd w:val="clear" w:color="auto" w:fill="CCCCCC" w:themeFill="text1" w:themeFillTint="33"/>
          </w:tcPr>
          <w:p>
            <w:pPr>
              <w:rPr>
                <w:color w:val="auto"/>
              </w:rPr>
            </w:pPr>
          </w:p>
        </w:tc>
        <w:tc>
          <w:tcPr>
            <w:tcW w:w="2825" w:type="dxa"/>
          </w:tcPr>
          <w:p>
            <w:pPr>
              <w:rPr>
                <w:color w:val="auto"/>
              </w:rPr>
            </w:pPr>
            <w:r>
              <w:rPr>
                <w:color w:val="auto"/>
              </w:rPr>
              <w:t>N</w:t>
            </w:r>
          </w:p>
        </w:tc>
        <w:tc>
          <w:tcPr>
            <w:tcW w:w="2491"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85" w:hRule="atLeast"/>
        </w:trPr>
        <w:tc>
          <w:tcPr>
            <w:tcW w:w="4270" w:type="dxa"/>
            <w:shd w:val="clear" w:color="auto" w:fill="CCCCCC" w:themeFill="text1" w:themeFillTint="33"/>
          </w:tcPr>
          <w:p>
            <w:pPr>
              <w:rPr>
                <w:color w:val="auto"/>
              </w:rPr>
            </w:pPr>
            <w:r>
              <w:rPr>
                <w:color w:val="auto"/>
              </w:rPr>
              <w:t>Strongly disagree</w:t>
            </w:r>
          </w:p>
        </w:tc>
        <w:tc>
          <w:tcPr>
            <w:tcW w:w="2825" w:type="dxa"/>
            <w:shd w:val="clear" w:color="auto" w:fill="CCCCCC" w:themeFill="text1" w:themeFillTint="33"/>
          </w:tcPr>
          <w:p>
            <w:pPr>
              <w:rPr>
                <w:color w:val="auto"/>
              </w:rPr>
            </w:pPr>
            <w:r>
              <w:rPr>
                <w:color w:val="auto"/>
              </w:rPr>
              <w:t>3</w:t>
            </w:r>
          </w:p>
        </w:tc>
        <w:tc>
          <w:tcPr>
            <w:tcW w:w="2491" w:type="dxa"/>
            <w:shd w:val="clear" w:color="auto" w:fill="CCCCCC" w:themeFill="text1" w:themeFillTint="33"/>
          </w:tcPr>
          <w:p>
            <w:pPr>
              <w:rPr>
                <w:color w:val="auto"/>
              </w:rPr>
            </w:pPr>
            <w:r>
              <w:rPr>
                <w:color w:val="auto"/>
              </w:rPr>
              <w:t>4.6%</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13" w:hRule="atLeast"/>
        </w:trPr>
        <w:tc>
          <w:tcPr>
            <w:tcW w:w="4270" w:type="dxa"/>
            <w:shd w:val="clear" w:color="auto" w:fill="CCCCCC" w:themeFill="text1" w:themeFillTint="33"/>
          </w:tcPr>
          <w:p>
            <w:pPr>
              <w:rPr>
                <w:color w:val="auto"/>
              </w:rPr>
            </w:pPr>
            <w:r>
              <w:rPr>
                <w:color w:val="auto"/>
              </w:rPr>
              <w:t>Disagree</w:t>
            </w:r>
          </w:p>
        </w:tc>
        <w:tc>
          <w:tcPr>
            <w:tcW w:w="2825" w:type="dxa"/>
          </w:tcPr>
          <w:p>
            <w:pPr>
              <w:rPr>
                <w:color w:val="auto"/>
              </w:rPr>
            </w:pPr>
            <w:r>
              <w:rPr>
                <w:color w:val="auto"/>
              </w:rPr>
              <w:t>1</w:t>
            </w:r>
          </w:p>
        </w:tc>
        <w:tc>
          <w:tcPr>
            <w:tcW w:w="2491"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93" w:hRule="atLeast"/>
        </w:trPr>
        <w:tc>
          <w:tcPr>
            <w:tcW w:w="4270" w:type="dxa"/>
            <w:shd w:val="clear" w:color="auto" w:fill="CCCCCC" w:themeFill="text1" w:themeFillTint="33"/>
          </w:tcPr>
          <w:p>
            <w:pPr>
              <w:rPr>
                <w:color w:val="auto"/>
              </w:rPr>
            </w:pPr>
            <w:r>
              <w:rPr>
                <w:color w:val="auto"/>
              </w:rPr>
              <w:t>Neutral</w:t>
            </w:r>
          </w:p>
        </w:tc>
        <w:tc>
          <w:tcPr>
            <w:tcW w:w="2825" w:type="dxa"/>
            <w:shd w:val="clear" w:color="auto" w:fill="CCCCCC" w:themeFill="text1" w:themeFillTint="33"/>
          </w:tcPr>
          <w:p>
            <w:pPr>
              <w:rPr>
                <w:color w:val="auto"/>
              </w:rPr>
            </w:pPr>
            <w:r>
              <w:rPr>
                <w:color w:val="auto"/>
              </w:rPr>
              <w:t>12</w:t>
            </w:r>
          </w:p>
        </w:tc>
        <w:tc>
          <w:tcPr>
            <w:tcW w:w="2491" w:type="dxa"/>
            <w:shd w:val="clear" w:color="auto" w:fill="CCCCCC" w:themeFill="text1" w:themeFillTint="33"/>
          </w:tcPr>
          <w:p>
            <w:pPr>
              <w:rPr>
                <w:color w:val="auto"/>
              </w:rPr>
            </w:pPr>
            <w:r>
              <w:rPr>
                <w:color w:val="auto"/>
              </w:rPr>
              <w:t>18.5%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413" w:hRule="atLeast"/>
        </w:trPr>
        <w:tc>
          <w:tcPr>
            <w:tcW w:w="4270" w:type="dxa"/>
            <w:shd w:val="clear" w:color="auto" w:fill="CCCCCC" w:themeFill="text1" w:themeFillTint="33"/>
          </w:tcPr>
          <w:p>
            <w:pPr>
              <w:rPr>
                <w:color w:val="auto"/>
              </w:rPr>
            </w:pPr>
            <w:r>
              <w:rPr>
                <w:color w:val="auto"/>
              </w:rPr>
              <w:t>Agree</w:t>
            </w:r>
          </w:p>
        </w:tc>
        <w:tc>
          <w:tcPr>
            <w:tcW w:w="2825" w:type="dxa"/>
          </w:tcPr>
          <w:p>
            <w:pPr>
              <w:rPr>
                <w:color w:val="auto"/>
              </w:rPr>
            </w:pPr>
            <w:r>
              <w:rPr>
                <w:color w:val="auto"/>
              </w:rPr>
              <w:t>31</w:t>
            </w:r>
          </w:p>
        </w:tc>
        <w:tc>
          <w:tcPr>
            <w:tcW w:w="2491" w:type="dxa"/>
            <w:shd w:val="clear" w:color="auto" w:fill="CCCCCC" w:themeFill="text1" w:themeFillTint="33"/>
          </w:tcPr>
          <w:p>
            <w:pPr>
              <w:rPr>
                <w:color w:val="auto"/>
              </w:rPr>
            </w:pPr>
            <w:r>
              <w:rPr>
                <w:color w:val="auto"/>
              </w:rPr>
              <w:t>47.7%</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93" w:hRule="atLeast"/>
        </w:trPr>
        <w:tc>
          <w:tcPr>
            <w:tcW w:w="4270" w:type="dxa"/>
            <w:shd w:val="clear" w:color="auto" w:fill="CCCCCC" w:themeFill="text1" w:themeFillTint="33"/>
          </w:tcPr>
          <w:p>
            <w:pPr>
              <w:rPr>
                <w:color w:val="auto"/>
              </w:rPr>
            </w:pPr>
            <w:r>
              <w:rPr>
                <w:color w:val="auto"/>
              </w:rPr>
              <w:t>Strongly agree</w:t>
            </w:r>
          </w:p>
        </w:tc>
        <w:tc>
          <w:tcPr>
            <w:tcW w:w="2825" w:type="dxa"/>
            <w:shd w:val="clear" w:color="auto" w:fill="CCCCCC" w:themeFill="text1" w:themeFillTint="33"/>
          </w:tcPr>
          <w:p>
            <w:pPr>
              <w:rPr>
                <w:color w:val="auto"/>
              </w:rPr>
            </w:pPr>
            <w:r>
              <w:rPr>
                <w:color w:val="auto"/>
              </w:rPr>
              <w:t>18</w:t>
            </w:r>
          </w:p>
        </w:tc>
        <w:tc>
          <w:tcPr>
            <w:tcW w:w="2491" w:type="dxa"/>
            <w:shd w:val="clear" w:color="auto" w:fill="CCCCCC" w:themeFill="text1" w:themeFillTint="33"/>
          </w:tcPr>
          <w:p>
            <w:pPr>
              <w:rPr>
                <w:color w:val="auto"/>
              </w:rPr>
            </w:pPr>
            <w:r>
              <w:rPr>
                <w:color w:val="auto"/>
              </w:rPr>
              <w:t>27.7%</w:t>
            </w:r>
          </w:p>
        </w:tc>
      </w:tr>
    </w:tbl>
    <w:p>
      <w:pPr>
        <w:pStyle w:val="19"/>
        <w:rPr>
          <w:color w:val="auto"/>
          <w:lang w:val="en-US"/>
        </w:rPr>
      </w:pPr>
    </w:p>
    <w:p>
      <w:pPr>
        <w:pStyle w:val="19"/>
        <w:rPr>
          <w:color w:val="auto"/>
          <w:lang w:val="en-US"/>
        </w:rPr>
      </w:pPr>
      <w:r>
        <w:rPr>
          <w:color w:val="auto"/>
          <w:lang w:val="en-US"/>
        </w:rPr>
        <w:t>The table illustrates the proposed statement “This brand induces my feelings and sentiments”. Besides, the respondents revealed that 4.6% of the total population strongly disagree and 1.5% disagree with the proposed statement. Moreover, 18.5% remains neutral with the proposed statement by neither agree nor disagree. Furthermore, 47.7% the respondents agree whereas 27.7% strongly agrees with the stated statement.</w:t>
      </w:r>
    </w:p>
    <w:tbl>
      <w:tblPr>
        <w:tblStyle w:val="20"/>
        <w:tblW w:w="8910"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3969"/>
        <w:gridCol w:w="2626"/>
        <w:gridCol w:w="2315"/>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51" w:hRule="atLeast"/>
        </w:trPr>
        <w:tc>
          <w:tcPr>
            <w:tcW w:w="8910" w:type="dxa"/>
            <w:gridSpan w:val="3"/>
            <w:shd w:val="clear" w:color="auto" w:fill="CCCCCC" w:themeFill="text1" w:themeFillTint="33"/>
          </w:tcPr>
          <w:p>
            <w:pPr>
              <w:rPr>
                <w:color w:val="auto"/>
              </w:rPr>
            </w:pPr>
            <w:r>
              <w:rPr>
                <w:b/>
                <w:bCs/>
                <w:color w:val="auto"/>
              </w:rPr>
              <w:t>I have strong emotions for this brand.</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89" w:hRule="atLeast"/>
        </w:trPr>
        <w:tc>
          <w:tcPr>
            <w:tcW w:w="3969" w:type="dxa"/>
            <w:shd w:val="clear" w:color="auto" w:fill="CCCCCC" w:themeFill="text1" w:themeFillTint="33"/>
          </w:tcPr>
          <w:p>
            <w:pPr>
              <w:rPr>
                <w:color w:val="auto"/>
              </w:rPr>
            </w:pPr>
          </w:p>
        </w:tc>
        <w:tc>
          <w:tcPr>
            <w:tcW w:w="2626" w:type="dxa"/>
          </w:tcPr>
          <w:p>
            <w:pPr>
              <w:rPr>
                <w:color w:val="auto"/>
              </w:rPr>
            </w:pPr>
            <w:r>
              <w:rPr>
                <w:color w:val="auto"/>
              </w:rPr>
              <w:t>N</w:t>
            </w:r>
          </w:p>
        </w:tc>
        <w:tc>
          <w:tcPr>
            <w:tcW w:w="2315"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51" w:hRule="atLeast"/>
        </w:trPr>
        <w:tc>
          <w:tcPr>
            <w:tcW w:w="3969" w:type="dxa"/>
            <w:shd w:val="clear" w:color="auto" w:fill="CCCCCC" w:themeFill="text1" w:themeFillTint="33"/>
          </w:tcPr>
          <w:p>
            <w:pPr>
              <w:rPr>
                <w:color w:val="auto"/>
              </w:rPr>
            </w:pPr>
            <w:r>
              <w:rPr>
                <w:color w:val="auto"/>
              </w:rPr>
              <w:t>Strongly disagree</w:t>
            </w:r>
          </w:p>
        </w:tc>
        <w:tc>
          <w:tcPr>
            <w:tcW w:w="2626" w:type="dxa"/>
            <w:shd w:val="clear" w:color="auto" w:fill="CCCCCC" w:themeFill="text1" w:themeFillTint="33"/>
          </w:tcPr>
          <w:p>
            <w:pPr>
              <w:rPr>
                <w:color w:val="auto"/>
              </w:rPr>
            </w:pPr>
            <w:r>
              <w:rPr>
                <w:color w:val="auto"/>
              </w:rPr>
              <w:t>1</w:t>
            </w:r>
          </w:p>
        </w:tc>
        <w:tc>
          <w:tcPr>
            <w:tcW w:w="2315"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89" w:hRule="atLeast"/>
        </w:trPr>
        <w:tc>
          <w:tcPr>
            <w:tcW w:w="3969" w:type="dxa"/>
            <w:shd w:val="clear" w:color="auto" w:fill="CCCCCC" w:themeFill="text1" w:themeFillTint="33"/>
          </w:tcPr>
          <w:p>
            <w:pPr>
              <w:rPr>
                <w:color w:val="auto"/>
              </w:rPr>
            </w:pPr>
            <w:r>
              <w:rPr>
                <w:color w:val="auto"/>
              </w:rPr>
              <w:t>Disagree</w:t>
            </w:r>
          </w:p>
        </w:tc>
        <w:tc>
          <w:tcPr>
            <w:tcW w:w="2626" w:type="dxa"/>
          </w:tcPr>
          <w:p>
            <w:pPr>
              <w:rPr>
                <w:color w:val="auto"/>
              </w:rPr>
            </w:pPr>
            <w:r>
              <w:rPr>
                <w:color w:val="auto"/>
              </w:rPr>
              <w:t>2</w:t>
            </w:r>
          </w:p>
        </w:tc>
        <w:tc>
          <w:tcPr>
            <w:tcW w:w="2315"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75" w:hRule="atLeast"/>
        </w:trPr>
        <w:tc>
          <w:tcPr>
            <w:tcW w:w="3969" w:type="dxa"/>
            <w:shd w:val="clear" w:color="auto" w:fill="CCCCCC" w:themeFill="text1" w:themeFillTint="33"/>
          </w:tcPr>
          <w:p>
            <w:pPr>
              <w:rPr>
                <w:color w:val="auto"/>
              </w:rPr>
            </w:pPr>
            <w:r>
              <w:rPr>
                <w:color w:val="auto"/>
              </w:rPr>
              <w:t>Neutral</w:t>
            </w:r>
          </w:p>
        </w:tc>
        <w:tc>
          <w:tcPr>
            <w:tcW w:w="2626" w:type="dxa"/>
            <w:shd w:val="clear" w:color="auto" w:fill="CCCCCC" w:themeFill="text1" w:themeFillTint="33"/>
          </w:tcPr>
          <w:p>
            <w:pPr>
              <w:rPr>
                <w:color w:val="auto"/>
              </w:rPr>
            </w:pPr>
            <w:r>
              <w:rPr>
                <w:color w:val="auto"/>
              </w:rPr>
              <w:t>10</w:t>
            </w:r>
          </w:p>
        </w:tc>
        <w:tc>
          <w:tcPr>
            <w:tcW w:w="2315" w:type="dxa"/>
            <w:shd w:val="clear" w:color="auto" w:fill="CCCCCC" w:themeFill="text1" w:themeFillTint="33"/>
          </w:tcPr>
          <w:p>
            <w:pPr>
              <w:rPr>
                <w:color w:val="auto"/>
              </w:rPr>
            </w:pPr>
            <w:r>
              <w:rPr>
                <w:color w:val="auto"/>
              </w:rPr>
              <w:t>15.4%</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89" w:hRule="atLeast"/>
        </w:trPr>
        <w:tc>
          <w:tcPr>
            <w:tcW w:w="3969" w:type="dxa"/>
            <w:shd w:val="clear" w:color="auto" w:fill="CCCCCC" w:themeFill="text1" w:themeFillTint="33"/>
          </w:tcPr>
          <w:p>
            <w:pPr>
              <w:rPr>
                <w:color w:val="auto"/>
              </w:rPr>
            </w:pPr>
            <w:r>
              <w:rPr>
                <w:color w:val="auto"/>
              </w:rPr>
              <w:t>Agree</w:t>
            </w:r>
          </w:p>
        </w:tc>
        <w:tc>
          <w:tcPr>
            <w:tcW w:w="2626" w:type="dxa"/>
          </w:tcPr>
          <w:p>
            <w:pPr>
              <w:rPr>
                <w:color w:val="auto"/>
              </w:rPr>
            </w:pPr>
            <w:r>
              <w:rPr>
                <w:color w:val="auto"/>
              </w:rPr>
              <w:t>34</w:t>
            </w:r>
          </w:p>
        </w:tc>
        <w:tc>
          <w:tcPr>
            <w:tcW w:w="2315" w:type="dxa"/>
            <w:shd w:val="clear" w:color="auto" w:fill="CCCCCC" w:themeFill="text1" w:themeFillTint="33"/>
          </w:tcPr>
          <w:p>
            <w:pPr>
              <w:rPr>
                <w:color w:val="auto"/>
              </w:rPr>
            </w:pPr>
            <w:r>
              <w:rPr>
                <w:color w:val="auto"/>
              </w:rPr>
              <w:t>52.3%</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75" w:hRule="atLeast"/>
        </w:trPr>
        <w:tc>
          <w:tcPr>
            <w:tcW w:w="3969" w:type="dxa"/>
            <w:shd w:val="clear" w:color="auto" w:fill="CCCCCC" w:themeFill="text1" w:themeFillTint="33"/>
          </w:tcPr>
          <w:p>
            <w:pPr>
              <w:rPr>
                <w:color w:val="auto"/>
              </w:rPr>
            </w:pPr>
            <w:r>
              <w:rPr>
                <w:color w:val="auto"/>
              </w:rPr>
              <w:t>Strongly agree</w:t>
            </w:r>
          </w:p>
        </w:tc>
        <w:tc>
          <w:tcPr>
            <w:tcW w:w="2626" w:type="dxa"/>
            <w:shd w:val="clear" w:color="auto" w:fill="CCCCCC" w:themeFill="text1" w:themeFillTint="33"/>
          </w:tcPr>
          <w:p>
            <w:pPr>
              <w:rPr>
                <w:color w:val="auto"/>
              </w:rPr>
            </w:pPr>
            <w:r>
              <w:rPr>
                <w:color w:val="auto"/>
              </w:rPr>
              <w:t>18</w:t>
            </w:r>
          </w:p>
        </w:tc>
        <w:tc>
          <w:tcPr>
            <w:tcW w:w="2315" w:type="dxa"/>
            <w:shd w:val="clear" w:color="auto" w:fill="CCCCCC" w:themeFill="text1" w:themeFillTint="33"/>
          </w:tcPr>
          <w:p>
            <w:pPr>
              <w:rPr>
                <w:color w:val="auto"/>
              </w:rPr>
            </w:pPr>
            <w:r>
              <w:rPr>
                <w:color w:val="auto"/>
              </w:rPr>
              <w:t>27.7%</w:t>
            </w:r>
          </w:p>
        </w:tc>
      </w:tr>
    </w:tbl>
    <w:p>
      <w:pPr>
        <w:pStyle w:val="19"/>
        <w:rPr>
          <w:color w:val="auto"/>
          <w:lang w:val="en-US"/>
        </w:rPr>
      </w:pPr>
    </w:p>
    <w:p>
      <w:pPr>
        <w:pStyle w:val="19"/>
        <w:rPr>
          <w:color w:val="auto"/>
          <w:lang w:val="en-US"/>
        </w:rPr>
      </w:pPr>
      <w:r>
        <w:rPr>
          <w:color w:val="auto"/>
          <w:lang w:val="en-US"/>
        </w:rPr>
        <w:t>The table illustrates the proposed statement “</w:t>
      </w:r>
      <w:r>
        <w:rPr>
          <w:color w:val="auto"/>
        </w:rPr>
        <w:t>I have strong emotions for this brand</w:t>
      </w:r>
      <w:r>
        <w:rPr>
          <w:color w:val="auto"/>
          <w:lang w:val="en-US"/>
        </w:rPr>
        <w:t>”. Besides, the respondents revealed that 1.5% of the total population strongly disagree and 3.1% disagree with the proposed statement. Moreover, 15.4% remains neutral with the proposed statement by neither agree nor disagree. Furthermore, 52.3% the respondents agree whereas 27.7% strongly agrees with the stated statement.</w:t>
      </w:r>
    </w:p>
    <w:tbl>
      <w:tblPr>
        <w:tblStyle w:val="20"/>
        <w:tblW w:w="8998"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009"/>
        <w:gridCol w:w="2652"/>
        <w:gridCol w:w="2337"/>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842" w:hRule="atLeast"/>
        </w:trPr>
        <w:tc>
          <w:tcPr>
            <w:tcW w:w="8998" w:type="dxa"/>
            <w:gridSpan w:val="3"/>
            <w:shd w:val="clear" w:color="auto" w:fill="CCCCCC" w:themeFill="text1" w:themeFillTint="33"/>
          </w:tcPr>
          <w:p>
            <w:pPr>
              <w:rPr>
                <w:color w:val="auto"/>
              </w:rPr>
            </w:pPr>
            <w:r>
              <w:rPr>
                <w:color w:val="auto"/>
              </w:rPr>
              <w:br w:type="page"/>
            </w:r>
            <w:r>
              <w:rPr>
                <w:b/>
                <w:bCs/>
                <w:color w:val="auto"/>
              </w:rPr>
              <w:t>I can count on TATA Motors to consider how its actions will affect customers like me.</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95" w:hRule="atLeast"/>
        </w:trPr>
        <w:tc>
          <w:tcPr>
            <w:tcW w:w="4009" w:type="dxa"/>
            <w:shd w:val="clear" w:color="auto" w:fill="CCCCCC" w:themeFill="text1" w:themeFillTint="33"/>
          </w:tcPr>
          <w:p>
            <w:pPr>
              <w:rPr>
                <w:color w:val="auto"/>
              </w:rPr>
            </w:pPr>
          </w:p>
        </w:tc>
        <w:tc>
          <w:tcPr>
            <w:tcW w:w="2652" w:type="dxa"/>
          </w:tcPr>
          <w:p>
            <w:pPr>
              <w:rPr>
                <w:color w:val="auto"/>
              </w:rPr>
            </w:pPr>
            <w:r>
              <w:rPr>
                <w:color w:val="auto"/>
              </w:rPr>
              <w:t>N</w:t>
            </w:r>
          </w:p>
        </w:tc>
        <w:tc>
          <w:tcPr>
            <w:tcW w:w="2337"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61" w:hRule="atLeast"/>
        </w:trPr>
        <w:tc>
          <w:tcPr>
            <w:tcW w:w="4009" w:type="dxa"/>
            <w:shd w:val="clear" w:color="auto" w:fill="CCCCCC" w:themeFill="text1" w:themeFillTint="33"/>
          </w:tcPr>
          <w:p>
            <w:pPr>
              <w:rPr>
                <w:color w:val="auto"/>
              </w:rPr>
            </w:pPr>
            <w:r>
              <w:rPr>
                <w:color w:val="auto"/>
              </w:rPr>
              <w:t>Strongly disagree</w:t>
            </w:r>
          </w:p>
        </w:tc>
        <w:tc>
          <w:tcPr>
            <w:tcW w:w="2652" w:type="dxa"/>
            <w:shd w:val="clear" w:color="auto" w:fill="CCCCCC" w:themeFill="text1" w:themeFillTint="33"/>
          </w:tcPr>
          <w:p>
            <w:pPr>
              <w:rPr>
                <w:color w:val="auto"/>
              </w:rPr>
            </w:pPr>
            <w:r>
              <w:rPr>
                <w:color w:val="auto"/>
              </w:rPr>
              <w:t>2</w:t>
            </w:r>
          </w:p>
        </w:tc>
        <w:tc>
          <w:tcPr>
            <w:tcW w:w="2337" w:type="dxa"/>
            <w:shd w:val="clear" w:color="auto" w:fill="CCCCCC" w:themeFill="text1" w:themeFillTint="33"/>
          </w:tcPr>
          <w:p>
            <w:pPr>
              <w:rPr>
                <w:color w:val="auto"/>
              </w:rPr>
            </w:pPr>
            <w:r>
              <w:rPr>
                <w:color w:val="auto"/>
              </w:rPr>
              <w:t>3.1%</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95" w:hRule="atLeast"/>
        </w:trPr>
        <w:tc>
          <w:tcPr>
            <w:tcW w:w="4009" w:type="dxa"/>
            <w:shd w:val="clear" w:color="auto" w:fill="CCCCCC" w:themeFill="text1" w:themeFillTint="33"/>
          </w:tcPr>
          <w:p>
            <w:pPr>
              <w:rPr>
                <w:color w:val="auto"/>
              </w:rPr>
            </w:pPr>
            <w:r>
              <w:rPr>
                <w:color w:val="auto"/>
              </w:rPr>
              <w:t>Disagree</w:t>
            </w:r>
          </w:p>
        </w:tc>
        <w:tc>
          <w:tcPr>
            <w:tcW w:w="2652" w:type="dxa"/>
          </w:tcPr>
          <w:p>
            <w:pPr>
              <w:rPr>
                <w:color w:val="auto"/>
              </w:rPr>
            </w:pPr>
            <w:r>
              <w:rPr>
                <w:color w:val="auto"/>
              </w:rPr>
              <w:t>1</w:t>
            </w:r>
          </w:p>
        </w:tc>
        <w:tc>
          <w:tcPr>
            <w:tcW w:w="2337"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80" w:hRule="atLeast"/>
        </w:trPr>
        <w:tc>
          <w:tcPr>
            <w:tcW w:w="4009" w:type="dxa"/>
            <w:shd w:val="clear" w:color="auto" w:fill="CCCCCC" w:themeFill="text1" w:themeFillTint="33"/>
          </w:tcPr>
          <w:p>
            <w:pPr>
              <w:rPr>
                <w:color w:val="auto"/>
              </w:rPr>
            </w:pPr>
            <w:r>
              <w:rPr>
                <w:color w:val="auto"/>
              </w:rPr>
              <w:t>Neutral</w:t>
            </w:r>
          </w:p>
        </w:tc>
        <w:tc>
          <w:tcPr>
            <w:tcW w:w="2652" w:type="dxa"/>
            <w:shd w:val="clear" w:color="auto" w:fill="CCCCCC" w:themeFill="text1" w:themeFillTint="33"/>
          </w:tcPr>
          <w:p>
            <w:pPr>
              <w:rPr>
                <w:color w:val="auto"/>
              </w:rPr>
            </w:pPr>
            <w:r>
              <w:rPr>
                <w:color w:val="auto"/>
              </w:rPr>
              <w:t>10</w:t>
            </w:r>
          </w:p>
        </w:tc>
        <w:tc>
          <w:tcPr>
            <w:tcW w:w="2337" w:type="dxa"/>
            <w:shd w:val="clear" w:color="auto" w:fill="CCCCCC" w:themeFill="text1" w:themeFillTint="33"/>
          </w:tcPr>
          <w:p>
            <w:pPr>
              <w:rPr>
                <w:color w:val="auto"/>
              </w:rPr>
            </w:pPr>
            <w:r>
              <w:rPr>
                <w:color w:val="auto"/>
              </w:rPr>
              <w:t>15.4%</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95" w:hRule="atLeast"/>
        </w:trPr>
        <w:tc>
          <w:tcPr>
            <w:tcW w:w="4009" w:type="dxa"/>
            <w:shd w:val="clear" w:color="auto" w:fill="CCCCCC" w:themeFill="text1" w:themeFillTint="33"/>
          </w:tcPr>
          <w:p>
            <w:pPr>
              <w:rPr>
                <w:color w:val="auto"/>
              </w:rPr>
            </w:pPr>
            <w:r>
              <w:rPr>
                <w:color w:val="auto"/>
              </w:rPr>
              <w:t>Agree</w:t>
            </w:r>
          </w:p>
        </w:tc>
        <w:tc>
          <w:tcPr>
            <w:tcW w:w="2652" w:type="dxa"/>
          </w:tcPr>
          <w:p>
            <w:pPr>
              <w:rPr>
                <w:color w:val="auto"/>
              </w:rPr>
            </w:pPr>
            <w:r>
              <w:rPr>
                <w:color w:val="auto"/>
              </w:rPr>
              <w:t>32</w:t>
            </w:r>
          </w:p>
        </w:tc>
        <w:tc>
          <w:tcPr>
            <w:tcW w:w="2337" w:type="dxa"/>
            <w:shd w:val="clear" w:color="auto" w:fill="CCCCCC" w:themeFill="text1" w:themeFillTint="33"/>
          </w:tcPr>
          <w:p>
            <w:pPr>
              <w:rPr>
                <w:color w:val="auto"/>
              </w:rPr>
            </w:pPr>
            <w:r>
              <w:rPr>
                <w:color w:val="auto"/>
              </w:rPr>
              <w:t>49.2%</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280" w:hRule="atLeast"/>
        </w:trPr>
        <w:tc>
          <w:tcPr>
            <w:tcW w:w="4009" w:type="dxa"/>
            <w:shd w:val="clear" w:color="auto" w:fill="CCCCCC" w:themeFill="text1" w:themeFillTint="33"/>
          </w:tcPr>
          <w:p>
            <w:pPr>
              <w:rPr>
                <w:color w:val="auto"/>
              </w:rPr>
            </w:pPr>
            <w:r>
              <w:rPr>
                <w:color w:val="auto"/>
              </w:rPr>
              <w:t>Strongly agree</w:t>
            </w:r>
          </w:p>
        </w:tc>
        <w:tc>
          <w:tcPr>
            <w:tcW w:w="2652" w:type="dxa"/>
            <w:shd w:val="clear" w:color="auto" w:fill="CCCCCC" w:themeFill="text1" w:themeFillTint="33"/>
          </w:tcPr>
          <w:p>
            <w:pPr>
              <w:rPr>
                <w:color w:val="auto"/>
              </w:rPr>
            </w:pPr>
            <w:r>
              <w:rPr>
                <w:color w:val="auto"/>
              </w:rPr>
              <w:t>20</w:t>
            </w:r>
          </w:p>
        </w:tc>
        <w:tc>
          <w:tcPr>
            <w:tcW w:w="2337" w:type="dxa"/>
            <w:shd w:val="clear" w:color="auto" w:fill="CCCCCC" w:themeFill="text1" w:themeFillTint="33"/>
          </w:tcPr>
          <w:p>
            <w:pPr>
              <w:rPr>
                <w:color w:val="auto"/>
              </w:rPr>
            </w:pPr>
            <w:r>
              <w:rPr>
                <w:color w:val="auto"/>
              </w:rPr>
              <w:t>30.8%</w:t>
            </w:r>
          </w:p>
        </w:tc>
      </w:tr>
    </w:tbl>
    <w:p>
      <w:pPr>
        <w:pStyle w:val="19"/>
        <w:rPr>
          <w:color w:val="auto"/>
          <w:lang w:val="en-US"/>
        </w:rPr>
      </w:pPr>
    </w:p>
    <w:p>
      <w:pPr>
        <w:pStyle w:val="19"/>
        <w:rPr>
          <w:color w:val="auto"/>
          <w:lang w:val="en-US"/>
        </w:rPr>
      </w:pPr>
      <w:r>
        <w:rPr>
          <w:color w:val="auto"/>
          <w:lang w:val="en-US"/>
        </w:rPr>
        <w:t>The table illustrates the proposed statement “I can count on TATA Motors to consider how its actions will affect customers like me”. Besides, the respondents revealed that 3.1% of the total population strongly disagree and 1.5% disagree with the proposed statement. Moreover, 15.4% remains neutral with the proposed statement by neither agree nor disagree. Furthermore, 49.2% the respondents agree whereas30.8% strongly agrees with the stated statement.</w:t>
      </w:r>
    </w:p>
    <w:p>
      <w:pPr>
        <w:spacing w:before="0" w:after="160" w:line="259" w:lineRule="auto"/>
        <w:rPr>
          <w:color w:val="auto"/>
        </w:rPr>
      </w:pPr>
      <w:r>
        <w:rPr>
          <w:color w:val="auto"/>
        </w:rPr>
        <w:br w:type="page"/>
      </w:r>
    </w:p>
    <w:tbl>
      <w:tblPr>
        <w:tblStyle w:val="20"/>
        <w:tblW w:w="9040"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026"/>
        <w:gridCol w:w="2663"/>
        <w:gridCol w:w="2351"/>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890" w:hRule="atLeast"/>
        </w:trPr>
        <w:tc>
          <w:tcPr>
            <w:tcW w:w="9040" w:type="dxa"/>
            <w:gridSpan w:val="3"/>
            <w:shd w:val="clear" w:color="auto" w:fill="CCCCCC" w:themeFill="text1" w:themeFillTint="33"/>
          </w:tcPr>
          <w:p>
            <w:pPr>
              <w:rPr>
                <w:color w:val="auto"/>
              </w:rPr>
            </w:pPr>
            <w:r>
              <w:rPr>
                <w:b/>
                <w:bCs/>
                <w:color w:val="auto"/>
              </w:rPr>
              <w:t>When making decisions about its policies, the company is concerned about customers like me</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52" w:hRule="atLeast"/>
        </w:trPr>
        <w:tc>
          <w:tcPr>
            <w:tcW w:w="4026" w:type="dxa"/>
            <w:shd w:val="clear" w:color="auto" w:fill="CCCCCC" w:themeFill="text1" w:themeFillTint="33"/>
          </w:tcPr>
          <w:p>
            <w:pPr>
              <w:rPr>
                <w:color w:val="auto"/>
              </w:rPr>
            </w:pPr>
          </w:p>
        </w:tc>
        <w:tc>
          <w:tcPr>
            <w:tcW w:w="2663" w:type="dxa"/>
          </w:tcPr>
          <w:p>
            <w:pPr>
              <w:rPr>
                <w:color w:val="auto"/>
              </w:rPr>
            </w:pPr>
            <w:r>
              <w:rPr>
                <w:color w:val="auto"/>
              </w:rPr>
              <w:t>N</w:t>
            </w:r>
          </w:p>
        </w:tc>
        <w:tc>
          <w:tcPr>
            <w:tcW w:w="2351"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151" w:hRule="atLeast"/>
        </w:trPr>
        <w:tc>
          <w:tcPr>
            <w:tcW w:w="4026" w:type="dxa"/>
            <w:shd w:val="clear" w:color="auto" w:fill="CCCCCC" w:themeFill="text1" w:themeFillTint="33"/>
          </w:tcPr>
          <w:p>
            <w:pPr>
              <w:rPr>
                <w:color w:val="auto"/>
              </w:rPr>
            </w:pPr>
            <w:r>
              <w:rPr>
                <w:color w:val="auto"/>
              </w:rPr>
              <w:t>Strongly disagree</w:t>
            </w:r>
          </w:p>
        </w:tc>
        <w:tc>
          <w:tcPr>
            <w:tcW w:w="2663" w:type="dxa"/>
            <w:shd w:val="clear" w:color="auto" w:fill="CCCCCC" w:themeFill="text1" w:themeFillTint="33"/>
          </w:tcPr>
          <w:p>
            <w:pPr>
              <w:rPr>
                <w:color w:val="auto"/>
              </w:rPr>
            </w:pPr>
            <w:r>
              <w:rPr>
                <w:color w:val="auto"/>
              </w:rPr>
              <w:t>3</w:t>
            </w:r>
          </w:p>
        </w:tc>
        <w:tc>
          <w:tcPr>
            <w:tcW w:w="2351" w:type="dxa"/>
            <w:shd w:val="clear" w:color="auto" w:fill="CCCCCC" w:themeFill="text1" w:themeFillTint="33"/>
          </w:tcPr>
          <w:p>
            <w:pPr>
              <w:rPr>
                <w:color w:val="auto"/>
              </w:rPr>
            </w:pPr>
            <w:r>
              <w:rPr>
                <w:color w:val="auto"/>
              </w:rPr>
              <w:t>4.6%</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9" w:hRule="atLeast"/>
        </w:trPr>
        <w:tc>
          <w:tcPr>
            <w:tcW w:w="4026" w:type="dxa"/>
            <w:shd w:val="clear" w:color="auto" w:fill="CCCCCC" w:themeFill="text1" w:themeFillTint="33"/>
          </w:tcPr>
          <w:p>
            <w:pPr>
              <w:rPr>
                <w:color w:val="auto"/>
              </w:rPr>
            </w:pPr>
            <w:r>
              <w:rPr>
                <w:color w:val="auto"/>
              </w:rPr>
              <w:t>Disagree</w:t>
            </w:r>
          </w:p>
        </w:tc>
        <w:tc>
          <w:tcPr>
            <w:tcW w:w="2663" w:type="dxa"/>
          </w:tcPr>
          <w:p>
            <w:pPr>
              <w:rPr>
                <w:color w:val="auto"/>
              </w:rPr>
            </w:pPr>
            <w:r>
              <w:rPr>
                <w:color w:val="auto"/>
              </w:rPr>
              <w:t>1</w:t>
            </w:r>
          </w:p>
        </w:tc>
        <w:tc>
          <w:tcPr>
            <w:tcW w:w="2351"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5" w:hRule="atLeast"/>
        </w:trPr>
        <w:tc>
          <w:tcPr>
            <w:tcW w:w="4026" w:type="dxa"/>
            <w:shd w:val="clear" w:color="auto" w:fill="CCCCCC" w:themeFill="text1" w:themeFillTint="33"/>
          </w:tcPr>
          <w:p>
            <w:pPr>
              <w:rPr>
                <w:color w:val="auto"/>
              </w:rPr>
            </w:pPr>
            <w:r>
              <w:rPr>
                <w:color w:val="auto"/>
              </w:rPr>
              <w:t>Neutral</w:t>
            </w:r>
          </w:p>
        </w:tc>
        <w:tc>
          <w:tcPr>
            <w:tcW w:w="2663" w:type="dxa"/>
            <w:shd w:val="clear" w:color="auto" w:fill="CCCCCC" w:themeFill="text1" w:themeFillTint="33"/>
          </w:tcPr>
          <w:p>
            <w:pPr>
              <w:rPr>
                <w:color w:val="auto"/>
              </w:rPr>
            </w:pPr>
            <w:r>
              <w:rPr>
                <w:color w:val="auto"/>
              </w:rPr>
              <w:t>10</w:t>
            </w:r>
          </w:p>
        </w:tc>
        <w:tc>
          <w:tcPr>
            <w:tcW w:w="2351" w:type="dxa"/>
            <w:shd w:val="clear" w:color="auto" w:fill="CCCCCC" w:themeFill="text1" w:themeFillTint="33"/>
          </w:tcPr>
          <w:p>
            <w:pPr>
              <w:rPr>
                <w:color w:val="auto"/>
              </w:rPr>
            </w:pPr>
            <w:r>
              <w:rPr>
                <w:color w:val="auto"/>
              </w:rPr>
              <w:t>15.4%</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368" w:hRule="atLeast"/>
        </w:trPr>
        <w:tc>
          <w:tcPr>
            <w:tcW w:w="4026" w:type="dxa"/>
            <w:shd w:val="clear" w:color="auto" w:fill="CCCCCC" w:themeFill="text1" w:themeFillTint="33"/>
          </w:tcPr>
          <w:p>
            <w:pPr>
              <w:rPr>
                <w:color w:val="auto"/>
              </w:rPr>
            </w:pPr>
            <w:r>
              <w:rPr>
                <w:color w:val="auto"/>
              </w:rPr>
              <w:t>Agree</w:t>
            </w:r>
          </w:p>
        </w:tc>
        <w:tc>
          <w:tcPr>
            <w:tcW w:w="2663" w:type="dxa"/>
          </w:tcPr>
          <w:p>
            <w:pPr>
              <w:rPr>
                <w:color w:val="auto"/>
              </w:rPr>
            </w:pPr>
            <w:r>
              <w:rPr>
                <w:color w:val="auto"/>
              </w:rPr>
              <w:t>32</w:t>
            </w:r>
          </w:p>
        </w:tc>
        <w:tc>
          <w:tcPr>
            <w:tcW w:w="2351" w:type="dxa"/>
            <w:shd w:val="clear" w:color="auto" w:fill="CCCCCC" w:themeFill="text1" w:themeFillTint="33"/>
          </w:tcPr>
          <w:p>
            <w:pPr>
              <w:rPr>
                <w:color w:val="auto"/>
              </w:rPr>
            </w:pPr>
            <w:r>
              <w:rPr>
                <w:color w:val="auto"/>
              </w:rPr>
              <w:t>49.2%</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5" w:hRule="atLeast"/>
        </w:trPr>
        <w:tc>
          <w:tcPr>
            <w:tcW w:w="4026" w:type="dxa"/>
            <w:shd w:val="clear" w:color="auto" w:fill="CCCCCC" w:themeFill="text1" w:themeFillTint="33"/>
          </w:tcPr>
          <w:p>
            <w:pPr>
              <w:rPr>
                <w:color w:val="auto"/>
              </w:rPr>
            </w:pPr>
            <w:r>
              <w:rPr>
                <w:color w:val="auto"/>
              </w:rPr>
              <w:t>Strongly agree</w:t>
            </w:r>
          </w:p>
        </w:tc>
        <w:tc>
          <w:tcPr>
            <w:tcW w:w="2663" w:type="dxa"/>
            <w:shd w:val="clear" w:color="auto" w:fill="CCCCCC" w:themeFill="text1" w:themeFillTint="33"/>
          </w:tcPr>
          <w:p>
            <w:pPr>
              <w:rPr>
                <w:color w:val="auto"/>
              </w:rPr>
            </w:pPr>
            <w:r>
              <w:rPr>
                <w:color w:val="auto"/>
              </w:rPr>
              <w:t>19</w:t>
            </w:r>
          </w:p>
        </w:tc>
        <w:tc>
          <w:tcPr>
            <w:tcW w:w="2351" w:type="dxa"/>
            <w:shd w:val="clear" w:color="auto" w:fill="CCCCCC" w:themeFill="text1" w:themeFillTint="33"/>
          </w:tcPr>
          <w:p>
            <w:pPr>
              <w:rPr>
                <w:color w:val="auto"/>
              </w:rPr>
            </w:pPr>
            <w:r>
              <w:rPr>
                <w:color w:val="auto"/>
              </w:rPr>
              <w:t>29.2%</w:t>
            </w:r>
          </w:p>
        </w:tc>
      </w:tr>
    </w:tbl>
    <w:p>
      <w:pPr>
        <w:pStyle w:val="19"/>
        <w:rPr>
          <w:color w:val="auto"/>
          <w:lang w:val="en-US"/>
        </w:rPr>
      </w:pPr>
    </w:p>
    <w:p>
      <w:pPr>
        <w:pStyle w:val="19"/>
        <w:rPr>
          <w:color w:val="auto"/>
          <w:lang w:val="en-US"/>
        </w:rPr>
      </w:pPr>
      <w:r>
        <w:rPr>
          <w:color w:val="auto"/>
          <w:lang w:val="en-US"/>
        </w:rPr>
        <w:t>The table illustrates the proposed statement “When making decisions about ist policies, the company is concerned about customers like me”. Besides, the respondents revealed that 4.6% of the total population strongly disagree and 1.5% disagree with the proposed statement. Moreover, 15.4% remains neutral with the proposed statement by neither agree nor disagree. Furthermore, 49.2% the respondents agree whereas 29.2% strongly agrees with the stated statement.</w:t>
      </w:r>
    </w:p>
    <w:tbl>
      <w:tblPr>
        <w:tblStyle w:val="20"/>
        <w:tblW w:w="9020" w:type="dxa"/>
        <w:tblInd w:w="0" w:type="dxa"/>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Layout w:type="fixed"/>
        <w:tblCellMar>
          <w:top w:w="0" w:type="dxa"/>
          <w:left w:w="108" w:type="dxa"/>
          <w:bottom w:w="0" w:type="dxa"/>
          <w:right w:w="108" w:type="dxa"/>
        </w:tblCellMar>
      </w:tblPr>
      <w:tblGrid>
        <w:gridCol w:w="4018"/>
        <w:gridCol w:w="2658"/>
        <w:gridCol w:w="2344"/>
      </w:tblGrid>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62" w:hRule="atLeast"/>
        </w:trPr>
        <w:tc>
          <w:tcPr>
            <w:tcW w:w="9020" w:type="dxa"/>
            <w:gridSpan w:val="3"/>
            <w:shd w:val="clear" w:color="auto" w:fill="CCCCCC" w:themeFill="text1" w:themeFillTint="33"/>
          </w:tcPr>
          <w:p>
            <w:pPr>
              <w:rPr>
                <w:color w:val="auto"/>
              </w:rPr>
            </w:pPr>
            <w:r>
              <w:rPr>
                <w:b/>
                <w:bCs/>
                <w:color w:val="auto"/>
              </w:rPr>
              <w:t>I can depend on the company to be sincere in its communication.</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25" w:hRule="atLeast"/>
        </w:trPr>
        <w:tc>
          <w:tcPr>
            <w:tcW w:w="4018" w:type="dxa"/>
            <w:shd w:val="clear" w:color="auto" w:fill="CCCCCC" w:themeFill="text1" w:themeFillTint="33"/>
          </w:tcPr>
          <w:p>
            <w:pPr>
              <w:rPr>
                <w:color w:val="auto"/>
              </w:rPr>
            </w:pPr>
          </w:p>
        </w:tc>
        <w:tc>
          <w:tcPr>
            <w:tcW w:w="2658" w:type="dxa"/>
          </w:tcPr>
          <w:p>
            <w:pPr>
              <w:rPr>
                <w:color w:val="auto"/>
              </w:rPr>
            </w:pPr>
            <w:r>
              <w:rPr>
                <w:color w:val="auto"/>
              </w:rPr>
              <w:t>N</w:t>
            </w:r>
          </w:p>
        </w:tc>
        <w:tc>
          <w:tcPr>
            <w:tcW w:w="2344" w:type="dxa"/>
            <w:shd w:val="clear" w:color="auto" w:fill="CCCCCC" w:themeFill="text1" w:themeFillTint="33"/>
          </w:tcPr>
          <w:p>
            <w:pPr>
              <w:rPr>
                <w:color w:val="auto"/>
              </w:rPr>
            </w:pPr>
            <w:r>
              <w:rPr>
                <w:color w:val="auto"/>
              </w:rPr>
              <w:t>%</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762" w:hRule="atLeast"/>
        </w:trPr>
        <w:tc>
          <w:tcPr>
            <w:tcW w:w="4018" w:type="dxa"/>
            <w:shd w:val="clear" w:color="auto" w:fill="CCCCCC" w:themeFill="text1" w:themeFillTint="33"/>
          </w:tcPr>
          <w:p>
            <w:pPr>
              <w:rPr>
                <w:color w:val="auto"/>
              </w:rPr>
            </w:pPr>
            <w:r>
              <w:rPr>
                <w:color w:val="auto"/>
              </w:rPr>
              <w:t>Strongly disagree</w:t>
            </w:r>
          </w:p>
        </w:tc>
        <w:tc>
          <w:tcPr>
            <w:tcW w:w="2658" w:type="dxa"/>
            <w:shd w:val="clear" w:color="auto" w:fill="CCCCCC" w:themeFill="text1" w:themeFillTint="33"/>
          </w:tcPr>
          <w:p>
            <w:pPr>
              <w:rPr>
                <w:color w:val="auto"/>
              </w:rPr>
            </w:pPr>
            <w:r>
              <w:rPr>
                <w:color w:val="auto"/>
              </w:rPr>
              <w:t>1</w:t>
            </w:r>
          </w:p>
        </w:tc>
        <w:tc>
          <w:tcPr>
            <w:tcW w:w="2344"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12" w:hRule="atLeast"/>
        </w:trPr>
        <w:tc>
          <w:tcPr>
            <w:tcW w:w="4018" w:type="dxa"/>
            <w:shd w:val="clear" w:color="auto" w:fill="CCCCCC" w:themeFill="text1" w:themeFillTint="33"/>
          </w:tcPr>
          <w:p>
            <w:pPr>
              <w:rPr>
                <w:color w:val="auto"/>
              </w:rPr>
            </w:pPr>
            <w:r>
              <w:rPr>
                <w:color w:val="auto"/>
              </w:rPr>
              <w:t>Disagree</w:t>
            </w:r>
          </w:p>
        </w:tc>
        <w:tc>
          <w:tcPr>
            <w:tcW w:w="2658" w:type="dxa"/>
          </w:tcPr>
          <w:p>
            <w:pPr>
              <w:rPr>
                <w:color w:val="auto"/>
              </w:rPr>
            </w:pPr>
            <w:r>
              <w:rPr>
                <w:color w:val="auto"/>
              </w:rPr>
              <w:t>1</w:t>
            </w:r>
          </w:p>
        </w:tc>
        <w:tc>
          <w:tcPr>
            <w:tcW w:w="2344" w:type="dxa"/>
            <w:shd w:val="clear" w:color="auto" w:fill="CCCCCC" w:themeFill="text1" w:themeFillTint="33"/>
          </w:tcPr>
          <w:p>
            <w:pPr>
              <w:rPr>
                <w:color w:val="auto"/>
              </w:rPr>
            </w:pPr>
            <w:r>
              <w:rPr>
                <w:color w:val="auto"/>
              </w:rPr>
              <w:t>1.5%</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12" w:hRule="atLeast"/>
        </w:trPr>
        <w:tc>
          <w:tcPr>
            <w:tcW w:w="4018" w:type="dxa"/>
            <w:shd w:val="clear" w:color="auto" w:fill="CCCCCC" w:themeFill="text1" w:themeFillTint="33"/>
          </w:tcPr>
          <w:p>
            <w:pPr>
              <w:rPr>
                <w:color w:val="auto"/>
              </w:rPr>
            </w:pPr>
            <w:r>
              <w:rPr>
                <w:color w:val="auto"/>
              </w:rPr>
              <w:t>Neutral</w:t>
            </w:r>
          </w:p>
        </w:tc>
        <w:tc>
          <w:tcPr>
            <w:tcW w:w="2658" w:type="dxa"/>
            <w:shd w:val="clear" w:color="auto" w:fill="CCCCCC" w:themeFill="text1" w:themeFillTint="33"/>
          </w:tcPr>
          <w:p>
            <w:pPr>
              <w:rPr>
                <w:color w:val="auto"/>
              </w:rPr>
            </w:pPr>
            <w:r>
              <w:rPr>
                <w:color w:val="auto"/>
              </w:rPr>
              <w:t>13</w:t>
            </w:r>
          </w:p>
        </w:tc>
        <w:tc>
          <w:tcPr>
            <w:tcW w:w="2344" w:type="dxa"/>
            <w:shd w:val="clear" w:color="auto" w:fill="CCCCCC" w:themeFill="text1" w:themeFillTint="33"/>
          </w:tcPr>
          <w:p>
            <w:pPr>
              <w:rPr>
                <w:color w:val="auto"/>
              </w:rPr>
            </w:pPr>
            <w:r>
              <w:rPr>
                <w:color w:val="auto"/>
              </w:rPr>
              <w:t>20.0%</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25" w:hRule="atLeast"/>
        </w:trPr>
        <w:tc>
          <w:tcPr>
            <w:tcW w:w="4018" w:type="dxa"/>
            <w:shd w:val="clear" w:color="auto" w:fill="CCCCCC" w:themeFill="text1" w:themeFillTint="33"/>
          </w:tcPr>
          <w:p>
            <w:pPr>
              <w:rPr>
                <w:color w:val="auto"/>
              </w:rPr>
            </w:pPr>
            <w:r>
              <w:rPr>
                <w:color w:val="auto"/>
              </w:rPr>
              <w:t>Agree</w:t>
            </w:r>
          </w:p>
        </w:tc>
        <w:tc>
          <w:tcPr>
            <w:tcW w:w="2658" w:type="dxa"/>
          </w:tcPr>
          <w:p>
            <w:pPr>
              <w:rPr>
                <w:color w:val="auto"/>
              </w:rPr>
            </w:pPr>
            <w:r>
              <w:rPr>
                <w:color w:val="auto"/>
              </w:rPr>
              <w:t>31</w:t>
            </w:r>
          </w:p>
        </w:tc>
        <w:tc>
          <w:tcPr>
            <w:tcW w:w="2344" w:type="dxa"/>
            <w:shd w:val="clear" w:color="auto" w:fill="CCCCCC" w:themeFill="text1" w:themeFillTint="33"/>
          </w:tcPr>
          <w:p>
            <w:pPr>
              <w:rPr>
                <w:color w:val="auto"/>
              </w:rPr>
            </w:pPr>
            <w:r>
              <w:rPr>
                <w:color w:val="auto"/>
              </w:rPr>
              <w:t>47.7%</w:t>
            </w:r>
          </w:p>
        </w:tc>
      </w:tr>
      <w:tr>
        <w:tblPrEx>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CellMar>
            <w:top w:w="0" w:type="dxa"/>
            <w:left w:w="108" w:type="dxa"/>
            <w:bottom w:w="0" w:type="dxa"/>
            <w:right w:w="108" w:type="dxa"/>
          </w:tblCellMar>
        </w:tblPrEx>
        <w:trPr>
          <w:trHeight w:val="512" w:hRule="atLeast"/>
        </w:trPr>
        <w:tc>
          <w:tcPr>
            <w:tcW w:w="4018" w:type="dxa"/>
            <w:shd w:val="clear" w:color="auto" w:fill="CCCCCC" w:themeFill="text1" w:themeFillTint="33"/>
          </w:tcPr>
          <w:p>
            <w:pPr>
              <w:rPr>
                <w:color w:val="auto"/>
              </w:rPr>
            </w:pPr>
            <w:r>
              <w:rPr>
                <w:color w:val="auto"/>
              </w:rPr>
              <w:t>Strongly agree</w:t>
            </w:r>
          </w:p>
        </w:tc>
        <w:tc>
          <w:tcPr>
            <w:tcW w:w="2658" w:type="dxa"/>
            <w:shd w:val="clear" w:color="auto" w:fill="CCCCCC" w:themeFill="text1" w:themeFillTint="33"/>
          </w:tcPr>
          <w:p>
            <w:pPr>
              <w:rPr>
                <w:color w:val="auto"/>
              </w:rPr>
            </w:pPr>
            <w:r>
              <w:rPr>
                <w:color w:val="auto"/>
              </w:rPr>
              <w:t>19</w:t>
            </w:r>
          </w:p>
        </w:tc>
        <w:tc>
          <w:tcPr>
            <w:tcW w:w="2344" w:type="dxa"/>
            <w:shd w:val="clear" w:color="auto" w:fill="CCCCCC" w:themeFill="text1" w:themeFillTint="33"/>
          </w:tcPr>
          <w:p>
            <w:pPr>
              <w:rPr>
                <w:color w:val="auto"/>
              </w:rPr>
            </w:pPr>
            <w:r>
              <w:rPr>
                <w:color w:val="auto"/>
              </w:rPr>
              <w:t>29.2%</w:t>
            </w:r>
          </w:p>
        </w:tc>
      </w:tr>
    </w:tbl>
    <w:p>
      <w:pPr>
        <w:pStyle w:val="19"/>
        <w:rPr>
          <w:color w:val="auto"/>
          <w:lang w:val="en-US"/>
        </w:rPr>
      </w:pPr>
    </w:p>
    <w:p>
      <w:pPr>
        <w:pStyle w:val="19"/>
        <w:rPr>
          <w:color w:val="auto"/>
          <w:lang w:val="en-US"/>
        </w:rPr>
      </w:pPr>
      <w:r>
        <w:rPr>
          <w:color w:val="auto"/>
          <w:lang w:val="en-US"/>
        </w:rPr>
        <w:t>The table illustrates the proposed statement “I can depend on the company to be sincere in its communication”. Besides, the respondents revealed that 1.5% of the total population strongly disagree and 1.5% disagree with the proposed statement. Moreover, 20% remains neutral with the proposed statement by neither agree nor disagree. Furthermore, 47.7% the respondents agree whereas 29.2% strongly agrees with the stated statement.</w:t>
      </w:r>
    </w:p>
    <w:p>
      <w:pPr>
        <w:pStyle w:val="3"/>
        <w:spacing w:line="240" w:lineRule="auto"/>
        <w:rPr>
          <w:color w:val="auto"/>
        </w:rPr>
      </w:pPr>
      <w:bookmarkStart w:id="61" w:name="_Toc147931464"/>
      <w:r>
        <w:rPr>
          <w:color w:val="auto"/>
        </w:rPr>
        <w:t>4.7</w:t>
      </w:r>
      <w:r>
        <w:rPr>
          <w:color w:val="auto"/>
        </w:rPr>
        <w:tab/>
      </w:r>
      <w:r>
        <w:rPr>
          <w:color w:val="auto"/>
        </w:rPr>
        <w:t>Descriptive Statistics</w:t>
      </w:r>
      <w:bookmarkEnd w:id="61"/>
    </w:p>
    <w:tbl>
      <w:tblPr>
        <w:tblStyle w:val="11"/>
        <w:tblW w:w="94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8"/>
        <w:gridCol w:w="1031"/>
        <w:gridCol w:w="1030"/>
        <w:gridCol w:w="1445"/>
        <w:gridCol w:w="1030"/>
        <w:gridCol w:w="1076"/>
        <w:gridCol w:w="1030"/>
        <w:gridCol w:w="1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26" w:type="dxa"/>
            <w:gridSpan w:val="8"/>
            <w:shd w:val="clear" w:color="auto" w:fill="000000" w:themeFill="text1"/>
          </w:tcPr>
          <w:p>
            <w:pPr>
              <w:spacing w:line="240" w:lineRule="auto"/>
              <w:jc w:val="center"/>
              <w:rPr>
                <w:color w:val="auto"/>
              </w:rPr>
            </w:pPr>
            <w:r>
              <w:rPr>
                <w:b/>
                <w:bCs/>
                <w:color w:val="auto"/>
              </w:rPr>
              <w:t>Descriptive Statistics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vMerge w:val="restart"/>
          </w:tcPr>
          <w:p>
            <w:pPr>
              <w:spacing w:line="240" w:lineRule="auto"/>
              <w:rPr>
                <w:color w:val="auto"/>
              </w:rPr>
            </w:pPr>
          </w:p>
        </w:tc>
        <w:tc>
          <w:tcPr>
            <w:tcW w:w="1031" w:type="dxa"/>
          </w:tcPr>
          <w:p>
            <w:pPr>
              <w:spacing w:line="240" w:lineRule="auto"/>
              <w:rPr>
                <w:color w:val="auto"/>
              </w:rPr>
            </w:pPr>
            <w:r>
              <w:rPr>
                <w:color w:val="auto"/>
              </w:rPr>
              <w:t>N</w:t>
            </w:r>
          </w:p>
        </w:tc>
        <w:tc>
          <w:tcPr>
            <w:tcW w:w="1030" w:type="dxa"/>
          </w:tcPr>
          <w:p>
            <w:pPr>
              <w:spacing w:line="240" w:lineRule="auto"/>
              <w:rPr>
                <w:color w:val="auto"/>
              </w:rPr>
            </w:pPr>
            <w:r>
              <w:rPr>
                <w:color w:val="auto"/>
              </w:rPr>
              <w:t>Mean</w:t>
            </w:r>
          </w:p>
        </w:tc>
        <w:tc>
          <w:tcPr>
            <w:tcW w:w="1445" w:type="dxa"/>
          </w:tcPr>
          <w:p>
            <w:pPr>
              <w:spacing w:line="240" w:lineRule="auto"/>
              <w:rPr>
                <w:color w:val="auto"/>
              </w:rPr>
            </w:pPr>
            <w:r>
              <w:rPr>
                <w:color w:val="auto"/>
              </w:rPr>
              <w:t>Std. Deviation</w:t>
            </w:r>
          </w:p>
        </w:tc>
        <w:tc>
          <w:tcPr>
            <w:tcW w:w="2106" w:type="dxa"/>
            <w:gridSpan w:val="2"/>
          </w:tcPr>
          <w:p>
            <w:pPr>
              <w:spacing w:line="240" w:lineRule="auto"/>
              <w:rPr>
                <w:color w:val="auto"/>
              </w:rPr>
            </w:pPr>
            <w:r>
              <w:rPr>
                <w:color w:val="auto"/>
              </w:rPr>
              <w:t>Skewness</w:t>
            </w:r>
          </w:p>
        </w:tc>
        <w:tc>
          <w:tcPr>
            <w:tcW w:w="2106" w:type="dxa"/>
            <w:gridSpan w:val="2"/>
          </w:tcPr>
          <w:p>
            <w:pPr>
              <w:spacing w:line="240" w:lineRule="auto"/>
              <w:rPr>
                <w:color w:val="auto"/>
              </w:rPr>
            </w:pPr>
            <w:r>
              <w:rPr>
                <w:color w:val="auto"/>
              </w:rPr>
              <w:t>Kurtosis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vMerge w:val="continue"/>
          </w:tcPr>
          <w:p>
            <w:pPr>
              <w:spacing w:line="240" w:lineRule="auto"/>
              <w:rPr>
                <w:color w:val="auto"/>
              </w:rPr>
            </w:pPr>
          </w:p>
        </w:tc>
        <w:tc>
          <w:tcPr>
            <w:tcW w:w="1031" w:type="dxa"/>
          </w:tcPr>
          <w:p>
            <w:pPr>
              <w:spacing w:line="240" w:lineRule="auto"/>
              <w:jc w:val="center"/>
              <w:rPr>
                <w:color w:val="auto"/>
              </w:rPr>
            </w:pPr>
            <w:r>
              <w:rPr>
                <w:color w:val="auto"/>
              </w:rPr>
              <w:t>Statistic</w:t>
            </w:r>
          </w:p>
        </w:tc>
        <w:tc>
          <w:tcPr>
            <w:tcW w:w="1030" w:type="dxa"/>
          </w:tcPr>
          <w:p>
            <w:pPr>
              <w:spacing w:line="240" w:lineRule="auto"/>
              <w:jc w:val="center"/>
              <w:rPr>
                <w:color w:val="auto"/>
              </w:rPr>
            </w:pPr>
            <w:r>
              <w:rPr>
                <w:color w:val="auto"/>
              </w:rPr>
              <w:t>Statistic</w:t>
            </w:r>
          </w:p>
        </w:tc>
        <w:tc>
          <w:tcPr>
            <w:tcW w:w="1445" w:type="dxa"/>
          </w:tcPr>
          <w:p>
            <w:pPr>
              <w:spacing w:line="240" w:lineRule="auto"/>
              <w:jc w:val="center"/>
              <w:rPr>
                <w:color w:val="auto"/>
              </w:rPr>
            </w:pPr>
            <w:r>
              <w:rPr>
                <w:color w:val="auto"/>
              </w:rPr>
              <w:t>Statistic</w:t>
            </w:r>
          </w:p>
        </w:tc>
        <w:tc>
          <w:tcPr>
            <w:tcW w:w="1030" w:type="dxa"/>
          </w:tcPr>
          <w:p>
            <w:pPr>
              <w:spacing w:line="240" w:lineRule="auto"/>
              <w:jc w:val="center"/>
              <w:rPr>
                <w:color w:val="auto"/>
              </w:rPr>
            </w:pPr>
            <w:r>
              <w:rPr>
                <w:color w:val="auto"/>
              </w:rPr>
              <w:t>Statistic</w:t>
            </w:r>
          </w:p>
        </w:tc>
        <w:tc>
          <w:tcPr>
            <w:tcW w:w="1076" w:type="dxa"/>
          </w:tcPr>
          <w:p>
            <w:pPr>
              <w:spacing w:line="240" w:lineRule="auto"/>
              <w:jc w:val="center"/>
              <w:rPr>
                <w:color w:val="auto"/>
              </w:rPr>
            </w:pPr>
            <w:r>
              <w:rPr>
                <w:color w:val="auto"/>
              </w:rPr>
              <w:t>Std. Error</w:t>
            </w:r>
          </w:p>
        </w:tc>
        <w:tc>
          <w:tcPr>
            <w:tcW w:w="1030" w:type="dxa"/>
          </w:tcPr>
          <w:p>
            <w:pPr>
              <w:spacing w:line="240" w:lineRule="auto"/>
              <w:jc w:val="center"/>
              <w:rPr>
                <w:color w:val="auto"/>
              </w:rPr>
            </w:pPr>
            <w:r>
              <w:rPr>
                <w:color w:val="auto"/>
              </w:rPr>
              <w:t>Statistic</w:t>
            </w:r>
          </w:p>
        </w:tc>
        <w:tc>
          <w:tcPr>
            <w:tcW w:w="1076" w:type="dxa"/>
          </w:tcPr>
          <w:p>
            <w:pPr>
              <w:spacing w:line="240" w:lineRule="auto"/>
              <w:jc w:val="center"/>
              <w:rPr>
                <w:color w:val="auto"/>
              </w:rPr>
            </w:pPr>
            <w:r>
              <w:rPr>
                <w:color w:val="auto"/>
              </w:rPr>
              <w:t>Std. Error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BI1</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4.3385</w:t>
            </w:r>
          </w:p>
        </w:tc>
        <w:tc>
          <w:tcPr>
            <w:tcW w:w="1445" w:type="dxa"/>
          </w:tcPr>
          <w:p>
            <w:pPr>
              <w:spacing w:line="240" w:lineRule="auto"/>
              <w:jc w:val="center"/>
              <w:rPr>
                <w:color w:val="auto"/>
              </w:rPr>
            </w:pPr>
            <w:r>
              <w:rPr>
                <w:color w:val="auto"/>
              </w:rPr>
              <w:t>.88877</w:t>
            </w:r>
          </w:p>
        </w:tc>
        <w:tc>
          <w:tcPr>
            <w:tcW w:w="1030" w:type="dxa"/>
          </w:tcPr>
          <w:p>
            <w:pPr>
              <w:spacing w:line="240" w:lineRule="auto"/>
              <w:jc w:val="center"/>
              <w:rPr>
                <w:color w:val="auto"/>
              </w:rPr>
            </w:pPr>
            <w:r>
              <w:rPr>
                <w:color w:val="auto"/>
              </w:rPr>
              <w:t>-1.971</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4.958</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BI2</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4.0769</w:t>
            </w:r>
          </w:p>
        </w:tc>
        <w:tc>
          <w:tcPr>
            <w:tcW w:w="1445" w:type="dxa"/>
          </w:tcPr>
          <w:p>
            <w:pPr>
              <w:spacing w:line="240" w:lineRule="auto"/>
              <w:jc w:val="center"/>
              <w:rPr>
                <w:color w:val="auto"/>
              </w:rPr>
            </w:pPr>
            <w:r>
              <w:rPr>
                <w:color w:val="auto"/>
              </w:rPr>
              <w:t>.88931</w:t>
            </w:r>
          </w:p>
        </w:tc>
        <w:tc>
          <w:tcPr>
            <w:tcW w:w="1030" w:type="dxa"/>
          </w:tcPr>
          <w:p>
            <w:pPr>
              <w:spacing w:line="240" w:lineRule="auto"/>
              <w:jc w:val="center"/>
              <w:rPr>
                <w:color w:val="auto"/>
              </w:rPr>
            </w:pPr>
            <w:r>
              <w:rPr>
                <w:color w:val="auto"/>
              </w:rPr>
              <w:t>-1.529</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3.377</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B3</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3.8923</w:t>
            </w:r>
          </w:p>
        </w:tc>
        <w:tc>
          <w:tcPr>
            <w:tcW w:w="1445" w:type="dxa"/>
          </w:tcPr>
          <w:p>
            <w:pPr>
              <w:spacing w:line="240" w:lineRule="auto"/>
              <w:jc w:val="center"/>
              <w:rPr>
                <w:color w:val="auto"/>
              </w:rPr>
            </w:pPr>
            <w:r>
              <w:rPr>
                <w:color w:val="auto"/>
              </w:rPr>
              <w:t>.88606</w:t>
            </w:r>
          </w:p>
        </w:tc>
        <w:tc>
          <w:tcPr>
            <w:tcW w:w="1030" w:type="dxa"/>
          </w:tcPr>
          <w:p>
            <w:pPr>
              <w:spacing w:line="240" w:lineRule="auto"/>
              <w:jc w:val="center"/>
              <w:rPr>
                <w:color w:val="auto"/>
              </w:rPr>
            </w:pPr>
            <w:r>
              <w:rPr>
                <w:color w:val="auto"/>
              </w:rPr>
              <w:t>-1.036</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1.984</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B4</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4.0308</w:t>
            </w:r>
          </w:p>
        </w:tc>
        <w:tc>
          <w:tcPr>
            <w:tcW w:w="1445" w:type="dxa"/>
          </w:tcPr>
          <w:p>
            <w:pPr>
              <w:spacing w:line="240" w:lineRule="auto"/>
              <w:jc w:val="center"/>
              <w:rPr>
                <w:color w:val="auto"/>
              </w:rPr>
            </w:pPr>
            <w:r>
              <w:rPr>
                <w:color w:val="auto"/>
              </w:rPr>
              <w:t>.96775</w:t>
            </w:r>
          </w:p>
        </w:tc>
        <w:tc>
          <w:tcPr>
            <w:tcW w:w="1030" w:type="dxa"/>
          </w:tcPr>
          <w:p>
            <w:pPr>
              <w:spacing w:line="240" w:lineRule="auto"/>
              <w:jc w:val="center"/>
              <w:rPr>
                <w:color w:val="auto"/>
              </w:rPr>
            </w:pPr>
            <w:r>
              <w:rPr>
                <w:color w:val="auto"/>
              </w:rPr>
              <w:t>-1.770</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3.896</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B5</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4.2462</w:t>
            </w:r>
          </w:p>
        </w:tc>
        <w:tc>
          <w:tcPr>
            <w:tcW w:w="1445" w:type="dxa"/>
          </w:tcPr>
          <w:p>
            <w:pPr>
              <w:spacing w:line="240" w:lineRule="auto"/>
              <w:jc w:val="center"/>
              <w:rPr>
                <w:color w:val="auto"/>
              </w:rPr>
            </w:pPr>
            <w:r>
              <w:rPr>
                <w:color w:val="auto"/>
              </w:rPr>
              <w:t>.81069</w:t>
            </w:r>
          </w:p>
        </w:tc>
        <w:tc>
          <w:tcPr>
            <w:tcW w:w="1030" w:type="dxa"/>
          </w:tcPr>
          <w:p>
            <w:pPr>
              <w:spacing w:line="240" w:lineRule="auto"/>
              <w:jc w:val="center"/>
              <w:rPr>
                <w:color w:val="auto"/>
              </w:rPr>
            </w:pPr>
            <w:r>
              <w:rPr>
                <w:color w:val="auto"/>
              </w:rPr>
              <w:t>-1.393</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3.203</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B6</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4.2462</w:t>
            </w:r>
          </w:p>
        </w:tc>
        <w:tc>
          <w:tcPr>
            <w:tcW w:w="1445" w:type="dxa"/>
          </w:tcPr>
          <w:p>
            <w:pPr>
              <w:spacing w:line="240" w:lineRule="auto"/>
              <w:jc w:val="center"/>
              <w:rPr>
                <w:color w:val="auto"/>
              </w:rPr>
            </w:pPr>
            <w:r>
              <w:rPr>
                <w:color w:val="auto"/>
              </w:rPr>
              <w:t>.93593</w:t>
            </w:r>
          </w:p>
        </w:tc>
        <w:tc>
          <w:tcPr>
            <w:tcW w:w="1030" w:type="dxa"/>
          </w:tcPr>
          <w:p>
            <w:pPr>
              <w:spacing w:line="240" w:lineRule="auto"/>
              <w:jc w:val="center"/>
              <w:rPr>
                <w:color w:val="auto"/>
              </w:rPr>
            </w:pPr>
            <w:r>
              <w:rPr>
                <w:color w:val="auto"/>
              </w:rPr>
              <w:t>-1.698</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3.394</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BL1</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3.8000</w:t>
            </w:r>
          </w:p>
        </w:tc>
        <w:tc>
          <w:tcPr>
            <w:tcW w:w="1445" w:type="dxa"/>
          </w:tcPr>
          <w:p>
            <w:pPr>
              <w:spacing w:line="240" w:lineRule="auto"/>
              <w:jc w:val="center"/>
              <w:rPr>
                <w:color w:val="auto"/>
              </w:rPr>
            </w:pPr>
            <w:r>
              <w:rPr>
                <w:color w:val="auto"/>
              </w:rPr>
              <w:t>1.00312</w:t>
            </w:r>
          </w:p>
        </w:tc>
        <w:tc>
          <w:tcPr>
            <w:tcW w:w="1030" w:type="dxa"/>
          </w:tcPr>
          <w:p>
            <w:pPr>
              <w:spacing w:line="240" w:lineRule="auto"/>
              <w:jc w:val="center"/>
              <w:rPr>
                <w:color w:val="auto"/>
              </w:rPr>
            </w:pPr>
            <w:r>
              <w:rPr>
                <w:color w:val="auto"/>
              </w:rPr>
              <w:t>-.445</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-.414</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BL2</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3.9692</w:t>
            </w:r>
          </w:p>
        </w:tc>
        <w:tc>
          <w:tcPr>
            <w:tcW w:w="1445" w:type="dxa"/>
          </w:tcPr>
          <w:p>
            <w:pPr>
              <w:spacing w:line="240" w:lineRule="auto"/>
              <w:jc w:val="center"/>
              <w:rPr>
                <w:color w:val="auto"/>
              </w:rPr>
            </w:pPr>
            <w:r>
              <w:rPr>
                <w:color w:val="auto"/>
              </w:rPr>
              <w:t>.95147</w:t>
            </w:r>
          </w:p>
        </w:tc>
        <w:tc>
          <w:tcPr>
            <w:tcW w:w="1030" w:type="dxa"/>
          </w:tcPr>
          <w:p>
            <w:pPr>
              <w:spacing w:line="240" w:lineRule="auto"/>
              <w:jc w:val="center"/>
              <w:rPr>
                <w:color w:val="auto"/>
              </w:rPr>
            </w:pPr>
            <w:r>
              <w:rPr>
                <w:color w:val="auto"/>
              </w:rPr>
              <w:t>-1.060</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1.434</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BL3</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4.0000</w:t>
            </w:r>
          </w:p>
        </w:tc>
        <w:tc>
          <w:tcPr>
            <w:tcW w:w="1445" w:type="dxa"/>
          </w:tcPr>
          <w:p>
            <w:pPr>
              <w:spacing w:line="240" w:lineRule="auto"/>
              <w:jc w:val="center"/>
              <w:rPr>
                <w:color w:val="auto"/>
              </w:rPr>
            </w:pPr>
            <w:r>
              <w:rPr>
                <w:color w:val="auto"/>
              </w:rPr>
              <w:t>1.01550</w:t>
            </w:r>
          </w:p>
        </w:tc>
        <w:tc>
          <w:tcPr>
            <w:tcW w:w="1030" w:type="dxa"/>
          </w:tcPr>
          <w:p>
            <w:pPr>
              <w:spacing w:line="240" w:lineRule="auto"/>
              <w:jc w:val="center"/>
              <w:rPr>
                <w:color w:val="auto"/>
              </w:rPr>
            </w:pPr>
            <w:r>
              <w:rPr>
                <w:color w:val="auto"/>
              </w:rPr>
              <w:t>-.831</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.049</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BL4</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3.7538</w:t>
            </w:r>
          </w:p>
        </w:tc>
        <w:tc>
          <w:tcPr>
            <w:tcW w:w="1445" w:type="dxa"/>
          </w:tcPr>
          <w:p>
            <w:pPr>
              <w:spacing w:line="240" w:lineRule="auto"/>
              <w:jc w:val="center"/>
              <w:rPr>
                <w:color w:val="auto"/>
              </w:rPr>
            </w:pPr>
            <w:r>
              <w:rPr>
                <w:color w:val="auto"/>
              </w:rPr>
              <w:t>.98474</w:t>
            </w:r>
          </w:p>
        </w:tc>
        <w:tc>
          <w:tcPr>
            <w:tcW w:w="1030" w:type="dxa"/>
          </w:tcPr>
          <w:p>
            <w:pPr>
              <w:spacing w:line="240" w:lineRule="auto"/>
              <w:jc w:val="center"/>
              <w:rPr>
                <w:color w:val="auto"/>
              </w:rPr>
            </w:pPr>
            <w:r>
              <w:rPr>
                <w:color w:val="auto"/>
              </w:rPr>
              <w:t>-.594</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-.143</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RP1</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4.0462</w:t>
            </w:r>
          </w:p>
        </w:tc>
        <w:tc>
          <w:tcPr>
            <w:tcW w:w="1445" w:type="dxa"/>
          </w:tcPr>
          <w:p>
            <w:pPr>
              <w:spacing w:line="240" w:lineRule="auto"/>
              <w:jc w:val="center"/>
              <w:rPr>
                <w:color w:val="auto"/>
              </w:rPr>
            </w:pPr>
            <w:r>
              <w:rPr>
                <w:color w:val="auto"/>
              </w:rPr>
              <w:t>1.02211</w:t>
            </w:r>
          </w:p>
        </w:tc>
        <w:tc>
          <w:tcPr>
            <w:tcW w:w="1030" w:type="dxa"/>
          </w:tcPr>
          <w:p>
            <w:pPr>
              <w:spacing w:line="240" w:lineRule="auto"/>
              <w:jc w:val="center"/>
              <w:rPr>
                <w:color w:val="auto"/>
              </w:rPr>
            </w:pPr>
            <w:r>
              <w:rPr>
                <w:color w:val="auto"/>
              </w:rPr>
              <w:t>-1.091</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.934</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RP2</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4.0308</w:t>
            </w:r>
          </w:p>
        </w:tc>
        <w:tc>
          <w:tcPr>
            <w:tcW w:w="1445" w:type="dxa"/>
          </w:tcPr>
          <w:p>
            <w:pPr>
              <w:spacing w:line="240" w:lineRule="auto"/>
              <w:jc w:val="center"/>
              <w:rPr>
                <w:color w:val="auto"/>
              </w:rPr>
            </w:pPr>
            <w:r>
              <w:rPr>
                <w:color w:val="auto"/>
              </w:rPr>
              <w:t>.96775</w:t>
            </w:r>
          </w:p>
        </w:tc>
        <w:tc>
          <w:tcPr>
            <w:tcW w:w="1030" w:type="dxa"/>
          </w:tcPr>
          <w:p>
            <w:pPr>
              <w:spacing w:line="240" w:lineRule="auto"/>
              <w:jc w:val="center"/>
              <w:rPr>
                <w:color w:val="auto"/>
              </w:rPr>
            </w:pPr>
            <w:r>
              <w:rPr>
                <w:color w:val="auto"/>
              </w:rPr>
              <w:t>-1.130</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1.461</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RP3</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4.0000</w:t>
            </w:r>
          </w:p>
        </w:tc>
        <w:tc>
          <w:tcPr>
            <w:tcW w:w="1445" w:type="dxa"/>
          </w:tcPr>
          <w:p>
            <w:pPr>
              <w:spacing w:line="240" w:lineRule="auto"/>
              <w:jc w:val="center"/>
              <w:rPr>
                <w:color w:val="auto"/>
              </w:rPr>
            </w:pPr>
            <w:r>
              <w:rPr>
                <w:color w:val="auto"/>
              </w:rPr>
              <w:t>1.03078</w:t>
            </w:r>
          </w:p>
        </w:tc>
        <w:tc>
          <w:tcPr>
            <w:tcW w:w="1030" w:type="dxa"/>
          </w:tcPr>
          <w:p>
            <w:pPr>
              <w:spacing w:line="240" w:lineRule="auto"/>
              <w:jc w:val="center"/>
              <w:rPr>
                <w:color w:val="auto"/>
              </w:rPr>
            </w:pPr>
            <w:r>
              <w:rPr>
                <w:color w:val="auto"/>
              </w:rPr>
              <w:t>-1.148</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1.354</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CXP1</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4.1846</w:t>
            </w:r>
          </w:p>
        </w:tc>
        <w:tc>
          <w:tcPr>
            <w:tcW w:w="1445" w:type="dxa"/>
          </w:tcPr>
          <w:p>
            <w:pPr>
              <w:spacing w:line="240" w:lineRule="auto"/>
              <w:jc w:val="center"/>
              <w:rPr>
                <w:color w:val="auto"/>
              </w:rPr>
            </w:pPr>
            <w:r>
              <w:rPr>
                <w:color w:val="auto"/>
              </w:rPr>
              <w:t>.93361</w:t>
            </w:r>
          </w:p>
        </w:tc>
        <w:tc>
          <w:tcPr>
            <w:tcW w:w="1030" w:type="dxa"/>
          </w:tcPr>
          <w:p>
            <w:pPr>
              <w:spacing w:line="240" w:lineRule="auto"/>
              <w:jc w:val="center"/>
              <w:rPr>
                <w:color w:val="auto"/>
              </w:rPr>
            </w:pPr>
            <w:r>
              <w:rPr>
                <w:color w:val="auto"/>
              </w:rPr>
              <w:t>-1.571</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3.022</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CXP2</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4.2154</w:t>
            </w:r>
          </w:p>
        </w:tc>
        <w:tc>
          <w:tcPr>
            <w:tcW w:w="1445" w:type="dxa"/>
          </w:tcPr>
          <w:p>
            <w:pPr>
              <w:spacing w:line="240" w:lineRule="auto"/>
              <w:jc w:val="center"/>
              <w:rPr>
                <w:color w:val="auto"/>
              </w:rPr>
            </w:pPr>
            <w:r>
              <w:rPr>
                <w:color w:val="auto"/>
              </w:rPr>
              <w:t>.80024</w:t>
            </w:r>
          </w:p>
        </w:tc>
        <w:tc>
          <w:tcPr>
            <w:tcW w:w="1030" w:type="dxa"/>
          </w:tcPr>
          <w:p>
            <w:pPr>
              <w:spacing w:line="240" w:lineRule="auto"/>
              <w:jc w:val="center"/>
              <w:rPr>
                <w:color w:val="auto"/>
              </w:rPr>
            </w:pPr>
            <w:r>
              <w:rPr>
                <w:color w:val="auto"/>
              </w:rPr>
              <w:t>-1.923</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6.442</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CXP3</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3.9692</w:t>
            </w:r>
          </w:p>
        </w:tc>
        <w:tc>
          <w:tcPr>
            <w:tcW w:w="1445" w:type="dxa"/>
          </w:tcPr>
          <w:p>
            <w:pPr>
              <w:spacing w:line="240" w:lineRule="auto"/>
              <w:jc w:val="center"/>
              <w:rPr>
                <w:color w:val="auto"/>
              </w:rPr>
            </w:pPr>
            <w:r>
              <w:rPr>
                <w:color w:val="auto"/>
              </w:rPr>
              <w:t>.84722</w:t>
            </w:r>
          </w:p>
        </w:tc>
        <w:tc>
          <w:tcPr>
            <w:tcW w:w="1030" w:type="dxa"/>
          </w:tcPr>
          <w:p>
            <w:pPr>
              <w:spacing w:line="240" w:lineRule="auto"/>
              <w:jc w:val="center"/>
              <w:rPr>
                <w:color w:val="auto"/>
              </w:rPr>
            </w:pPr>
            <w:r>
              <w:rPr>
                <w:color w:val="auto"/>
              </w:rPr>
              <w:t>-1.213</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2.986</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CXP4</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3.9231</w:t>
            </w:r>
          </w:p>
        </w:tc>
        <w:tc>
          <w:tcPr>
            <w:tcW w:w="1445" w:type="dxa"/>
          </w:tcPr>
          <w:p>
            <w:pPr>
              <w:spacing w:line="240" w:lineRule="auto"/>
              <w:jc w:val="center"/>
              <w:rPr>
                <w:color w:val="auto"/>
              </w:rPr>
            </w:pPr>
            <w:r>
              <w:rPr>
                <w:color w:val="auto"/>
              </w:rPr>
              <w:t>.97320</w:t>
            </w:r>
          </w:p>
        </w:tc>
        <w:tc>
          <w:tcPr>
            <w:tcW w:w="1030" w:type="dxa"/>
          </w:tcPr>
          <w:p>
            <w:pPr>
              <w:spacing w:line="240" w:lineRule="auto"/>
              <w:jc w:val="center"/>
              <w:rPr>
                <w:color w:val="auto"/>
              </w:rPr>
            </w:pPr>
            <w:r>
              <w:rPr>
                <w:color w:val="auto"/>
              </w:rPr>
              <w:t>-1.206</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1.936</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CXP5</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4.0154</w:t>
            </w:r>
          </w:p>
        </w:tc>
        <w:tc>
          <w:tcPr>
            <w:tcW w:w="1445" w:type="dxa"/>
          </w:tcPr>
          <w:p>
            <w:pPr>
              <w:spacing w:line="240" w:lineRule="auto"/>
              <w:jc w:val="center"/>
              <w:rPr>
                <w:color w:val="auto"/>
              </w:rPr>
            </w:pPr>
            <w:r>
              <w:rPr>
                <w:color w:val="auto"/>
              </w:rPr>
              <w:t>.83838</w:t>
            </w:r>
          </w:p>
        </w:tc>
        <w:tc>
          <w:tcPr>
            <w:tcW w:w="1030" w:type="dxa"/>
          </w:tcPr>
          <w:p>
            <w:pPr>
              <w:spacing w:line="240" w:lineRule="auto"/>
              <w:jc w:val="center"/>
              <w:rPr>
                <w:color w:val="auto"/>
              </w:rPr>
            </w:pPr>
            <w:r>
              <w:rPr>
                <w:color w:val="auto"/>
              </w:rPr>
              <w:t>-1.014</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1.829</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CT1</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4.0308</w:t>
            </w:r>
          </w:p>
        </w:tc>
        <w:tc>
          <w:tcPr>
            <w:tcW w:w="1445" w:type="dxa"/>
          </w:tcPr>
          <w:p>
            <w:pPr>
              <w:spacing w:line="240" w:lineRule="auto"/>
              <w:jc w:val="center"/>
              <w:rPr>
                <w:color w:val="auto"/>
              </w:rPr>
            </w:pPr>
            <w:r>
              <w:rPr>
                <w:color w:val="auto"/>
              </w:rPr>
              <w:t>.90085</w:t>
            </w:r>
          </w:p>
        </w:tc>
        <w:tc>
          <w:tcPr>
            <w:tcW w:w="1030" w:type="dxa"/>
          </w:tcPr>
          <w:p>
            <w:pPr>
              <w:spacing w:line="240" w:lineRule="auto"/>
              <w:jc w:val="center"/>
              <w:rPr>
                <w:color w:val="auto"/>
              </w:rPr>
            </w:pPr>
            <w:r>
              <w:rPr>
                <w:color w:val="auto"/>
              </w:rPr>
              <w:t>-1.252</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2.448</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CT2</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3.9692</w:t>
            </w:r>
          </w:p>
        </w:tc>
        <w:tc>
          <w:tcPr>
            <w:tcW w:w="1445" w:type="dxa"/>
          </w:tcPr>
          <w:p>
            <w:pPr>
              <w:spacing w:line="240" w:lineRule="auto"/>
              <w:jc w:val="center"/>
              <w:rPr>
                <w:color w:val="auto"/>
              </w:rPr>
            </w:pPr>
            <w:r>
              <w:rPr>
                <w:color w:val="auto"/>
              </w:rPr>
              <w:t>.96775</w:t>
            </w:r>
          </w:p>
        </w:tc>
        <w:tc>
          <w:tcPr>
            <w:tcW w:w="1030" w:type="dxa"/>
          </w:tcPr>
          <w:p>
            <w:pPr>
              <w:spacing w:line="240" w:lineRule="auto"/>
              <w:jc w:val="center"/>
              <w:rPr>
                <w:color w:val="auto"/>
              </w:rPr>
            </w:pPr>
            <w:r>
              <w:rPr>
                <w:color w:val="auto"/>
              </w:rPr>
              <w:t>-1.325</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2.303</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CT3</w:t>
            </w:r>
          </w:p>
        </w:tc>
        <w:tc>
          <w:tcPr>
            <w:tcW w:w="1031" w:type="dxa"/>
          </w:tcPr>
          <w:p>
            <w:pPr>
              <w:spacing w:line="240" w:lineRule="auto"/>
              <w:jc w:val="center"/>
              <w:rPr>
                <w:color w:val="auto"/>
              </w:rPr>
            </w:pPr>
            <w:r>
              <w:rPr>
                <w:color w:val="auto"/>
              </w:rPr>
              <w:t>65</w:t>
            </w:r>
          </w:p>
        </w:tc>
        <w:tc>
          <w:tcPr>
            <w:tcW w:w="1030" w:type="dxa"/>
          </w:tcPr>
          <w:p>
            <w:pPr>
              <w:spacing w:line="240" w:lineRule="auto"/>
              <w:jc w:val="center"/>
              <w:rPr>
                <w:color w:val="auto"/>
              </w:rPr>
            </w:pPr>
            <w:r>
              <w:rPr>
                <w:color w:val="auto"/>
              </w:rPr>
              <w:t>4.0154</w:t>
            </w:r>
          </w:p>
        </w:tc>
        <w:tc>
          <w:tcPr>
            <w:tcW w:w="1445" w:type="dxa"/>
          </w:tcPr>
          <w:p>
            <w:pPr>
              <w:spacing w:line="240" w:lineRule="auto"/>
              <w:jc w:val="center"/>
              <w:rPr>
                <w:color w:val="auto"/>
              </w:rPr>
            </w:pPr>
            <w:r>
              <w:rPr>
                <w:color w:val="auto"/>
              </w:rPr>
              <w:t>.83838</w:t>
            </w:r>
          </w:p>
        </w:tc>
        <w:tc>
          <w:tcPr>
            <w:tcW w:w="1030" w:type="dxa"/>
          </w:tcPr>
          <w:p>
            <w:pPr>
              <w:spacing w:line="240" w:lineRule="auto"/>
              <w:jc w:val="center"/>
              <w:rPr>
                <w:color w:val="auto"/>
              </w:rPr>
            </w:pPr>
            <w:r>
              <w:rPr>
                <w:color w:val="auto"/>
              </w:rPr>
              <w:t>-.850</w:t>
            </w:r>
          </w:p>
        </w:tc>
        <w:tc>
          <w:tcPr>
            <w:tcW w:w="1076" w:type="dxa"/>
          </w:tcPr>
          <w:p>
            <w:pPr>
              <w:spacing w:line="240" w:lineRule="auto"/>
              <w:jc w:val="center"/>
              <w:rPr>
                <w:color w:val="auto"/>
              </w:rPr>
            </w:pPr>
            <w:r>
              <w:rPr>
                <w:color w:val="auto"/>
              </w:rPr>
              <w:t>.297</w:t>
            </w:r>
          </w:p>
        </w:tc>
        <w:tc>
          <w:tcPr>
            <w:tcW w:w="1030" w:type="dxa"/>
          </w:tcPr>
          <w:p>
            <w:pPr>
              <w:spacing w:line="240" w:lineRule="auto"/>
              <w:jc w:val="center"/>
              <w:rPr>
                <w:color w:val="auto"/>
              </w:rPr>
            </w:pPr>
            <w:r>
              <w:rPr>
                <w:color w:val="auto"/>
              </w:rPr>
              <w:t>1.399</w:t>
            </w:r>
          </w:p>
        </w:tc>
        <w:tc>
          <w:tcPr>
            <w:tcW w:w="1076" w:type="dxa"/>
          </w:tcPr>
          <w:p>
            <w:pPr>
              <w:spacing w:line="240" w:lineRule="auto"/>
              <w:jc w:val="center"/>
              <w:rPr>
                <w:color w:val="auto"/>
              </w:rPr>
            </w:pPr>
            <w:r>
              <w:rPr>
                <w:color w:val="auto"/>
              </w:rPr>
              <w:t>.586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8" w:type="dxa"/>
          </w:tcPr>
          <w:p>
            <w:pPr>
              <w:spacing w:line="240" w:lineRule="auto"/>
              <w:rPr>
                <w:color w:val="auto"/>
              </w:rPr>
            </w:pPr>
            <w:r>
              <w:rPr>
                <w:color w:val="auto"/>
              </w:rPr>
              <w:t>Valid N (listwise)</w:t>
            </w:r>
          </w:p>
        </w:tc>
        <w:tc>
          <w:tcPr>
            <w:tcW w:w="1031" w:type="dxa"/>
          </w:tcPr>
          <w:p>
            <w:pPr>
              <w:spacing w:line="240" w:lineRule="auto"/>
              <w:rPr>
                <w:color w:val="auto"/>
              </w:rPr>
            </w:pPr>
            <w:r>
              <w:rPr>
                <w:color w:val="auto"/>
              </w:rPr>
              <w:t>65</w:t>
            </w:r>
          </w:p>
        </w:tc>
        <w:tc>
          <w:tcPr>
            <w:tcW w:w="1030" w:type="dxa"/>
          </w:tcPr>
          <w:p>
            <w:pPr>
              <w:spacing w:line="240" w:lineRule="auto"/>
              <w:rPr>
                <w:color w:val="auto"/>
              </w:rPr>
            </w:pPr>
          </w:p>
        </w:tc>
        <w:tc>
          <w:tcPr>
            <w:tcW w:w="1445" w:type="dxa"/>
          </w:tcPr>
          <w:p>
            <w:pPr>
              <w:spacing w:line="240" w:lineRule="auto"/>
              <w:rPr>
                <w:color w:val="auto"/>
              </w:rPr>
            </w:pPr>
          </w:p>
        </w:tc>
        <w:tc>
          <w:tcPr>
            <w:tcW w:w="1030" w:type="dxa"/>
          </w:tcPr>
          <w:p>
            <w:pPr>
              <w:spacing w:line="240" w:lineRule="auto"/>
              <w:rPr>
                <w:color w:val="auto"/>
              </w:rPr>
            </w:pPr>
          </w:p>
        </w:tc>
        <w:tc>
          <w:tcPr>
            <w:tcW w:w="1076" w:type="dxa"/>
          </w:tcPr>
          <w:p>
            <w:pPr>
              <w:spacing w:line="240" w:lineRule="auto"/>
              <w:rPr>
                <w:color w:val="auto"/>
              </w:rPr>
            </w:pPr>
          </w:p>
        </w:tc>
        <w:tc>
          <w:tcPr>
            <w:tcW w:w="1030" w:type="dxa"/>
          </w:tcPr>
          <w:p>
            <w:pPr>
              <w:spacing w:line="240" w:lineRule="auto"/>
              <w:rPr>
                <w:color w:val="auto"/>
              </w:rPr>
            </w:pPr>
          </w:p>
        </w:tc>
        <w:tc>
          <w:tcPr>
            <w:tcW w:w="1076" w:type="dxa"/>
          </w:tcPr>
          <w:p>
            <w:pPr>
              <w:spacing w:line="240" w:lineRule="auto"/>
              <w:rPr>
                <w:color w:val="auto"/>
              </w:rPr>
            </w:pPr>
          </w:p>
        </w:tc>
      </w:tr>
    </w:tbl>
    <w:p>
      <w:pPr>
        <w:pStyle w:val="19"/>
        <w:rPr>
          <w:color w:val="auto"/>
        </w:rPr>
      </w:pPr>
    </w:p>
    <w:p>
      <w:pPr>
        <w:pStyle w:val="19"/>
        <w:rPr>
          <w:color w:val="auto"/>
        </w:rPr>
      </w:pPr>
      <w:r>
        <w:rPr>
          <w:color w:val="auto"/>
        </w:rPr>
        <w:t>The descriptive statistics for variables BI1 to CT3 reveal insights into the central tendency, variability, and shape of the distributions. The mean scores for all variables range from 3.7538 (B4) to 4.3385 (BI1), indicating generally positive responses as, typically, a mean above the midpoint (e.g., 3.0 on a 5-point scale) can be interpreted as a positive leaning (Sekaran &amp; Bougie, 2016). The standard deviations are all below 1, suggesting that responses did not vary widely from the mean.</w:t>
      </w:r>
    </w:p>
    <w:p>
      <w:pPr>
        <w:pStyle w:val="19"/>
        <w:rPr>
          <w:color w:val="auto"/>
        </w:rPr>
      </w:pPr>
      <w:r>
        <w:rPr>
          <w:color w:val="auto"/>
        </w:rPr>
        <w:t>Skewness and kurtosis values provide insight into the symmetry and peakedness of the data distribution, respectively. George and Mallery (2010) suggest that skewness and kurtosis values within the range of -2 to +2 are acceptable to assume normality in the data distribution. Most variables in the dataset adhere to this guideline, though some, such as BI1 (Skewness = -1.971, Kurtosis = 4.958) and CXP2 (Skewness = -1.923, Kurtosis = 6.442), exhibit skewness and kurtosis values outside of this range, indicating potential non-normality in these distributions.</w:t>
      </w:r>
    </w:p>
    <w:p>
      <w:pPr>
        <w:pStyle w:val="3"/>
        <w:rPr>
          <w:color w:val="auto"/>
        </w:rPr>
      </w:pPr>
      <w:bookmarkStart w:id="62" w:name="_Toc147931465"/>
      <w:r>
        <w:rPr>
          <w:color w:val="auto"/>
        </w:rPr>
        <w:t>4.8</w:t>
      </w:r>
      <w:r>
        <w:rPr>
          <w:color w:val="auto"/>
        </w:rPr>
        <w:tab/>
      </w:r>
      <w:r>
        <w:rPr>
          <w:color w:val="auto"/>
        </w:rPr>
        <w:t>Reliability Analysis</w:t>
      </w:r>
      <w:bookmarkEnd w:id="62"/>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4"/>
        <w:gridCol w:w="1394"/>
        <w:gridCol w:w="2254"/>
        <w:gridCol w:w="22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jc w:val="center"/>
              <w:rPr>
                <w:b/>
                <w:bCs/>
                <w:color w:val="auto"/>
              </w:rPr>
            </w:pPr>
            <w:r>
              <w:rPr>
                <w:b/>
                <w:bCs/>
                <w:color w:val="auto"/>
              </w:rPr>
              <w:t>Variable</w:t>
            </w:r>
          </w:p>
        </w:tc>
        <w:tc>
          <w:tcPr>
            <w:tcW w:w="1394" w:type="dxa"/>
          </w:tcPr>
          <w:p>
            <w:pPr>
              <w:jc w:val="center"/>
              <w:rPr>
                <w:b/>
                <w:bCs/>
                <w:color w:val="auto"/>
              </w:rPr>
            </w:pPr>
            <w:r>
              <w:rPr>
                <w:b/>
                <w:bCs/>
                <w:color w:val="auto"/>
              </w:rPr>
              <w:t>Items</w:t>
            </w:r>
          </w:p>
        </w:tc>
        <w:tc>
          <w:tcPr>
            <w:tcW w:w="2254" w:type="dxa"/>
          </w:tcPr>
          <w:p>
            <w:pPr>
              <w:jc w:val="center"/>
              <w:rPr>
                <w:b/>
                <w:bCs/>
                <w:color w:val="auto"/>
              </w:rPr>
            </w:pPr>
            <w:r>
              <w:rPr>
                <w:b/>
                <w:bCs/>
                <w:color w:val="auto"/>
              </w:rPr>
              <w:t>Coding</w:t>
            </w:r>
          </w:p>
        </w:tc>
        <w:tc>
          <w:tcPr>
            <w:tcW w:w="2254" w:type="dxa"/>
          </w:tcPr>
          <w:p>
            <w:pPr>
              <w:jc w:val="center"/>
              <w:rPr>
                <w:b/>
                <w:bCs/>
                <w:color w:val="auto"/>
              </w:rPr>
            </w:pPr>
            <w:r>
              <w:rPr>
                <w:b/>
                <w:bCs/>
                <w:color w:val="auto"/>
              </w:rPr>
              <w:t>Cronbach Alpha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rPr>
                <w:color w:val="auto"/>
              </w:rPr>
            </w:pPr>
            <w:r>
              <w:rPr>
                <w:color w:val="auto"/>
              </w:rPr>
              <w:t>Brand Image</w:t>
            </w:r>
          </w:p>
        </w:tc>
        <w:tc>
          <w:tcPr>
            <w:tcW w:w="1394" w:type="dxa"/>
          </w:tcPr>
          <w:p>
            <w:pPr>
              <w:rPr>
                <w:color w:val="auto"/>
              </w:rPr>
            </w:pPr>
            <w:r>
              <w:rPr>
                <w:color w:val="auto"/>
              </w:rPr>
              <w:t>6</w:t>
            </w:r>
          </w:p>
        </w:tc>
        <w:tc>
          <w:tcPr>
            <w:tcW w:w="2254" w:type="dxa"/>
          </w:tcPr>
          <w:p>
            <w:pPr>
              <w:jc w:val="center"/>
              <w:rPr>
                <w:color w:val="auto"/>
              </w:rPr>
            </w:pPr>
            <w:r>
              <w:rPr>
                <w:color w:val="auto"/>
              </w:rPr>
              <w:t>BI</w:t>
            </w:r>
          </w:p>
        </w:tc>
        <w:tc>
          <w:tcPr>
            <w:tcW w:w="2254" w:type="dxa"/>
          </w:tcPr>
          <w:p>
            <w:pPr>
              <w:jc w:val="center"/>
              <w:rPr>
                <w:color w:val="auto"/>
              </w:rPr>
            </w:pPr>
            <w:r>
              <w:rPr>
                <w:color w:val="auto"/>
              </w:rPr>
              <w:t>0.893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rPr>
                <w:color w:val="auto"/>
              </w:rPr>
            </w:pPr>
            <w:r>
              <w:rPr>
                <w:color w:val="auto"/>
              </w:rPr>
              <w:t>Brand Loyalty</w:t>
            </w:r>
          </w:p>
        </w:tc>
        <w:tc>
          <w:tcPr>
            <w:tcW w:w="1394" w:type="dxa"/>
          </w:tcPr>
          <w:p>
            <w:pPr>
              <w:rPr>
                <w:color w:val="auto"/>
              </w:rPr>
            </w:pPr>
            <w:r>
              <w:rPr>
                <w:color w:val="auto"/>
              </w:rPr>
              <w:t>4</w:t>
            </w:r>
          </w:p>
        </w:tc>
        <w:tc>
          <w:tcPr>
            <w:tcW w:w="2254" w:type="dxa"/>
          </w:tcPr>
          <w:p>
            <w:pPr>
              <w:jc w:val="center"/>
              <w:rPr>
                <w:color w:val="auto"/>
              </w:rPr>
            </w:pPr>
            <w:r>
              <w:rPr>
                <w:color w:val="auto"/>
              </w:rPr>
              <w:t>BL</w:t>
            </w:r>
          </w:p>
        </w:tc>
        <w:tc>
          <w:tcPr>
            <w:tcW w:w="2254" w:type="dxa"/>
          </w:tcPr>
          <w:p>
            <w:pPr>
              <w:jc w:val="center"/>
              <w:rPr>
                <w:color w:val="auto"/>
              </w:rPr>
            </w:pPr>
            <w:r>
              <w:rPr>
                <w:color w:val="auto"/>
              </w:rPr>
              <w:t>0.843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rPr>
                <w:color w:val="auto"/>
              </w:rPr>
            </w:pPr>
            <w:r>
              <w:rPr>
                <w:color w:val="auto"/>
              </w:rPr>
              <w:t>Repurchase Intention</w:t>
            </w:r>
          </w:p>
        </w:tc>
        <w:tc>
          <w:tcPr>
            <w:tcW w:w="1394" w:type="dxa"/>
          </w:tcPr>
          <w:p>
            <w:pPr>
              <w:rPr>
                <w:color w:val="auto"/>
              </w:rPr>
            </w:pPr>
            <w:r>
              <w:rPr>
                <w:color w:val="auto"/>
              </w:rPr>
              <w:t>3</w:t>
            </w:r>
          </w:p>
        </w:tc>
        <w:tc>
          <w:tcPr>
            <w:tcW w:w="2254" w:type="dxa"/>
          </w:tcPr>
          <w:p>
            <w:pPr>
              <w:jc w:val="center"/>
              <w:rPr>
                <w:color w:val="auto"/>
              </w:rPr>
            </w:pPr>
            <w:r>
              <w:rPr>
                <w:color w:val="auto"/>
              </w:rPr>
              <w:t>RI</w:t>
            </w:r>
          </w:p>
        </w:tc>
        <w:tc>
          <w:tcPr>
            <w:tcW w:w="2254" w:type="dxa"/>
          </w:tcPr>
          <w:p>
            <w:pPr>
              <w:jc w:val="center"/>
              <w:rPr>
                <w:color w:val="auto"/>
              </w:rPr>
            </w:pPr>
            <w:r>
              <w:rPr>
                <w:color w:val="auto"/>
              </w:rPr>
              <w:t>0.937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rPr>
                <w:color w:val="auto"/>
              </w:rPr>
            </w:pPr>
            <w:r>
              <w:rPr>
                <w:color w:val="auto"/>
              </w:rPr>
              <w:t>Customer Experience</w:t>
            </w:r>
          </w:p>
        </w:tc>
        <w:tc>
          <w:tcPr>
            <w:tcW w:w="1394" w:type="dxa"/>
          </w:tcPr>
          <w:p>
            <w:pPr>
              <w:rPr>
                <w:color w:val="auto"/>
              </w:rPr>
            </w:pPr>
            <w:r>
              <w:rPr>
                <w:color w:val="auto"/>
              </w:rPr>
              <w:t>5</w:t>
            </w:r>
          </w:p>
        </w:tc>
        <w:tc>
          <w:tcPr>
            <w:tcW w:w="2254" w:type="dxa"/>
          </w:tcPr>
          <w:p>
            <w:pPr>
              <w:jc w:val="center"/>
              <w:rPr>
                <w:color w:val="auto"/>
              </w:rPr>
            </w:pPr>
            <w:r>
              <w:rPr>
                <w:color w:val="auto"/>
              </w:rPr>
              <w:t>CEXP</w:t>
            </w:r>
          </w:p>
        </w:tc>
        <w:tc>
          <w:tcPr>
            <w:tcW w:w="2254" w:type="dxa"/>
          </w:tcPr>
          <w:p>
            <w:pPr>
              <w:jc w:val="center"/>
              <w:rPr>
                <w:color w:val="auto"/>
              </w:rPr>
            </w:pPr>
            <w:r>
              <w:rPr>
                <w:color w:val="auto"/>
              </w:rPr>
              <w:t>0.927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4" w:type="dxa"/>
          </w:tcPr>
          <w:p>
            <w:pPr>
              <w:rPr>
                <w:color w:val="auto"/>
              </w:rPr>
            </w:pPr>
            <w:r>
              <w:rPr>
                <w:color w:val="auto"/>
              </w:rPr>
              <w:t>Customer Trust</w:t>
            </w:r>
          </w:p>
        </w:tc>
        <w:tc>
          <w:tcPr>
            <w:tcW w:w="1394" w:type="dxa"/>
          </w:tcPr>
          <w:p>
            <w:pPr>
              <w:rPr>
                <w:color w:val="auto"/>
              </w:rPr>
            </w:pPr>
            <w:r>
              <w:rPr>
                <w:color w:val="auto"/>
              </w:rPr>
              <w:t>3</w:t>
            </w:r>
          </w:p>
        </w:tc>
        <w:tc>
          <w:tcPr>
            <w:tcW w:w="2254" w:type="dxa"/>
          </w:tcPr>
          <w:p>
            <w:pPr>
              <w:jc w:val="center"/>
              <w:rPr>
                <w:color w:val="auto"/>
              </w:rPr>
            </w:pPr>
            <w:r>
              <w:rPr>
                <w:color w:val="auto"/>
              </w:rPr>
              <w:t>CT</w:t>
            </w:r>
          </w:p>
        </w:tc>
        <w:tc>
          <w:tcPr>
            <w:tcW w:w="2254" w:type="dxa"/>
          </w:tcPr>
          <w:p>
            <w:pPr>
              <w:jc w:val="center"/>
              <w:rPr>
                <w:color w:val="auto"/>
              </w:rPr>
            </w:pPr>
            <w:r>
              <w:rPr>
                <w:color w:val="auto"/>
              </w:rPr>
              <w:t>0.806</w:t>
            </w:r>
          </w:p>
        </w:tc>
      </w:tr>
    </w:tbl>
    <w:p>
      <w:pPr>
        <w:rPr>
          <w:color w:val="auto"/>
        </w:rPr>
      </w:pPr>
      <w:r>
        <w:rPr>
          <w:color w:val="auto"/>
        </w:rPr>
        <w:t>Reliability analysis, often measured through Cronbach's Alpha, assesses the internal consistency of items within a scale, ensuring that they are cohesively measuring the same underlying construct. Nunnally (1978) suggests that a Cronbach's Alpha of 0.7 is an acceptable reliability coefficient, though higher values are desirable.</w:t>
      </w:r>
    </w:p>
    <w:p>
      <w:pPr>
        <w:numPr>
          <w:ilvl w:val="0"/>
          <w:numId w:val="3"/>
        </w:numPr>
        <w:spacing w:before="100" w:beforeAutospacing="1" w:after="100" w:afterAutospacing="1"/>
        <w:jc w:val="both"/>
        <w:rPr>
          <w:color w:val="auto"/>
        </w:rPr>
      </w:pPr>
      <w:r>
        <w:rPr>
          <w:b/>
          <w:bCs/>
          <w:color w:val="auto"/>
        </w:rPr>
        <w:t>Brand Image (BI)</w:t>
      </w:r>
      <w:r>
        <w:rPr>
          <w:color w:val="auto"/>
        </w:rPr>
        <w:t>: With an alpha of 0.893, this scale demonstrates excellent reliability, ensuring consistent measurement of the construct.</w:t>
      </w:r>
    </w:p>
    <w:p>
      <w:pPr>
        <w:numPr>
          <w:ilvl w:val="0"/>
          <w:numId w:val="3"/>
        </w:numPr>
        <w:spacing w:before="100" w:beforeAutospacing="1" w:after="100" w:afterAutospacing="1"/>
        <w:jc w:val="both"/>
        <w:rPr>
          <w:color w:val="auto"/>
        </w:rPr>
      </w:pPr>
      <w:r>
        <w:rPr>
          <w:b/>
          <w:bCs/>
          <w:color w:val="auto"/>
        </w:rPr>
        <w:t>Brand Loyalty (BL)</w:t>
      </w:r>
      <w:r>
        <w:rPr>
          <w:color w:val="auto"/>
        </w:rPr>
        <w:t>: An alpha of 0.843 also indicates strong reliability, reflecting cohesive measurement of loyalty aspects.</w:t>
      </w:r>
    </w:p>
    <w:p>
      <w:pPr>
        <w:numPr>
          <w:ilvl w:val="0"/>
          <w:numId w:val="3"/>
        </w:numPr>
        <w:spacing w:before="100" w:beforeAutospacing="1" w:after="100" w:afterAutospacing="1"/>
        <w:jc w:val="both"/>
        <w:rPr>
          <w:color w:val="auto"/>
        </w:rPr>
      </w:pPr>
      <w:r>
        <w:rPr>
          <w:b/>
          <w:bCs/>
          <w:color w:val="auto"/>
        </w:rPr>
        <w:t>Repurchase Intention (RI)</w:t>
      </w:r>
      <w:r>
        <w:rPr>
          <w:color w:val="auto"/>
        </w:rPr>
        <w:t>: Exhibiting an exceptionally high alpha of 0.937, this scale assures a very reliable measurement of repurchase intentions.</w:t>
      </w:r>
    </w:p>
    <w:p>
      <w:pPr>
        <w:numPr>
          <w:ilvl w:val="0"/>
          <w:numId w:val="3"/>
        </w:numPr>
        <w:spacing w:before="100" w:beforeAutospacing="1" w:after="100" w:afterAutospacing="1"/>
        <w:jc w:val="both"/>
        <w:rPr>
          <w:color w:val="auto"/>
        </w:rPr>
      </w:pPr>
      <w:r>
        <w:rPr>
          <w:b/>
          <w:bCs/>
          <w:color w:val="auto"/>
        </w:rPr>
        <w:t>Customer Experience (CEXP)</w:t>
      </w:r>
      <w:r>
        <w:rPr>
          <w:color w:val="auto"/>
        </w:rPr>
        <w:t>: The alpha of 0.927 reflects excellent reliability, indicating that the items cohesively measure customer experience.</w:t>
      </w:r>
    </w:p>
    <w:p>
      <w:pPr>
        <w:numPr>
          <w:ilvl w:val="0"/>
          <w:numId w:val="3"/>
        </w:numPr>
        <w:spacing w:before="100" w:beforeAutospacing="1" w:after="100" w:afterAutospacing="1"/>
        <w:jc w:val="both"/>
        <w:rPr>
          <w:color w:val="auto"/>
        </w:rPr>
      </w:pPr>
      <w:r>
        <w:rPr>
          <w:b/>
          <w:bCs/>
          <w:color w:val="auto"/>
        </w:rPr>
        <w:t>Customer Trust (CT)</w:t>
      </w:r>
      <w:r>
        <w:rPr>
          <w:color w:val="auto"/>
        </w:rPr>
        <w:t>: With an alpha of 0.806, this scale also demonstrates good reliability, though it’s slightly lower than the others.</w:t>
      </w:r>
    </w:p>
    <w:p>
      <w:pPr>
        <w:rPr>
          <w:color w:val="auto"/>
        </w:rPr>
      </w:pPr>
      <w:r>
        <w:rPr>
          <w:color w:val="auto"/>
        </w:rPr>
        <w:t>Each of the constructs has reliability above the 0.7 level, as required for scientific study (Nunnally, 1978). These strong reliability coefficients provide a solid basis for further analyses and interpretations, suggesting that the scales utilized in the study are consistent and that the items within each scale cohesively assess their respective domains.</w:t>
      </w:r>
    </w:p>
    <w:p>
      <w:pPr>
        <w:pStyle w:val="3"/>
        <w:rPr>
          <w:color w:val="auto"/>
        </w:rPr>
      </w:pPr>
      <w:bookmarkStart w:id="63" w:name="_Toc147931466"/>
      <w:r>
        <w:rPr>
          <w:color w:val="auto"/>
        </w:rPr>
        <w:t>4.9</w:t>
      </w:r>
      <w:r>
        <w:rPr>
          <w:color w:val="auto"/>
        </w:rPr>
        <w:tab/>
      </w:r>
      <w:r>
        <w:rPr>
          <w:color w:val="auto"/>
        </w:rPr>
        <w:t>Correlation Analysis</w:t>
      </w:r>
      <w:bookmarkEnd w:id="63"/>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2"/>
        <w:gridCol w:w="1616"/>
        <w:gridCol w:w="1097"/>
        <w:gridCol w:w="1124"/>
        <w:gridCol w:w="1419"/>
        <w:gridCol w:w="1377"/>
        <w:gridCol w:w="1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7"/>
          </w:tcPr>
          <w:p>
            <w:pPr>
              <w:spacing w:line="240" w:lineRule="auto"/>
              <w:jc w:val="center"/>
              <w:rPr>
                <w:color w:val="auto"/>
              </w:rPr>
            </w:pPr>
            <w:r>
              <w:rPr>
                <w:b/>
                <w:bCs/>
                <w:color w:val="auto"/>
              </w:rPr>
              <w:t>Correlations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3" w:type="pct"/>
            <w:gridSpan w:val="2"/>
          </w:tcPr>
          <w:p>
            <w:pPr>
              <w:spacing w:line="240" w:lineRule="auto"/>
              <w:rPr>
                <w:color w:val="auto"/>
              </w:rPr>
            </w:pPr>
          </w:p>
        </w:tc>
        <w:tc>
          <w:tcPr>
            <w:tcW w:w="573" w:type="pct"/>
          </w:tcPr>
          <w:p>
            <w:pPr>
              <w:spacing w:line="240" w:lineRule="auto"/>
              <w:jc w:val="center"/>
              <w:rPr>
                <w:color w:val="auto"/>
              </w:rPr>
            </w:pPr>
            <w:r>
              <w:rPr>
                <w:color w:val="auto"/>
              </w:rPr>
              <w:t>Brand Image</w:t>
            </w:r>
          </w:p>
        </w:tc>
        <w:tc>
          <w:tcPr>
            <w:tcW w:w="587" w:type="pct"/>
          </w:tcPr>
          <w:p>
            <w:pPr>
              <w:spacing w:line="240" w:lineRule="auto"/>
              <w:jc w:val="center"/>
              <w:rPr>
                <w:color w:val="auto"/>
              </w:rPr>
            </w:pPr>
            <w:r>
              <w:rPr>
                <w:color w:val="auto"/>
              </w:rPr>
              <w:t>Brand Loyalty</w:t>
            </w:r>
          </w:p>
        </w:tc>
        <w:tc>
          <w:tcPr>
            <w:tcW w:w="741" w:type="pct"/>
          </w:tcPr>
          <w:p>
            <w:pPr>
              <w:spacing w:line="240" w:lineRule="auto"/>
              <w:jc w:val="center"/>
              <w:rPr>
                <w:color w:val="auto"/>
              </w:rPr>
            </w:pPr>
            <w:r>
              <w:rPr>
                <w:color w:val="auto"/>
              </w:rPr>
              <w:t>Repurchase Intention</w:t>
            </w:r>
          </w:p>
        </w:tc>
        <w:tc>
          <w:tcPr>
            <w:tcW w:w="719" w:type="pct"/>
          </w:tcPr>
          <w:p>
            <w:pPr>
              <w:spacing w:line="240" w:lineRule="auto"/>
              <w:jc w:val="center"/>
              <w:rPr>
                <w:color w:val="auto"/>
              </w:rPr>
            </w:pPr>
            <w:r>
              <w:rPr>
                <w:color w:val="auto"/>
              </w:rPr>
              <w:t>Customer Experience</w:t>
            </w:r>
          </w:p>
        </w:tc>
        <w:tc>
          <w:tcPr>
            <w:tcW w:w="638" w:type="pct"/>
          </w:tcPr>
          <w:p>
            <w:pPr>
              <w:spacing w:line="240" w:lineRule="auto"/>
              <w:jc w:val="center"/>
              <w:rPr>
                <w:color w:val="auto"/>
              </w:rPr>
            </w:pPr>
            <w:r>
              <w:rPr>
                <w:color w:val="auto"/>
              </w:rPr>
              <w:t>Customer Trust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restart"/>
          </w:tcPr>
          <w:p>
            <w:pPr>
              <w:spacing w:line="240" w:lineRule="auto"/>
              <w:rPr>
                <w:color w:val="auto"/>
              </w:rPr>
            </w:pPr>
            <w:r>
              <w:rPr>
                <w:color w:val="auto"/>
              </w:rPr>
              <w:t>Brand Image</w:t>
            </w:r>
          </w:p>
        </w:tc>
        <w:tc>
          <w:tcPr>
            <w:tcW w:w="844" w:type="pct"/>
          </w:tcPr>
          <w:p>
            <w:pPr>
              <w:spacing w:line="240" w:lineRule="auto"/>
              <w:rPr>
                <w:color w:val="auto"/>
              </w:rPr>
            </w:pPr>
            <w:r>
              <w:rPr>
                <w:color w:val="auto"/>
              </w:rPr>
              <w:t>Pearson Correlation</w:t>
            </w:r>
          </w:p>
        </w:tc>
        <w:tc>
          <w:tcPr>
            <w:tcW w:w="573" w:type="pct"/>
          </w:tcPr>
          <w:p>
            <w:pPr>
              <w:spacing w:line="240" w:lineRule="auto"/>
              <w:jc w:val="center"/>
              <w:rPr>
                <w:color w:val="auto"/>
              </w:rPr>
            </w:pPr>
            <w:r>
              <w:rPr>
                <w:color w:val="auto"/>
              </w:rPr>
              <w:t>--</w:t>
            </w:r>
          </w:p>
        </w:tc>
        <w:tc>
          <w:tcPr>
            <w:tcW w:w="587" w:type="pct"/>
          </w:tcPr>
          <w:p>
            <w:pPr>
              <w:spacing w:line="240" w:lineRule="auto"/>
              <w:jc w:val="center"/>
              <w:rPr>
                <w:color w:val="auto"/>
              </w:rPr>
            </w:pPr>
          </w:p>
        </w:tc>
        <w:tc>
          <w:tcPr>
            <w:tcW w:w="741" w:type="pct"/>
          </w:tcPr>
          <w:p>
            <w:pPr>
              <w:spacing w:line="240" w:lineRule="auto"/>
              <w:jc w:val="center"/>
              <w:rPr>
                <w:color w:val="auto"/>
              </w:rPr>
            </w:pPr>
          </w:p>
        </w:tc>
        <w:tc>
          <w:tcPr>
            <w:tcW w:w="719" w:type="pct"/>
          </w:tcPr>
          <w:p>
            <w:pPr>
              <w:spacing w:line="240" w:lineRule="auto"/>
              <w:jc w:val="center"/>
              <w:rPr>
                <w:color w:val="auto"/>
              </w:rPr>
            </w:pPr>
          </w:p>
        </w:tc>
        <w:tc>
          <w:tcPr>
            <w:tcW w:w="638" w:type="pct"/>
          </w:tcPr>
          <w:p>
            <w:pPr>
              <w:spacing w:line="24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continue"/>
          </w:tcPr>
          <w:p>
            <w:pPr>
              <w:spacing w:line="240" w:lineRule="auto"/>
              <w:rPr>
                <w:color w:val="auto"/>
              </w:rPr>
            </w:pPr>
          </w:p>
        </w:tc>
        <w:tc>
          <w:tcPr>
            <w:tcW w:w="844" w:type="pct"/>
          </w:tcPr>
          <w:p>
            <w:pPr>
              <w:spacing w:line="240" w:lineRule="auto"/>
              <w:rPr>
                <w:color w:val="auto"/>
              </w:rPr>
            </w:pPr>
            <w:r>
              <w:rPr>
                <w:color w:val="auto"/>
              </w:rPr>
              <w:t>N</w:t>
            </w:r>
          </w:p>
        </w:tc>
        <w:tc>
          <w:tcPr>
            <w:tcW w:w="573" w:type="pct"/>
          </w:tcPr>
          <w:p>
            <w:pPr>
              <w:spacing w:line="240" w:lineRule="auto"/>
              <w:jc w:val="center"/>
              <w:rPr>
                <w:color w:val="auto"/>
              </w:rPr>
            </w:pPr>
            <w:r>
              <w:rPr>
                <w:color w:val="auto"/>
              </w:rPr>
              <w:t>65</w:t>
            </w:r>
          </w:p>
        </w:tc>
        <w:tc>
          <w:tcPr>
            <w:tcW w:w="587" w:type="pct"/>
          </w:tcPr>
          <w:p>
            <w:pPr>
              <w:spacing w:line="240" w:lineRule="auto"/>
              <w:jc w:val="center"/>
              <w:rPr>
                <w:color w:val="auto"/>
              </w:rPr>
            </w:pPr>
          </w:p>
        </w:tc>
        <w:tc>
          <w:tcPr>
            <w:tcW w:w="741" w:type="pct"/>
          </w:tcPr>
          <w:p>
            <w:pPr>
              <w:spacing w:line="240" w:lineRule="auto"/>
              <w:jc w:val="center"/>
              <w:rPr>
                <w:color w:val="auto"/>
              </w:rPr>
            </w:pPr>
          </w:p>
        </w:tc>
        <w:tc>
          <w:tcPr>
            <w:tcW w:w="719" w:type="pct"/>
          </w:tcPr>
          <w:p>
            <w:pPr>
              <w:spacing w:line="240" w:lineRule="auto"/>
              <w:jc w:val="center"/>
              <w:rPr>
                <w:color w:val="auto"/>
              </w:rPr>
            </w:pPr>
          </w:p>
        </w:tc>
        <w:tc>
          <w:tcPr>
            <w:tcW w:w="638" w:type="pct"/>
          </w:tcPr>
          <w:p>
            <w:pPr>
              <w:spacing w:line="24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restart"/>
          </w:tcPr>
          <w:p>
            <w:pPr>
              <w:spacing w:line="240" w:lineRule="auto"/>
              <w:rPr>
                <w:color w:val="auto"/>
              </w:rPr>
            </w:pPr>
            <w:r>
              <w:rPr>
                <w:color w:val="auto"/>
              </w:rPr>
              <w:t>Brand Loyalty</w:t>
            </w:r>
          </w:p>
        </w:tc>
        <w:tc>
          <w:tcPr>
            <w:tcW w:w="844" w:type="pct"/>
          </w:tcPr>
          <w:p>
            <w:pPr>
              <w:spacing w:line="240" w:lineRule="auto"/>
              <w:rPr>
                <w:color w:val="auto"/>
              </w:rPr>
            </w:pPr>
            <w:r>
              <w:rPr>
                <w:color w:val="auto"/>
              </w:rPr>
              <w:t>Pearson Correlation</w:t>
            </w:r>
          </w:p>
        </w:tc>
        <w:tc>
          <w:tcPr>
            <w:tcW w:w="573" w:type="pct"/>
          </w:tcPr>
          <w:p>
            <w:pPr>
              <w:spacing w:line="240" w:lineRule="auto"/>
              <w:jc w:val="center"/>
              <w:rPr>
                <w:color w:val="auto"/>
              </w:rPr>
            </w:pPr>
            <w:r>
              <w:rPr>
                <w:color w:val="auto"/>
              </w:rPr>
              <w:t>.787</w:t>
            </w:r>
            <w:r>
              <w:rPr>
                <w:color w:val="auto"/>
                <w:vertAlign w:val="superscript"/>
              </w:rPr>
              <w:t>**</w:t>
            </w:r>
          </w:p>
        </w:tc>
        <w:tc>
          <w:tcPr>
            <w:tcW w:w="587" w:type="pct"/>
          </w:tcPr>
          <w:p>
            <w:pPr>
              <w:spacing w:line="240" w:lineRule="auto"/>
              <w:jc w:val="center"/>
              <w:rPr>
                <w:color w:val="auto"/>
              </w:rPr>
            </w:pPr>
            <w:r>
              <w:rPr>
                <w:color w:val="auto"/>
              </w:rPr>
              <w:t>--</w:t>
            </w:r>
          </w:p>
        </w:tc>
        <w:tc>
          <w:tcPr>
            <w:tcW w:w="741" w:type="pct"/>
          </w:tcPr>
          <w:p>
            <w:pPr>
              <w:spacing w:line="240" w:lineRule="auto"/>
              <w:jc w:val="center"/>
              <w:rPr>
                <w:color w:val="auto"/>
              </w:rPr>
            </w:pPr>
          </w:p>
        </w:tc>
        <w:tc>
          <w:tcPr>
            <w:tcW w:w="719" w:type="pct"/>
          </w:tcPr>
          <w:p>
            <w:pPr>
              <w:spacing w:line="240" w:lineRule="auto"/>
              <w:jc w:val="center"/>
              <w:rPr>
                <w:color w:val="auto"/>
              </w:rPr>
            </w:pPr>
          </w:p>
        </w:tc>
        <w:tc>
          <w:tcPr>
            <w:tcW w:w="638" w:type="pct"/>
          </w:tcPr>
          <w:p>
            <w:pPr>
              <w:spacing w:line="24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continue"/>
          </w:tcPr>
          <w:p>
            <w:pPr>
              <w:spacing w:line="240" w:lineRule="auto"/>
              <w:rPr>
                <w:color w:val="auto"/>
              </w:rPr>
            </w:pPr>
          </w:p>
        </w:tc>
        <w:tc>
          <w:tcPr>
            <w:tcW w:w="844" w:type="pct"/>
          </w:tcPr>
          <w:p>
            <w:pPr>
              <w:spacing w:line="240" w:lineRule="auto"/>
              <w:rPr>
                <w:color w:val="auto"/>
              </w:rPr>
            </w:pPr>
            <w:r>
              <w:rPr>
                <w:color w:val="auto"/>
              </w:rPr>
              <w:t>Sig. (2-tailed)</w:t>
            </w:r>
          </w:p>
        </w:tc>
        <w:tc>
          <w:tcPr>
            <w:tcW w:w="573" w:type="pct"/>
          </w:tcPr>
          <w:p>
            <w:pPr>
              <w:spacing w:line="240" w:lineRule="auto"/>
              <w:jc w:val="center"/>
              <w:rPr>
                <w:color w:val="auto"/>
              </w:rPr>
            </w:pPr>
            <w:r>
              <w:rPr>
                <w:color w:val="auto"/>
              </w:rPr>
              <w:t>.000</w:t>
            </w:r>
          </w:p>
        </w:tc>
        <w:tc>
          <w:tcPr>
            <w:tcW w:w="587" w:type="pct"/>
          </w:tcPr>
          <w:p>
            <w:pPr>
              <w:spacing w:line="240" w:lineRule="auto"/>
              <w:jc w:val="center"/>
              <w:rPr>
                <w:color w:val="auto"/>
              </w:rPr>
            </w:pPr>
          </w:p>
        </w:tc>
        <w:tc>
          <w:tcPr>
            <w:tcW w:w="741" w:type="pct"/>
          </w:tcPr>
          <w:p>
            <w:pPr>
              <w:spacing w:line="240" w:lineRule="auto"/>
              <w:jc w:val="center"/>
              <w:rPr>
                <w:color w:val="auto"/>
              </w:rPr>
            </w:pPr>
          </w:p>
        </w:tc>
        <w:tc>
          <w:tcPr>
            <w:tcW w:w="719" w:type="pct"/>
          </w:tcPr>
          <w:p>
            <w:pPr>
              <w:spacing w:line="240" w:lineRule="auto"/>
              <w:jc w:val="center"/>
              <w:rPr>
                <w:color w:val="auto"/>
              </w:rPr>
            </w:pPr>
          </w:p>
        </w:tc>
        <w:tc>
          <w:tcPr>
            <w:tcW w:w="638" w:type="pct"/>
          </w:tcPr>
          <w:p>
            <w:pPr>
              <w:spacing w:line="24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continue"/>
          </w:tcPr>
          <w:p>
            <w:pPr>
              <w:spacing w:line="240" w:lineRule="auto"/>
              <w:rPr>
                <w:color w:val="auto"/>
              </w:rPr>
            </w:pPr>
          </w:p>
        </w:tc>
        <w:tc>
          <w:tcPr>
            <w:tcW w:w="844" w:type="pct"/>
          </w:tcPr>
          <w:p>
            <w:pPr>
              <w:spacing w:line="240" w:lineRule="auto"/>
              <w:rPr>
                <w:color w:val="auto"/>
              </w:rPr>
            </w:pPr>
            <w:r>
              <w:rPr>
                <w:color w:val="auto"/>
              </w:rPr>
              <w:t>N</w:t>
            </w:r>
          </w:p>
        </w:tc>
        <w:tc>
          <w:tcPr>
            <w:tcW w:w="573" w:type="pct"/>
          </w:tcPr>
          <w:p>
            <w:pPr>
              <w:spacing w:line="240" w:lineRule="auto"/>
              <w:jc w:val="center"/>
              <w:rPr>
                <w:color w:val="auto"/>
              </w:rPr>
            </w:pPr>
            <w:r>
              <w:rPr>
                <w:color w:val="auto"/>
              </w:rPr>
              <w:t>65</w:t>
            </w:r>
          </w:p>
        </w:tc>
        <w:tc>
          <w:tcPr>
            <w:tcW w:w="587" w:type="pct"/>
          </w:tcPr>
          <w:p>
            <w:pPr>
              <w:spacing w:line="240" w:lineRule="auto"/>
              <w:jc w:val="center"/>
              <w:rPr>
                <w:color w:val="auto"/>
              </w:rPr>
            </w:pPr>
            <w:r>
              <w:rPr>
                <w:color w:val="auto"/>
              </w:rPr>
              <w:t>65</w:t>
            </w:r>
          </w:p>
        </w:tc>
        <w:tc>
          <w:tcPr>
            <w:tcW w:w="741" w:type="pct"/>
          </w:tcPr>
          <w:p>
            <w:pPr>
              <w:spacing w:line="240" w:lineRule="auto"/>
              <w:jc w:val="center"/>
              <w:rPr>
                <w:color w:val="auto"/>
              </w:rPr>
            </w:pPr>
          </w:p>
        </w:tc>
        <w:tc>
          <w:tcPr>
            <w:tcW w:w="719" w:type="pct"/>
          </w:tcPr>
          <w:p>
            <w:pPr>
              <w:spacing w:line="240" w:lineRule="auto"/>
              <w:jc w:val="center"/>
              <w:rPr>
                <w:color w:val="auto"/>
              </w:rPr>
            </w:pPr>
          </w:p>
        </w:tc>
        <w:tc>
          <w:tcPr>
            <w:tcW w:w="638" w:type="pct"/>
          </w:tcPr>
          <w:p>
            <w:pPr>
              <w:spacing w:line="24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restart"/>
          </w:tcPr>
          <w:p>
            <w:pPr>
              <w:spacing w:line="240" w:lineRule="auto"/>
              <w:rPr>
                <w:color w:val="auto"/>
              </w:rPr>
            </w:pPr>
            <w:r>
              <w:rPr>
                <w:color w:val="auto"/>
              </w:rPr>
              <w:t>Repurchase Intention</w:t>
            </w:r>
          </w:p>
        </w:tc>
        <w:tc>
          <w:tcPr>
            <w:tcW w:w="844" w:type="pct"/>
          </w:tcPr>
          <w:p>
            <w:pPr>
              <w:spacing w:line="240" w:lineRule="auto"/>
              <w:rPr>
                <w:color w:val="auto"/>
              </w:rPr>
            </w:pPr>
            <w:r>
              <w:rPr>
                <w:color w:val="auto"/>
              </w:rPr>
              <w:t>Pearson Correlation</w:t>
            </w:r>
          </w:p>
        </w:tc>
        <w:tc>
          <w:tcPr>
            <w:tcW w:w="573" w:type="pct"/>
          </w:tcPr>
          <w:p>
            <w:pPr>
              <w:spacing w:line="240" w:lineRule="auto"/>
              <w:jc w:val="center"/>
              <w:rPr>
                <w:color w:val="auto"/>
              </w:rPr>
            </w:pPr>
            <w:r>
              <w:rPr>
                <w:color w:val="auto"/>
              </w:rPr>
              <w:t>.749</w:t>
            </w:r>
            <w:r>
              <w:rPr>
                <w:color w:val="auto"/>
                <w:vertAlign w:val="superscript"/>
              </w:rPr>
              <w:t>**</w:t>
            </w:r>
          </w:p>
        </w:tc>
        <w:tc>
          <w:tcPr>
            <w:tcW w:w="587" w:type="pct"/>
          </w:tcPr>
          <w:p>
            <w:pPr>
              <w:spacing w:line="240" w:lineRule="auto"/>
              <w:jc w:val="center"/>
              <w:rPr>
                <w:color w:val="auto"/>
              </w:rPr>
            </w:pPr>
            <w:r>
              <w:rPr>
                <w:color w:val="auto"/>
              </w:rPr>
              <w:t>.905</w:t>
            </w:r>
            <w:r>
              <w:rPr>
                <w:color w:val="auto"/>
                <w:vertAlign w:val="superscript"/>
              </w:rPr>
              <w:t>**</w:t>
            </w:r>
          </w:p>
        </w:tc>
        <w:tc>
          <w:tcPr>
            <w:tcW w:w="741" w:type="pct"/>
          </w:tcPr>
          <w:p>
            <w:pPr>
              <w:spacing w:line="240" w:lineRule="auto"/>
              <w:jc w:val="center"/>
              <w:rPr>
                <w:color w:val="auto"/>
              </w:rPr>
            </w:pPr>
            <w:r>
              <w:rPr>
                <w:color w:val="auto"/>
              </w:rPr>
              <w:t>--</w:t>
            </w:r>
          </w:p>
        </w:tc>
        <w:tc>
          <w:tcPr>
            <w:tcW w:w="719" w:type="pct"/>
          </w:tcPr>
          <w:p>
            <w:pPr>
              <w:spacing w:line="240" w:lineRule="auto"/>
              <w:jc w:val="center"/>
              <w:rPr>
                <w:color w:val="auto"/>
              </w:rPr>
            </w:pPr>
          </w:p>
        </w:tc>
        <w:tc>
          <w:tcPr>
            <w:tcW w:w="638" w:type="pct"/>
          </w:tcPr>
          <w:p>
            <w:pPr>
              <w:spacing w:line="24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continue"/>
          </w:tcPr>
          <w:p>
            <w:pPr>
              <w:spacing w:line="240" w:lineRule="auto"/>
              <w:rPr>
                <w:color w:val="auto"/>
              </w:rPr>
            </w:pPr>
          </w:p>
        </w:tc>
        <w:tc>
          <w:tcPr>
            <w:tcW w:w="844" w:type="pct"/>
          </w:tcPr>
          <w:p>
            <w:pPr>
              <w:spacing w:line="240" w:lineRule="auto"/>
              <w:rPr>
                <w:color w:val="auto"/>
              </w:rPr>
            </w:pPr>
            <w:r>
              <w:rPr>
                <w:color w:val="auto"/>
              </w:rPr>
              <w:t>Sig. (2-tailed)</w:t>
            </w:r>
          </w:p>
        </w:tc>
        <w:tc>
          <w:tcPr>
            <w:tcW w:w="573" w:type="pct"/>
          </w:tcPr>
          <w:p>
            <w:pPr>
              <w:spacing w:line="240" w:lineRule="auto"/>
              <w:jc w:val="center"/>
              <w:rPr>
                <w:color w:val="auto"/>
              </w:rPr>
            </w:pPr>
            <w:r>
              <w:rPr>
                <w:color w:val="auto"/>
              </w:rPr>
              <w:t>.000</w:t>
            </w:r>
          </w:p>
        </w:tc>
        <w:tc>
          <w:tcPr>
            <w:tcW w:w="587" w:type="pct"/>
          </w:tcPr>
          <w:p>
            <w:pPr>
              <w:spacing w:line="240" w:lineRule="auto"/>
              <w:jc w:val="center"/>
              <w:rPr>
                <w:color w:val="auto"/>
              </w:rPr>
            </w:pPr>
            <w:r>
              <w:rPr>
                <w:color w:val="auto"/>
              </w:rPr>
              <w:t>.000</w:t>
            </w:r>
          </w:p>
        </w:tc>
        <w:tc>
          <w:tcPr>
            <w:tcW w:w="741" w:type="pct"/>
          </w:tcPr>
          <w:p>
            <w:pPr>
              <w:spacing w:line="240" w:lineRule="auto"/>
              <w:jc w:val="center"/>
              <w:rPr>
                <w:color w:val="auto"/>
              </w:rPr>
            </w:pPr>
          </w:p>
        </w:tc>
        <w:tc>
          <w:tcPr>
            <w:tcW w:w="719" w:type="pct"/>
          </w:tcPr>
          <w:p>
            <w:pPr>
              <w:spacing w:line="240" w:lineRule="auto"/>
              <w:jc w:val="center"/>
              <w:rPr>
                <w:color w:val="auto"/>
              </w:rPr>
            </w:pPr>
          </w:p>
        </w:tc>
        <w:tc>
          <w:tcPr>
            <w:tcW w:w="638" w:type="pct"/>
          </w:tcPr>
          <w:p>
            <w:pPr>
              <w:spacing w:line="24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continue"/>
          </w:tcPr>
          <w:p>
            <w:pPr>
              <w:spacing w:line="240" w:lineRule="auto"/>
              <w:rPr>
                <w:color w:val="auto"/>
              </w:rPr>
            </w:pPr>
          </w:p>
        </w:tc>
        <w:tc>
          <w:tcPr>
            <w:tcW w:w="844" w:type="pct"/>
          </w:tcPr>
          <w:p>
            <w:pPr>
              <w:spacing w:line="240" w:lineRule="auto"/>
              <w:rPr>
                <w:color w:val="auto"/>
              </w:rPr>
            </w:pPr>
            <w:r>
              <w:rPr>
                <w:color w:val="auto"/>
              </w:rPr>
              <w:t>N</w:t>
            </w:r>
          </w:p>
        </w:tc>
        <w:tc>
          <w:tcPr>
            <w:tcW w:w="573" w:type="pct"/>
          </w:tcPr>
          <w:p>
            <w:pPr>
              <w:spacing w:line="240" w:lineRule="auto"/>
              <w:jc w:val="center"/>
              <w:rPr>
                <w:color w:val="auto"/>
              </w:rPr>
            </w:pPr>
            <w:r>
              <w:rPr>
                <w:color w:val="auto"/>
              </w:rPr>
              <w:t>65</w:t>
            </w:r>
          </w:p>
        </w:tc>
        <w:tc>
          <w:tcPr>
            <w:tcW w:w="587" w:type="pct"/>
          </w:tcPr>
          <w:p>
            <w:pPr>
              <w:spacing w:line="240" w:lineRule="auto"/>
              <w:jc w:val="center"/>
              <w:rPr>
                <w:color w:val="auto"/>
              </w:rPr>
            </w:pPr>
            <w:r>
              <w:rPr>
                <w:color w:val="auto"/>
              </w:rPr>
              <w:t>65</w:t>
            </w:r>
          </w:p>
        </w:tc>
        <w:tc>
          <w:tcPr>
            <w:tcW w:w="741" w:type="pct"/>
          </w:tcPr>
          <w:p>
            <w:pPr>
              <w:spacing w:line="240" w:lineRule="auto"/>
              <w:jc w:val="center"/>
              <w:rPr>
                <w:color w:val="auto"/>
              </w:rPr>
            </w:pPr>
            <w:r>
              <w:rPr>
                <w:color w:val="auto"/>
              </w:rPr>
              <w:t>65</w:t>
            </w:r>
          </w:p>
        </w:tc>
        <w:tc>
          <w:tcPr>
            <w:tcW w:w="719" w:type="pct"/>
          </w:tcPr>
          <w:p>
            <w:pPr>
              <w:spacing w:line="240" w:lineRule="auto"/>
              <w:jc w:val="center"/>
              <w:rPr>
                <w:color w:val="auto"/>
              </w:rPr>
            </w:pPr>
          </w:p>
        </w:tc>
        <w:tc>
          <w:tcPr>
            <w:tcW w:w="638" w:type="pct"/>
          </w:tcPr>
          <w:p>
            <w:pPr>
              <w:spacing w:line="24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restart"/>
          </w:tcPr>
          <w:p>
            <w:pPr>
              <w:spacing w:line="240" w:lineRule="auto"/>
              <w:rPr>
                <w:color w:val="auto"/>
              </w:rPr>
            </w:pPr>
            <w:r>
              <w:rPr>
                <w:color w:val="auto"/>
              </w:rPr>
              <w:t>Customer Experience</w:t>
            </w:r>
          </w:p>
        </w:tc>
        <w:tc>
          <w:tcPr>
            <w:tcW w:w="844" w:type="pct"/>
          </w:tcPr>
          <w:p>
            <w:pPr>
              <w:spacing w:line="240" w:lineRule="auto"/>
              <w:rPr>
                <w:color w:val="auto"/>
              </w:rPr>
            </w:pPr>
            <w:r>
              <w:rPr>
                <w:color w:val="auto"/>
              </w:rPr>
              <w:t>Pearson Correlation</w:t>
            </w:r>
          </w:p>
        </w:tc>
        <w:tc>
          <w:tcPr>
            <w:tcW w:w="573" w:type="pct"/>
          </w:tcPr>
          <w:p>
            <w:pPr>
              <w:spacing w:line="240" w:lineRule="auto"/>
              <w:jc w:val="center"/>
              <w:rPr>
                <w:color w:val="auto"/>
              </w:rPr>
            </w:pPr>
            <w:r>
              <w:rPr>
                <w:color w:val="auto"/>
              </w:rPr>
              <w:t>.887</w:t>
            </w:r>
            <w:r>
              <w:rPr>
                <w:color w:val="auto"/>
                <w:vertAlign w:val="superscript"/>
              </w:rPr>
              <w:t>**</w:t>
            </w:r>
          </w:p>
        </w:tc>
        <w:tc>
          <w:tcPr>
            <w:tcW w:w="587" w:type="pct"/>
          </w:tcPr>
          <w:p>
            <w:pPr>
              <w:spacing w:line="240" w:lineRule="auto"/>
              <w:jc w:val="center"/>
              <w:rPr>
                <w:color w:val="auto"/>
              </w:rPr>
            </w:pPr>
            <w:r>
              <w:rPr>
                <w:color w:val="auto"/>
              </w:rPr>
              <w:t>.808</w:t>
            </w:r>
            <w:r>
              <w:rPr>
                <w:color w:val="auto"/>
                <w:vertAlign w:val="superscript"/>
              </w:rPr>
              <w:t>**</w:t>
            </w:r>
          </w:p>
        </w:tc>
        <w:tc>
          <w:tcPr>
            <w:tcW w:w="741" w:type="pct"/>
          </w:tcPr>
          <w:p>
            <w:pPr>
              <w:spacing w:line="240" w:lineRule="auto"/>
              <w:jc w:val="center"/>
              <w:rPr>
                <w:color w:val="auto"/>
              </w:rPr>
            </w:pPr>
            <w:r>
              <w:rPr>
                <w:color w:val="auto"/>
              </w:rPr>
              <w:t>.820</w:t>
            </w:r>
            <w:r>
              <w:rPr>
                <w:color w:val="auto"/>
                <w:vertAlign w:val="superscript"/>
              </w:rPr>
              <w:t>**</w:t>
            </w:r>
          </w:p>
        </w:tc>
        <w:tc>
          <w:tcPr>
            <w:tcW w:w="719" w:type="pct"/>
          </w:tcPr>
          <w:p>
            <w:pPr>
              <w:spacing w:line="240" w:lineRule="auto"/>
              <w:jc w:val="center"/>
              <w:rPr>
                <w:color w:val="auto"/>
              </w:rPr>
            </w:pPr>
            <w:r>
              <w:rPr>
                <w:color w:val="auto"/>
              </w:rPr>
              <w:t>--</w:t>
            </w:r>
          </w:p>
        </w:tc>
        <w:tc>
          <w:tcPr>
            <w:tcW w:w="638" w:type="pct"/>
          </w:tcPr>
          <w:p>
            <w:pPr>
              <w:spacing w:line="24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continue"/>
          </w:tcPr>
          <w:p>
            <w:pPr>
              <w:spacing w:line="240" w:lineRule="auto"/>
              <w:rPr>
                <w:color w:val="auto"/>
              </w:rPr>
            </w:pPr>
          </w:p>
        </w:tc>
        <w:tc>
          <w:tcPr>
            <w:tcW w:w="844" w:type="pct"/>
          </w:tcPr>
          <w:p>
            <w:pPr>
              <w:spacing w:line="240" w:lineRule="auto"/>
              <w:rPr>
                <w:color w:val="auto"/>
              </w:rPr>
            </w:pPr>
            <w:r>
              <w:rPr>
                <w:color w:val="auto"/>
              </w:rPr>
              <w:t>Sig. (2-tailed)</w:t>
            </w:r>
          </w:p>
        </w:tc>
        <w:tc>
          <w:tcPr>
            <w:tcW w:w="573" w:type="pct"/>
          </w:tcPr>
          <w:p>
            <w:pPr>
              <w:spacing w:line="240" w:lineRule="auto"/>
              <w:jc w:val="center"/>
              <w:rPr>
                <w:color w:val="auto"/>
              </w:rPr>
            </w:pPr>
            <w:r>
              <w:rPr>
                <w:color w:val="auto"/>
              </w:rPr>
              <w:t>.000</w:t>
            </w:r>
          </w:p>
        </w:tc>
        <w:tc>
          <w:tcPr>
            <w:tcW w:w="587" w:type="pct"/>
          </w:tcPr>
          <w:p>
            <w:pPr>
              <w:spacing w:line="240" w:lineRule="auto"/>
              <w:jc w:val="center"/>
              <w:rPr>
                <w:color w:val="auto"/>
              </w:rPr>
            </w:pPr>
            <w:r>
              <w:rPr>
                <w:color w:val="auto"/>
              </w:rPr>
              <w:t>.000</w:t>
            </w:r>
          </w:p>
        </w:tc>
        <w:tc>
          <w:tcPr>
            <w:tcW w:w="741" w:type="pct"/>
          </w:tcPr>
          <w:p>
            <w:pPr>
              <w:spacing w:line="240" w:lineRule="auto"/>
              <w:jc w:val="center"/>
              <w:rPr>
                <w:color w:val="auto"/>
              </w:rPr>
            </w:pPr>
            <w:r>
              <w:rPr>
                <w:color w:val="auto"/>
              </w:rPr>
              <w:t>.000</w:t>
            </w:r>
          </w:p>
        </w:tc>
        <w:tc>
          <w:tcPr>
            <w:tcW w:w="719" w:type="pct"/>
          </w:tcPr>
          <w:p>
            <w:pPr>
              <w:spacing w:line="240" w:lineRule="auto"/>
              <w:jc w:val="center"/>
              <w:rPr>
                <w:color w:val="auto"/>
              </w:rPr>
            </w:pPr>
          </w:p>
        </w:tc>
        <w:tc>
          <w:tcPr>
            <w:tcW w:w="638" w:type="pct"/>
          </w:tcPr>
          <w:p>
            <w:pPr>
              <w:spacing w:line="24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continue"/>
          </w:tcPr>
          <w:p>
            <w:pPr>
              <w:spacing w:line="240" w:lineRule="auto"/>
              <w:rPr>
                <w:color w:val="auto"/>
              </w:rPr>
            </w:pPr>
          </w:p>
        </w:tc>
        <w:tc>
          <w:tcPr>
            <w:tcW w:w="844" w:type="pct"/>
          </w:tcPr>
          <w:p>
            <w:pPr>
              <w:spacing w:line="240" w:lineRule="auto"/>
              <w:rPr>
                <w:color w:val="auto"/>
              </w:rPr>
            </w:pPr>
            <w:r>
              <w:rPr>
                <w:color w:val="auto"/>
              </w:rPr>
              <w:t>N</w:t>
            </w:r>
          </w:p>
        </w:tc>
        <w:tc>
          <w:tcPr>
            <w:tcW w:w="573" w:type="pct"/>
          </w:tcPr>
          <w:p>
            <w:pPr>
              <w:spacing w:line="240" w:lineRule="auto"/>
              <w:jc w:val="center"/>
              <w:rPr>
                <w:color w:val="auto"/>
              </w:rPr>
            </w:pPr>
            <w:r>
              <w:rPr>
                <w:color w:val="auto"/>
              </w:rPr>
              <w:t>65</w:t>
            </w:r>
          </w:p>
        </w:tc>
        <w:tc>
          <w:tcPr>
            <w:tcW w:w="587" w:type="pct"/>
          </w:tcPr>
          <w:p>
            <w:pPr>
              <w:spacing w:line="240" w:lineRule="auto"/>
              <w:jc w:val="center"/>
              <w:rPr>
                <w:color w:val="auto"/>
              </w:rPr>
            </w:pPr>
            <w:r>
              <w:rPr>
                <w:color w:val="auto"/>
              </w:rPr>
              <w:t>65</w:t>
            </w:r>
          </w:p>
        </w:tc>
        <w:tc>
          <w:tcPr>
            <w:tcW w:w="741" w:type="pct"/>
          </w:tcPr>
          <w:p>
            <w:pPr>
              <w:spacing w:line="240" w:lineRule="auto"/>
              <w:jc w:val="center"/>
              <w:rPr>
                <w:color w:val="auto"/>
              </w:rPr>
            </w:pPr>
            <w:r>
              <w:rPr>
                <w:color w:val="auto"/>
              </w:rPr>
              <w:t>65</w:t>
            </w:r>
          </w:p>
        </w:tc>
        <w:tc>
          <w:tcPr>
            <w:tcW w:w="719" w:type="pct"/>
          </w:tcPr>
          <w:p>
            <w:pPr>
              <w:spacing w:line="240" w:lineRule="auto"/>
              <w:jc w:val="center"/>
              <w:rPr>
                <w:color w:val="auto"/>
              </w:rPr>
            </w:pPr>
            <w:r>
              <w:rPr>
                <w:color w:val="auto"/>
              </w:rPr>
              <w:t>65</w:t>
            </w:r>
          </w:p>
        </w:tc>
        <w:tc>
          <w:tcPr>
            <w:tcW w:w="638" w:type="pct"/>
          </w:tcPr>
          <w:p>
            <w:pPr>
              <w:spacing w:line="24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restart"/>
          </w:tcPr>
          <w:p>
            <w:pPr>
              <w:spacing w:line="240" w:lineRule="auto"/>
              <w:rPr>
                <w:color w:val="auto"/>
              </w:rPr>
            </w:pPr>
            <w:r>
              <w:rPr>
                <w:color w:val="auto"/>
              </w:rPr>
              <w:t>Customer Trust</w:t>
            </w:r>
          </w:p>
        </w:tc>
        <w:tc>
          <w:tcPr>
            <w:tcW w:w="844" w:type="pct"/>
          </w:tcPr>
          <w:p>
            <w:pPr>
              <w:spacing w:line="240" w:lineRule="auto"/>
              <w:rPr>
                <w:color w:val="auto"/>
              </w:rPr>
            </w:pPr>
            <w:r>
              <w:rPr>
                <w:color w:val="auto"/>
              </w:rPr>
              <w:t>Pearson Correlation</w:t>
            </w:r>
          </w:p>
        </w:tc>
        <w:tc>
          <w:tcPr>
            <w:tcW w:w="573" w:type="pct"/>
          </w:tcPr>
          <w:p>
            <w:pPr>
              <w:spacing w:line="240" w:lineRule="auto"/>
              <w:jc w:val="center"/>
              <w:rPr>
                <w:color w:val="auto"/>
              </w:rPr>
            </w:pPr>
            <w:r>
              <w:rPr>
                <w:color w:val="auto"/>
              </w:rPr>
              <w:t>.763</w:t>
            </w:r>
            <w:r>
              <w:rPr>
                <w:color w:val="auto"/>
                <w:vertAlign w:val="superscript"/>
              </w:rPr>
              <w:t>**</w:t>
            </w:r>
          </w:p>
        </w:tc>
        <w:tc>
          <w:tcPr>
            <w:tcW w:w="587" w:type="pct"/>
          </w:tcPr>
          <w:p>
            <w:pPr>
              <w:spacing w:line="240" w:lineRule="auto"/>
              <w:jc w:val="center"/>
              <w:rPr>
                <w:color w:val="auto"/>
              </w:rPr>
            </w:pPr>
            <w:r>
              <w:rPr>
                <w:color w:val="auto"/>
              </w:rPr>
              <w:t>.732</w:t>
            </w:r>
            <w:r>
              <w:rPr>
                <w:color w:val="auto"/>
                <w:vertAlign w:val="superscript"/>
              </w:rPr>
              <w:t>**</w:t>
            </w:r>
          </w:p>
        </w:tc>
        <w:tc>
          <w:tcPr>
            <w:tcW w:w="741" w:type="pct"/>
          </w:tcPr>
          <w:p>
            <w:pPr>
              <w:spacing w:line="240" w:lineRule="auto"/>
              <w:jc w:val="center"/>
              <w:rPr>
                <w:color w:val="auto"/>
              </w:rPr>
            </w:pPr>
            <w:r>
              <w:rPr>
                <w:color w:val="auto"/>
              </w:rPr>
              <w:t>.725</w:t>
            </w:r>
            <w:r>
              <w:rPr>
                <w:color w:val="auto"/>
                <w:vertAlign w:val="superscript"/>
              </w:rPr>
              <w:t>**</w:t>
            </w:r>
          </w:p>
        </w:tc>
        <w:tc>
          <w:tcPr>
            <w:tcW w:w="719" w:type="pct"/>
          </w:tcPr>
          <w:p>
            <w:pPr>
              <w:spacing w:line="240" w:lineRule="auto"/>
              <w:jc w:val="center"/>
              <w:rPr>
                <w:color w:val="auto"/>
              </w:rPr>
            </w:pPr>
            <w:r>
              <w:rPr>
                <w:color w:val="auto"/>
              </w:rPr>
              <w:t>.898</w:t>
            </w:r>
            <w:r>
              <w:rPr>
                <w:color w:val="auto"/>
                <w:vertAlign w:val="superscript"/>
              </w:rPr>
              <w:t>**</w:t>
            </w:r>
          </w:p>
        </w:tc>
        <w:tc>
          <w:tcPr>
            <w:tcW w:w="638" w:type="pct"/>
          </w:tcPr>
          <w:p>
            <w:pPr>
              <w:spacing w:line="240" w:lineRule="auto"/>
              <w:jc w:val="center"/>
              <w:rPr>
                <w:color w:val="auto"/>
              </w:rPr>
            </w:pPr>
            <w:r>
              <w:rPr>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continue"/>
          </w:tcPr>
          <w:p>
            <w:pPr>
              <w:spacing w:line="240" w:lineRule="auto"/>
              <w:rPr>
                <w:color w:val="auto"/>
              </w:rPr>
            </w:pPr>
          </w:p>
        </w:tc>
        <w:tc>
          <w:tcPr>
            <w:tcW w:w="844" w:type="pct"/>
          </w:tcPr>
          <w:p>
            <w:pPr>
              <w:spacing w:line="240" w:lineRule="auto"/>
              <w:rPr>
                <w:color w:val="auto"/>
              </w:rPr>
            </w:pPr>
            <w:r>
              <w:rPr>
                <w:color w:val="auto"/>
              </w:rPr>
              <w:t>Sig. (2-tailed)</w:t>
            </w:r>
          </w:p>
        </w:tc>
        <w:tc>
          <w:tcPr>
            <w:tcW w:w="573" w:type="pct"/>
          </w:tcPr>
          <w:p>
            <w:pPr>
              <w:spacing w:line="240" w:lineRule="auto"/>
              <w:jc w:val="center"/>
              <w:rPr>
                <w:color w:val="auto"/>
              </w:rPr>
            </w:pPr>
            <w:r>
              <w:rPr>
                <w:color w:val="auto"/>
              </w:rPr>
              <w:t>.000</w:t>
            </w:r>
          </w:p>
        </w:tc>
        <w:tc>
          <w:tcPr>
            <w:tcW w:w="587" w:type="pct"/>
          </w:tcPr>
          <w:p>
            <w:pPr>
              <w:spacing w:line="240" w:lineRule="auto"/>
              <w:jc w:val="center"/>
              <w:rPr>
                <w:color w:val="auto"/>
              </w:rPr>
            </w:pPr>
            <w:r>
              <w:rPr>
                <w:color w:val="auto"/>
              </w:rPr>
              <w:t>.000</w:t>
            </w:r>
          </w:p>
        </w:tc>
        <w:tc>
          <w:tcPr>
            <w:tcW w:w="741" w:type="pct"/>
          </w:tcPr>
          <w:p>
            <w:pPr>
              <w:spacing w:line="240" w:lineRule="auto"/>
              <w:jc w:val="center"/>
              <w:rPr>
                <w:color w:val="auto"/>
              </w:rPr>
            </w:pPr>
            <w:r>
              <w:rPr>
                <w:color w:val="auto"/>
              </w:rPr>
              <w:t>.000</w:t>
            </w:r>
          </w:p>
        </w:tc>
        <w:tc>
          <w:tcPr>
            <w:tcW w:w="719" w:type="pct"/>
          </w:tcPr>
          <w:p>
            <w:pPr>
              <w:spacing w:line="240" w:lineRule="auto"/>
              <w:jc w:val="center"/>
              <w:rPr>
                <w:color w:val="auto"/>
              </w:rPr>
            </w:pPr>
            <w:r>
              <w:rPr>
                <w:color w:val="auto"/>
              </w:rPr>
              <w:t>.000</w:t>
            </w:r>
          </w:p>
        </w:tc>
        <w:tc>
          <w:tcPr>
            <w:tcW w:w="638" w:type="pct"/>
          </w:tcPr>
          <w:p>
            <w:pPr>
              <w:spacing w:line="24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pct"/>
            <w:vMerge w:val="continue"/>
          </w:tcPr>
          <w:p>
            <w:pPr>
              <w:spacing w:line="240" w:lineRule="auto"/>
              <w:rPr>
                <w:color w:val="auto"/>
              </w:rPr>
            </w:pPr>
          </w:p>
        </w:tc>
        <w:tc>
          <w:tcPr>
            <w:tcW w:w="844" w:type="pct"/>
          </w:tcPr>
          <w:p>
            <w:pPr>
              <w:spacing w:line="240" w:lineRule="auto"/>
              <w:rPr>
                <w:color w:val="auto"/>
              </w:rPr>
            </w:pPr>
            <w:r>
              <w:rPr>
                <w:color w:val="auto"/>
              </w:rPr>
              <w:t>N</w:t>
            </w:r>
          </w:p>
        </w:tc>
        <w:tc>
          <w:tcPr>
            <w:tcW w:w="573" w:type="pct"/>
          </w:tcPr>
          <w:p>
            <w:pPr>
              <w:spacing w:line="240" w:lineRule="auto"/>
              <w:jc w:val="center"/>
              <w:rPr>
                <w:color w:val="auto"/>
              </w:rPr>
            </w:pPr>
            <w:r>
              <w:rPr>
                <w:color w:val="auto"/>
              </w:rPr>
              <w:t>65</w:t>
            </w:r>
          </w:p>
        </w:tc>
        <w:tc>
          <w:tcPr>
            <w:tcW w:w="587" w:type="pct"/>
          </w:tcPr>
          <w:p>
            <w:pPr>
              <w:spacing w:line="240" w:lineRule="auto"/>
              <w:jc w:val="center"/>
              <w:rPr>
                <w:color w:val="auto"/>
              </w:rPr>
            </w:pPr>
            <w:r>
              <w:rPr>
                <w:color w:val="auto"/>
              </w:rPr>
              <w:t>65</w:t>
            </w:r>
          </w:p>
        </w:tc>
        <w:tc>
          <w:tcPr>
            <w:tcW w:w="741" w:type="pct"/>
          </w:tcPr>
          <w:p>
            <w:pPr>
              <w:spacing w:line="240" w:lineRule="auto"/>
              <w:jc w:val="center"/>
              <w:rPr>
                <w:color w:val="auto"/>
              </w:rPr>
            </w:pPr>
            <w:r>
              <w:rPr>
                <w:color w:val="auto"/>
              </w:rPr>
              <w:t>65</w:t>
            </w:r>
          </w:p>
        </w:tc>
        <w:tc>
          <w:tcPr>
            <w:tcW w:w="719" w:type="pct"/>
          </w:tcPr>
          <w:p>
            <w:pPr>
              <w:spacing w:line="240" w:lineRule="auto"/>
              <w:jc w:val="center"/>
              <w:rPr>
                <w:color w:val="auto"/>
              </w:rPr>
            </w:pPr>
            <w:r>
              <w:rPr>
                <w:color w:val="auto"/>
              </w:rPr>
              <w:t>65</w:t>
            </w:r>
          </w:p>
        </w:tc>
        <w:tc>
          <w:tcPr>
            <w:tcW w:w="638" w:type="pct"/>
          </w:tcPr>
          <w:p>
            <w:pPr>
              <w:spacing w:line="240" w:lineRule="auto"/>
              <w:jc w:val="center"/>
              <w:rPr>
                <w:color w:val="auto"/>
              </w:rPr>
            </w:pPr>
            <w:r>
              <w:rPr>
                <w:color w:val="auto"/>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7"/>
          </w:tcPr>
          <w:p>
            <w:pPr>
              <w:spacing w:line="240" w:lineRule="auto"/>
              <w:rPr>
                <w:color w:val="auto"/>
              </w:rPr>
            </w:pPr>
            <w:r>
              <w:rPr>
                <w:color w:val="auto"/>
              </w:rPr>
              <w:t>**. Correlation is significant at the 0.01 level (2-tailed).</w:t>
            </w:r>
          </w:p>
        </w:tc>
      </w:tr>
    </w:tbl>
    <w:p>
      <w:pPr>
        <w:rPr>
          <w:color w:val="auto"/>
        </w:rPr>
      </w:pPr>
      <w:r>
        <w:rPr>
          <w:color w:val="auto"/>
        </w:rPr>
        <w:t>Correlation analysis provides insights into the strength and direction of linear relationships between variables. The Pearson correlation coefficient (r) ranges from -1 to +1, where -1 indicates a perfect negative correlation, +1 indicates a perfect positive correlation, and 0 indicates no correlation (Cohen, Cohen, West, and Aiken, 2003).</w:t>
      </w:r>
    </w:p>
    <w:p>
      <w:pPr>
        <w:numPr>
          <w:ilvl w:val="0"/>
          <w:numId w:val="4"/>
        </w:numPr>
        <w:spacing w:before="100" w:beforeAutospacing="1" w:after="100" w:afterAutospacing="1"/>
        <w:jc w:val="both"/>
        <w:rPr>
          <w:color w:val="auto"/>
        </w:rPr>
      </w:pPr>
      <w:r>
        <w:rPr>
          <w:b/>
          <w:bCs/>
          <w:color w:val="auto"/>
        </w:rPr>
        <w:t>Brand Image (BI) and Brand Loyalty (BL)</w:t>
      </w:r>
      <w:r>
        <w:rPr>
          <w:color w:val="auto"/>
        </w:rPr>
        <w:t>: r = .787, p &lt; .01, indicating a strong, positive relationship.</w:t>
      </w:r>
    </w:p>
    <w:p>
      <w:pPr>
        <w:numPr>
          <w:ilvl w:val="0"/>
          <w:numId w:val="4"/>
        </w:numPr>
        <w:spacing w:before="100" w:beforeAutospacing="1" w:after="100" w:afterAutospacing="1"/>
        <w:jc w:val="both"/>
        <w:rPr>
          <w:color w:val="auto"/>
        </w:rPr>
      </w:pPr>
      <w:r>
        <w:rPr>
          <w:b/>
          <w:bCs/>
          <w:color w:val="auto"/>
        </w:rPr>
        <w:t>BI and Repurchase Intention (RI)</w:t>
      </w:r>
      <w:r>
        <w:rPr>
          <w:color w:val="auto"/>
        </w:rPr>
        <w:t>: r = .749, p &lt; .01, also reflecting a strong, positive relationship.</w:t>
      </w:r>
    </w:p>
    <w:p>
      <w:pPr>
        <w:numPr>
          <w:ilvl w:val="0"/>
          <w:numId w:val="4"/>
        </w:numPr>
        <w:spacing w:before="100" w:beforeAutospacing="1" w:after="100" w:afterAutospacing="1"/>
        <w:jc w:val="both"/>
        <w:rPr>
          <w:color w:val="auto"/>
        </w:rPr>
      </w:pPr>
      <w:r>
        <w:rPr>
          <w:b/>
          <w:bCs/>
          <w:color w:val="auto"/>
        </w:rPr>
        <w:t>BI and Customer Experience (CEXP)</w:t>
      </w:r>
      <w:r>
        <w:rPr>
          <w:color w:val="auto"/>
        </w:rPr>
        <w:t>: r = .887, p &lt; .01, indicating a very strong, positive relationship.</w:t>
      </w:r>
    </w:p>
    <w:p>
      <w:pPr>
        <w:numPr>
          <w:ilvl w:val="0"/>
          <w:numId w:val="4"/>
        </w:numPr>
        <w:spacing w:before="100" w:beforeAutospacing="1" w:after="100" w:afterAutospacing="1"/>
        <w:jc w:val="both"/>
        <w:rPr>
          <w:color w:val="auto"/>
        </w:rPr>
      </w:pPr>
      <w:r>
        <w:rPr>
          <w:b/>
          <w:bCs/>
          <w:color w:val="auto"/>
        </w:rPr>
        <w:t>BI and Customer Trust (CT)</w:t>
      </w:r>
      <w:r>
        <w:rPr>
          <w:color w:val="auto"/>
        </w:rPr>
        <w:t>: r = .763, p &lt; .01, indicating a strong, positive relationship.</w:t>
      </w:r>
    </w:p>
    <w:p>
      <w:pPr>
        <w:numPr>
          <w:ilvl w:val="0"/>
          <w:numId w:val="4"/>
        </w:numPr>
        <w:spacing w:before="100" w:beforeAutospacing="1" w:after="100" w:afterAutospacing="1"/>
        <w:jc w:val="both"/>
        <w:rPr>
          <w:color w:val="auto"/>
        </w:rPr>
      </w:pPr>
      <w:r>
        <w:rPr>
          <w:b/>
          <w:bCs/>
          <w:color w:val="auto"/>
        </w:rPr>
        <w:t>BL and RI</w:t>
      </w:r>
      <w:r>
        <w:rPr>
          <w:color w:val="auto"/>
        </w:rPr>
        <w:t>: r = .905, p &lt; .01, indicating a very strong, positive relationship.</w:t>
      </w:r>
    </w:p>
    <w:p>
      <w:pPr>
        <w:numPr>
          <w:ilvl w:val="0"/>
          <w:numId w:val="4"/>
        </w:numPr>
        <w:spacing w:before="100" w:beforeAutospacing="1" w:after="100" w:afterAutospacing="1"/>
        <w:jc w:val="both"/>
        <w:rPr>
          <w:color w:val="auto"/>
        </w:rPr>
      </w:pPr>
      <w:r>
        <w:rPr>
          <w:b/>
          <w:bCs/>
          <w:color w:val="auto"/>
        </w:rPr>
        <w:t>BL and CEXP</w:t>
      </w:r>
      <w:r>
        <w:rPr>
          <w:color w:val="auto"/>
        </w:rPr>
        <w:t>: r = .808, p &lt; .01, indicating a strong, positive relationship.</w:t>
      </w:r>
    </w:p>
    <w:p>
      <w:pPr>
        <w:numPr>
          <w:ilvl w:val="0"/>
          <w:numId w:val="4"/>
        </w:numPr>
        <w:spacing w:before="100" w:beforeAutospacing="1" w:after="100" w:afterAutospacing="1"/>
        <w:jc w:val="both"/>
        <w:rPr>
          <w:color w:val="auto"/>
        </w:rPr>
      </w:pPr>
      <w:r>
        <w:rPr>
          <w:b/>
          <w:bCs/>
          <w:color w:val="auto"/>
        </w:rPr>
        <w:t>BL and CT</w:t>
      </w:r>
      <w:r>
        <w:rPr>
          <w:color w:val="auto"/>
        </w:rPr>
        <w:t>: r = .732, p &lt; .01, indicating a strong, positive relationship.</w:t>
      </w:r>
    </w:p>
    <w:p>
      <w:pPr>
        <w:numPr>
          <w:ilvl w:val="0"/>
          <w:numId w:val="4"/>
        </w:numPr>
        <w:spacing w:before="100" w:beforeAutospacing="1" w:after="100" w:afterAutospacing="1"/>
        <w:jc w:val="both"/>
        <w:rPr>
          <w:color w:val="auto"/>
        </w:rPr>
      </w:pPr>
      <w:r>
        <w:rPr>
          <w:b/>
          <w:bCs/>
          <w:color w:val="auto"/>
        </w:rPr>
        <w:t>RI and CEXP</w:t>
      </w:r>
      <w:r>
        <w:rPr>
          <w:color w:val="auto"/>
        </w:rPr>
        <w:t>: r = .820, p &lt; .01, indicating a very strong, positive relationship.</w:t>
      </w:r>
    </w:p>
    <w:p>
      <w:pPr>
        <w:numPr>
          <w:ilvl w:val="0"/>
          <w:numId w:val="4"/>
        </w:numPr>
        <w:spacing w:before="100" w:beforeAutospacing="1" w:after="100" w:afterAutospacing="1"/>
        <w:jc w:val="both"/>
        <w:rPr>
          <w:color w:val="auto"/>
        </w:rPr>
      </w:pPr>
      <w:r>
        <w:rPr>
          <w:b/>
          <w:bCs/>
          <w:color w:val="auto"/>
        </w:rPr>
        <w:t>RI and CT</w:t>
      </w:r>
      <w:r>
        <w:rPr>
          <w:color w:val="auto"/>
        </w:rPr>
        <w:t>: r = .725, p &lt; .01, indicating a strong, positive relationship.</w:t>
      </w:r>
    </w:p>
    <w:p>
      <w:pPr>
        <w:numPr>
          <w:ilvl w:val="0"/>
          <w:numId w:val="4"/>
        </w:numPr>
        <w:spacing w:before="100" w:beforeAutospacing="1" w:after="100" w:afterAutospacing="1"/>
        <w:jc w:val="both"/>
        <w:rPr>
          <w:color w:val="auto"/>
        </w:rPr>
      </w:pPr>
      <w:r>
        <w:rPr>
          <w:b/>
          <w:bCs/>
          <w:color w:val="auto"/>
        </w:rPr>
        <w:t>CEXP and CT</w:t>
      </w:r>
      <w:r>
        <w:rPr>
          <w:color w:val="auto"/>
        </w:rPr>
        <w:t>: r = .898, p &lt; .01, indicating a very strong, positive relationship.</w:t>
      </w:r>
    </w:p>
    <w:p>
      <w:pPr>
        <w:rPr>
          <w:color w:val="auto"/>
        </w:rPr>
      </w:pPr>
      <w:r>
        <w:rPr>
          <w:color w:val="auto"/>
        </w:rPr>
        <w:t xml:space="preserve">Cohen (1988) provides thresholds for interpreting the strength of correlations: small (r = .10 to .29), medium (r = .30 to .49), and large (r = .50 to 1.0). All correlations here are large and statistically significant at the .01 level, indicating robust relationships between the variables. </w:t>
      </w:r>
    </w:p>
    <w:p>
      <w:pPr>
        <w:pStyle w:val="3"/>
        <w:rPr>
          <w:color w:val="auto"/>
        </w:rPr>
      </w:pPr>
      <w:bookmarkStart w:id="64" w:name="_Toc147931467"/>
      <w:r>
        <w:rPr>
          <w:color w:val="auto"/>
        </w:rPr>
        <w:t>4.10</w:t>
      </w:r>
      <w:r>
        <w:rPr>
          <w:color w:val="auto"/>
        </w:rPr>
        <w:tab/>
      </w:r>
      <w:r>
        <w:rPr>
          <w:color w:val="auto"/>
        </w:rPr>
        <w:t>Hypotheses Testing</w:t>
      </w:r>
      <w:bookmarkEnd w:id="64"/>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2"/>
        <w:gridCol w:w="683"/>
        <w:gridCol w:w="949"/>
        <w:gridCol w:w="21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2" w:type="dxa"/>
          </w:tcPr>
          <w:p>
            <w:pPr>
              <w:jc w:val="center"/>
              <w:rPr>
                <w:b/>
                <w:bCs/>
                <w:color w:val="auto"/>
              </w:rPr>
            </w:pPr>
            <w:r>
              <w:rPr>
                <w:b/>
                <w:bCs/>
                <w:color w:val="auto"/>
              </w:rPr>
              <w:t>Hypotheses</w:t>
            </w:r>
          </w:p>
        </w:tc>
        <w:tc>
          <w:tcPr>
            <w:tcW w:w="683" w:type="dxa"/>
          </w:tcPr>
          <w:p>
            <w:pPr>
              <w:jc w:val="center"/>
              <w:rPr>
                <w:b/>
                <w:bCs/>
                <w:color w:val="auto"/>
              </w:rPr>
            </w:pPr>
            <w:r>
              <w:rPr>
                <w:b/>
                <w:bCs/>
                <w:color w:val="auto"/>
              </w:rPr>
              <w:t>Beta</w:t>
            </w:r>
          </w:p>
        </w:tc>
        <w:tc>
          <w:tcPr>
            <w:tcW w:w="949" w:type="dxa"/>
          </w:tcPr>
          <w:p>
            <w:pPr>
              <w:jc w:val="center"/>
              <w:rPr>
                <w:b/>
                <w:bCs/>
                <w:color w:val="auto"/>
              </w:rPr>
            </w:pPr>
            <w:r>
              <w:rPr>
                <w:b/>
                <w:bCs/>
                <w:color w:val="auto"/>
              </w:rPr>
              <w:t>P.value</w:t>
            </w:r>
          </w:p>
        </w:tc>
        <w:tc>
          <w:tcPr>
            <w:tcW w:w="2183" w:type="dxa"/>
          </w:tcPr>
          <w:p>
            <w:pPr>
              <w:jc w:val="center"/>
              <w:rPr>
                <w:b/>
                <w:bCs/>
                <w:color w:val="auto"/>
              </w:rPr>
            </w:pPr>
            <w:r>
              <w:rPr>
                <w:b/>
                <w:bCs/>
                <w:color w:val="auto"/>
              </w:rPr>
              <w:t>Results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2" w:type="dxa"/>
          </w:tcPr>
          <w:p>
            <w:pPr>
              <w:rPr>
                <w:color w:val="auto"/>
              </w:rPr>
            </w:pPr>
            <w:r>
              <w:rPr>
                <w:color w:val="auto"/>
              </w:rPr>
              <w:t xml:space="preserve">Brand image </w:t>
            </w:r>
            <w:r>
              <w:rPr>
                <w:color w:val="auto"/>
              </w:rPr>
              <w:sym w:font="Wingdings" w:char="F0E0"/>
            </w:r>
            <w:r>
              <w:rPr>
                <w:color w:val="auto"/>
              </w:rPr>
              <w:t xml:space="preserve"> Brand Loyalty</w:t>
            </w:r>
          </w:p>
        </w:tc>
        <w:tc>
          <w:tcPr>
            <w:tcW w:w="683" w:type="dxa"/>
          </w:tcPr>
          <w:p>
            <w:pPr>
              <w:jc w:val="center"/>
              <w:rPr>
                <w:color w:val="auto"/>
              </w:rPr>
            </w:pPr>
            <w:r>
              <w:rPr>
                <w:color w:val="auto"/>
              </w:rPr>
              <w:t>.787</w:t>
            </w:r>
          </w:p>
        </w:tc>
        <w:tc>
          <w:tcPr>
            <w:tcW w:w="949" w:type="dxa"/>
          </w:tcPr>
          <w:p>
            <w:pPr>
              <w:jc w:val="center"/>
              <w:rPr>
                <w:color w:val="auto"/>
              </w:rPr>
            </w:pPr>
            <w:r>
              <w:rPr>
                <w:color w:val="auto"/>
              </w:rPr>
              <w:t>0.00</w:t>
            </w:r>
          </w:p>
        </w:tc>
        <w:tc>
          <w:tcPr>
            <w:tcW w:w="2183" w:type="dxa"/>
          </w:tcPr>
          <w:p>
            <w:pPr>
              <w:jc w:val="center"/>
              <w:rPr>
                <w:color w:val="auto"/>
              </w:rPr>
            </w:pPr>
            <w:r>
              <w:rPr>
                <w:color w:val="auto"/>
              </w:rPr>
              <w:t>Supported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2" w:type="dxa"/>
          </w:tcPr>
          <w:p>
            <w:pPr>
              <w:rPr>
                <w:color w:val="auto"/>
              </w:rPr>
            </w:pPr>
            <w:r>
              <w:rPr>
                <w:color w:val="auto"/>
              </w:rPr>
              <w:t xml:space="preserve">Brand image </w:t>
            </w:r>
            <w:r>
              <w:rPr>
                <w:color w:val="auto"/>
              </w:rPr>
              <w:sym w:font="Wingdings" w:char="F0E0"/>
            </w:r>
            <w:r>
              <w:rPr>
                <w:color w:val="auto"/>
              </w:rPr>
              <w:t xml:space="preserve"> Repurchase intention</w:t>
            </w:r>
          </w:p>
        </w:tc>
        <w:tc>
          <w:tcPr>
            <w:tcW w:w="683" w:type="dxa"/>
          </w:tcPr>
          <w:p>
            <w:pPr>
              <w:jc w:val="center"/>
              <w:rPr>
                <w:color w:val="auto"/>
              </w:rPr>
            </w:pPr>
            <w:r>
              <w:rPr>
                <w:color w:val="auto"/>
              </w:rPr>
              <w:t>.749</w:t>
            </w:r>
          </w:p>
        </w:tc>
        <w:tc>
          <w:tcPr>
            <w:tcW w:w="949" w:type="dxa"/>
          </w:tcPr>
          <w:p>
            <w:pPr>
              <w:jc w:val="center"/>
              <w:rPr>
                <w:color w:val="auto"/>
              </w:rPr>
            </w:pPr>
            <w:r>
              <w:rPr>
                <w:color w:val="auto"/>
              </w:rPr>
              <w:t>0.00</w:t>
            </w:r>
          </w:p>
        </w:tc>
        <w:tc>
          <w:tcPr>
            <w:tcW w:w="2183" w:type="dxa"/>
          </w:tcPr>
          <w:p>
            <w:pPr>
              <w:jc w:val="center"/>
              <w:rPr>
                <w:color w:val="auto"/>
              </w:rPr>
            </w:pPr>
            <w:r>
              <w:rPr>
                <w:color w:val="auto"/>
              </w:rPr>
              <w:t>Supported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2" w:type="dxa"/>
          </w:tcPr>
          <w:p>
            <w:pPr>
              <w:rPr>
                <w:color w:val="auto"/>
              </w:rPr>
            </w:pPr>
            <w:r>
              <w:rPr>
                <w:color w:val="auto"/>
              </w:rPr>
              <w:t xml:space="preserve">Brand image </w:t>
            </w:r>
            <w:r>
              <w:rPr>
                <w:color w:val="auto"/>
              </w:rPr>
              <w:sym w:font="Wingdings" w:char="F0E0"/>
            </w:r>
            <w:r>
              <w:rPr>
                <w:color w:val="auto"/>
              </w:rPr>
              <w:t xml:space="preserve"> Customer experience</w:t>
            </w:r>
          </w:p>
        </w:tc>
        <w:tc>
          <w:tcPr>
            <w:tcW w:w="683" w:type="dxa"/>
          </w:tcPr>
          <w:p>
            <w:pPr>
              <w:jc w:val="center"/>
              <w:rPr>
                <w:color w:val="auto"/>
              </w:rPr>
            </w:pPr>
            <w:r>
              <w:rPr>
                <w:color w:val="auto"/>
              </w:rPr>
              <w:t>.887</w:t>
            </w:r>
          </w:p>
        </w:tc>
        <w:tc>
          <w:tcPr>
            <w:tcW w:w="949" w:type="dxa"/>
          </w:tcPr>
          <w:p>
            <w:pPr>
              <w:jc w:val="center"/>
              <w:rPr>
                <w:color w:val="auto"/>
              </w:rPr>
            </w:pPr>
            <w:r>
              <w:rPr>
                <w:color w:val="auto"/>
              </w:rPr>
              <w:t>0.00</w:t>
            </w:r>
          </w:p>
        </w:tc>
        <w:tc>
          <w:tcPr>
            <w:tcW w:w="2183" w:type="dxa"/>
          </w:tcPr>
          <w:p>
            <w:pPr>
              <w:jc w:val="center"/>
              <w:rPr>
                <w:color w:val="auto"/>
              </w:rPr>
            </w:pPr>
            <w:r>
              <w:rPr>
                <w:color w:val="auto"/>
              </w:rPr>
              <w:t>Supported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2" w:type="dxa"/>
          </w:tcPr>
          <w:p>
            <w:pPr>
              <w:rPr>
                <w:color w:val="auto"/>
              </w:rPr>
            </w:pPr>
            <w:r>
              <w:rPr>
                <w:color w:val="auto"/>
              </w:rPr>
              <w:t xml:space="preserve">Brand image </w:t>
            </w:r>
            <w:r>
              <w:rPr>
                <w:color w:val="auto"/>
              </w:rPr>
              <w:sym w:font="Wingdings" w:char="F0E0"/>
            </w:r>
            <w:r>
              <w:rPr>
                <w:color w:val="auto"/>
              </w:rPr>
              <w:t xml:space="preserve"> Customer trust</w:t>
            </w:r>
          </w:p>
        </w:tc>
        <w:tc>
          <w:tcPr>
            <w:tcW w:w="683" w:type="dxa"/>
          </w:tcPr>
          <w:p>
            <w:pPr>
              <w:jc w:val="center"/>
              <w:rPr>
                <w:color w:val="auto"/>
              </w:rPr>
            </w:pPr>
            <w:r>
              <w:rPr>
                <w:color w:val="auto"/>
              </w:rPr>
              <w:t>.763</w:t>
            </w:r>
          </w:p>
        </w:tc>
        <w:tc>
          <w:tcPr>
            <w:tcW w:w="949" w:type="dxa"/>
          </w:tcPr>
          <w:p>
            <w:pPr>
              <w:jc w:val="center"/>
              <w:rPr>
                <w:color w:val="auto"/>
              </w:rPr>
            </w:pPr>
            <w:r>
              <w:rPr>
                <w:color w:val="auto"/>
              </w:rPr>
              <w:t>0.00</w:t>
            </w:r>
          </w:p>
        </w:tc>
        <w:tc>
          <w:tcPr>
            <w:tcW w:w="2183" w:type="dxa"/>
          </w:tcPr>
          <w:p>
            <w:pPr>
              <w:jc w:val="center"/>
              <w:rPr>
                <w:color w:val="auto"/>
              </w:rPr>
            </w:pPr>
            <w:r>
              <w:rPr>
                <w:color w:val="auto"/>
              </w:rPr>
              <w:t>Supported</w:t>
            </w:r>
          </w:p>
        </w:tc>
      </w:tr>
    </w:tbl>
    <w:p>
      <w:pPr>
        <w:rPr>
          <w:color w:val="auto"/>
        </w:rPr>
      </w:pPr>
      <w:r>
        <w:rPr>
          <w:color w:val="000000" w:themeColor="text1"/>
          <w14:textFill>
            <w14:solidFill>
              <w14:schemeClr w14:val="tx1"/>
            </w14:solidFill>
          </w14:textFill>
        </w:rPr>
        <w:t>The results of testing hypotheses demonstrate significant correlations between brand image and many dependent variables, including brand loyalty, repurchase intention, customer experience, and customer trust, with all p-values being less than 0.01, thus providing support for all of the hypotheses that were provided. In particular, there is a significant correlation between brand image and brand loyalty ( =.787), repurchase intention ( =.749), customer experience ( =.887), and customer trust ( =.763).</w:t>
      </w:r>
      <w:r>
        <w:rPr>
          <w:color w:val="auto"/>
        </w:rPr>
        <w:br w:type="page"/>
      </w:r>
    </w:p>
    <w:p>
      <w:pPr>
        <w:pStyle w:val="2"/>
      </w:pPr>
      <w:bookmarkStart w:id="65" w:name="_Toc147931468"/>
      <w:r>
        <w:t>CHAPTER # 5 DISCUSSION &amp; CONCLUISON</w:t>
      </w:r>
      <w:bookmarkEnd w:id="65"/>
    </w:p>
    <w:p>
      <w:pPr>
        <w:pStyle w:val="3"/>
        <w:rPr>
          <w:color w:val="auto"/>
        </w:rPr>
      </w:pPr>
      <w:bookmarkStart w:id="66" w:name="_Toc147931469"/>
      <w:r>
        <w:rPr>
          <w:color w:val="auto"/>
        </w:rPr>
        <w:t>5.1 Introduction:</w:t>
      </w:r>
      <w:bookmarkEnd w:id="66"/>
    </w:p>
    <w:p>
      <w:pPr>
        <w:pStyle w:val="19"/>
        <w:ind w:firstLine="720"/>
        <w:rPr>
          <w:color w:val="auto"/>
        </w:rPr>
      </w:pPr>
      <w:r>
        <w:rPr>
          <w:color w:val="auto"/>
        </w:rPr>
        <w:t>Through a detailed case study of Tata Motors, this chapter explores the complex interplay between brand image and its subsequent effects on brand loyalty, buyer's intention, customer trust, and the entire customer experience. Chapter 5 seeks to synthesize the insights, data, and analysis from the preceding chapters, where the theoretical framework and relevant literature were discussed to identify how Tata Motors, a major player in the automotive industry, has effectively employed its brand image. This chapter provides theoretical and applied insights into the substantial influence of brand image on moulding consumer behaviours and perceptions in the car industry by untangling the complexities of this relationship.</w:t>
      </w:r>
    </w:p>
    <w:p>
      <w:pPr>
        <w:pStyle w:val="3"/>
        <w:rPr>
          <w:color w:val="auto"/>
        </w:rPr>
      </w:pPr>
      <w:bookmarkStart w:id="67" w:name="_Toc147931470"/>
      <w:r>
        <w:rPr>
          <w:color w:val="auto"/>
        </w:rPr>
        <w:t>5.2 Discussions:</w:t>
      </w:r>
      <w:bookmarkEnd w:id="67"/>
    </w:p>
    <w:p>
      <w:pPr>
        <w:pStyle w:val="4"/>
      </w:pPr>
      <w:bookmarkStart w:id="68" w:name="_Toc147931471"/>
      <w:r>
        <w:t>5.2.1 Brand image and Brand loyalty</w:t>
      </w:r>
      <w:bookmarkEnd w:id="68"/>
    </w:p>
    <w:p>
      <w:pPr>
        <w:pStyle w:val="4"/>
      </w:pPr>
      <w:bookmarkStart w:id="69" w:name="_Toc147931472"/>
      <w:r>
        <w:rPr>
          <w:rFonts w:eastAsia="Times New Roman"/>
          <w:b w:val="0"/>
          <w:bCs w:val="0"/>
        </w:rPr>
        <w:t>The first hypothesis that was offered for this investigation indicated that there is an association between brand image and brand loyalty. In addition, the results showed that brand image has a favorable and significant impact on brand loyalty, which is consistent with the findings of previous research (Bilgin, 2018; Bernarto et al., 2020). Customers have a tendency to develop an emotional attachment to a brand when they perceive that the brand consistently provides items or services of a high quality, upholds particular values, or provides special attributes. This emotional connection, in turn, reduces the likelihood of customers switching to brands produced by competitive companies. In addition to that, the use of this image as a cognitive heuristic can help speed up the decision-making process. When faced with a dizzying number of choices in the marketplace, customers have a tendency to rely on the carefully built image of items or brands as a means of expediting the decision-making process prior to making a purchase. As a direct consequence of this reliance on manufactured images, consumers frequently engage in behaviors that follow established patterns.</w:t>
      </w:r>
      <w:bookmarkEnd w:id="69"/>
    </w:p>
    <w:p>
      <w:pPr>
        <w:pStyle w:val="4"/>
      </w:pPr>
      <w:bookmarkStart w:id="70" w:name="_Toc147931473"/>
      <w:r>
        <w:t>5.2.2 Brand image and Buyer’s intention:</w:t>
      </w:r>
      <w:bookmarkEnd w:id="70"/>
    </w:p>
    <w:p>
      <w:pPr>
        <w:pStyle w:val="19"/>
        <w:ind w:firstLine="720"/>
      </w:pPr>
      <w:r>
        <w:t>The second hypothesis that was given for this research demonstrated that the image of the brand does have an effect on the buyer's intention. In addition, the findings led the researchers to the conclusion that the purchasers' intentions are significantly influenced in a favorable way by the image of the brand. These findings are consistent with those found in previous research (Putri and Tiarawati, 2021; Budiyono and Novandalina, 2022). The consumer's perception of the brand is one of the most important aspects to consider when determining whether or not the consumer will make a purchase choice. When consumers are navigating the cluttered market in pursuit of a certain brand, a powerful and positive brand image serves as a lighthouse, pointing the eyes and ears of consumers in the right direction. When making purchases, buyers look for brands that not only represent what they believe in but also cater to their unique desires and requirements in a particular way. The reliability, quality, and over-all appeal of a brand are often the factors that first and foremost influence a potential customer's decision to make a purchase.</w:t>
      </w:r>
    </w:p>
    <w:p>
      <w:pPr>
        <w:pStyle w:val="4"/>
      </w:pPr>
      <w:bookmarkStart w:id="71" w:name="_Toc147931474"/>
      <w:r>
        <w:t>5.2.3 Brand image and Customer trust:</w:t>
      </w:r>
      <w:bookmarkEnd w:id="71"/>
    </w:p>
    <w:p>
      <w:pPr>
        <w:pStyle w:val="19"/>
        <w:ind w:firstLine="720"/>
      </w:pPr>
      <w:r>
        <w:t>The third hypothesis that was given for this investigation suggested that the image of the brand has an effect on the level of trust that customers have in the brand. In addition, the findings demonstrated that the image of the brand has a significant and favorable influence on the trust that customers have in the company.Previous research (Herrando, Jimenez-Martinez, and Martin-De Hoyos, 2019; Yen, 2018) has shown that these findings are consistent with their conclusions. A firm's brand image is a compilation of consumers' ideas, feelings, and beliefs about a particular product or service. Trust among customers is directly proportionate to a company's brand image. consumers' trust in a company is directly proportional to a company's brand image. A positive brand image is symbolic of a business's consistency, reliability, and commitment to maintaining its promises to its customers. A brand must meet its commitments in order to maintain a great brand image. When consumers have a positive impression of a company's brand, they are more likely to devote their money, time, and effort into the products and services offered by that firm. This perception originates from the brand's overall presentation. Once it has been established, trust acts as a protective barrier against the forces of competition. It lessens the effect that damaging information or shifts in the market can have. On the other hand, a damaged brand image can fast lose credibility, which can frequently result in decreased sales, decreased consumer loyalty, and unfavorable word-of-mouth. It is of the utmost importance in today's environment, where information is readily available, and consumers are more discerning, that the relationship between a firm's public image and the level of trust that its customers have in that picture of the company is of the utmost importance.</w:t>
      </w:r>
    </w:p>
    <w:p>
      <w:pPr>
        <w:pStyle w:val="19"/>
      </w:pPr>
    </w:p>
    <w:p>
      <w:pPr>
        <w:pStyle w:val="4"/>
      </w:pPr>
      <w:bookmarkStart w:id="72" w:name="_Toc147931475"/>
      <w:r>
        <w:t>5.2.4 Brand image and Customer experience</w:t>
      </w:r>
      <w:bookmarkEnd w:id="72"/>
    </w:p>
    <w:p>
      <w:pPr>
        <w:pStyle w:val="19"/>
      </w:pPr>
      <w:r>
        <w:t xml:space="preserve"> </w:t>
      </w:r>
      <w:r>
        <w:tab/>
      </w:r>
      <w:r>
        <w:t>The final hypothesis that was provided for this investigation suggested that the experience a customer has with a brand has some bearing on that experience. In addition, the data demonstrated that the customer's experience can be significantly and favorably affected by a company's brand image. These findings are consistent with those found in previous research (Motta-Filho, 2021; Fadli, Sembiring, and Situmorang, 2023). The impressions, feelings, and attitudes that customers have toward a particular brand have a direct bearing on the overall quality of the experience that they have as customers. This is what we mean by "brand image." When consumers have a favorable perception of a brand, they will automatically anticipate excellent experiences from that brand. A positive brand image sets the stage for these preconceived expectations. The picture that was generated is taken into consideration during the process of analyzing every touchpoint, which includes both first contacts and after-sales services. When the actual experience lives up to or even exceeds the customer's expectations, it not only increases the customer's level of contentment but also deepens their commitment to the brand. On the other side, if the experience a customer has does not live up to the expectations that are created by the image of the brand, then this mismatch can produce a disruptive customer journey, which may ultimately lead to a sense of disappointment.</w:t>
      </w:r>
    </w:p>
    <w:p>
      <w:pPr>
        <w:rPr>
          <w:color w:val="auto"/>
        </w:rPr>
      </w:pPr>
      <w:bookmarkStart w:id="73" w:name="_Toc147931476"/>
      <w:r>
        <w:rPr>
          <w:rStyle w:val="17"/>
          <w:color w:val="auto"/>
        </w:rPr>
        <w:t>5.3 Implications</w:t>
      </w:r>
      <w:bookmarkEnd w:id="73"/>
      <w:r>
        <w:rPr>
          <w:color w:val="auto"/>
        </w:rPr>
        <w:t>:</w:t>
      </w:r>
    </w:p>
    <w:p>
      <w:pPr>
        <w:pStyle w:val="4"/>
        <w:rPr>
          <w:color w:val="auto"/>
        </w:rPr>
      </w:pPr>
      <w:bookmarkStart w:id="74" w:name="_Toc147931477"/>
      <w:r>
        <w:rPr>
          <w:color w:val="auto"/>
        </w:rPr>
        <w:t>5.3.1 Theoretical implications:</w:t>
      </w:r>
      <w:bookmarkEnd w:id="74"/>
    </w:p>
    <w:p>
      <w:pPr>
        <w:pStyle w:val="19"/>
        <w:ind w:firstLine="720"/>
      </w:pPr>
      <w:r>
        <w:t>The case study of Tata Motors in the context of brand image and its influence on brand loyalty, buyer's intention, customer trust, and customer experience brings up several theoretical implications that could transform how scholars and researchers approach studies on branding. To begin, it highlights the multifaceted nature of the brand image, implying that it is not just a monolithic construct but a layered one, affecting numerous aspects of consumer behaviour in nuanced ways. This is suggested by the fact that it accentuates the multidimensional nature of brand image. This suggests that future studies may benefit from disaggregating brand image into its constituent elements to conduct a more in-depth analysis.</w:t>
      </w:r>
    </w:p>
    <w:p>
      <w:pPr>
        <w:pStyle w:val="19"/>
      </w:pPr>
      <w:r>
        <w:tab/>
      </w:r>
      <w:r>
        <w:t>Additionally, the profound impact of brand image on buyer's intention and trust undermines the traditional models of consumer purchasing behaviour, which frequently value real product features over perceived brand-related emotions. These models are challenged by the profound impact of brand image on buyer's intentions and trust. This move indicates the need for new models that emphasise the company's brand image. In addition, the Tata Motors case shows the cyclical relationship between brand image and customer experience by positing a relationship between brand image and customer experience. A positive brand image improves the consumer's experience, and a good experience for the customer, in turn, helps reinforce a positive brand image. Examining how brands may make the most of this feedback loop can be a critical component of research into this cyclical relationship.</w:t>
      </w:r>
    </w:p>
    <w:p>
      <w:pPr>
        <w:pStyle w:val="4"/>
        <w:rPr>
          <w:color w:val="auto"/>
        </w:rPr>
      </w:pPr>
      <w:bookmarkStart w:id="75" w:name="_Toc147931478"/>
      <w:r>
        <w:rPr>
          <w:color w:val="auto"/>
        </w:rPr>
        <w:t>5.3.2 Practical implications:</w:t>
      </w:r>
      <w:bookmarkEnd w:id="75"/>
    </w:p>
    <w:p>
      <w:pPr>
        <w:pStyle w:val="19"/>
        <w:ind w:firstLine="720"/>
      </w:pPr>
      <w:r>
        <w:t>The insights gleaned from the case study of Tata Motors shed light on several different practical consequences for organizations, particularly those operating in the automotive industry. To begin, the significance of brand image in dictating customer loyalty drives home the point that businesses have no choice but to make investments in branding efforts that are both genuine and consistent. This goes beyond simple advertising and requires genuine efforts to be made in the product's quality and the after-sales service. For instance, Tata Motors's efforts to preserve a positive image have measurably influenced buyer intentions. This indicates that potential customers place a great amount of stock in a company's reputation when they are contemplating making a purchase. In addition, a strong brand image can be the lynchpin in ensuring that customers feel comfortable in their investments in an industry where trust is of the utmost importance, which is especially important when considering the protracted nature of purchases of automobiles.</w:t>
      </w:r>
    </w:p>
    <w:p>
      <w:pPr>
        <w:pStyle w:val="19"/>
        <w:ind w:firstLine="720"/>
      </w:pPr>
      <w:r>
        <w:t>In conclusion, the brand image greatly influences the customer experience as a whole, from the first exposure to the brand to interactions after the purchase. This highlights how important it is for businesses to ensure that every touchpoint aligns with the image they want their brand to project. Companies who aspire to attain the same level of success as Tata Motors should prioritize cultivating a consistent and positive brand image since it profoundly impacts various aspects of consumer behaviour and decision-making processes.</w:t>
      </w:r>
    </w:p>
    <w:p>
      <w:pPr>
        <w:pStyle w:val="3"/>
        <w:rPr>
          <w:color w:val="auto"/>
        </w:rPr>
      </w:pPr>
      <w:bookmarkStart w:id="76" w:name="_Toc147931479"/>
      <w:r>
        <w:rPr>
          <w:color w:val="auto"/>
        </w:rPr>
        <w:t>5.4 Future guidelines:</w:t>
      </w:r>
      <w:bookmarkEnd w:id="76"/>
    </w:p>
    <w:p>
      <w:pPr>
        <w:pStyle w:val="19"/>
        <w:ind w:firstLine="720"/>
      </w:pPr>
      <w:r>
        <w:t>The perception and attitudes of consumers towards a specific brand are inherently interconnected with its brand image. Within the realm of Tata Motors, a brand distinguished by its extensive heritage and global presence, the implementation of the ensuing principles can bolster its brand perception and augment its influence on several customer-centric measurements:</w:t>
      </w:r>
    </w:p>
    <w:p>
      <w:pPr>
        <w:pStyle w:val="19"/>
      </w:pPr>
    </w:p>
    <w:p>
      <w:pPr>
        <w:pStyle w:val="19"/>
      </w:pPr>
      <w:r>
        <w:rPr>
          <w:b/>
          <w:bCs/>
        </w:rPr>
        <w:t>Brand Narrative:</w:t>
      </w:r>
      <w:r>
        <w:t xml:space="preserve"> Tata Motors ought to prioritize the establishment of a cohesive brand narrative that remains uniform across all communication channels, encompassing both digital and conventional platforms. The establishment of a coherent brand narrative enhances the ability of consumers to remember and recognize a brand, thereby fostering a lasting sense of commitment and allegiance to the brand over time. The establishment of consistency in the fulfillment of promises and subsequent delivery of products or services is likely to enhance client trust to a greater extent.</w:t>
      </w:r>
    </w:p>
    <w:p>
      <w:pPr>
        <w:pStyle w:val="19"/>
        <w:rPr>
          <w:b/>
          <w:bCs/>
        </w:rPr>
      </w:pPr>
    </w:p>
    <w:p>
      <w:pPr>
        <w:pStyle w:val="19"/>
      </w:pPr>
      <w:r>
        <w:rPr>
          <w:b/>
          <w:bCs/>
        </w:rPr>
        <w:t>Utilizing Legacy in Conjunction with Innovation:</w:t>
      </w:r>
      <w:r>
        <w:t xml:space="preserve"> It is imperative for Tata Motors to effectively highlight its extensive historical background and reputation for dependability, while simultaneously emphasizing its commitment to pioneering advancements. The integration of traditional elements with contemporary aspects has the ability to augment the brand's attractiveness to existing and prospective customers, thereby exerting an impact on their inclination to make purchases.</w:t>
      </w:r>
    </w:p>
    <w:p>
      <w:pPr>
        <w:pStyle w:val="19"/>
      </w:pPr>
    </w:p>
    <w:p>
      <w:pPr>
        <w:pStyle w:val="19"/>
      </w:pPr>
      <w:r>
        <w:rPr>
          <w:b/>
          <w:bCs/>
        </w:rPr>
        <w:t>Customer Experiences</w:t>
      </w:r>
      <w:r>
        <w:t>: The implementation of personalized customer experiences has become increasingly important in today's digital landscape, as customers are seeking personalised interactions. In order to meet these evolving demands, Tata Motors needs strategically utilize technology to provide customized experiences. The spectrum of possibilities include personalized marketing initiatives as well as tailored car features, thereby augmenting the whole client experience.</w:t>
      </w:r>
    </w:p>
    <w:p>
      <w:pPr>
        <w:pStyle w:val="19"/>
      </w:pPr>
    </w:p>
    <w:p>
      <w:pPr>
        <w:pStyle w:val="19"/>
      </w:pPr>
      <w:r>
        <w:rPr>
          <w:b/>
          <w:bCs/>
        </w:rPr>
        <w:t>Engagement</w:t>
      </w:r>
      <w:r>
        <w:t>: Tata Motors should proactively foster engagement with their client base by employing various strategies such as conducting surveys, utilizing online platforms, and organizing community activities. The act of actively listening to customer feedback and subsequently taking appropriate actions based on it has the potential to significantly enhance customer trust and loyalty.</w:t>
      </w:r>
    </w:p>
    <w:p>
      <w:pPr>
        <w:pStyle w:val="3"/>
        <w:rPr>
          <w:color w:val="auto"/>
        </w:rPr>
      </w:pPr>
      <w:bookmarkStart w:id="77" w:name="_Toc147931480"/>
      <w:r>
        <w:rPr>
          <w:color w:val="auto"/>
        </w:rPr>
        <w:t>5.5 Limitations:</w:t>
      </w:r>
      <w:bookmarkEnd w:id="77"/>
    </w:p>
    <w:p>
      <w:pPr>
        <w:pStyle w:val="19"/>
        <w:ind w:firstLine="720"/>
      </w:pPr>
      <w:r>
        <w:t>In spite of the fact that it offers extremely useful insights on the significance of brand image in relation to Tata Motors, the dissertation has certain restrictions built into it. Because the research was conducted exclusively on Tata Motors, its conclusions may not be easily generalizable to other car brands or perhaps to completely different sectors entirely. It is possible that the market position held by Tata Motors, its historical trajectory, and the specific issues it faces will not be comparable to those held by other companies. In addition, the temporal span of the research only covers a moment in time, capturing only a snapshot in time and hence perhaps missing out on changing market dynamics, shifting customer behaviors, or emerging branding strategies. It's possible that the methodology that was used, whether it was qualitative, quantitative, or mixed, has its own unique set of limitations, such as the possibility of biases or errors in the data collection process. Furthermore, it is possible that the research did not take into consideration external influences such as geopolitical events, economic changes, or technical breakthroughs. These elements have the potential to influence brand perception and customer behaviors in a manner that is independent of brand image.</w:t>
      </w:r>
    </w:p>
    <w:p>
      <w:pPr>
        <w:pStyle w:val="3"/>
        <w:rPr>
          <w:color w:val="auto"/>
        </w:rPr>
      </w:pPr>
    </w:p>
    <w:p>
      <w:pPr>
        <w:pStyle w:val="3"/>
        <w:rPr>
          <w:color w:val="auto"/>
        </w:rPr>
      </w:pPr>
      <w:bookmarkStart w:id="78" w:name="_Toc147931481"/>
      <w:r>
        <w:rPr>
          <w:color w:val="auto"/>
        </w:rPr>
        <w:t>5.6 Conclusions:</w:t>
      </w:r>
      <w:bookmarkEnd w:id="78"/>
    </w:p>
    <w:p>
      <w:pPr>
        <w:pStyle w:val="19"/>
        <w:ind w:firstLine="720"/>
      </w:pPr>
      <w:r>
        <w:t>The dissertation examined the significant influence of brand image on several aspects of customer behavior, with a specific focus on Tata Motors. The study revealed that brand image plays a crucial role in building brand loyalty, impacting purchase intentions, establishing customer trust, and defining the whole customer experience. Tata Motors, via its extensive historical heritage and expansive international presence, serves as a prime example of how maintaining a coherent brand message, combining traditional elements with innovative approaches, and allocating resources towards customer-centric strategies can greatly augment the perception of a brand. In light of the evolving consumer dynamics, it is crucial for businesses such as Tata Motors to uphold transparency, advance sustainability initiatives, and prioritize individualized client experiences in order to consistently enhance their brand reputation. Essentially, the establishment of a positive and enduring brand image serves to strengthen the customer's connection with the brand and significantly contributes to the attainment of future commercial achievements.</w:t>
      </w:r>
    </w:p>
    <w:p/>
    <w:p>
      <w:pPr>
        <w:pStyle w:val="19"/>
        <w:ind w:firstLine="720"/>
      </w:pPr>
      <w:r>
        <w:t>.</w:t>
      </w:r>
    </w:p>
    <w:p>
      <w:pPr>
        <w:spacing w:before="0" w:after="160" w:line="259" w:lineRule="auto"/>
        <w:rPr>
          <w:color w:val="auto"/>
        </w:rPr>
      </w:pPr>
      <w:r>
        <w:rPr>
          <w:color w:val="auto"/>
        </w:rPr>
        <w:br w:type="page"/>
      </w:r>
    </w:p>
    <w:p>
      <w:pPr>
        <w:pStyle w:val="2"/>
      </w:pPr>
      <w:bookmarkStart w:id="79" w:name="_Toc147931482"/>
      <w:r>
        <w:t>References:</w:t>
      </w:r>
      <w:bookmarkEnd w:id="79"/>
    </w:p>
    <w:p>
      <w:pPr>
        <w:ind w:firstLine="720"/>
        <w:jc w:val="both"/>
        <w:rPr>
          <w:color w:val="222222"/>
          <w:shd w:val="clear" w:color="auto" w:fill="FFFFFF"/>
        </w:rPr>
      </w:pPr>
      <w:r>
        <w:rPr>
          <w:color w:val="222222"/>
          <w:shd w:val="clear" w:color="auto" w:fill="FFFFFF"/>
        </w:rPr>
        <w:t>Agrawal, R., Wankhede, V.A., Kumar, A. and Luthra, S., 2021. Analysing the roadblocks of circular economy adoption in the automobile sector: Reducing waste and environmental perspectives. Business Strategy and the Environment, 30(2), pp.1051-1066.</w:t>
      </w:r>
    </w:p>
    <w:p>
      <w:pPr>
        <w:ind w:firstLine="720"/>
        <w:jc w:val="both"/>
        <w:rPr>
          <w:color w:val="222222"/>
          <w:shd w:val="clear" w:color="auto" w:fill="FFFFFF"/>
        </w:rPr>
      </w:pPr>
      <w:r>
        <w:rPr>
          <w:color w:val="222222"/>
          <w:shd w:val="clear" w:color="auto" w:fill="FFFFFF"/>
        </w:rPr>
        <w:t>Alhaddad, A., 2015. Perceived quality, brand image and brand trust as determinants of brand loyalty. Journal of Research in Business and Management, 3(4), pp.01-08.</w:t>
      </w:r>
    </w:p>
    <w:p>
      <w:pPr>
        <w:ind w:firstLine="720"/>
        <w:jc w:val="both"/>
        <w:rPr>
          <w:color w:val="222222"/>
          <w:shd w:val="clear" w:color="auto" w:fill="FFFFFF"/>
        </w:rPr>
      </w:pPr>
      <w:r>
        <w:rPr>
          <w:color w:val="222222"/>
          <w:shd w:val="clear" w:color="auto" w:fill="FFFFFF"/>
        </w:rPr>
        <w:t>Andreini, D., Rinallo, D., Pedeliento, G. and Bergamaschi, M., 2017. Brands and religion in the secularized marketplace and workplace: Insights from the case of an Italian hospital renamed after a Roman Catholic Pope. Journal of business ethics, 141, pp.529-550.</w:t>
      </w:r>
    </w:p>
    <w:p>
      <w:pPr>
        <w:ind w:firstLine="720"/>
        <w:jc w:val="both"/>
        <w:rPr>
          <w:color w:val="222222"/>
          <w:shd w:val="clear" w:color="auto" w:fill="FFFFFF"/>
        </w:rPr>
      </w:pPr>
      <w:r>
        <w:rPr>
          <w:color w:val="222222"/>
          <w:shd w:val="clear" w:color="auto" w:fill="FFFFFF"/>
        </w:rPr>
        <w:t>Andreja, S., 2018. The Aspects of National Branding: Conceptual and Theoretical Framework. European Journal of Interdisciplinary Studies, 4(3), pp.39-47.</w:t>
      </w:r>
    </w:p>
    <w:p>
      <w:pPr>
        <w:ind w:firstLine="720"/>
        <w:jc w:val="both"/>
        <w:rPr>
          <w:color w:val="222222"/>
          <w:shd w:val="clear" w:color="auto" w:fill="FFFFFF"/>
        </w:rPr>
      </w:pPr>
      <w:r>
        <w:rPr>
          <w:color w:val="222222"/>
          <w:shd w:val="clear" w:color="auto" w:fill="FFFFFF"/>
        </w:rPr>
        <w:t>Ansary, A. and Nik Hashim, N.M.H., 2018. Brand image and equity: The mediating role of brand equity drivers and moderating effects of product type and word of mouth. Review of Managerial Science, 12, pp.969-1002.</w:t>
      </w:r>
    </w:p>
    <w:p>
      <w:pPr>
        <w:ind w:firstLine="720"/>
        <w:jc w:val="both"/>
        <w:rPr>
          <w:color w:val="222222"/>
          <w:shd w:val="clear" w:color="auto" w:fill="FFFFFF"/>
        </w:rPr>
      </w:pPr>
      <w:r>
        <w:rPr>
          <w:color w:val="222222"/>
          <w:shd w:val="clear" w:color="auto" w:fill="FFFFFF"/>
        </w:rPr>
        <w:t>Arifiya, N.A., Prasasty, A.T.P.T. and Nurhidayati, R.N., 2021. Analysis Of The Effect Of Brand Image On The Sales Volume Of Three Products. E-Mabis: Jurnal Ekonomi Manajemen dan Bisnis, 22(1), pp.25-30.</w:t>
      </w:r>
    </w:p>
    <w:p>
      <w:pPr>
        <w:ind w:firstLine="720"/>
        <w:jc w:val="both"/>
        <w:rPr>
          <w:color w:val="222222"/>
          <w:shd w:val="clear" w:color="auto" w:fill="FFFFFF"/>
        </w:rPr>
      </w:pPr>
      <w:r>
        <w:rPr>
          <w:color w:val="222222"/>
          <w:shd w:val="clear" w:color="auto" w:fill="FFFFFF"/>
        </w:rPr>
        <w:t>Ashforth, B.E. and Mael, F., 1989. Social identity theory and the organization. Academy of management review, 14(1), pp.20-39.</w:t>
      </w:r>
    </w:p>
    <w:p>
      <w:pPr>
        <w:ind w:firstLine="720"/>
        <w:jc w:val="both"/>
        <w:rPr>
          <w:color w:val="222222"/>
          <w:shd w:val="clear" w:color="auto" w:fill="FFFFFF"/>
        </w:rPr>
      </w:pPr>
      <w:r>
        <w:rPr>
          <w:color w:val="222222"/>
          <w:shd w:val="clear" w:color="auto" w:fill="FFFFFF"/>
        </w:rPr>
        <w:t>Asif, M., Xuhui, W., Nasiri, A. and Ayyub, S., 2018. Determinant factors influencing organic food purchase intention and the moderating role of awareness: A comparative analysis. Food Quality and preference, 63, pp.144-150.</w:t>
      </w:r>
    </w:p>
    <w:p>
      <w:pPr>
        <w:ind w:firstLine="720"/>
        <w:jc w:val="both"/>
        <w:rPr>
          <w:color w:val="222222"/>
          <w:shd w:val="clear" w:color="auto" w:fill="FFFFFF"/>
        </w:rPr>
      </w:pPr>
      <w:r>
        <w:rPr>
          <w:color w:val="222222"/>
          <w:shd w:val="clear" w:color="auto" w:fill="FFFFFF"/>
        </w:rPr>
        <w:t>Aziz, S., Bahadur, W., Sarwar, B., Farooq, R. and Arshad, M., 2014. Investigating the role of demographic characteristics on consumer ethnocentrism and buying behavior. International Review of Management and Business Research, 3(2), pp.885-893.</w:t>
      </w:r>
    </w:p>
    <w:p>
      <w:pPr>
        <w:ind w:firstLine="720"/>
        <w:jc w:val="both"/>
        <w:rPr>
          <w:color w:val="222222"/>
          <w:shd w:val="clear" w:color="auto" w:fill="FFFFFF"/>
        </w:rPr>
      </w:pPr>
      <w:r>
        <w:rPr>
          <w:color w:val="222222"/>
          <w:shd w:val="clear" w:color="auto" w:fill="FFFFFF"/>
        </w:rPr>
        <w:t>Bahari, K.A., Che Azmi, M.N., Mohd Kamal, S.B., Zainol, N., Mahat, F. and Abdullah, D., 2020. The effects of brand image, perceived trust and perceived risk on online booking intention: a conceptual model. ESTEEM Journal of Social Sciences and Humanities, 4, pp.203-213.</w:t>
      </w:r>
    </w:p>
    <w:p>
      <w:pPr>
        <w:ind w:firstLine="720"/>
        <w:jc w:val="both"/>
        <w:rPr>
          <w:color w:val="222222"/>
          <w:shd w:val="clear" w:color="auto" w:fill="FFFFFF"/>
        </w:rPr>
      </w:pPr>
      <w:r>
        <w:rPr>
          <w:color w:val="222222"/>
          <w:shd w:val="clear" w:color="auto" w:fill="FFFFFF"/>
        </w:rPr>
        <w:t>Becker, L. and Jaakkola, E., 2020. Customer experience: fundamental premises and implications for research. Journal of the Academy of Marketing Science, 48, pp.630-648.</w:t>
      </w:r>
    </w:p>
    <w:p>
      <w:pPr>
        <w:ind w:firstLine="720"/>
        <w:jc w:val="both"/>
        <w:rPr>
          <w:color w:val="222222"/>
          <w:shd w:val="clear" w:color="auto" w:fill="FFFFFF"/>
        </w:rPr>
      </w:pPr>
      <w:r>
        <w:rPr>
          <w:color w:val="222222"/>
          <w:shd w:val="clear" w:color="auto" w:fill="FFFFFF"/>
        </w:rPr>
        <w:t>Bee, D.T. and Murdoch-Eaton, D., 2016. Questionnaire design: the good, the bad and the pitfalls. Archives of Disease in Childhood-Education and Practice, 101(4), pp.210-212.</w:t>
      </w:r>
    </w:p>
    <w:p>
      <w:pPr>
        <w:ind w:firstLine="720"/>
        <w:jc w:val="both"/>
        <w:rPr>
          <w:color w:val="222222"/>
          <w:shd w:val="clear" w:color="auto" w:fill="FFFFFF"/>
        </w:rPr>
      </w:pPr>
      <w:r>
        <w:rPr>
          <w:color w:val="222222"/>
          <w:shd w:val="clear" w:color="auto" w:fill="FFFFFF"/>
        </w:rPr>
        <w:t>Bernarto, I., Berlianto, M.P., Meilani, Y.F.C.P., Masman, R.R. and Suryawan, I.N., 2020. The influence of brand awareness, brand image, and brand trust on brand loyalty. Jurnal Manajemen, 24(3), pp.412-426.</w:t>
      </w:r>
    </w:p>
    <w:p>
      <w:pPr>
        <w:ind w:firstLine="720"/>
        <w:jc w:val="both"/>
        <w:rPr>
          <w:color w:val="222222"/>
          <w:shd w:val="clear" w:color="auto" w:fill="FFFFFF"/>
        </w:rPr>
      </w:pPr>
      <w:r>
        <w:rPr>
          <w:color w:val="222222"/>
          <w:shd w:val="clear" w:color="auto" w:fill="FFFFFF"/>
        </w:rPr>
        <w:t>Bilgin, Y., 2018. The effect of social media marketing activities on brand awareness, brand image and brand loyalty. Business &amp; management studies: an international journal, 6(1), pp.128-148.</w:t>
      </w:r>
    </w:p>
    <w:p>
      <w:pPr>
        <w:ind w:firstLine="720"/>
        <w:jc w:val="both"/>
        <w:rPr>
          <w:color w:val="222222"/>
          <w:shd w:val="clear" w:color="auto" w:fill="FFFFFF"/>
        </w:rPr>
      </w:pPr>
      <w:r>
        <w:rPr>
          <w:color w:val="222222"/>
          <w:shd w:val="clear" w:color="auto" w:fill="FFFFFF"/>
        </w:rPr>
        <w:t>Bisschoff, C.A. and Moolla, A.I., 2014, June. A simplified model to measure brand loyalty. In Proceedings of the 2nd International Conference on Contemporary Marketing Issues (ICCMI), Athens, Greece. June (pp. 18-20).</w:t>
      </w:r>
    </w:p>
    <w:p>
      <w:pPr>
        <w:ind w:firstLine="720"/>
        <w:jc w:val="both"/>
        <w:rPr>
          <w:color w:val="222222"/>
          <w:shd w:val="clear" w:color="auto" w:fill="FFFFFF"/>
        </w:rPr>
      </w:pPr>
      <w:r>
        <w:rPr>
          <w:color w:val="222222"/>
          <w:shd w:val="clear" w:color="auto" w:fill="FFFFFF"/>
        </w:rPr>
        <w:t>Bolton, R.N., McColl-Kennedy, J.R., Cheung, L., Gallan, A., Orsingher, C., Witell, L. and Zaki, M., 2018. Customer experience challenges: bringing together digital, physical and social realms. Journal of service management, 29(5), pp.776-808.</w:t>
      </w:r>
    </w:p>
    <w:p>
      <w:pPr>
        <w:ind w:firstLine="720"/>
        <w:jc w:val="both"/>
        <w:rPr>
          <w:color w:val="222222"/>
          <w:shd w:val="clear" w:color="auto" w:fill="FFFFFF"/>
        </w:rPr>
      </w:pPr>
      <w:r>
        <w:rPr>
          <w:color w:val="222222"/>
          <w:shd w:val="clear" w:color="auto" w:fill="FFFFFF"/>
        </w:rPr>
        <w:t>Brown, R., 2000. Social identity theory: Past achievements, current problems and future challenges. European journal of social psychology, 30(6), pp.745-778.</w:t>
      </w:r>
    </w:p>
    <w:p>
      <w:pPr>
        <w:ind w:firstLine="720"/>
        <w:jc w:val="both"/>
        <w:rPr>
          <w:color w:val="222222"/>
          <w:shd w:val="clear" w:color="auto" w:fill="FFFFFF"/>
        </w:rPr>
      </w:pPr>
      <w:r>
        <w:rPr>
          <w:color w:val="222222"/>
          <w:shd w:val="clear" w:color="auto" w:fill="FFFFFF"/>
        </w:rPr>
        <w:t>Bruhn, M., Schoenmueller, V. and Schäfer, D.B., 2012. Are social media replacing traditional media in terms of brand equity creation?. Management research review, 35(9), pp.770-790.</w:t>
      </w:r>
    </w:p>
    <w:p>
      <w:pPr>
        <w:ind w:firstLine="720"/>
        <w:jc w:val="both"/>
        <w:rPr>
          <w:color w:val="222222"/>
          <w:shd w:val="clear" w:color="auto" w:fill="FFFFFF"/>
        </w:rPr>
      </w:pPr>
      <w:r>
        <w:rPr>
          <w:color w:val="222222"/>
          <w:shd w:val="clear" w:color="auto" w:fill="FFFFFF"/>
        </w:rPr>
        <w:t>Budiyono, R. and Novandalina, A., 2022. Influence of Brand Image, Brand Trust and Perceived Product Quality on the Decision of Purchasing. Jurnal Stie Semarang (Edisi Elektronik), 14(1).</w:t>
      </w:r>
    </w:p>
    <w:p>
      <w:pPr>
        <w:ind w:firstLine="720"/>
        <w:jc w:val="both"/>
        <w:rPr>
          <w:color w:val="222222"/>
          <w:shd w:val="clear" w:color="auto" w:fill="FFFFFF"/>
        </w:rPr>
      </w:pPr>
      <w:r>
        <w:rPr>
          <w:color w:val="222222"/>
          <w:shd w:val="clear" w:color="auto" w:fill="FFFFFF"/>
        </w:rPr>
        <w:t>Cengiz, H. and Akdemir-Cengiz, H., 2016. Review of brand loyalty literature: 2001–2015. Journal of Research in Marketing (ISSN: 2292-9355), 6(1), pp.407-434.</w:t>
      </w:r>
    </w:p>
    <w:p>
      <w:pPr>
        <w:ind w:firstLine="720"/>
        <w:jc w:val="both"/>
        <w:rPr>
          <w:color w:val="222222"/>
          <w:shd w:val="clear" w:color="auto" w:fill="FFFFFF"/>
        </w:rPr>
      </w:pPr>
      <w:r>
        <w:rPr>
          <w:color w:val="222222"/>
          <w:shd w:val="clear" w:color="auto" w:fill="FFFFFF"/>
        </w:rPr>
        <w:t>Chae, H., Kim, S., Lee, J. and Park, K., 2020. Impact of product characteristics of limited edition shoes on perceived value, brand trust, and purchase intention; focused on the scarcity message frequency. Journal of Business Research, 120, pp.398-406.</w:t>
      </w:r>
    </w:p>
    <w:p>
      <w:pPr>
        <w:ind w:firstLine="720"/>
        <w:jc w:val="both"/>
        <w:rPr>
          <w:color w:val="222222"/>
          <w:shd w:val="clear" w:color="auto" w:fill="FFFFFF"/>
        </w:rPr>
      </w:pPr>
      <w:r>
        <w:rPr>
          <w:color w:val="222222"/>
          <w:shd w:val="clear" w:color="auto" w:fill="FFFFFF"/>
        </w:rPr>
        <w:t>Chang, W.J., 2020. Experiential marketing, brand image and brand loyalty: a case study of Starbucks. British Food Journal, 123(1), pp.209-223.</w:t>
      </w:r>
    </w:p>
    <w:p>
      <w:pPr>
        <w:ind w:firstLine="720"/>
        <w:jc w:val="both"/>
        <w:rPr>
          <w:color w:val="222222"/>
          <w:shd w:val="clear" w:color="auto" w:fill="FFFFFF"/>
        </w:rPr>
      </w:pPr>
      <w:r>
        <w:rPr>
          <w:color w:val="222222"/>
          <w:shd w:val="clear" w:color="auto" w:fill="FFFFFF"/>
        </w:rPr>
        <w:t>Chen, H., Zhang, S., Shao, B., Gao, W. and Xu, Y., 2022. How do interpersonal interaction factors affect buyers' purchase intention in live stream shopping? The mediating effects of swift guanxi. Internet Research, 32(1), pp.335-361.</w:t>
      </w:r>
    </w:p>
    <w:p>
      <w:pPr>
        <w:ind w:firstLine="720"/>
        <w:jc w:val="both"/>
        <w:rPr>
          <w:color w:val="222222"/>
          <w:shd w:val="clear" w:color="auto" w:fill="FFFFFF"/>
        </w:rPr>
      </w:pPr>
      <w:r>
        <w:rPr>
          <w:color w:val="222222"/>
          <w:shd w:val="clear" w:color="auto" w:fill="FFFFFF"/>
        </w:rPr>
        <w:t>Cheng, H.H. and Huang, S.W., 2013. Exploring antecedents and consequence of online group-buying intention: An extended perspective on theory of planned behavior. International Journal of Information Management, 33(1), pp.185-198.</w:t>
      </w:r>
    </w:p>
    <w:p>
      <w:pPr>
        <w:ind w:firstLine="720"/>
        <w:jc w:val="both"/>
        <w:rPr>
          <w:color w:val="222222"/>
          <w:shd w:val="clear" w:color="auto" w:fill="FFFFFF"/>
        </w:rPr>
      </w:pPr>
      <w:r>
        <w:rPr>
          <w:color w:val="222222"/>
          <w:shd w:val="clear" w:color="auto" w:fill="FFFFFF"/>
        </w:rPr>
        <w:t>Cheung, A.K.L., 2021. Structured questionnaires. In Encyclopedia of quality of life and well-being research (pp. 1-3). Cham: Springer International Publishing.</w:t>
      </w:r>
    </w:p>
    <w:p>
      <w:pPr>
        <w:ind w:firstLine="720"/>
        <w:jc w:val="both"/>
        <w:rPr>
          <w:color w:val="222222"/>
          <w:shd w:val="clear" w:color="auto" w:fill="FFFFFF"/>
        </w:rPr>
      </w:pPr>
      <w:r>
        <w:rPr>
          <w:color w:val="222222"/>
          <w:shd w:val="clear" w:color="auto" w:fill="FFFFFF"/>
        </w:rPr>
        <w:t>Chia, J., Harun, A., Kassim, A.W.M., Martin, D. and Kepal, N., 2016. Understanding factors that influence house purchase intention among consumers in Kota Kinabalu: an application of buyer behavior model theory. Journal of Technology Management and Business, 3(2).</w:t>
      </w:r>
    </w:p>
    <w:p>
      <w:pPr>
        <w:ind w:firstLine="720"/>
        <w:jc w:val="both"/>
        <w:rPr>
          <w:color w:val="222222"/>
          <w:shd w:val="clear" w:color="auto" w:fill="FFFFFF"/>
        </w:rPr>
      </w:pPr>
      <w:r>
        <w:rPr>
          <w:color w:val="222222"/>
          <w:shd w:val="clear" w:color="auto" w:fill="FFFFFF"/>
        </w:rPr>
        <w:t>Chinomona, R., 2016. Brand communication, brand image and brand trust as antecedents of brand loyalty in Gauteng Province of South Africa. African Journal of Economic and Management Studies, 7(1), pp.124-139.</w:t>
      </w:r>
    </w:p>
    <w:p>
      <w:pPr>
        <w:ind w:firstLine="720"/>
        <w:jc w:val="both"/>
        <w:rPr>
          <w:color w:val="222222"/>
          <w:shd w:val="clear" w:color="auto" w:fill="FFFFFF"/>
        </w:rPr>
      </w:pPr>
      <w:r>
        <w:rPr>
          <w:color w:val="222222"/>
          <w:shd w:val="clear" w:color="auto" w:fill="FFFFFF"/>
        </w:rPr>
        <w:t>Chinomona, R., 2016. Brand communication, brand image and brand trust as antecedents of brand loyalty in Gauteng Province of South Africa. African Journal of Economic and Management Studies, 7(1), pp.124-139.</w:t>
      </w:r>
    </w:p>
    <w:p>
      <w:pPr>
        <w:ind w:firstLine="720"/>
        <w:jc w:val="both"/>
        <w:rPr>
          <w:color w:val="222222"/>
          <w:shd w:val="clear" w:color="auto" w:fill="FFFFFF"/>
        </w:rPr>
      </w:pPr>
      <w:r>
        <w:rPr>
          <w:color w:val="222222"/>
          <w:shd w:val="clear" w:color="auto" w:fill="FFFFFF"/>
        </w:rPr>
        <w:t>Choi, B. and La, S., 2013. The impact of corporate social responsibility (CSR) and customer trust on the restoration of loyalty after service failure and recovery. Journal of Services Marketing, 27(3), pp.223-233.</w:t>
      </w:r>
    </w:p>
    <w:p>
      <w:pPr>
        <w:ind w:firstLine="720"/>
        <w:jc w:val="both"/>
        <w:rPr>
          <w:color w:val="222222"/>
          <w:shd w:val="clear" w:color="auto" w:fill="FFFFFF"/>
        </w:rPr>
      </w:pPr>
      <w:r>
        <w:rPr>
          <w:color w:val="222222"/>
          <w:shd w:val="clear" w:color="auto" w:fill="FFFFFF"/>
        </w:rPr>
        <w:t>Chou, S.W. and Hsu, C.S., 2016. Understanding online repurchase intention: social exchange theory and shopping habit. Information Systems and e-Business Management, 14, pp.19-45.</w:t>
      </w:r>
    </w:p>
    <w:p>
      <w:pPr>
        <w:ind w:firstLine="720"/>
        <w:jc w:val="both"/>
        <w:rPr>
          <w:color w:val="222222"/>
          <w:shd w:val="clear" w:color="auto" w:fill="FFFFFF"/>
        </w:rPr>
      </w:pPr>
      <w:r>
        <w:rPr>
          <w:color w:val="222222"/>
          <w:shd w:val="clear" w:color="auto" w:fill="FFFFFF"/>
        </w:rPr>
        <w:t>Çiftçi, Ş.F., 2018. The Web-based travel intermediaries loyalty: The influences of trust and satisfaction.</w:t>
      </w:r>
    </w:p>
    <w:p>
      <w:pPr>
        <w:ind w:firstLine="720"/>
        <w:jc w:val="both"/>
        <w:rPr>
          <w:color w:val="222222"/>
          <w:shd w:val="clear" w:color="auto" w:fill="FFFFFF"/>
        </w:rPr>
      </w:pPr>
      <w:r>
        <w:rPr>
          <w:color w:val="222222"/>
          <w:shd w:val="clear" w:color="auto" w:fill="FFFFFF"/>
        </w:rPr>
        <w:t>Cohen, J. (1988). Statistical power analysis for the behavioral sciences (2nd ed.). Lawrence Erlbaum Associates.</w:t>
      </w:r>
    </w:p>
    <w:p>
      <w:pPr>
        <w:ind w:firstLine="720"/>
        <w:jc w:val="both"/>
        <w:rPr>
          <w:color w:val="222222"/>
          <w:shd w:val="clear" w:color="auto" w:fill="FFFFFF"/>
        </w:rPr>
      </w:pPr>
      <w:r>
        <w:rPr>
          <w:color w:val="222222"/>
          <w:shd w:val="clear" w:color="auto" w:fill="FFFFFF"/>
        </w:rPr>
        <w:t>Cohen, P., Cohen, J., West, S. G., and Aiken, L. S. (2003). Applied multiple regression/correlation analysis for the behavioral sciences (3rd ed.). Lawrence Erlbaum Associates.</w:t>
      </w:r>
    </w:p>
    <w:p>
      <w:pPr>
        <w:ind w:firstLine="720"/>
        <w:jc w:val="both"/>
        <w:rPr>
          <w:color w:val="222222"/>
          <w:shd w:val="clear" w:color="auto" w:fill="FFFFFF"/>
        </w:rPr>
      </w:pPr>
      <w:r>
        <w:rPr>
          <w:color w:val="222222"/>
          <w:shd w:val="clear" w:color="auto" w:fill="FFFFFF"/>
        </w:rPr>
        <w:t xml:space="preserve">Dalati, S. and Marx Gómez, J., 2018. Surveys and questionnaires. Modernizing the Academic Teaching and Research Environment: Methodologies and Cases in Business Research, pp.175-186. </w:t>
      </w:r>
    </w:p>
    <w:p>
      <w:pPr>
        <w:ind w:firstLine="720"/>
        <w:jc w:val="both"/>
        <w:rPr>
          <w:color w:val="222222"/>
          <w:shd w:val="clear" w:color="auto" w:fill="FFFFFF"/>
        </w:rPr>
      </w:pPr>
      <w:r>
        <w:rPr>
          <w:color w:val="222222"/>
          <w:shd w:val="clear" w:color="auto" w:fill="FFFFFF"/>
        </w:rPr>
        <w:t>Davies, C. and Fisher, M., 2018. Understanding research paradigms. Journal of the Australasian Rehabilitation Nurses Association, 21(3), pp.21-25.</w:t>
      </w:r>
    </w:p>
    <w:p>
      <w:pPr>
        <w:ind w:firstLine="720"/>
        <w:jc w:val="both"/>
        <w:rPr>
          <w:color w:val="222222"/>
          <w:shd w:val="clear" w:color="auto" w:fill="FFFFFF"/>
        </w:rPr>
      </w:pPr>
      <w:r>
        <w:rPr>
          <w:color w:val="222222"/>
          <w:shd w:val="clear" w:color="auto" w:fill="FFFFFF"/>
        </w:rPr>
        <w:t>De Keyser, A., Verleye, K., Lemon, K.N., Keiningham, T.L. and Klaus, P., 2020. Moving the customer experience field forward: introducing the touchpoints, context, qualities (TCQ) nomenclature. Journal of Service Research, 23(4), pp.433-455.</w:t>
      </w:r>
    </w:p>
    <w:p>
      <w:pPr>
        <w:ind w:firstLine="720"/>
        <w:jc w:val="both"/>
        <w:rPr>
          <w:color w:val="222222"/>
          <w:shd w:val="clear" w:color="auto" w:fill="FFFFFF"/>
        </w:rPr>
      </w:pPr>
      <w:r>
        <w:rPr>
          <w:color w:val="222222"/>
          <w:shd w:val="clear" w:color="auto" w:fill="FFFFFF"/>
        </w:rPr>
        <w:t>Duman, T., Ozbal, O. and Duerod, M., 2018. The role of affective factors on brand resonance: Measuring customer‐based brand equity for the Sarajevo brand. Journal of destination marketing &amp; management, 8, pp.359-372.</w:t>
      </w:r>
    </w:p>
    <w:p>
      <w:pPr>
        <w:ind w:firstLine="720"/>
        <w:jc w:val="both"/>
        <w:rPr>
          <w:color w:val="222222"/>
          <w:shd w:val="clear" w:color="auto" w:fill="FFFFFF"/>
        </w:rPr>
      </w:pPr>
      <w:r>
        <w:rPr>
          <w:color w:val="222222"/>
          <w:shd w:val="clear" w:color="auto" w:fill="FFFFFF"/>
        </w:rPr>
        <w:t>Ellemers, N. and Haslam, S.A., 2012. Social identity theory. Handbook of theories of social psychology, 2, pp.379-398.</w:t>
      </w:r>
    </w:p>
    <w:p>
      <w:pPr>
        <w:ind w:firstLine="720"/>
        <w:jc w:val="both"/>
        <w:rPr>
          <w:color w:val="222222"/>
          <w:shd w:val="clear" w:color="auto" w:fill="FFFFFF"/>
        </w:rPr>
      </w:pPr>
      <w:r>
        <w:rPr>
          <w:color w:val="222222"/>
          <w:shd w:val="clear" w:color="auto" w:fill="FFFFFF"/>
        </w:rPr>
        <w:t>Erkmen, E. and Hancer, M., 2019. Building brand relationship for restaurants: An examination of other customers, brand image, trust, and restaurant attributes. International Journal of Contemporary Hospitality Management, 31(3), pp.1469-1487.</w:t>
      </w:r>
    </w:p>
    <w:p>
      <w:pPr>
        <w:ind w:firstLine="720"/>
        <w:jc w:val="both"/>
        <w:rPr>
          <w:color w:val="222222"/>
          <w:shd w:val="clear" w:color="auto" w:fill="FFFFFF"/>
        </w:rPr>
      </w:pPr>
      <w:r>
        <w:rPr>
          <w:color w:val="222222"/>
          <w:shd w:val="clear" w:color="auto" w:fill="FFFFFF"/>
        </w:rPr>
        <w:t>Espinosa, J.A., Ortinau, D.J., Krey, N. and Monahan, L., 2018. I’ll have the usual: how restaurant brand image, loyalty, and satisfaction keep customers coming back. Journal of Product &amp; Brand Management, 27(6), pp.599-614.</w:t>
      </w:r>
    </w:p>
    <w:p>
      <w:pPr>
        <w:ind w:firstLine="720"/>
        <w:jc w:val="both"/>
        <w:rPr>
          <w:color w:val="222222"/>
          <w:shd w:val="clear" w:color="auto" w:fill="FFFFFF"/>
        </w:rPr>
      </w:pPr>
      <w:r>
        <w:rPr>
          <w:color w:val="222222"/>
          <w:shd w:val="clear" w:color="auto" w:fill="FFFFFF"/>
        </w:rPr>
        <w:t>Evans, J.R. and Mathur, A., 2018. The value of online surveys: A look back and a look ahead. Internet research, 28(4), pp.854-887.</w:t>
      </w:r>
    </w:p>
    <w:p>
      <w:pPr>
        <w:ind w:firstLine="720"/>
        <w:jc w:val="both"/>
        <w:rPr>
          <w:color w:val="222222"/>
          <w:shd w:val="clear" w:color="auto" w:fill="FFFFFF"/>
        </w:rPr>
      </w:pPr>
      <w:r>
        <w:rPr>
          <w:color w:val="222222"/>
          <w:shd w:val="clear" w:color="auto" w:fill="FFFFFF"/>
        </w:rPr>
        <w:t>Facca, D., Smith, M.J., Shelley, J., Lizotte, D. and Donelle, L., 2020. Exploring the ethical issues in research using digital data collection strategies with minors: A scoping review. Plos one, 15(8), p.e0237875.</w:t>
      </w:r>
    </w:p>
    <w:p>
      <w:pPr>
        <w:ind w:firstLine="720"/>
        <w:jc w:val="both"/>
        <w:rPr>
          <w:color w:val="222222"/>
          <w:shd w:val="clear" w:color="auto" w:fill="FFFFFF"/>
        </w:rPr>
      </w:pPr>
      <w:r>
        <w:rPr>
          <w:color w:val="222222"/>
          <w:shd w:val="clear" w:color="auto" w:fill="FFFFFF"/>
        </w:rPr>
        <w:t>Fadli, A., Sembiring, B.K.F. and Situmorang, S.H., 2023. ANALYSIS OF BRAND IMAGE, BRAND TRUST, CUSTOMER EXPERIENCE ON CUSTOMER SATISFACTION THROUGH PERCEIVED VALUE BANK SYARIAH INDONESIA (STUDY AT BSI KCP KRAKATAU). International Journal of Economic, Business, Accounting, Agriculture Management and Sharia Administration (IJEBAS), 3(2), pp.445-455.</w:t>
      </w:r>
    </w:p>
    <w:p>
      <w:pPr>
        <w:ind w:firstLine="720"/>
        <w:jc w:val="both"/>
        <w:rPr>
          <w:color w:val="222222"/>
          <w:shd w:val="clear" w:color="auto" w:fill="FFFFFF"/>
        </w:rPr>
      </w:pPr>
      <w:r>
        <w:rPr>
          <w:color w:val="222222"/>
          <w:shd w:val="clear" w:color="auto" w:fill="FFFFFF"/>
        </w:rPr>
        <w:t>Flavián, C., Ibáñez-Sánchez, S. and Orús, C., 2019. The impact of virtual, augmented and mixed reality technologies on the customer experience. Journal of business research, 100, pp.547-560.</w:t>
      </w:r>
    </w:p>
    <w:p>
      <w:pPr>
        <w:ind w:firstLine="720"/>
        <w:jc w:val="both"/>
        <w:rPr>
          <w:color w:val="222222"/>
          <w:shd w:val="clear" w:color="auto" w:fill="FFFFFF"/>
        </w:rPr>
      </w:pPr>
      <w:r>
        <w:rPr>
          <w:color w:val="222222"/>
          <w:shd w:val="clear" w:color="auto" w:fill="FFFFFF"/>
        </w:rPr>
        <w:t>Foroudi, P., Gupta, S., Sivarajah, U. and Broderick, A., 2018. Investigating the effects of smart technology on customer dynamics and customer experience. Computers in Human Behavior, 80, pp.271-282.</w:t>
      </w:r>
    </w:p>
    <w:p>
      <w:pPr>
        <w:ind w:firstLine="720"/>
        <w:jc w:val="both"/>
        <w:rPr>
          <w:color w:val="222222"/>
          <w:shd w:val="clear" w:color="auto" w:fill="FFFFFF"/>
        </w:rPr>
      </w:pPr>
      <w:r>
        <w:rPr>
          <w:color w:val="222222"/>
          <w:shd w:val="clear" w:color="auto" w:fill="FFFFFF"/>
        </w:rPr>
        <w:t>Gentile, C., Spiller, N. and Noci, G., 2007. How to sustain the customer experience:: An overview of experience components that co-create value with the customer. European management journal, 25(5), pp.395-410.</w:t>
      </w:r>
    </w:p>
    <w:p>
      <w:pPr>
        <w:ind w:firstLine="720"/>
        <w:jc w:val="both"/>
        <w:rPr>
          <w:color w:val="222222"/>
          <w:shd w:val="clear" w:color="auto" w:fill="FFFFFF"/>
        </w:rPr>
      </w:pPr>
      <w:r>
        <w:rPr>
          <w:color w:val="222222"/>
          <w:shd w:val="clear" w:color="auto" w:fill="FFFFFF"/>
        </w:rPr>
        <w:t>George, D., and Mallery, P. (2010). SPSS for Windows Step by Step: A Simple Guide and Reference, 17.0 update (10a ed.) Pearson.</w:t>
      </w:r>
    </w:p>
    <w:p>
      <w:pPr>
        <w:ind w:firstLine="720"/>
        <w:jc w:val="both"/>
        <w:rPr>
          <w:color w:val="222222"/>
          <w:shd w:val="clear" w:color="auto" w:fill="FFFFFF"/>
        </w:rPr>
      </w:pPr>
      <w:r>
        <w:rPr>
          <w:color w:val="222222"/>
          <w:shd w:val="clear" w:color="auto" w:fill="FFFFFF"/>
        </w:rPr>
        <w:t>Glaveli, N., 2021. Two countries, two stories of CSR, customer trust and advocacy attitudes and behaviors? A study in the Greek and Bulgarian telecommunication sectors. European Management Review, 18(1), pp.151-166.</w:t>
      </w:r>
    </w:p>
    <w:p>
      <w:pPr>
        <w:ind w:firstLine="720"/>
        <w:jc w:val="both"/>
        <w:rPr>
          <w:color w:val="222222"/>
          <w:shd w:val="clear" w:color="auto" w:fill="FFFFFF"/>
        </w:rPr>
      </w:pPr>
      <w:r>
        <w:rPr>
          <w:color w:val="222222"/>
          <w:shd w:val="clear" w:color="auto" w:fill="FFFFFF"/>
        </w:rPr>
        <w:t>Godey, B., Manthiou, A., Pederzoli, D., Rokka, J., Aiello, G., Donvito, R. and Singh, R., 2016. Social media marketing efforts of luxury brands: Influence on brand equity and consumer behavior. Journal of business research, 69(12), pp.5833-5841.</w:t>
      </w:r>
    </w:p>
    <w:p>
      <w:pPr>
        <w:ind w:firstLine="720"/>
        <w:jc w:val="both"/>
        <w:rPr>
          <w:color w:val="222222"/>
          <w:shd w:val="clear" w:color="auto" w:fill="FFFFFF"/>
        </w:rPr>
      </w:pPr>
      <w:r>
        <w:rPr>
          <w:color w:val="222222"/>
          <w:shd w:val="clear" w:color="auto" w:fill="FFFFFF"/>
        </w:rPr>
        <w:t>Goel, P., Parayitam, S., Sharma, A., Rana, N.P. and Dwivedi, Y.K., 2022. A moderated mediation model for e-impulse buying tendency, customer satisfaction and intention to continue e-shopping. Journal of Business Research, 142, pp.1-16.</w:t>
      </w:r>
    </w:p>
    <w:p>
      <w:pPr>
        <w:ind w:firstLine="720"/>
        <w:jc w:val="both"/>
        <w:rPr>
          <w:color w:val="222222"/>
          <w:shd w:val="clear" w:color="auto" w:fill="FFFFFF"/>
        </w:rPr>
      </w:pPr>
      <w:r>
        <w:rPr>
          <w:color w:val="222222"/>
          <w:shd w:val="clear" w:color="auto" w:fill="FFFFFF"/>
        </w:rPr>
        <w:t>Guillen Jr, N.B., 2018. Understanding the effect of Facebook in the relationship of self-concept and brand image on smartphone brand satisfaction. ISSN No. 2362-7832, p.418.</w:t>
      </w:r>
    </w:p>
    <w:p>
      <w:pPr>
        <w:ind w:firstLine="720"/>
        <w:jc w:val="both"/>
        <w:rPr>
          <w:color w:val="222222"/>
          <w:shd w:val="clear" w:color="auto" w:fill="FFFFFF"/>
        </w:rPr>
      </w:pPr>
      <w:r>
        <w:rPr>
          <w:color w:val="222222"/>
          <w:shd w:val="clear" w:color="auto" w:fill="FFFFFF"/>
        </w:rPr>
        <w:t>Gupta, A. and Gupta, N., 2022. Research methodology. SBPD Publications.</w:t>
      </w:r>
    </w:p>
    <w:p>
      <w:pPr>
        <w:ind w:firstLine="720"/>
        <w:jc w:val="both"/>
        <w:rPr>
          <w:color w:val="222222"/>
          <w:shd w:val="clear" w:color="auto" w:fill="FFFFFF"/>
        </w:rPr>
      </w:pPr>
      <w:r>
        <w:rPr>
          <w:color w:val="222222"/>
          <w:shd w:val="clear" w:color="auto" w:fill="FFFFFF"/>
        </w:rPr>
        <w:t>Gürbüz, S., 2017. Survey as a quantitative research method. Research Methods and Techniques in Public Relations and Advertising, 2017, pp.141-62.</w:t>
      </w:r>
    </w:p>
    <w:p>
      <w:pPr>
        <w:ind w:firstLine="720"/>
        <w:jc w:val="both"/>
        <w:rPr>
          <w:color w:val="222222"/>
          <w:shd w:val="clear" w:color="auto" w:fill="FFFFFF"/>
        </w:rPr>
      </w:pPr>
      <w:r>
        <w:rPr>
          <w:color w:val="222222"/>
          <w:shd w:val="clear" w:color="auto" w:fill="FFFFFF"/>
        </w:rPr>
        <w:t>Halim, F., Sibarani, H.J., Moktar, B., Sugiat, M. and Sudirman, A., 2021. Reflections on The Interest in Buying Smartphone Products Among Millennials: Consumer Satisfaction As The Mediating Effect. Jurnal Minds: Manajemen Ide dan Inspirasi, 8(1), pp.49-68.</w:t>
      </w:r>
    </w:p>
    <w:p>
      <w:pPr>
        <w:ind w:firstLine="720"/>
        <w:jc w:val="both"/>
        <w:rPr>
          <w:color w:val="222222"/>
          <w:shd w:val="clear" w:color="auto" w:fill="FFFFFF"/>
        </w:rPr>
      </w:pPr>
      <w:r>
        <w:rPr>
          <w:color w:val="222222"/>
          <w:shd w:val="clear" w:color="auto" w:fill="FFFFFF"/>
        </w:rPr>
        <w:t>Hammer, M.J., 2017. Ethical considerations for data collection using surveys. Number 2/March 2017, 44(2), pp.157-159.</w:t>
      </w:r>
    </w:p>
    <w:p>
      <w:pPr>
        <w:ind w:firstLine="720"/>
        <w:jc w:val="both"/>
        <w:rPr>
          <w:color w:val="222222"/>
          <w:shd w:val="clear" w:color="auto" w:fill="FFFFFF"/>
        </w:rPr>
      </w:pPr>
      <w:r>
        <w:rPr>
          <w:color w:val="222222"/>
          <w:shd w:val="clear" w:color="auto" w:fill="FFFFFF"/>
        </w:rPr>
        <w:t>Hariguna, T. and Berlilana, B., 2017. Understanding of antecedents to achieve customer trust and customer intention to purchase e-commerce in social media, an empirical assessment. International Journal of Electrical and Computer Engineering, 7(3), p.1240.</w:t>
      </w:r>
    </w:p>
    <w:p>
      <w:pPr>
        <w:ind w:firstLine="720"/>
        <w:jc w:val="both"/>
        <w:rPr>
          <w:color w:val="222222"/>
          <w:shd w:val="clear" w:color="auto" w:fill="FFFFFF"/>
        </w:rPr>
      </w:pPr>
      <w:r>
        <w:rPr>
          <w:color w:val="222222"/>
          <w:shd w:val="clear" w:color="auto" w:fill="FFFFFF"/>
        </w:rPr>
        <w:t>Hassan, M. and Shrivastava, S.K., 2019. Working capital management and its impact on the profitability of tata motors. In Proceedings of 10th International Conference on Digital Strategies for Organizational Success.</w:t>
      </w:r>
    </w:p>
    <w:p>
      <w:pPr>
        <w:ind w:firstLine="720"/>
        <w:jc w:val="both"/>
        <w:rPr>
          <w:color w:val="222222"/>
          <w:shd w:val="clear" w:color="auto" w:fill="FFFFFF"/>
        </w:rPr>
      </w:pPr>
      <w:r>
        <w:rPr>
          <w:color w:val="222222"/>
          <w:shd w:val="clear" w:color="auto" w:fill="FFFFFF"/>
        </w:rPr>
        <w:t>He, H., Li, Y. and Harris, L., 2012. Social identity perspective on brand loyalty. Journal of business research, 65(5), pp.648-657.</w:t>
      </w:r>
    </w:p>
    <w:p>
      <w:pPr>
        <w:ind w:firstLine="720"/>
        <w:jc w:val="both"/>
        <w:rPr>
          <w:color w:val="222222"/>
          <w:shd w:val="clear" w:color="auto" w:fill="FFFFFF"/>
        </w:rPr>
      </w:pPr>
      <w:r>
        <w:rPr>
          <w:color w:val="222222"/>
          <w:shd w:val="clear" w:color="auto" w:fill="FFFFFF"/>
        </w:rPr>
        <w:t>Heriyati, P. and Ono Supriadi, F., 2021. THE INFLUENCE OF BRAND IMAGE DIMENSIONS ON CONSUMER’S PURCHASE BEHAVIOR (THE CASE OF AGODA. COM). PalArch's Journal of Archaeology of Egypt/Egyptology, 18(1), pp.355-365.</w:t>
      </w:r>
    </w:p>
    <w:p>
      <w:pPr>
        <w:ind w:firstLine="720"/>
        <w:jc w:val="both"/>
        <w:rPr>
          <w:color w:val="222222"/>
          <w:shd w:val="clear" w:color="auto" w:fill="FFFFFF"/>
        </w:rPr>
      </w:pPr>
      <w:r>
        <w:rPr>
          <w:color w:val="222222"/>
          <w:shd w:val="clear" w:color="auto" w:fill="FFFFFF"/>
        </w:rPr>
        <w:t>Hermawan, D., 2019. The importance of digital trust in e-commerce: Between brand image and customer loyalty. International Journal of Applied Research in Management and Economics, 2(3), pp.18-30.</w:t>
      </w:r>
    </w:p>
    <w:p>
      <w:pPr>
        <w:ind w:firstLine="720"/>
        <w:jc w:val="both"/>
        <w:rPr>
          <w:color w:val="222222"/>
          <w:shd w:val="clear" w:color="auto" w:fill="FFFFFF"/>
        </w:rPr>
      </w:pPr>
      <w:r>
        <w:rPr>
          <w:color w:val="222222"/>
          <w:shd w:val="clear" w:color="auto" w:fill="FFFFFF"/>
        </w:rPr>
        <w:t>Herrando, C., Jimenez-Martinez, J. and Martin-De Hoyos, M.J., 2019. Tell me your age and I tell you what you trust: the moderating effect of generations. Internet Research, 29(4), pp.799-817.</w:t>
      </w:r>
    </w:p>
    <w:p>
      <w:pPr>
        <w:ind w:firstLine="720"/>
        <w:jc w:val="both"/>
        <w:rPr>
          <w:color w:val="222222"/>
          <w:shd w:val="clear" w:color="auto" w:fill="FFFFFF"/>
        </w:rPr>
      </w:pPr>
      <w:r>
        <w:rPr>
          <w:color w:val="222222"/>
          <w:shd w:val="clear" w:color="auto" w:fill="FFFFFF"/>
        </w:rPr>
        <w:t>Hogg, M.A., 2016. Social identity theory (pp. 3-17). Springer International Publishing.</w:t>
      </w:r>
    </w:p>
    <w:p>
      <w:pPr>
        <w:ind w:firstLine="720"/>
        <w:jc w:val="both"/>
        <w:rPr>
          <w:color w:val="222222"/>
          <w:shd w:val="clear" w:color="auto" w:fill="FFFFFF"/>
        </w:rPr>
      </w:pPr>
      <w:r>
        <w:rPr>
          <w:color w:val="222222"/>
          <w:shd w:val="clear" w:color="auto" w:fill="FFFFFF"/>
        </w:rPr>
        <w:t>Homburg, C., Jozić, D. and Kuehnl, C., 2017. Customer experience management: toward implementing an evolving marketing concept. Journal of the Academy of Marketing Science, 45, pp.377-401.</w:t>
      </w:r>
    </w:p>
    <w:p>
      <w:pPr>
        <w:ind w:firstLine="720"/>
        <w:jc w:val="both"/>
        <w:rPr>
          <w:color w:val="222222"/>
          <w:shd w:val="clear" w:color="auto" w:fill="FFFFFF"/>
        </w:rPr>
      </w:pPr>
      <w:r>
        <w:rPr>
          <w:color w:val="222222"/>
          <w:shd w:val="clear" w:color="auto" w:fill="FFFFFF"/>
        </w:rPr>
        <w:t>Hosein, N.Z., 2012. Measuring the purchase intention of visitors to the auto show. Journal of Management &amp; Marketing Research, 9(1), pp.1-17.</w:t>
      </w:r>
    </w:p>
    <w:p>
      <w:pPr>
        <w:ind w:firstLine="720"/>
        <w:jc w:val="both"/>
        <w:rPr>
          <w:color w:val="222222"/>
          <w:shd w:val="clear" w:color="auto" w:fill="FFFFFF"/>
        </w:rPr>
      </w:pPr>
      <w:r>
        <w:rPr>
          <w:color w:val="222222"/>
          <w:shd w:val="clear" w:color="auto" w:fill="FFFFFF"/>
        </w:rPr>
        <w:t>Hossien, E., Ali, J. and Mehdi, M., 2012. The mediatory impact of brand loyalty and brand image on brand equity. African Journal of Business Management, 6(17), pp.5692-5701.</w:t>
      </w:r>
    </w:p>
    <w:p>
      <w:pPr>
        <w:ind w:firstLine="720"/>
        <w:jc w:val="both"/>
        <w:rPr>
          <w:color w:val="222222"/>
          <w:shd w:val="clear" w:color="auto" w:fill="FFFFFF"/>
        </w:rPr>
      </w:pPr>
      <w:r>
        <w:rPr>
          <w:color w:val="222222"/>
          <w:shd w:val="clear" w:color="auto" w:fill="FFFFFF"/>
        </w:rPr>
        <w:t>Hoyer, W.D., Kroschke, M., Schmitt, B., Kraume, K. and Shankar, V., 2020. Transforming the customer experience through new technologies. Journal of interactive marketing, 51(1), pp.57-71.</w:t>
      </w:r>
    </w:p>
    <w:p>
      <w:pPr>
        <w:ind w:firstLine="720"/>
        <w:jc w:val="both"/>
        <w:rPr>
          <w:color w:val="222222"/>
          <w:shd w:val="clear" w:color="auto" w:fill="FFFFFF"/>
        </w:rPr>
      </w:pPr>
      <w:r>
        <w:rPr>
          <w:color w:val="222222"/>
          <w:shd w:val="clear" w:color="auto" w:fill="FFFFFF"/>
        </w:rPr>
        <w:t>Huang, C.C., 2017. The impacts of brand experiences on brand loyalty: mediators of brand love and trust. Management Decision, 55(5), pp.915-934.</w:t>
      </w:r>
    </w:p>
    <w:p>
      <w:pPr>
        <w:ind w:firstLine="720"/>
        <w:jc w:val="both"/>
        <w:rPr>
          <w:color w:val="222222"/>
          <w:shd w:val="clear" w:color="auto" w:fill="FFFFFF"/>
        </w:rPr>
      </w:pPr>
      <w:r>
        <w:rPr>
          <w:color w:val="222222"/>
          <w:shd w:val="clear" w:color="auto" w:fill="FFFFFF"/>
        </w:rPr>
        <w:t>Iglesias, O., Markovic, S., Bagherzadeh, M. and Singh, J.J., 2020. Co-creation: A key link between corporate social responsibility, customer trust, and customer loyalty. Journal of business ethics, 163, pp.151-166.</w:t>
      </w:r>
    </w:p>
    <w:p>
      <w:pPr>
        <w:ind w:firstLine="720"/>
        <w:jc w:val="both"/>
        <w:rPr>
          <w:color w:val="222222"/>
          <w:shd w:val="clear" w:color="auto" w:fill="FFFFFF"/>
        </w:rPr>
      </w:pPr>
      <w:r>
        <w:rPr>
          <w:color w:val="222222"/>
          <w:shd w:val="clear" w:color="auto" w:fill="FFFFFF"/>
        </w:rPr>
        <w:t>Ishak, F. and Abd Ghani, N.H., 2013. A review of the literature on brand loyalty and customer loyalty.</w:t>
      </w:r>
    </w:p>
    <w:p>
      <w:pPr>
        <w:ind w:firstLine="720"/>
        <w:jc w:val="both"/>
        <w:rPr>
          <w:color w:val="222222"/>
          <w:shd w:val="clear" w:color="auto" w:fill="FFFFFF"/>
        </w:rPr>
      </w:pPr>
      <w:r>
        <w:rPr>
          <w:color w:val="222222"/>
          <w:shd w:val="clear" w:color="auto" w:fill="FFFFFF"/>
        </w:rPr>
        <w:t>Islam, T., Islam, R., Pitafi, A.H., Xiaobei, L., Rehmani, M., Irfan, M. and Mubarak, M.S., 2021. The impact of corporate social responsibility on customer loyalty: The mediating role of corporate reputation, customer satisfaction, and trust. Sustainable Production and Consumption, 25, pp.123-135.</w:t>
      </w:r>
    </w:p>
    <w:p>
      <w:pPr>
        <w:ind w:firstLine="720"/>
        <w:jc w:val="both"/>
        <w:rPr>
          <w:color w:val="222222"/>
          <w:shd w:val="clear" w:color="auto" w:fill="FFFFFF"/>
        </w:rPr>
      </w:pPr>
      <w:r>
        <w:rPr>
          <w:color w:val="222222"/>
          <w:shd w:val="clear" w:color="auto" w:fill="FFFFFF"/>
        </w:rPr>
        <w:t>Išoraitė, M., 2018. Brand image development. Ecoforum, 7(1), pp.0-0.</w:t>
      </w:r>
    </w:p>
    <w:p>
      <w:pPr>
        <w:ind w:firstLine="720"/>
        <w:jc w:val="both"/>
        <w:rPr>
          <w:color w:val="222222"/>
          <w:shd w:val="clear" w:color="auto" w:fill="FFFFFF"/>
        </w:rPr>
      </w:pPr>
      <w:r>
        <w:rPr>
          <w:color w:val="222222"/>
          <w:shd w:val="clear" w:color="auto" w:fill="FFFFFF"/>
        </w:rPr>
        <w:t>Jin, N., Lee, S. and Huffman, L., 2012. Impact of restaurant experience on brand image and customer loyalty: Moderating role of dining motivation. Journal of Travel &amp; Tourism Marketing, 29(6), pp.532-551.</w:t>
      </w:r>
    </w:p>
    <w:p>
      <w:pPr>
        <w:ind w:firstLine="720"/>
        <w:jc w:val="both"/>
        <w:rPr>
          <w:color w:val="222222"/>
          <w:shd w:val="clear" w:color="auto" w:fill="FFFFFF"/>
        </w:rPr>
      </w:pPr>
      <w:r>
        <w:rPr>
          <w:color w:val="222222"/>
          <w:shd w:val="clear" w:color="auto" w:fill="FFFFFF"/>
        </w:rPr>
        <w:t>Johnston, R. and Kong, X., 2011. The customer experience: a road‐map for improvement. Managing Service Quality: An International Journal, 21(1), pp.5-24.</w:t>
      </w:r>
    </w:p>
    <w:p>
      <w:pPr>
        <w:ind w:firstLine="720"/>
        <w:jc w:val="both"/>
        <w:rPr>
          <w:color w:val="222222"/>
          <w:shd w:val="clear" w:color="auto" w:fill="FFFFFF"/>
        </w:rPr>
      </w:pPr>
      <w:r>
        <w:rPr>
          <w:color w:val="222222"/>
          <w:shd w:val="clear" w:color="auto" w:fill="FFFFFF"/>
        </w:rPr>
        <w:t>Jung, L.H. and Soo, K.M., 2012. The effect of brand experience on brand relationship quality. Academy of Marketing Studies Journal, 16(1), p.87.</w:t>
      </w:r>
    </w:p>
    <w:p>
      <w:pPr>
        <w:ind w:firstLine="720"/>
        <w:jc w:val="both"/>
        <w:rPr>
          <w:color w:val="222222"/>
          <w:shd w:val="clear" w:color="auto" w:fill="FFFFFF"/>
        </w:rPr>
      </w:pPr>
      <w:r>
        <w:rPr>
          <w:color w:val="222222"/>
          <w:shd w:val="clear" w:color="auto" w:fill="FFFFFF"/>
        </w:rPr>
        <w:t>Kidav, A.H., 2022. Supply Chain Risk Management Of Tata Motors (Doctoral dissertation, Dublin, National College of Ireland).</w:t>
      </w:r>
    </w:p>
    <w:p>
      <w:pPr>
        <w:ind w:firstLine="720"/>
        <w:jc w:val="both"/>
        <w:rPr>
          <w:color w:val="222222"/>
          <w:shd w:val="clear" w:color="auto" w:fill="FFFFFF"/>
        </w:rPr>
      </w:pPr>
      <w:r>
        <w:rPr>
          <w:color w:val="222222"/>
          <w:shd w:val="clear" w:color="auto" w:fill="FFFFFF"/>
        </w:rPr>
        <w:t>Klaus, P.P. and Maklan, S., 2013. Towards a better measure of customer experience. International journal of market research, 55(2), pp.227-246.</w:t>
      </w:r>
    </w:p>
    <w:p>
      <w:pPr>
        <w:ind w:firstLine="720"/>
        <w:jc w:val="both"/>
        <w:rPr>
          <w:color w:val="222222"/>
          <w:shd w:val="clear" w:color="auto" w:fill="FFFFFF"/>
        </w:rPr>
      </w:pPr>
      <w:r>
        <w:rPr>
          <w:color w:val="222222"/>
          <w:shd w:val="clear" w:color="auto" w:fill="FFFFFF"/>
        </w:rPr>
        <w:t>Kotler, P., Keller, K.L., Ancarani, F. and Costabile, M., 2014. Marketing management 14/e. Pearson.</w:t>
      </w:r>
    </w:p>
    <w:p>
      <w:pPr>
        <w:ind w:firstLine="720"/>
        <w:jc w:val="both"/>
        <w:rPr>
          <w:color w:val="222222"/>
          <w:shd w:val="clear" w:color="auto" w:fill="FFFFFF"/>
        </w:rPr>
      </w:pPr>
      <w:r>
        <w:rPr>
          <w:color w:val="222222"/>
          <w:shd w:val="clear" w:color="auto" w:fill="FFFFFF"/>
        </w:rPr>
        <w:t>Latif, K.F., Bunce, L. and Ahmad, M.S., 2021. How can universities improve student loyalty? The roles of university social responsibility, service quality, and “customer” satisfaction and trust. International Journal of Educational Management, 35(4), pp.815-829.</w:t>
      </w:r>
    </w:p>
    <w:p>
      <w:pPr>
        <w:ind w:firstLine="720"/>
        <w:jc w:val="both"/>
        <w:rPr>
          <w:color w:val="222222"/>
          <w:shd w:val="clear" w:color="auto" w:fill="FFFFFF"/>
        </w:rPr>
      </w:pPr>
      <w:r>
        <w:rPr>
          <w:color w:val="222222"/>
          <w:shd w:val="clear" w:color="auto" w:fill="FFFFFF"/>
        </w:rPr>
        <w:t>Lazarevic, V., 2012. Encouraging brand loyalty in fickle generation Y consumers. Young consumers, 13(1), pp.45-61.</w:t>
      </w:r>
    </w:p>
    <w:p>
      <w:pPr>
        <w:ind w:firstLine="720"/>
        <w:jc w:val="both"/>
        <w:rPr>
          <w:color w:val="222222"/>
          <w:shd w:val="clear" w:color="auto" w:fill="FFFFFF"/>
        </w:rPr>
      </w:pPr>
      <w:r>
        <w:rPr>
          <w:color w:val="222222"/>
          <w:shd w:val="clear" w:color="auto" w:fill="FFFFFF"/>
        </w:rPr>
        <w:t xml:space="preserve">Lăzăroiu, G., Neguriţă, O., Grecu, I., Grecu, G. and Mitran, P.C., 2020. Consumers’ decision-making process on social commerce platforms: Online trust, perceived risk, and purchase intentions. Frontiers in Psychology, 11, p.890. </w:t>
      </w:r>
    </w:p>
    <w:p>
      <w:pPr>
        <w:ind w:firstLine="720"/>
        <w:jc w:val="both"/>
        <w:rPr>
          <w:color w:val="222222"/>
          <w:shd w:val="clear" w:color="auto" w:fill="FFFFFF"/>
        </w:rPr>
      </w:pPr>
      <w:r>
        <w:rPr>
          <w:color w:val="222222"/>
          <w:shd w:val="clear" w:color="auto" w:fill="FFFFFF"/>
        </w:rPr>
        <w:t>Le Vine, S., Wu, C. and Polak, J., 2018. A nationwide study of factors associated with household car ownership in China. IATSS research, 42(3), pp.128-137.</w:t>
      </w:r>
    </w:p>
    <w:p>
      <w:pPr>
        <w:ind w:firstLine="720"/>
        <w:jc w:val="both"/>
        <w:rPr>
          <w:color w:val="222222"/>
          <w:shd w:val="clear" w:color="auto" w:fill="FFFFFF"/>
        </w:rPr>
      </w:pPr>
      <w:r>
        <w:rPr>
          <w:color w:val="222222"/>
          <w:shd w:val="clear" w:color="auto" w:fill="FFFFFF"/>
        </w:rPr>
        <w:t>Lemon, K.N. and Verhoef, P.C., 2016. Understanding customer experience throughout the customer journey. Journal of marketing, 80(6), pp.69-96.</w:t>
      </w:r>
    </w:p>
    <w:p>
      <w:pPr>
        <w:ind w:firstLine="720"/>
        <w:jc w:val="both"/>
        <w:rPr>
          <w:color w:val="222222"/>
          <w:shd w:val="clear" w:color="auto" w:fill="FFFFFF"/>
        </w:rPr>
      </w:pPr>
      <w:r>
        <w:rPr>
          <w:color w:val="222222"/>
          <w:shd w:val="clear" w:color="auto" w:fill="FFFFFF"/>
        </w:rPr>
        <w:t>Leninkumar, V., 2017. The relationship between customer satisfaction and customer trust on customer loyalty. International Journal of Academic Research in Business and Social Sciences, 7(4), pp.450-465.</w:t>
      </w:r>
    </w:p>
    <w:p>
      <w:pPr>
        <w:ind w:firstLine="720"/>
        <w:jc w:val="both"/>
        <w:rPr>
          <w:color w:val="222222"/>
          <w:shd w:val="clear" w:color="auto" w:fill="FFFFFF"/>
        </w:rPr>
      </w:pPr>
      <w:r>
        <w:rPr>
          <w:color w:val="222222"/>
          <w:shd w:val="clear" w:color="auto" w:fill="FFFFFF"/>
        </w:rPr>
        <w:t>Li, G., Yang, L., Zhang, B., Li, X. and Chen, F., 2021. How do environmental values impact green product purchase intention? The moderating role of green trust. Environmental Science and Pollution Research, 28, pp.46020-46034.</w:t>
      </w:r>
    </w:p>
    <w:p>
      <w:pPr>
        <w:ind w:firstLine="720"/>
        <w:jc w:val="both"/>
        <w:rPr>
          <w:color w:val="222222"/>
          <w:shd w:val="clear" w:color="auto" w:fill="FFFFFF"/>
        </w:rPr>
      </w:pPr>
      <w:r>
        <w:rPr>
          <w:color w:val="222222"/>
          <w:shd w:val="clear" w:color="auto" w:fill="FFFFFF"/>
        </w:rPr>
        <w:t>Li, X., Yang, J., Wang, X. and Lei, D., 2012. The Impact of Country-of-Origin Image, Consumer Ethnocentrism and Animosity on Purchase Intention. J. Softw., 7(10), pp.2263-2268.</w:t>
      </w:r>
    </w:p>
    <w:p>
      <w:pPr>
        <w:ind w:firstLine="720"/>
        <w:jc w:val="both"/>
        <w:rPr>
          <w:color w:val="222222"/>
          <w:shd w:val="clear" w:color="auto" w:fill="FFFFFF"/>
        </w:rPr>
      </w:pPr>
      <w:r>
        <w:rPr>
          <w:color w:val="222222"/>
          <w:shd w:val="clear" w:color="auto" w:fill="FFFFFF"/>
        </w:rPr>
        <w:t>Lien, C.H., Wen, M.J., Huang, L.C. and Wu, K.L., 2015. Online hotel booking: The effects of brand image, price, trust and value on purchase intentions. Asia Pacific Management Review, 20(4), pp.210-218.</w:t>
      </w:r>
    </w:p>
    <w:p>
      <w:pPr>
        <w:ind w:firstLine="720"/>
        <w:jc w:val="both"/>
        <w:rPr>
          <w:color w:val="222222"/>
          <w:shd w:val="clear" w:color="auto" w:fill="FFFFFF"/>
        </w:rPr>
      </w:pPr>
      <w:r>
        <w:rPr>
          <w:color w:val="222222"/>
          <w:shd w:val="clear" w:color="auto" w:fill="FFFFFF"/>
        </w:rPr>
        <w:t>Mabkhot, H.A., Shaari, H. and Md Salleh, S., 2017. The influence of brand image and brand personality on brand loyalty, mediating by brand trust: An empirical study. Jurnal pengurusan, 50, pp.71-82.</w:t>
      </w:r>
    </w:p>
    <w:p>
      <w:pPr>
        <w:ind w:firstLine="720"/>
        <w:jc w:val="both"/>
        <w:rPr>
          <w:color w:val="222222"/>
          <w:shd w:val="clear" w:color="auto" w:fill="FFFFFF"/>
        </w:rPr>
      </w:pPr>
      <w:r>
        <w:rPr>
          <w:color w:val="222222"/>
          <w:shd w:val="clear" w:color="auto" w:fill="FFFFFF"/>
        </w:rPr>
        <w:t>Majid, U., 2018. Research fundamentals: Study design, population, and sample size. Undergraduate research in natural and clinical science and technology journal, 2, pp.1-7.</w:t>
      </w:r>
    </w:p>
    <w:p>
      <w:pPr>
        <w:ind w:firstLine="720"/>
        <w:jc w:val="both"/>
        <w:rPr>
          <w:color w:val="222222"/>
          <w:shd w:val="clear" w:color="auto" w:fill="FFFFFF"/>
        </w:rPr>
      </w:pPr>
      <w:r>
        <w:rPr>
          <w:color w:val="222222"/>
          <w:shd w:val="clear" w:color="auto" w:fill="FFFFFF"/>
        </w:rPr>
        <w:t>Malagihal, S.S., 2021. Strategic Options for Automobile OEMs of Indian Origin to have Sustained Competitive Advantage: A Case of Tata Motors. International Journal of Global Business and Competitiveness, 16(2), pp.139-152.</w:t>
      </w:r>
    </w:p>
    <w:p>
      <w:pPr>
        <w:ind w:firstLine="720"/>
        <w:jc w:val="both"/>
        <w:rPr>
          <w:color w:val="222222"/>
          <w:shd w:val="clear" w:color="auto" w:fill="FFFFFF"/>
        </w:rPr>
      </w:pPr>
      <w:r>
        <w:rPr>
          <w:color w:val="222222"/>
          <w:shd w:val="clear" w:color="auto" w:fill="FFFFFF"/>
        </w:rPr>
        <w:t>Malhan, S. and Tandon, M., 2017. Significance of Brand name in Brand Loyalty-An Empirical Study in Automobile Sector. Global Journal of Enterprise Information System, 9(3), pp.65-70.</w:t>
      </w:r>
    </w:p>
    <w:p>
      <w:pPr>
        <w:ind w:firstLine="720"/>
        <w:jc w:val="both"/>
        <w:rPr>
          <w:color w:val="222222"/>
          <w:shd w:val="clear" w:color="auto" w:fill="FFFFFF"/>
        </w:rPr>
      </w:pPr>
      <w:r>
        <w:rPr>
          <w:color w:val="222222"/>
          <w:shd w:val="clear" w:color="auto" w:fill="FFFFFF"/>
        </w:rPr>
        <w:t>Manzoor, U., Baig, S.A., Hashim, M. and Sami, A., 2020. Impact of social media marketing on consumer’s purchase intentions: the mediating role of customer trust. International Journal of Entrepreneurial Research, 3(2), pp.41-48.</w:t>
      </w:r>
    </w:p>
    <w:p>
      <w:pPr>
        <w:ind w:firstLine="720"/>
        <w:jc w:val="both"/>
        <w:rPr>
          <w:color w:val="222222"/>
          <w:shd w:val="clear" w:color="auto" w:fill="FFFFFF"/>
        </w:rPr>
      </w:pPr>
      <w:r>
        <w:rPr>
          <w:color w:val="222222"/>
          <w:shd w:val="clear" w:color="auto" w:fill="FFFFFF"/>
        </w:rPr>
        <w:t>Martínez, P. and Del Bosque, I.R., 2013. CSR and customer loyalty: The roles of trust, customer identification with the company and satisfaction. International journal of hospitality management, 35, pp.89-99.</w:t>
      </w:r>
    </w:p>
    <w:p>
      <w:pPr>
        <w:ind w:firstLine="720"/>
        <w:jc w:val="both"/>
        <w:rPr>
          <w:color w:val="222222"/>
          <w:shd w:val="clear" w:color="auto" w:fill="FFFFFF"/>
        </w:rPr>
      </w:pPr>
      <w:r>
        <w:rPr>
          <w:color w:val="222222"/>
          <w:shd w:val="clear" w:color="auto" w:fill="FFFFFF"/>
        </w:rPr>
        <w:t>McLeod, S., 2008. Social identity theory.</w:t>
      </w:r>
    </w:p>
    <w:p>
      <w:pPr>
        <w:ind w:firstLine="720"/>
        <w:jc w:val="both"/>
        <w:rPr>
          <w:color w:val="222222"/>
          <w:shd w:val="clear" w:color="auto" w:fill="FFFFFF"/>
        </w:rPr>
      </w:pPr>
      <w:r>
        <w:rPr>
          <w:color w:val="222222"/>
          <w:shd w:val="clear" w:color="auto" w:fill="FFFFFF"/>
        </w:rPr>
        <w:t>Mete, M. and Davies, G., 2017, October. A comparative study on brand image measurements. In Global Conference on Services Management (GLOSERV 2017) (Vol. 291).</w:t>
      </w:r>
    </w:p>
    <w:p>
      <w:pPr>
        <w:ind w:firstLine="720"/>
        <w:jc w:val="both"/>
        <w:rPr>
          <w:color w:val="222222"/>
          <w:shd w:val="clear" w:color="auto" w:fill="FFFFFF"/>
        </w:rPr>
      </w:pPr>
      <w:r>
        <w:rPr>
          <w:color w:val="222222"/>
          <w:shd w:val="clear" w:color="auto" w:fill="FFFFFF"/>
        </w:rPr>
        <w:t>Momaya, K.S., 2016. City clusters and break-out in corporate competitiveness: Patterns and perspectives focusing on innovation capabilities and India. Competitiveness Review, 26(4), pp.415-434.</w:t>
      </w:r>
    </w:p>
    <w:p>
      <w:pPr>
        <w:ind w:firstLine="720"/>
        <w:jc w:val="both"/>
        <w:rPr>
          <w:color w:val="222222"/>
          <w:shd w:val="clear" w:color="auto" w:fill="FFFFFF"/>
        </w:rPr>
      </w:pPr>
      <w:r>
        <w:rPr>
          <w:color w:val="222222"/>
          <w:shd w:val="clear" w:color="auto" w:fill="FFFFFF"/>
        </w:rPr>
        <w:t>Mombeuil, C. and Fotiadis, A.K., 2017. Assessing the effect of customer perceptions of corporate social responsibility on customer trust within a low cultural trust context. Social Responsibility Journal, 13(4), pp.698-713.</w:t>
      </w:r>
    </w:p>
    <w:p>
      <w:pPr>
        <w:ind w:firstLine="720"/>
        <w:jc w:val="both"/>
        <w:rPr>
          <w:color w:val="222222"/>
          <w:shd w:val="clear" w:color="auto" w:fill="FFFFFF"/>
        </w:rPr>
      </w:pPr>
      <w:r>
        <w:rPr>
          <w:color w:val="222222"/>
          <w:shd w:val="clear" w:color="auto" w:fill="FFFFFF"/>
        </w:rPr>
        <w:t>Motta-Filho, M.A., 2021. Brand experience manual: bridging the gap between brand strategy and customer experience. Review of managerial science, 15(5), pp.1173-1204.</w:t>
      </w:r>
    </w:p>
    <w:p>
      <w:pPr>
        <w:ind w:firstLine="720"/>
        <w:jc w:val="both"/>
        <w:rPr>
          <w:color w:val="222222"/>
          <w:shd w:val="clear" w:color="auto" w:fill="FFFFFF"/>
        </w:rPr>
      </w:pPr>
      <w:r>
        <w:rPr>
          <w:color w:val="222222"/>
          <w:shd w:val="clear" w:color="auto" w:fill="FFFFFF"/>
        </w:rPr>
        <w:t>Mubarok, E.S., Kurniawan, A., Hidayat, R., Hia, A.K. and Bandawaty, E., 2022. Determinant of Customer of Loyalty in Healthcare Industry: Mediating Role of Customer Trust. Ilomata International Journal of Management, 3(1), pp.44-64.</w:t>
      </w:r>
    </w:p>
    <w:p>
      <w:pPr>
        <w:ind w:firstLine="720"/>
        <w:jc w:val="both"/>
        <w:rPr>
          <w:color w:val="222222"/>
          <w:shd w:val="clear" w:color="auto" w:fill="FFFFFF"/>
        </w:rPr>
      </w:pPr>
      <w:r>
        <w:rPr>
          <w:color w:val="222222"/>
          <w:shd w:val="clear" w:color="auto" w:fill="FFFFFF"/>
        </w:rPr>
        <w:t>Mwita, K., 2022. Factors to consider when choosing data collection methods. International Journal of Research in Business and Social Science (2147-4478), 11(5), pp.532-538.</w:t>
      </w:r>
    </w:p>
    <w:p>
      <w:pPr>
        <w:ind w:firstLine="720"/>
        <w:jc w:val="both"/>
        <w:rPr>
          <w:color w:val="222222"/>
          <w:shd w:val="clear" w:color="auto" w:fill="FFFFFF"/>
        </w:rPr>
      </w:pPr>
      <w:r>
        <w:rPr>
          <w:color w:val="222222"/>
          <w:shd w:val="clear" w:color="auto" w:fill="FFFFFF"/>
        </w:rPr>
        <w:t>Nayak, M.S.D.P. and Narayan, K.A., 2019. Strengths and weaknesses of online surveys. technology, 6(7), pp.0837-2405053138.</w:t>
      </w:r>
    </w:p>
    <w:p>
      <w:pPr>
        <w:ind w:firstLine="720"/>
        <w:jc w:val="both"/>
        <w:rPr>
          <w:color w:val="222222"/>
          <w:shd w:val="clear" w:color="auto" w:fill="FFFFFF"/>
        </w:rPr>
      </w:pPr>
      <w:r>
        <w:rPr>
          <w:color w:val="222222"/>
          <w:shd w:val="clear" w:color="auto" w:fill="FFFFFF"/>
        </w:rPr>
        <w:t>Ngobo, P.V., 2017. The trajectory of customer loyalty: an empirical test of Dick and Basu’s loyalty framework. Journal of the Academy of Marketing Science, 45, pp.229-250.</w:t>
      </w:r>
    </w:p>
    <w:p>
      <w:pPr>
        <w:ind w:firstLine="720"/>
        <w:jc w:val="both"/>
        <w:rPr>
          <w:color w:val="222222"/>
          <w:shd w:val="clear" w:color="auto" w:fill="FFFFFF"/>
        </w:rPr>
      </w:pPr>
      <w:r>
        <w:rPr>
          <w:color w:val="222222"/>
          <w:shd w:val="clear" w:color="auto" w:fill="FFFFFF"/>
        </w:rPr>
        <w:t>Nguyen, N., Leclerc, A. and LeBlanc, G., 2013. The mediating role of customer trust on customer loyalty.</w:t>
      </w:r>
    </w:p>
    <w:p>
      <w:pPr>
        <w:ind w:firstLine="720"/>
        <w:jc w:val="both"/>
        <w:rPr>
          <w:color w:val="222222"/>
          <w:shd w:val="clear" w:color="auto" w:fill="FFFFFF"/>
        </w:rPr>
      </w:pPr>
      <w:r>
        <w:rPr>
          <w:color w:val="222222"/>
          <w:shd w:val="clear" w:color="auto" w:fill="FFFFFF"/>
        </w:rPr>
        <w:t>Novansa, H. and Ali, H., 2017. Purchase decision model: Analysis of brand image, brand awareness and price (Case study SMECO Indonesia SME products). Saudi Journal of Humanities and Social Sciences, 2(8), pp.621-632.</w:t>
      </w:r>
    </w:p>
    <w:p>
      <w:pPr>
        <w:ind w:firstLine="720"/>
        <w:jc w:val="both"/>
        <w:rPr>
          <w:color w:val="222222"/>
          <w:shd w:val="clear" w:color="auto" w:fill="FFFFFF"/>
        </w:rPr>
      </w:pPr>
      <w:r>
        <w:rPr>
          <w:color w:val="222222"/>
          <w:shd w:val="clear" w:color="auto" w:fill="FFFFFF"/>
        </w:rPr>
        <w:t>Oribhabor, C.B. and Anyanwu, C.A., 2019. Research sampling and sample size determination: a practical application. Journal of Educational Research (Fudjer), 2(1), pp.47-57.</w:t>
      </w:r>
    </w:p>
    <w:p>
      <w:pPr>
        <w:ind w:firstLine="720"/>
        <w:jc w:val="both"/>
        <w:rPr>
          <w:color w:val="222222"/>
          <w:shd w:val="clear" w:color="auto" w:fill="FFFFFF"/>
        </w:rPr>
      </w:pPr>
      <w:r>
        <w:rPr>
          <w:color w:val="222222"/>
          <w:shd w:val="clear" w:color="auto" w:fill="FFFFFF"/>
        </w:rPr>
        <w:t>Parris, D.L. and Guzmán, F., 2023. Evolving brand boundaries and expectations: looking back on brand equity, brand loyalty, and brand image research to move forward. Journal of Product &amp; Brand Management, 32(2), pp.191-234.</w:t>
      </w:r>
    </w:p>
    <w:p>
      <w:pPr>
        <w:ind w:firstLine="720"/>
        <w:jc w:val="both"/>
        <w:rPr>
          <w:color w:val="222222"/>
          <w:shd w:val="clear" w:color="auto" w:fill="FFFFFF"/>
        </w:rPr>
      </w:pPr>
      <w:r>
        <w:rPr>
          <w:color w:val="222222"/>
          <w:shd w:val="clear" w:color="auto" w:fill="FFFFFF"/>
        </w:rPr>
        <w:t>Peña-García, N., Gil-Saura, I., Rodríguez-Orejuela, A. and Siqueira-Junior, J.R., 2020. Purchase intention and purchase behavior online: A cross-cultural approach. Heliyon, 6(6).</w:t>
      </w:r>
    </w:p>
    <w:p>
      <w:pPr>
        <w:ind w:firstLine="720"/>
        <w:jc w:val="both"/>
        <w:rPr>
          <w:color w:val="222222"/>
          <w:shd w:val="clear" w:color="auto" w:fill="FFFFFF"/>
        </w:rPr>
      </w:pPr>
      <w:r>
        <w:rPr>
          <w:color w:val="222222"/>
          <w:shd w:val="clear" w:color="auto" w:fill="FFFFFF"/>
        </w:rPr>
        <w:t>Phuong, N.N.D. and Dat, N.T., 2017. The effect of country-of-origin on customer purchase intention: A study of functional products in Vietnam. The Journal of Asian Finance, Economics and Business (JAFEB), 4(3), pp.75-83.</w:t>
      </w:r>
    </w:p>
    <w:p>
      <w:pPr>
        <w:ind w:firstLine="720"/>
        <w:jc w:val="both"/>
        <w:rPr>
          <w:color w:val="222222"/>
          <w:shd w:val="clear" w:color="auto" w:fill="FFFFFF"/>
        </w:rPr>
      </w:pPr>
      <w:r>
        <w:rPr>
          <w:color w:val="222222"/>
          <w:shd w:val="clear" w:color="auto" w:fill="FFFFFF"/>
        </w:rPr>
        <w:t>Plumeyer, A., Kottemann, P., Böger, D. and Decker, R., 2019. Measuring brand image: a systematic review, practical guidance, and future research directions. Review of Managerial Science, 13, pp.227-265.</w:t>
      </w:r>
    </w:p>
    <w:p>
      <w:pPr>
        <w:ind w:firstLine="720"/>
        <w:jc w:val="both"/>
        <w:rPr>
          <w:color w:val="222222"/>
          <w:shd w:val="clear" w:color="auto" w:fill="FFFFFF"/>
        </w:rPr>
      </w:pPr>
      <w:r>
        <w:rPr>
          <w:color w:val="222222"/>
          <w:shd w:val="clear" w:color="auto" w:fill="FFFFFF"/>
        </w:rPr>
        <w:t>Pornpitakpan, C., Yuan, Y. and Han, J.H., 2017. The effect of salespersons’ retail service quality and consumers’ mood on impulse buying. Australasian Marketing Journal, 25(1), pp.2-11.</w:t>
      </w:r>
    </w:p>
    <w:p>
      <w:pPr>
        <w:ind w:firstLine="720"/>
        <w:jc w:val="both"/>
        <w:rPr>
          <w:color w:val="222222"/>
          <w:shd w:val="clear" w:color="auto" w:fill="FFFFFF"/>
        </w:rPr>
      </w:pPr>
      <w:r>
        <w:rPr>
          <w:color w:val="222222"/>
          <w:shd w:val="clear" w:color="auto" w:fill="FFFFFF"/>
        </w:rPr>
        <w:t>Putri, F.E.V.S. and Tiarawati, M., 2021. The Effect of Social Media Influencer and Brand Image On Online Purchase Intention During The Covid-19 Pandemic. Ilomata International Journal of Management, 2(3), pp.163-171.</w:t>
      </w:r>
    </w:p>
    <w:p>
      <w:pPr>
        <w:ind w:firstLine="720"/>
        <w:jc w:val="both"/>
        <w:rPr>
          <w:color w:val="222222"/>
          <w:shd w:val="clear" w:color="auto" w:fill="FFFFFF"/>
        </w:rPr>
      </w:pPr>
      <w:r>
        <w:rPr>
          <w:color w:val="222222"/>
          <w:shd w:val="clear" w:color="auto" w:fill="FFFFFF"/>
        </w:rPr>
        <w:t>Ramkumar, M., Schoenherr, T., Wagner, S.M. and Jenamani, M., 2019. Q-TAM: A quality technology acceptance model for predicting organizational buyers’ continuance intentions for e-procurement services. International Journal of Production Economics, 216, pp.333-348.</w:t>
      </w:r>
    </w:p>
    <w:p>
      <w:pPr>
        <w:ind w:firstLine="720"/>
        <w:jc w:val="both"/>
        <w:rPr>
          <w:color w:val="222222"/>
          <w:shd w:val="clear" w:color="auto" w:fill="FFFFFF"/>
        </w:rPr>
      </w:pPr>
      <w:r>
        <w:rPr>
          <w:color w:val="222222"/>
          <w:shd w:val="clear" w:color="auto" w:fill="FFFFFF"/>
        </w:rPr>
        <w:t>Rawson, A., Duncan, E. and Jones, C., 2013. The truth about customer experience. Harvard business review, 91(9), pp.90-98.</w:t>
      </w:r>
    </w:p>
    <w:p>
      <w:pPr>
        <w:ind w:firstLine="720"/>
        <w:jc w:val="both"/>
        <w:rPr>
          <w:color w:val="222222"/>
          <w:shd w:val="clear" w:color="auto" w:fill="FFFFFF"/>
        </w:rPr>
      </w:pPr>
      <w:r>
        <w:rPr>
          <w:color w:val="222222"/>
          <w:shd w:val="clear" w:color="auto" w:fill="FFFFFF"/>
        </w:rPr>
        <w:t>Reza Jalilvand, M. and Samiei, N., 2012. The effect of electronic word of mouth on brand image and purchase intention: An empirical study in the automobile industry in Iran. Marketing Intelligence &amp; Planning, 30(4), pp.460-476.</w:t>
      </w:r>
    </w:p>
    <w:p>
      <w:pPr>
        <w:ind w:firstLine="720"/>
        <w:jc w:val="both"/>
        <w:rPr>
          <w:color w:val="222222"/>
          <w:shd w:val="clear" w:color="auto" w:fill="FFFFFF"/>
        </w:rPr>
      </w:pPr>
      <w:r>
        <w:rPr>
          <w:color w:val="222222"/>
          <w:shd w:val="clear" w:color="auto" w:fill="FFFFFF"/>
        </w:rPr>
        <w:t>Romaniuk, J. and Nenycz-Thiel, M., 2013. Behavioral brand loyalty and consumer brand associations. Journal of Business Research, 66(1), pp.67-72.</w:t>
      </w:r>
    </w:p>
    <w:p>
      <w:pPr>
        <w:ind w:firstLine="720"/>
        <w:jc w:val="both"/>
        <w:rPr>
          <w:color w:val="222222"/>
          <w:shd w:val="clear" w:color="auto" w:fill="FFFFFF"/>
        </w:rPr>
      </w:pPr>
      <w:r>
        <w:rPr>
          <w:color w:val="222222"/>
          <w:shd w:val="clear" w:color="auto" w:fill="FFFFFF"/>
        </w:rPr>
        <w:t>Sarwar, M.Z., Abbasi, K.S. and Pervaiz, S., 2012. The effect of customer trust on customer loyalty and customer retention: A moderating role of cause related marketing. Global Journal of Management and Business Research, 12(6), pp.27-36.</w:t>
      </w:r>
    </w:p>
    <w:p>
      <w:pPr>
        <w:ind w:firstLine="720"/>
        <w:jc w:val="both"/>
        <w:rPr>
          <w:color w:val="222222"/>
          <w:shd w:val="clear" w:color="auto" w:fill="FFFFFF"/>
        </w:rPr>
      </w:pPr>
      <w:r>
        <w:rPr>
          <w:color w:val="222222"/>
          <w:shd w:val="clear" w:color="auto" w:fill="FFFFFF"/>
        </w:rPr>
        <w:t>Sasmita, J. and Suki, N.M., 2015. Young consumers’ insights on brand equity: Effects of brand association, brand loyalty, brand awareness, and brand image. International journal of retail &amp; distribution management, 43(3), pp.276-292.</w:t>
      </w:r>
    </w:p>
    <w:p>
      <w:pPr>
        <w:ind w:firstLine="720"/>
        <w:jc w:val="both"/>
        <w:rPr>
          <w:color w:val="222222"/>
          <w:shd w:val="clear" w:color="auto" w:fill="FFFFFF"/>
        </w:rPr>
      </w:pPr>
      <w:r>
        <w:rPr>
          <w:color w:val="222222"/>
          <w:shd w:val="clear" w:color="auto" w:fill="FFFFFF"/>
        </w:rPr>
        <w:t>Scheepers, D. and Ellemers, N., 2019. Social identity theory. Social psychology in action: Evidence-based interventions from theory to practice, pp.129-143.</w:t>
      </w:r>
    </w:p>
    <w:p>
      <w:pPr>
        <w:ind w:firstLine="720"/>
        <w:jc w:val="both"/>
        <w:rPr>
          <w:color w:val="222222"/>
          <w:shd w:val="clear" w:color="auto" w:fill="FFFFFF"/>
        </w:rPr>
      </w:pPr>
      <w:r>
        <w:rPr>
          <w:color w:val="222222"/>
          <w:shd w:val="clear" w:color="auto" w:fill="FFFFFF"/>
        </w:rPr>
        <w:t>Sekaran, U., and Bougie, R. (2016). Research Methods for Business: A Skill Building Approach. Wiley.</w:t>
      </w:r>
    </w:p>
    <w:p>
      <w:pPr>
        <w:ind w:firstLine="720"/>
        <w:jc w:val="both"/>
        <w:rPr>
          <w:color w:val="222222"/>
          <w:shd w:val="clear" w:color="auto" w:fill="FFFFFF"/>
        </w:rPr>
      </w:pPr>
      <w:r>
        <w:rPr>
          <w:color w:val="222222"/>
          <w:shd w:val="clear" w:color="auto" w:fill="FFFFFF"/>
        </w:rPr>
        <w:t>Sertoglu, A.E., Catli, O. and Korkmaz, S., 2014. Examining the effect of endorser credibility on the consumers' buying intentions: an empirical study in Turkey. International Review of Management and Marketing, 4(1), pp.66-77.</w:t>
      </w:r>
    </w:p>
    <w:p>
      <w:pPr>
        <w:ind w:firstLine="720"/>
        <w:jc w:val="both"/>
        <w:rPr>
          <w:color w:val="222222"/>
          <w:shd w:val="clear" w:color="auto" w:fill="FFFFFF"/>
        </w:rPr>
      </w:pPr>
      <w:r>
        <w:rPr>
          <w:color w:val="222222"/>
          <w:shd w:val="clear" w:color="auto" w:fill="FFFFFF"/>
        </w:rPr>
        <w:t>Severi, E. and Ling, K.C., 2013. The mediating effects of brand association, brand loyalty, brand image and perceived quality on brand equity. Asian Social Science, 9(3), p.125.</w:t>
      </w:r>
    </w:p>
    <w:p>
      <w:pPr>
        <w:ind w:firstLine="720"/>
        <w:jc w:val="both"/>
        <w:rPr>
          <w:color w:val="222222"/>
          <w:shd w:val="clear" w:color="auto" w:fill="FFFFFF"/>
        </w:rPr>
      </w:pPr>
      <w:r>
        <w:rPr>
          <w:color w:val="222222"/>
          <w:shd w:val="clear" w:color="auto" w:fill="FFFFFF"/>
        </w:rPr>
        <w:t>Shafiulla, B., 2019. Tata Zica to Tata Tiago: Digital Marketing Strategy of Tata Motors for Rebranding. IUP Journal of Marketing Management, 18(3), pp.40-59.</w:t>
      </w:r>
    </w:p>
    <w:p>
      <w:pPr>
        <w:ind w:firstLine="720"/>
        <w:jc w:val="both"/>
        <w:rPr>
          <w:color w:val="222222"/>
          <w:shd w:val="clear" w:color="auto" w:fill="FFFFFF"/>
        </w:rPr>
      </w:pPr>
      <w:r>
        <w:rPr>
          <w:color w:val="222222"/>
          <w:shd w:val="clear" w:color="auto" w:fill="FFFFFF"/>
        </w:rPr>
        <w:t>Sharmelly, R. and Ray, P.K., 2018. Influence of policies in capability evolution and industry structure: lessons from the Indian automotive industry and implications for other developing countries. World Review of Entrepreneurship, Management and Sustainable Development, 14(1-2), pp.250-270.</w:t>
      </w:r>
    </w:p>
    <w:p>
      <w:pPr>
        <w:ind w:firstLine="720"/>
        <w:jc w:val="both"/>
        <w:rPr>
          <w:color w:val="222222"/>
          <w:shd w:val="clear" w:color="auto" w:fill="FFFFFF"/>
        </w:rPr>
      </w:pPr>
      <w:r>
        <w:rPr>
          <w:color w:val="222222"/>
          <w:shd w:val="clear" w:color="auto" w:fill="FFFFFF"/>
        </w:rPr>
        <w:t>Shiau, W.L. and Luo, M.M., 2012. Factors affecting online group buying intention and satisfaction: A social exchange theory perspective. Computers in Human Behavior, 28(6), pp.2431-2444.</w:t>
      </w:r>
    </w:p>
    <w:p>
      <w:pPr>
        <w:ind w:firstLine="720"/>
        <w:jc w:val="both"/>
        <w:rPr>
          <w:color w:val="222222"/>
          <w:shd w:val="clear" w:color="auto" w:fill="FFFFFF"/>
        </w:rPr>
      </w:pPr>
      <w:r>
        <w:rPr>
          <w:color w:val="222222"/>
          <w:shd w:val="clear" w:color="auto" w:fill="FFFFFF"/>
        </w:rPr>
        <w:t>Sileyew, K.J., 2019. Research design and methodology. Cyberspace, pp.1-12.</w:t>
      </w:r>
    </w:p>
    <w:p>
      <w:pPr>
        <w:ind w:firstLine="720"/>
        <w:jc w:val="both"/>
        <w:rPr>
          <w:color w:val="222222"/>
          <w:shd w:val="clear" w:color="auto" w:fill="FFFFFF"/>
        </w:rPr>
      </w:pPr>
      <w:r>
        <w:rPr>
          <w:color w:val="222222"/>
          <w:shd w:val="clear" w:color="auto" w:fill="FFFFFF"/>
        </w:rPr>
        <w:t>Singh, D., 2013. The brand personality component of brand goodwill: Some antecedents and consequences. Brand equity &amp; advertising: Advertising's role in building strong brands, 83.</w:t>
      </w:r>
    </w:p>
    <w:p>
      <w:pPr>
        <w:ind w:firstLine="720"/>
        <w:jc w:val="both"/>
        <w:rPr>
          <w:color w:val="222222"/>
          <w:shd w:val="clear" w:color="auto" w:fill="FFFFFF"/>
        </w:rPr>
      </w:pPr>
      <w:r>
        <w:rPr>
          <w:color w:val="222222"/>
          <w:shd w:val="clear" w:color="auto" w:fill="FFFFFF"/>
        </w:rPr>
        <w:t>Sinurat, W. and Dirgantara, I.M.B., 2021. The effects of brand equity, price, and brand proliferation on new product performance through product trial: evidence from FMCG industry in Indonesia. Diponegoro International Journal of Business, 4(1), pp.58-68.</w:t>
      </w:r>
    </w:p>
    <w:p>
      <w:pPr>
        <w:ind w:firstLine="720"/>
        <w:jc w:val="both"/>
        <w:rPr>
          <w:color w:val="222222"/>
          <w:shd w:val="clear" w:color="auto" w:fill="FFFFFF"/>
        </w:rPr>
      </w:pPr>
      <w:r>
        <w:rPr>
          <w:color w:val="222222"/>
          <w:shd w:val="clear" w:color="auto" w:fill="FFFFFF"/>
        </w:rPr>
        <w:t>Sitorus, T. and Yustisia, M., 2018. The influence of service quality and customer trust toward customer loyalty: the role of customer satisfaction. International Journal for Quality Research, 12(3), p.639.</w:t>
      </w:r>
    </w:p>
    <w:p>
      <w:pPr>
        <w:ind w:firstLine="720"/>
        <w:jc w:val="both"/>
        <w:rPr>
          <w:color w:val="222222"/>
          <w:shd w:val="clear" w:color="auto" w:fill="FFFFFF"/>
        </w:rPr>
      </w:pPr>
      <w:r>
        <w:rPr>
          <w:color w:val="222222"/>
          <w:shd w:val="clear" w:color="auto" w:fill="FFFFFF"/>
        </w:rPr>
        <w:t>Smilansky, S., 2017. Experiential marketing: A practical guide to interactive brand experiences. Kogan Page Publishers.</w:t>
      </w:r>
    </w:p>
    <w:p>
      <w:pPr>
        <w:ind w:firstLine="720"/>
        <w:jc w:val="both"/>
        <w:rPr>
          <w:color w:val="222222"/>
          <w:shd w:val="clear" w:color="auto" w:fill="FFFFFF"/>
        </w:rPr>
      </w:pPr>
      <w:r>
        <w:rPr>
          <w:color w:val="222222"/>
          <w:shd w:val="clear" w:color="auto" w:fill="FFFFFF"/>
        </w:rPr>
        <w:t>Sohaib, M., Rehman, U.A. and Akram, U., 2016. Underlying effect of customer satisfaction on repurchase intentions: Mediating role of trust and commitment. European Journal of Business and Management, 8(10).</w:t>
      </w:r>
    </w:p>
    <w:p>
      <w:pPr>
        <w:ind w:firstLine="720"/>
        <w:jc w:val="both"/>
        <w:rPr>
          <w:color w:val="222222"/>
          <w:shd w:val="clear" w:color="auto" w:fill="FFFFFF"/>
        </w:rPr>
      </w:pPr>
      <w:r>
        <w:rPr>
          <w:color w:val="222222"/>
          <w:shd w:val="clear" w:color="auto" w:fill="FFFFFF"/>
        </w:rPr>
        <w:t>Soleimani, A., 2017. Study the coordinates of methodology in futures studies. Special Issue of International Review, No. 2, Part I, p.119.</w:t>
      </w:r>
    </w:p>
    <w:p>
      <w:pPr>
        <w:ind w:firstLine="720"/>
        <w:jc w:val="both"/>
        <w:rPr>
          <w:color w:val="222222"/>
          <w:shd w:val="clear" w:color="auto" w:fill="FFFFFF"/>
        </w:rPr>
      </w:pPr>
      <w:r>
        <w:rPr>
          <w:color w:val="222222"/>
          <w:shd w:val="clear" w:color="auto" w:fill="FFFFFF"/>
        </w:rPr>
        <w:t>Suhaily, L. and Darmoyo, S., 2017. Effect of product quality, perceived priceand brand image on purchase decision mediated by customer trust (study on Japanese brandelectronic product). Jurnal Manajemen, 21(2), pp.179-194.</w:t>
      </w:r>
    </w:p>
    <w:p>
      <w:pPr>
        <w:ind w:firstLine="720"/>
        <w:jc w:val="both"/>
        <w:rPr>
          <w:color w:val="222222"/>
          <w:shd w:val="clear" w:color="auto" w:fill="FFFFFF"/>
        </w:rPr>
      </w:pPr>
      <w:r>
        <w:rPr>
          <w:color w:val="222222"/>
          <w:shd w:val="clear" w:color="auto" w:fill="FFFFFF"/>
        </w:rPr>
        <w:t>Sushil and Garg, S., 2019. Internationalization of Tata Motors: strategic analysis using flowing stream strategy process. International Journal of Global Business and Competitiveness, 14(1), pp.54-70.</w:t>
      </w:r>
    </w:p>
    <w:p>
      <w:pPr>
        <w:ind w:firstLine="720"/>
        <w:jc w:val="both"/>
        <w:rPr>
          <w:color w:val="222222"/>
          <w:shd w:val="clear" w:color="auto" w:fill="FFFFFF"/>
        </w:rPr>
      </w:pPr>
      <w:r>
        <w:rPr>
          <w:color w:val="222222"/>
          <w:shd w:val="clear" w:color="auto" w:fill="FFFFFF"/>
        </w:rPr>
        <w:t>Tabaku, E. and Zerellari, M., 2015. Brand loyalty and loyalty programs; a literature review. Romanian Economic and Business Review, 10(2), p.87.</w:t>
      </w:r>
    </w:p>
    <w:p>
      <w:pPr>
        <w:ind w:firstLine="720"/>
        <w:jc w:val="both"/>
        <w:rPr>
          <w:color w:val="222222"/>
          <w:shd w:val="clear" w:color="auto" w:fill="FFFFFF"/>
        </w:rPr>
      </w:pPr>
      <w:r>
        <w:rPr>
          <w:color w:val="222222"/>
          <w:shd w:val="clear" w:color="auto" w:fill="FFFFFF"/>
        </w:rPr>
        <w:t>Taherdoost, H., 2016. Sampling methods in research methodology; how to choose a sampling technique for research. How to choose a sampling technique for research (April 10, 2016).</w:t>
      </w:r>
    </w:p>
    <w:p>
      <w:pPr>
        <w:ind w:firstLine="720"/>
        <w:jc w:val="both"/>
        <w:rPr>
          <w:color w:val="222222"/>
          <w:shd w:val="clear" w:color="auto" w:fill="FFFFFF"/>
        </w:rPr>
      </w:pPr>
      <w:r>
        <w:rPr>
          <w:color w:val="222222"/>
          <w:shd w:val="clear" w:color="auto" w:fill="FFFFFF"/>
        </w:rPr>
        <w:t>Tajfel, H. and Turner, J.C., 2004. The social identity theory of intergroup behavior. In Political psychology (pp. 276-293). Psychology Press.</w:t>
      </w:r>
    </w:p>
    <w:p>
      <w:pPr>
        <w:ind w:firstLine="720"/>
        <w:jc w:val="both"/>
        <w:rPr>
          <w:color w:val="222222"/>
          <w:shd w:val="clear" w:color="auto" w:fill="FFFFFF"/>
        </w:rPr>
      </w:pPr>
      <w:r>
        <w:rPr>
          <w:color w:val="222222"/>
          <w:shd w:val="clear" w:color="auto" w:fill="FFFFFF"/>
        </w:rPr>
        <w:t>Thanajaro, N., 2016. Exploring the interaction effects between country of manufacture and country of design within the context of the sportswear industry in Thailand (Doctoral dissertation, Brunel University London).</w:t>
      </w:r>
    </w:p>
    <w:p>
      <w:pPr>
        <w:ind w:firstLine="720"/>
        <w:jc w:val="both"/>
        <w:rPr>
          <w:color w:val="222222"/>
          <w:shd w:val="clear" w:color="auto" w:fill="FFFFFF"/>
        </w:rPr>
      </w:pPr>
      <w:r>
        <w:rPr>
          <w:color w:val="222222"/>
          <w:shd w:val="clear" w:color="auto" w:fill="FFFFFF"/>
        </w:rPr>
        <w:t>Toepoel, V., 2017. Online survey design. The SAGE handbook of online research methods, pp.184-202.</w:t>
      </w:r>
    </w:p>
    <w:p>
      <w:pPr>
        <w:ind w:firstLine="720"/>
        <w:jc w:val="both"/>
        <w:rPr>
          <w:color w:val="222222"/>
          <w:shd w:val="clear" w:color="auto" w:fill="FFFFFF"/>
        </w:rPr>
      </w:pPr>
      <w:r>
        <w:rPr>
          <w:color w:val="222222"/>
          <w:shd w:val="clear" w:color="auto" w:fill="FFFFFF"/>
        </w:rPr>
        <w:t>Usman, H., 2015. Customers trust on Islamic banks in Indonesia. The Journal of Asian Finance, Economics and Business, 2(1), pp.5-13.</w:t>
      </w:r>
    </w:p>
    <w:p>
      <w:pPr>
        <w:ind w:firstLine="720"/>
        <w:jc w:val="both"/>
        <w:rPr>
          <w:color w:val="222222"/>
          <w:shd w:val="clear" w:color="auto" w:fill="FFFFFF"/>
        </w:rPr>
      </w:pPr>
      <w:r>
        <w:rPr>
          <w:color w:val="222222"/>
          <w:shd w:val="clear" w:color="auto" w:fill="FFFFFF"/>
        </w:rPr>
        <w:t>Verma, S., 2018. Transformation of Indian Automobile Industry through Inter-Organization IT initiative: AutoDX (B). Indian Institute of Management Ahmedabad, pp.1-16.</w:t>
      </w:r>
    </w:p>
    <w:p>
      <w:pPr>
        <w:ind w:firstLine="720"/>
        <w:jc w:val="both"/>
        <w:rPr>
          <w:color w:val="222222"/>
          <w:shd w:val="clear" w:color="auto" w:fill="FFFFFF"/>
        </w:rPr>
      </w:pPr>
      <w:r>
        <w:rPr>
          <w:color w:val="222222"/>
          <w:shd w:val="clear" w:color="auto" w:fill="FFFFFF"/>
        </w:rPr>
        <w:t>Ye, S., Ying, T., Zhou, L. and Wang, T., 2019. Enhancing customer trust in peer-to-peer accommodation: A “soft” strategy via social presence. International Journal of Hospitality Management, 79, pp.1-10.</w:t>
      </w:r>
    </w:p>
    <w:p>
      <w:pPr>
        <w:ind w:firstLine="720"/>
        <w:jc w:val="both"/>
        <w:rPr>
          <w:color w:val="222222"/>
          <w:shd w:val="clear" w:color="auto" w:fill="FFFFFF"/>
        </w:rPr>
      </w:pPr>
      <w:r>
        <w:rPr>
          <w:color w:val="222222"/>
          <w:shd w:val="clear" w:color="auto" w:fill="FFFFFF"/>
        </w:rPr>
        <w:t>Yen, Y.S., 2018. Extending consumer ethnocentrism theory: the moderating effect test. Asia Pacific Journal of Marketing and Logistics, 30(4), pp.907-926.</w:t>
      </w:r>
    </w:p>
    <w:p>
      <w:pPr>
        <w:ind w:firstLine="720"/>
        <w:jc w:val="both"/>
        <w:rPr>
          <w:color w:val="222222"/>
          <w:shd w:val="clear" w:color="auto" w:fill="FFFFFF"/>
        </w:rPr>
      </w:pPr>
      <w:r>
        <w:rPr>
          <w:color w:val="222222"/>
          <w:shd w:val="clear" w:color="auto" w:fill="FFFFFF"/>
        </w:rPr>
        <w:t>Yong, W.K., Maizaitulaidawati, M.H. and Kamarudin, S., 2021. Understanding research paradigms: A scientific guide. Journal of Contemporary Issues in Business and Government, 27(2), pp.5857-5865.</w:t>
      </w:r>
    </w:p>
    <w:p>
      <w:pPr>
        <w:ind w:firstLine="720"/>
        <w:jc w:val="both"/>
        <w:rPr>
          <w:color w:val="222222"/>
          <w:shd w:val="clear" w:color="auto" w:fill="FFFFFF"/>
        </w:rPr>
      </w:pPr>
      <w:r>
        <w:rPr>
          <w:color w:val="222222"/>
          <w:shd w:val="clear" w:color="auto" w:fill="FFFFFF"/>
        </w:rPr>
        <w:t>Zhang, Y., 2015. The impact of brand image on consumer behavior: A literature review. Open journal of business and management, 3(01), p.58.</w:t>
      </w:r>
    </w:p>
    <w:p>
      <w:pPr>
        <w:ind w:firstLine="720"/>
        <w:jc w:val="both"/>
        <w:rPr>
          <w:color w:val="222222"/>
          <w:shd w:val="clear" w:color="auto" w:fill="FFFFFF"/>
        </w:rPr>
      </w:pPr>
      <w:r>
        <w:rPr>
          <w:color w:val="222222"/>
          <w:shd w:val="clear" w:color="auto" w:fill="FFFFFF"/>
        </w:rPr>
        <w:t>ZXhang, Y.X., Haxo, Y.M. and Mat, Y.X., 2023. TTM Tata Motors Ltd Tata Motors Limited. AC Investment Research Journal, 220(44).</w:t>
      </w:r>
    </w:p>
    <w:p>
      <w:pPr>
        <w:spacing w:before="0" w:after="160" w:line="259" w:lineRule="auto"/>
        <w:rPr>
          <w:color w:val="222222"/>
          <w:shd w:val="clear" w:color="auto" w:fill="FFFFFF"/>
        </w:rPr>
      </w:pPr>
      <w:r>
        <w:rPr>
          <w:color w:val="222222"/>
          <w:shd w:val="clear" w:color="auto" w:fill="FFFFFF"/>
        </w:rPr>
        <w:br w:type="page"/>
      </w:r>
    </w:p>
    <w:p>
      <w:pPr>
        <w:pStyle w:val="2"/>
        <w:rPr>
          <w:shd w:val="clear" w:color="auto" w:fill="FFFFFF"/>
        </w:rPr>
      </w:pPr>
      <w:bookmarkStart w:id="80" w:name="_Toc147931483"/>
      <w:r>
        <w:rPr>
          <w:shd w:val="clear" w:color="auto" w:fill="FFFFFF"/>
        </w:rPr>
        <w:t>APPENDIX- QUESTIONNAIRE</w:t>
      </w:r>
      <w:bookmarkEnd w:id="80"/>
    </w:p>
    <w:p>
      <w:r>
        <w:rPr>
          <w:lang w:val="en-US" w:eastAsia="en-US"/>
        </w:rPr>
        <w:drawing>
          <wp:inline distT="0" distB="0" distL="0" distR="0">
            <wp:extent cx="5585460" cy="46005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4"/>
                    <a:stretch>
                      <a:fillRect/>
                    </a:stretch>
                  </pic:blipFill>
                  <pic:spPr>
                    <a:xfrm>
                      <a:off x="0" y="0"/>
                      <a:ext cx="5589567" cy="4603685"/>
                    </a:xfrm>
                    <a:prstGeom prst="rect">
                      <a:avLst/>
                    </a:prstGeom>
                  </pic:spPr>
                </pic:pic>
              </a:graphicData>
            </a:graphic>
          </wp:inline>
        </w:drawing>
      </w:r>
    </w:p>
    <w:p>
      <w:r>
        <w:rPr>
          <w:lang w:val="en-US" w:eastAsia="en-US"/>
        </w:rPr>
        <w:drawing>
          <wp:inline distT="0" distB="0" distL="0" distR="0">
            <wp:extent cx="5486400" cy="20472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5"/>
                    <a:stretch>
                      <a:fillRect/>
                    </a:stretch>
                  </pic:blipFill>
                  <pic:spPr>
                    <a:xfrm>
                      <a:off x="0" y="0"/>
                      <a:ext cx="5496755" cy="2051325"/>
                    </a:xfrm>
                    <a:prstGeom prst="rect">
                      <a:avLst/>
                    </a:prstGeom>
                  </pic:spPr>
                </pic:pic>
              </a:graphicData>
            </a:graphic>
          </wp:inline>
        </w:drawing>
      </w:r>
    </w:p>
    <w:p>
      <w:r>
        <w:rPr>
          <w:lang w:val="en-US" w:eastAsia="en-US"/>
        </w:rPr>
        <w:drawing>
          <wp:inline distT="0" distB="0" distL="0" distR="0">
            <wp:extent cx="5685155" cy="31908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6"/>
                    <a:stretch>
                      <a:fillRect/>
                    </a:stretch>
                  </pic:blipFill>
                  <pic:spPr>
                    <a:xfrm>
                      <a:off x="0" y="0"/>
                      <a:ext cx="5689428" cy="3193258"/>
                    </a:xfrm>
                    <a:prstGeom prst="rect">
                      <a:avLst/>
                    </a:prstGeom>
                  </pic:spPr>
                </pic:pic>
              </a:graphicData>
            </a:graphic>
          </wp:inline>
        </w:drawing>
      </w:r>
    </w:p>
    <w:p>
      <w:r>
        <w:rPr>
          <w:lang w:val="en-US" w:eastAsia="en-US"/>
        </w:rPr>
        <w:drawing>
          <wp:inline distT="0" distB="0" distL="0" distR="0">
            <wp:extent cx="5585460" cy="339915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7"/>
                    <a:stretch>
                      <a:fillRect/>
                    </a:stretch>
                  </pic:blipFill>
                  <pic:spPr>
                    <a:xfrm>
                      <a:off x="0" y="0"/>
                      <a:ext cx="5590329" cy="3402146"/>
                    </a:xfrm>
                    <a:prstGeom prst="rect">
                      <a:avLst/>
                    </a:prstGeom>
                  </pic:spPr>
                </pic:pic>
              </a:graphicData>
            </a:graphic>
          </wp:inline>
        </w:drawing>
      </w:r>
    </w:p>
    <w:p>
      <w:r>
        <w:rPr>
          <w:lang w:val="en-US" w:eastAsia="en-US"/>
        </w:rPr>
        <w:drawing>
          <wp:inline distT="0" distB="0" distL="0" distR="0">
            <wp:extent cx="5838825" cy="39147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pic:cNvPicPr>
                  </pic:nvPicPr>
                  <pic:blipFill>
                    <a:blip r:embed="rId18"/>
                    <a:stretch>
                      <a:fillRect/>
                    </a:stretch>
                  </pic:blipFill>
                  <pic:spPr>
                    <a:xfrm>
                      <a:off x="0" y="0"/>
                      <a:ext cx="5838825" cy="3914775"/>
                    </a:xfrm>
                    <a:prstGeom prst="rect">
                      <a:avLst/>
                    </a:prstGeom>
                  </pic:spPr>
                </pic:pic>
              </a:graphicData>
            </a:graphic>
          </wp:inline>
        </w:drawing>
      </w:r>
    </w:p>
    <w:p>
      <w:r>
        <w:rPr>
          <w:lang w:val="en-US" w:eastAsia="en-US"/>
        </w:rPr>
        <w:drawing>
          <wp:inline distT="0" distB="0" distL="0" distR="0">
            <wp:extent cx="5848350" cy="21812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pic:cNvPicPr>
                  </pic:nvPicPr>
                  <pic:blipFill>
                    <a:blip r:embed="rId19"/>
                    <a:stretch>
                      <a:fillRect/>
                    </a:stretch>
                  </pic:blipFill>
                  <pic:spPr>
                    <a:xfrm>
                      <a:off x="0" y="0"/>
                      <a:ext cx="5848350" cy="2181225"/>
                    </a:xfrm>
                    <a:prstGeom prst="rect">
                      <a:avLst/>
                    </a:prstGeom>
                  </pic:spPr>
                </pic:pic>
              </a:graphicData>
            </a:graphic>
          </wp:inline>
        </w:drawing>
      </w:r>
    </w:p>
    <w:p>
      <w:pPr>
        <w:ind w:firstLine="720"/>
        <w:jc w:val="both"/>
        <w:rPr>
          <w:color w:val="222222"/>
          <w:shd w:val="clear" w:color="auto" w:fill="FFFFFF"/>
        </w:rPr>
      </w:pPr>
    </w:p>
    <w:sectPr>
      <w:foot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04074382"/>
      <w:docPartObj>
        <w:docPartGallery w:val="AutoText"/>
      </w:docPartObj>
    </w:sdtPr>
    <w:sdtEndPr>
      <w:rPr>
        <w:color w:val="7F7F7F" w:themeColor="background1" w:themeShade="80"/>
        <w:spacing w:val="60"/>
      </w:rPr>
    </w:sdtEndPr>
    <w:sdtContent>
      <w:p>
        <w:pPr>
          <w:pStyle w:val="8"/>
          <w:pBdr>
            <w:top w:val="single" w:color="D8D8D8" w:themeColor="background1" w:themeShade="D9" w:sz="4" w:space="1"/>
          </w:pBdr>
          <w:rPr>
            <w:b/>
            <w:bCs/>
          </w:rPr>
        </w:pPr>
        <w:r>
          <w:fldChar w:fldCharType="begin"/>
        </w:r>
        <w:r>
          <w:instrText xml:space="preserve"> PAGE   \* MERGEFORMAT </w:instrText>
        </w:r>
        <w:r>
          <w:fldChar w:fldCharType="separate"/>
        </w:r>
        <w:r>
          <w:rPr>
            <w:b/>
            <w:bCs/>
          </w:rPr>
          <w:t>94</w:t>
        </w:r>
        <w:r>
          <w:rPr>
            <w:b/>
            <w:bCs/>
          </w:rPr>
          <w:fldChar w:fldCharType="end"/>
        </w:r>
        <w:r>
          <w:rPr>
            <w:b/>
            <w:bCs/>
          </w:rPr>
          <w:t xml:space="preserve"> | </w:t>
        </w:r>
        <w:r>
          <w:rPr>
            <w:color w:val="7F7F7F" w:themeColor="background1" w:themeShade="80"/>
            <w:spacing w:val="60"/>
          </w:rPr>
          <w:t>Page</w:t>
        </w:r>
      </w:p>
    </w:sdtContent>
  </w:sdt>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B741FE"/>
    <w:multiLevelType w:val="multilevel"/>
    <w:tmpl w:val="03B741FE"/>
    <w:lvl w:ilvl="0" w:tentative="0">
      <w:start w:val="1"/>
      <w:numFmt w:val="bullet"/>
      <w:lvlText w:val=""/>
      <w:lvlJc w:val="left"/>
      <w:pPr>
        <w:tabs>
          <w:tab w:val="left" w:pos="720"/>
        </w:tabs>
        <w:ind w:left="720" w:hanging="360"/>
      </w:pPr>
      <w:rPr>
        <w:rFonts w:hint="default" w:ascii="Symbol" w:hAnsi="Symbol"/>
        <w:sz w:val="20"/>
      </w:rPr>
    </w:lvl>
    <w:lvl w:ilvl="1" w:tentative="0">
      <w:start w:val="0"/>
      <w:numFmt w:val="bullet"/>
      <w:lvlText w:val=""/>
      <w:lvlJc w:val="left"/>
      <w:pPr>
        <w:tabs>
          <w:tab w:val="left" w:pos="1440"/>
        </w:tabs>
        <w:ind w:left="1440" w:hanging="360"/>
      </w:pPr>
      <w:rPr>
        <w:rFonts w:hint="default" w:ascii="Symbol" w:hAnsi="Symbol"/>
        <w:sz w:val="20"/>
      </w:rPr>
    </w:lvl>
    <w:lvl w:ilvl="2" w:tentative="0">
      <w:start w:val="0"/>
      <w:numFmt w:val="bullet"/>
      <w:lvlText w:val=""/>
      <w:lvlJc w:val="left"/>
      <w:pPr>
        <w:tabs>
          <w:tab w:val="left" w:pos="2160"/>
        </w:tabs>
        <w:ind w:left="2160" w:hanging="360"/>
      </w:pPr>
      <w:rPr>
        <w:rFonts w:hint="default" w:ascii="Symbol" w:hAnsi="Symbol"/>
        <w:sz w:val="20"/>
      </w:rPr>
    </w:lvl>
    <w:lvl w:ilvl="3" w:tentative="0">
      <w:start w:val="0"/>
      <w:numFmt w:val="bullet"/>
      <w:lvlText w:val=""/>
      <w:lvlJc w:val="left"/>
      <w:pPr>
        <w:tabs>
          <w:tab w:val="left" w:pos="2880"/>
        </w:tabs>
        <w:ind w:left="2880" w:hanging="360"/>
      </w:pPr>
      <w:rPr>
        <w:rFonts w:hint="default" w:ascii="Symbol" w:hAnsi="Symbol"/>
        <w:sz w:val="20"/>
      </w:rPr>
    </w:lvl>
    <w:lvl w:ilvl="4" w:tentative="0">
      <w:start w:val="0"/>
      <w:numFmt w:val="bullet"/>
      <w:lvlText w:val=""/>
      <w:lvlJc w:val="left"/>
      <w:pPr>
        <w:tabs>
          <w:tab w:val="left" w:pos="3600"/>
        </w:tabs>
        <w:ind w:left="3600" w:hanging="360"/>
      </w:pPr>
      <w:rPr>
        <w:rFonts w:hint="default" w:ascii="Symbol" w:hAnsi="Symbol"/>
        <w:sz w:val="20"/>
      </w:rPr>
    </w:lvl>
    <w:lvl w:ilvl="5" w:tentative="0">
      <w:start w:val="0"/>
      <w:numFmt w:val="bullet"/>
      <w:lvlText w:val=""/>
      <w:lvlJc w:val="left"/>
      <w:pPr>
        <w:tabs>
          <w:tab w:val="left" w:pos="4320"/>
        </w:tabs>
        <w:ind w:left="4320" w:hanging="360"/>
      </w:pPr>
      <w:rPr>
        <w:rFonts w:hint="default" w:ascii="Symbol" w:hAnsi="Symbol"/>
        <w:sz w:val="20"/>
      </w:rPr>
    </w:lvl>
    <w:lvl w:ilvl="6" w:tentative="0">
      <w:start w:val="0"/>
      <w:numFmt w:val="bullet"/>
      <w:lvlText w:val=""/>
      <w:lvlJc w:val="left"/>
      <w:pPr>
        <w:tabs>
          <w:tab w:val="left" w:pos="5040"/>
        </w:tabs>
        <w:ind w:left="5040" w:hanging="360"/>
      </w:pPr>
      <w:rPr>
        <w:rFonts w:hint="default" w:ascii="Symbol" w:hAnsi="Symbol"/>
        <w:sz w:val="20"/>
      </w:rPr>
    </w:lvl>
    <w:lvl w:ilvl="7" w:tentative="0">
      <w:start w:val="0"/>
      <w:numFmt w:val="bullet"/>
      <w:lvlText w:val=""/>
      <w:lvlJc w:val="left"/>
      <w:pPr>
        <w:tabs>
          <w:tab w:val="left" w:pos="5760"/>
        </w:tabs>
        <w:ind w:left="5760" w:hanging="360"/>
      </w:pPr>
      <w:rPr>
        <w:rFonts w:hint="default" w:ascii="Symbol" w:hAnsi="Symbol"/>
        <w:sz w:val="20"/>
      </w:rPr>
    </w:lvl>
    <w:lvl w:ilvl="8" w:tentative="0">
      <w:start w:val="0"/>
      <w:numFmt w:val="bullet"/>
      <w:lvlText w:val=""/>
      <w:lvlJc w:val="left"/>
      <w:pPr>
        <w:tabs>
          <w:tab w:val="left" w:pos="6480"/>
        </w:tabs>
        <w:ind w:left="6480" w:hanging="360"/>
      </w:pPr>
      <w:rPr>
        <w:rFonts w:hint="default" w:ascii="Symbol" w:hAnsi="Symbol"/>
        <w:sz w:val="20"/>
      </w:rPr>
    </w:lvl>
  </w:abstractNum>
  <w:abstractNum w:abstractNumId="1">
    <w:nsid w:val="164879FC"/>
    <w:multiLevelType w:val="multilevel"/>
    <w:tmpl w:val="164879FC"/>
    <w:lvl w:ilvl="0" w:tentative="0">
      <w:start w:val="1"/>
      <w:numFmt w:val="decimal"/>
      <w:lvlText w:val="%1."/>
      <w:lvlJc w:val="left"/>
      <w:pPr>
        <w:ind w:left="720" w:hanging="360"/>
      </w:pPr>
    </w:lvl>
    <w:lvl w:ilvl="1" w:tentative="0">
      <w:start w:val="6"/>
      <w:numFmt w:val="decimal"/>
      <w:isLgl/>
      <w:lvlText w:val="%1.%2"/>
      <w:lvlJc w:val="left"/>
      <w:pPr>
        <w:ind w:left="750" w:hanging="39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2">
    <w:nsid w:val="1A2F24D8"/>
    <w:multiLevelType w:val="multilevel"/>
    <w:tmpl w:val="1A2F24D8"/>
    <w:lvl w:ilvl="0" w:tentative="0">
      <w:start w:val="1"/>
      <w:numFmt w:val="bullet"/>
      <w:lvlText w:val=""/>
      <w:lvlJc w:val="left"/>
      <w:pPr>
        <w:tabs>
          <w:tab w:val="left" w:pos="720"/>
        </w:tabs>
        <w:ind w:left="720" w:hanging="360"/>
      </w:pPr>
      <w:rPr>
        <w:rFonts w:hint="default" w:ascii="Symbol" w:hAnsi="Symbol"/>
        <w:sz w:val="20"/>
      </w:rPr>
    </w:lvl>
    <w:lvl w:ilvl="1" w:tentative="0">
      <w:start w:val="0"/>
      <w:numFmt w:val="bullet"/>
      <w:lvlText w:val=""/>
      <w:lvlJc w:val="left"/>
      <w:pPr>
        <w:tabs>
          <w:tab w:val="left" w:pos="1440"/>
        </w:tabs>
        <w:ind w:left="1440" w:hanging="360"/>
      </w:pPr>
      <w:rPr>
        <w:rFonts w:hint="default" w:ascii="Symbol" w:hAnsi="Symbol"/>
        <w:sz w:val="20"/>
      </w:rPr>
    </w:lvl>
    <w:lvl w:ilvl="2" w:tentative="0">
      <w:start w:val="0"/>
      <w:numFmt w:val="bullet"/>
      <w:lvlText w:val=""/>
      <w:lvlJc w:val="left"/>
      <w:pPr>
        <w:tabs>
          <w:tab w:val="left" w:pos="2160"/>
        </w:tabs>
        <w:ind w:left="2160" w:hanging="360"/>
      </w:pPr>
      <w:rPr>
        <w:rFonts w:hint="default" w:ascii="Symbol" w:hAnsi="Symbol"/>
        <w:sz w:val="20"/>
      </w:rPr>
    </w:lvl>
    <w:lvl w:ilvl="3" w:tentative="0">
      <w:start w:val="0"/>
      <w:numFmt w:val="bullet"/>
      <w:lvlText w:val=""/>
      <w:lvlJc w:val="left"/>
      <w:pPr>
        <w:tabs>
          <w:tab w:val="left" w:pos="2880"/>
        </w:tabs>
        <w:ind w:left="2880" w:hanging="360"/>
      </w:pPr>
      <w:rPr>
        <w:rFonts w:hint="default" w:ascii="Symbol" w:hAnsi="Symbol"/>
        <w:sz w:val="20"/>
      </w:rPr>
    </w:lvl>
    <w:lvl w:ilvl="4" w:tentative="0">
      <w:start w:val="0"/>
      <w:numFmt w:val="bullet"/>
      <w:lvlText w:val=""/>
      <w:lvlJc w:val="left"/>
      <w:pPr>
        <w:tabs>
          <w:tab w:val="left" w:pos="3600"/>
        </w:tabs>
        <w:ind w:left="3600" w:hanging="360"/>
      </w:pPr>
      <w:rPr>
        <w:rFonts w:hint="default" w:ascii="Symbol" w:hAnsi="Symbol"/>
        <w:sz w:val="20"/>
      </w:rPr>
    </w:lvl>
    <w:lvl w:ilvl="5" w:tentative="0">
      <w:start w:val="0"/>
      <w:numFmt w:val="bullet"/>
      <w:lvlText w:val=""/>
      <w:lvlJc w:val="left"/>
      <w:pPr>
        <w:tabs>
          <w:tab w:val="left" w:pos="4320"/>
        </w:tabs>
        <w:ind w:left="4320" w:hanging="360"/>
      </w:pPr>
      <w:rPr>
        <w:rFonts w:hint="default" w:ascii="Symbol" w:hAnsi="Symbol"/>
        <w:sz w:val="20"/>
      </w:rPr>
    </w:lvl>
    <w:lvl w:ilvl="6" w:tentative="0">
      <w:start w:val="0"/>
      <w:numFmt w:val="bullet"/>
      <w:lvlText w:val=""/>
      <w:lvlJc w:val="left"/>
      <w:pPr>
        <w:tabs>
          <w:tab w:val="left" w:pos="5040"/>
        </w:tabs>
        <w:ind w:left="5040" w:hanging="360"/>
      </w:pPr>
      <w:rPr>
        <w:rFonts w:hint="default" w:ascii="Symbol" w:hAnsi="Symbol"/>
        <w:sz w:val="20"/>
      </w:rPr>
    </w:lvl>
    <w:lvl w:ilvl="7" w:tentative="0">
      <w:start w:val="0"/>
      <w:numFmt w:val="bullet"/>
      <w:lvlText w:val=""/>
      <w:lvlJc w:val="left"/>
      <w:pPr>
        <w:tabs>
          <w:tab w:val="left" w:pos="5760"/>
        </w:tabs>
        <w:ind w:left="5760" w:hanging="360"/>
      </w:pPr>
      <w:rPr>
        <w:rFonts w:hint="default" w:ascii="Symbol" w:hAnsi="Symbol"/>
        <w:sz w:val="20"/>
      </w:rPr>
    </w:lvl>
    <w:lvl w:ilvl="8" w:tentative="0">
      <w:start w:val="0"/>
      <w:numFmt w:val="bullet"/>
      <w:lvlText w:val=""/>
      <w:lvlJc w:val="left"/>
      <w:pPr>
        <w:tabs>
          <w:tab w:val="left" w:pos="6480"/>
        </w:tabs>
        <w:ind w:left="6480" w:hanging="360"/>
      </w:pPr>
      <w:rPr>
        <w:rFonts w:hint="default" w:ascii="Symbol" w:hAnsi="Symbol"/>
        <w:sz w:val="20"/>
      </w:rPr>
    </w:lvl>
  </w:abstractNum>
  <w:abstractNum w:abstractNumId="3">
    <w:nsid w:val="6AF7453E"/>
    <w:multiLevelType w:val="multilevel"/>
    <w:tmpl w:val="6AF7453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347"/>
    <w:rsid w:val="00001725"/>
    <w:rsid w:val="000118BF"/>
    <w:rsid w:val="00036CA0"/>
    <w:rsid w:val="00044130"/>
    <w:rsid w:val="00072AB9"/>
    <w:rsid w:val="000920CE"/>
    <w:rsid w:val="001642EB"/>
    <w:rsid w:val="001D0901"/>
    <w:rsid w:val="0021406B"/>
    <w:rsid w:val="00222514"/>
    <w:rsid w:val="00242644"/>
    <w:rsid w:val="002D6EC7"/>
    <w:rsid w:val="002F71FD"/>
    <w:rsid w:val="00301064"/>
    <w:rsid w:val="003149C5"/>
    <w:rsid w:val="003302DB"/>
    <w:rsid w:val="00342DB8"/>
    <w:rsid w:val="003E5871"/>
    <w:rsid w:val="00452082"/>
    <w:rsid w:val="0046063F"/>
    <w:rsid w:val="004856ED"/>
    <w:rsid w:val="004C6AEF"/>
    <w:rsid w:val="004E61C8"/>
    <w:rsid w:val="00570938"/>
    <w:rsid w:val="005B48D7"/>
    <w:rsid w:val="005C58DA"/>
    <w:rsid w:val="00600916"/>
    <w:rsid w:val="0067028B"/>
    <w:rsid w:val="006F48D3"/>
    <w:rsid w:val="00715A97"/>
    <w:rsid w:val="007232BB"/>
    <w:rsid w:val="007832DC"/>
    <w:rsid w:val="007974AA"/>
    <w:rsid w:val="00844DFB"/>
    <w:rsid w:val="008464EB"/>
    <w:rsid w:val="00865347"/>
    <w:rsid w:val="00865FD8"/>
    <w:rsid w:val="00890E93"/>
    <w:rsid w:val="008B4363"/>
    <w:rsid w:val="008B49AF"/>
    <w:rsid w:val="00993F93"/>
    <w:rsid w:val="00A12876"/>
    <w:rsid w:val="00A2439E"/>
    <w:rsid w:val="00A75991"/>
    <w:rsid w:val="00A8232B"/>
    <w:rsid w:val="00AA3E80"/>
    <w:rsid w:val="00B17A2F"/>
    <w:rsid w:val="00B319C0"/>
    <w:rsid w:val="00B62A5F"/>
    <w:rsid w:val="00BF0F26"/>
    <w:rsid w:val="00BF3603"/>
    <w:rsid w:val="00BF3A1B"/>
    <w:rsid w:val="00C83BE9"/>
    <w:rsid w:val="00C93F41"/>
    <w:rsid w:val="00CF6B71"/>
    <w:rsid w:val="00D36A24"/>
    <w:rsid w:val="00D653AA"/>
    <w:rsid w:val="00DA59C7"/>
    <w:rsid w:val="00DC5B89"/>
    <w:rsid w:val="00DE59D6"/>
    <w:rsid w:val="00DF1F74"/>
    <w:rsid w:val="00E55CD1"/>
    <w:rsid w:val="00EC406E"/>
    <w:rsid w:val="00ED33F0"/>
    <w:rsid w:val="00EE42E9"/>
    <w:rsid w:val="00F17814"/>
    <w:rsid w:val="00F26934"/>
    <w:rsid w:val="00F87260"/>
    <w:rsid w:val="00FB3EE8"/>
    <w:rsid w:val="00FF6745"/>
    <w:rsid w:val="0C2E310B"/>
    <w:rsid w:val="14351CAA"/>
    <w:rsid w:val="1D0F03DE"/>
    <w:rsid w:val="32CA504F"/>
    <w:rsid w:val="35BE2031"/>
    <w:rsid w:val="5959555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225" w:after="225" w:line="360" w:lineRule="auto"/>
    </w:pPr>
    <w:rPr>
      <w:rFonts w:eastAsia="Times New Roman" w:asciiTheme="minorHAnsi" w:hAnsiTheme="minorHAnsi" w:cstheme="minorHAnsi"/>
      <w:color w:val="494949"/>
      <w:sz w:val="24"/>
      <w:szCs w:val="24"/>
      <w:lang w:val="en-GB" w:eastAsia="en-GB" w:bidi="ar-SA"/>
    </w:rPr>
  </w:style>
  <w:style w:type="paragraph" w:styleId="2">
    <w:name w:val="heading 1"/>
    <w:basedOn w:val="1"/>
    <w:next w:val="1"/>
    <w:link w:val="16"/>
    <w:qFormat/>
    <w:uiPriority w:val="9"/>
    <w:pPr>
      <w:keepNext/>
      <w:keepLines/>
      <w:spacing w:before="240" w:after="0"/>
      <w:jc w:val="center"/>
      <w:outlineLvl w:val="0"/>
    </w:pPr>
    <w:rPr>
      <w:rFonts w:eastAsiaTheme="majorEastAsia"/>
      <w:b/>
      <w:bCs/>
      <w:color w:val="auto"/>
      <w:sz w:val="28"/>
      <w:szCs w:val="28"/>
    </w:rPr>
  </w:style>
  <w:style w:type="paragraph" w:styleId="3">
    <w:name w:val="heading 2"/>
    <w:basedOn w:val="1"/>
    <w:next w:val="1"/>
    <w:link w:val="17"/>
    <w:unhideWhenUsed/>
    <w:qFormat/>
    <w:uiPriority w:val="9"/>
    <w:pPr>
      <w:keepNext/>
      <w:keepLines/>
      <w:spacing w:before="40" w:after="0"/>
      <w:outlineLvl w:val="1"/>
    </w:pPr>
    <w:rPr>
      <w:rFonts w:eastAsiaTheme="majorEastAsia"/>
      <w:b/>
      <w:bCs/>
      <w:color w:val="000000" w:themeColor="text1"/>
      <w:sz w:val="26"/>
      <w:szCs w:val="26"/>
      <w14:textFill>
        <w14:solidFill>
          <w14:schemeClr w14:val="tx1"/>
        </w14:solidFill>
      </w14:textFill>
    </w:rPr>
  </w:style>
  <w:style w:type="paragraph" w:styleId="4">
    <w:name w:val="heading 3"/>
    <w:basedOn w:val="1"/>
    <w:next w:val="1"/>
    <w:link w:val="18"/>
    <w:unhideWhenUsed/>
    <w:qFormat/>
    <w:uiPriority w:val="9"/>
    <w:pPr>
      <w:keepNext/>
      <w:keepLines/>
      <w:spacing w:before="40" w:after="0"/>
      <w:outlineLvl w:val="2"/>
    </w:pPr>
    <w:rPr>
      <w:rFonts w:eastAsiaTheme="majorEastAsia"/>
      <w:b/>
      <w:bCs/>
      <w:color w:val="000000" w:themeColor="text1"/>
      <w14:textFill>
        <w14:solidFill>
          <w14:schemeClr w14:val="tx1"/>
        </w14:solidFill>
      </w14:textFill>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caption"/>
    <w:basedOn w:val="1"/>
    <w:next w:val="1"/>
    <w:unhideWhenUsed/>
    <w:qFormat/>
    <w:uiPriority w:val="35"/>
    <w:pPr>
      <w:spacing w:before="0" w:after="200" w:line="240" w:lineRule="auto"/>
    </w:pPr>
    <w:rPr>
      <w:i/>
      <w:iCs/>
      <w:color w:val="44546A" w:themeColor="text2"/>
      <w:sz w:val="18"/>
      <w:szCs w:val="18"/>
      <w14:textFill>
        <w14:solidFill>
          <w14:schemeClr w14:val="tx2"/>
        </w14:solidFill>
      </w14:textFill>
    </w:rPr>
  </w:style>
  <w:style w:type="paragraph" w:styleId="8">
    <w:name w:val="footer"/>
    <w:basedOn w:val="1"/>
    <w:link w:val="23"/>
    <w:unhideWhenUsed/>
    <w:qFormat/>
    <w:uiPriority w:val="99"/>
    <w:pPr>
      <w:tabs>
        <w:tab w:val="center" w:pos="4680"/>
        <w:tab w:val="right" w:pos="9360"/>
      </w:tabs>
      <w:spacing w:before="0" w:after="0" w:line="240" w:lineRule="auto"/>
    </w:pPr>
  </w:style>
  <w:style w:type="paragraph" w:styleId="9">
    <w:name w:val="header"/>
    <w:basedOn w:val="1"/>
    <w:link w:val="22"/>
    <w:unhideWhenUsed/>
    <w:uiPriority w:val="99"/>
    <w:pPr>
      <w:tabs>
        <w:tab w:val="center" w:pos="4680"/>
        <w:tab w:val="right" w:pos="9360"/>
      </w:tabs>
      <w:spacing w:before="0" w:after="0" w:line="240" w:lineRule="auto"/>
    </w:pPr>
  </w:style>
  <w:style w:type="character" w:styleId="10">
    <w:name w:val="Hyperlink"/>
    <w:basedOn w:val="5"/>
    <w:unhideWhenUsed/>
    <w:uiPriority w:val="99"/>
    <w:rPr>
      <w:color w:val="0563C1" w:themeColor="hyperlink"/>
      <w:u w:val="single"/>
      <w14:textFill>
        <w14:solidFill>
          <w14:schemeClr w14:val="hlink"/>
        </w14:solidFill>
      </w14:textFill>
    </w:rPr>
  </w:style>
  <w:style w:type="table" w:styleId="11">
    <w:name w:val="Table Grid"/>
    <w:basedOn w:val="6"/>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table of figures"/>
    <w:basedOn w:val="1"/>
    <w:next w:val="1"/>
    <w:unhideWhenUsed/>
    <w:qFormat/>
    <w:uiPriority w:val="99"/>
    <w:pPr>
      <w:spacing w:after="0"/>
    </w:pPr>
  </w:style>
  <w:style w:type="paragraph" w:styleId="13">
    <w:name w:val="toc 1"/>
    <w:basedOn w:val="1"/>
    <w:next w:val="1"/>
    <w:unhideWhenUsed/>
    <w:uiPriority w:val="39"/>
    <w:pPr>
      <w:spacing w:after="100"/>
    </w:pPr>
  </w:style>
  <w:style w:type="paragraph" w:styleId="14">
    <w:name w:val="toc 2"/>
    <w:basedOn w:val="1"/>
    <w:next w:val="1"/>
    <w:unhideWhenUsed/>
    <w:uiPriority w:val="39"/>
    <w:pPr>
      <w:spacing w:after="100"/>
      <w:ind w:left="240"/>
    </w:pPr>
  </w:style>
  <w:style w:type="paragraph" w:styleId="15">
    <w:name w:val="toc 3"/>
    <w:basedOn w:val="1"/>
    <w:next w:val="1"/>
    <w:unhideWhenUsed/>
    <w:uiPriority w:val="39"/>
    <w:pPr>
      <w:spacing w:after="100"/>
      <w:ind w:left="480"/>
    </w:pPr>
  </w:style>
  <w:style w:type="character" w:customStyle="1" w:styleId="16">
    <w:name w:val="Heading 1 Char"/>
    <w:basedOn w:val="5"/>
    <w:link w:val="2"/>
    <w:uiPriority w:val="9"/>
    <w:rPr>
      <w:rFonts w:eastAsiaTheme="majorEastAsia" w:cstheme="minorHAnsi"/>
      <w:b/>
      <w:bCs/>
      <w:sz w:val="28"/>
      <w:szCs w:val="28"/>
      <w:lang w:val="en-GB" w:eastAsia="en-GB"/>
    </w:rPr>
  </w:style>
  <w:style w:type="character" w:customStyle="1" w:styleId="17">
    <w:name w:val="Heading 2 Char"/>
    <w:basedOn w:val="5"/>
    <w:link w:val="3"/>
    <w:uiPriority w:val="9"/>
    <w:rPr>
      <w:rFonts w:eastAsiaTheme="majorEastAsia" w:cstheme="minorHAnsi"/>
      <w:b/>
      <w:bCs/>
      <w:color w:val="000000" w:themeColor="text1"/>
      <w:sz w:val="26"/>
      <w:szCs w:val="26"/>
      <w:lang w:val="en-GB" w:eastAsia="en-GB"/>
      <w14:textFill>
        <w14:solidFill>
          <w14:schemeClr w14:val="tx1"/>
        </w14:solidFill>
      </w14:textFill>
    </w:rPr>
  </w:style>
  <w:style w:type="character" w:customStyle="1" w:styleId="18">
    <w:name w:val="Heading 3 Char"/>
    <w:basedOn w:val="5"/>
    <w:link w:val="4"/>
    <w:uiPriority w:val="9"/>
    <w:rPr>
      <w:rFonts w:eastAsiaTheme="majorEastAsia" w:cstheme="minorHAnsi"/>
      <w:b/>
      <w:bCs/>
      <w:color w:val="000000" w:themeColor="text1"/>
      <w:sz w:val="24"/>
      <w:szCs w:val="24"/>
      <w:lang w:val="en-GB" w:eastAsia="en-GB"/>
      <w14:textFill>
        <w14:solidFill>
          <w14:schemeClr w14:val="tx1"/>
        </w14:solidFill>
      </w14:textFill>
    </w:rPr>
  </w:style>
  <w:style w:type="paragraph" w:styleId="19">
    <w:name w:val="No Spacing"/>
    <w:qFormat/>
    <w:uiPriority w:val="1"/>
    <w:pPr>
      <w:spacing w:after="0" w:line="360" w:lineRule="auto"/>
      <w:jc w:val="both"/>
    </w:pPr>
    <w:rPr>
      <w:rFonts w:eastAsia="Times New Roman" w:asciiTheme="minorHAnsi" w:hAnsiTheme="minorHAnsi" w:cstheme="minorHAnsi"/>
      <w:color w:val="000000" w:themeColor="text1"/>
      <w:sz w:val="24"/>
      <w:szCs w:val="24"/>
      <w:lang w:val="en-GB" w:eastAsia="en-GB" w:bidi="ar-SA"/>
      <w14:textFill>
        <w14:solidFill>
          <w14:schemeClr w14:val="tx1"/>
        </w14:solidFill>
      </w14:textFill>
    </w:rPr>
  </w:style>
  <w:style w:type="table" w:customStyle="1" w:styleId="20">
    <w:name w:val="Grid Table 3"/>
    <w:basedOn w:val="6"/>
    <w:uiPriority w:val="48"/>
    <w:pPr>
      <w:spacing w:after="0" w:line="240" w:lineRule="auto"/>
    </w:p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CCCCCC" w:themeFill="text1" w:themeFillTint="33"/>
      </w:tcPr>
    </w:tblStylePr>
    <w:tblStylePr w:type="band1Horz">
      <w:tcPr>
        <w:shd w:val="clear" w:color="auto" w:fill="CCCCCC" w:themeFill="text1" w:themeFillTint="33"/>
      </w:tcPr>
    </w:tblStylePr>
    <w:tblStylePr w:type="neCell">
      <w:tcPr>
        <w:tcBorders>
          <w:bottom w:val="single" w:color="666666" w:themeColor="text1" w:themeTint="99" w:sz="4" w:space="0"/>
        </w:tcBorders>
      </w:tcPr>
    </w:tblStylePr>
    <w:tblStylePr w:type="nwCell">
      <w:tcPr>
        <w:tcBorders>
          <w:bottom w:val="single" w:color="666666" w:themeColor="text1" w:themeTint="99" w:sz="4" w:space="0"/>
        </w:tcBorders>
      </w:tcPr>
    </w:tblStylePr>
    <w:tblStylePr w:type="seCell">
      <w:tcPr>
        <w:tcBorders>
          <w:top w:val="single" w:color="666666" w:themeColor="text1" w:themeTint="99" w:sz="4" w:space="0"/>
        </w:tcBorders>
      </w:tcPr>
    </w:tblStylePr>
    <w:tblStylePr w:type="swCell">
      <w:tcPr>
        <w:tcBorders>
          <w:top w:val="single" w:color="666666" w:themeColor="text1" w:themeTint="99" w:sz="4" w:space="0"/>
        </w:tcBorders>
      </w:tcPr>
    </w:tblStylePr>
  </w:style>
  <w:style w:type="table" w:customStyle="1" w:styleId="21">
    <w:name w:val="Grid Table 3 Accent 1"/>
    <w:basedOn w:val="6"/>
    <w:qFormat/>
    <w:uiPriority w:val="48"/>
    <w:pPr>
      <w:spacing w:after="0" w:line="240" w:lineRule="auto"/>
    </w:pPr>
    <w:tblPr>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rPr>
      <w:tcPr>
        <w:tcBorders>
          <w:top w:val="nil"/>
          <w:left w:val="nil"/>
          <w:right w:val="nil"/>
          <w:insideH w:val="nil"/>
          <w:insideV w:val="nil"/>
        </w:tcBorders>
        <w:shd w:val="clear" w:color="auto" w:fill="FFFFFF" w:themeFill="background1"/>
      </w:tcPr>
    </w:tblStylePr>
    <w:tblStylePr w:type="lastRow">
      <w:rPr>
        <w:b/>
        <w:bCs/>
      </w:rPr>
      <w:tcPr>
        <w:tcBorders>
          <w:left w:val="nil"/>
          <w:bottom w:val="nil"/>
          <w:right w:val="nil"/>
          <w:insideH w:val="nil"/>
          <w:insideV w:val="nil"/>
        </w:tcBorders>
        <w:shd w:val="clear" w:color="auto" w:fill="FFFFFF" w:themeFill="background1"/>
      </w:tcPr>
    </w:tblStylePr>
    <w:tblStylePr w:type="firstCol">
      <w:pPr>
        <w:jc w:val="right"/>
      </w:pPr>
      <w:rPr>
        <w:i/>
        <w:iCs/>
      </w:rPr>
      <w:tcPr>
        <w:tcBorders>
          <w:top w:val="nil"/>
          <w:left w:val="nil"/>
          <w:bottom w:val="nil"/>
          <w:insideH w:val="nil"/>
          <w:insideV w:val="nil"/>
        </w:tcBorders>
        <w:shd w:val="clear" w:color="auto" w:fill="FFFFFF" w:themeFill="background1"/>
      </w:tcPr>
    </w:tblStylePr>
    <w:tblStylePr w:type="lastCol">
      <w:rPr>
        <w:i/>
        <w:iCs/>
      </w:rPr>
      <w:tcPr>
        <w:tcBorders>
          <w:top w:val="nil"/>
          <w:bottom w:val="nil"/>
          <w:right w:val="nil"/>
          <w:insideH w:val="nil"/>
          <w:insideV w:val="nil"/>
        </w:tcBorders>
        <w:shd w:val="clear" w:color="auto" w:fill="FFFFFF" w:themeFill="background1"/>
      </w:tcPr>
    </w:tblStylePr>
    <w:tblStylePr w:type="band1Vert">
      <w:tcPr>
        <w:shd w:val="clear" w:color="auto" w:fill="DEEAF6" w:themeFill="accent1" w:themeFillTint="33"/>
      </w:tcPr>
    </w:tblStylePr>
    <w:tblStylePr w:type="band1Horz">
      <w:tcPr>
        <w:shd w:val="clear" w:color="auto" w:fill="DEEAF6" w:themeFill="accent1" w:themeFillTint="33"/>
      </w:tcPr>
    </w:tblStylePr>
    <w:tblStylePr w:type="neCell">
      <w:tcPr>
        <w:tcBorders>
          <w:bottom w:val="single" w:color="9CC2E5" w:themeColor="accent1" w:themeTint="99" w:sz="4" w:space="0"/>
        </w:tcBorders>
      </w:tcPr>
    </w:tblStylePr>
    <w:tblStylePr w:type="nwCell">
      <w:tcPr>
        <w:tcBorders>
          <w:bottom w:val="single" w:color="9CC2E5" w:themeColor="accent1" w:themeTint="99" w:sz="4" w:space="0"/>
        </w:tcBorders>
      </w:tcPr>
    </w:tblStylePr>
    <w:tblStylePr w:type="seCell">
      <w:tcPr>
        <w:tcBorders>
          <w:top w:val="single" w:color="9CC2E5" w:themeColor="accent1" w:themeTint="99" w:sz="4" w:space="0"/>
        </w:tcBorders>
      </w:tcPr>
    </w:tblStylePr>
    <w:tblStylePr w:type="swCell">
      <w:tcPr>
        <w:tcBorders>
          <w:top w:val="single" w:color="9CC2E5" w:themeColor="accent1" w:themeTint="99" w:sz="4" w:space="0"/>
        </w:tcBorders>
      </w:tcPr>
    </w:tblStylePr>
  </w:style>
  <w:style w:type="character" w:customStyle="1" w:styleId="22">
    <w:name w:val="Header Char"/>
    <w:basedOn w:val="5"/>
    <w:link w:val="9"/>
    <w:uiPriority w:val="99"/>
    <w:rPr>
      <w:rFonts w:eastAsia="Times New Roman" w:cstheme="minorHAnsi"/>
      <w:color w:val="494949"/>
      <w:sz w:val="24"/>
      <w:szCs w:val="24"/>
      <w:lang w:val="en-GB" w:eastAsia="en-GB"/>
    </w:rPr>
  </w:style>
  <w:style w:type="character" w:customStyle="1" w:styleId="23">
    <w:name w:val="Footer Char"/>
    <w:basedOn w:val="5"/>
    <w:link w:val="8"/>
    <w:uiPriority w:val="99"/>
    <w:rPr>
      <w:rFonts w:eastAsia="Times New Roman" w:cstheme="minorHAnsi"/>
      <w:color w:val="494949"/>
      <w:sz w:val="24"/>
      <w:szCs w:val="24"/>
      <w:lang w:val="en-GB" w:eastAsia="en-GB"/>
    </w:rPr>
  </w:style>
  <w:style w:type="paragraph" w:styleId="24">
    <w:name w:val="List Paragraph"/>
    <w:basedOn w:val="1"/>
    <w:qFormat/>
    <w:uiPriority w:val="34"/>
    <w:pPr>
      <w:ind w:left="720"/>
      <w:contextualSpacing/>
    </w:pPr>
  </w:style>
  <w:style w:type="paragraph" w:customStyle="1" w:styleId="25">
    <w:name w:val="TOC Heading"/>
    <w:basedOn w:val="2"/>
    <w:next w:val="1"/>
    <w:unhideWhenUsed/>
    <w:qFormat/>
    <w:uiPriority w:val="39"/>
    <w:pPr>
      <w:spacing w:line="259" w:lineRule="auto"/>
      <w:jc w:val="left"/>
      <w:outlineLvl w:val="9"/>
    </w:pPr>
    <w:rPr>
      <w:rFonts w:asciiTheme="majorHAnsi" w:hAnsiTheme="majorHAnsi" w:cstheme="majorBidi"/>
      <w:b w:val="0"/>
      <w:bCs w:val="0"/>
      <w:color w:val="2E75B6" w:themeColor="accent1" w:themeShade="BF"/>
      <w:sz w:val="32"/>
      <w:szCs w:val="32"/>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C4008E-7DA4-4874-8045-77B78B35010D}">
  <ds:schemaRefs/>
</ds:datastoreItem>
</file>

<file path=docProps/app.xml><?xml version="1.0" encoding="utf-8"?>
<Properties xmlns="http://schemas.openxmlformats.org/officeDocument/2006/extended-properties" xmlns:vt="http://schemas.openxmlformats.org/officeDocument/2006/docPropsVTypes">
  <Template>Normal</Template>
  <Pages>94</Pages>
  <Words>20365</Words>
  <Characters>116084</Characters>
  <Lines>967</Lines>
  <Paragraphs>272</Paragraphs>
  <TotalTime>15</TotalTime>
  <ScaleCrop>false</ScaleCrop>
  <LinksUpToDate>false</LinksUpToDate>
  <CharactersWithSpaces>136177</CharactersWithSpaces>
  <Application>WPS Office_11.2.0.11225_F1E327BC-269C-435d-A152-05C5408002CA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2023-10-11T10:38:00Z</dcterms:created>
  <dc:creator>SmartCom</dc:creator>
  <cp:lastModifiedBy>LENOVO</cp:lastModifiedBy>
  <dcterms:modified xsi:type="dcterms:W3CDTF">2023-10-17T23:58:56Z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1033-11.2.0.11225</vt:lpwstr>
  </property>
  <property fmtid="{D5CDD505-2E9C-101B-9397-08002B2CF9AE}" pid="3" name="ICV">
    <vt:lpwstr>49F156CC891244A4A374722B8430FEDF</vt:lpwstr>
  </property>
</Properties>
</file>