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DD4725" w14:textId="61E42807" w:rsidR="00232B6C" w:rsidRDefault="00232B6C" w:rsidP="00232B6C">
      <w:r w:rsidRPr="00204021">
        <w:t>A Comprehensive Comparison of School Math</w:t>
      </w:r>
      <w:r w:rsidRPr="00204021">
        <w:rPr>
          <w:rFonts w:hint="eastAsia"/>
        </w:rPr>
        <w:t>ematic</w:t>
      </w:r>
      <w:r w:rsidRPr="00204021">
        <w:t>s National Curriculums in Wales and England</w:t>
      </w:r>
    </w:p>
    <w:p w14:paraId="73D48281" w14:textId="4676FE77" w:rsidR="00CA1592" w:rsidRDefault="00CA1592" w:rsidP="00232B6C">
      <w:pPr>
        <w:rPr>
          <w:b/>
          <w:bCs/>
        </w:rPr>
      </w:pPr>
      <w:r w:rsidRPr="00CA1592">
        <w:rPr>
          <w:rFonts w:hint="eastAsia"/>
          <w:b/>
          <w:bCs/>
        </w:rPr>
        <w:t xml:space="preserve">Abstract </w:t>
      </w:r>
    </w:p>
    <w:p w14:paraId="34CEA66F" w14:textId="7823907A" w:rsidR="00CA1592" w:rsidRPr="00AB20C1" w:rsidRDefault="00AB20C1" w:rsidP="00232B6C">
      <w:pPr>
        <w:rPr>
          <w:rFonts w:hint="eastAsia"/>
        </w:rPr>
      </w:pPr>
      <w:r w:rsidRPr="00AB20C1">
        <w:t xml:space="preserve">This dissertation presents a comparative study of the mathematics curricula in Wales and England, focusing on the differing philosophies, structures, and educational objectives of each system. By examining key elements such as curriculum content, depth, and progression, the research highlights how the Welsh Progression Steps, shaped by the Donaldson Report, offer a more flexible and holistic educational approach compared to England’s structured and assessment-driven Key Stages. The analysis explores how each system addresses fundamental mathematical concepts, including fractions, the number system, and algebra, and evaluates the impact of these curriculum designs on student outcomes. Through a review of literature and policy documents, the study uncovers the strengths and challenges of each approach, discussing how the philosophical differences between the two nations translate into practical classroom implementation. The findings contribute to a deeper understanding of how educational philosophies influence mathematics teaching and </w:t>
      </w:r>
      <w:proofErr w:type="gramStart"/>
      <w:r w:rsidRPr="00AB20C1">
        <w:t>learning, and</w:t>
      </w:r>
      <w:proofErr w:type="gramEnd"/>
      <w:r w:rsidRPr="00AB20C1">
        <w:t xml:space="preserve"> provide recommendations for potential reforms that balance flexibility with academic rigor.</w:t>
      </w:r>
    </w:p>
    <w:p w14:paraId="65CEE55B" w14:textId="77777777" w:rsidR="00F3248E" w:rsidRPr="00CA1592" w:rsidRDefault="00F3248E" w:rsidP="00F3248E">
      <w:pPr>
        <w:rPr>
          <w:rFonts w:hint="eastAsia"/>
          <w:b/>
          <w:bCs/>
        </w:rPr>
      </w:pPr>
      <w:r w:rsidRPr="00CA1592">
        <w:rPr>
          <w:rFonts w:hint="eastAsia"/>
          <w:b/>
          <w:bCs/>
        </w:rPr>
        <w:t>Introduction</w:t>
      </w:r>
    </w:p>
    <w:p w14:paraId="4D41C13B" w14:textId="77777777" w:rsidR="00F3248E" w:rsidRPr="00204021" w:rsidRDefault="00F3248E" w:rsidP="00F3248E">
      <w:pPr>
        <w:rPr>
          <w:rFonts w:hint="eastAsia"/>
        </w:rPr>
      </w:pPr>
      <w:r w:rsidRPr="00204021">
        <w:t>This study conducts a comparative analysis of the mathematics curricula in Wales and England, focusing on curriculum content, structure, depth, and educational objectives. Through a systematic literature review, we explore key differences and similarities in algebra, geometry, statistics, and other mathematical areas. The research identifies effective teaching methods and curriculum designs, examining their historical and cultural contexts. The findings provide insights into the strengths and weaknesses of each curriculum, offering recommendations for enhancing mathematics education quality and promoting equitable resource distribution. This study contributes to the ongoing discourse on educational reform and curriculum development.</w:t>
      </w:r>
    </w:p>
    <w:p w14:paraId="6E9EC0DC" w14:textId="77777777" w:rsidR="00F3248E" w:rsidRPr="00204021" w:rsidRDefault="00F3248E" w:rsidP="00F3248E">
      <w:pPr>
        <w:rPr>
          <w:rFonts w:hint="eastAsia"/>
        </w:rPr>
      </w:pPr>
      <w:r w:rsidRPr="00204021">
        <w:rPr>
          <w:rFonts w:hint="eastAsia"/>
        </w:rPr>
        <w:t xml:space="preserve"> </w:t>
      </w:r>
    </w:p>
    <w:p w14:paraId="5B599C40" w14:textId="77777777" w:rsidR="00F3248E" w:rsidRPr="00204021" w:rsidRDefault="00F3248E" w:rsidP="00F3248E">
      <w:pPr>
        <w:rPr>
          <w:rFonts w:hint="eastAsia"/>
        </w:rPr>
      </w:pPr>
      <w:r w:rsidRPr="00204021">
        <w:rPr>
          <w:rFonts w:hint="eastAsia"/>
        </w:rPr>
        <w:t>Background</w:t>
      </w:r>
    </w:p>
    <w:p w14:paraId="17CC257C" w14:textId="77777777" w:rsidR="00F3248E" w:rsidRPr="00204021" w:rsidRDefault="00F3248E" w:rsidP="00F3248E">
      <w:pPr>
        <w:rPr>
          <w:rFonts w:hint="eastAsia"/>
        </w:rPr>
      </w:pPr>
      <w:r w:rsidRPr="00204021">
        <w:t xml:space="preserve">Wales and England share a deep historical connection, which is also reflected in their educational systems. A series of education-related policies and events </w:t>
      </w:r>
      <w:r w:rsidRPr="00204021">
        <w:rPr>
          <w:rFonts w:hint="eastAsia"/>
        </w:rPr>
        <w:t>occurred. I</w:t>
      </w:r>
      <w:r w:rsidRPr="00204021">
        <w:t>n 1847,</w:t>
      </w:r>
      <w:r w:rsidRPr="00204021">
        <w:rPr>
          <w:rFonts w:hint="eastAsia"/>
        </w:rPr>
        <w:t xml:space="preserve"> </w:t>
      </w:r>
      <w:r w:rsidRPr="00204021">
        <w:t>“</w:t>
      </w:r>
      <w:r w:rsidRPr="00204021">
        <w:rPr>
          <w:rFonts w:hint="eastAsia"/>
        </w:rPr>
        <w:t>treason of the blue books</w:t>
      </w:r>
      <w:r w:rsidRPr="00204021">
        <w:t>”</w:t>
      </w:r>
      <w:r w:rsidRPr="00204021">
        <w:rPr>
          <w:rFonts w:hint="eastAsia"/>
        </w:rPr>
        <w:t xml:space="preserve"> occurred, which had a profound on education and national identity in Wales. The British government commissioned a series of reports to investigate the state of education in Wales. These reports were compiled by a group of </w:t>
      </w:r>
      <w:r w:rsidRPr="00204021">
        <w:rPr>
          <w:rFonts w:hint="eastAsia"/>
        </w:rPr>
        <w:lastRenderedPageBreak/>
        <w:t>commissioners, and the findings were published in a series of documents known as the "Blue Books." The protested over the blue books contributed to a growing movement for educational reform in Wales. It highlighted the need for a more inclusive and culturally sensitive approach to education that recognized and respected the Welsh language and heritage.</w:t>
      </w:r>
      <w:r w:rsidRPr="00204021">
        <w:t xml:space="preserve"> </w:t>
      </w:r>
      <w:r w:rsidRPr="00204021">
        <w:rPr>
          <w:rFonts w:hint="eastAsia"/>
        </w:rPr>
        <w:t xml:space="preserve">In </w:t>
      </w:r>
      <w:r w:rsidRPr="00204021">
        <w:t>1889,</w:t>
      </w:r>
      <w:r w:rsidRPr="00204021">
        <w:rPr>
          <w:rFonts w:hint="eastAsia"/>
        </w:rPr>
        <w:t xml:space="preserve"> </w:t>
      </w:r>
      <w:r w:rsidRPr="00204021">
        <w:t xml:space="preserve">significant educational reforms took place in both Wales and England with the passage of the Welsh Intermediate Education Act, which aimed to improve secondary education in Wales, and the Education Act in England that focused on the establishment of local education authorities. The Welsh Intermediate Education Act facilitated the creation of new intermediate schools and the establishment of the Central Welsh Board to oversee their inspection and examination, thereby expanding educational opportunities for the Welsh population and addressing the needs of an industrializing society. Meanwhile, in England, the Education Act aimed to reorganize the education system by providing local authorities with the responsibility to manage and fund schools, reflecting a broader movement towards state involvement in education. Together, these reforms marked a pivotal shift towards more structured and accessible education systems in both regions, highlighting the growing recognition of education's role in social and economic development. </w:t>
      </w:r>
      <w:r w:rsidRPr="00204021">
        <w:rPr>
          <w:rFonts w:hint="eastAsia"/>
        </w:rPr>
        <w:t>In 1902</w:t>
      </w:r>
      <w:r w:rsidRPr="00204021">
        <w:t xml:space="preserve"> the implementation of the Education Act in England and Wales sparked significant resistance in Wales, particularly from Nonconformists who opposed the Act's provision for state funding of denominational (mainly Anglican) schools, which they felt marginalized their own educational institutions. This discontent culminated in the 'Welsh Revolt' of 1904-1905, where nearly all education authorities in Wales refused to comply with the Act, reflecting a broader struggle for Welsh identity and autonomy against perceived English imposition. The revolt highlighted the tensions between Welsh cultural aspirations and English policies, setting the stage for future discussions on educational reform and the establishment of a more distinct Welsh educational system. (Elwyn Jones, 2006) </w:t>
      </w:r>
      <w:r w:rsidRPr="00204021">
        <w:rPr>
          <w:rFonts w:hint="eastAsia"/>
        </w:rPr>
        <w:t xml:space="preserve">These events </w:t>
      </w:r>
      <w:r w:rsidRPr="00204021">
        <w:t>highlight the complex relationship between the educational systems of England and Wales, demonstrating the significant influence of England on Welsh education. Throughout the 20th century, various movements for Welsh nationalism and devolution gained momentum, particularly in response to the perceived neglect of Welsh interests by the central UK government. The establishment of the Welsh Office in 1965 and the appointment of a Secretary of State for Wales marked a shift towards more localized governance, although it still operated within the framework of Westminster. The 1979 devolution referendum, although unsuccessful, indicated a strong desire among the Welsh population for greater self-determination. The political landscape shifted further in the 1990s, culminating in a successful devolution referendum in 1997, which led to the creation of the National Assembly for Wales in 1999.</w:t>
      </w:r>
      <w:r w:rsidRPr="00204021">
        <w:rPr>
          <w:rFonts w:hint="eastAsia"/>
        </w:rPr>
        <w:t xml:space="preserve"> W</w:t>
      </w:r>
      <w:r w:rsidRPr="00204021">
        <w:t xml:space="preserve">ith the establishment of the Welsh Assembly Government in 1999 (Smith, 2016), Wales began to independently set </w:t>
      </w:r>
      <w:r w:rsidRPr="00204021">
        <w:lastRenderedPageBreak/>
        <w:t xml:space="preserve">its curriculum to better cater to the development of Welsh students, leading to substantial differences between the educational systems of Wales and England. </w:t>
      </w:r>
    </w:p>
    <w:p w14:paraId="0DC6BE8C" w14:textId="77777777" w:rsidR="00F3248E" w:rsidRPr="00204021" w:rsidRDefault="00F3248E" w:rsidP="00F3248E">
      <w:pPr>
        <w:rPr>
          <w:rFonts w:hint="eastAsia"/>
        </w:rPr>
      </w:pPr>
      <w:r w:rsidRPr="00204021">
        <w:t>In the years following, a series of policy changes and educational reforms were initiated to refine and improve the educational landscape in Wales. In 2001, the Welsh Government introduced the Foundation Phase for early years education, emphasizing experiential learning and developmental stages (Welsh Government, 2001). By 2008, this had been rolled out across all schools. Additionally, the introduction of the Welsh Baccalaureate Qualification in 2003 aimed to provide a broader, more balanced curriculum for students aged 14-19 (Welsh Government, 2003). These initiatives were steps toward a more customized and comprehensive educational system.</w:t>
      </w:r>
    </w:p>
    <w:p w14:paraId="1C88B2B0" w14:textId="77777777" w:rsidR="00F3248E" w:rsidRPr="00204021" w:rsidRDefault="00F3248E" w:rsidP="00F3248E">
      <w:pPr>
        <w:rPr>
          <w:rFonts w:hint="eastAsia"/>
        </w:rPr>
      </w:pPr>
      <w:r w:rsidRPr="00204021">
        <w:rPr>
          <w:rFonts w:hint="eastAsia"/>
        </w:rPr>
        <w:t>U</w:t>
      </w:r>
      <w:r w:rsidRPr="00204021">
        <w:t xml:space="preserve">nder the leadership of Donaldson (2015), Wales published "Successful Futures: Independent Review of Curriculum and Assessment Arrangements in Wales." Subsequently, the Welsh Government (2019) released a new curriculum and assessment framework, which was implemented in all schools in 2022 (Education Wales, 2024). </w:t>
      </w:r>
      <w:r w:rsidRPr="00204021">
        <w:rPr>
          <w:rFonts w:hint="eastAsia"/>
        </w:rPr>
        <w:t xml:space="preserve">Compared with Wales, England </w:t>
      </w:r>
      <w:r w:rsidRPr="00204021">
        <w:t>mathematics curriculum is structured more traditionally, with a strong emphasis on individual subject mastery and standardized testing (Department for Education, 2013). The curriculum is divided into specific key stages, each with detailed learning objectives and milestones (D</w:t>
      </w:r>
      <w:r w:rsidRPr="00204021">
        <w:rPr>
          <w:rFonts w:hint="eastAsia"/>
        </w:rPr>
        <w:t xml:space="preserve">epartment </w:t>
      </w:r>
      <w:r w:rsidRPr="00204021">
        <w:t>f</w:t>
      </w:r>
      <w:r w:rsidRPr="00204021">
        <w:rPr>
          <w:rFonts w:hint="eastAsia"/>
        </w:rPr>
        <w:t xml:space="preserve">or </w:t>
      </w:r>
      <w:r w:rsidRPr="00204021">
        <w:t>E</w:t>
      </w:r>
      <w:r w:rsidRPr="00204021">
        <w:rPr>
          <w:rFonts w:hint="eastAsia"/>
        </w:rPr>
        <w:t>ducation</w:t>
      </w:r>
      <w:r w:rsidRPr="00204021">
        <w:t>, 2014).</w:t>
      </w:r>
      <w:r w:rsidRPr="00204021">
        <w:rPr>
          <w:rFonts w:hint="eastAsia"/>
        </w:rPr>
        <w:t xml:space="preserve"> </w:t>
      </w:r>
      <w:r w:rsidRPr="00204021">
        <w:t>Consequently, a comparison of the mathematics curricula in Wales and England reveals both significant historical connections and differences, such as varying requirements in curriculum structure design, teaching methods, and skills development.</w:t>
      </w:r>
      <w:r w:rsidRPr="00204021">
        <w:rPr>
          <w:rFonts w:hint="eastAsia"/>
        </w:rPr>
        <w:t xml:space="preserve"> </w:t>
      </w:r>
    </w:p>
    <w:p w14:paraId="433BDBC2" w14:textId="77777777" w:rsidR="00F3248E" w:rsidRPr="00204021" w:rsidRDefault="00F3248E" w:rsidP="00F3248E">
      <w:pPr>
        <w:rPr>
          <w:rFonts w:hint="eastAsia"/>
        </w:rPr>
      </w:pPr>
      <w:r w:rsidRPr="00204021">
        <w:rPr>
          <w:rFonts w:hint="eastAsia"/>
        </w:rPr>
        <w:t>There are also some history context and cultural influences, which make these two nations are somewhat different. For example, t</w:t>
      </w:r>
      <w:r w:rsidRPr="00204021">
        <w:t xml:space="preserve">he industrial history of both </w:t>
      </w:r>
      <w:r w:rsidRPr="00204021">
        <w:rPr>
          <w:rFonts w:hint="eastAsia"/>
        </w:rPr>
        <w:t>nation</w:t>
      </w:r>
      <w:r w:rsidRPr="00204021">
        <w:t>s plays a role. England's long-standing focus on industrialization and technological advancement has influenced its curriculum to emphasize rigorous mathematical skills needed for scientific and industrial applications (Department for Education, 2013). Conversely, Wales, with its historical focus on community and social cohesion, has integrated broader educational goals into its curriculum, including the development of social and cultural competencies (Donaldson, 2015).</w:t>
      </w:r>
    </w:p>
    <w:p w14:paraId="6A6A88CD" w14:textId="77777777" w:rsidR="00F3248E" w:rsidRPr="00204021" w:rsidRDefault="00F3248E" w:rsidP="00F3248E">
      <w:pPr>
        <w:rPr>
          <w:rFonts w:hint="eastAsia"/>
        </w:rPr>
      </w:pPr>
      <w:r w:rsidRPr="00204021">
        <w:rPr>
          <w:rFonts w:hint="eastAsia"/>
        </w:rPr>
        <w:t xml:space="preserve"> </w:t>
      </w:r>
    </w:p>
    <w:p w14:paraId="140F0CD2" w14:textId="77777777" w:rsidR="00F3248E" w:rsidRPr="00204021" w:rsidRDefault="00F3248E" w:rsidP="00F3248E">
      <w:pPr>
        <w:rPr>
          <w:rFonts w:hint="eastAsia"/>
        </w:rPr>
      </w:pPr>
      <w:r w:rsidRPr="00204021">
        <w:t>The role of community and societal values in shaping education is more pronounced in Wales. Educational initiatives often involve community input and aim to address local needs, resulting in a curriculum that is more tailored to the Welsh context (Estyn, 2018). England's curriculum, however, is more standardized and aims to maintain consistency across a diverse and populous nation, ensuring a common educational framework (Ofqual, 2017</w:t>
      </w:r>
      <w:r w:rsidRPr="00204021">
        <w:rPr>
          <w:rFonts w:hint="eastAsia"/>
        </w:rPr>
        <w:t xml:space="preserve">; </w:t>
      </w:r>
      <w:r w:rsidRPr="00204021">
        <w:t>Alexander, 2012).</w:t>
      </w:r>
    </w:p>
    <w:p w14:paraId="206BA0CB" w14:textId="77777777" w:rsidR="00F3248E" w:rsidRPr="00204021" w:rsidRDefault="00F3248E" w:rsidP="00F3248E">
      <w:pPr>
        <w:rPr>
          <w:rFonts w:hint="eastAsia"/>
        </w:rPr>
      </w:pPr>
      <w:r w:rsidRPr="00204021">
        <w:lastRenderedPageBreak/>
        <w:t xml:space="preserve"> </w:t>
      </w:r>
    </w:p>
    <w:p w14:paraId="5C0450AE" w14:textId="77777777" w:rsidR="00F3248E" w:rsidRPr="00204021" w:rsidRDefault="00F3248E" w:rsidP="00F3248E">
      <w:pPr>
        <w:rPr>
          <w:rFonts w:hint="eastAsia"/>
        </w:rPr>
      </w:pPr>
      <w:r w:rsidRPr="00204021">
        <w:rPr>
          <w:rFonts w:hint="eastAsia"/>
        </w:rPr>
        <w:t>Objectives</w:t>
      </w:r>
    </w:p>
    <w:p w14:paraId="2C98013F" w14:textId="77777777" w:rsidR="00F3248E" w:rsidRPr="00204021" w:rsidRDefault="00F3248E" w:rsidP="00F3248E">
      <w:pPr>
        <w:rPr>
          <w:rFonts w:hint="eastAsia"/>
        </w:rPr>
      </w:pPr>
      <w:r w:rsidRPr="00204021">
        <w:t>Discussing and comparing the mathematics curricula of the two regions holds great practical significance. It allows for an in-depth exploration of the causes of these differences and offers an evaluation of the current educational models. This, in turn, can provide valuable insights for future educational reforms.</w:t>
      </w:r>
    </w:p>
    <w:p w14:paraId="5E74A627" w14:textId="77777777" w:rsidR="00F3248E" w:rsidRPr="00204021" w:rsidRDefault="00F3248E" w:rsidP="00F3248E">
      <w:pPr>
        <w:rPr>
          <w:rFonts w:hint="eastAsia"/>
        </w:rPr>
      </w:pPr>
      <w:r w:rsidRPr="00204021">
        <w:t xml:space="preserve">The theme to be explored in this essay is What are the differences in course structure, content, and assessment methods between high school mathematics curricula in Wales and England, what are the causes of these differences, and how do these differences impact students? </w:t>
      </w:r>
    </w:p>
    <w:p w14:paraId="3C16FEF5" w14:textId="77777777" w:rsidR="00F3248E" w:rsidRPr="00204021" w:rsidRDefault="00F3248E" w:rsidP="00F3248E">
      <w:pPr>
        <w:rPr>
          <w:rFonts w:hint="eastAsia"/>
        </w:rPr>
      </w:pPr>
      <w:r w:rsidRPr="00204021">
        <w:t xml:space="preserve">The aim is to systematically compare and </w:t>
      </w:r>
      <w:proofErr w:type="spellStart"/>
      <w:r w:rsidRPr="00204021">
        <w:t>analyze</w:t>
      </w:r>
      <w:proofErr w:type="spellEnd"/>
      <w:r w:rsidRPr="00204021">
        <w:t xml:space="preserve"> the differences in course structure, content, and assessment methods between high school mathematics curricula in Wales and England, to investigate the causes of these differences, and to explore how these differences impact students.</w:t>
      </w:r>
    </w:p>
    <w:p w14:paraId="593FE035" w14:textId="77777777" w:rsidR="00F3248E" w:rsidRPr="00204021" w:rsidRDefault="00F3248E" w:rsidP="00F3248E">
      <w:pPr>
        <w:rPr>
          <w:rFonts w:hint="eastAsia"/>
        </w:rPr>
      </w:pPr>
      <w:r w:rsidRPr="00204021">
        <w:t>The objective of this essay is following:</w:t>
      </w:r>
    </w:p>
    <w:p w14:paraId="02893DFB" w14:textId="77777777" w:rsidR="00F3248E" w:rsidRPr="00204021" w:rsidRDefault="00F3248E" w:rsidP="00F3248E">
      <w:pPr>
        <w:rPr>
          <w:rFonts w:hint="eastAsia"/>
        </w:rPr>
      </w:pPr>
      <w:r w:rsidRPr="00204021">
        <w:t>1.Identify and Compare Curricular Differences:</w:t>
      </w:r>
    </w:p>
    <w:p w14:paraId="661B68CC" w14:textId="1E1F45E6" w:rsidR="00F3248E" w:rsidRPr="00204021" w:rsidRDefault="00F3248E" w:rsidP="00F3248E">
      <w:pPr>
        <w:rPr>
          <w:rFonts w:hint="eastAsia"/>
        </w:rPr>
      </w:pPr>
      <w:r w:rsidRPr="00204021">
        <w:rPr>
          <w:rFonts w:hint="eastAsia"/>
        </w:rPr>
        <w:t xml:space="preserve">The primary </w:t>
      </w:r>
      <w:r w:rsidR="002F733A" w:rsidRPr="00204021">
        <w:t>objective</w:t>
      </w:r>
      <w:r w:rsidRPr="00204021">
        <w:rPr>
          <w:rFonts w:hint="eastAsia"/>
        </w:rPr>
        <w:t xml:space="preserve"> of this study is t</w:t>
      </w:r>
      <w:r w:rsidRPr="00204021">
        <w:t xml:space="preserve">o document and </w:t>
      </w:r>
      <w:proofErr w:type="spellStart"/>
      <w:r w:rsidRPr="00204021">
        <w:t>analyze</w:t>
      </w:r>
      <w:proofErr w:type="spellEnd"/>
      <w:r w:rsidRPr="00204021">
        <w:t xml:space="preserve"> the specific differences in the course structure, content, and assessment methods of high school mathematics curricula in Wales and England.</w:t>
      </w:r>
    </w:p>
    <w:p w14:paraId="4490572B" w14:textId="77777777" w:rsidR="00F3248E" w:rsidRPr="00204021" w:rsidRDefault="00F3248E" w:rsidP="00F3248E">
      <w:pPr>
        <w:rPr>
          <w:rFonts w:hint="eastAsia"/>
        </w:rPr>
      </w:pPr>
      <w:r w:rsidRPr="00204021">
        <w:rPr>
          <w:rFonts w:hint="eastAsia"/>
        </w:rPr>
        <w:t>This</w:t>
      </w:r>
      <w:r w:rsidRPr="00204021">
        <w:t xml:space="preserve"> detailed comparison </w:t>
      </w:r>
      <w:r w:rsidRPr="00204021">
        <w:rPr>
          <w:rFonts w:hint="eastAsia"/>
        </w:rPr>
        <w:t xml:space="preserve">aims </w:t>
      </w:r>
      <w:r w:rsidRPr="00204021">
        <w:t>to highlight the unique features and practices of each curriculum</w:t>
      </w:r>
      <w:r w:rsidRPr="00204021">
        <w:rPr>
          <w:rFonts w:hint="eastAsia"/>
        </w:rPr>
        <w:t>, providing a comprehensive understanding of their respective educational approaches</w:t>
      </w:r>
      <w:r w:rsidRPr="00204021">
        <w:t>.</w:t>
      </w:r>
    </w:p>
    <w:p w14:paraId="706CDD2B" w14:textId="77777777" w:rsidR="00F3248E" w:rsidRPr="00204021" w:rsidRDefault="00F3248E" w:rsidP="00F3248E">
      <w:pPr>
        <w:rPr>
          <w:rFonts w:hint="eastAsia"/>
        </w:rPr>
      </w:pPr>
      <w:r w:rsidRPr="00204021">
        <w:t xml:space="preserve"> </w:t>
      </w:r>
    </w:p>
    <w:p w14:paraId="1B6D9E94" w14:textId="77777777" w:rsidR="00F3248E" w:rsidRPr="00204021" w:rsidRDefault="00F3248E" w:rsidP="00F3248E">
      <w:pPr>
        <w:rPr>
          <w:rFonts w:hint="eastAsia"/>
        </w:rPr>
      </w:pPr>
      <w:r w:rsidRPr="00204021">
        <w:t>2.Investigate the Causes of Curricular Differences:</w:t>
      </w:r>
    </w:p>
    <w:p w14:paraId="5769533B" w14:textId="77777777" w:rsidR="00F3248E" w:rsidRPr="00204021" w:rsidRDefault="00F3248E" w:rsidP="00F3248E">
      <w:pPr>
        <w:rPr>
          <w:rFonts w:hint="eastAsia"/>
        </w:rPr>
      </w:pPr>
      <w:r w:rsidRPr="00204021">
        <w:rPr>
          <w:rFonts w:hint="eastAsia"/>
        </w:rPr>
        <w:t>The purpose of this section is t</w:t>
      </w:r>
      <w:r w:rsidRPr="00204021">
        <w:t>o explore and understand the historical, cultural, and policy-related reasons behind the differences in the high school mathematics curricula between Wales and England.</w:t>
      </w:r>
    </w:p>
    <w:p w14:paraId="7EAAD280" w14:textId="77777777" w:rsidR="00F3248E" w:rsidRPr="00204021" w:rsidRDefault="00F3248E" w:rsidP="00F3248E">
      <w:pPr>
        <w:rPr>
          <w:rFonts w:hint="eastAsia"/>
        </w:rPr>
      </w:pPr>
      <w:r w:rsidRPr="00204021">
        <w:rPr>
          <w:rFonts w:hint="eastAsia"/>
        </w:rPr>
        <w:t>This analysis will delve into</w:t>
      </w:r>
      <w:r w:rsidRPr="00204021">
        <w:t xml:space="preserve"> the impact of educational reforms and regional educational goals on these curricula</w:t>
      </w:r>
      <w:r w:rsidRPr="00204021">
        <w:rPr>
          <w:rFonts w:hint="eastAsia"/>
        </w:rPr>
        <w:t>, providing a comprehensive understanding of the factors that have shaped their development</w:t>
      </w:r>
      <w:r w:rsidRPr="00204021">
        <w:t>.</w:t>
      </w:r>
    </w:p>
    <w:p w14:paraId="7A5A710E" w14:textId="77777777" w:rsidR="00F3248E" w:rsidRPr="00204021" w:rsidRDefault="00F3248E" w:rsidP="00F3248E">
      <w:pPr>
        <w:rPr>
          <w:rFonts w:hint="eastAsia"/>
        </w:rPr>
      </w:pPr>
      <w:r w:rsidRPr="00204021">
        <w:t xml:space="preserve"> </w:t>
      </w:r>
    </w:p>
    <w:p w14:paraId="7AB03053" w14:textId="77777777" w:rsidR="00F3248E" w:rsidRPr="00204021" w:rsidRDefault="00F3248E" w:rsidP="00F3248E">
      <w:pPr>
        <w:rPr>
          <w:rFonts w:hint="eastAsia"/>
        </w:rPr>
      </w:pPr>
      <w:r w:rsidRPr="00204021">
        <w:t>3.Assess the Impact on Students:</w:t>
      </w:r>
    </w:p>
    <w:p w14:paraId="543AE54D" w14:textId="77777777" w:rsidR="00F3248E" w:rsidRPr="00204021" w:rsidRDefault="00F3248E" w:rsidP="00F3248E">
      <w:pPr>
        <w:rPr>
          <w:rFonts w:hint="eastAsia"/>
        </w:rPr>
      </w:pPr>
      <w:r w:rsidRPr="00204021">
        <w:lastRenderedPageBreak/>
        <w:t>To evaluate the implications of these curricular differences on student outcomes, including academic performance, attitudes towards mathematics, and readiness for further education or employment.</w:t>
      </w:r>
    </w:p>
    <w:p w14:paraId="727B8C44" w14:textId="77777777" w:rsidR="00F3248E" w:rsidRPr="00204021" w:rsidRDefault="00F3248E" w:rsidP="00F3248E">
      <w:pPr>
        <w:rPr>
          <w:rFonts w:hint="eastAsia"/>
        </w:rPr>
      </w:pPr>
      <w:r w:rsidRPr="00204021">
        <w:t>To understand the long-term impacts of these differences on students' academic and career development through a longitudinal perspective.</w:t>
      </w:r>
    </w:p>
    <w:p w14:paraId="08C10FFB" w14:textId="77777777" w:rsidR="00F3248E" w:rsidRPr="00204021" w:rsidRDefault="00F3248E" w:rsidP="00F3248E">
      <w:pPr>
        <w:rPr>
          <w:rFonts w:hint="eastAsia"/>
        </w:rPr>
      </w:pPr>
      <w:r w:rsidRPr="00204021">
        <w:t xml:space="preserve"> </w:t>
      </w:r>
    </w:p>
    <w:p w14:paraId="718ECCA6" w14:textId="77777777" w:rsidR="00F3248E" w:rsidRPr="00204021" w:rsidRDefault="00F3248E" w:rsidP="00F3248E">
      <w:pPr>
        <w:rPr>
          <w:rFonts w:hint="eastAsia"/>
        </w:rPr>
      </w:pPr>
      <w:r w:rsidRPr="00204021">
        <w:t>4.Synthesize Existing Literature:</w:t>
      </w:r>
    </w:p>
    <w:p w14:paraId="0E4DEC8D" w14:textId="77777777" w:rsidR="00F3248E" w:rsidRPr="00204021" w:rsidRDefault="00F3248E" w:rsidP="00F3248E">
      <w:pPr>
        <w:rPr>
          <w:rFonts w:hint="eastAsia"/>
        </w:rPr>
      </w:pPr>
      <w:r w:rsidRPr="00204021">
        <w:rPr>
          <w:rFonts w:hint="eastAsia"/>
        </w:rPr>
        <w:t>The primary goal of this section is to</w:t>
      </w:r>
      <w:r w:rsidRPr="00204021">
        <w:t xml:space="preserve"> conduct a comprehensive review of existing literature on the mathematics curricula in Wales and England, identifying key findings and gaps in the current research.</w:t>
      </w:r>
    </w:p>
    <w:p w14:paraId="5E789498" w14:textId="77777777" w:rsidR="00F3248E" w:rsidRPr="00204021" w:rsidRDefault="00F3248E" w:rsidP="00F3248E">
      <w:pPr>
        <w:rPr>
          <w:rFonts w:hint="eastAsia"/>
        </w:rPr>
      </w:pPr>
      <w:r w:rsidRPr="00204021">
        <w:rPr>
          <w:rFonts w:hint="eastAsia"/>
        </w:rPr>
        <w:t>By</w:t>
      </w:r>
      <w:r w:rsidRPr="00204021">
        <w:t xml:space="preserve"> integrat</w:t>
      </w:r>
      <w:r w:rsidRPr="00204021">
        <w:rPr>
          <w:rFonts w:hint="eastAsia"/>
        </w:rPr>
        <w:t>ing</w:t>
      </w:r>
      <w:r w:rsidRPr="00204021">
        <w:t xml:space="preserve"> findings from various studies</w:t>
      </w:r>
      <w:r w:rsidRPr="00204021">
        <w:rPr>
          <w:rFonts w:hint="eastAsia"/>
        </w:rPr>
        <w:t>, this research aims</w:t>
      </w:r>
      <w:r w:rsidRPr="00204021">
        <w:t xml:space="preserve"> to provide a holistic understanding of the curricular differences and their impacts.</w:t>
      </w:r>
    </w:p>
    <w:p w14:paraId="52E96DF9" w14:textId="77777777" w:rsidR="00F3248E" w:rsidRPr="00204021" w:rsidRDefault="00F3248E" w:rsidP="00F3248E">
      <w:pPr>
        <w:rPr>
          <w:rFonts w:hint="eastAsia"/>
        </w:rPr>
      </w:pPr>
      <w:r w:rsidRPr="00204021">
        <w:t xml:space="preserve"> </w:t>
      </w:r>
    </w:p>
    <w:p w14:paraId="602CD2BB" w14:textId="77777777" w:rsidR="00F3248E" w:rsidRPr="00204021" w:rsidRDefault="00F3248E" w:rsidP="00F3248E">
      <w:pPr>
        <w:rPr>
          <w:rFonts w:hint="eastAsia"/>
        </w:rPr>
      </w:pPr>
      <w:r w:rsidRPr="00204021">
        <w:t>5.Provide Evidence-Based Recommendations:</w:t>
      </w:r>
    </w:p>
    <w:p w14:paraId="329D31A4" w14:textId="77777777" w:rsidR="00F3248E" w:rsidRPr="00204021" w:rsidRDefault="00F3248E" w:rsidP="00F3248E">
      <w:pPr>
        <w:rPr>
          <w:rFonts w:hint="eastAsia"/>
        </w:rPr>
      </w:pPr>
      <w:r w:rsidRPr="00204021">
        <w:t>To offer practical recommendations for educators, policymakers, and curriculum developers based on the comprehensive analysis of curricular differences.</w:t>
      </w:r>
    </w:p>
    <w:p w14:paraId="53863505" w14:textId="77777777" w:rsidR="00F3248E" w:rsidRPr="00204021" w:rsidRDefault="00F3248E" w:rsidP="00F3248E">
      <w:pPr>
        <w:rPr>
          <w:rFonts w:hint="eastAsia"/>
        </w:rPr>
      </w:pPr>
      <w:r w:rsidRPr="00204021">
        <w:t>To suggest strategies for improving or harmonizing high school mathematics curricula in Wales and England to enhance educational outcomes.</w:t>
      </w:r>
    </w:p>
    <w:p w14:paraId="5EACF5DA" w14:textId="77777777" w:rsidR="00F3248E" w:rsidRPr="00204021" w:rsidRDefault="00F3248E" w:rsidP="00F3248E">
      <w:pPr>
        <w:rPr>
          <w:rFonts w:hint="eastAsia"/>
        </w:rPr>
      </w:pPr>
      <w:r w:rsidRPr="00204021">
        <w:t xml:space="preserve"> </w:t>
      </w:r>
    </w:p>
    <w:p w14:paraId="2C60A1C2" w14:textId="77777777" w:rsidR="00F3248E" w:rsidRPr="00204021" w:rsidRDefault="00F3248E" w:rsidP="00F3248E">
      <w:pPr>
        <w:rPr>
          <w:rFonts w:hint="eastAsia"/>
        </w:rPr>
      </w:pPr>
      <w:r w:rsidRPr="00204021">
        <w:t>By achieving these objectives, this research aims to provide a thorough and nuanced understanding of the differences in high school mathematics curricula between Wales and England, their causes, and their impacts on students, thereby informing and supporting the development and implementation of effective educational policies.</w:t>
      </w:r>
    </w:p>
    <w:p w14:paraId="122A6918" w14:textId="77777777" w:rsidR="00F3248E" w:rsidRPr="00204021" w:rsidRDefault="00F3248E" w:rsidP="00F3248E">
      <w:pPr>
        <w:rPr>
          <w:rFonts w:hint="eastAsia"/>
        </w:rPr>
      </w:pPr>
      <w:r w:rsidRPr="00204021">
        <w:t xml:space="preserve"> </w:t>
      </w:r>
    </w:p>
    <w:p w14:paraId="000E7A7D" w14:textId="77777777" w:rsidR="00F3248E" w:rsidRPr="00204021" w:rsidRDefault="00F3248E" w:rsidP="00F3248E">
      <w:pPr>
        <w:rPr>
          <w:rFonts w:hint="eastAsia"/>
        </w:rPr>
      </w:pPr>
      <w:r w:rsidRPr="00204021">
        <w:rPr>
          <w:b/>
          <w:bCs/>
        </w:rPr>
        <w:t>RATIONALE</w:t>
      </w:r>
    </w:p>
    <w:p w14:paraId="467DCCCD" w14:textId="77777777" w:rsidR="00F3248E" w:rsidRPr="00204021" w:rsidRDefault="00F3248E" w:rsidP="00F3248E">
      <w:pPr>
        <w:rPr>
          <w:rFonts w:hint="eastAsia"/>
        </w:rPr>
      </w:pPr>
      <w:r w:rsidRPr="00204021">
        <w:t xml:space="preserve">This research will enable to better understand the ways in which curricula are structured in both </w:t>
      </w:r>
      <w:r w:rsidRPr="00204021">
        <w:rPr>
          <w:rFonts w:hint="eastAsia"/>
        </w:rPr>
        <w:t>countries</w:t>
      </w:r>
      <w:r w:rsidRPr="00204021">
        <w:t>, the significance of these structures, and the historical and underlying reasons behind them. It provides insights into how past challenges and issues were addressed and resolved, offering inspiration and guidance for tackling future educational problems. In a constantly changing world with inevitable challenges, such knowledge is invaluable.</w:t>
      </w:r>
    </w:p>
    <w:p w14:paraId="6326A193" w14:textId="77777777" w:rsidR="00F3248E" w:rsidRPr="00204021" w:rsidRDefault="00F3248E" w:rsidP="00F3248E">
      <w:pPr>
        <w:rPr>
          <w:rFonts w:hint="eastAsia"/>
        </w:rPr>
      </w:pPr>
      <w:r w:rsidRPr="00204021">
        <w:t xml:space="preserve">Through this study, </w:t>
      </w:r>
      <w:r w:rsidRPr="00204021">
        <w:rPr>
          <w:rFonts w:hint="eastAsia"/>
        </w:rPr>
        <w:t>t</w:t>
      </w:r>
      <w:r w:rsidRPr="00204021">
        <w:t xml:space="preserve">he aim of this study is to first identify successful teaching methods </w:t>
      </w:r>
      <w:r w:rsidRPr="00204021">
        <w:lastRenderedPageBreak/>
        <w:t xml:space="preserve">or curriculum designs in one </w:t>
      </w:r>
      <w:r w:rsidRPr="00204021">
        <w:rPr>
          <w:rFonts w:hint="eastAsia"/>
        </w:rPr>
        <w:t>country</w:t>
      </w:r>
      <w:r w:rsidRPr="00204021">
        <w:t xml:space="preserve">, which can then be promoted to improve the quality of mathematics education in the other </w:t>
      </w:r>
      <w:r w:rsidRPr="00204021">
        <w:rPr>
          <w:rFonts w:hint="eastAsia"/>
        </w:rPr>
        <w:t>country</w:t>
      </w:r>
      <w:r w:rsidRPr="00204021">
        <w:t xml:space="preserve">. </w:t>
      </w:r>
      <w:r w:rsidRPr="00204021">
        <w:rPr>
          <w:rFonts w:hint="eastAsia"/>
        </w:rPr>
        <w:t xml:space="preserve">The way to determine which country is more successful is to establish success metrics such as </w:t>
      </w:r>
      <w:r w:rsidRPr="00204021">
        <w:t>student performance</w:t>
      </w:r>
      <w:r w:rsidRPr="00204021">
        <w:rPr>
          <w:rFonts w:hint="eastAsia"/>
        </w:rPr>
        <w:t xml:space="preserve"> and</w:t>
      </w:r>
      <w:r w:rsidRPr="00204021">
        <w:t xml:space="preserve"> engagement, and teacher satisfaction.</w:t>
      </w:r>
      <w:r w:rsidRPr="00204021">
        <w:rPr>
          <w:rFonts w:hint="eastAsia"/>
        </w:rPr>
        <w:t xml:space="preserve"> Then compare this data. Data will be collected from sources like PISA and TIMSS scores, and government reports.</w:t>
      </w:r>
    </w:p>
    <w:p w14:paraId="5C11685B" w14:textId="77777777" w:rsidR="00F3248E" w:rsidRPr="00204021" w:rsidRDefault="00F3248E" w:rsidP="00F3248E">
      <w:pPr>
        <w:rPr>
          <w:rFonts w:hint="eastAsia"/>
        </w:rPr>
      </w:pPr>
      <w:r w:rsidRPr="00204021">
        <w:t xml:space="preserve">This helps develop new research methods and tools, enhancing the scientific rigor and reliability of educational research. Secondly, understanding the differences in educational resource allocation between the two </w:t>
      </w:r>
      <w:r w:rsidRPr="00204021">
        <w:rPr>
          <w:rFonts w:hint="eastAsia"/>
        </w:rPr>
        <w:t>countrie</w:t>
      </w:r>
      <w:r w:rsidRPr="00204021">
        <w:t xml:space="preserve">s allows us to propose more equitable resource distribution strategies, aiming to reduce educational disparities. Thirdly, by comparing curriculum content and teaching methods, </w:t>
      </w:r>
      <w:r w:rsidRPr="00204021">
        <w:rPr>
          <w:rFonts w:hint="eastAsia"/>
        </w:rPr>
        <w:t>it is easy to</w:t>
      </w:r>
      <w:r w:rsidRPr="00204021">
        <w:t xml:space="preserve"> pinpoint key factors affecting student learning outcomes, leading to improved curriculum designs that enhance students' mathematical abilities. Additionally, exploring the cultural influences on mathematics education helps us understand how cultural backgrounds shape students' learning attitudes and interests, enabling the development of more culturally sensitive teaching strategies.</w:t>
      </w:r>
    </w:p>
    <w:p w14:paraId="22DD50BD" w14:textId="77777777" w:rsidR="00F3248E" w:rsidRPr="00204021" w:rsidRDefault="00F3248E" w:rsidP="00F3248E">
      <w:pPr>
        <w:rPr>
          <w:rFonts w:hint="eastAsia"/>
        </w:rPr>
      </w:pPr>
      <w:r w:rsidRPr="00204021">
        <w:t xml:space="preserve">Examining the similarities and differences in mathematics curricula between England and Wales not only provides substantive recommendations for improving educational quality in both regions but also promotes educational equity, enhances student learning outcomes, and contributes to global educational research. Therefore, this research holds significant practical and theoretical </w:t>
      </w:r>
      <w:r w:rsidRPr="00204021">
        <w:rPr>
          <w:rFonts w:hint="eastAsia"/>
        </w:rPr>
        <w:t>significance</w:t>
      </w:r>
      <w:r w:rsidRPr="00204021">
        <w:t>.</w:t>
      </w:r>
    </w:p>
    <w:p w14:paraId="1F6F28CC" w14:textId="77777777" w:rsidR="00F3248E" w:rsidRPr="004D66EE" w:rsidRDefault="00F3248E" w:rsidP="00F3248E">
      <w:pPr>
        <w:rPr>
          <w:rFonts w:hint="eastAsia"/>
          <w:b/>
          <w:bCs/>
        </w:rPr>
      </w:pPr>
      <w:r w:rsidRPr="004D66EE">
        <w:rPr>
          <w:b/>
          <w:bCs/>
        </w:rPr>
        <w:t>Methodology</w:t>
      </w:r>
      <w:r w:rsidRPr="004D66EE">
        <w:rPr>
          <w:rFonts w:hint="eastAsia"/>
          <w:b/>
          <w:bCs/>
        </w:rPr>
        <w:t xml:space="preserve"> overview</w:t>
      </w:r>
    </w:p>
    <w:p w14:paraId="067CCE30" w14:textId="77777777" w:rsidR="00F3248E" w:rsidRPr="00204021" w:rsidRDefault="00F3248E" w:rsidP="00F3248E">
      <w:pPr>
        <w:rPr>
          <w:rFonts w:hint="eastAsia"/>
        </w:rPr>
      </w:pPr>
      <w:r w:rsidRPr="00204021">
        <w:t xml:space="preserve">The research methodology involves conducting a qualitative study through a literature review, systematically reviewing existing literature. This approach allows for the integration of information from various sources, providing a comprehensive understanding of the content, structure, </w:t>
      </w:r>
      <w:r w:rsidRPr="00204021">
        <w:rPr>
          <w:rFonts w:hint="eastAsia"/>
        </w:rPr>
        <w:t xml:space="preserve">depth </w:t>
      </w:r>
      <w:r w:rsidRPr="00204021">
        <w:t xml:space="preserve">and </w:t>
      </w:r>
      <w:r w:rsidRPr="00204021">
        <w:rPr>
          <w:rFonts w:hint="eastAsia"/>
        </w:rPr>
        <w:t>objective</w:t>
      </w:r>
      <w:r w:rsidRPr="00204021">
        <w:t xml:space="preserve">s of mathematics curricula in both </w:t>
      </w:r>
      <w:r w:rsidRPr="00204021">
        <w:rPr>
          <w:rFonts w:hint="eastAsia"/>
        </w:rPr>
        <w:t>countrie</w:t>
      </w:r>
      <w:r w:rsidRPr="00204021">
        <w:t>s.</w:t>
      </w:r>
    </w:p>
    <w:p w14:paraId="7CFEC420" w14:textId="77777777" w:rsidR="00F3248E" w:rsidRPr="00204021" w:rsidRDefault="00F3248E" w:rsidP="00F3248E">
      <w:pPr>
        <w:rPr>
          <w:rFonts w:hint="eastAsia"/>
        </w:rPr>
      </w:pPr>
      <w:r w:rsidRPr="00204021">
        <w:t>A variety of credible sources were utilized to ensure a thorough examination of the topic. These sources include academic journals, official government publications, and reports from educational research organizations. The search strategy was designed to identify studies and documents that provide insights into the content, structure, depth, and educational objectives of the mathematics curricula in both regions.</w:t>
      </w:r>
    </w:p>
    <w:p w14:paraId="54B704C6" w14:textId="77777777" w:rsidR="00F3248E" w:rsidRPr="00204021" w:rsidRDefault="00F3248E" w:rsidP="00F3248E">
      <w:pPr>
        <w:rPr>
          <w:rFonts w:hint="eastAsia"/>
        </w:rPr>
      </w:pPr>
      <w:r w:rsidRPr="00204021">
        <w:t xml:space="preserve">The inclusion criteria focused on peer-reviewed articles, recent publications, and studies directly related to the mathematics curricula of Wales and England. To ensure relevance and quality, government publications, curriculum documents from official education bodies (e.g., Department for Education, Welsh Government), and reports from recognized educational research institutes were also included. Exclusion criteria were </w:t>
      </w:r>
      <w:r w:rsidRPr="00204021">
        <w:lastRenderedPageBreak/>
        <w:t>applied to filter out irrelevant, outdated, or non-academic sources. Specifically, articles that do not focus on curriculum content or structure, publications from the last century (unless providing historical context), and non-peer-reviewed articles with questionable authorship were excluded.</w:t>
      </w:r>
    </w:p>
    <w:p w14:paraId="0C3EF13B" w14:textId="77777777" w:rsidR="00F3248E" w:rsidRPr="00204021" w:rsidRDefault="00F3248E" w:rsidP="00F3248E">
      <w:pPr>
        <w:rPr>
          <w:rFonts w:hint="eastAsia"/>
        </w:rPr>
      </w:pPr>
      <w:r w:rsidRPr="00204021">
        <w:t>The collected data were systematically reviewed and synthesized to identify key themes, patterns, and differences in the curricula. By using a structured approach to data collection, this study aims to provide a comprehensive and balanced understanding of the strengths and areas for improvement in the mathematics curricula of Wales and England, ultimately guiding future educational reforms and policy decisions.</w:t>
      </w:r>
    </w:p>
    <w:p w14:paraId="65B91AFB" w14:textId="77777777" w:rsidR="00F3248E" w:rsidRPr="00204021" w:rsidRDefault="00F3248E" w:rsidP="00F3248E">
      <w:pPr>
        <w:rPr>
          <w:rFonts w:hint="eastAsia"/>
        </w:rPr>
      </w:pPr>
      <w:r w:rsidRPr="00204021">
        <w:t xml:space="preserve">The comparison of mathematics curricula in Wales and England is crucial for identifying best practices and areas for improvement in educational strategies. Both countries aim to provide high-quality education, yet their approaches to curriculum design and implementation </w:t>
      </w:r>
      <w:r w:rsidRPr="00204021">
        <w:rPr>
          <w:rFonts w:hint="eastAsia"/>
        </w:rPr>
        <w:t xml:space="preserve">are </w:t>
      </w:r>
      <w:r w:rsidRPr="00204021">
        <w:t>differ significantly due to historical, cultural, and policy-related factors. Understanding these differences can offer valuable insights for educators, policymakers, and researchers.</w:t>
      </w:r>
    </w:p>
    <w:p w14:paraId="094CF205" w14:textId="77777777" w:rsidR="00F3248E" w:rsidRPr="00204021" w:rsidRDefault="00F3248E" w:rsidP="00F3248E">
      <w:pPr>
        <w:rPr>
          <w:rFonts w:hint="eastAsia"/>
        </w:rPr>
      </w:pPr>
      <w:r w:rsidRPr="00204021">
        <w:t xml:space="preserve"> </w:t>
      </w:r>
    </w:p>
    <w:p w14:paraId="67ED4D55" w14:textId="4816EA03" w:rsidR="00F3248E" w:rsidRPr="00204021" w:rsidRDefault="00F3248E" w:rsidP="00F3248E">
      <w:pPr>
        <w:rPr>
          <w:rFonts w:hint="eastAsia"/>
        </w:rPr>
      </w:pPr>
      <w:r w:rsidRPr="00204021">
        <w:t xml:space="preserve">Despite the recognized importance of this topic, there is a notable gap in the literature regarding a comprehensive comparative analysis of the mathematics curricula in Wales and England. Existing studies either focus on broader educational differences between the two countries or </w:t>
      </w:r>
      <w:r w:rsidR="004D66EE" w:rsidRPr="00204021">
        <w:t>analyse</w:t>
      </w:r>
      <w:r w:rsidRPr="00204021">
        <w:t xml:space="preserve"> their mathematics curricula separately. Few studies offer a detailed, side-by-side comparison of the mathematics curricula in these two regions. Addressing this gap can provide a more nuanced understanding of the similarities and differences in their educational approaches.</w:t>
      </w:r>
    </w:p>
    <w:p w14:paraId="15BC9378" w14:textId="77777777" w:rsidR="00F3248E" w:rsidRPr="00204021" w:rsidRDefault="00F3248E" w:rsidP="00F3248E">
      <w:pPr>
        <w:rPr>
          <w:rFonts w:hint="eastAsia"/>
        </w:rPr>
      </w:pPr>
      <w:r w:rsidRPr="00204021">
        <w:t xml:space="preserve"> </w:t>
      </w:r>
    </w:p>
    <w:p w14:paraId="7E72110C" w14:textId="77777777" w:rsidR="00F3248E" w:rsidRPr="00204021" w:rsidRDefault="00F3248E" w:rsidP="00F3248E">
      <w:pPr>
        <w:rPr>
          <w:rFonts w:hint="eastAsia"/>
        </w:rPr>
      </w:pPr>
      <w:r w:rsidRPr="00204021">
        <w:t>To fill this research gap and lay the groundwork for a detailed comparative analysis, it is essential to first examine the existing body of knowledge on the mathematics curricula in Wales and England. The following literature review will explore the key themes, findings, and debates within the academic and policy-related literature, setting the stage for our detailed comparison. This review will cover the historical development of the curricula, their content and structure, pedagogical approaches, assessment strategies, and educational outcomes. By synthesizing these sources, we aim to build a comprehensive understanding that will inform our subsequent research and education development.</w:t>
      </w:r>
    </w:p>
    <w:p w14:paraId="7904EADF" w14:textId="77777777" w:rsidR="00F3248E" w:rsidRPr="00204021" w:rsidRDefault="00F3248E" w:rsidP="00F3248E">
      <w:pPr>
        <w:rPr>
          <w:rFonts w:hint="eastAsia"/>
        </w:rPr>
      </w:pPr>
      <w:r w:rsidRPr="00204021">
        <w:rPr>
          <w:rFonts w:hint="eastAsia"/>
        </w:rPr>
        <w:t xml:space="preserve"> </w:t>
      </w:r>
    </w:p>
    <w:p w14:paraId="273694B2" w14:textId="77777777" w:rsidR="00C50F0A" w:rsidRPr="00204021" w:rsidRDefault="00F3248E" w:rsidP="00C50F0A">
      <w:pPr>
        <w:rPr>
          <w:rFonts w:hint="eastAsia"/>
          <w:b/>
          <w:bCs/>
        </w:rPr>
      </w:pPr>
      <w:r w:rsidRPr="00204021">
        <w:rPr>
          <w:rFonts w:hint="eastAsia"/>
        </w:rPr>
        <w:t xml:space="preserve"> </w:t>
      </w:r>
      <w:r w:rsidR="00C50F0A" w:rsidRPr="00204021">
        <w:rPr>
          <w:b/>
          <w:bCs/>
        </w:rPr>
        <w:t>Methodology</w:t>
      </w:r>
    </w:p>
    <w:p w14:paraId="73F32A95" w14:textId="484A5788" w:rsidR="00C50F0A" w:rsidRPr="00204021" w:rsidRDefault="00C50F0A" w:rsidP="00C50F0A">
      <w:pPr>
        <w:rPr>
          <w:rFonts w:hint="eastAsia"/>
        </w:rPr>
      </w:pPr>
      <w:r w:rsidRPr="00204021">
        <w:lastRenderedPageBreak/>
        <w:t xml:space="preserve">This study employs a literature review methodology to compare and </w:t>
      </w:r>
      <w:r w:rsidR="000D5A1D" w:rsidRPr="00204021">
        <w:t>analyse</w:t>
      </w:r>
      <w:r w:rsidRPr="00204021">
        <w:t xml:space="preserve"> the mathematics curricula of Wales and England. This approach is chosen to systematically gather, evaluate, and synthesize existing research findings, providing a comprehensive understanding of the curricular similarities and differences between the two </w:t>
      </w:r>
      <w:r w:rsidRPr="00204021">
        <w:rPr>
          <w:rFonts w:hint="eastAsia"/>
        </w:rPr>
        <w:t>nation</w:t>
      </w:r>
      <w:r w:rsidRPr="00204021">
        <w:t xml:space="preserve">s. The literature review method is particularly well-suited for this research as it allows for an extensive examination of a variety of sources, including peer-reviewed articles, government publications, official curriculum documents, and educational reports. By integrating quantitative data, such as standardized test scores, with qualitative insights from policy analyses, the study aims to present a holistic view of the educational practices and outcomes in both </w:t>
      </w:r>
      <w:r w:rsidRPr="00204021">
        <w:rPr>
          <w:rFonts w:hint="eastAsia"/>
        </w:rPr>
        <w:t>natio</w:t>
      </w:r>
      <w:r w:rsidRPr="00204021">
        <w:t>ns. This methodological approach not only helps identify key trends and gaps in the current research but also supports a balanced assessment of the effectiveness of different teaching methods and curriculum designs.</w:t>
      </w:r>
      <w:r w:rsidRPr="00204021">
        <w:rPr>
          <w:rFonts w:hint="eastAsia"/>
        </w:rPr>
        <w:t xml:space="preserve"> </w:t>
      </w:r>
      <w:r w:rsidR="000D5A1D" w:rsidRPr="00204021">
        <w:t>The</w:t>
      </w:r>
      <w:r w:rsidRPr="00204021">
        <w:rPr>
          <w:rFonts w:hint="eastAsia"/>
        </w:rPr>
        <w:t xml:space="preserve"> study can spot patterns and prevalent themes in how mathematics curricula designed and implemented in Wales and England. I</w:t>
      </w:r>
      <w:r w:rsidRPr="00204021">
        <w:t>t also highlights areas where research is lacking or insufficient, pointing out where future studies could be beneficial.</w:t>
      </w:r>
      <w:r w:rsidRPr="00204021">
        <w:rPr>
          <w:rFonts w:hint="eastAsia"/>
        </w:rPr>
        <w:t xml:space="preserve"> </w:t>
      </w:r>
      <w:r w:rsidR="00747129" w:rsidRPr="00747129">
        <w:t>The integration of both quantitative and qualitative data strengthens the analysis by providing multiple perspectives on curricular effectiveness. This mixed-method approach ensures that comparisons between Wales and England's educational practices are not only data-driven but also contextualized within broader policy frameworks, allowing for a more nuanced understanding of the curricula's impact on student outcomes</w:t>
      </w:r>
      <w:r w:rsidRPr="00204021">
        <w:t xml:space="preserve"> This combination provides a more complete picture of the effectiveness of various teaching methods and curriculum designs, rather than relying on a single type of data, which could give a biased or incomplete view.</w:t>
      </w:r>
    </w:p>
    <w:p w14:paraId="52B57FA1" w14:textId="77777777" w:rsidR="00C50F0A" w:rsidRPr="00204021" w:rsidRDefault="00C50F0A" w:rsidP="00C50F0A">
      <w:pPr>
        <w:rPr>
          <w:rFonts w:hint="eastAsia"/>
        </w:rPr>
      </w:pPr>
      <w:r w:rsidRPr="00204021">
        <w:t xml:space="preserve"> </w:t>
      </w:r>
    </w:p>
    <w:p w14:paraId="17EE13BD" w14:textId="77777777" w:rsidR="00C50F0A" w:rsidRPr="00204021" w:rsidRDefault="00C50F0A" w:rsidP="00C50F0A">
      <w:pPr>
        <w:numPr>
          <w:ilvl w:val="0"/>
          <w:numId w:val="1"/>
        </w:numPr>
        <w:rPr>
          <w:rFonts w:hint="eastAsia"/>
        </w:rPr>
      </w:pPr>
      <w:r w:rsidRPr="00204021">
        <w:t>Research design</w:t>
      </w:r>
    </w:p>
    <w:p w14:paraId="237801BE" w14:textId="77777777" w:rsidR="00C50F0A" w:rsidRPr="00204021" w:rsidRDefault="00C50F0A" w:rsidP="00C50F0A">
      <w:pPr>
        <w:rPr>
          <w:rFonts w:hint="eastAsia"/>
        </w:rPr>
      </w:pPr>
      <w:r w:rsidRPr="00204021">
        <w:t xml:space="preserve"> </w:t>
      </w:r>
    </w:p>
    <w:p w14:paraId="4DE7A5D2" w14:textId="222F8BF4" w:rsidR="00C50F0A" w:rsidRPr="00204021" w:rsidRDefault="00C50F0A" w:rsidP="00C50F0A">
      <w:pPr>
        <w:rPr>
          <w:rFonts w:hint="eastAsia"/>
        </w:rPr>
      </w:pPr>
      <w:r w:rsidRPr="00204021">
        <w:t xml:space="preserve">Conducting a research design is a crucial step in </w:t>
      </w:r>
      <w:r w:rsidRPr="00204021">
        <w:rPr>
          <w:rFonts w:hint="eastAsia"/>
        </w:rPr>
        <w:t>a</w:t>
      </w:r>
      <w:r w:rsidR="0018366D">
        <w:rPr>
          <w:rFonts w:hint="eastAsia"/>
        </w:rPr>
        <w:t>n</w:t>
      </w:r>
      <w:r w:rsidRPr="00204021">
        <w:rPr>
          <w:rFonts w:hint="eastAsia"/>
        </w:rPr>
        <w:t xml:space="preserve"> </w:t>
      </w:r>
      <w:r w:rsidRPr="00204021">
        <w:t xml:space="preserve">academic study because it provides a structured plan for collecting, </w:t>
      </w:r>
      <w:r w:rsidR="0018366D" w:rsidRPr="00204021">
        <w:t>analysing</w:t>
      </w:r>
      <w:r w:rsidRPr="00204021">
        <w:t>, and interpreting data.</w:t>
      </w:r>
      <w:r w:rsidRPr="00204021">
        <w:rPr>
          <w:rFonts w:hint="eastAsia"/>
        </w:rPr>
        <w:t xml:space="preserve"> </w:t>
      </w:r>
      <w:r w:rsidRPr="00204021">
        <w:t>This research begins by developing a systematic analytical framework for the analysis of mathematics curriculum in England and Wales.</w:t>
      </w:r>
      <w:r w:rsidRPr="00204021">
        <w:rPr>
          <w:rFonts w:hint="eastAsia"/>
        </w:rPr>
        <w:t xml:space="preserve"> </w:t>
      </w:r>
      <w:r w:rsidRPr="00204021">
        <w:t xml:space="preserve">It </w:t>
      </w:r>
      <w:r w:rsidRPr="00204021">
        <w:rPr>
          <w:rFonts w:hint="eastAsia"/>
        </w:rPr>
        <w:t xml:space="preserve">also </w:t>
      </w:r>
      <w:r w:rsidRPr="00204021">
        <w:t>outlines the steps that will be taken, from data collection to data analysis, ensuring that each stage is conducted methodically.</w:t>
      </w:r>
      <w:r w:rsidRPr="00204021">
        <w:rPr>
          <w:rFonts w:hint="eastAsia"/>
        </w:rPr>
        <w:t xml:space="preserve"> This is done to maintain consistency and reliability throughout the study. </w:t>
      </w:r>
      <w:r w:rsidRPr="00204021">
        <w:t xml:space="preserve">This </w:t>
      </w:r>
      <w:r w:rsidRPr="00204021">
        <w:rPr>
          <w:rFonts w:hint="eastAsia"/>
        </w:rPr>
        <w:t xml:space="preserve">research design also </w:t>
      </w:r>
      <w:r w:rsidRPr="00204021">
        <w:t>prevents the research from becoming too broad or unfocused and ensures that the study remains aligned with its objectives.</w:t>
      </w:r>
    </w:p>
    <w:p w14:paraId="4AD15449" w14:textId="77777777" w:rsidR="00C50F0A" w:rsidRPr="00204021" w:rsidRDefault="00C50F0A" w:rsidP="00C50F0A">
      <w:pPr>
        <w:rPr>
          <w:rFonts w:hint="eastAsia"/>
        </w:rPr>
      </w:pPr>
      <w:r w:rsidRPr="00204021">
        <w:t xml:space="preserve"> </w:t>
      </w:r>
    </w:p>
    <w:p w14:paraId="5B9B5D0B" w14:textId="769412EF" w:rsidR="00C50F0A" w:rsidRPr="00204021" w:rsidRDefault="0018366D" w:rsidP="00C50F0A">
      <w:pPr>
        <w:numPr>
          <w:ilvl w:val="1"/>
          <w:numId w:val="1"/>
        </w:numPr>
        <w:rPr>
          <w:rFonts w:hint="eastAsia"/>
        </w:rPr>
      </w:pPr>
      <w:r>
        <w:rPr>
          <w:rFonts w:hint="eastAsia"/>
        </w:rPr>
        <w:t>E</w:t>
      </w:r>
      <w:r w:rsidR="00C50F0A" w:rsidRPr="00204021">
        <w:rPr>
          <w:rFonts w:hint="eastAsia"/>
        </w:rPr>
        <w:t>stablish an analytical framework</w:t>
      </w:r>
    </w:p>
    <w:p w14:paraId="724D57BE" w14:textId="1025FDB7" w:rsidR="00C50F0A" w:rsidRPr="00204021" w:rsidRDefault="00C50F0A" w:rsidP="00C50F0A">
      <w:pPr>
        <w:rPr>
          <w:rFonts w:hint="eastAsia"/>
        </w:rPr>
      </w:pPr>
      <w:r w:rsidRPr="00204021">
        <w:lastRenderedPageBreak/>
        <w:t xml:space="preserve">To thoroughly compare and </w:t>
      </w:r>
      <w:r w:rsidR="0018366D" w:rsidRPr="00204021">
        <w:t>analyse</w:t>
      </w:r>
      <w:r w:rsidRPr="00204021">
        <w:t xml:space="preserve"> the mathematics curricula of Wales and England, an analytical framework focusing on content, structure, depth, and objectives will be established. This framework will guide the systematic review and synthesis of existing literature, ensuring a comprehensive understanding of the curricular differences and their impacts.</w:t>
      </w:r>
      <w:r w:rsidRPr="00204021">
        <w:rPr>
          <w:rFonts w:hint="eastAsia"/>
        </w:rPr>
        <w:t xml:space="preserve"> </w:t>
      </w:r>
    </w:p>
    <w:p w14:paraId="1C2C11AE" w14:textId="77777777" w:rsidR="00C50F0A" w:rsidRPr="00204021" w:rsidRDefault="00C50F0A" w:rsidP="00C50F0A">
      <w:pPr>
        <w:rPr>
          <w:rFonts w:hint="eastAsia"/>
        </w:rPr>
      </w:pPr>
      <w:r w:rsidRPr="00204021">
        <w:rPr>
          <w:rFonts w:hint="eastAsia"/>
        </w:rPr>
        <w:t xml:space="preserve"> </w:t>
      </w:r>
    </w:p>
    <w:p w14:paraId="61AF0B36" w14:textId="77777777" w:rsidR="00C50F0A" w:rsidRPr="00204021" w:rsidRDefault="00C50F0A" w:rsidP="00C50F0A">
      <w:pPr>
        <w:numPr>
          <w:ilvl w:val="1"/>
          <w:numId w:val="1"/>
        </w:numPr>
        <w:rPr>
          <w:rFonts w:hint="eastAsia"/>
        </w:rPr>
      </w:pPr>
      <w:r w:rsidRPr="00204021">
        <w:rPr>
          <w:rFonts w:hint="eastAsia"/>
        </w:rPr>
        <w:t>Content</w:t>
      </w:r>
    </w:p>
    <w:p w14:paraId="134E1001" w14:textId="59D6F207" w:rsidR="00C50F0A" w:rsidRPr="00204021" w:rsidRDefault="00C50F0A" w:rsidP="00C50F0A">
      <w:pPr>
        <w:rPr>
          <w:rFonts w:hint="eastAsia"/>
        </w:rPr>
      </w:pPr>
      <w:r w:rsidRPr="00204021">
        <w:t xml:space="preserve">The content component will examine the specific topics and themes covered within the </w:t>
      </w:r>
      <w:r w:rsidRPr="00204021">
        <w:rPr>
          <w:rFonts w:hint="eastAsia"/>
        </w:rPr>
        <w:t xml:space="preserve">high school </w:t>
      </w:r>
      <w:r w:rsidRPr="00204021">
        <w:t xml:space="preserve">mathematics curricula. This includes </w:t>
      </w:r>
      <w:r w:rsidR="00E541D9" w:rsidRPr="00204021">
        <w:t>analysing</w:t>
      </w:r>
      <w:r w:rsidRPr="00204021">
        <w:t xml:space="preserve"> the range of mathematical areas such as </w:t>
      </w:r>
      <w:r w:rsidRPr="00204021">
        <w:rPr>
          <w:rFonts w:hint="eastAsia"/>
        </w:rPr>
        <w:t xml:space="preserve">the number system, </w:t>
      </w:r>
      <w:r w:rsidRPr="00204021">
        <w:t xml:space="preserve">algebra, geometry, </w:t>
      </w:r>
      <w:r w:rsidRPr="00204021">
        <w:rPr>
          <w:rFonts w:hint="eastAsia"/>
        </w:rPr>
        <w:t xml:space="preserve">and </w:t>
      </w:r>
      <w:r w:rsidRPr="00204021">
        <w:t>statistics</w:t>
      </w:r>
      <w:r w:rsidRPr="00204021">
        <w:rPr>
          <w:rFonts w:hint="eastAsia"/>
        </w:rPr>
        <w:t xml:space="preserve"> and probability</w:t>
      </w:r>
      <w:r w:rsidRPr="00204021">
        <w:t xml:space="preserve">, as well as identifying the emphasis placed on practical applications versus theoretical knowledge. By comparing the content, </w:t>
      </w:r>
      <w:r w:rsidRPr="00204021">
        <w:rPr>
          <w:rFonts w:hint="eastAsia"/>
        </w:rPr>
        <w:t>this research</w:t>
      </w:r>
      <w:r w:rsidRPr="00204021">
        <w:t xml:space="preserve"> can assess how </w:t>
      </w:r>
      <w:r w:rsidRPr="00204021">
        <w:rPr>
          <w:rFonts w:hint="eastAsia"/>
        </w:rPr>
        <w:t>different for both</w:t>
      </w:r>
      <w:r w:rsidRPr="00204021">
        <w:t xml:space="preserve"> curricul</w:t>
      </w:r>
      <w:r w:rsidRPr="00204021">
        <w:rPr>
          <w:rFonts w:hint="eastAsia"/>
        </w:rPr>
        <w:t>a</w:t>
      </w:r>
      <w:r w:rsidRPr="00204021">
        <w:t xml:space="preserve"> address the foundational and advanced mathematical skills necessary for students' academic and real-world success.</w:t>
      </w:r>
    </w:p>
    <w:p w14:paraId="34C8B3BB" w14:textId="77777777" w:rsidR="00C50F0A" w:rsidRPr="00204021" w:rsidRDefault="00C50F0A" w:rsidP="00C50F0A">
      <w:pPr>
        <w:numPr>
          <w:ilvl w:val="1"/>
          <w:numId w:val="1"/>
        </w:numPr>
        <w:rPr>
          <w:rFonts w:hint="eastAsia"/>
        </w:rPr>
      </w:pPr>
      <w:r w:rsidRPr="00204021">
        <w:rPr>
          <w:rFonts w:hint="eastAsia"/>
        </w:rPr>
        <w:t>Structure</w:t>
      </w:r>
    </w:p>
    <w:p w14:paraId="12A3DDB6" w14:textId="4173CFB3" w:rsidR="00C50F0A" w:rsidRPr="00204021" w:rsidRDefault="00C50F0A" w:rsidP="00C50F0A">
      <w:pPr>
        <w:rPr>
          <w:rFonts w:hint="eastAsia"/>
        </w:rPr>
      </w:pPr>
      <w:r w:rsidRPr="00204021">
        <w:t>The structure component will investigate the overall organization and framework of the mathematics curricula</w:t>
      </w:r>
      <w:r w:rsidR="00C0413D">
        <w:rPr>
          <w:rFonts w:hint="eastAsia"/>
        </w:rPr>
        <w:t xml:space="preserve"> in Wales and England</w:t>
      </w:r>
      <w:r w:rsidRPr="00204021">
        <w:t>. This includes examining how the curricula are divided into modules or units, the sequencing of topics, and the progression from basic to advanced levels. The analysis will consider whether the curricula are structured to support a logical and coherent learning journey for students, ensuring that each stage builds upon the previous one.</w:t>
      </w:r>
    </w:p>
    <w:p w14:paraId="337D3B40" w14:textId="77777777" w:rsidR="00C50F0A" w:rsidRPr="00204021" w:rsidRDefault="00C50F0A" w:rsidP="00C50F0A">
      <w:pPr>
        <w:rPr>
          <w:rFonts w:hint="eastAsia"/>
        </w:rPr>
      </w:pPr>
      <w:r w:rsidRPr="00204021">
        <w:rPr>
          <w:rFonts w:hint="eastAsia"/>
        </w:rPr>
        <w:t xml:space="preserve"> </w:t>
      </w:r>
    </w:p>
    <w:p w14:paraId="6656DF90" w14:textId="74CD8FE3" w:rsidR="00C50F0A" w:rsidRPr="00EA4807" w:rsidRDefault="00C50F0A" w:rsidP="00C50F0A">
      <w:pPr>
        <w:rPr>
          <w:rFonts w:hint="eastAsia"/>
          <w:lang w:val="en-US"/>
        </w:rPr>
      </w:pPr>
      <w:r w:rsidRPr="00204021">
        <w:t xml:space="preserve">By comparing these structural elements, </w:t>
      </w:r>
      <w:r w:rsidR="005132DF">
        <w:rPr>
          <w:rFonts w:hint="eastAsia"/>
        </w:rPr>
        <w:t>it will be possible to</w:t>
      </w:r>
      <w:r w:rsidRPr="00204021">
        <w:t xml:space="preserve"> understand how each curriculum is designed to achieve its educational goals, support student learning, and address the specific needs and contexts of each nation. This comparison helps identify strengths</w:t>
      </w:r>
      <w:r w:rsidR="00EA4807" w:rsidRPr="00EA4807">
        <w:rPr>
          <w:lang w:val="en-US"/>
        </w:rPr>
        <w:t>, possible weaknesses and areas for improvement</w:t>
      </w:r>
      <w:r w:rsidR="00EA4807">
        <w:rPr>
          <w:rFonts w:hint="eastAsia"/>
          <w:lang w:val="en-US"/>
        </w:rPr>
        <w:t xml:space="preserve"> </w:t>
      </w:r>
      <w:r w:rsidRPr="00204021">
        <w:t>in each curriculum, guiding future educational reforms and policy decisions.</w:t>
      </w:r>
    </w:p>
    <w:p w14:paraId="2DCB84EF" w14:textId="77777777" w:rsidR="00C50F0A" w:rsidRPr="00204021" w:rsidRDefault="00C50F0A" w:rsidP="00C50F0A">
      <w:pPr>
        <w:rPr>
          <w:rFonts w:hint="eastAsia"/>
        </w:rPr>
      </w:pPr>
      <w:r w:rsidRPr="00204021">
        <w:t xml:space="preserve"> </w:t>
      </w:r>
    </w:p>
    <w:p w14:paraId="73B794B2" w14:textId="77777777" w:rsidR="00C50F0A" w:rsidRPr="00204021" w:rsidRDefault="00C50F0A" w:rsidP="00C50F0A">
      <w:pPr>
        <w:numPr>
          <w:ilvl w:val="1"/>
          <w:numId w:val="1"/>
        </w:numPr>
        <w:rPr>
          <w:rFonts w:hint="eastAsia"/>
        </w:rPr>
      </w:pPr>
      <w:r w:rsidRPr="00204021">
        <w:rPr>
          <w:rFonts w:hint="eastAsia"/>
        </w:rPr>
        <w:t>Depth</w:t>
      </w:r>
    </w:p>
    <w:p w14:paraId="64D062A1" w14:textId="77777777" w:rsidR="00C50F0A" w:rsidRPr="00204021" w:rsidRDefault="00C50F0A" w:rsidP="00C50F0A">
      <w:pPr>
        <w:rPr>
          <w:rFonts w:hint="eastAsia"/>
        </w:rPr>
      </w:pPr>
      <w:r w:rsidRPr="00204021">
        <w:rPr>
          <w:rFonts w:hint="eastAsia"/>
        </w:rPr>
        <w:t xml:space="preserve"> </w:t>
      </w:r>
    </w:p>
    <w:p w14:paraId="29649EF8" w14:textId="77777777" w:rsidR="00C50F0A" w:rsidRPr="00204021" w:rsidRDefault="00C50F0A" w:rsidP="00C50F0A">
      <w:pPr>
        <w:rPr>
          <w:rFonts w:hint="eastAsia"/>
        </w:rPr>
      </w:pPr>
      <w:r w:rsidRPr="00204021">
        <w:t>Depth in a mathematics curriculum refers to the level of complexity, rigor, and thoroughness with which mathematical topics and concepts are taught.</w:t>
      </w:r>
      <w:r w:rsidRPr="00204021">
        <w:rPr>
          <w:rFonts w:hint="eastAsia"/>
        </w:rPr>
        <w:t xml:space="preserve"> </w:t>
      </w:r>
      <w:r w:rsidRPr="00204021">
        <w:t xml:space="preserve">It involves going beyond surface-level understanding to ensure that students can deeply engage </w:t>
      </w:r>
      <w:r w:rsidRPr="00204021">
        <w:lastRenderedPageBreak/>
        <w:t xml:space="preserve">with the material, apply their knowledge in various contexts, and develop higher-order thinking skills. </w:t>
      </w:r>
    </w:p>
    <w:p w14:paraId="143359D4" w14:textId="77777777" w:rsidR="00C50F0A" w:rsidRPr="00204021" w:rsidRDefault="00C50F0A" w:rsidP="00C50F0A">
      <w:pPr>
        <w:rPr>
          <w:rFonts w:hint="eastAsia"/>
        </w:rPr>
      </w:pPr>
      <w:r w:rsidRPr="00204021">
        <w:rPr>
          <w:rFonts w:hint="eastAsia"/>
        </w:rPr>
        <w:t xml:space="preserve"> </w:t>
      </w:r>
    </w:p>
    <w:p w14:paraId="731C55D3" w14:textId="77777777" w:rsidR="005F780D" w:rsidRDefault="005F780D" w:rsidP="005F780D">
      <w:pPr>
        <w:rPr>
          <w:rFonts w:hint="eastAsia"/>
        </w:rPr>
      </w:pPr>
      <w:r>
        <w:rPr>
          <w:rFonts w:hint="eastAsia"/>
        </w:rPr>
        <w:t xml:space="preserve">The depth component of this study focuses on comparing the treatment of the number system in </w:t>
      </w:r>
      <w:proofErr w:type="spellStart"/>
      <w:r>
        <w:rPr>
          <w:rFonts w:hint="eastAsia"/>
        </w:rPr>
        <w:t>Wales'</w:t>
      </w:r>
      <w:proofErr w:type="spellEnd"/>
      <w:r>
        <w:rPr>
          <w:rFonts w:hint="eastAsia"/>
        </w:rPr>
        <w:t xml:space="preserve"> Progression Steps 1 &amp; 2 and England's Key Stage 1, as well as </w:t>
      </w:r>
      <w:proofErr w:type="spellStart"/>
      <w:r>
        <w:rPr>
          <w:rFonts w:hint="eastAsia"/>
        </w:rPr>
        <w:t>Wales'</w:t>
      </w:r>
      <w:proofErr w:type="spellEnd"/>
      <w:r>
        <w:rPr>
          <w:rFonts w:hint="eastAsia"/>
        </w:rPr>
        <w:t xml:space="preserve"> Progression Steps 4 &amp; 5 and England's Key Stage 4. This comparison evaluates how each curriculum introduces and develops students' understanding of the number system, both at the foundational and advanced stages.</w:t>
      </w:r>
    </w:p>
    <w:p w14:paraId="21157957" w14:textId="77777777" w:rsidR="005F780D" w:rsidRDefault="005F780D" w:rsidP="005F780D">
      <w:pPr>
        <w:rPr>
          <w:rFonts w:hint="eastAsia"/>
        </w:rPr>
      </w:pPr>
    </w:p>
    <w:p w14:paraId="4FDCB17B" w14:textId="77777777" w:rsidR="005F780D" w:rsidRDefault="005F780D" w:rsidP="005F780D">
      <w:pPr>
        <w:rPr>
          <w:rFonts w:hint="eastAsia"/>
        </w:rPr>
      </w:pPr>
      <w:r>
        <w:rPr>
          <w:rFonts w:hint="eastAsia"/>
        </w:rPr>
        <w:t>At the early stages (Progression Steps 1 &amp; 2 in Wales and Key Stage 1 in England), the comparison focuses on how core number concepts, such as counting, place value, and simple arithmetic, are taught. Wales allows for more flexibility in the pacing and exploration of these topics, encouraging a broader, more exploratory approach to learning. In contrast, England</w:t>
      </w:r>
      <w:proofErr w:type="gramStart"/>
      <w:r>
        <w:rPr>
          <w:rFonts w:hint="eastAsia"/>
        </w:rPr>
        <w:t>’</w:t>
      </w:r>
      <w:proofErr w:type="gramEnd"/>
      <w:r>
        <w:rPr>
          <w:rFonts w:hint="eastAsia"/>
        </w:rPr>
        <w:t>s curriculum provides more structured, year-by-year objectives, ensuring that students achieve specific numerical milestones within a set timeframe.</w:t>
      </w:r>
    </w:p>
    <w:p w14:paraId="6091A255" w14:textId="77777777" w:rsidR="005F780D" w:rsidRDefault="005F780D" w:rsidP="005F780D">
      <w:pPr>
        <w:rPr>
          <w:rFonts w:hint="eastAsia"/>
        </w:rPr>
      </w:pPr>
    </w:p>
    <w:p w14:paraId="4E0D913C" w14:textId="77777777" w:rsidR="005F780D" w:rsidRDefault="005F780D" w:rsidP="005F780D">
      <w:pPr>
        <w:rPr>
          <w:rFonts w:hint="eastAsia"/>
        </w:rPr>
      </w:pPr>
      <w:r>
        <w:rPr>
          <w:rFonts w:hint="eastAsia"/>
        </w:rPr>
        <w:t>At the later stages (Progression Steps 4 &amp; 5 in Wales and Key Stage 4 in England), the focus shifts to more advanced number system topics, such as powers, roots, and rational and irrational numbers. England's Key Stage 4 curriculum is more exam-oriented, with a clear emphasis on preparing students for GCSE exams through precise objectives and progression in the understanding of complex numerical concepts. In contrast, Wales offers a more flexible framework, allowing students to explore these topics in broader contexts, with an emphasis on applying the number system in practical and real-world problems.</w:t>
      </w:r>
    </w:p>
    <w:p w14:paraId="79899C63" w14:textId="77777777" w:rsidR="005F780D" w:rsidRDefault="005F780D" w:rsidP="005F780D">
      <w:pPr>
        <w:rPr>
          <w:rFonts w:hint="eastAsia"/>
        </w:rPr>
      </w:pPr>
    </w:p>
    <w:p w14:paraId="2F4169E4" w14:textId="77777777" w:rsidR="005F780D" w:rsidRDefault="005F780D" w:rsidP="005F780D">
      <w:pPr>
        <w:rPr>
          <w:rFonts w:hint="eastAsia"/>
        </w:rPr>
      </w:pPr>
      <w:r>
        <w:rPr>
          <w:rFonts w:hint="eastAsia"/>
        </w:rPr>
        <w:t>In addition to the comparison of the number system in a macro perspective, this study also performs a micro-level analysis of fractions especially equivalent fractions in both curricula. This part of the study examines how equivalent fractions are introduced and developed, focusing on the progression from basic fraction concepts to more advanced applications in algebra and problem-solving contexts. While Wales provides flexibility in how fractions are taught, England emphasizes a more structured, step-by-step approach.</w:t>
      </w:r>
    </w:p>
    <w:p w14:paraId="7B882744" w14:textId="77777777" w:rsidR="005F780D" w:rsidRDefault="005F780D" w:rsidP="005F780D">
      <w:pPr>
        <w:rPr>
          <w:rFonts w:hint="eastAsia"/>
        </w:rPr>
      </w:pPr>
    </w:p>
    <w:p w14:paraId="5A38137C" w14:textId="31575AEF" w:rsidR="00C50F0A" w:rsidRDefault="005F780D" w:rsidP="005F780D">
      <w:r>
        <w:rPr>
          <w:rFonts w:hint="eastAsia"/>
        </w:rPr>
        <w:lastRenderedPageBreak/>
        <w:t>By focusing on both the macro-level structure of the number system and the micro-level treatment of fractions, this depth component highlights key differences in how Wales and England approach mathematical education, emphasizing different balances between flexibility, progression, and exam readiness.</w:t>
      </w:r>
      <w:r w:rsidR="00C50F0A" w:rsidRPr="00204021">
        <w:t xml:space="preserve"> </w:t>
      </w:r>
    </w:p>
    <w:p w14:paraId="220B0A04" w14:textId="77777777" w:rsidR="00AA340D" w:rsidRPr="00204021" w:rsidRDefault="00AA340D" w:rsidP="005F780D">
      <w:pPr>
        <w:rPr>
          <w:rFonts w:hint="eastAsia"/>
        </w:rPr>
      </w:pPr>
    </w:p>
    <w:p w14:paraId="0E96860F" w14:textId="77777777" w:rsidR="00735B48" w:rsidRPr="00735B48" w:rsidRDefault="00735B48" w:rsidP="00735B48">
      <w:pPr>
        <w:rPr>
          <w:lang w:val="en-US"/>
        </w:rPr>
      </w:pPr>
      <w:r w:rsidRPr="00735B48">
        <w:rPr>
          <w:lang w:val="en-US"/>
        </w:rPr>
        <w:t xml:space="preserve">The depth of the curriculum significantly influences students' readiness for further education and professional careers, especially in fields requiring a strong foundation in mathematics. As Nardi, </w:t>
      </w:r>
      <w:proofErr w:type="spellStart"/>
      <w:r w:rsidRPr="00735B48">
        <w:rPr>
          <w:lang w:val="en-US"/>
        </w:rPr>
        <w:t>Ryve</w:t>
      </w:r>
      <w:proofErr w:type="spellEnd"/>
      <w:r w:rsidRPr="00735B48">
        <w:rPr>
          <w:lang w:val="en-US"/>
        </w:rPr>
        <w:t xml:space="preserve">, and Stadler et al. (2014) suggest, the way mathematical concepts are communicated and understood at the university level is shaped by students' prior educational experiences, including the high school curriculum. Similarly, Pascarella and </w:t>
      </w:r>
      <w:proofErr w:type="spellStart"/>
      <w:r w:rsidRPr="00735B48">
        <w:rPr>
          <w:lang w:val="en-US"/>
        </w:rPr>
        <w:t>Terenzini</w:t>
      </w:r>
      <w:proofErr w:type="spellEnd"/>
      <w:r w:rsidRPr="00735B48">
        <w:rPr>
          <w:lang w:val="en-US"/>
        </w:rPr>
        <w:t xml:space="preserve"> (2005) emphasize that a rigorous curriculum during high school plays a crucial role in fostering college readiness and long-term professional success. Thus, the depth of the curriculum directly affects how well students are prepared for higher education by providing a solid grounding in essential mathematical principles.</w:t>
      </w:r>
    </w:p>
    <w:p w14:paraId="3FA1AF63" w14:textId="77777777" w:rsidR="00735B48" w:rsidRPr="00735B48" w:rsidRDefault="00735B48" w:rsidP="00735B48">
      <w:pPr>
        <w:rPr>
          <w:lang w:val="en-US"/>
        </w:rPr>
      </w:pPr>
      <w:r w:rsidRPr="00735B48">
        <w:rPr>
          <w:lang w:val="en-US"/>
        </w:rPr>
        <w:t>In addition to content mastery, a curriculum with sufficient depth cultivates critical thinking and problem-solving skills. These skills are crucial for both academic and professional success, as they allow students to approach complex challenges thoughtfully and analytically. When students are exposed to a curriculum that encourages in-depth exploration of mathematical problems, they develop the ability to think critically about various approaches, which strengthens their reasoning and analytical abilities.</w:t>
      </w:r>
    </w:p>
    <w:p w14:paraId="38D23CCF" w14:textId="77777777" w:rsidR="00735B48" w:rsidRPr="00735B48" w:rsidRDefault="00735B48" w:rsidP="00735B48">
      <w:pPr>
        <w:rPr>
          <w:lang w:val="en-US"/>
        </w:rPr>
      </w:pPr>
      <w:r w:rsidRPr="00735B48">
        <w:rPr>
          <w:lang w:val="en-US"/>
        </w:rPr>
        <w:t>Furthermore, the depth of the curriculum enhances students' adaptability. When students engage with complex mathematical topics in a meaningful way, they become better equipped to handle new and unfamiliar problems. This adaptability is particularly important in today’s rapidly changing world, where students must often apply their mathematical understanding to diverse, real-world contexts. A curriculum that prioritizes depth helps students become more flexible thinkers, enabling them to tackle novel challenges confidently.</w:t>
      </w:r>
    </w:p>
    <w:p w14:paraId="142E648C" w14:textId="77777777" w:rsidR="00C50F0A" w:rsidRPr="00204021" w:rsidRDefault="00C50F0A" w:rsidP="00C50F0A">
      <w:pPr>
        <w:rPr>
          <w:rFonts w:hint="eastAsia"/>
        </w:rPr>
      </w:pPr>
      <w:r w:rsidRPr="00204021">
        <w:t xml:space="preserve"> </w:t>
      </w:r>
    </w:p>
    <w:p w14:paraId="52D40D33" w14:textId="6F19D772" w:rsidR="00C50F0A" w:rsidRPr="00204021" w:rsidRDefault="00C50F0A" w:rsidP="00C50F0A">
      <w:pPr>
        <w:rPr>
          <w:rFonts w:hint="eastAsia"/>
        </w:rPr>
      </w:pPr>
      <w:r w:rsidRPr="00204021">
        <w:t xml:space="preserve">By comparing the curricula, we can determine how well each curriculum system prepares students for advanced studies and challenges in mathematics. In the </w:t>
      </w:r>
      <w:r w:rsidR="00387C09" w:rsidRPr="00204021">
        <w:t>meantime</w:t>
      </w:r>
      <w:r w:rsidRPr="00204021">
        <w:t xml:space="preserve">, </w:t>
      </w:r>
      <w:r w:rsidR="00451C95">
        <w:rPr>
          <w:rFonts w:hint="eastAsia"/>
        </w:rPr>
        <w:t>this study</w:t>
      </w:r>
      <w:r w:rsidRPr="00204021">
        <w:t xml:space="preserve"> can evaluate how each system supports student preparedness, critical thinking, and adaptability. A curriculum with greater depth ensures that students are well-prepared for further education and careers, develop essential critical thinking skills, and are adaptable to new challenges. This comparison helps identify the strengths </w:t>
      </w:r>
      <w:r w:rsidRPr="00204021">
        <w:lastRenderedPageBreak/>
        <w:t xml:space="preserve">and areas for improvement in each curriculum, guiding future educational reforms and policy decisions to enhance the quality of mathematics education in both </w:t>
      </w:r>
      <w:r w:rsidRPr="00204021">
        <w:rPr>
          <w:rFonts w:hint="eastAsia"/>
        </w:rPr>
        <w:t>natio</w:t>
      </w:r>
      <w:r w:rsidRPr="00204021">
        <w:t>ns.</w:t>
      </w:r>
    </w:p>
    <w:p w14:paraId="2C0B3C2A" w14:textId="77777777" w:rsidR="00C50F0A" w:rsidRPr="00204021" w:rsidRDefault="00C50F0A" w:rsidP="00C50F0A">
      <w:pPr>
        <w:rPr>
          <w:rFonts w:hint="eastAsia"/>
        </w:rPr>
      </w:pPr>
      <w:r w:rsidRPr="00204021">
        <w:t xml:space="preserve"> </w:t>
      </w:r>
    </w:p>
    <w:p w14:paraId="460FDA8B" w14:textId="77777777" w:rsidR="00C50F0A" w:rsidRPr="00204021" w:rsidRDefault="00C50F0A" w:rsidP="00C50F0A">
      <w:pPr>
        <w:rPr>
          <w:rFonts w:hint="eastAsia"/>
        </w:rPr>
      </w:pPr>
      <w:r w:rsidRPr="00204021">
        <w:t xml:space="preserve"> </w:t>
      </w:r>
    </w:p>
    <w:p w14:paraId="693FE4AE" w14:textId="77777777" w:rsidR="00C50F0A" w:rsidRPr="00204021" w:rsidRDefault="00C50F0A" w:rsidP="00C50F0A">
      <w:pPr>
        <w:numPr>
          <w:ilvl w:val="1"/>
          <w:numId w:val="1"/>
        </w:numPr>
        <w:rPr>
          <w:rFonts w:hint="eastAsia"/>
        </w:rPr>
      </w:pPr>
      <w:r w:rsidRPr="00204021">
        <w:rPr>
          <w:rFonts w:hint="eastAsia"/>
        </w:rPr>
        <w:t>Objectives</w:t>
      </w:r>
    </w:p>
    <w:p w14:paraId="5334CD6A" w14:textId="2863C18F" w:rsidR="00C50F0A" w:rsidRPr="004927F7" w:rsidRDefault="004927F7" w:rsidP="00C50F0A">
      <w:pPr>
        <w:rPr>
          <w:rFonts w:hint="eastAsia"/>
          <w:lang w:val="en-US"/>
        </w:rPr>
      </w:pPr>
      <w:r w:rsidRPr="004927F7">
        <w:t xml:space="preserve">The objectives component of this study will focus on comparing the educational goals and intended outcomes of the mathematics curricula in Wales and England. This includes </w:t>
      </w:r>
      <w:proofErr w:type="spellStart"/>
      <w:r w:rsidRPr="004927F7">
        <w:t>analyzing</w:t>
      </w:r>
      <w:proofErr w:type="spellEnd"/>
      <w:r w:rsidRPr="004927F7">
        <w:t xml:space="preserve"> the stated learning objectives within </w:t>
      </w:r>
      <w:proofErr w:type="spellStart"/>
      <w:r w:rsidRPr="00A8620E">
        <w:t>Wales</w:t>
      </w:r>
      <w:r w:rsidRPr="004927F7">
        <w:rPr>
          <w:i/>
          <w:iCs/>
        </w:rPr>
        <w:t>'</w:t>
      </w:r>
      <w:proofErr w:type="spellEnd"/>
      <w:r w:rsidRPr="004927F7">
        <w:rPr>
          <w:i/>
          <w:iCs/>
        </w:rPr>
        <w:t xml:space="preserve"> </w:t>
      </w:r>
      <w:r w:rsidRPr="004927F7">
        <w:t>Progression Steps 1 &amp; 2 and Progression Steps 4 &amp; 5, alongside England's Key Stage 1 and Key Stage 4. The analysis will consider how these curricula articulate the skills and competencies students are expected to develop at different stages of their mathematical education.</w:t>
      </w:r>
    </w:p>
    <w:p w14:paraId="2BB92C0F" w14:textId="6BF52D27" w:rsidR="00C50F0A" w:rsidRDefault="00840A31" w:rsidP="00C50F0A">
      <w:r w:rsidRPr="00840A31">
        <w:t>Specifically, the comparison will examine how each curriculum addresses fundamental mathematical concepts in the number system at the early stages (Progression Steps 1 &amp; 2 and Key Stage 1), and how advanced topics like algebra and proportional reasoning are treated at the later stages (Progression Steps 4 &amp; 5 and Key Stage 4). This analysis will focus on the alignment of the stated objectives with broader educational standards and policies in each country, exploring whether the goals reflect the needs of students, educators, and the demands of the workforce. By examining these objectives, this research can assess how well each curriculum prepares students for the transition to more advanced mathematical studies and their future careers.</w:t>
      </w:r>
    </w:p>
    <w:p w14:paraId="15721EA0" w14:textId="77777777" w:rsidR="00A8620E" w:rsidRPr="00204021" w:rsidRDefault="00A8620E" w:rsidP="00C50F0A">
      <w:pPr>
        <w:rPr>
          <w:rFonts w:hint="eastAsia"/>
        </w:rPr>
      </w:pPr>
    </w:p>
    <w:p w14:paraId="79DBF909" w14:textId="77777777" w:rsidR="00C50F0A" w:rsidRPr="00204021" w:rsidRDefault="00C50F0A" w:rsidP="00C50F0A">
      <w:pPr>
        <w:numPr>
          <w:ilvl w:val="0"/>
          <w:numId w:val="1"/>
        </w:numPr>
        <w:rPr>
          <w:rFonts w:hint="eastAsia"/>
        </w:rPr>
      </w:pPr>
      <w:r w:rsidRPr="00204021">
        <w:rPr>
          <w:rFonts w:hint="eastAsia"/>
        </w:rPr>
        <w:t>Data collection</w:t>
      </w:r>
    </w:p>
    <w:p w14:paraId="34BB846B" w14:textId="77777777" w:rsidR="00925E99" w:rsidRDefault="00925E99" w:rsidP="00C50F0A">
      <w:r w:rsidRPr="00925E99">
        <w:t xml:space="preserve">The data collection process for this study will focus on gathering relevant and specific sources that directly address the mathematics curricula of Wales and England. The primary data sources will include official curriculum documents from the Welsh and English educational systems, such as </w:t>
      </w:r>
      <w:r w:rsidRPr="00925E99">
        <w:rPr>
          <w:i/>
          <w:iCs/>
        </w:rPr>
        <w:t>Curriculum for Wales</w:t>
      </w:r>
      <w:r w:rsidRPr="00925E99">
        <w:t xml:space="preserve"> and </w:t>
      </w:r>
      <w:r w:rsidRPr="00925E99">
        <w:rPr>
          <w:i/>
          <w:iCs/>
        </w:rPr>
        <w:t>National Curriculum in England</w:t>
      </w:r>
      <w:r w:rsidRPr="00925E99">
        <w:t>. These will provide insight into the educational objectives, content coverage, and progression expectations for both countries.</w:t>
      </w:r>
    </w:p>
    <w:p w14:paraId="18902073" w14:textId="77777777" w:rsidR="00CF04B9" w:rsidRDefault="00CF04B9" w:rsidP="00C50F0A">
      <w:r w:rsidRPr="00CF04B9">
        <w:t>Additionally, academic articles and government reports related to curriculum design, pedagogical approaches, and educational outcomes will be reviewed to provide context and support the comparative analysis. Thematic analysis of these documents will help identify key trends and themes in the teaching of mathematics, particularly in the number system and fractions.</w:t>
      </w:r>
    </w:p>
    <w:p w14:paraId="6DDCF545" w14:textId="1555CE79" w:rsidR="00C50F0A" w:rsidRPr="00204021" w:rsidRDefault="00CF04B9" w:rsidP="00C50F0A">
      <w:pPr>
        <w:rPr>
          <w:rFonts w:hint="eastAsia"/>
        </w:rPr>
      </w:pPr>
      <w:r w:rsidRPr="00CF04B9">
        <w:t xml:space="preserve">A comparative framework will be used to ensure consistent data collection across </w:t>
      </w:r>
      <w:r w:rsidRPr="00CF04B9">
        <w:lastRenderedPageBreak/>
        <w:t xml:space="preserve">sources, allowing for a structured evaluation of both curricula. This method ensures the reliability and validity of findings by focusing on primary, credible sources that are directly relevant to the research objectives. By </w:t>
      </w:r>
      <w:r w:rsidR="00C937A0">
        <w:rPr>
          <w:rFonts w:hint="eastAsia"/>
        </w:rPr>
        <w:t>focusing</w:t>
      </w:r>
      <w:r w:rsidRPr="00CF04B9">
        <w:t xml:space="preserve"> the data collection on these well-documented, authoritative resources, the study ensures a comprehensive and balanced comparison of the educational systems.</w:t>
      </w:r>
      <w:r w:rsidR="00C50F0A" w:rsidRPr="00204021">
        <w:rPr>
          <w:rFonts w:hint="eastAsia"/>
        </w:rPr>
        <w:t xml:space="preserve"> </w:t>
      </w:r>
    </w:p>
    <w:p w14:paraId="50BA3979" w14:textId="77777777" w:rsidR="00C50F0A" w:rsidRPr="00204021" w:rsidRDefault="00C50F0A" w:rsidP="00C50F0A">
      <w:pPr>
        <w:rPr>
          <w:rFonts w:hint="eastAsia"/>
        </w:rPr>
      </w:pPr>
      <w:r w:rsidRPr="00204021">
        <w:t xml:space="preserve"> </w:t>
      </w:r>
    </w:p>
    <w:p w14:paraId="133BB5E5" w14:textId="77777777" w:rsidR="00C50F0A" w:rsidRPr="00204021" w:rsidRDefault="00C50F0A" w:rsidP="00C50F0A">
      <w:pPr>
        <w:numPr>
          <w:ilvl w:val="1"/>
          <w:numId w:val="1"/>
        </w:numPr>
        <w:rPr>
          <w:rFonts w:hint="eastAsia"/>
        </w:rPr>
      </w:pPr>
      <w:r w:rsidRPr="00204021">
        <w:rPr>
          <w:rFonts w:hint="eastAsia"/>
        </w:rPr>
        <w:t>literature retrieval</w:t>
      </w:r>
    </w:p>
    <w:p w14:paraId="63E7347E" w14:textId="38BD6FE4" w:rsidR="00C50F0A" w:rsidRPr="00204021" w:rsidRDefault="00141DE1" w:rsidP="00C50F0A">
      <w:pPr>
        <w:rPr>
          <w:rFonts w:hint="eastAsia"/>
        </w:rPr>
      </w:pPr>
      <w:r w:rsidRPr="00141DE1">
        <w:t xml:space="preserve">The literature retrieval process for this study will involve a systematic search of academic databases, government websites, and other credible sources to gather relevant publications on the mathematics curricula of Wales and England. Key academic databases such as </w:t>
      </w:r>
      <w:r w:rsidRPr="00141DE1">
        <w:rPr>
          <w:b/>
          <w:bCs/>
        </w:rPr>
        <w:t>Google Scholar</w:t>
      </w:r>
      <w:r w:rsidRPr="00141DE1">
        <w:t xml:space="preserve">, </w:t>
      </w:r>
      <w:r w:rsidRPr="00141DE1">
        <w:rPr>
          <w:b/>
          <w:bCs/>
        </w:rPr>
        <w:t>JSTOR</w:t>
      </w:r>
      <w:r w:rsidRPr="00141DE1">
        <w:t xml:space="preserve">, and </w:t>
      </w:r>
      <w:r w:rsidRPr="00141DE1">
        <w:rPr>
          <w:b/>
          <w:bCs/>
        </w:rPr>
        <w:t>ERIC</w:t>
      </w:r>
      <w:r w:rsidRPr="00141DE1">
        <w:t xml:space="preserve"> will be used to retrieve peer-reviewed journal articles, policy analyses, and reports that focus on curriculum design, educational outcomes, and pedagogical approaches in both nations.</w:t>
      </w:r>
    </w:p>
    <w:p w14:paraId="37D5AB27" w14:textId="5A341CFD" w:rsidR="00C50F0A" w:rsidRPr="00204021" w:rsidRDefault="00E41C63" w:rsidP="00C50F0A">
      <w:pPr>
        <w:rPr>
          <w:rFonts w:hint="eastAsia"/>
        </w:rPr>
      </w:pPr>
      <w:r w:rsidRPr="00E41C63">
        <w:t>The search strategy will include relevant keywords such as "Curriculum for Wales," "National Curriculum in England," "mathematics education," "number system," "fractions," "progression steps," and "Key Stages." These terms will help target studies that address the structure, content, and outcomes of the curricula. Boolean operators (AND, OR, NOT) will be used to refine the search and ensure the retrieval of the most pertinent literature.</w:t>
      </w:r>
      <w:r w:rsidR="00C50F0A" w:rsidRPr="00204021">
        <w:t xml:space="preserve"> </w:t>
      </w:r>
    </w:p>
    <w:p w14:paraId="1B13C7CB" w14:textId="540BD5CF" w:rsidR="00C50F0A" w:rsidRPr="00204021" w:rsidRDefault="00E41C63" w:rsidP="00C50F0A">
      <w:pPr>
        <w:rPr>
          <w:rFonts w:hint="eastAsia"/>
        </w:rPr>
      </w:pPr>
      <w:r w:rsidRPr="00E41C63">
        <w:t>Additionally, official government websites (such as the</w:t>
      </w:r>
      <w:r w:rsidRPr="004D66EE">
        <w:t xml:space="preserve"> Welsh Government </w:t>
      </w:r>
      <w:r w:rsidRPr="00E41C63">
        <w:t xml:space="preserve">and the </w:t>
      </w:r>
      <w:r w:rsidRPr="004D66EE">
        <w:t>UK Department for Education</w:t>
      </w:r>
      <w:r w:rsidRPr="00E41C63">
        <w:t>) will be important sources for retrieving curriculum documents and government reports, ensuring that the analysis is based on primary, authoritative resources.</w:t>
      </w:r>
      <w:r w:rsidR="00C50F0A" w:rsidRPr="00204021">
        <w:t xml:space="preserve"> </w:t>
      </w:r>
    </w:p>
    <w:p w14:paraId="60E47B4E" w14:textId="60C02851" w:rsidR="00C50F0A" w:rsidRPr="00204021" w:rsidRDefault="00E41C63" w:rsidP="00C50F0A">
      <w:pPr>
        <w:rPr>
          <w:rFonts w:hint="eastAsia"/>
        </w:rPr>
      </w:pPr>
      <w:r w:rsidRPr="00E41C63">
        <w:t>By employing this comprehensive retrieval strategy, the study will ensure that it captures a wide range of perspectives and research findings relevant to the comparison of the mathematics curricula in Wales and England. This approach will also provide a solid foundation for thematic analysis and ensure that the study is well-grounded in empirical data and policy documents.</w:t>
      </w:r>
      <w:r w:rsidR="00C50F0A" w:rsidRPr="00204021">
        <w:rPr>
          <w:rFonts w:hint="eastAsia"/>
        </w:rPr>
        <w:t xml:space="preserve"> </w:t>
      </w:r>
    </w:p>
    <w:p w14:paraId="385B40E5" w14:textId="77777777" w:rsidR="00C50F0A" w:rsidRPr="00204021" w:rsidRDefault="00C50F0A" w:rsidP="00C50F0A">
      <w:pPr>
        <w:numPr>
          <w:ilvl w:val="1"/>
          <w:numId w:val="1"/>
        </w:numPr>
        <w:rPr>
          <w:rFonts w:hint="eastAsia"/>
        </w:rPr>
      </w:pPr>
      <w:r w:rsidRPr="00204021">
        <w:rPr>
          <w:rFonts w:hint="eastAsia"/>
        </w:rPr>
        <w:t>Inclusion and exclusion criteria</w:t>
      </w:r>
    </w:p>
    <w:p w14:paraId="1FD557B4" w14:textId="27FB82A9" w:rsidR="00C50F0A" w:rsidRPr="00204021" w:rsidRDefault="00C50F0A" w:rsidP="00C50F0A">
      <w:pPr>
        <w:rPr>
          <w:rFonts w:hint="eastAsia"/>
        </w:rPr>
      </w:pPr>
      <w:r w:rsidRPr="00204021">
        <w:t xml:space="preserve">Establishing and applying inclusion and exclusion criteria is a critical step in ensuring the relevance, quality, and reliability of the literature selected for </w:t>
      </w:r>
      <w:r w:rsidRPr="00204021">
        <w:rPr>
          <w:rFonts w:hint="eastAsia"/>
        </w:rPr>
        <w:t>this</w:t>
      </w:r>
      <w:r w:rsidRPr="00204021">
        <w:t xml:space="preserve"> study. </w:t>
      </w:r>
      <w:r w:rsidRPr="00204021">
        <w:rPr>
          <w:rFonts w:hint="eastAsia"/>
        </w:rPr>
        <w:t>There</w:t>
      </w:r>
      <w:r w:rsidRPr="00204021">
        <w:t xml:space="preserve"> are</w:t>
      </w:r>
      <w:r w:rsidR="00640EAA">
        <w:rPr>
          <w:rFonts w:hint="eastAsia"/>
        </w:rPr>
        <w:t xml:space="preserve"> </w:t>
      </w:r>
      <w:r w:rsidRPr="00204021">
        <w:t>detail</w:t>
      </w:r>
      <w:r w:rsidR="00640EAA">
        <w:rPr>
          <w:rFonts w:hint="eastAsia"/>
        </w:rPr>
        <w:t>ed</w:t>
      </w:r>
      <w:r w:rsidRPr="00204021">
        <w:t xml:space="preserve"> steps to implement these criteria effectively in </w:t>
      </w:r>
      <w:r w:rsidRPr="00204021">
        <w:rPr>
          <w:rFonts w:hint="eastAsia"/>
        </w:rPr>
        <w:t>this study.</w:t>
      </w:r>
    </w:p>
    <w:p w14:paraId="569244F1" w14:textId="77777777" w:rsidR="00C50F0A" w:rsidRPr="00204021" w:rsidRDefault="00C50F0A" w:rsidP="00C50F0A">
      <w:pPr>
        <w:numPr>
          <w:ilvl w:val="0"/>
          <w:numId w:val="2"/>
        </w:numPr>
        <w:rPr>
          <w:rFonts w:hint="eastAsia"/>
        </w:rPr>
      </w:pPr>
      <w:r w:rsidRPr="00204021">
        <w:t>Define the Scope of the Study</w:t>
      </w:r>
    </w:p>
    <w:p w14:paraId="446BC65D" w14:textId="4EF1659F" w:rsidR="00C50F0A" w:rsidRPr="00204021" w:rsidRDefault="00C50F0A" w:rsidP="00C50F0A">
      <w:pPr>
        <w:rPr>
          <w:rFonts w:hint="eastAsia"/>
        </w:rPr>
      </w:pPr>
      <w:r w:rsidRPr="00204021">
        <w:t xml:space="preserve">Before applying inclusion and exclusion criteria, clearly define the scope of </w:t>
      </w:r>
      <w:r w:rsidRPr="00204021">
        <w:rPr>
          <w:rFonts w:hint="eastAsia"/>
        </w:rPr>
        <w:t>the</w:t>
      </w:r>
      <w:r w:rsidRPr="00204021">
        <w:t xml:space="preserve"> study. </w:t>
      </w:r>
      <w:r w:rsidR="009B3B68" w:rsidRPr="009B3B68">
        <w:rPr>
          <w:rFonts w:hint="eastAsia"/>
        </w:rPr>
        <w:lastRenderedPageBreak/>
        <w:t>Clearly defining the scope of the study before applying inclusion and exclusion criteria is essential because it ensures that the selection process aligns with the study</w:t>
      </w:r>
      <w:proofErr w:type="gramStart"/>
      <w:r w:rsidR="009B3B68" w:rsidRPr="009B3B68">
        <w:rPr>
          <w:rFonts w:hint="eastAsia"/>
        </w:rPr>
        <w:t>’</w:t>
      </w:r>
      <w:proofErr w:type="gramEnd"/>
      <w:r w:rsidR="009B3B68" w:rsidRPr="009B3B68">
        <w:rPr>
          <w:rFonts w:hint="eastAsia"/>
        </w:rPr>
        <w:t>s objectives and research questions. By establishing a clear scope, this study will prevent irrelevant or excessive data from being included, allowing for a more focused and efficient analysis.</w:t>
      </w:r>
    </w:p>
    <w:p w14:paraId="75A5BE71" w14:textId="77777777" w:rsidR="00C50F0A" w:rsidRPr="00204021" w:rsidRDefault="00C50F0A" w:rsidP="00C50F0A">
      <w:pPr>
        <w:rPr>
          <w:rFonts w:hint="eastAsia"/>
        </w:rPr>
      </w:pPr>
      <w:r w:rsidRPr="00204021">
        <w:t>The primary focus of this study is the high school mathematics curricula in Wales and England</w:t>
      </w:r>
      <w:r w:rsidRPr="00204021">
        <w:rPr>
          <w:rFonts w:hint="eastAsia"/>
        </w:rPr>
        <w:t xml:space="preserve"> and the comparison of the curricula</w:t>
      </w:r>
      <w:r w:rsidRPr="00204021">
        <w:t>. This means that the study will specifically examine the content and structure of the mathematics curricula taught to students in secondary education, typically covering the age range of 1</w:t>
      </w:r>
      <w:r w:rsidRPr="00204021">
        <w:rPr>
          <w:rFonts w:hint="eastAsia"/>
        </w:rPr>
        <w:t>4</w:t>
      </w:r>
      <w:r w:rsidRPr="00204021">
        <w:t xml:space="preserve"> to 18 years.</w:t>
      </w:r>
    </w:p>
    <w:p w14:paraId="12AF8DF0" w14:textId="77777777" w:rsidR="0087156F" w:rsidRDefault="0087156F" w:rsidP="0087156F">
      <w:pPr>
        <w:rPr>
          <w:rFonts w:hint="eastAsia"/>
        </w:rPr>
      </w:pPr>
      <w:r>
        <w:rPr>
          <w:rFonts w:hint="eastAsia"/>
        </w:rPr>
        <w:t>The study is limited to Wales and England to provide a comparative analysis within their specific educational contexts, as both nations have distinct and separate curricula due to the devolution of educational policies. Following the establishment of devolved governments in the late 1990s, Wales gained the authority to develop its own curriculum independent of England. This led to the creation of the Curriculum for Wales, which emphasizes holistic education, flexibility, and a focus on skills for life, particularly through its recent reforms introduced in the 2022 Curriculum for Wales.</w:t>
      </w:r>
    </w:p>
    <w:p w14:paraId="73E4E4B6" w14:textId="77777777" w:rsidR="0087156F" w:rsidRDefault="0087156F" w:rsidP="0087156F">
      <w:pPr>
        <w:rPr>
          <w:rFonts w:hint="eastAsia"/>
        </w:rPr>
      </w:pPr>
    </w:p>
    <w:p w14:paraId="2F27009F" w14:textId="77777777" w:rsidR="0087156F" w:rsidRDefault="0087156F" w:rsidP="0087156F">
      <w:pPr>
        <w:rPr>
          <w:rFonts w:hint="eastAsia"/>
        </w:rPr>
      </w:pPr>
      <w:r>
        <w:rPr>
          <w:rFonts w:hint="eastAsia"/>
        </w:rPr>
        <w:t>In contrast, England retained its National Curriculum, which is more standardized and assessment-focused, structured around clear key stages with specific learning objectives for each subject and year group. This curriculum is centrally managed by the UK Department for Education and is designed with a focus on preparing students for national assessments such as the GCSE.</w:t>
      </w:r>
    </w:p>
    <w:p w14:paraId="064F99D3" w14:textId="77777777" w:rsidR="0087156F" w:rsidRDefault="0087156F" w:rsidP="0087156F">
      <w:pPr>
        <w:rPr>
          <w:rFonts w:hint="eastAsia"/>
        </w:rPr>
      </w:pPr>
    </w:p>
    <w:p w14:paraId="7287DB07" w14:textId="36CCE0C3" w:rsidR="00C50F0A" w:rsidRPr="00204021" w:rsidRDefault="0087156F" w:rsidP="0087156F">
      <w:pPr>
        <w:rPr>
          <w:rFonts w:hint="eastAsia"/>
        </w:rPr>
      </w:pPr>
      <w:r>
        <w:rPr>
          <w:rFonts w:hint="eastAsia"/>
        </w:rPr>
        <w:t>The differences between these educational systems are shaped by differing educational philosophies and policy goals. Wales emphasizes the development of students as independent learners with a strong focus on well-being, creativity, and cross-disciplinary learning. England, on the other hand, emphasizes a more structured approach with a strong emphasis on academic achievement and assessment. These contrasting approaches provide a rich basis for comparing how mathematical concepts, teaching methods, and student outcomes differ across both nations, making this comparative study highly valuable.</w:t>
      </w:r>
    </w:p>
    <w:p w14:paraId="60EA7D9F" w14:textId="0B4FB5A7" w:rsidR="00C50F0A" w:rsidRPr="00204021" w:rsidRDefault="00C50F0A" w:rsidP="00C50F0A">
      <w:pPr>
        <w:rPr>
          <w:rFonts w:hint="eastAsia"/>
        </w:rPr>
      </w:pPr>
      <w:r w:rsidRPr="00204021">
        <w:t xml:space="preserve">The study examines several key aspects of the high school mathematics curricula in Wales and England. These aspects include Curriculum content, structure, depth, </w:t>
      </w:r>
      <w:r w:rsidRPr="00204021">
        <w:rPr>
          <w:rFonts w:hint="eastAsia"/>
        </w:rPr>
        <w:t xml:space="preserve">and objectives. </w:t>
      </w:r>
      <w:r w:rsidR="00810E5C" w:rsidRPr="00810E5C">
        <w:rPr>
          <w:rFonts w:hint="eastAsia"/>
        </w:rPr>
        <w:t xml:space="preserve">These aspects were selected because they form the foundation of any educational system, influencing not only the knowledge students acquire but also how </w:t>
      </w:r>
      <w:r w:rsidR="00810E5C" w:rsidRPr="00810E5C">
        <w:rPr>
          <w:rFonts w:hint="eastAsia"/>
        </w:rPr>
        <w:lastRenderedPageBreak/>
        <w:t xml:space="preserve">they engage with and apply mathematical concepts. </w:t>
      </w:r>
      <w:r w:rsidR="00810E5C" w:rsidRPr="00810E5C">
        <w:t>Analysing</w:t>
      </w:r>
      <w:r w:rsidR="00810E5C" w:rsidRPr="00810E5C">
        <w:rPr>
          <w:rFonts w:hint="eastAsia"/>
        </w:rPr>
        <w:t xml:space="preserve"> the curriculum content reveals the mathematical topics and skills prioritized in each system, while examining the structure helps identify how learning is sequenced and paced over time. Assessing the depth of the curriculum allows for an evaluation of the complexity and rigor with which key mathematical concepts are explored, and reviewing the objectives provides insight into the overarching goals and competencies each system aims to develop. Together, these aspects provide a clear framework for evaluating how effectively each curriculum prepares students for academic advancement and real-world problem-solving.</w:t>
      </w:r>
    </w:p>
    <w:p w14:paraId="1EE23420" w14:textId="77777777" w:rsidR="00C50F0A" w:rsidRPr="00204021" w:rsidRDefault="00C50F0A" w:rsidP="00C50F0A">
      <w:pPr>
        <w:rPr>
          <w:rFonts w:hint="eastAsia"/>
        </w:rPr>
      </w:pPr>
      <w:r w:rsidRPr="00204021">
        <w:t xml:space="preserve"> </w:t>
      </w:r>
    </w:p>
    <w:p w14:paraId="66F670A9" w14:textId="77777777" w:rsidR="00C50F0A" w:rsidRPr="00204021" w:rsidRDefault="00C50F0A" w:rsidP="00C50F0A">
      <w:pPr>
        <w:rPr>
          <w:rFonts w:hint="eastAsia"/>
        </w:rPr>
      </w:pPr>
      <w:r w:rsidRPr="00204021">
        <w:rPr>
          <w:rFonts w:hint="eastAsia"/>
        </w:rPr>
        <w:t>2.</w:t>
      </w:r>
      <w:r w:rsidRPr="00204021">
        <w:t xml:space="preserve"> Develop Inclusion Criteria</w:t>
      </w:r>
    </w:p>
    <w:p w14:paraId="625D4A25" w14:textId="77777777" w:rsidR="002D76FE" w:rsidRPr="002D76FE" w:rsidRDefault="002D76FE" w:rsidP="002D76FE">
      <w:pPr>
        <w:rPr>
          <w:lang w:val="en-US"/>
        </w:rPr>
      </w:pPr>
      <w:r w:rsidRPr="002D76FE">
        <w:rPr>
          <w:lang w:val="en-US"/>
        </w:rPr>
        <w:t>The inclusion criteria for this study are designed to ensure that only the most relevant and credible sources are considered, providing a solid foundation for a comprehensive comparison of the mathematics curricula in Wales and England. The first criterion focuses on peer-reviewed articles, which are selected for their academic rigor and quality. These studies, published in reputable academic journals, provide insights based on empirical research and theoretical analysis, ensuring that the study draws from well-supported findings.</w:t>
      </w:r>
    </w:p>
    <w:p w14:paraId="2FF24ACE" w14:textId="77777777" w:rsidR="002D76FE" w:rsidRPr="002D76FE" w:rsidRDefault="002D76FE" w:rsidP="002D76FE">
      <w:pPr>
        <w:rPr>
          <w:lang w:val="en-US"/>
        </w:rPr>
      </w:pPr>
      <w:r w:rsidRPr="002D76FE">
        <w:rPr>
          <w:lang w:val="en-US"/>
        </w:rPr>
        <w:t>Additionally, government reports are included, as these documents from official bodies like the Department for Education in England and the Welsh Government offer authoritative information on the design, implementation, and outcomes of the respective curricula. These sources provide a direct link to policy decisions and curriculum frameworks, ensuring that the study is grounded in the most accurate and up-to-date governmental perspectives.</w:t>
      </w:r>
    </w:p>
    <w:p w14:paraId="7D2C80BF" w14:textId="78D4AF47" w:rsidR="002D76FE" w:rsidRPr="002D76FE" w:rsidRDefault="00705063" w:rsidP="002D76FE">
      <w:pPr>
        <w:rPr>
          <w:lang w:val="en-US"/>
        </w:rPr>
      </w:pPr>
      <w:r>
        <w:rPr>
          <w:rFonts w:hint="eastAsia"/>
          <w:lang w:val="en-US"/>
        </w:rPr>
        <w:t>Then</w:t>
      </w:r>
      <w:r w:rsidR="002D76FE" w:rsidRPr="002D76FE">
        <w:rPr>
          <w:lang w:val="en-US"/>
        </w:rPr>
        <w:t xml:space="preserve">, educational research reports from recognized organizations such as </w:t>
      </w:r>
      <w:proofErr w:type="spellStart"/>
      <w:r w:rsidR="002D76FE" w:rsidRPr="002D76FE">
        <w:rPr>
          <w:lang w:val="en-US"/>
        </w:rPr>
        <w:t>Estyn</w:t>
      </w:r>
      <w:proofErr w:type="spellEnd"/>
      <w:r w:rsidR="002D76FE" w:rsidRPr="002D76FE">
        <w:rPr>
          <w:lang w:val="en-US"/>
        </w:rPr>
        <w:t xml:space="preserve"> (the education and training inspectorate for Wales) and </w:t>
      </w:r>
      <w:proofErr w:type="spellStart"/>
      <w:r w:rsidR="002D76FE" w:rsidRPr="002D76FE">
        <w:rPr>
          <w:lang w:val="en-US"/>
        </w:rPr>
        <w:t>Ofqual</w:t>
      </w:r>
      <w:proofErr w:type="spellEnd"/>
      <w:r w:rsidR="002D76FE" w:rsidRPr="002D76FE">
        <w:rPr>
          <w:lang w:val="en-US"/>
        </w:rPr>
        <w:t xml:space="preserve"> (the regulator of qualifications in England) are considered. These reports are valuable for their detailed analyses of educational standards, teaching practices, and curriculum effectiveness, offering a comprehensive view of how each curriculum performs in practice. Together, these types of sources ensure that the study is well-rounded, combining theoretical perspectives with practical, policy-driven insights.</w:t>
      </w:r>
    </w:p>
    <w:p w14:paraId="12DC1BA3" w14:textId="77777777" w:rsidR="00C50F0A" w:rsidRPr="00204021" w:rsidRDefault="00C50F0A" w:rsidP="00C50F0A">
      <w:pPr>
        <w:rPr>
          <w:rFonts w:hint="eastAsia"/>
        </w:rPr>
      </w:pPr>
      <w:r w:rsidRPr="00204021">
        <w:t xml:space="preserve"> </w:t>
      </w:r>
    </w:p>
    <w:p w14:paraId="388F248A" w14:textId="77777777" w:rsidR="00094776" w:rsidRPr="00094776" w:rsidRDefault="00094776" w:rsidP="00094776">
      <w:pPr>
        <w:rPr>
          <w:bCs/>
          <w:lang w:val="en-US"/>
        </w:rPr>
      </w:pPr>
      <w:r w:rsidRPr="00094776">
        <w:rPr>
          <w:bCs/>
          <w:lang w:val="en-US"/>
        </w:rPr>
        <w:t xml:space="preserve">The </w:t>
      </w:r>
      <w:r w:rsidRPr="00094776">
        <w:rPr>
          <w:lang w:val="en-US"/>
        </w:rPr>
        <w:t>publication date</w:t>
      </w:r>
      <w:r w:rsidRPr="00094776">
        <w:rPr>
          <w:bCs/>
          <w:lang w:val="en-US"/>
        </w:rPr>
        <w:t xml:space="preserve"> is another important criterion in this study to ensure that the sources reflect current educational practices and the most recent developments in the mathematics curricula of Wales and England. The study primarily focuses on</w:t>
      </w:r>
      <w:r w:rsidRPr="00094776">
        <w:rPr>
          <w:lang w:val="en-US"/>
        </w:rPr>
        <w:t xml:space="preserve"> recent </w:t>
      </w:r>
      <w:r w:rsidRPr="00094776">
        <w:rPr>
          <w:lang w:val="en-US"/>
        </w:rPr>
        <w:lastRenderedPageBreak/>
        <w:t>publications</w:t>
      </w:r>
      <w:r w:rsidRPr="00094776">
        <w:rPr>
          <w:bCs/>
          <w:lang w:val="en-US"/>
        </w:rPr>
        <w:t xml:space="preserve"> from the past 10 to 20 years, as these studies provide the most up-to-date insights into curriculum design, implementation, and outcomes. By emphasizing more recent research, the study ensures relevance and alignment with the latest educational policies and practices. However, older studies may still be included if they offer significant </w:t>
      </w:r>
      <w:r w:rsidRPr="00094776">
        <w:rPr>
          <w:lang w:val="en-US"/>
        </w:rPr>
        <w:t>historical context</w:t>
      </w:r>
      <w:r w:rsidRPr="00094776">
        <w:rPr>
          <w:bCs/>
          <w:lang w:val="en-US"/>
        </w:rPr>
        <w:t xml:space="preserve"> or have played a crucial role in shaping the current curricula. These historical sources can provide valuable insights into the evolution of educational strategies and policies over time, offering a deeper understanding of the foundational aspects of both curricula.</w:t>
      </w:r>
    </w:p>
    <w:p w14:paraId="6A56C484" w14:textId="77777777" w:rsidR="00705063" w:rsidRDefault="00705063" w:rsidP="00094776">
      <w:pPr>
        <w:rPr>
          <w:bCs/>
          <w:lang w:val="en-US"/>
        </w:rPr>
      </w:pPr>
      <w:r>
        <w:rPr>
          <w:bCs/>
          <w:lang w:val="en-US"/>
        </w:rPr>
        <w:t>Finally</w:t>
      </w:r>
      <w:r w:rsidR="00094776" w:rsidRPr="00094776">
        <w:rPr>
          <w:bCs/>
          <w:lang w:val="en-US"/>
        </w:rPr>
        <w:t xml:space="preserve">, the </w:t>
      </w:r>
      <w:r w:rsidR="00094776" w:rsidRPr="00094776">
        <w:rPr>
          <w:lang w:val="en-US"/>
        </w:rPr>
        <w:t>geographical focus</w:t>
      </w:r>
      <w:r w:rsidR="00094776" w:rsidRPr="00094776">
        <w:rPr>
          <w:bCs/>
          <w:lang w:val="en-US"/>
        </w:rPr>
        <w:t xml:space="preserve"> of this study is limited to sources that are specific to the educational systems of </w:t>
      </w:r>
      <w:r w:rsidR="00094776" w:rsidRPr="00094776">
        <w:rPr>
          <w:lang w:val="en-US"/>
        </w:rPr>
        <w:t>Wales and England</w:t>
      </w:r>
      <w:r w:rsidR="00094776" w:rsidRPr="00094776">
        <w:rPr>
          <w:bCs/>
          <w:lang w:val="en-US"/>
        </w:rPr>
        <w:t xml:space="preserve">. Only studies that directly address or analyze the mathematics curricula of these two nations will be considered. This geographical specificity is essential to maintain the study's focus on the distinct educational frameworks and policies that have developed in these two nations post-devolution. </w:t>
      </w:r>
    </w:p>
    <w:p w14:paraId="66799514" w14:textId="1255381F" w:rsidR="00094776" w:rsidRPr="00094776" w:rsidRDefault="00094776" w:rsidP="00094776">
      <w:pPr>
        <w:rPr>
          <w:bCs/>
          <w:lang w:val="en-US"/>
        </w:rPr>
      </w:pPr>
      <w:r w:rsidRPr="00094776">
        <w:rPr>
          <w:bCs/>
          <w:lang w:val="en-US"/>
        </w:rPr>
        <w:t>Together, these criteria ensure that the sources included in the study are not only relevant and reliable but also provide a comprehensive and focused analysis of the current state of mathematics education in Wales and England.</w:t>
      </w:r>
    </w:p>
    <w:p w14:paraId="6E8866B0" w14:textId="77777777" w:rsidR="00C50F0A" w:rsidRPr="00204021" w:rsidRDefault="00C50F0A" w:rsidP="00C50F0A">
      <w:pPr>
        <w:rPr>
          <w:rFonts w:hint="eastAsia"/>
        </w:rPr>
      </w:pPr>
      <w:r w:rsidRPr="00204021">
        <w:t xml:space="preserve"> </w:t>
      </w:r>
    </w:p>
    <w:p w14:paraId="01D87064" w14:textId="77777777" w:rsidR="00C50F0A" w:rsidRPr="00204021" w:rsidRDefault="00C50F0A" w:rsidP="00C50F0A">
      <w:pPr>
        <w:rPr>
          <w:rFonts w:hint="eastAsia"/>
        </w:rPr>
      </w:pPr>
      <w:r w:rsidRPr="00204021">
        <w:t>3</w:t>
      </w:r>
      <w:r w:rsidRPr="00204021">
        <w:rPr>
          <w:rFonts w:hint="eastAsia"/>
        </w:rPr>
        <w:t>.</w:t>
      </w:r>
      <w:r w:rsidRPr="00204021">
        <w:t xml:space="preserve"> Develop Exclusion Criteria</w:t>
      </w:r>
    </w:p>
    <w:p w14:paraId="2A85EDAF" w14:textId="77777777" w:rsidR="004C04F9" w:rsidRPr="004C04F9" w:rsidRDefault="004C04F9" w:rsidP="004C04F9">
      <w:pPr>
        <w:rPr>
          <w:lang w:val="en-US"/>
        </w:rPr>
      </w:pPr>
      <w:r w:rsidRPr="004C04F9">
        <w:rPr>
          <w:lang w:val="en-US"/>
        </w:rPr>
        <w:t>Exclusion criteria for this study are designed to filter out sources that do not contribute directly to the analysis of the mathematics curricula in Wales and England. Studies that lack a specific focus on the content, structure, or outcomes of the mathematics curricula in these nations will be excluded, as they do not provide the necessary detail for comparison. For instance, general discussions on educational theories or approaches that do not specifically address mathematics curricula are irrelevant to this research and will be omitted.</w:t>
      </w:r>
    </w:p>
    <w:p w14:paraId="6EFC1209" w14:textId="77777777" w:rsidR="004C04F9" w:rsidRPr="004C04F9" w:rsidRDefault="004C04F9" w:rsidP="004C04F9">
      <w:pPr>
        <w:rPr>
          <w:lang w:val="en-US"/>
        </w:rPr>
      </w:pPr>
      <w:r w:rsidRPr="004C04F9">
        <w:rPr>
          <w:lang w:val="en-US"/>
        </w:rPr>
        <w:t>Moreover, non-academic sources, including non-peer-reviewed articles, opinion pieces, and unverified online resources, are not considered reliable or rigorous enough for inclusion in this study. To maintain academic credibility, only high-quality, peer-reviewed sources and official publications will be used.</w:t>
      </w:r>
    </w:p>
    <w:p w14:paraId="574CDDB4" w14:textId="77777777" w:rsidR="004C04F9" w:rsidRPr="004C04F9" w:rsidRDefault="004C04F9" w:rsidP="004C04F9">
      <w:pPr>
        <w:rPr>
          <w:lang w:val="en-US"/>
        </w:rPr>
      </w:pPr>
      <w:r w:rsidRPr="004C04F9">
        <w:rPr>
          <w:lang w:val="en-US"/>
        </w:rPr>
        <w:t xml:space="preserve">Finally, outdated studies that were published more than 20 years ago will generally be excluded, unless they provide essential historical context or foundational insights that have significantly influenced current curricula. This ensures that the study remains focused on the most current educational practices while still acknowledging the importance of historical influences where relevant. These exclusion criteria help refine the research to focus only on high-quality, relevant sources that align with the study's </w:t>
      </w:r>
      <w:r w:rsidRPr="004C04F9">
        <w:rPr>
          <w:lang w:val="en-US"/>
        </w:rPr>
        <w:lastRenderedPageBreak/>
        <w:t>goals.</w:t>
      </w:r>
    </w:p>
    <w:p w14:paraId="532F4033" w14:textId="77777777" w:rsidR="00C50F0A" w:rsidRPr="00204021" w:rsidRDefault="00C50F0A" w:rsidP="00C50F0A">
      <w:pPr>
        <w:rPr>
          <w:rFonts w:hint="eastAsia"/>
          <w:b/>
          <w:bCs/>
        </w:rPr>
      </w:pPr>
      <w:r w:rsidRPr="00204021">
        <w:t>4</w:t>
      </w:r>
      <w:r w:rsidRPr="00204021">
        <w:rPr>
          <w:rFonts w:hint="eastAsia"/>
        </w:rPr>
        <w:t>.</w:t>
      </w:r>
      <w:r w:rsidRPr="00204021">
        <w:t xml:space="preserve"> Apply Criteria During Literature Search</w:t>
      </w:r>
    </w:p>
    <w:p w14:paraId="3D4C8546" w14:textId="77777777" w:rsidR="0093480D" w:rsidRDefault="0093480D" w:rsidP="00C50F0A">
      <w:r w:rsidRPr="0093480D">
        <w:t>During the literature search, inclusion and exclusion criteria were systematically applied to ensure that only the most relevant and high-quality studies were included in the analysis. The search began with an extensive exploration of academic databases and official publications, focusing on sources that met the inclusion criteria, such as peer-reviewed journal articles, government reports, and educational research papers. Sources were filtered based on their direct relevance to the mathematics curricula of Wales and England, prioritizing recent publications (within the last 10–20 years) to ensure the relevance of the data. Studies that did not focus specifically on curriculum content, structure, or outcomes were excluded, as were non-academic or low-quality sources. By applying these criteria consistently throughout the literature search, the study ensured a focused and reliable dataset for analysis.</w:t>
      </w:r>
      <w:r w:rsidRPr="0093480D">
        <w:t xml:space="preserve"> </w:t>
      </w:r>
    </w:p>
    <w:p w14:paraId="37F47462" w14:textId="7C5E00AA" w:rsidR="00C50F0A" w:rsidRPr="00204021" w:rsidRDefault="00C50F0A" w:rsidP="00C50F0A">
      <w:pPr>
        <w:rPr>
          <w:rFonts w:hint="eastAsia"/>
          <w:b/>
          <w:bCs/>
        </w:rPr>
      </w:pPr>
      <w:r w:rsidRPr="00204021">
        <w:t>5</w:t>
      </w:r>
      <w:r w:rsidRPr="00204021">
        <w:rPr>
          <w:rFonts w:hint="eastAsia"/>
        </w:rPr>
        <w:t>.</w:t>
      </w:r>
      <w:r w:rsidRPr="00204021">
        <w:t xml:space="preserve"> Synthesize Included Literature</w:t>
      </w:r>
    </w:p>
    <w:p w14:paraId="74596A74" w14:textId="0D71BA5A" w:rsidR="00C50F0A" w:rsidRPr="00204021" w:rsidRDefault="00150EB6" w:rsidP="00C50F0A">
      <w:pPr>
        <w:rPr>
          <w:rFonts w:hint="eastAsia"/>
        </w:rPr>
      </w:pPr>
      <w:r w:rsidRPr="00150EB6">
        <w:t xml:space="preserve">After applying the inclusion and exclusion criteria, the selected literature will be synthesized to provide a coherent understanding of the mathematics curricula in Wales and England. This synthesis involves </w:t>
      </w:r>
      <w:r w:rsidRPr="00150EB6">
        <w:t>comparing</w:t>
      </w:r>
      <w:r w:rsidRPr="00150EB6">
        <w:t xml:space="preserve"> key themes, patterns, and findings across the selected studies, focusing on areas such as curriculum content, structure, depth, and objectives. A thematic analysis will be employed to identify recurring ideas, such as approaches to the number system, fractions, and the progression of mathematical skills. By integrating insights from academic articles, government reports, and educational research, the study aims to highlight commonalities and differences between the two educational systems. The synthesized findings will form the basis for evaluating the effectiveness of each curriculum, informing the subsequent analysis and recommendations.</w:t>
      </w:r>
      <w:r w:rsidR="00C50F0A" w:rsidRPr="00204021">
        <w:t xml:space="preserve"> </w:t>
      </w:r>
    </w:p>
    <w:p w14:paraId="2555D5F5" w14:textId="77777777" w:rsidR="00C50F0A" w:rsidRPr="00204021" w:rsidRDefault="00C50F0A" w:rsidP="00C50F0A">
      <w:pPr>
        <w:numPr>
          <w:ilvl w:val="0"/>
          <w:numId w:val="1"/>
        </w:numPr>
        <w:rPr>
          <w:rFonts w:hint="eastAsia"/>
        </w:rPr>
      </w:pPr>
      <w:r w:rsidRPr="00204021">
        <w:rPr>
          <w:rFonts w:hint="eastAsia"/>
        </w:rPr>
        <w:t xml:space="preserve">Data analysis (synthesize existing literature) </w:t>
      </w:r>
    </w:p>
    <w:p w14:paraId="68FDEE8B" w14:textId="77777777" w:rsidR="00C50F0A" w:rsidRPr="00204021" w:rsidRDefault="00C50F0A" w:rsidP="00C50F0A">
      <w:pPr>
        <w:rPr>
          <w:rFonts w:hint="eastAsia"/>
        </w:rPr>
      </w:pPr>
      <w:r w:rsidRPr="00204021">
        <w:t xml:space="preserve"> </w:t>
      </w:r>
    </w:p>
    <w:p w14:paraId="344DE887" w14:textId="5AD18B09" w:rsidR="00B61EC9" w:rsidRDefault="00B61EC9" w:rsidP="00B61EC9">
      <w:pPr>
        <w:rPr>
          <w:rFonts w:hint="eastAsia"/>
        </w:rPr>
      </w:pPr>
      <w:r>
        <w:rPr>
          <w:rFonts w:hint="eastAsia"/>
        </w:rPr>
        <w:t xml:space="preserve">To effectively organize the collected data, the first step will involve categorizing the relevant articles and sources into key areas, such as curriculum content, structure, depth, and educational outcomes. This systematic categorization ensures that each aspect of the mathematics curricula in Wales and England can be </w:t>
      </w:r>
      <w:r w:rsidR="006F4F18">
        <w:t>analysed</w:t>
      </w:r>
      <w:r>
        <w:rPr>
          <w:rFonts w:hint="eastAsia"/>
        </w:rPr>
        <w:t xml:space="preserve"> methodically. Following this, data tables will be created to align these themes across the two curricula, allowing for side-by-side comparisons. This structured approach enables the identification of similarities, differences, and areas where each curriculum may excel or need improvement, facilitating a thorough comparative analysis.</w:t>
      </w:r>
    </w:p>
    <w:p w14:paraId="2BDE5611" w14:textId="77777777" w:rsidR="00B61EC9" w:rsidRDefault="00B61EC9" w:rsidP="00B61EC9">
      <w:pPr>
        <w:rPr>
          <w:rFonts w:hint="eastAsia"/>
        </w:rPr>
      </w:pPr>
    </w:p>
    <w:p w14:paraId="0B98878C" w14:textId="45CD8FBE" w:rsidR="00B61EC9" w:rsidRDefault="00B61EC9" w:rsidP="00B61EC9">
      <w:pPr>
        <w:rPr>
          <w:rFonts w:hint="eastAsia"/>
        </w:rPr>
      </w:pPr>
      <w:r>
        <w:rPr>
          <w:rFonts w:hint="eastAsia"/>
        </w:rPr>
        <w:t xml:space="preserve">A thematic analysis will then be conducted across four major topics: curriculum content, structure, depth, and objectives. For example, when </w:t>
      </w:r>
      <w:r w:rsidR="006F4F18">
        <w:t>analysing</w:t>
      </w:r>
      <w:r>
        <w:rPr>
          <w:rFonts w:hint="eastAsia"/>
        </w:rPr>
        <w:t xml:space="preserve"> the curriculum content, the data will first be organized into four main categories—number system, algebra, geometry, and statistics and probability. Each of these categories will then be examined for both Wales and England.</w:t>
      </w:r>
    </w:p>
    <w:p w14:paraId="7594B044" w14:textId="77777777" w:rsidR="00B61EC9" w:rsidRDefault="00B61EC9" w:rsidP="00B61EC9">
      <w:pPr>
        <w:rPr>
          <w:rFonts w:hint="eastAsia"/>
        </w:rPr>
      </w:pPr>
    </w:p>
    <w:p w14:paraId="643B1990" w14:textId="77777777" w:rsidR="00B61EC9" w:rsidRDefault="00B61EC9" w:rsidP="00B61EC9">
      <w:pPr>
        <w:rPr>
          <w:rFonts w:hint="eastAsia"/>
        </w:rPr>
      </w:pPr>
      <w:r>
        <w:rPr>
          <w:rFonts w:hint="eastAsia"/>
        </w:rPr>
        <w:t>To illustrate, when focusing on the number system, government documents and academic literature specific to Welsh education will be reviewed to determine the requirements for understanding numbers, operations, and related concepts. The Welsh curriculum emphasizes basic number concepts, whereas, in contrast, the English curriculum includes more advanced topics such as truncated and complex numbers. These specific differences between the curricula will be listed and directly compared.</w:t>
      </w:r>
    </w:p>
    <w:p w14:paraId="4A5082B4" w14:textId="77777777" w:rsidR="00B61EC9" w:rsidRDefault="00B61EC9" w:rsidP="00B61EC9">
      <w:pPr>
        <w:rPr>
          <w:rFonts w:hint="eastAsia"/>
        </w:rPr>
      </w:pPr>
    </w:p>
    <w:p w14:paraId="2BFDEBF9" w14:textId="12EEECA8" w:rsidR="00C50F0A" w:rsidRPr="00204021" w:rsidRDefault="00B61EC9" w:rsidP="00B61EC9">
      <w:pPr>
        <w:rPr>
          <w:rFonts w:hint="eastAsia"/>
        </w:rPr>
      </w:pPr>
      <w:r>
        <w:rPr>
          <w:rFonts w:hint="eastAsia"/>
        </w:rPr>
        <w:t>Once the differences are identified, it is crucial to explore the potential reasons for these disparities. Comparative analysis will draw from academic literature to understand the distinct educational standards developed after the curriculum reform in Wales. These unique standards are a key factor contributing to the differences in mathematics education between the two nations. Further analysis will incorporate other factors, such as variations in educational goals, teaching methods, and the historical and cultural contexts that shape each country's approach to mathematics education. This process will involve synthesizing relevant literature to provide a comprehensive explanation of the identified differences and their underlying causes.</w:t>
      </w:r>
      <w:r w:rsidR="00C50F0A" w:rsidRPr="00204021">
        <w:t xml:space="preserve"> </w:t>
      </w:r>
    </w:p>
    <w:p w14:paraId="475283C0" w14:textId="77777777" w:rsidR="00C50F0A" w:rsidRPr="00204021" w:rsidRDefault="00C50F0A" w:rsidP="00C50F0A">
      <w:pPr>
        <w:numPr>
          <w:ilvl w:val="0"/>
          <w:numId w:val="1"/>
        </w:numPr>
        <w:rPr>
          <w:rFonts w:hint="eastAsia"/>
        </w:rPr>
      </w:pPr>
      <w:r w:rsidRPr="00204021">
        <w:rPr>
          <w:rFonts w:hint="eastAsia"/>
        </w:rPr>
        <w:t>Synthesis of Findings</w:t>
      </w:r>
    </w:p>
    <w:p w14:paraId="1154731B" w14:textId="77777777" w:rsidR="00521717" w:rsidRDefault="00521717" w:rsidP="00C50F0A">
      <w:r w:rsidRPr="00521717">
        <w:t>This step consolidates the key findings from the data, drawing on the comparative analysis of the mathematics curricula in Wales and England. The primary focus is on identifying patterns and themes in the curriculum content, structure, depth, and objectives, while examining how each system develops mathematical understanding through the number system, algebra, and other core areas.</w:t>
      </w:r>
    </w:p>
    <w:p w14:paraId="17D1FFE7" w14:textId="77777777" w:rsidR="005718CE" w:rsidRDefault="005718CE" w:rsidP="00C50F0A">
      <w:r w:rsidRPr="005718CE">
        <w:t>A critical task is to highlight the similarities and differences in how each curriculum addresses foundational mathematical skills, such as the depth of conceptual understanding in topics like fractions, the number system, and advanced applications like algebra. By combining insights from academic literature, government reports, and curriculum documents, this synthesis aims to provide a comprehensive comparison of how each curriculum is designed to meet educational goals.</w:t>
      </w:r>
    </w:p>
    <w:p w14:paraId="6E3E01F1" w14:textId="77777777" w:rsidR="005718CE" w:rsidRDefault="005718CE" w:rsidP="00C50F0A">
      <w:r w:rsidRPr="005718CE">
        <w:lastRenderedPageBreak/>
        <w:t xml:space="preserve">Moreover, the findings will directly address the research question by clarifying how </w:t>
      </w:r>
      <w:proofErr w:type="spellStart"/>
      <w:r w:rsidRPr="005718CE">
        <w:t>Wales'</w:t>
      </w:r>
      <w:proofErr w:type="spellEnd"/>
      <w:r w:rsidRPr="005718CE">
        <w:t xml:space="preserve"> more flexible, holistic approach contrasts with England's more structured, standardized curriculum. For example, differences in how the number system is taught in early education (Progression Steps 1 &amp; 2 in Wales vs. Key Stage 1 in England) and in later stages (Progression Steps 4 &amp; 5 vs. Key Stage 4) will be </w:t>
      </w:r>
      <w:r w:rsidRPr="005718CE">
        <w:t>analysed</w:t>
      </w:r>
      <w:r w:rsidRPr="005718CE">
        <w:t xml:space="preserve"> to assess how each system prepares students for higher-level mathematical reasoning.</w:t>
      </w:r>
    </w:p>
    <w:p w14:paraId="5058D9A3" w14:textId="36E15DD6" w:rsidR="00C50F0A" w:rsidRPr="00204021" w:rsidRDefault="005718CE" w:rsidP="00C50F0A">
      <w:pPr>
        <w:rPr>
          <w:rFonts w:hint="eastAsia"/>
        </w:rPr>
      </w:pPr>
      <w:r w:rsidRPr="005718CE">
        <w:t>Finally, overall conclusions will be drawn about the key strengths and weaknesses of both curricula, with recommendations for potential improvements based on the comparative analysis. These findings will offer a deeper understanding of how each curriculum fosters mathematical competency and critical thinking, as well as the potential implications for student preparedness in real-world applications and further education.</w:t>
      </w:r>
      <w:r w:rsidR="00C50F0A" w:rsidRPr="00204021">
        <w:rPr>
          <w:rFonts w:hint="eastAsia"/>
        </w:rPr>
        <w:t xml:space="preserve"> </w:t>
      </w:r>
    </w:p>
    <w:p w14:paraId="7BA21B14" w14:textId="77777777" w:rsidR="00C50F0A" w:rsidRPr="00204021" w:rsidRDefault="00C50F0A" w:rsidP="00C50F0A">
      <w:pPr>
        <w:numPr>
          <w:ilvl w:val="0"/>
          <w:numId w:val="1"/>
        </w:numPr>
        <w:rPr>
          <w:rFonts w:hint="eastAsia"/>
        </w:rPr>
      </w:pPr>
      <w:r w:rsidRPr="00204021">
        <w:rPr>
          <w:rFonts w:hint="eastAsia"/>
        </w:rPr>
        <w:t>Ethical Considerations</w:t>
      </w:r>
    </w:p>
    <w:p w14:paraId="02CFCE0A" w14:textId="77777777" w:rsidR="00BF472C" w:rsidRDefault="00BF472C" w:rsidP="00C50F0A">
      <w:r w:rsidRPr="00BF472C">
        <w:t xml:space="preserve">The ethical considerations in this study are </w:t>
      </w:r>
      <w:proofErr w:type="spellStart"/>
      <w:r w:rsidRPr="00BF472C">
        <w:t>centered</w:t>
      </w:r>
      <w:proofErr w:type="spellEnd"/>
      <w:r w:rsidRPr="00BF472C">
        <w:t xml:space="preserve"> on the responsible handling of secondary data sources, such as government documents, academic literature, and publicly available curriculum guidelines from both Wales and England. Given the nature of the research, no personal data is collected, which eliminates concerns about participant privacy or consent. However, it remains crucial to adhere to ethical standards in the interpretation of these materials by ensuring accuracy, impartiality, and transparency.</w:t>
      </w:r>
    </w:p>
    <w:p w14:paraId="02EF851D" w14:textId="0EE62672" w:rsidR="00C50F0A" w:rsidRDefault="004F6F43" w:rsidP="00C50F0A">
      <w:r w:rsidRPr="004F6F43">
        <w:t xml:space="preserve">The study respects the intellectual property of the authors by properly citing all sources, and it avoids any misrepresentation or selective use of data to support predetermined conclusions. The comparative analysis between Wales and England must be conducted objectively, avoiding biases that might </w:t>
      </w:r>
      <w:r w:rsidRPr="004F6F43">
        <w:t>favou</w:t>
      </w:r>
      <w:r w:rsidRPr="004F6F43">
        <w:rPr>
          <w:rFonts w:hint="eastAsia"/>
        </w:rPr>
        <w:t>r</w:t>
      </w:r>
      <w:r w:rsidRPr="004F6F43">
        <w:t xml:space="preserve"> one system over the other without sufficient evidence. Furthermore, all data will be stored securely in accordance with institutional guidelines, ensuring that no unauthorized access occurs. This approach ensures the study's integrity while maintaining respect for the original sources and the broad educational context in which this analysis is </w:t>
      </w:r>
      <w:r w:rsidRPr="004F6F43">
        <w:t>situated.</w:t>
      </w:r>
      <w:r w:rsidR="00C50F0A" w:rsidRPr="00204021">
        <w:t xml:space="preserve"> </w:t>
      </w:r>
    </w:p>
    <w:p w14:paraId="36A610EB" w14:textId="1E6ED79B" w:rsidR="00256FE2" w:rsidRDefault="00256FE2" w:rsidP="00C50F0A"/>
    <w:p w14:paraId="77620B22" w14:textId="3B5A45FA" w:rsidR="00983888" w:rsidRDefault="00986BFB" w:rsidP="00C50F0A">
      <w:pPr>
        <w:rPr>
          <w:b/>
          <w:bCs/>
        </w:rPr>
      </w:pPr>
      <w:r w:rsidRPr="00986BFB">
        <w:rPr>
          <w:rFonts w:hint="eastAsia"/>
          <w:b/>
          <w:bCs/>
        </w:rPr>
        <w:t>Curriculum philosophy in Wales</w:t>
      </w:r>
    </w:p>
    <w:p w14:paraId="35AD129E" w14:textId="77777777" w:rsidR="00000250" w:rsidRPr="00000250" w:rsidRDefault="00000250" w:rsidP="00000250">
      <w:pPr>
        <w:rPr>
          <w:lang w:val="en-US"/>
        </w:rPr>
      </w:pPr>
      <w:r w:rsidRPr="00000250">
        <w:rPr>
          <w:lang w:val="en-US"/>
        </w:rPr>
        <w:t xml:space="preserve">Discussing the curriculum philosophy in Wales is crucial because it underpins the distinct approach taken in curriculum design compared to England, providing valuable insights into how educational objectives are shaped. The Successful Futures Report by Donaldson (2015) laid the foundation for significant curriculum reform in Wales, emphasizing flexibility, practical application, and cross-disciplinary learning—principles </w:t>
      </w:r>
      <w:r w:rsidRPr="00000250">
        <w:rPr>
          <w:lang w:val="en-US"/>
        </w:rPr>
        <w:lastRenderedPageBreak/>
        <w:t>that depart from the more structured, assessment-driven model found in England.</w:t>
      </w:r>
    </w:p>
    <w:p w14:paraId="4BB011C3" w14:textId="77777777" w:rsidR="00000250" w:rsidRPr="00000250" w:rsidRDefault="00000250" w:rsidP="00000250">
      <w:pPr>
        <w:rPr>
          <w:lang w:val="en-US"/>
        </w:rPr>
      </w:pPr>
      <w:proofErr w:type="spellStart"/>
      <w:r w:rsidRPr="00000250">
        <w:rPr>
          <w:lang w:val="en-US"/>
        </w:rPr>
        <w:t>Wales'</w:t>
      </w:r>
      <w:proofErr w:type="spellEnd"/>
      <w:r w:rsidRPr="00000250">
        <w:rPr>
          <w:lang w:val="en-US"/>
        </w:rPr>
        <w:t xml:space="preserve"> Curriculum for Wales 2022 embodies these principles, focusing on broader skills such as creativity, critical thinking, and adaptability. This contrasts with England's curriculum, which is characterized by rigid Key Stages and outcome-driven assessments. The philosophical differences highlighted in the Donaldson Report help explain variations in the structure, content, and objectives of mathematics education between the two nations. </w:t>
      </w:r>
      <w:proofErr w:type="spellStart"/>
      <w:r w:rsidRPr="00000250">
        <w:rPr>
          <w:lang w:val="en-US"/>
        </w:rPr>
        <w:t>Wales'</w:t>
      </w:r>
      <w:proofErr w:type="spellEnd"/>
      <w:r w:rsidRPr="00000250">
        <w:rPr>
          <w:lang w:val="en-US"/>
        </w:rPr>
        <w:t xml:space="preserve"> emphasis on a more fluid progression through Progression Steps reflects its learner-centered approach, which allows for greater flexibility in how educational goals are achieved.</w:t>
      </w:r>
    </w:p>
    <w:p w14:paraId="3CA641ED" w14:textId="77777777" w:rsidR="00000250" w:rsidRPr="00000250" w:rsidRDefault="00000250" w:rsidP="00000250">
      <w:pPr>
        <w:rPr>
          <w:lang w:val="en-US"/>
        </w:rPr>
      </w:pPr>
      <w:r w:rsidRPr="00000250">
        <w:rPr>
          <w:lang w:val="en-US"/>
        </w:rPr>
        <w:t>Analyzing how the principles from the Donaldson Report have been implemented in Welsh schools, and comparing them to practices in England, reveals both strengths and areas for improvement in each system. This comparative analysis sheds light on the distinct educational philosophies shaping the curricula and provides deeper insights into the broader educational goals of each country and how these goals affect mathematics education.</w:t>
      </w:r>
    </w:p>
    <w:p w14:paraId="513C0401" w14:textId="77777777" w:rsidR="00000250" w:rsidRPr="00000250" w:rsidRDefault="00000250" w:rsidP="00000250">
      <w:pPr>
        <w:rPr>
          <w:lang w:val="en-US"/>
        </w:rPr>
      </w:pPr>
      <w:r w:rsidRPr="00000250">
        <w:rPr>
          <w:lang w:val="en-US"/>
        </w:rPr>
        <w:t>In this context, Donaldson (2016) praised the curriculum's flexibility and coherence but also acknowledged the complexity of turning policy into classroom practice. Hattie (2009) emphasized that educational innovations often struggle to create a meaningful impact due to poor implementation. Power et al. (2020) also noted gaps between curriculum design and practical application, particularly in disadvantaged schools.</w:t>
      </w:r>
    </w:p>
    <w:p w14:paraId="06726B37" w14:textId="77777777" w:rsidR="00000250" w:rsidRPr="00000250" w:rsidRDefault="00000250" w:rsidP="00000250">
      <w:pPr>
        <w:rPr>
          <w:lang w:val="en-US"/>
        </w:rPr>
      </w:pPr>
      <w:r w:rsidRPr="00000250">
        <w:rPr>
          <w:lang w:val="en-US"/>
        </w:rPr>
        <w:t>For mathematics education in Wales, aligning policy with teaching realities poses challenges. While flexibility allows schools to adapt to local conditions and supports interdisciplinary learning, it can also lead to inconsistencies. Rata (2012) and Bernstein (1990) caution that flexibility may lead to a narrowing of the curriculum in disadvantaged schools, where a focus on basic skills could limit broader educational experiences. Similarly, the shift towards skills-based learning complicates assessment, as without standardized measures, tracking student progress becomes difficult (Power et al., 2020).</w:t>
      </w:r>
    </w:p>
    <w:p w14:paraId="6E87D014" w14:textId="77777777" w:rsidR="00000250" w:rsidRPr="00000250" w:rsidRDefault="00000250" w:rsidP="00000250">
      <w:pPr>
        <w:rPr>
          <w:lang w:val="en-US"/>
        </w:rPr>
      </w:pPr>
      <w:r w:rsidRPr="00000250">
        <w:rPr>
          <w:lang w:val="en-US"/>
        </w:rPr>
        <w:t xml:space="preserve">Sinnema et al. (2020) </w:t>
      </w:r>
      <w:proofErr w:type="gramStart"/>
      <w:r w:rsidRPr="00000250">
        <w:rPr>
          <w:lang w:val="en-US"/>
        </w:rPr>
        <w:t>argue</w:t>
      </w:r>
      <w:proofErr w:type="gramEnd"/>
      <w:r w:rsidRPr="00000250">
        <w:rPr>
          <w:lang w:val="en-US"/>
        </w:rPr>
        <w:t xml:space="preserve"> that developing assessments to measure skills like creativity and learner agency remains a concern. As Bernstein (1971) noted, such curricular reforms demand highly skilled teachers, and the success of </w:t>
      </w:r>
      <w:proofErr w:type="spellStart"/>
      <w:r w:rsidRPr="00000250">
        <w:rPr>
          <w:lang w:val="en-US"/>
        </w:rPr>
        <w:t>Wales’</w:t>
      </w:r>
      <w:proofErr w:type="spellEnd"/>
      <w:r w:rsidRPr="00000250">
        <w:rPr>
          <w:lang w:val="en-US"/>
        </w:rPr>
        <w:t xml:space="preserve"> curriculum will rely heavily on teacher training and support.</w:t>
      </w:r>
    </w:p>
    <w:p w14:paraId="6B468AD2" w14:textId="77777777" w:rsidR="00000250" w:rsidRPr="00000250" w:rsidRDefault="00000250" w:rsidP="00000250">
      <w:pPr>
        <w:rPr>
          <w:lang w:val="en-US"/>
        </w:rPr>
      </w:pPr>
      <w:r w:rsidRPr="00000250">
        <w:rPr>
          <w:lang w:val="en-US"/>
        </w:rPr>
        <w:t xml:space="preserve">This analysis demonstrates that while </w:t>
      </w:r>
      <w:proofErr w:type="spellStart"/>
      <w:r w:rsidRPr="00000250">
        <w:rPr>
          <w:lang w:val="en-US"/>
        </w:rPr>
        <w:t>Wales'</w:t>
      </w:r>
      <w:proofErr w:type="spellEnd"/>
      <w:r w:rsidRPr="00000250">
        <w:rPr>
          <w:lang w:val="en-US"/>
        </w:rPr>
        <w:t xml:space="preserve"> curriculum prioritizes flexibility and learner autonomy, it presents challenges in maintaining educational consistency and ensuring effective assessment. Understanding these complexities is critical in comparing the mathematics curricula of Wales and England, as these philosophical differences directly </w:t>
      </w:r>
      <w:r w:rsidRPr="00000250">
        <w:rPr>
          <w:lang w:val="en-US"/>
        </w:rPr>
        <w:lastRenderedPageBreak/>
        <w:t>impact curriculum structure, content, and student outcomes.</w:t>
      </w:r>
    </w:p>
    <w:p w14:paraId="0C48885D" w14:textId="77777777" w:rsidR="00000250" w:rsidRPr="00000250" w:rsidRDefault="00000250" w:rsidP="00000250">
      <w:pPr>
        <w:rPr>
          <w:lang w:val="en-US"/>
        </w:rPr>
      </w:pPr>
      <w:r w:rsidRPr="00000250">
        <w:rPr>
          <w:lang w:val="en-US"/>
        </w:rPr>
        <w:t xml:space="preserve">The learner-centered approach of the Welsh curriculum, influenced by the Donaldson Report, emphasizes adaptability and cross-disciplinary learning. However, this philosophy contrasts sharply with England’s structured and standardized curriculum, where well-defined stages and assessments guide student progress. These philosophical differences also shape the structure of the curricula. </w:t>
      </w:r>
      <w:proofErr w:type="spellStart"/>
      <w:r w:rsidRPr="00000250">
        <w:rPr>
          <w:lang w:val="en-US"/>
        </w:rPr>
        <w:t>Wales'</w:t>
      </w:r>
      <w:proofErr w:type="spellEnd"/>
      <w:r w:rsidRPr="00000250">
        <w:rPr>
          <w:lang w:val="en-US"/>
        </w:rPr>
        <w:t xml:space="preserve"> Progression Steps, which allow for fluid transitions between learning stages, differ from England's Key Stages, which are closely aligned with standardized exams like the GCSE.</w:t>
      </w:r>
    </w:p>
    <w:p w14:paraId="55A404D1" w14:textId="77777777" w:rsidR="00000250" w:rsidRPr="00000250" w:rsidRDefault="00000250" w:rsidP="00000250">
      <w:pPr>
        <w:rPr>
          <w:lang w:val="en-US"/>
        </w:rPr>
      </w:pPr>
      <w:r w:rsidRPr="00000250">
        <w:rPr>
          <w:lang w:val="en-US"/>
        </w:rPr>
        <w:t>In the following section, we will explore and compare the specific structures of the mathematics curricula in Wales and England, examining how these systems organize learning and how these choices influence educational outcomes.</w:t>
      </w:r>
    </w:p>
    <w:p w14:paraId="54A92063" w14:textId="77777777" w:rsidR="00C50F0A" w:rsidRPr="00204021" w:rsidRDefault="00C50F0A" w:rsidP="00C50F0A">
      <w:pPr>
        <w:rPr>
          <w:rFonts w:hint="eastAsia"/>
        </w:rPr>
      </w:pPr>
      <w:r w:rsidRPr="00204021">
        <w:t xml:space="preserve"> </w:t>
      </w:r>
    </w:p>
    <w:p w14:paraId="774C51F9" w14:textId="04BA6D0A" w:rsidR="00C50F0A" w:rsidRPr="006A53C7" w:rsidRDefault="006A53C7" w:rsidP="00C50F0A">
      <w:pPr>
        <w:rPr>
          <w:rFonts w:hint="eastAsia"/>
          <w:b/>
          <w:bCs/>
        </w:rPr>
      </w:pPr>
      <w:r w:rsidRPr="006A53C7">
        <w:rPr>
          <w:rFonts w:hint="eastAsia"/>
          <w:b/>
          <w:bCs/>
        </w:rPr>
        <w:t xml:space="preserve">the structure of curriculum in </w:t>
      </w:r>
      <w:r w:rsidRPr="006A53C7">
        <w:rPr>
          <w:b/>
          <w:bCs/>
        </w:rPr>
        <w:t>two</w:t>
      </w:r>
      <w:r w:rsidRPr="006A53C7">
        <w:rPr>
          <w:rFonts w:hint="eastAsia"/>
          <w:b/>
          <w:bCs/>
        </w:rPr>
        <w:t xml:space="preserve"> countries</w:t>
      </w:r>
    </w:p>
    <w:p w14:paraId="0419657C" w14:textId="77777777" w:rsidR="00881575" w:rsidRPr="00881575" w:rsidRDefault="00881575" w:rsidP="00881575">
      <w:pPr>
        <w:rPr>
          <w:lang w:val="en-US"/>
        </w:rPr>
      </w:pPr>
      <w:r w:rsidRPr="00881575">
        <w:rPr>
          <w:lang w:val="en-US"/>
        </w:rPr>
        <w:t>The structure of the curriculum plays a crucial role in shaping both the educational experience and the outcomes for students. By comparing the structural frameworks of the mathematics curricula in Wales and England, this study aims to understand how each system organizes learning, progression, and assessment to achieve its educational goals.</w:t>
      </w:r>
    </w:p>
    <w:p w14:paraId="5D56EDFB" w14:textId="77777777" w:rsidR="00881575" w:rsidRPr="00881575" w:rsidRDefault="00881575" w:rsidP="00881575">
      <w:pPr>
        <w:rPr>
          <w:lang w:val="en-US"/>
        </w:rPr>
      </w:pPr>
      <w:r w:rsidRPr="00881575">
        <w:rPr>
          <w:lang w:val="en-US"/>
        </w:rPr>
        <w:t>In mathematics education, curriculum structure determines not only when students encounter key concepts but also the depth at which they engage with these topics. This chapter will focus on a comparative analysis of the curriculum structures in Wales and England, providing a foundation for the subsequent comparison of content. Before diving into the specific mathematical content, it is essential to examine how the structural design of each curriculum frames the overall learning experience, shaping both the breadth and depth of student understanding. These structural choices reflect the educational philosophies and pedagogical strategies that drive each system and have a direct impact on student learning trajectories and outcomes.</w:t>
      </w:r>
    </w:p>
    <w:p w14:paraId="762CA6E5" w14:textId="77777777" w:rsidR="008A1D5B" w:rsidRPr="00204021" w:rsidRDefault="008A1D5B" w:rsidP="008A1D5B">
      <w:pPr>
        <w:rPr>
          <w:rFonts w:hint="eastAsia"/>
        </w:rPr>
      </w:pPr>
      <w:r w:rsidRPr="00204021">
        <w:rPr>
          <w:rFonts w:hint="eastAsia"/>
        </w:rPr>
        <w:t xml:space="preserve"> </w:t>
      </w:r>
    </w:p>
    <w:p w14:paraId="2A0B907C" w14:textId="459CFE4B" w:rsidR="008A1D5B" w:rsidRPr="00204021" w:rsidRDefault="00932CE7" w:rsidP="008A1D5B">
      <w:pPr>
        <w:rPr>
          <w:rFonts w:hint="eastAsia"/>
        </w:rPr>
      </w:pPr>
      <w:r w:rsidRPr="00845D6A">
        <w:t>Progression Steps in Wales and Key Stages in England are frameworks used to guide pupils' learning progress, though they differ significantly in structure and intent. Key Stages in England are directly linked to specific age groups, providing a structured, age-based progression through school, from Key Stage 1 (ages 5-7) to Key Stage 4 (ages 14-16). In contrast, Progression Steps in Wales are not rigidly tied to age but are instead designed to reflect a learner</w:t>
      </w:r>
      <w:proofErr w:type="gramStart"/>
      <w:r w:rsidRPr="00845D6A">
        <w:t>’</w:t>
      </w:r>
      <w:proofErr w:type="gramEnd"/>
      <w:r w:rsidRPr="00845D6A">
        <w:t>s developmental stage, allowing for more flexibility in how students</w:t>
      </w:r>
      <w:proofErr w:type="gramStart"/>
      <w:r w:rsidRPr="00845D6A">
        <w:rPr>
          <w:rFonts w:hint="eastAsia"/>
        </w:rPr>
        <w:t>’</w:t>
      </w:r>
      <w:proofErr w:type="gramEnd"/>
      <w:r w:rsidRPr="00845D6A">
        <w:t xml:space="preserve"> progress through their education. While these frameworks differ, they </w:t>
      </w:r>
      <w:r w:rsidRPr="00845D6A">
        <w:lastRenderedPageBreak/>
        <w:t>still broadly correspond to a pupil’s progression through various stages of education, offering milestones for learning development</w:t>
      </w:r>
      <w:r w:rsidRPr="00845D6A">
        <w:rPr>
          <w:rFonts w:hint="eastAsia"/>
        </w:rPr>
        <w:t>.</w:t>
      </w:r>
      <w:r w:rsidR="008A1D5B" w:rsidRPr="00204021">
        <w:rPr>
          <w:rFonts w:hint="eastAsia"/>
        </w:rPr>
        <w:t xml:space="preserve"> Despite these differences, the systems align in key areas, allowing for practical comparison.</w:t>
      </w:r>
      <w:r w:rsidRPr="00204021">
        <w:rPr>
          <w:rFonts w:hint="eastAsia"/>
        </w:rPr>
        <w:t xml:space="preserve"> </w:t>
      </w:r>
      <w:r w:rsidR="008A1D5B" w:rsidRPr="00204021">
        <w:rPr>
          <w:rFonts w:hint="eastAsia"/>
        </w:rPr>
        <w:t>Key Stages in England are based on grade and age groupings, both of which broadly cover the same stages of learning in the educational process. This correspondence allows the two systems to be compared in practice. The following are the corresponding reasons:</w:t>
      </w:r>
    </w:p>
    <w:p w14:paraId="18B2B11A" w14:textId="77777777" w:rsidR="008A1D5B" w:rsidRPr="00204021" w:rsidRDefault="008A1D5B" w:rsidP="008A1D5B">
      <w:pPr>
        <w:rPr>
          <w:rFonts w:hint="eastAsia"/>
        </w:rPr>
      </w:pPr>
      <w:r w:rsidRPr="00204021">
        <w:rPr>
          <w:rFonts w:hint="eastAsia"/>
        </w:rPr>
        <w:t>Overlap of core learning content: Although the Welsh and English frameworks differ in their implementation, there are similarities in the content of the curriculum, the learning objectives and the skills that pupils are expected to have at each stage. A comparison of ‘progression steps’ and ‘Key Stages’ shows that there are many common requirements and standards in maths between the two countries. Therefore, although there is no explicit age requirement in Wales, there are sufficient similarities in content and learning objectives across the stages to allow comparison.</w:t>
      </w:r>
    </w:p>
    <w:p w14:paraId="48DAE839" w14:textId="4E2204B2" w:rsidR="008A1D5B" w:rsidRPr="00204021" w:rsidRDefault="008A1D5B" w:rsidP="008A1D5B">
      <w:pPr>
        <w:rPr>
          <w:rFonts w:hint="eastAsia"/>
        </w:rPr>
      </w:pPr>
      <w:r w:rsidRPr="00204021">
        <w:rPr>
          <w:rFonts w:hint="eastAsia"/>
        </w:rPr>
        <w:t xml:space="preserve">Alignment of teaching and learning objectives: Both education systems set expected competency levels for students at specific learning stages. Although Wales adopts a more flexible, skills-based developmental approach, student performance in the "progression steps" can still be compared to students in England's "Key Stages," particularly when measuring academic achievement and fundamental skills. </w:t>
      </w:r>
      <w:r w:rsidR="00DA688E" w:rsidRPr="00845D6A">
        <w:t>Assessment tools are often designed around these progressions and standards, allowing students from different regions to be fairly compared based on a common framework.</w:t>
      </w:r>
      <w:r w:rsidRPr="00204021">
        <w:rPr>
          <w:rFonts w:hint="eastAsia"/>
        </w:rPr>
        <w:t xml:space="preserve"> </w:t>
      </w:r>
    </w:p>
    <w:p w14:paraId="110BA8BA" w14:textId="5B0C54CC" w:rsidR="008A1D5B" w:rsidRPr="00204021" w:rsidRDefault="008A1D5B" w:rsidP="008A1D5B">
      <w:pPr>
        <w:rPr>
          <w:rFonts w:hint="eastAsia"/>
        </w:rPr>
      </w:pPr>
      <w:r w:rsidRPr="00204021">
        <w:rPr>
          <w:rFonts w:hint="eastAsia"/>
        </w:rPr>
        <w:t xml:space="preserve">There are big differences in the structure of curricula between the two countries. England curriculum outlining mathematics teaching requirements for students aged 5-16, which is structured by Key Stages, which are further broken down into year groups. In England, key stages are stages of education that correspond closely to </w:t>
      </w:r>
      <w:r w:rsidR="00881575" w:rsidRPr="00204021">
        <w:t>age</w:t>
      </w:r>
      <w:r w:rsidRPr="00204021">
        <w:rPr>
          <w:rFonts w:hint="eastAsia"/>
        </w:rPr>
        <w:t xml:space="preserve"> groups. For example, Key Stage 1 is usually for pupils aged 5 to 7; </w:t>
      </w:r>
      <w:r w:rsidR="00EA7181" w:rsidRPr="00204021">
        <w:rPr>
          <w:rFonts w:hint="eastAsia"/>
        </w:rPr>
        <w:t>Key Stage</w:t>
      </w:r>
      <w:r w:rsidRPr="00204021">
        <w:rPr>
          <w:rFonts w:hint="eastAsia"/>
        </w:rPr>
        <w:t xml:space="preserve"> 2 is usually for pupils aged 7 to 11, </w:t>
      </w:r>
      <w:r w:rsidR="00EA7181" w:rsidRPr="00204021">
        <w:rPr>
          <w:rFonts w:hint="eastAsia"/>
        </w:rPr>
        <w:t>Key Stage</w:t>
      </w:r>
      <w:r w:rsidRPr="00204021">
        <w:rPr>
          <w:rFonts w:hint="eastAsia"/>
        </w:rPr>
        <w:t xml:space="preserve"> 3 is for the age 11 to 14 and Key Stage 4 is for pupils aged 14 to 16. At the appropriate age</w:t>
      </w:r>
      <w:r w:rsidR="00A0006A" w:rsidRPr="00204021">
        <w:rPr>
          <w:rFonts w:hint="eastAsia"/>
        </w:rPr>
        <w:t xml:space="preserve"> (</w:t>
      </w:r>
      <w:r w:rsidR="00EA7181" w:rsidRPr="00204021">
        <w:rPr>
          <w:rFonts w:hint="eastAsia"/>
        </w:rPr>
        <w:t>Key Stage 4</w:t>
      </w:r>
      <w:r w:rsidR="00A0006A" w:rsidRPr="00204021">
        <w:rPr>
          <w:rFonts w:hint="eastAsia"/>
        </w:rPr>
        <w:t>)</w:t>
      </w:r>
      <w:r w:rsidRPr="00204021">
        <w:rPr>
          <w:rFonts w:hint="eastAsia"/>
        </w:rPr>
        <w:t>, pupils are required to follow a specific key stage curriculum and sit standardised exams (e.g. GCSEs).</w:t>
      </w:r>
    </w:p>
    <w:p w14:paraId="0754AF21" w14:textId="77777777" w:rsidR="008A1D5B" w:rsidRPr="00204021" w:rsidRDefault="008A1D5B" w:rsidP="008A1D5B">
      <w:pPr>
        <w:rPr>
          <w:rFonts w:hint="eastAsia"/>
        </w:rPr>
      </w:pPr>
      <w:r w:rsidRPr="00204021">
        <w:rPr>
          <w:rFonts w:hint="eastAsia"/>
        </w:rPr>
        <w:t xml:space="preserve"> </w:t>
      </w:r>
    </w:p>
    <w:p w14:paraId="56CF4A5F" w14:textId="4F8D8244" w:rsidR="008A1D5B" w:rsidRPr="00845D6A" w:rsidRDefault="00CA74A2" w:rsidP="008A1D5B">
      <w:pPr>
        <w:rPr>
          <w:rFonts w:hint="eastAsia"/>
        </w:rPr>
      </w:pPr>
      <w:r w:rsidRPr="00845D6A">
        <w:t>In contrast, Progression Steps in Wales, which covers pupils aged 3 to 16, is designed to be more flexible, with five distinct steps based on pupils' progress rather than strictly defined by age, allowing for movement between s</w:t>
      </w:r>
      <w:r w:rsidRPr="00845D6A">
        <w:rPr>
          <w:rFonts w:hint="eastAsia"/>
        </w:rPr>
        <w:t>tep</w:t>
      </w:r>
      <w:r w:rsidRPr="00845D6A">
        <w:t>s without rigid age boundaries.</w:t>
      </w:r>
      <w:r w:rsidR="008A1D5B" w:rsidRPr="00845D6A">
        <w:rPr>
          <w:rFonts w:hint="eastAsia"/>
        </w:rPr>
        <w:t xml:space="preserve"> </w:t>
      </w:r>
      <w:r w:rsidR="008A1D5B" w:rsidRPr="00204021">
        <w:rPr>
          <w:rFonts w:hint="eastAsia"/>
        </w:rPr>
        <w:t xml:space="preserve">Whilst each Progression Step has a broad age range (e.g. Progression Step 5 is for </w:t>
      </w:r>
      <w:r w:rsidR="003056CA" w:rsidRPr="00204021">
        <w:t>14- to 16-year-old</w:t>
      </w:r>
      <w:r w:rsidR="003056CA" w:rsidRPr="00204021">
        <w:rPr>
          <w:rFonts w:hint="eastAsia"/>
        </w:rPr>
        <w:t>s</w:t>
      </w:r>
      <w:r w:rsidR="008A1D5B" w:rsidRPr="00204021">
        <w:rPr>
          <w:rFonts w:hint="eastAsia"/>
        </w:rPr>
        <w:t xml:space="preserve">), in practice students have the flexibility to tailor their entry and completion to their own learning. This set-up aims to personalise teaching according to each pupil's learning progress and needs, rather than using age as the sole criterion. </w:t>
      </w:r>
      <w:r w:rsidR="008A1D5B" w:rsidRPr="00204021">
        <w:rPr>
          <w:rFonts w:hint="eastAsia"/>
        </w:rPr>
        <w:lastRenderedPageBreak/>
        <w:t>The programme respects the individuality of students, enabling them to learn at their own pace rather than at a fixed age stage.</w:t>
      </w:r>
      <w:r w:rsidR="008A1D5B" w:rsidRPr="00845D6A">
        <w:rPr>
          <w:rFonts w:hint="eastAsia"/>
        </w:rPr>
        <w:t xml:space="preserve"> </w:t>
      </w:r>
      <w:r w:rsidR="00FC110E" w:rsidRPr="00845D6A">
        <w:t>In addition, the programme in Wales emphasises continuity of learning, embedding prior knowledge within its five Progression Steps, which span from early years through to age 16, ensuring a smooth transition between stages. In contrast, England's Key Stages do not include the early years, as this phase is covered separately by the Early Years Foundation Stage (EYFS), with formal education starting from age 5.</w:t>
      </w:r>
      <w:r w:rsidR="008A1D5B" w:rsidRPr="00204021">
        <w:rPr>
          <w:rFonts w:hint="eastAsia"/>
        </w:rPr>
        <w:t xml:space="preserve"> Furthermore, this design supports a competency-based approach to teaching and learning, allowing teachers to design content according to the competency levels and needs of their students, rather than dividing the curriculum according to age groups. </w:t>
      </w:r>
      <w:r w:rsidR="00313DE5" w:rsidRPr="00845D6A">
        <w:rPr>
          <w:rFonts w:hint="eastAsia"/>
        </w:rPr>
        <w:t>P</w:t>
      </w:r>
      <w:r w:rsidR="00313DE5" w:rsidRPr="00845D6A">
        <w:t>ersonalise</w:t>
      </w:r>
      <w:r w:rsidR="00313DE5" w:rsidRPr="00845D6A">
        <w:rPr>
          <w:rFonts w:hint="eastAsia"/>
        </w:rPr>
        <w:t>d</w:t>
      </w:r>
      <w:r w:rsidR="00313DE5" w:rsidRPr="00845D6A">
        <w:t xml:space="preserve"> assessment is also one of the strengths of this design, facilitated through the National Personalized Assessments, which are adaptive online tools that provide feedback based on students' actual performance levels. This approach helps students progress at their own pace, with teachers using the data to tailor instruction accordingly.</w:t>
      </w:r>
    </w:p>
    <w:p w14:paraId="6964FFFE" w14:textId="77777777" w:rsidR="008A1D5B" w:rsidRPr="00204021" w:rsidRDefault="008A1D5B" w:rsidP="008A1D5B">
      <w:pPr>
        <w:rPr>
          <w:rFonts w:hint="eastAsia"/>
        </w:rPr>
      </w:pPr>
      <w:r w:rsidRPr="00204021">
        <w:t xml:space="preserve"> </w:t>
      </w:r>
    </w:p>
    <w:p w14:paraId="62BD992D" w14:textId="77777777" w:rsidR="008A1D5B" w:rsidRPr="00204021" w:rsidRDefault="008A1D5B" w:rsidP="008A1D5B">
      <w:pPr>
        <w:rPr>
          <w:rFonts w:hint="eastAsia"/>
        </w:rPr>
      </w:pPr>
      <w:r w:rsidRPr="00204021">
        <w:rPr>
          <w:rFonts w:hint="eastAsia"/>
        </w:rPr>
        <w:t xml:space="preserve"> </w:t>
      </w:r>
    </w:p>
    <w:p w14:paraId="1EAA2E63" w14:textId="59375DD6" w:rsidR="008A1D5B" w:rsidRPr="00204021" w:rsidRDefault="008A1D5B" w:rsidP="008A1D5B">
      <w:pPr>
        <w:rPr>
          <w:rFonts w:hint="eastAsia"/>
        </w:rPr>
      </w:pPr>
      <w:r w:rsidRPr="00204021">
        <w:rPr>
          <w:rFonts w:hint="eastAsia"/>
        </w:rPr>
        <w:t>In both England and Wales, basic curriculum ends at the age of 16, but there are differences in the starting age. England</w:t>
      </w:r>
      <w:r w:rsidRPr="00204021">
        <w:t>’</w:t>
      </w:r>
      <w:r w:rsidRPr="00204021">
        <w:rPr>
          <w:rFonts w:hint="eastAsia"/>
        </w:rPr>
        <w:t>s Key Stages education system officially begins at the age of 5, with an increased emphasis on academic content after age 7 (Key Stage 2). In contrast, W</w:t>
      </w:r>
      <w:r w:rsidR="00736BC2" w:rsidRPr="00204021">
        <w:rPr>
          <w:rFonts w:hint="eastAsia"/>
        </w:rPr>
        <w:t>elsh</w:t>
      </w:r>
      <w:r w:rsidRPr="00204021">
        <w:rPr>
          <w:rFonts w:hint="eastAsia"/>
        </w:rPr>
        <w:t xml:space="preserve"> education system starts as early as age 3 with a structured curriculum and specially designed teaching framework, which emphasizes play, exploration, and foundational early learning skills. </w:t>
      </w:r>
    </w:p>
    <w:p w14:paraId="01C25A0B" w14:textId="77777777" w:rsidR="008A1D5B" w:rsidRPr="00204021" w:rsidRDefault="008A1D5B" w:rsidP="008A1D5B">
      <w:pPr>
        <w:rPr>
          <w:rFonts w:hint="eastAsia"/>
        </w:rPr>
      </w:pPr>
      <w:r w:rsidRPr="00204021">
        <w:rPr>
          <w:rFonts w:hint="eastAsia"/>
        </w:rPr>
        <w:t xml:space="preserve"> </w:t>
      </w:r>
    </w:p>
    <w:p w14:paraId="180515D1" w14:textId="77777777" w:rsidR="008A1D5B" w:rsidRPr="00204021" w:rsidRDefault="008A1D5B" w:rsidP="008A1D5B">
      <w:pPr>
        <w:rPr>
          <w:rFonts w:hint="eastAsia"/>
        </w:rPr>
      </w:pPr>
      <w:r w:rsidRPr="00204021">
        <w:rPr>
          <w:rFonts w:hint="eastAsia"/>
        </w:rPr>
        <w:t xml:space="preserve">The different choices in curriculum starting age between Wales and England stem from the differences in education policies and development philosophies between the two countries. </w:t>
      </w:r>
    </w:p>
    <w:p w14:paraId="1622A0CA" w14:textId="77777777" w:rsidR="008A1D5B" w:rsidRPr="00204021" w:rsidRDefault="008A1D5B" w:rsidP="008A1D5B">
      <w:pPr>
        <w:rPr>
          <w:rFonts w:hint="eastAsia"/>
        </w:rPr>
      </w:pPr>
      <w:r w:rsidRPr="00204021">
        <w:rPr>
          <w:rFonts w:hint="eastAsia"/>
        </w:rPr>
        <w:t xml:space="preserve"> </w:t>
      </w:r>
    </w:p>
    <w:p w14:paraId="497F0FCB" w14:textId="59316195" w:rsidR="008A1D5B" w:rsidRPr="00204021" w:rsidRDefault="008A1D5B" w:rsidP="008A1D5B">
      <w:pPr>
        <w:rPr>
          <w:rFonts w:hint="eastAsia"/>
        </w:rPr>
      </w:pPr>
      <w:r w:rsidRPr="00204021">
        <w:rPr>
          <w:rFonts w:hint="eastAsia"/>
        </w:rPr>
        <w:t>At first, Wales attaches great importance to early childhood development, especially stimulating children's interests and potential through play and exploratory learning. Wales believes that the age of 3 to 5 is a critical period for children's development, and providing a structured educational framework as early as possible can better support children's cognitive, social and emotional abilities</w:t>
      </w:r>
      <w:r w:rsidR="008C3E23" w:rsidRPr="00204021">
        <w:rPr>
          <w:rFonts w:hint="eastAsia"/>
        </w:rPr>
        <w:t xml:space="preserve"> </w:t>
      </w:r>
      <w:r w:rsidR="000B37FA" w:rsidRPr="00204021">
        <w:rPr>
          <w:rFonts w:hint="eastAsia"/>
        </w:rPr>
        <w:t>(</w:t>
      </w:r>
      <w:r w:rsidR="000B37FA" w:rsidRPr="00204021">
        <w:t>Dallimore, 2019; Welsh Government, 2020</w:t>
      </w:r>
      <w:r w:rsidR="000B37FA" w:rsidRPr="00204021">
        <w:rPr>
          <w:rFonts w:hint="eastAsia"/>
        </w:rPr>
        <w:t>)</w:t>
      </w:r>
      <w:r w:rsidRPr="00204021">
        <w:rPr>
          <w:rFonts w:hint="eastAsia"/>
        </w:rPr>
        <w:t xml:space="preserve">. </w:t>
      </w:r>
      <w:r w:rsidRPr="00845D6A">
        <w:rPr>
          <w:rFonts w:hint="eastAsia"/>
        </w:rPr>
        <w:t xml:space="preserve">However, the curriculum system in England tends to introduce children to more structured learning at the age of 5, with fewer unified national curriculum requirements for the 3 to 5 age range. Before the age of 5, young children typically attend nurseries </w:t>
      </w:r>
      <w:r w:rsidRPr="00845D6A">
        <w:rPr>
          <w:rFonts w:hint="eastAsia"/>
        </w:rPr>
        <w:lastRenderedPageBreak/>
        <w:t>or preschools, where they receive informal early education rather than a standardized national curriculum</w:t>
      </w:r>
      <w:r w:rsidR="00DE7D84">
        <w:rPr>
          <w:rFonts w:hint="eastAsia"/>
        </w:rPr>
        <w:t xml:space="preserve"> (</w:t>
      </w:r>
      <w:r w:rsidR="00DE7D84" w:rsidRPr="00DE7D84">
        <w:t>NAEYC</w:t>
      </w:r>
      <w:r w:rsidR="00DE7D84" w:rsidRPr="00DE7D84">
        <w:rPr>
          <w:rFonts w:hint="eastAsia"/>
        </w:rPr>
        <w:t>,</w:t>
      </w:r>
      <w:r w:rsidR="00DE7D84" w:rsidRPr="00DE7D84">
        <w:t xml:space="preserve"> 2021)</w:t>
      </w:r>
      <w:r w:rsidRPr="00845D6A">
        <w:rPr>
          <w:rFonts w:hint="eastAsia"/>
        </w:rPr>
        <w:t xml:space="preserve">. </w:t>
      </w:r>
    </w:p>
    <w:p w14:paraId="2A8DB13E" w14:textId="77777777" w:rsidR="008A1D5B" w:rsidRPr="00204021" w:rsidRDefault="008A1D5B" w:rsidP="008A1D5B">
      <w:pPr>
        <w:rPr>
          <w:rFonts w:hint="eastAsia"/>
        </w:rPr>
      </w:pPr>
      <w:r w:rsidRPr="00204021">
        <w:rPr>
          <w:rFonts w:hint="eastAsia"/>
        </w:rPr>
        <w:t xml:space="preserve"> </w:t>
      </w:r>
    </w:p>
    <w:p w14:paraId="18D570D7" w14:textId="4F11199C" w:rsidR="008A1D5B" w:rsidRPr="00204021" w:rsidRDefault="008A1D5B" w:rsidP="008A1D5B">
      <w:pPr>
        <w:rPr>
          <w:rFonts w:hint="eastAsia"/>
        </w:rPr>
      </w:pPr>
      <w:r w:rsidRPr="00C738E4">
        <w:rPr>
          <w:rFonts w:hint="eastAsia"/>
        </w:rPr>
        <w:t xml:space="preserve">Secondly, through the early </w:t>
      </w:r>
      <w:r w:rsidR="00EC3A91" w:rsidRPr="00C738E4">
        <w:t>years</w:t>
      </w:r>
      <w:proofErr w:type="gramStart"/>
      <w:r w:rsidR="00EC3A91" w:rsidRPr="00C738E4">
        <w:rPr>
          <w:rFonts w:hint="eastAsia"/>
        </w:rPr>
        <w:t>’</w:t>
      </w:r>
      <w:proofErr w:type="gramEnd"/>
      <w:r w:rsidRPr="00C738E4">
        <w:rPr>
          <w:rFonts w:hint="eastAsia"/>
        </w:rPr>
        <w:t xml:space="preserve"> curriculum, W</w:t>
      </w:r>
      <w:r w:rsidR="00BE2F2B" w:rsidRPr="00C738E4">
        <w:rPr>
          <w:rFonts w:hint="eastAsia"/>
        </w:rPr>
        <w:t>elsh government</w:t>
      </w:r>
      <w:r w:rsidR="00C738E4" w:rsidRPr="00C738E4">
        <w:rPr>
          <w:rFonts w:hint="eastAsia"/>
        </w:rPr>
        <w:t xml:space="preserve"> (2021)</w:t>
      </w:r>
      <w:r w:rsidRPr="00C738E4">
        <w:rPr>
          <w:rFonts w:hint="eastAsia"/>
        </w:rPr>
        <w:t xml:space="preserve"> wants to close the education gap, particularly for children from socio-economically disadvantaged backgrounds. The Foundation Phase in Wales reflects the Government's commitment to improving access to early education for children and to reduce the impact of family environment on learning opportunities.</w:t>
      </w:r>
      <w:r w:rsidRPr="00204021">
        <w:rPr>
          <w:rFonts w:hint="eastAsia"/>
        </w:rPr>
        <w:t xml:space="preserve"> The phase aims to ensure that all children, regardless of their background, have access to high quality education at an early age so that they have a strong foundation for subsequent learning.</w:t>
      </w:r>
      <w:r w:rsidRPr="00204021">
        <w:rPr>
          <w:rFonts w:hint="eastAsia"/>
          <w:color w:val="4EA72E" w:themeColor="accent6"/>
        </w:rPr>
        <w:t xml:space="preserve"> </w:t>
      </w:r>
      <w:r w:rsidRPr="006146A4">
        <w:rPr>
          <w:rFonts w:hint="eastAsia"/>
        </w:rPr>
        <w:t>Compared with Wales, the English government is more concerned about performance assessment and academic performance in compulsory education.</w:t>
      </w:r>
      <w:r w:rsidRPr="00204021">
        <w:rPr>
          <w:rFonts w:hint="eastAsia"/>
          <w:color w:val="4EA72E" w:themeColor="accent6"/>
        </w:rPr>
        <w:t xml:space="preserve"> </w:t>
      </w:r>
      <w:r w:rsidRPr="00204021">
        <w:rPr>
          <w:rFonts w:hint="eastAsia"/>
        </w:rPr>
        <w:t>Therefore, early education before the age of 5 is provided more by local administration or private institutions rather than a unified national curriculum system.</w:t>
      </w:r>
    </w:p>
    <w:p w14:paraId="4F56AF5D" w14:textId="77777777" w:rsidR="008A1D5B" w:rsidRPr="00204021" w:rsidRDefault="008A1D5B" w:rsidP="008A1D5B">
      <w:pPr>
        <w:rPr>
          <w:rFonts w:hint="eastAsia"/>
        </w:rPr>
      </w:pPr>
      <w:r w:rsidRPr="00204021">
        <w:rPr>
          <w:rFonts w:hint="eastAsia"/>
        </w:rPr>
        <w:t xml:space="preserve"> </w:t>
      </w:r>
    </w:p>
    <w:p w14:paraId="4B9252A9" w14:textId="30339F0C" w:rsidR="008A1D5B" w:rsidRPr="00204021" w:rsidRDefault="008A1D5B" w:rsidP="008A1D5B">
      <w:pPr>
        <w:rPr>
          <w:rFonts w:hint="eastAsia"/>
        </w:rPr>
      </w:pPr>
      <w:r w:rsidRPr="00204021">
        <w:t>There are also some differences in curriculum concepts between the two countries.</w:t>
      </w:r>
      <w:r w:rsidRPr="00204021">
        <w:rPr>
          <w:rFonts w:hint="eastAsia"/>
        </w:rPr>
        <w:t xml:space="preserve"> Foundation Phase in Wales Emphasizes on all-round development, including a child</w:t>
      </w:r>
      <w:r w:rsidRPr="00204021">
        <w:t>’</w:t>
      </w:r>
      <w:r w:rsidRPr="00204021">
        <w:rPr>
          <w:rFonts w:hint="eastAsia"/>
        </w:rPr>
        <w:t xml:space="preserve">s physical, cognitive, emotional and social abilities. The Welsh Government believes that children at the age of 3 already have the potential to learn and develop, so they promote multi-faceted development through guided games and interactive activities. </w:t>
      </w:r>
      <w:r w:rsidR="000F3A3F" w:rsidRPr="006146A4">
        <w:t>The Welsh Government</w:t>
      </w:r>
      <w:r w:rsidR="00457E11" w:rsidRPr="006146A4">
        <w:rPr>
          <w:rFonts w:hint="eastAsia"/>
        </w:rPr>
        <w:t xml:space="preserve"> (2022)</w:t>
      </w:r>
      <w:r w:rsidR="000F3A3F" w:rsidRPr="006146A4">
        <w:t xml:space="preserve"> emphasizes the importance of multi-faceted development for children aged 3 to 5, focusing on cognitive, social, emotional, and physical abilities. Because of this holistic approach, </w:t>
      </w:r>
      <w:r w:rsidR="00806312" w:rsidRPr="006146A4">
        <w:t>Welsh Government</w:t>
      </w:r>
      <w:r w:rsidR="00806312" w:rsidRPr="006146A4">
        <w:rPr>
          <w:rFonts w:hint="eastAsia"/>
        </w:rPr>
        <w:t xml:space="preserve"> (2023)</w:t>
      </w:r>
      <w:r w:rsidR="000F3A3F" w:rsidRPr="006146A4">
        <w:t xml:space="preserve"> believe early exposure to mathematical concepts is crucial for enhancing cognitive skills. As a result, from the </w:t>
      </w:r>
      <w:r w:rsidR="00D51889" w:rsidRPr="006146A4">
        <w:rPr>
          <w:rFonts w:hint="eastAsia"/>
        </w:rPr>
        <w:t>Progression Step 1</w:t>
      </w:r>
      <w:r w:rsidR="000F3A3F" w:rsidRPr="006146A4">
        <w:t>, children are introduced to basic mathematical tasks, such as recognizing numbers, shapes, and patterns, which are integrated into their play and learning activities to support their overall growth</w:t>
      </w:r>
      <w:r w:rsidR="00D51889" w:rsidRPr="006146A4">
        <w:rPr>
          <w:rFonts w:hint="eastAsia"/>
        </w:rPr>
        <w:t>.</w:t>
      </w:r>
      <w:r w:rsidR="00CD5B48" w:rsidRPr="006146A4">
        <w:rPr>
          <w:rFonts w:hint="eastAsia"/>
        </w:rPr>
        <w:t xml:space="preserve"> </w:t>
      </w:r>
      <w:r w:rsidRPr="006146A4">
        <w:rPr>
          <w:rFonts w:hint="eastAsia"/>
        </w:rPr>
        <w:t xml:space="preserve">Although England's early years </w:t>
      </w:r>
      <w:r w:rsidRPr="00204021">
        <w:rPr>
          <w:rFonts w:hint="eastAsia"/>
        </w:rPr>
        <w:t>education includes some play and practical activities, it is more focused on preparing for formal academic learning by developing early skills, ensuring that children can transition smoothly to Key Stage 1 at the age of 5. Actual curriculum content, especially academic tasks, formally begins in Key Stage 1 after the age of 5.</w:t>
      </w:r>
    </w:p>
    <w:p w14:paraId="4779E8FF" w14:textId="77777777" w:rsidR="008A1D5B" w:rsidRPr="00204021" w:rsidRDefault="008A1D5B" w:rsidP="008A1D5B">
      <w:pPr>
        <w:rPr>
          <w:rFonts w:hint="eastAsia"/>
        </w:rPr>
      </w:pPr>
      <w:r w:rsidRPr="00204021">
        <w:rPr>
          <w:rFonts w:hint="eastAsia"/>
        </w:rPr>
        <w:t xml:space="preserve"> </w:t>
      </w:r>
    </w:p>
    <w:p w14:paraId="2AEC630B" w14:textId="77777777" w:rsidR="008A1D5B" w:rsidRPr="00204021" w:rsidRDefault="008A1D5B" w:rsidP="008A1D5B">
      <w:pPr>
        <w:rPr>
          <w:rFonts w:hint="eastAsia"/>
        </w:rPr>
      </w:pPr>
      <w:r w:rsidRPr="00204021">
        <w:rPr>
          <w:rFonts w:hint="eastAsia"/>
        </w:rPr>
        <w:t xml:space="preserve"> </w:t>
      </w:r>
    </w:p>
    <w:p w14:paraId="49A05FC2" w14:textId="1DA00FF5" w:rsidR="008A1D5B" w:rsidRPr="00204021" w:rsidRDefault="008A1D5B" w:rsidP="008A1D5B">
      <w:pPr>
        <w:rPr>
          <w:rFonts w:hint="eastAsia"/>
        </w:rPr>
      </w:pPr>
      <w:r w:rsidRPr="00204021">
        <w:rPr>
          <w:rFonts w:hint="eastAsia"/>
        </w:rPr>
        <w:t>In the national curriculum</w:t>
      </w:r>
      <w:r w:rsidR="00FF0480" w:rsidRPr="00204021">
        <w:rPr>
          <w:rFonts w:hint="eastAsia"/>
        </w:rPr>
        <w:t xml:space="preserve"> of two countries</w:t>
      </w:r>
      <w:r w:rsidRPr="00204021">
        <w:rPr>
          <w:rFonts w:hint="eastAsia"/>
        </w:rPr>
        <w:t xml:space="preserve">, each stage is organized by specific sub-fields within mathematics, such as number, geometry, statistics, algebra and so on. </w:t>
      </w:r>
      <w:r w:rsidRPr="00204021">
        <w:rPr>
          <w:rFonts w:hint="eastAsia"/>
        </w:rPr>
        <w:lastRenderedPageBreak/>
        <w:t xml:space="preserve">However, there are significant differences in the settings for mathematics teaching in Wales and England, and these differences reflect their respective educational philosophies and objectives. Starting from progression step 1, every step in Wales </w:t>
      </w:r>
      <w:r w:rsidR="005E06A3" w:rsidRPr="00204021">
        <w:t>is</w:t>
      </w:r>
      <w:r w:rsidRPr="00204021">
        <w:rPr>
          <w:rFonts w:hint="eastAsia"/>
        </w:rPr>
        <w:t xml:space="preserve"> divided into these four sub-fields: number system, algebra, geometry and statistics</w:t>
      </w:r>
      <w:r w:rsidR="004461F3" w:rsidRPr="00204021">
        <w:rPr>
          <w:rFonts w:hint="eastAsia"/>
        </w:rPr>
        <w:t xml:space="preserve">. </w:t>
      </w:r>
      <w:r w:rsidR="004461F3" w:rsidRPr="00204021">
        <w:t xml:space="preserve">These sub-fields refer to distinct branches of mathematics that focus on specific </w:t>
      </w:r>
      <w:r w:rsidR="00E4680B" w:rsidRPr="00204021">
        <w:rPr>
          <w:rFonts w:hint="eastAsia"/>
        </w:rPr>
        <w:t>field</w:t>
      </w:r>
      <w:r w:rsidR="004461F3" w:rsidRPr="00204021">
        <w:t>s</w:t>
      </w:r>
      <w:r w:rsidR="00E4680B" w:rsidRPr="00204021">
        <w:rPr>
          <w:rFonts w:hint="eastAsia"/>
        </w:rPr>
        <w:t>.</w:t>
      </w:r>
      <w:r w:rsidR="00E4680B" w:rsidRPr="00204021">
        <w:rPr>
          <w:rFonts w:hint="eastAsia"/>
          <w:b/>
          <w:bCs/>
        </w:rPr>
        <w:t xml:space="preserve"> </w:t>
      </w:r>
      <w:r w:rsidR="00E4680B" w:rsidRPr="00204021">
        <w:rPr>
          <w:rFonts w:hint="eastAsia"/>
        </w:rPr>
        <w:t>T</w:t>
      </w:r>
      <w:r w:rsidRPr="00204021">
        <w:rPr>
          <w:rFonts w:hint="eastAsia"/>
        </w:rPr>
        <w:t xml:space="preserve">here are clear requirements for the mastery of these four sub-fields. But in England, in different key stage, the division to sub-fields is different. In the year 1 of key stage 1, the curriculum is divided into these three parts: number, measurement and geometry. In the year 2 of key stage 1, statistics is added into the curriculum. Later, in the year 6 of the key stage 2, algebra, ratio and proportion became the two sub-fields of mathematics curriculum. Finally, at the key stage 4, the sub-fields have </w:t>
      </w:r>
      <w:r w:rsidR="005E06A3" w:rsidRPr="00204021">
        <w:t>become</w:t>
      </w:r>
      <w:r w:rsidRPr="00204021">
        <w:rPr>
          <w:rFonts w:hint="eastAsia"/>
        </w:rPr>
        <w:t xml:space="preserve"> these six: number; algebra; ratio, proportion and rates of change; geometry and measures; probability; statistics. </w:t>
      </w:r>
    </w:p>
    <w:p w14:paraId="28866940" w14:textId="4B883133" w:rsidR="008A1D5B" w:rsidRPr="00204021" w:rsidRDefault="008A1D5B" w:rsidP="008A1D5B">
      <w:pPr>
        <w:rPr>
          <w:rFonts w:hint="eastAsia"/>
        </w:rPr>
      </w:pPr>
      <w:r w:rsidRPr="00204021">
        <w:t xml:space="preserve">Wales introduces all </w:t>
      </w:r>
      <w:r w:rsidR="00100AD6" w:rsidRPr="00204021">
        <w:t>sub</w:t>
      </w:r>
      <w:r w:rsidR="00100AD6" w:rsidRPr="00204021">
        <w:rPr>
          <w:rFonts w:hint="eastAsia"/>
        </w:rPr>
        <w:t>-</w:t>
      </w:r>
      <w:r w:rsidR="00100AD6" w:rsidRPr="00204021">
        <w:t xml:space="preserve">fields </w:t>
      </w:r>
      <w:r w:rsidR="00100AD6" w:rsidRPr="00204021">
        <w:rPr>
          <w:rFonts w:hint="eastAsia"/>
        </w:rPr>
        <w:t xml:space="preserve">of </w:t>
      </w:r>
      <w:r w:rsidRPr="00204021">
        <w:t>mathematic</w:t>
      </w:r>
      <w:r w:rsidR="00100AD6" w:rsidRPr="00204021">
        <w:rPr>
          <w:rFonts w:hint="eastAsia"/>
        </w:rPr>
        <w:t>s</w:t>
      </w:r>
      <w:r w:rsidRPr="00204021">
        <w:t xml:space="preserve"> from an early </w:t>
      </w:r>
      <w:r w:rsidRPr="00204021">
        <w:rPr>
          <w:rFonts w:hint="eastAsia"/>
        </w:rPr>
        <w:t>step</w:t>
      </w:r>
      <w:r w:rsidRPr="00204021">
        <w:t xml:space="preserve"> because its education system emphasizes developing students' mathematical thinking from the beginning</w:t>
      </w:r>
      <w:r w:rsidR="005C31C5" w:rsidRPr="00204021">
        <w:rPr>
          <w:rFonts w:hint="eastAsia"/>
        </w:rPr>
        <w:t xml:space="preserve"> (Welsh Government, 2023)</w:t>
      </w:r>
      <w:r w:rsidRPr="00204021">
        <w:t>. By introducing concepts from all sub</w:t>
      </w:r>
      <w:r w:rsidRPr="00204021">
        <w:rPr>
          <w:rFonts w:hint="eastAsia"/>
        </w:rPr>
        <w:t>-</w:t>
      </w:r>
      <w:r w:rsidRPr="00204021">
        <w:t>fields in Progression Step 1, Wales aims to expose students to and help them understand these abstract mathematical concepts early on, laying a solid foundation for future learning. This approach is intended to help students establish problem-solving and logical reasoning skills at an early s</w:t>
      </w:r>
      <w:r w:rsidRPr="00204021">
        <w:rPr>
          <w:rFonts w:hint="eastAsia"/>
        </w:rPr>
        <w:t>tep</w:t>
      </w:r>
      <w:r w:rsidRPr="00204021">
        <w:t>. In Wales, sub</w:t>
      </w:r>
      <w:r w:rsidRPr="00204021">
        <w:rPr>
          <w:rFonts w:hint="eastAsia"/>
        </w:rPr>
        <w:t>-</w:t>
      </w:r>
      <w:r w:rsidRPr="00204021">
        <w:t>fields like algebra, ratio, proportion, and rates of change are integrated into early learning, with the goal of helping students gradually understand these concepts through practical application and real-life examples. This setup aims to allow students to apply mathematical knowledge in everyday life, thereby enhancing their understanding and interest in mathematics</w:t>
      </w:r>
      <w:r w:rsidR="00091648" w:rsidRPr="00204021">
        <w:rPr>
          <w:rFonts w:hint="eastAsia"/>
        </w:rPr>
        <w:t xml:space="preserve"> (Welsh Government, 2023)</w:t>
      </w:r>
      <w:r w:rsidRPr="00204021">
        <w:t>.</w:t>
      </w:r>
    </w:p>
    <w:p w14:paraId="4C54FDC2" w14:textId="0EE284AF" w:rsidR="000973C7" w:rsidRPr="00204021" w:rsidRDefault="000973C7" w:rsidP="008A1D5B">
      <w:pPr>
        <w:rPr>
          <w:rFonts w:hint="eastAsia"/>
        </w:rPr>
      </w:pPr>
      <w:r w:rsidRPr="00204021">
        <w:t>W</w:t>
      </w:r>
      <w:r w:rsidRPr="00204021">
        <w:rPr>
          <w:rFonts w:hint="eastAsia"/>
        </w:rPr>
        <w:t>elsh</w:t>
      </w:r>
      <w:r w:rsidRPr="00204021">
        <w:t xml:space="preserve"> </w:t>
      </w:r>
      <w:r w:rsidR="009B661D" w:rsidRPr="00204021">
        <w:rPr>
          <w:rFonts w:hint="eastAsia"/>
        </w:rPr>
        <w:t>early learning progression</w:t>
      </w:r>
      <w:r w:rsidRPr="00204021">
        <w:t xml:space="preserve"> integrating mathematics with real-life scenarios reflects a growing emphasis on practical application in education. By connecting mathematical concepts to everyday experiences, this method helps students develop essential problem-solving skills. Smid (</w:t>
      </w:r>
      <w:r w:rsidR="009B661D" w:rsidRPr="00204021">
        <w:rPr>
          <w:rFonts w:hint="eastAsia"/>
        </w:rPr>
        <w:t>2022</w:t>
      </w:r>
      <w:r w:rsidRPr="00204021">
        <w:t xml:space="preserve">) supports this view, arguing that placing mathematical problems in real-world contexts enhances students' ability to understand and apply these concepts. In addition to improving comprehension, practical application can positively impact students' attitudes toward mathematics. Arthur </w:t>
      </w:r>
      <w:r w:rsidRPr="00204021">
        <w:rPr>
          <w:i/>
          <w:iCs/>
        </w:rPr>
        <w:t>et al.</w:t>
      </w:r>
      <w:r w:rsidRPr="00204021">
        <w:t xml:space="preserve"> (2018) found that engaging students in real-life mathematical activities not only increases their interest but also improves their attitudes toward the subject. This connection between practical engagement and positive attitudes toward learning is significant, as it can help reduce math anxiety and boost students' confidence. Thus, </w:t>
      </w:r>
      <w:r w:rsidR="00F22A51" w:rsidRPr="00204021">
        <w:t>W</w:t>
      </w:r>
      <w:r w:rsidR="00FA14F2" w:rsidRPr="00204021">
        <w:rPr>
          <w:rFonts w:hint="eastAsia"/>
        </w:rPr>
        <w:t>elsh</w:t>
      </w:r>
      <w:r w:rsidRPr="00204021">
        <w:t xml:space="preserve"> emphasis on real-life applications aligns with broader educational research that underscores the value of contextual learning in fostering both skill development and </w:t>
      </w:r>
      <w:r w:rsidRPr="00204021">
        <w:lastRenderedPageBreak/>
        <w:t>emotional resilience in students.</w:t>
      </w:r>
    </w:p>
    <w:p w14:paraId="1A4988DC" w14:textId="1866877B" w:rsidR="00FC10BD" w:rsidRPr="00204021" w:rsidRDefault="00B537A7" w:rsidP="008A1D5B">
      <w:pPr>
        <w:rPr>
          <w:rFonts w:hint="eastAsia"/>
          <w:b/>
          <w:bCs/>
        </w:rPr>
      </w:pPr>
      <w:r w:rsidRPr="00204021">
        <w:rPr>
          <w:rFonts w:hint="eastAsia"/>
        </w:rPr>
        <w:t>On the other hand, t</w:t>
      </w:r>
      <w:r w:rsidRPr="00204021">
        <w:t xml:space="preserve">o facilitate this practical application, </w:t>
      </w:r>
      <w:r w:rsidR="00957E02" w:rsidRPr="00204021">
        <w:t>according</w:t>
      </w:r>
      <w:r w:rsidR="00957E02" w:rsidRPr="00204021">
        <w:rPr>
          <w:rFonts w:hint="eastAsia"/>
        </w:rPr>
        <w:t xml:space="preserve"> to </w:t>
      </w:r>
      <w:r w:rsidR="00A67045" w:rsidRPr="00204021">
        <w:t>the Curriculum for Wales,</w:t>
      </w:r>
      <w:r w:rsidRPr="00204021">
        <w:t xml:space="preserve"> </w:t>
      </w:r>
      <w:r w:rsidR="00957E02" w:rsidRPr="00204021">
        <w:rPr>
          <w:rFonts w:hint="eastAsia"/>
        </w:rPr>
        <w:t xml:space="preserve">Welsh Government (2022) </w:t>
      </w:r>
      <w:r w:rsidRPr="00204021">
        <w:t>employs a multi-faceted approach that gradually introduces foundational skills while integrating basic advanced concepts, such as recognizing numerical patterns and simple algebraic thinking, from Progression Step 1. For example, students learn to identify sequences where each number is derived from the previous one by adding a constant, like 2, enabling them to apply this reasoning to generate subsequent numbers (e.g., 4, 6, 8, 10).</w:t>
      </w:r>
    </w:p>
    <w:p w14:paraId="0D82125A" w14:textId="77777777" w:rsidR="00863711" w:rsidRPr="00204021" w:rsidRDefault="00785D2C" w:rsidP="008A1D5B">
      <w:pPr>
        <w:rPr>
          <w:rFonts w:hint="eastAsia"/>
        </w:rPr>
      </w:pPr>
      <w:r w:rsidRPr="00204021">
        <w:t>However, England takes a notably different approach, where the emphasis is placed on mastering foundational skills before introducing practical applications and advanced mathematical concepts</w:t>
      </w:r>
      <w:r w:rsidR="004C0BC4" w:rsidRPr="00204021">
        <w:rPr>
          <w:rFonts w:hint="eastAsia"/>
        </w:rPr>
        <w:t xml:space="preserve"> (</w:t>
      </w:r>
      <w:r w:rsidR="000A0443" w:rsidRPr="00204021">
        <w:rPr>
          <w:rFonts w:hint="eastAsia"/>
        </w:rPr>
        <w:t>Department for Education, 2013</w:t>
      </w:r>
      <w:r w:rsidR="004C0BC4" w:rsidRPr="00204021">
        <w:rPr>
          <w:rFonts w:hint="eastAsia"/>
        </w:rPr>
        <w:t>)</w:t>
      </w:r>
      <w:r w:rsidRPr="00204021">
        <w:rPr>
          <w:rFonts w:hint="eastAsia"/>
        </w:rPr>
        <w:t>.</w:t>
      </w:r>
      <w:r w:rsidR="008A1D5B" w:rsidRPr="00204021">
        <w:t xml:space="preserve"> England's curriculum in the early stages focuses more on foundational mathematical knowledge, such as arithmetic, geometry, and measurement. Complex mathematical concepts like algebra, ratio, proportion, and rates of change are usually introduced once students have built a solid foundation. England's curriculum is designed to ensure that students first master basic mathematical skills and knowledge before tackling these more advanced concepts. The English education system is based on cognitive development theory</w:t>
      </w:r>
      <w:r w:rsidR="0027140F" w:rsidRPr="00204021">
        <w:rPr>
          <w:rFonts w:hint="eastAsia"/>
        </w:rPr>
        <w:t xml:space="preserve"> of </w:t>
      </w:r>
      <w:r w:rsidR="00BA01DA" w:rsidRPr="00204021">
        <w:rPr>
          <w:rFonts w:hint="eastAsia"/>
        </w:rPr>
        <w:t>Piaget</w:t>
      </w:r>
      <w:r w:rsidR="00A60F23" w:rsidRPr="00204021">
        <w:rPr>
          <w:rFonts w:hint="eastAsia"/>
        </w:rPr>
        <w:t xml:space="preserve"> </w:t>
      </w:r>
      <w:r w:rsidR="00716C3E" w:rsidRPr="00204021">
        <w:rPr>
          <w:rFonts w:hint="eastAsia"/>
        </w:rPr>
        <w:t>(</w:t>
      </w:r>
      <w:r w:rsidR="00403DCE" w:rsidRPr="00204021">
        <w:t>Jansen, 2011)</w:t>
      </w:r>
      <w:r w:rsidR="008A1D5B" w:rsidRPr="00204021">
        <w:t xml:space="preserve">, which suggests that abstract mathematical concepts may be difficult for children to grasp at an early age. </w:t>
      </w:r>
    </w:p>
    <w:p w14:paraId="47807293" w14:textId="38F797A9" w:rsidR="008A1D5B" w:rsidRPr="00204021" w:rsidRDefault="008A1D5B" w:rsidP="008A1D5B">
      <w:pPr>
        <w:rPr>
          <w:rFonts w:hint="eastAsia"/>
        </w:rPr>
      </w:pPr>
      <w:r w:rsidRPr="00204021">
        <w:t>Therefore, England introduces algebra and other advanced mathematical concepts later, when students have reached a sufficient level of cognitive development, so they can better understand and apply these concepts.</w:t>
      </w:r>
      <w:r w:rsidR="00EE4776" w:rsidRPr="00204021">
        <w:rPr>
          <w:rFonts w:hint="eastAsia"/>
        </w:rPr>
        <w:t xml:space="preserve"> </w:t>
      </w:r>
      <w:r w:rsidR="00EE4776" w:rsidRPr="00204021">
        <w:t>According to Jansen (2011), Piaget’s theory explains that children typically develop the ability to think logically and handle abstract concepts during the concrete operational stage and beyond, making it important to introduce complex topics like algebra only when students are cognitively ready.</w:t>
      </w:r>
    </w:p>
    <w:p w14:paraId="7B035BC5" w14:textId="60FF38F4" w:rsidR="00BE1605" w:rsidRPr="00204021" w:rsidRDefault="00BE1605" w:rsidP="00BE1605">
      <w:pPr>
        <w:rPr>
          <w:rFonts w:hint="eastAsia"/>
        </w:rPr>
      </w:pPr>
      <w:r w:rsidRPr="00204021">
        <w:t>The differences between England and Wales extend beyond the early stages of education to include various subsequent phases of the curriculum. These distinctions influence how mathematical knowledge are taught and understood, reflecting each country’s educational philosophy and goals. To illustrate these differences more clearly, this article will delve into the number system, examining how both countries structure its teaching across different educational stages, thereby highlighting the impact of their respective approaches on student learning and engagement.</w:t>
      </w:r>
    </w:p>
    <w:p w14:paraId="25B83F54" w14:textId="4AE496F1" w:rsidR="008A1D5B" w:rsidRPr="00204021" w:rsidRDefault="008A1D5B" w:rsidP="008A1D5B">
      <w:pPr>
        <w:rPr>
          <w:rFonts w:hint="eastAsia"/>
        </w:rPr>
      </w:pPr>
    </w:p>
    <w:p w14:paraId="5E9AA1F0" w14:textId="39DEFB6B" w:rsidR="008A1D5B" w:rsidRPr="00204021" w:rsidRDefault="000849DE" w:rsidP="008A1D5B">
      <w:pPr>
        <w:rPr>
          <w:rFonts w:hint="eastAsia"/>
        </w:rPr>
      </w:pPr>
      <w:r w:rsidRPr="00204021">
        <w:rPr>
          <w:rFonts w:hint="eastAsia"/>
        </w:rPr>
        <w:t xml:space="preserve">The structure of a mathematics curriculum is pivotal in shaping how students progressively develop their mathematical knowledge and skills. This article will explore </w:t>
      </w:r>
      <w:r w:rsidRPr="00204021">
        <w:rPr>
          <w:rFonts w:hint="eastAsia"/>
        </w:rPr>
        <w:lastRenderedPageBreak/>
        <w:t>the curriculum structures in Wales and England, focusing on the number system across various educational stages—from early years to more advanced levels. Using the number system as a lens, this analysis will delve into the similarities and differences in how both countries build mathematical understanding, ensuring that students are prepared for increasingly complex problem-solving tasks as they advance. By examining how each country structures the teaching of the number system across the full spectrum of education, this essay will gain deeper insight into their respective approaches to fostering mathematical thinking and equipping students for future academic and real-world challenges.</w:t>
      </w:r>
      <w:r w:rsidR="008A1D5B" w:rsidRPr="00204021">
        <w:rPr>
          <w:rFonts w:hint="eastAsia"/>
        </w:rPr>
        <w:t xml:space="preserve"> </w:t>
      </w:r>
    </w:p>
    <w:p w14:paraId="74DDECD7" w14:textId="6B40C71B" w:rsidR="00580B46" w:rsidRPr="00351AD7" w:rsidRDefault="008A1D5B" w:rsidP="00580B46">
      <w:pPr>
        <w:rPr>
          <w:rFonts w:hint="eastAsia"/>
        </w:rPr>
      </w:pPr>
      <w:r w:rsidRPr="00204021">
        <w:rPr>
          <w:rFonts w:hint="eastAsia"/>
        </w:rPr>
        <w:t xml:space="preserve">The number system in Wales also divided into </w:t>
      </w:r>
      <w:r w:rsidR="009D43E4" w:rsidRPr="00204021">
        <w:rPr>
          <w:rFonts w:hint="eastAsia"/>
        </w:rPr>
        <w:t>several parts</w:t>
      </w:r>
      <w:r w:rsidRPr="00204021">
        <w:rPr>
          <w:rFonts w:hint="eastAsia"/>
        </w:rPr>
        <w:t xml:space="preserve">, they </w:t>
      </w:r>
      <w:r w:rsidR="00C95975" w:rsidRPr="00204021">
        <w:t>are</w:t>
      </w:r>
      <w:r w:rsidRPr="00204021">
        <w:rPr>
          <w:rFonts w:hint="eastAsia"/>
        </w:rPr>
        <w:t xml:space="preserve"> number and place value, arithmetic operations, fractions, and application of financial mathematics.</w:t>
      </w:r>
      <w:r w:rsidR="00560F8C" w:rsidRPr="00204021">
        <w:rPr>
          <w:rFonts w:hint="eastAsia"/>
        </w:rPr>
        <w:t xml:space="preserve"> </w:t>
      </w:r>
      <w:r w:rsidRPr="00204021">
        <w:rPr>
          <w:rFonts w:hint="eastAsia"/>
        </w:rPr>
        <w:t>They are number and place value, arithmetic operations, fractions in England for key stage 1&amp;2, and England puts financial knowledge in measurement instead of number system.</w:t>
      </w:r>
      <w:r w:rsidR="00560F8C" w:rsidRPr="00204021">
        <w:rPr>
          <w:rFonts w:hint="eastAsia"/>
        </w:rPr>
        <w:t xml:space="preserve"> Every part is a sub-strand of the number system. </w:t>
      </w:r>
      <w:r w:rsidRPr="00204021">
        <w:rPr>
          <w:rFonts w:hint="eastAsia"/>
        </w:rPr>
        <w:t>However, the curriculum for Key Stage 3 and Key Stage 4 has moved away from dividing mathematics into specific sub-strands like those found in earlier stages in England. Instead,</w:t>
      </w:r>
      <w:r w:rsidR="00E314F1" w:rsidRPr="006146A4">
        <w:t xml:space="preserve"> England's curriculum in Key Stage 3 and 4 shifts its focus toward broader mathematical concepts and skills for several reasons. </w:t>
      </w:r>
      <w:r w:rsidR="00580B46" w:rsidRPr="006146A4">
        <w:t>According to Piaget's theory of cognitive development, by the time students reach Key Stage 3 and 4, they have developed the cognitive maturity required to integrate and connect different mathematical concepts. At this stage, their cognitive abilities have progressed to the formal operational stage, where abstract thinking and logical reasoning are more fully developed</w:t>
      </w:r>
      <w:r w:rsidR="00EF22DD" w:rsidRPr="006146A4">
        <w:rPr>
          <w:rFonts w:hint="eastAsia"/>
        </w:rPr>
        <w:t xml:space="preserve"> </w:t>
      </w:r>
      <w:r w:rsidR="00580B46" w:rsidRPr="006146A4">
        <w:rPr>
          <w:rFonts w:ascii="MS Gothic" w:eastAsia="MS Gothic" w:hAnsi="MS Gothic" w:cs="MS Gothic" w:hint="eastAsia"/>
        </w:rPr>
        <w:t>​</w:t>
      </w:r>
      <w:r w:rsidR="00580B46" w:rsidRPr="006146A4">
        <w:t>(</w:t>
      </w:r>
      <w:r w:rsidR="00EF22DD" w:rsidRPr="006146A4">
        <w:rPr>
          <w:rFonts w:hint="eastAsia"/>
        </w:rPr>
        <w:t>Jansen, 2011</w:t>
      </w:r>
      <w:r w:rsidR="00580B46" w:rsidRPr="006146A4">
        <w:t xml:space="preserve">). This enables students to not </w:t>
      </w:r>
      <w:r w:rsidR="00580B46" w:rsidRPr="00351AD7">
        <w:t>only understand individual mathematical ideas but also to see how these ideas interact and support one another, which is crucial for solving more complex mathematical problems.</w:t>
      </w:r>
    </w:p>
    <w:p w14:paraId="67CC863A" w14:textId="769C1737" w:rsidR="00580B46" w:rsidRPr="00351AD7" w:rsidRDefault="00580B46" w:rsidP="00580B46">
      <w:pPr>
        <w:rPr>
          <w:rFonts w:hint="eastAsia"/>
        </w:rPr>
      </w:pPr>
      <w:r w:rsidRPr="00351AD7">
        <w:t>In this integrated approach, students are encouraged to apply their knowledge and skills across multiple mathematical areas, rather than tackling each concept in isolation. For example, a mathematical problem involving fractions may also require an understanding of place value, ratios, or algebra. This comprehensive problem-solving process allows students to see how different areas of mathematics are interconnected, reinforcing the idea that these concepts are not independent but instead deeply related to one another</w:t>
      </w:r>
      <w:r w:rsidRPr="00351AD7">
        <w:rPr>
          <w:rFonts w:ascii="MS Gothic" w:eastAsia="MS Gothic" w:hAnsi="MS Gothic" w:cs="MS Gothic" w:hint="eastAsia"/>
        </w:rPr>
        <w:t>​</w:t>
      </w:r>
      <w:r w:rsidR="00EF22DD" w:rsidRPr="00351AD7">
        <w:rPr>
          <w:rFonts w:ascii="MS Gothic" w:hAnsi="MS Gothic" w:cs="MS Gothic" w:hint="eastAsia"/>
        </w:rPr>
        <w:t xml:space="preserve"> </w:t>
      </w:r>
      <w:r w:rsidRPr="00351AD7">
        <w:t>(</w:t>
      </w:r>
      <w:r w:rsidR="002E0C33" w:rsidRPr="00351AD7">
        <w:rPr>
          <w:rFonts w:hint="eastAsia"/>
        </w:rPr>
        <w:t>Department for Education, 201</w:t>
      </w:r>
      <w:r w:rsidR="002E1F9D" w:rsidRPr="00351AD7">
        <w:rPr>
          <w:rFonts w:hint="eastAsia"/>
        </w:rPr>
        <w:t>3</w:t>
      </w:r>
      <w:r w:rsidR="002E0C33" w:rsidRPr="00351AD7">
        <w:rPr>
          <w:rFonts w:hint="eastAsia"/>
        </w:rPr>
        <w:t>)</w:t>
      </w:r>
      <w:r w:rsidRPr="00351AD7">
        <w:t>. Through this process, students’ understanding of each concept deepens, as they begin to recognize the structural relationships within mathematics itself.</w:t>
      </w:r>
    </w:p>
    <w:p w14:paraId="309A9366" w14:textId="00DF576E" w:rsidR="00580B46" w:rsidRPr="00351AD7" w:rsidRDefault="00580B46" w:rsidP="00580B46">
      <w:pPr>
        <w:rPr>
          <w:rFonts w:hint="eastAsia"/>
        </w:rPr>
      </w:pPr>
      <w:r w:rsidRPr="00351AD7">
        <w:t xml:space="preserve">Moreover, this integrated approach benefits students in the context of examinations. At this stage, students are preparing for qualifications such as GCSEs, which often test their ability to apply a range of mathematical concepts to solve complex, multi-step </w:t>
      </w:r>
      <w:r w:rsidRPr="00351AD7">
        <w:lastRenderedPageBreak/>
        <w:t>problems</w:t>
      </w:r>
      <w:r w:rsidR="00797F23" w:rsidRPr="00351AD7">
        <w:rPr>
          <w:rFonts w:hint="eastAsia"/>
        </w:rPr>
        <w:t xml:space="preserve"> </w:t>
      </w:r>
      <w:r w:rsidRPr="00351AD7">
        <w:rPr>
          <w:rFonts w:ascii="MS Gothic" w:eastAsia="MS Gothic" w:hAnsi="MS Gothic" w:cs="MS Gothic" w:hint="eastAsia"/>
        </w:rPr>
        <w:t>​</w:t>
      </w:r>
      <w:r w:rsidRPr="00351AD7">
        <w:t>(</w:t>
      </w:r>
      <w:r w:rsidR="00797F23" w:rsidRPr="00351AD7">
        <w:t>AQA</w:t>
      </w:r>
      <w:r w:rsidR="00797F23" w:rsidRPr="00351AD7">
        <w:rPr>
          <w:rFonts w:hint="eastAsia"/>
        </w:rPr>
        <w:t xml:space="preserve">, </w:t>
      </w:r>
      <w:r w:rsidR="00797F23" w:rsidRPr="00351AD7">
        <w:t>2015</w:t>
      </w:r>
      <w:r w:rsidRPr="00351AD7">
        <w:t>). The ability to synthesize knowledge from different mathematical domains not only enhances their problem-solving skills but also improves their performance in high-stakes exams. Exam questions frequently require students to use more than one area of mathematics simultaneously, so the ability to approach problems in a comprehensive, connected way is critical for success.</w:t>
      </w:r>
    </w:p>
    <w:p w14:paraId="23DA9A86" w14:textId="3CD22794" w:rsidR="00580B46" w:rsidRPr="00351AD7" w:rsidRDefault="00580B46" w:rsidP="00797F23">
      <w:pPr>
        <w:rPr>
          <w:rFonts w:hint="eastAsia"/>
        </w:rPr>
      </w:pPr>
      <w:r w:rsidRPr="00351AD7">
        <w:t>Thus, the move away from isolated sub-strands toward a more integrated approach in the curriculum ensures that students are better prepared both for examinations and for higher-level mathematical thinking. This aligns with cognitive development theory and supports students' ability to engage with complex problems in a meaningful and connected way</w:t>
      </w:r>
      <w:r w:rsidR="00797F23" w:rsidRPr="00351AD7">
        <w:rPr>
          <w:rFonts w:ascii="MS Gothic" w:hAnsi="MS Gothic" w:cs="MS Gothic" w:hint="eastAsia"/>
        </w:rPr>
        <w:t>.</w:t>
      </w:r>
    </w:p>
    <w:p w14:paraId="386DE25C" w14:textId="4766D7B6" w:rsidR="008A1D5B" w:rsidRPr="00351AD7" w:rsidRDefault="008A1D5B" w:rsidP="00E314F1">
      <w:pPr>
        <w:rPr>
          <w:rFonts w:hint="eastAsia"/>
          <w:bCs/>
        </w:rPr>
      </w:pPr>
      <w:r w:rsidRPr="00204021">
        <w:rPr>
          <w:rFonts w:hint="eastAsia"/>
        </w:rPr>
        <w:t>Wales continues to distinguish sub-fields within the Number System at Progression Steps 4 &amp; 5. The advantages of this approach lie in providing systematic teaching, reinforcing foundational knowledge, and supporting personalized learning. However, this method might also result in students lacking flexibility in practical application, lead to fragmented knowledge transitions, increase the burden on teachers and students, and limit the development of cross-disciplinary thinking.</w:t>
      </w:r>
      <w:r w:rsidR="000E6163" w:rsidRPr="00204021">
        <w:rPr>
          <w:rFonts w:hint="eastAsia"/>
        </w:rPr>
        <w:t xml:space="preserve"> </w:t>
      </w:r>
      <w:r w:rsidR="00D16207" w:rsidRPr="00204021">
        <w:t>For example, in Progression Step 4, Wales puts integer exponents and fractions together. It is easy to understand that the purpose is to extend the number field, because in the next step, this curriculum will introduce irrational numbers from exponentiation and its inverse operation—the root operation. However, integer exponents are also a new arithmetic operation—not an isolated topic within the number field. Therefore, such division may lead to a lack of integrity and comprehensiveness in the learning of the number system. Sweller et al. (20</w:t>
      </w:r>
      <w:r w:rsidR="00D16207" w:rsidRPr="00204021">
        <w:rPr>
          <w:rFonts w:hint="eastAsia"/>
        </w:rPr>
        <w:t>19</w:t>
      </w:r>
      <w:r w:rsidR="00D16207" w:rsidRPr="00204021">
        <w:t>) highlight the importance of minimizing "split-attention effects," where students are required to process related information separately. By dividing integer exponents from other arithmetic operations, the Welsh curriculum may create a disconnect, making it harder for students to integrate these interrelated concepts. This separation risks compromising a holistic understanding, as students may struggle to see how exponents function both as an extension of the number field and as an essential arithmetic operation. Presenting these concepts in a more integrated manner would likely promote germane cognitive load, supporting deeper learning by allowing students to form connections between operations like multiplication, division, and exponentiation.</w:t>
      </w:r>
      <w:r w:rsidRPr="00204021">
        <w:rPr>
          <w:rFonts w:hint="eastAsia"/>
          <w:bCs/>
          <w:color w:val="FF0000"/>
        </w:rPr>
        <w:t xml:space="preserve"> </w:t>
      </w:r>
      <w:r w:rsidR="004C4A2D" w:rsidRPr="00351AD7">
        <w:rPr>
          <w:bCs/>
        </w:rPr>
        <w:t xml:space="preserve">In the English curriculum, particularly at Key Stage 3 and 4, the Number System is treated as a more integrated concept, where topics like fractions, exponents, and irrational numbers are introduced through a broad mathematical framework. This is different from </w:t>
      </w:r>
      <w:proofErr w:type="spellStart"/>
      <w:r w:rsidR="004C4A2D" w:rsidRPr="00351AD7">
        <w:rPr>
          <w:bCs/>
        </w:rPr>
        <w:t>Wales'</w:t>
      </w:r>
      <w:proofErr w:type="spellEnd"/>
      <w:r w:rsidR="004C4A2D" w:rsidRPr="00351AD7">
        <w:rPr>
          <w:bCs/>
        </w:rPr>
        <w:t xml:space="preserve"> approach in Progression Steps 4 and 5, where sub-fields within the Number System are more clearly divided</w:t>
      </w:r>
      <w:r w:rsidR="004C4A2D" w:rsidRPr="00351AD7">
        <w:rPr>
          <w:rFonts w:hint="eastAsia"/>
          <w:bCs/>
        </w:rPr>
        <w:t xml:space="preserve">. </w:t>
      </w:r>
      <w:r w:rsidR="005C3604" w:rsidRPr="00351AD7">
        <w:rPr>
          <w:bCs/>
        </w:rPr>
        <w:t xml:space="preserve">While the English system emphasizes the interconnectedness of mathematical concepts and minimizes sub-field distinctions, it </w:t>
      </w:r>
      <w:r w:rsidR="005C3604" w:rsidRPr="00351AD7">
        <w:rPr>
          <w:bCs/>
        </w:rPr>
        <w:lastRenderedPageBreak/>
        <w:t>seeks to ensure that students are equipped with a more holistic understanding of how different mathematical concepts, such as exponents and fractions, work together rather than being taught as distinct areas. This allows for a more fluid transition between topics and promotes flexibility in applying these concepts to complex problems. This approach lead</w:t>
      </w:r>
      <w:r w:rsidR="00616984" w:rsidRPr="00351AD7">
        <w:rPr>
          <w:rFonts w:hint="eastAsia"/>
          <w:bCs/>
        </w:rPr>
        <w:t>s</w:t>
      </w:r>
      <w:r w:rsidR="005C3604" w:rsidRPr="00351AD7">
        <w:rPr>
          <w:bCs/>
        </w:rPr>
        <w:t xml:space="preserve"> to fewer barriers when students encounter real-world applications of these mathematical principles.</w:t>
      </w:r>
    </w:p>
    <w:p w14:paraId="737E2BDD" w14:textId="0FB377C3" w:rsidR="008A1D5B" w:rsidRPr="00204021" w:rsidRDefault="006953AC" w:rsidP="008A1D5B">
      <w:pPr>
        <w:rPr>
          <w:rFonts w:hint="eastAsia"/>
        </w:rPr>
      </w:pPr>
      <w:r w:rsidRPr="00204021">
        <w:t>Therefore, for Wales, finding a balance between teaching within sub-strands and integrated applications becomes a significant challenge within this model.</w:t>
      </w:r>
      <w:r w:rsidR="008A1D5B" w:rsidRPr="00204021">
        <w:t xml:space="preserve"> </w:t>
      </w:r>
    </w:p>
    <w:p w14:paraId="4A65B146" w14:textId="77777777" w:rsidR="008A1D5B" w:rsidRPr="00204021" w:rsidRDefault="008A1D5B" w:rsidP="008A1D5B">
      <w:pPr>
        <w:rPr>
          <w:rFonts w:hint="eastAsia"/>
        </w:rPr>
      </w:pPr>
      <w:r w:rsidRPr="00204021">
        <w:rPr>
          <w:rFonts w:hint="eastAsia"/>
        </w:rPr>
        <w:t xml:space="preserve"> </w:t>
      </w:r>
    </w:p>
    <w:p w14:paraId="3A4EAB2A" w14:textId="6D338EAA" w:rsidR="008A1D5B" w:rsidRPr="00204021" w:rsidRDefault="008A1D5B" w:rsidP="008A1D5B">
      <w:pPr>
        <w:rPr>
          <w:rFonts w:hint="eastAsia"/>
        </w:rPr>
      </w:pPr>
      <w:r w:rsidRPr="00204021">
        <w:rPr>
          <w:rFonts w:hint="eastAsia"/>
        </w:rPr>
        <w:t xml:space="preserve">After comparing the differences and similarities between the curriculum structures of the two countries, it is important to discuss the strengths and weaknesses of each system in practice. While </w:t>
      </w:r>
      <w:proofErr w:type="spellStart"/>
      <w:r w:rsidRPr="00204021">
        <w:rPr>
          <w:rFonts w:hint="eastAsia"/>
        </w:rPr>
        <w:t>Wales'</w:t>
      </w:r>
      <w:proofErr w:type="spellEnd"/>
      <w:r w:rsidRPr="00204021">
        <w:rPr>
          <w:rFonts w:hint="eastAsia"/>
        </w:rPr>
        <w:t xml:space="preserve"> Progression Steps emphasize flexibility and personalisation, allowing students to adjust according to their own learning pace, this flexibility may also present challenges in implementation. Similarly, England</w:t>
      </w:r>
      <w:proofErr w:type="gramStart"/>
      <w:r w:rsidRPr="00204021">
        <w:rPr>
          <w:rFonts w:hint="eastAsia"/>
        </w:rPr>
        <w:t>’</w:t>
      </w:r>
      <w:proofErr w:type="gramEnd"/>
      <w:r w:rsidRPr="00204021">
        <w:rPr>
          <w:rFonts w:hint="eastAsia"/>
        </w:rPr>
        <w:t xml:space="preserve">s stage-based, age-driven education model offers a clearer structure but may overlook individual student needs. Therefore, </w:t>
      </w:r>
      <w:r w:rsidR="006953AC" w:rsidRPr="00204021">
        <w:t>analysing</w:t>
      </w:r>
      <w:r w:rsidRPr="00204021">
        <w:rPr>
          <w:rFonts w:hint="eastAsia"/>
        </w:rPr>
        <w:t xml:space="preserve"> the advantages and limitations of both systems in terms of teaching effectiveness, student development, and educational equity will provide deeper insights into their strengths and areas for improvement.</w:t>
      </w:r>
    </w:p>
    <w:p w14:paraId="55938165" w14:textId="3BC4BEFE" w:rsidR="008A1D5B" w:rsidRPr="00AA5181" w:rsidRDefault="008A1D5B" w:rsidP="008A1D5B">
      <w:pPr>
        <w:rPr>
          <w:rFonts w:hint="eastAsia"/>
        </w:rPr>
      </w:pPr>
      <w:r w:rsidRPr="00204021">
        <w:rPr>
          <w:rFonts w:hint="eastAsia"/>
        </w:rPr>
        <w:t xml:space="preserve"> </w:t>
      </w:r>
    </w:p>
    <w:p w14:paraId="0BAA53F3" w14:textId="23E9318C" w:rsidR="0021000E" w:rsidRPr="00AA5181" w:rsidRDefault="006D284F" w:rsidP="0021000E">
      <w:pPr>
        <w:rPr>
          <w:rFonts w:hint="eastAsia"/>
        </w:rPr>
      </w:pPr>
      <w:r w:rsidRPr="00AA5181">
        <w:t>The Welsh curriculum has both strengths and weaknesses that shape how effectively it supports student learning. One of its primary advantages is its personalisation and flexibility. Teachers can tailor the content and teaching methods to meet students' interests, developmental stages, and learning styles. This adaptability is particularly important for diverse classrooms, where students may have varying abilities and needs. By focusing on individual learning paths, the Welsh curriculum helps students remain engaged and develop at their own pace, making it more responsive than traditional, rigid curricula</w:t>
      </w:r>
      <w:r w:rsidRPr="00AA5181">
        <w:rPr>
          <w:rFonts w:ascii="MS Gothic" w:eastAsia="MS Gothic" w:hAnsi="MS Gothic" w:cs="MS Gothic" w:hint="eastAsia"/>
        </w:rPr>
        <w:t>​</w:t>
      </w:r>
      <w:r w:rsidR="0021000E" w:rsidRPr="00AA5181">
        <w:rPr>
          <w:rFonts w:hint="eastAsia"/>
        </w:rPr>
        <w:t>.</w:t>
      </w:r>
    </w:p>
    <w:p w14:paraId="73B8DB6D" w14:textId="06865FF4" w:rsidR="006D284F" w:rsidRPr="00AA5181" w:rsidRDefault="006D284F" w:rsidP="006D284F">
      <w:pPr>
        <w:rPr>
          <w:rFonts w:hint="eastAsia"/>
        </w:rPr>
      </w:pPr>
      <w:r w:rsidRPr="00AA5181">
        <w:t>Another strength of this system is its emphasis on hands-on practice and real-life applications. Students engage in experiential learning, which makes abstract concepts more tangible and relatable. By connecting theory to practice, students can develop strong problem-solving skills, which are vital for real-world success. This approach can also foster deeper understanding, as students are more likely to retain knowledge gained through practical experience than through rote memorisation</w:t>
      </w:r>
      <w:r w:rsidRPr="00AA5181">
        <w:rPr>
          <w:rFonts w:ascii="MS Gothic" w:eastAsia="MS Gothic" w:hAnsi="MS Gothic" w:cs="MS Gothic" w:hint="eastAsia"/>
        </w:rPr>
        <w:t>​</w:t>
      </w:r>
      <w:r w:rsidRPr="00AA5181">
        <w:t>.</w:t>
      </w:r>
    </w:p>
    <w:p w14:paraId="15C6D405" w14:textId="6EA44647" w:rsidR="006D284F" w:rsidRPr="00AA5181" w:rsidRDefault="006D284F" w:rsidP="006D284F">
      <w:pPr>
        <w:rPr>
          <w:rFonts w:hint="eastAsia"/>
        </w:rPr>
      </w:pPr>
      <w:r w:rsidRPr="00AA5181">
        <w:t xml:space="preserve">Furthermore, the Welsh curriculum encourages creativity and exploration by providing students the freedom to investigate new problems independently. This autonomy </w:t>
      </w:r>
      <w:r w:rsidRPr="00AA5181">
        <w:lastRenderedPageBreak/>
        <w:t>fosters curiosity and helps students take ownership of their learning. They are more likely to be proactive in seeking solutions, which can cultivate both critical thinking and innovation. Research supports the idea that creative exploration in education leads to more resilient and engaged learners</w:t>
      </w:r>
      <w:r w:rsidRPr="00AA5181">
        <w:rPr>
          <w:rFonts w:ascii="MS Gothic" w:eastAsia="MS Gothic" w:hAnsi="MS Gothic" w:cs="MS Gothic" w:hint="eastAsia"/>
        </w:rPr>
        <w:t>​</w:t>
      </w:r>
      <w:r w:rsidR="0021000E" w:rsidRPr="00AA5181">
        <w:rPr>
          <w:rFonts w:hint="eastAsia"/>
        </w:rPr>
        <w:t>.</w:t>
      </w:r>
    </w:p>
    <w:p w14:paraId="16A12C64" w14:textId="77777777" w:rsidR="000A1492" w:rsidRPr="00AA5181" w:rsidRDefault="006D284F" w:rsidP="006D284F">
      <w:pPr>
        <w:rPr>
          <w:rFonts w:hint="eastAsia"/>
        </w:rPr>
      </w:pPr>
      <w:r w:rsidRPr="00AA5181">
        <w:t>Additionally, the Welsh system promotes emotional and social skills development through teamwork and interactive activities. Collaborative learning not only reinforces academic content but also helps students build essential interpersonal skills, such as communication and empathy. These skills are increasingly recognised as critical for overall development and long-term success in various fields</w:t>
      </w:r>
      <w:r w:rsidRPr="00AA5181">
        <w:rPr>
          <w:rFonts w:ascii="MS Gothic" w:eastAsia="MS Gothic" w:hAnsi="MS Gothic" w:cs="MS Gothic" w:hint="eastAsia"/>
        </w:rPr>
        <w:t>​</w:t>
      </w:r>
      <w:r w:rsidR="000A1492" w:rsidRPr="00AA5181">
        <w:rPr>
          <w:rFonts w:hint="eastAsia"/>
        </w:rPr>
        <w:t xml:space="preserve">. </w:t>
      </w:r>
    </w:p>
    <w:p w14:paraId="4FDA12EE" w14:textId="69B5560D" w:rsidR="006D284F" w:rsidRPr="00AA5181" w:rsidRDefault="006D284F" w:rsidP="006D284F">
      <w:pPr>
        <w:rPr>
          <w:rFonts w:hint="eastAsia"/>
        </w:rPr>
      </w:pPr>
      <w:r w:rsidRPr="00AA5181">
        <w:t>However, the curriculum's lack of structure poses challenges, particularly in subjects like mathematics, where a systematic understanding is essential. Without clear objectives or detailed guidance, some students may struggle to keep pace, especially in areas that require cumulative knowledge. The flexibility that benefits some students can lead others to fall behind, as they may not receive the necessary foundation before progressing to more complex topics.</w:t>
      </w:r>
    </w:p>
    <w:p w14:paraId="6ED62AEA" w14:textId="32051EA4" w:rsidR="006D284F" w:rsidRPr="00AA5181" w:rsidRDefault="006D284F" w:rsidP="006D284F">
      <w:pPr>
        <w:rPr>
          <w:rFonts w:hint="eastAsia"/>
        </w:rPr>
      </w:pPr>
      <w:r w:rsidRPr="00AA5181">
        <w:t>Additionally, measuring learning outcomes within the Welsh system can be difficult. Because the curriculum emphasises the learning process rather than specific, measurable results, it may be challenging to gauge student progress consistently. This can create issues when attempting to assess knowledge acquisition or when comparing students across different schools or regions.</w:t>
      </w:r>
    </w:p>
    <w:p w14:paraId="47B1575C" w14:textId="5410695F" w:rsidR="006D284F" w:rsidRPr="00AA5181" w:rsidRDefault="006D284F" w:rsidP="00D43A91">
      <w:pPr>
        <w:rPr>
          <w:rFonts w:hint="eastAsia"/>
        </w:rPr>
      </w:pPr>
      <w:r w:rsidRPr="00AA5181">
        <w:t>Moreover, the Welsh curriculum places greater demands on teachers' experience and creativity. Teachers need to be flexible and inventive, designing various activities and adjusting their teaching based on student responses. This heightened responsibility can lead to inconsistencies in teaching quality, depending on the teacher's competence and resources</w:t>
      </w:r>
      <w:r w:rsidR="00D43A91" w:rsidRPr="00AA5181">
        <w:rPr>
          <w:rFonts w:ascii="MS Gothic" w:hAnsi="MS Gothic" w:cs="MS Gothic" w:hint="eastAsia"/>
        </w:rPr>
        <w:t>.</w:t>
      </w:r>
    </w:p>
    <w:p w14:paraId="30A99E46" w14:textId="21C1D04A" w:rsidR="006D284F" w:rsidRPr="00AA5181" w:rsidRDefault="006D284F" w:rsidP="00D43A91">
      <w:pPr>
        <w:rPr>
          <w:rFonts w:hint="eastAsia"/>
        </w:rPr>
      </w:pPr>
      <w:r w:rsidRPr="00AA5181">
        <w:t>By contrast, the English curriculum is well-regarded for its systematic structure. Its clear objectives and orderly progression allow students to gradually build up a solid foundation of knowledge. Each stage prepares students for the next, ensuring that they master essential skills before moving on to more advanced concepts. This incremental approach helps maintain academic rigor, particularly in fields such as mathematics, where mastering one concept is often a prerequisite for understanding the next</w:t>
      </w:r>
      <w:r w:rsidR="00D43A91" w:rsidRPr="00AA5181">
        <w:rPr>
          <w:rFonts w:ascii="MS Gothic" w:hAnsi="MS Gothic" w:cs="MS Gothic" w:hint="eastAsia"/>
        </w:rPr>
        <w:t>.</w:t>
      </w:r>
    </w:p>
    <w:p w14:paraId="40853AF8" w14:textId="7A2698E8" w:rsidR="006D284F" w:rsidRPr="00AA5181" w:rsidRDefault="006D284F" w:rsidP="00D43A91">
      <w:pPr>
        <w:rPr>
          <w:rFonts w:hint="eastAsia"/>
        </w:rPr>
      </w:pPr>
      <w:r w:rsidRPr="00AA5181">
        <w:t>Moreover, the measurability of learning outcomes is a strength of the English system. With well-defined objectives and assessment criteria, teachers can easily monitor students' progress and intervene if necessary. This consistency makes it easier to address learning gaps early and ensures that students meet educational standards</w:t>
      </w:r>
      <w:r w:rsidR="00D43A91" w:rsidRPr="00AA5181">
        <w:rPr>
          <w:rFonts w:ascii="MS Gothic" w:hAnsi="MS Gothic" w:cs="MS Gothic" w:hint="eastAsia"/>
        </w:rPr>
        <w:t>.</w:t>
      </w:r>
    </w:p>
    <w:p w14:paraId="203CEA14" w14:textId="77777777" w:rsidR="00D43A91" w:rsidRPr="00AA5181" w:rsidRDefault="006D284F" w:rsidP="00D43A91">
      <w:pPr>
        <w:rPr>
          <w:rFonts w:ascii="MS Gothic" w:hAnsi="MS Gothic" w:cs="MS Gothic" w:hint="eastAsia"/>
        </w:rPr>
      </w:pPr>
      <w:r w:rsidRPr="00AA5181">
        <w:lastRenderedPageBreak/>
        <w:t>However, the lack of flexibility in the English curriculum can be a significant drawback. The rigid structure and standardisation may not cater to the diverse learning needs of students, particularly those who require more personalised instruction. Consequently, students who fall behind may struggle to catch up, as the curriculum leaves little room for adjustments based on individual progress</w:t>
      </w:r>
      <w:r w:rsidR="00D43A91" w:rsidRPr="00AA5181">
        <w:rPr>
          <w:rFonts w:ascii="MS Gothic" w:hAnsi="MS Gothic" w:cs="MS Gothic" w:hint="eastAsia"/>
        </w:rPr>
        <w:t>.</w:t>
      </w:r>
    </w:p>
    <w:p w14:paraId="2E025C9B" w14:textId="50747F1A" w:rsidR="006D284F" w:rsidRPr="00AA5181" w:rsidRDefault="006D284F" w:rsidP="00D43A91">
      <w:pPr>
        <w:rPr>
          <w:rFonts w:hint="eastAsia"/>
        </w:rPr>
      </w:pPr>
      <w:r w:rsidRPr="00AA5181">
        <w:t>This approach may also limit creativity and initiative, as students are often required to follow a set path, with fewer opportunities for exploration and discovery. This rigidity may stifle students' creativity and reduce their engagement, particularly in subjects that benefit from more open-ended learning</w:t>
      </w:r>
      <w:r w:rsidR="0021000E" w:rsidRPr="00AA5181">
        <w:rPr>
          <w:rFonts w:hint="eastAsia"/>
        </w:rPr>
        <w:t>.</w:t>
      </w:r>
      <w:r w:rsidRPr="00AA5181">
        <w:rPr>
          <w:rFonts w:ascii="MS Gothic" w:eastAsia="MS Gothic" w:hAnsi="MS Gothic" w:cs="MS Gothic" w:hint="eastAsia"/>
        </w:rPr>
        <w:t>​</w:t>
      </w:r>
    </w:p>
    <w:p w14:paraId="5750E59F" w14:textId="05FB8171" w:rsidR="006D284F" w:rsidRPr="00AA5181" w:rsidRDefault="006D284F" w:rsidP="00D43A91">
      <w:pPr>
        <w:rPr>
          <w:rFonts w:hint="eastAsia"/>
        </w:rPr>
      </w:pPr>
      <w:r w:rsidRPr="00AA5181">
        <w:t>The stress of meeting explicit learning objectives and assessments is another concern in the English system. The emphasis on exams and measurable outcomes can create a high-pressure environment for students, potentially reducing their interest in learning and undermining their intrinsic motivation. This is particularly problematic in an exam-oriented system, where success is often measured by performance in standardised tests</w:t>
      </w:r>
      <w:r w:rsidR="00D43A91" w:rsidRPr="00AA5181">
        <w:rPr>
          <w:rFonts w:ascii="MS Gothic" w:hAnsi="MS Gothic" w:cs="MS Gothic" w:hint="eastAsia"/>
        </w:rPr>
        <w:t>.</w:t>
      </w:r>
    </w:p>
    <w:p w14:paraId="4CB37468" w14:textId="4D6440C0" w:rsidR="00F3248E" w:rsidRDefault="00FB2723" w:rsidP="00F3248E">
      <w:r w:rsidRPr="00AA5181">
        <w:rPr>
          <w:rFonts w:hint="eastAsia"/>
        </w:rPr>
        <w:t>Overall</w:t>
      </w:r>
      <w:r w:rsidR="006D284F" w:rsidRPr="00AA5181">
        <w:t>, the Welsh curriculum excels in fostering inquiry, creativity, and personalised learning, making it particularly suited to students who benefit from hands-on, exploratory learning environments. However, it may lack the systematic structure needed for subjects like mathematics, where a clear progression of knowledge is crucial. On the other hand, the English curriculum ensures a more consistent and measurable knowledge transfer but falls short in terms of flexibility and creative development. Ultimately, the best educational approach depends on the specific teaching and learning environment, as well as the goals for student development</w:t>
      </w:r>
      <w:r w:rsidR="00D43A91" w:rsidRPr="00AA5181">
        <w:rPr>
          <w:rFonts w:ascii="MS Gothic" w:hAnsi="MS Gothic" w:cs="MS Gothic" w:hint="eastAsia"/>
        </w:rPr>
        <w:t>.</w:t>
      </w:r>
    </w:p>
    <w:p w14:paraId="2C00CA7B" w14:textId="77777777" w:rsidR="00E82640" w:rsidRPr="00204021" w:rsidRDefault="00E82640" w:rsidP="00F3248E">
      <w:pPr>
        <w:rPr>
          <w:rFonts w:hint="eastAsia"/>
        </w:rPr>
      </w:pPr>
    </w:p>
    <w:p w14:paraId="1B859C51" w14:textId="21825056" w:rsidR="00F3248E" w:rsidRPr="00E82640" w:rsidRDefault="00F3248E" w:rsidP="00F3248E">
      <w:pPr>
        <w:rPr>
          <w:rFonts w:hint="eastAsia"/>
          <w:b/>
          <w:bCs/>
        </w:rPr>
      </w:pPr>
      <w:r w:rsidRPr="00E82640">
        <w:rPr>
          <w:b/>
          <w:bCs/>
        </w:rPr>
        <w:t xml:space="preserve"> </w:t>
      </w:r>
      <w:r w:rsidR="00E82640" w:rsidRPr="00E82640">
        <w:rPr>
          <w:rFonts w:hint="eastAsia"/>
          <w:b/>
          <w:bCs/>
        </w:rPr>
        <w:t>A micro comparison of curriculum between the two countries</w:t>
      </w:r>
    </w:p>
    <w:p w14:paraId="4AC48DAE" w14:textId="77777777" w:rsidR="0002305D" w:rsidRPr="00204021" w:rsidRDefault="0002305D" w:rsidP="0002305D">
      <w:pPr>
        <w:rPr>
          <w:rFonts w:hint="eastAsia"/>
        </w:rPr>
      </w:pPr>
      <w:r w:rsidRPr="00204021">
        <w:rPr>
          <w:rFonts w:hint="eastAsia"/>
        </w:rPr>
        <w:t xml:space="preserve">The stage equivalence between the two curricula is roughly as follows: Welsh progression step 1 and progression step 2 correspond to key stage 1 in England, as they both cover the early years of basic education. Welsh progression step 1 and progression step 2 correspond to key stage 1 in England because there is some overlap between the age groups in progression step 1 and progression step 2. This is because Curriculum for Wales adopts a flexible and continuous framework designed to guide education according to pupils' individual progress rather than strict age divisions. This overlap reflects the importance placed on the personalised learning needs of pupils in Wales and the flexibility and focus on pupils' individual learning needs within Curriculum for Wales. It ensures that pupils can progress their learning according to their progress rather than their age, providing a more adaptable educational </w:t>
      </w:r>
      <w:r w:rsidRPr="00204021">
        <w:rPr>
          <w:rFonts w:hint="eastAsia"/>
        </w:rPr>
        <w:lastRenderedPageBreak/>
        <w:t>experience.</w:t>
      </w:r>
    </w:p>
    <w:p w14:paraId="717C229A" w14:textId="77777777" w:rsidR="0002305D" w:rsidRPr="00204021" w:rsidRDefault="0002305D" w:rsidP="0002305D">
      <w:pPr>
        <w:rPr>
          <w:rFonts w:hint="eastAsia"/>
        </w:rPr>
      </w:pPr>
      <w:r w:rsidRPr="00204021">
        <w:rPr>
          <w:rFonts w:hint="eastAsia"/>
        </w:rPr>
        <w:t>Progression step 3 corresponds to key stage 2 in England, which focuses on academic learning and the development of foundation skills in the later stages of primary school. progression step 4 corresponds to key stage 3 in England, which is the transition from primary to secondary school and emphasises an increase in academic depth. progression step 5 corresponds to key stage 3 in England, which emphasises an increase in academic depth. progression step 6 corresponds to key stage 7 in England. corresponds to key stage 4 in England, which is the stage where students prepare for GCSEs or equivalent exams.</w:t>
      </w:r>
    </w:p>
    <w:p w14:paraId="42485858" w14:textId="77777777" w:rsidR="0002305D" w:rsidRPr="00204021" w:rsidRDefault="0002305D" w:rsidP="0002305D">
      <w:pPr>
        <w:rPr>
          <w:rFonts w:hint="eastAsia"/>
        </w:rPr>
      </w:pPr>
      <w:r w:rsidRPr="00204021">
        <w:t xml:space="preserve"> </w:t>
      </w:r>
    </w:p>
    <w:p w14:paraId="6C71FF1C" w14:textId="77777777" w:rsidR="0002305D" w:rsidRPr="00204021" w:rsidRDefault="0002305D" w:rsidP="0002305D">
      <w:pPr>
        <w:rPr>
          <w:rFonts w:hint="eastAsia"/>
        </w:rPr>
      </w:pPr>
      <w:r w:rsidRPr="00204021">
        <w:rPr>
          <w:rFonts w:hint="eastAsia"/>
        </w:rPr>
        <w:t>progression step 1 in Wales and key stage 1 in England are both the first step for students.</w:t>
      </w:r>
    </w:p>
    <w:p w14:paraId="76B98C18" w14:textId="77777777" w:rsidR="00286555" w:rsidRPr="00204021" w:rsidRDefault="0002305D" w:rsidP="00286555">
      <w:pPr>
        <w:rPr>
          <w:rFonts w:hint="eastAsia"/>
        </w:rPr>
      </w:pPr>
      <w:r w:rsidRPr="00204021">
        <w:rPr>
          <w:rFonts w:hint="eastAsia"/>
        </w:rPr>
        <w:t xml:space="preserve">The curricula for step 1 mathematics both aim to develop foundational mathematical skills in young learners, but they approach this goal with some differences in emphasis and math language. </w:t>
      </w:r>
    </w:p>
    <w:p w14:paraId="452DA014" w14:textId="49AFC230" w:rsidR="00286555" w:rsidRPr="00475693" w:rsidRDefault="00286555" w:rsidP="00286555">
      <w:pPr>
        <w:rPr>
          <w:rFonts w:hint="eastAsia"/>
        </w:rPr>
      </w:pPr>
      <w:r w:rsidRPr="00475693">
        <w:t>The English curriculum is characterized by its highly structured and detailed approach, which systematically breaks down mathematical concepts into clear objectives and sub-objectives. This specificity ensures that students progressively build on their knowledge, with guidance on exact skills such as counting in steps of 2, 5, and 10, identifying place value, and using number bonds. By offering both statutory and non-statutory guidance, the curriculum ensures that learning is consistent across various schools. In contrast, the Welsh curriculum adopts a more narrative and experiential approach, focusing on children's exploration of numbers in practical contexts. This approach emphasizes a multisensory learning experience, where mathematical language is used in everyday situations, and understanding is developed through real-life application rather than explicit, prescriptive steps.</w:t>
      </w:r>
    </w:p>
    <w:p w14:paraId="026308FE" w14:textId="77777777" w:rsidR="00286555" w:rsidRPr="00475693" w:rsidRDefault="00286555" w:rsidP="00286555">
      <w:pPr>
        <w:rPr>
          <w:rFonts w:hint="eastAsia"/>
        </w:rPr>
      </w:pPr>
      <w:r w:rsidRPr="00475693">
        <w:t>In Wales, the curriculum design prioritizes learning through experience, allowing pupils to grasp concepts through hands-on activities, games, and real-life scenarios. Teachers can tailor lessons based on students' interests and developmental stages, making the curriculum flexible and adaptable. However, this flexibility, while beneficial in encouraging exploration, can sometimes lead to inconsistencies in knowledge</w:t>
      </w:r>
      <w:r w:rsidRPr="00475693">
        <w:rPr>
          <w:b/>
          <w:bCs/>
        </w:rPr>
        <w:t xml:space="preserve"> </w:t>
      </w:r>
      <w:r w:rsidRPr="00475693">
        <w:t>acquisition, especially in subjects that require systematic progression, like mathematics. By comparison, the English system's structured design provides a clearer, step-by-step process for learning, which ensures systematic acquisition of mathematical knowledge. This approach builds a solid foundation, with each step preparing students for the next, ensuring cumulative skill development.</w:t>
      </w:r>
    </w:p>
    <w:p w14:paraId="2C5CB711" w14:textId="77777777" w:rsidR="00286555" w:rsidRPr="00475693" w:rsidRDefault="00286555" w:rsidP="00286555">
      <w:pPr>
        <w:rPr>
          <w:rFonts w:hint="eastAsia"/>
        </w:rPr>
      </w:pPr>
      <w:r w:rsidRPr="00475693">
        <w:lastRenderedPageBreak/>
        <w:t>When it comes to practical experience, both curricula have differing emphases. In England, the balance between practical experiences and abstract concepts is maintained, but with a strong focus on specific skills such as reading, writing, and interpreting numbers and operations, alongside solving structured problems. In contrast, Wales places a heavier emphasis on exploratory learning, allowing children to interact with numbers in varied settings like indoor, outdoor, and play environments. This focus on sensory experiences, such as writing numbers with different media or understanding quantity through touch, fosters an intuitive grasp of mathematical concepts.</w:t>
      </w:r>
    </w:p>
    <w:p w14:paraId="7BE7C2E5" w14:textId="77777777" w:rsidR="00286555" w:rsidRPr="00475693" w:rsidRDefault="00286555" w:rsidP="00286555">
      <w:pPr>
        <w:rPr>
          <w:rFonts w:hint="eastAsia"/>
        </w:rPr>
      </w:pPr>
      <w:r w:rsidRPr="00475693">
        <w:t xml:space="preserve">In terms of language and conceptual understanding, the English curriculum introduces formal mathematical language early on. Students learn terms such as "more than," "less than," and symbols like +, </w:t>
      </w:r>
      <w:r w:rsidRPr="00475693">
        <w:rPr>
          <w:rFonts w:ascii="微软雅黑" w:eastAsia="微软雅黑" w:hAnsi="微软雅黑" w:cs="微软雅黑" w:hint="eastAsia"/>
        </w:rPr>
        <w:t>−</w:t>
      </w:r>
      <w:r w:rsidRPr="00475693">
        <w:t>, =, and are introduced to place value and the commutative properties of addition from a young age. On the other hand, Wales encourages the use of mathematical language within broader, everyday contexts, focusing on estimation, comparisons, and understanding quantities. The language is less formal, promoting understanding through experience rather than purely abstract reasoning. This difference highlights the contrasting pedagogical approaches: while England builds a foundation of formal mathematical knowledge early on, Wales promotes an experiential learning model where formal language may be introduced more naturally through real-world applications.</w:t>
      </w:r>
    </w:p>
    <w:p w14:paraId="052CB31F" w14:textId="77777777" w:rsidR="00286555" w:rsidRPr="00475693" w:rsidRDefault="00286555" w:rsidP="00286555">
      <w:pPr>
        <w:rPr>
          <w:rFonts w:hint="eastAsia"/>
        </w:rPr>
      </w:pPr>
      <w:r w:rsidRPr="00475693">
        <w:t>In terms of numbers and counting, England emphasizes counting to and across 100 and counting in multiples (2s, 5s, 10s), alongside formal addition, subtraction, multiplication, and division. This structured approach introduces abstract mathematical thinking early, pushing pupils to apply skills from an early stage. Wales, however, focuses on pupils' experience with the counting sequence, emphasizing one-to-one correspondence for counting sets reliably. Instead of focusing on specific numerical milestones, the Welsh curriculum highlights making sense of numbers through grouping, sharing, and forming quantities in various ways. This reflects a more exploratory approach, where pupils' understanding of basic number concepts evolves through practical experiences rather than specific benchmarks.</w:t>
      </w:r>
    </w:p>
    <w:p w14:paraId="1EE05D58" w14:textId="77777777" w:rsidR="00286555" w:rsidRPr="00475693" w:rsidRDefault="00286555" w:rsidP="00286555">
      <w:pPr>
        <w:rPr>
          <w:rFonts w:hint="eastAsia"/>
        </w:rPr>
      </w:pPr>
      <w:r w:rsidRPr="00475693">
        <w:t xml:space="preserve">Money and real-life application also differ significantly between the two curricula. England incorporates specific objectives for recognizing and using coins and notes, understanding their value, and solving monetary problems in practical contexts. In Wales, money is introduced more contextually and experientially, focusing on exchange concepts through play and real-life situations, rather than explicit calculations. The philosophical distinction here is notable: Wales views money within the number system, </w:t>
      </w:r>
      <w:r w:rsidRPr="00475693">
        <w:lastRenderedPageBreak/>
        <w:t>emphasizing conceptual understanding of quantity and value before moving into calculations. In England, money is categorized under Measurement, aligning it more directly with solving real-world problems, reflecting a stronger emphasis on practical skills from an early stage.</w:t>
      </w:r>
    </w:p>
    <w:p w14:paraId="2069AB79" w14:textId="77777777" w:rsidR="00286555" w:rsidRPr="00475693" w:rsidRDefault="00286555" w:rsidP="00286555">
      <w:pPr>
        <w:rPr>
          <w:rFonts w:hint="eastAsia"/>
        </w:rPr>
      </w:pPr>
      <w:r w:rsidRPr="00475693">
        <w:t>Finally, regarding flexibility and pedagogy, the English curriculum is prescriptive, ensuring all necessary skills are systematically covered with detailed steps for teachers. This structure guarantees consistency in teaching across schools. By contrast, the Welsh curriculum allows for greater flexibility, enabling teachers to adapt learning experiences based on students' developmental stages and interests. This flexibility fosters a more holistic and integrated approach to learning mathematics, but it also raises challenges regarding the uniformity of learning outcomes and assessment.</w:t>
      </w:r>
    </w:p>
    <w:p w14:paraId="10E404C5" w14:textId="2A7AD697" w:rsidR="00286555" w:rsidRPr="00475693" w:rsidRDefault="002717A4" w:rsidP="00286555">
      <w:pPr>
        <w:rPr>
          <w:rFonts w:hint="eastAsia"/>
        </w:rPr>
      </w:pPr>
      <w:r w:rsidRPr="00475693">
        <w:rPr>
          <w:rFonts w:hint="eastAsia"/>
        </w:rPr>
        <w:t>Overall</w:t>
      </w:r>
      <w:r w:rsidR="00286555" w:rsidRPr="00475693">
        <w:t>, the English curriculum provides a structured, systematic method for learning mathematics, ensuring students build progressively towards more complex concepts. The Welsh curriculum, while more flexible and experience-based, promotes a holistic understanding of mathematics through real-life applications and multisensory learning, but it may lack the rigorous progression found in England’s curriculum. These differences reflect broader educational philosophies, with England focusing on structured knowledge acquisition and Wales emphasizing experiential, context-driven learning</w:t>
      </w:r>
      <w:r w:rsidRPr="00475693">
        <w:rPr>
          <w:rFonts w:hint="eastAsia"/>
        </w:rPr>
        <w:t>.</w:t>
      </w:r>
    </w:p>
    <w:p w14:paraId="6BD9A166" w14:textId="08E038EE" w:rsidR="002717A4" w:rsidRPr="00475693" w:rsidRDefault="004326B3" w:rsidP="00286555">
      <w:pPr>
        <w:rPr>
          <w:rFonts w:hint="eastAsia"/>
        </w:rPr>
      </w:pPr>
      <w:r w:rsidRPr="00475693">
        <w:t>Having explored the differences between the foundational stages of education in Wales and England, it becomes clear that the educational philosophies of the two countries diverge from the start, with England favourin</w:t>
      </w:r>
      <w:r w:rsidRPr="00475693">
        <w:rPr>
          <w:rFonts w:hint="eastAsia"/>
        </w:rPr>
        <w:t>g</w:t>
      </w:r>
      <w:r w:rsidRPr="00475693">
        <w:t xml:space="preserve"> a more structured and detailed approach, while Wales emphasizes flexibility and experiential learning. These distinctions carry through the middle stages of both curricula, where students continue to develop their mathematical understanding, but the approaches remain consistent. As students</w:t>
      </w:r>
      <w:proofErr w:type="gramStart"/>
      <w:r w:rsidRPr="00475693">
        <w:rPr>
          <w:rFonts w:hint="eastAsia"/>
        </w:rPr>
        <w:t>’</w:t>
      </w:r>
      <w:proofErr w:type="gramEnd"/>
      <w:r w:rsidRPr="00475693">
        <w:t xml:space="preserve"> progress into the later stages—Key Stage 4 in England and Progression Steps 4 and 5 in Wales—these contrasting approaches become even more pronounced, especially as academic demands increase, and the focus shifts towards preparing students for the next phase of their education.</w:t>
      </w:r>
    </w:p>
    <w:p w14:paraId="09E3CB71" w14:textId="77777777" w:rsidR="009712F6" w:rsidRPr="00204021" w:rsidRDefault="0002305D" w:rsidP="009712F6">
      <w:pPr>
        <w:rPr>
          <w:rFonts w:hint="eastAsia"/>
        </w:rPr>
      </w:pPr>
      <w:r w:rsidRPr="00204021">
        <w:t xml:space="preserve"> </w:t>
      </w:r>
      <w:r w:rsidR="009712F6" w:rsidRPr="00204021">
        <w:t xml:space="preserve">When comparing Key Stage 4 in England and Progression Steps 4 and 5 in Wales, the differences in educational focus and structure become more apparent. Key Stage 4 Number Systems in England features more structured and in-depth content, primarily designed to prepare students for GCSE exams. During this stage, students must master complex number concepts such as exponents, roots, and scientific notation. The teaching of number systems in England is focused on systematisation and standardisation, with a strong emphasis on mastering the rules and logic of number </w:t>
      </w:r>
      <w:r w:rsidR="009712F6" w:rsidRPr="00204021">
        <w:lastRenderedPageBreak/>
        <w:t>calculations, particularly in areas like algebra and geometry.</w:t>
      </w:r>
    </w:p>
    <w:p w14:paraId="03006A72" w14:textId="77777777" w:rsidR="009712F6" w:rsidRPr="00204021" w:rsidRDefault="009712F6" w:rsidP="009712F6">
      <w:pPr>
        <w:rPr>
          <w:rFonts w:hint="eastAsia"/>
        </w:rPr>
      </w:pPr>
      <w:r w:rsidRPr="00204021">
        <w:t>In contrast, Progression Step 4 in Wales covers similar content in number systems but places more emphasis on students' understanding and application of these concepts within a flexible curriculum. Unlike England, where there is significant exam pressure, the Welsh approach prioritizes conceptual understanding and real-world application without the need for high-stakes assessments. Welsh students are encouraged to solve practical problems and engage in cross-curricular tasks that integrate number system knowledge, leading to a more exploratory and applied learning experience.</w:t>
      </w:r>
    </w:p>
    <w:p w14:paraId="42005A53" w14:textId="77777777" w:rsidR="009712F6" w:rsidRPr="00204021" w:rsidRDefault="009712F6" w:rsidP="009712F6">
      <w:pPr>
        <w:rPr>
          <w:rFonts w:hint="eastAsia"/>
        </w:rPr>
      </w:pPr>
      <w:r w:rsidRPr="00204021">
        <w:t>Progression Step 5, while targeting students of a similar age as Key Stage 4 in England, differs in its educational focus. Rooted in the "2022 Welsh Curriculum," this step emphasizes comprehensive student development, encompassing academics, practical skills, and experiences. The core objective is to cultivate lifelong learning abilities, social responsibility, and practical skills, rather than concentrating solely on exam performance. This holistic approach ensures that Welsh students are prepared for a broad range of future pathways, whether academic or non-academic.</w:t>
      </w:r>
    </w:p>
    <w:p w14:paraId="2F3B3AC9" w14:textId="229603DD" w:rsidR="0002305D" w:rsidRPr="00204021" w:rsidRDefault="0002305D" w:rsidP="00286555">
      <w:pPr>
        <w:rPr>
          <w:rFonts w:hint="eastAsia"/>
        </w:rPr>
      </w:pPr>
    </w:p>
    <w:p w14:paraId="138B55F0" w14:textId="77777777" w:rsidR="009712F6" w:rsidRPr="00204021" w:rsidRDefault="009712F6" w:rsidP="00286555">
      <w:pPr>
        <w:rPr>
          <w:rFonts w:hint="eastAsia"/>
        </w:rPr>
      </w:pPr>
    </w:p>
    <w:p w14:paraId="595DCE1F" w14:textId="77777777" w:rsidR="009712F6" w:rsidRPr="00204021" w:rsidRDefault="009712F6" w:rsidP="00286555">
      <w:pPr>
        <w:rPr>
          <w:rFonts w:hint="eastAsia"/>
        </w:rPr>
      </w:pPr>
    </w:p>
    <w:p w14:paraId="277872D1" w14:textId="77777777" w:rsidR="009712F6" w:rsidRPr="00204021" w:rsidRDefault="009712F6" w:rsidP="00286555">
      <w:pPr>
        <w:rPr>
          <w:rFonts w:hint="eastAsia"/>
        </w:rPr>
      </w:pPr>
    </w:p>
    <w:p w14:paraId="7DF1ED4A" w14:textId="77777777" w:rsidR="009712F6" w:rsidRPr="00204021" w:rsidRDefault="009712F6" w:rsidP="00286555">
      <w:pPr>
        <w:rPr>
          <w:rFonts w:hint="eastAsia"/>
        </w:rPr>
      </w:pPr>
    </w:p>
    <w:p w14:paraId="0C26DD56" w14:textId="6F5B4B2C" w:rsidR="00232B6C" w:rsidRPr="00204021" w:rsidRDefault="006D4D99">
      <w:pPr>
        <w:rPr>
          <w:rFonts w:hint="eastAsia"/>
        </w:rPr>
      </w:pPr>
      <w:r w:rsidRPr="00204021">
        <w:t xml:space="preserve">At a macro level, the design of the mathematics curriculum in both countries reflects their different understandings of educational structures, goals, and methods. However, these differences are not only evident in the overall framework but also in the specific teaching content and requirements. To better understand how these differences manifest in actual teaching, the following section will compare the specific requirements for teaching "fractions and equivalent fractions" in Wales and England from a micro perspective. By </w:t>
      </w:r>
      <w:r w:rsidR="009043AC" w:rsidRPr="00204021">
        <w:t>analysing</w:t>
      </w:r>
      <w:r w:rsidRPr="00204021">
        <w:t xml:space="preserve"> the teaching methods and requirements for this </w:t>
      </w:r>
      <w:r w:rsidR="009C22FE" w:rsidRPr="00204021">
        <w:t>content</w:t>
      </w:r>
      <w:r w:rsidRPr="00204021">
        <w:t>, it becomes clearer how the curriculum designs of both countries reflect their differing emphases on mathematical concepts.</w:t>
      </w:r>
    </w:p>
    <w:p w14:paraId="593A4C5B" w14:textId="77777777" w:rsidR="009C22FE" w:rsidRPr="00204021" w:rsidRDefault="009C22FE" w:rsidP="009C22FE">
      <w:pPr>
        <w:rPr>
          <w:rFonts w:hint="eastAsia"/>
        </w:rPr>
      </w:pPr>
      <w:r w:rsidRPr="00204021">
        <w:t xml:space="preserve">In Wales, students are only required to explore and understand equivalent fractions in Step 2. From Step 2 to Step 5, there is no further mention of equivalent fractions. The statement in the Welsh curriculum suggests that students should have explored equivalent fractions and understood the relationships between them. The emphasis here is on conceptual understanding, focusing on internalization of the idea rather than </w:t>
      </w:r>
      <w:r w:rsidRPr="00204021">
        <w:lastRenderedPageBreak/>
        <w:t>demonstrating operational skills. This approach prioritizes mental comprehension, possibly without involving specific operations or demonstrations, but rather conceptual mastery.</w:t>
      </w:r>
    </w:p>
    <w:p w14:paraId="2C902A95" w14:textId="77777777" w:rsidR="009C22FE" w:rsidRPr="00204021" w:rsidRDefault="009C22FE" w:rsidP="009C22FE">
      <w:pPr>
        <w:rPr>
          <w:rFonts w:hint="eastAsia"/>
        </w:rPr>
      </w:pPr>
      <w:r w:rsidRPr="00204021">
        <w:t>In contrast, England provides several specific requirements for equivalent fractions in Key Stage 2, dividing the topic into yearly discussions. In Year 3, the first year of Key Stage 2, students are required not only to identify equivalent fractions but also to demonstrate their equivalence using visual tools, such as fraction bars and pie charts, especially focusing on common groups of equivalent fractions. This requirement places more emphasis on operational skills and ensures students illustrate their understanding with graphical tools. By Year 4, the second year of Key Stage 2, the curriculum demands a more general understanding of equivalent fractions, requiring higher levels of abstract thinking and logical reasoning. While Wales provides a more flexible and generalized framework for knowledge acquisition, England's requirements are clearer and more detailed, explaining how students should achieve understanding of equivalent fractions step by step. This progressive approach continues into Years 5 and 6, where the curriculum further details the expected content mastery.</w:t>
      </w:r>
    </w:p>
    <w:p w14:paraId="24089B9A" w14:textId="77777777" w:rsidR="009C22FE" w:rsidRPr="00204021" w:rsidRDefault="009C22FE">
      <w:pPr>
        <w:rPr>
          <w:rFonts w:hint="eastAsia"/>
        </w:rPr>
      </w:pPr>
    </w:p>
    <w:p w14:paraId="45CF0F4B" w14:textId="77777777" w:rsidR="00041C47" w:rsidRPr="00204021" w:rsidRDefault="00041C47">
      <w:pPr>
        <w:rPr>
          <w:rFonts w:hint="eastAsia"/>
        </w:rPr>
      </w:pPr>
    </w:p>
    <w:p w14:paraId="4ACBF0D6" w14:textId="77777777" w:rsidR="00041C47" w:rsidRPr="00204021" w:rsidRDefault="00041C47" w:rsidP="00041C47">
      <w:pPr>
        <w:rPr>
          <w:rFonts w:hint="eastAsia"/>
        </w:rPr>
      </w:pPr>
      <w:r w:rsidRPr="00204021">
        <w:rPr>
          <w:b/>
          <w:bCs/>
        </w:rPr>
        <w:t xml:space="preserve">These differences can correspond to the structural differences </w:t>
      </w:r>
      <w:proofErr w:type="spellStart"/>
      <w:r w:rsidRPr="00204021">
        <w:rPr>
          <w:b/>
          <w:bCs/>
        </w:rPr>
        <w:t>analyzed</w:t>
      </w:r>
      <w:proofErr w:type="spellEnd"/>
      <w:r w:rsidRPr="00204021">
        <w:rPr>
          <w:b/>
          <w:bCs/>
        </w:rPr>
        <w:t xml:space="preserve"> earlier.</w:t>
      </w:r>
    </w:p>
    <w:p w14:paraId="0CE31AFC" w14:textId="77777777" w:rsidR="00041C47" w:rsidRPr="00204021" w:rsidRDefault="00041C47" w:rsidP="00041C47">
      <w:pPr>
        <w:rPr>
          <w:rFonts w:hint="eastAsia"/>
        </w:rPr>
      </w:pPr>
      <w:r w:rsidRPr="00204021">
        <w:t>First, the differences in curriculum structure and framework are reflective of the broader philosophical distinctions between the two systems. As mentioned earlier, England's curriculum design philosophy leans towards standardization and precise progress control. The core of this approach is to set clear learning objectives and specific assessment standards for each year group, ensuring that students systematically master the key knowledge year by year. This approach allows for clear tracking of student progress and ensures that the curriculum content is coherent and progressive across different year levels, providing teachers with clear guidelines and plans for instruction.</w:t>
      </w:r>
    </w:p>
    <w:p w14:paraId="7F8EF5D5" w14:textId="77777777" w:rsidR="00041C47" w:rsidRPr="00204021" w:rsidRDefault="00041C47" w:rsidP="00041C47">
      <w:pPr>
        <w:rPr>
          <w:rFonts w:hint="eastAsia"/>
        </w:rPr>
      </w:pPr>
      <w:r w:rsidRPr="00204021">
        <w:t xml:space="preserve">In contrast, </w:t>
      </w:r>
      <w:proofErr w:type="spellStart"/>
      <w:r w:rsidRPr="00204021">
        <w:t>Wales’</w:t>
      </w:r>
      <w:proofErr w:type="spellEnd"/>
      <w:r w:rsidRPr="00204021">
        <w:t xml:space="preserve"> curriculum is based on the new Curriculum for Wales framework, which emphasizes holistic development and cross-disciplinary learning. The core idea of this framework is that students should gradually develop skills over a wider timeframe, rather than being assessed through standardized evaluations every year. The goal of mathematics education in Wales is to help students develop comprehensively over a longer period (such as through Progression Steps). As a result, </w:t>
      </w:r>
      <w:proofErr w:type="spellStart"/>
      <w:r w:rsidRPr="00204021">
        <w:t>Wales’</w:t>
      </w:r>
      <w:proofErr w:type="spellEnd"/>
      <w:r w:rsidRPr="00204021">
        <w:t xml:space="preserve"> curriculum requirements tend to be more flexible and generalized, focusing on the application of mathematical concepts in various contexts and promoting a broad understanding of these concepts, rather than specifying detailed annual requirements.</w:t>
      </w:r>
    </w:p>
    <w:p w14:paraId="2A79E6BD" w14:textId="77777777" w:rsidR="00041C47" w:rsidRPr="00204021" w:rsidRDefault="00041C47" w:rsidP="00041C47">
      <w:pPr>
        <w:rPr>
          <w:rFonts w:hint="eastAsia"/>
        </w:rPr>
      </w:pPr>
      <w:r w:rsidRPr="00204021">
        <w:lastRenderedPageBreak/>
        <w:t xml:space="preserve">England's curriculum design focuses more on the systematic accumulation of knowledge, ensuring student progress through the clear establishment of yearly learning objectives. Meanwhile, </w:t>
      </w:r>
      <w:proofErr w:type="spellStart"/>
      <w:r w:rsidRPr="00204021">
        <w:t>Wales'</w:t>
      </w:r>
      <w:proofErr w:type="spellEnd"/>
      <w:r w:rsidRPr="00204021">
        <w:t xml:space="preserve"> curriculum is more </w:t>
      </w:r>
      <w:proofErr w:type="spellStart"/>
      <w:r w:rsidRPr="00204021">
        <w:t>centered</w:t>
      </w:r>
      <w:proofErr w:type="spellEnd"/>
      <w:r w:rsidRPr="00204021">
        <w:t xml:space="preserve"> around flexibility and autonomy, allowing schools and teachers to adjust the teaching content according to students' progress. Although equivalent fractions are mentioned in Progression Step 2, teachers have greater autonomy to decide the pace and depth of instruction within this step. The curriculum reform in Wales aims to enable students to deepen their understanding of concepts over a longer period, rather than setting fixed yearly milestones. This design encourages teachers to adjust the teaching pace according to students' actual comprehension levels, rather than adhering to a uniform grade-level standard.</w:t>
      </w:r>
    </w:p>
    <w:p w14:paraId="64F73EA1" w14:textId="77777777" w:rsidR="00041C47" w:rsidRPr="00204021" w:rsidRDefault="00041C47">
      <w:pPr>
        <w:rPr>
          <w:rFonts w:hint="eastAsia"/>
        </w:rPr>
      </w:pPr>
    </w:p>
    <w:p w14:paraId="6D189A47" w14:textId="26258E2E" w:rsidR="004E4C48" w:rsidRPr="00204021" w:rsidRDefault="004E4C48">
      <w:pPr>
        <w:rPr>
          <w:rFonts w:hint="eastAsia"/>
        </w:rPr>
      </w:pPr>
      <w:r w:rsidRPr="00204021">
        <w:rPr>
          <w:rFonts w:hint="eastAsia"/>
        </w:rPr>
        <w:t xml:space="preserve">In the England National Curriculum, the concept of equivalent fractions is mainly taught during Key Stage 2, which is consistent with the basic number theory and fraction concepts that students need to master at this stage. In Key Stage 3 and beyond, the focus of the curriculum shifts to more complex mathematical areas such as algebra, geometry, probability and statistics. This may be because equivalent fractions are a basic skill that is expected to have been mastered in Key Stage 2, and the teaching content in subsequent stages is more focused on applying </w:t>
      </w:r>
      <w:r w:rsidRPr="00204021">
        <w:t>this basic knowledge</w:t>
      </w:r>
      <w:r w:rsidRPr="00204021">
        <w:rPr>
          <w:rFonts w:hint="eastAsia"/>
        </w:rPr>
        <w:t xml:space="preserve"> to more advanced mathematical problems.</w:t>
      </w:r>
    </w:p>
    <w:p w14:paraId="7BB27AF9" w14:textId="77777777" w:rsidR="004E4C48" w:rsidRPr="00204021" w:rsidRDefault="004E4C48">
      <w:pPr>
        <w:rPr>
          <w:rFonts w:hint="eastAsia"/>
        </w:rPr>
      </w:pPr>
    </w:p>
    <w:p w14:paraId="6320297D" w14:textId="77777777" w:rsidR="009033D1" w:rsidRPr="00204021" w:rsidRDefault="009033D1">
      <w:pPr>
        <w:rPr>
          <w:rFonts w:hint="eastAsia"/>
        </w:rPr>
      </w:pPr>
    </w:p>
    <w:p w14:paraId="2EF3783E" w14:textId="77777777" w:rsidR="00A109F3" w:rsidRPr="00204021" w:rsidRDefault="00A109F3">
      <w:pPr>
        <w:rPr>
          <w:rFonts w:hint="eastAsia"/>
        </w:rPr>
      </w:pPr>
    </w:p>
    <w:p w14:paraId="5EE8FCD8" w14:textId="77777777" w:rsidR="00A109F3" w:rsidRPr="00204021" w:rsidRDefault="00A109F3">
      <w:pPr>
        <w:rPr>
          <w:rFonts w:hint="eastAsia"/>
        </w:rPr>
      </w:pPr>
    </w:p>
    <w:p w14:paraId="65099D7E" w14:textId="06CF3659" w:rsidR="00550B22" w:rsidRPr="00204021" w:rsidRDefault="00A109F3">
      <w:pPr>
        <w:rPr>
          <w:rFonts w:hint="eastAsia"/>
        </w:rPr>
      </w:pPr>
      <w:r w:rsidRPr="00204021">
        <w:t>In England’s mathematics curriculum, the study of equivalent fractions is primarily concentrated in Key Stage 2. Once students have developed a solid understanding of this concept, the curriculum gradually shifts toward more complex mathematical ideas. Equivalent fractions are part of the fundamental number and fraction knowledge base, and by the time students reach Key Stage 3, the assumption is that they have already mastered this concept. Therefore, the focus moves towards more advanced fractional operations, such as simplifying algebraic fractions and applying fractions in real-world contexts like ratios and proportions. This shift reflects the cumulative learning model in England’s curriculum, where foundational knowledge, once acquired, is applied to more complex problems without needing to reintroduce basic concepts explicitly.</w:t>
      </w:r>
    </w:p>
    <w:p w14:paraId="52FE4F35" w14:textId="64DBD7EE" w:rsidR="009033D1" w:rsidRPr="00204021" w:rsidRDefault="00312BD0">
      <w:pPr>
        <w:rPr>
          <w:rFonts w:hint="eastAsia"/>
        </w:rPr>
      </w:pPr>
      <w:r w:rsidRPr="00204021">
        <w:t xml:space="preserve">Although the Key Stage 3 curriculum does not explicitly mention equivalent fractions, </w:t>
      </w:r>
      <w:r w:rsidRPr="00204021">
        <w:lastRenderedPageBreak/>
        <w:t>the concept is implicitly integrated into more advanced mathematical operations. For instance, when simplifying algebraic fractions or solving equations, students are utilizing the principles of equivalent fractions.</w:t>
      </w:r>
      <w:r w:rsidRPr="00204021">
        <w:rPr>
          <w:rFonts w:hint="eastAsia"/>
        </w:rPr>
        <w:t xml:space="preserve"> </w:t>
      </w:r>
      <w:r w:rsidR="00347894" w:rsidRPr="00204021">
        <w:rPr>
          <w:rFonts w:hint="eastAsia"/>
        </w:rPr>
        <w:t>This reflects the educational philosophy of England</w:t>
      </w:r>
      <w:r w:rsidR="00817F9D" w:rsidRPr="00204021">
        <w:rPr>
          <w:rFonts w:hint="eastAsia"/>
        </w:rPr>
        <w:t xml:space="preserve">; </w:t>
      </w:r>
      <w:r w:rsidR="00550B22" w:rsidRPr="00204021">
        <w:rPr>
          <w:rFonts w:hint="eastAsia"/>
        </w:rPr>
        <w:t>The curriculum in England allows students to repeatedly apply the basic knowledge learned in the early stages in subsequent learning, and the applicability and flexibility of knowledge gradually deepens as students grow.</w:t>
      </w:r>
      <w:r w:rsidR="00D67564" w:rsidRPr="00204021">
        <w:rPr>
          <w:rFonts w:hint="eastAsia"/>
        </w:rPr>
        <w:t xml:space="preserve"> </w:t>
      </w:r>
      <w:r w:rsidR="00D67564" w:rsidRPr="00204021">
        <w:t>As such, the curriculum no longer needs to separately emphasize the operational use of equivalent fractions in later stages, as it assumes students are already proficient in applying these concepts.</w:t>
      </w:r>
    </w:p>
    <w:p w14:paraId="17C01AAD" w14:textId="1EB61465" w:rsidR="00697856" w:rsidRPr="00204021" w:rsidRDefault="00883F57">
      <w:pPr>
        <w:rPr>
          <w:rFonts w:hint="eastAsia"/>
        </w:rPr>
      </w:pPr>
      <w:r w:rsidRPr="00204021">
        <w:t xml:space="preserve">In the Welsh mathematics curriculum, the concept of </w:t>
      </w:r>
      <w:r w:rsidRPr="00204021">
        <w:rPr>
          <w:b/>
          <w:bCs/>
        </w:rPr>
        <w:t>equivalent fractions</w:t>
      </w:r>
      <w:r w:rsidRPr="00204021">
        <w:t xml:space="preserve"> is not explicitly mentioned after Progression Step 2; however, this does not imply that its learning ceases. On the contrary, it is more comprehensively integrated into other mathematical concepts and deepened in various ways at higher levels.</w:t>
      </w:r>
    </w:p>
    <w:p w14:paraId="21FD96E8" w14:textId="77777777" w:rsidR="00D727A5" w:rsidRPr="00204021" w:rsidRDefault="00D727A5">
      <w:pPr>
        <w:rPr>
          <w:rFonts w:hint="eastAsia"/>
        </w:rPr>
      </w:pPr>
    </w:p>
    <w:p w14:paraId="1AA72BA2" w14:textId="77777777" w:rsidR="00D727A5" w:rsidRPr="00204021" w:rsidRDefault="00D727A5" w:rsidP="00D727A5">
      <w:pPr>
        <w:rPr>
          <w:rFonts w:hint="eastAsia"/>
        </w:rPr>
      </w:pPr>
      <w:r w:rsidRPr="00204021">
        <w:t>In the Welsh mathematics curriculum, although the concept of equivalent fractions is not explicitly mentioned after Progression Step 2, students continue to understand and apply it in subsequent steps through various means. This concept is gradually integrated into more complex mathematical topics, such as the equivalence of fractions, decimals, and percentages, proportional reasoning, inverse proportions, and fractional indices, forming a natural progression. For example, in Progression Steps 3 and 4, students are required to combine fractions with decimals and percentages, which represents an extension of their understanding of equivalent fractions. In this context, the concept of equivalent fractions is not limited to the fraction system but is merged into a broader numerical expression system, enhancing students' ability to convert between different forms. This conversion skill continues into higher steps, helping students flexibly apply these concepts when dealing with real-world problems, such as interest calculations or taxes.</w:t>
      </w:r>
    </w:p>
    <w:p w14:paraId="1A419E20" w14:textId="77777777" w:rsidR="00D727A5" w:rsidRPr="00204021" w:rsidRDefault="00D727A5" w:rsidP="00D727A5">
      <w:pPr>
        <w:rPr>
          <w:rFonts w:hint="eastAsia"/>
        </w:rPr>
      </w:pPr>
      <w:r w:rsidRPr="00204021">
        <w:t xml:space="preserve">Furthermore, in Progression Steps 3 and 5, the idea of equivalent fractions is applied through proportional reasoning. The core of proportional reasoning is understanding equivalent relationships between different quantities, which aligns with the fundamental principles of equivalent fractions. In these progression steps, students learn to explore equivalent relationships and changes through scales and direct or inverse proportion relationships. Even when dealing with more advanced mathematical problems, such as inverse proportions or fractional indices in Step 5, equivalent fractions remain a foundational concept. Although these topics do not directly mention equivalent fractions, they require a deep understanding of the relationship between fractions and indices, showing that the application of equivalent fractions has been internalized into </w:t>
      </w:r>
      <w:r w:rsidRPr="00204021">
        <w:lastRenderedPageBreak/>
        <w:t>more complex mathematical skills.</w:t>
      </w:r>
    </w:p>
    <w:p w14:paraId="625BF4E9" w14:textId="289F7575" w:rsidR="00D727A5" w:rsidRPr="00204021" w:rsidRDefault="00D727A5" w:rsidP="00D727A5">
      <w:pPr>
        <w:rPr>
          <w:rFonts w:hint="eastAsia"/>
        </w:rPr>
      </w:pPr>
      <w:r w:rsidRPr="00204021">
        <w:t>Through these diverse application scenarios, the Welsh curriculum continually reinforces students' understanding of equivalent fractions through practice and application. While equivalent fractions are not explicitly mentioned in later stages, they are, in fact, present throughout higher-level learning, becoming a key tool for understanding more complex numerical concepts and solving real-world problems. Research highlights that such cross-contextual integration of mathematical concepts is crucial for developing students' deep comprehension abilities. Through repeated practice and application across different mathematical themes, students can flexibly apply foundational knowledge in various situations, enhancing their overall mathematical understanding and application skills.</w:t>
      </w:r>
    </w:p>
    <w:p w14:paraId="5B6EC82E" w14:textId="77777777" w:rsidR="00D727A5" w:rsidRPr="00204021" w:rsidRDefault="00D727A5">
      <w:pPr>
        <w:rPr>
          <w:rFonts w:hint="eastAsia"/>
        </w:rPr>
      </w:pPr>
    </w:p>
    <w:p w14:paraId="069C0FBA" w14:textId="77777777" w:rsidR="00BA578D" w:rsidRPr="00204021" w:rsidRDefault="00BA578D">
      <w:pPr>
        <w:rPr>
          <w:rFonts w:hint="eastAsia"/>
        </w:rPr>
      </w:pPr>
    </w:p>
    <w:p w14:paraId="147E4B76" w14:textId="209E34AD" w:rsidR="00BA578D" w:rsidRPr="00204021" w:rsidRDefault="00BA578D">
      <w:pPr>
        <w:rPr>
          <w:rFonts w:hint="eastAsia"/>
        </w:rPr>
      </w:pPr>
      <w:r w:rsidRPr="00204021">
        <w:t>Although both countries stop explicitly mentioning equivalent fractions in the later stages of their curricula, their reasoning and subsequent approaches differ. Wales continues to emphasize the equivalence between fractions, decimals, and percentages, particularly in their application to financial and proportional problems. In contrast, England implicitly applies the concept of equivalent fractions through operations involving fractions, positioning on number lines, boundary problems, and proportional reasoning. This difference in approach reflects a broader divergence in the educational priorities of the two countries, with Wales focusing more on practical applications and England leaning towards a more theoretical and abstract framework in the later stages.</w:t>
      </w:r>
    </w:p>
    <w:p w14:paraId="0FF4E2D9" w14:textId="24CFBFBE" w:rsidR="00584D92" w:rsidRPr="00204021" w:rsidRDefault="00584D92" w:rsidP="00584D92">
      <w:pPr>
        <w:rPr>
          <w:rFonts w:hint="eastAsia"/>
        </w:rPr>
      </w:pPr>
      <w:r w:rsidRPr="00204021">
        <w:t>In the number system, Wales continues to emphasize the equivalence of fractions, decimals, and percentages, especially in applications related to finance and proportional reasoning. The concept of equivalent fractions is further extended through discussions of proportions, ratios, and rational numbers. The Welsh curriculum places a greater focus on applying fractions to real-life problems, such as budgeting, exchange rates, and taxes. This suggests that the teaching of fractions in Wales tends to help students solve practical problems</w:t>
      </w:r>
      <w:r w:rsidR="00204021" w:rsidRPr="00204021">
        <w:rPr>
          <w:rFonts w:hint="eastAsia"/>
        </w:rPr>
        <w:t xml:space="preserve"> in their real life</w:t>
      </w:r>
      <w:r w:rsidRPr="00204021">
        <w:t>, especially in scenarios related to proportions and finances.</w:t>
      </w:r>
    </w:p>
    <w:p w14:paraId="40AF5D06" w14:textId="16B25253" w:rsidR="00584D92" w:rsidRPr="00204021" w:rsidRDefault="00584D92" w:rsidP="00584D92">
      <w:pPr>
        <w:rPr>
          <w:rFonts w:hint="eastAsia"/>
        </w:rPr>
      </w:pPr>
      <w:r w:rsidRPr="00204021">
        <w:t xml:space="preserve">In contrast, England applies the knowledge of equivalent fractions implicitly through operations with fractions, positioning on number lines, boundary problems, and proportional reasoning. Equivalent fractions support students in solving </w:t>
      </w:r>
      <w:r w:rsidR="00800BEC">
        <w:rPr>
          <w:rFonts w:hint="eastAsia"/>
        </w:rPr>
        <w:t>practical</w:t>
      </w:r>
      <w:r w:rsidRPr="00204021">
        <w:t xml:space="preserve"> problems in a broader number system, particularly in proportional calculations and standard form operations. Furthermore, the English curriculum places more emphasis on the use of fractions in algebra, combining them with algebraic fractions, enabling </w:t>
      </w:r>
      <w:r w:rsidRPr="00204021">
        <w:lastRenderedPageBreak/>
        <w:t>students to apply their understanding of fractions when solving algebraic equations. This approach is more theoretical and aims to develop students' abstract thinking and mathematical reasoning skills.</w:t>
      </w:r>
    </w:p>
    <w:p w14:paraId="357EE0C3" w14:textId="77777777" w:rsidR="00BA578D" w:rsidRDefault="00BA578D">
      <w:pPr>
        <w:rPr>
          <w:lang w:val="en-US"/>
        </w:rPr>
      </w:pPr>
    </w:p>
    <w:p w14:paraId="62698B81" w14:textId="77777777" w:rsidR="00CD6E3A" w:rsidRDefault="00CD6E3A">
      <w:pPr>
        <w:rPr>
          <w:lang w:val="en-US"/>
        </w:rPr>
      </w:pPr>
    </w:p>
    <w:p w14:paraId="25FDD7F7" w14:textId="77777777" w:rsidR="00CD6E3A" w:rsidRDefault="00CD6E3A">
      <w:pPr>
        <w:rPr>
          <w:lang w:val="en-US"/>
        </w:rPr>
      </w:pPr>
    </w:p>
    <w:p w14:paraId="04651543" w14:textId="77777777" w:rsidR="00CD6E3A" w:rsidRPr="00D929C1" w:rsidRDefault="00CD6E3A">
      <w:pPr>
        <w:rPr>
          <w:lang w:val="en-US"/>
        </w:rPr>
      </w:pPr>
    </w:p>
    <w:p w14:paraId="73FE8119" w14:textId="2C8BD547" w:rsidR="00CD6E3A" w:rsidRPr="00CD6E3A" w:rsidRDefault="00CD6E3A" w:rsidP="00CD6E3A">
      <w:r w:rsidRPr="00CD6E3A">
        <w:t xml:space="preserve">The distinction between England's structured "Key Stages" and </w:t>
      </w:r>
      <w:proofErr w:type="spellStart"/>
      <w:r w:rsidRPr="00CD6E3A">
        <w:t>Wales'</w:t>
      </w:r>
      <w:proofErr w:type="spellEnd"/>
      <w:r w:rsidRPr="00CD6E3A">
        <w:t xml:space="preserve"> more flexible "Progression Steps" reflects broader philosophical divides in curriculum design. According to curriculum theorists like Pinar (2012), the English system's approach aligns with a curriculum</w:t>
      </w:r>
      <w:r w:rsidR="006520F1" w:rsidRPr="00D929C1">
        <w:rPr>
          <w:rFonts w:hint="eastAsia"/>
        </w:rPr>
        <w:t xml:space="preserve"> framework</w:t>
      </w:r>
      <w:r w:rsidRPr="00CD6E3A">
        <w:t>, which emphasizes clear, measurable outcomes that are assessed at regular intervals. This model suits environments where accountability, standardization, and national comparability are prioritized. Studies, such as those by Ball (2008), also show that high-stakes assessments, like those used in England, drive curriculum design by embedding annual targets that teachers must meet.</w:t>
      </w:r>
    </w:p>
    <w:p w14:paraId="05AB7FD1" w14:textId="136B2FCE" w:rsidR="00CD6E3A" w:rsidRPr="00CD6E3A" w:rsidRDefault="00CD6E3A" w:rsidP="00CD6E3A">
      <w:r w:rsidRPr="00CD6E3A">
        <w:t>In contrast, Lawton</w:t>
      </w:r>
      <w:r w:rsidR="001156BF" w:rsidRPr="00D929C1">
        <w:rPr>
          <w:rFonts w:hint="eastAsia"/>
        </w:rPr>
        <w:t xml:space="preserve"> (</w:t>
      </w:r>
      <w:r w:rsidRPr="00CD6E3A">
        <w:t xml:space="preserve">2012) reflects a more constructivist approach, valuing depth over speed and allowing teachers the freedom to tailor learning experiences to students' individual needs. </w:t>
      </w:r>
      <w:proofErr w:type="spellStart"/>
      <w:r w:rsidRPr="00CD6E3A">
        <w:t>Wales'</w:t>
      </w:r>
      <w:proofErr w:type="spellEnd"/>
      <w:r w:rsidRPr="00CD6E3A">
        <w:t xml:space="preserve"> "Curriculum for Wales" reform represents a shift towards fostering critical thinking and adaptability, as discussed by Donaldson (2015). This aligns with progressive education theories that promote inquiry-based learning and cross-disciplinary approaches.</w:t>
      </w:r>
    </w:p>
    <w:p w14:paraId="1F531F6A" w14:textId="7FD156A7" w:rsidR="00CD6E3A" w:rsidRPr="00CD6E3A" w:rsidRDefault="00CD6E3A" w:rsidP="00CD6E3A">
      <w:r w:rsidRPr="00CD6E3A">
        <w:t>The assessment model in England, as supported by Harlen (2007), tends to encourage "teaching to the test," which can sometimes narrow the curriculum to what is measurable, particularly in mathematics, where quantifiable skills are easier to assess. However, this approach has been effective in driving academic achievement, particularly in preparing students for national examinations and standardized testing. Research by Wiliam (2011) highlights how English assessments ensure rigorous progress tracking but at the potential cost of creativity and deeper understanding.</w:t>
      </w:r>
    </w:p>
    <w:p w14:paraId="52E8D89C" w14:textId="2C22531F" w:rsidR="00CD6E3A" w:rsidRPr="00CD6E3A" w:rsidRDefault="00CD6E3A" w:rsidP="00CD6E3A">
      <w:proofErr w:type="spellStart"/>
      <w:r w:rsidRPr="00CD6E3A">
        <w:t>Wales’</w:t>
      </w:r>
      <w:proofErr w:type="spellEnd"/>
      <w:r w:rsidRPr="00CD6E3A">
        <w:t xml:space="preserve"> emphasis on continuous assessment, highlighted by Gardner (2012), offers an alternative that prioritizes formative assessments and long-term skill development. By not focusing on yearly standardized testing, Wales supports a more flexible, student-</w:t>
      </w:r>
      <w:r w:rsidR="00526907" w:rsidRPr="00D929C1">
        <w:t>cantered</w:t>
      </w:r>
      <w:r w:rsidRPr="00CD6E3A">
        <w:t xml:space="preserve"> approach that might benefit students with varying learning speeds or those who thrive in exploratory learning environments. However, the lack of immediate benchmarks, as argued by Shepard (2005), may leave gaps in accountability and may make it harder to intervene early when students fall behind.</w:t>
      </w:r>
    </w:p>
    <w:p w14:paraId="49CAADDD" w14:textId="7C76BFB9" w:rsidR="00CD6E3A" w:rsidRPr="00CD6E3A" w:rsidRDefault="00CD6E3A" w:rsidP="00CD6E3A">
      <w:r w:rsidRPr="00CD6E3A">
        <w:lastRenderedPageBreak/>
        <w:t xml:space="preserve">The </w:t>
      </w:r>
      <w:r w:rsidR="00526907" w:rsidRPr="00D929C1">
        <w:t>societal values</w:t>
      </w:r>
      <w:r w:rsidRPr="00CD6E3A">
        <w:t xml:space="preserve"> </w:t>
      </w:r>
      <w:r w:rsidR="00526907" w:rsidRPr="00D929C1">
        <w:t>ar</w:t>
      </w:r>
      <w:r w:rsidR="00526907" w:rsidRPr="00D929C1">
        <w:rPr>
          <w:rFonts w:hint="eastAsia"/>
        </w:rPr>
        <w:t>e</w:t>
      </w:r>
      <w:r w:rsidRPr="00CD6E3A">
        <w:t xml:space="preserve"> also important. As Biesta (2010) suggests, educational systems reflect societal values, and </w:t>
      </w:r>
      <w:proofErr w:type="spellStart"/>
      <w:r w:rsidRPr="00CD6E3A">
        <w:t>Wales’</w:t>
      </w:r>
      <w:proofErr w:type="spellEnd"/>
      <w:r w:rsidRPr="00CD6E3A">
        <w:t xml:space="preserve"> approach appears to align with values of holistic development and social inclusion, whereas England’s system might reflect a more competitive, results-driven culture. The maturation of England's curriculum over time has created a structured, highly assessable system that offers consistency, while </w:t>
      </w:r>
      <w:proofErr w:type="spellStart"/>
      <w:r w:rsidRPr="00CD6E3A">
        <w:t>Wales’</w:t>
      </w:r>
      <w:proofErr w:type="spellEnd"/>
      <w:r w:rsidRPr="00CD6E3A">
        <w:t xml:space="preserve"> newer curriculum is still evolving and may face challenges in maintaining rigor while promoting flexibility.</w:t>
      </w:r>
    </w:p>
    <w:p w14:paraId="7F7CE547" w14:textId="77777777" w:rsidR="00CD6E3A" w:rsidRPr="00CD6E3A" w:rsidRDefault="00CD6E3A" w:rsidP="00CD6E3A">
      <w:r w:rsidRPr="00CD6E3A">
        <w:t>In summary, both systems have strengths and limitations depending on the broader educational goals, assessment expectations, and cultural contexts within which they operate.</w:t>
      </w:r>
    </w:p>
    <w:p w14:paraId="134113BF" w14:textId="77777777" w:rsidR="00CD6E3A" w:rsidRDefault="00CD6E3A">
      <w:pPr>
        <w:rPr>
          <w:lang w:val="en-US"/>
        </w:rPr>
      </w:pPr>
    </w:p>
    <w:p w14:paraId="6DE61E63" w14:textId="77777777" w:rsidR="001343E9" w:rsidRDefault="001343E9">
      <w:pPr>
        <w:rPr>
          <w:lang w:val="en-US"/>
        </w:rPr>
      </w:pPr>
    </w:p>
    <w:p w14:paraId="225DB6AF" w14:textId="7F30299C" w:rsidR="001343E9" w:rsidRPr="00F3558B" w:rsidRDefault="00F3558B">
      <w:pPr>
        <w:rPr>
          <w:rFonts w:hint="eastAsia"/>
          <w:b/>
          <w:bCs/>
          <w:lang w:val="en-US"/>
        </w:rPr>
      </w:pPr>
      <w:r w:rsidRPr="00F3558B">
        <w:rPr>
          <w:rFonts w:hint="eastAsia"/>
          <w:b/>
          <w:bCs/>
          <w:lang w:val="en-US"/>
        </w:rPr>
        <w:t>The recommendations for two countries</w:t>
      </w:r>
    </w:p>
    <w:p w14:paraId="2AA06DE5" w14:textId="1EEECC90" w:rsidR="00AD2A0C" w:rsidRPr="00AD2A0C" w:rsidRDefault="00AD2A0C" w:rsidP="00AD2A0C">
      <w:pPr>
        <w:rPr>
          <w:lang w:val="en-US"/>
        </w:rPr>
      </w:pPr>
      <w:r>
        <w:rPr>
          <w:rFonts w:hint="eastAsia"/>
          <w:lang w:val="en-US"/>
        </w:rPr>
        <w:t>Creating</w:t>
      </w:r>
      <w:r w:rsidRPr="00AD2A0C">
        <w:rPr>
          <w:lang w:val="en-US"/>
        </w:rPr>
        <w:t xml:space="preserve"> a balanced and comprehensive approach to mathematics education between England and Wales, mutual learning and improvement in several areas would be beneficial. One of the key areas involves balancing flexibility and systematization. Wales, with its flexible and long-term goals, emphasizes holistic education. However, given the structured and logical nature of mathematics, students might struggle with fundamental concepts if they lack a systematic foundation. Research demonstrates that setting clearer annual goals in mathematics, as seen in England’s curriculum (Harlen, 2007; Wiliam, 2011), ensures students progressively build key knowledge in areas such as equivalent fractions, proportional reasoning, and algebra. Wales could adopt more explicit guidelines while maintaining its flexible and inclusive learning approach (Biesta, 2010).</w:t>
      </w:r>
    </w:p>
    <w:p w14:paraId="67A4C2D4" w14:textId="77777777" w:rsidR="00AD2A0C" w:rsidRPr="00AD2A0C" w:rsidRDefault="00AD2A0C" w:rsidP="00AD2A0C">
      <w:pPr>
        <w:rPr>
          <w:lang w:val="en-US"/>
        </w:rPr>
      </w:pPr>
      <w:r w:rsidRPr="00AD2A0C">
        <w:rPr>
          <w:lang w:val="en-US"/>
        </w:rPr>
        <w:t xml:space="preserve">On the other hand, England’s highly systematized approach can sometimes be rigid, especially for students who progress at a slower pace, as the system heavily emphasizes achieving yearly academic targets (Ball, 2008). This often leads teachers to "teach to the test," narrowing the curriculum (Harlen, 2007). England could benefit from </w:t>
      </w:r>
      <w:proofErr w:type="spellStart"/>
      <w:r w:rsidRPr="00AD2A0C">
        <w:rPr>
          <w:lang w:val="en-US"/>
        </w:rPr>
        <w:t>Wales'</w:t>
      </w:r>
      <w:proofErr w:type="spellEnd"/>
      <w:r w:rsidRPr="00AD2A0C">
        <w:rPr>
          <w:lang w:val="en-US"/>
        </w:rPr>
        <w:t xml:space="preserve"> flexibility by integrating more inquiry-based learning and project-oriented approaches. Research supports the idea that incorporating flexibility within annual goals can deepen student learning (Black &amp; Wiliam, 1998).</w:t>
      </w:r>
    </w:p>
    <w:p w14:paraId="36D33AA6" w14:textId="77777777" w:rsidR="00AD2A0C" w:rsidRPr="00AD2A0C" w:rsidRDefault="00AD2A0C" w:rsidP="00AD2A0C">
      <w:pPr>
        <w:rPr>
          <w:lang w:val="en-US"/>
        </w:rPr>
      </w:pPr>
      <w:r w:rsidRPr="00AD2A0C">
        <w:rPr>
          <w:lang w:val="en-US"/>
        </w:rPr>
        <w:t xml:space="preserve">Another area where both nations can learn from each other is in the application of mathematics to real-world contexts. Wales excels in linking mathematics to everyday life, particularly through financial education, proportionality, and applied mathematics (Donaldson, 2015). This approach helps students understand the practical relevance of </w:t>
      </w:r>
      <w:r w:rsidRPr="00AD2A0C">
        <w:rPr>
          <w:lang w:val="en-US"/>
        </w:rPr>
        <w:lastRenderedPageBreak/>
        <w:t>mathematical concepts and could be enhanced by integrating interdisciplinary projects, blending mathematics with science and technology. Research suggests that project-based, applied learning boosts engagement and retention (</w:t>
      </w:r>
      <w:proofErr w:type="spellStart"/>
      <w:r w:rsidRPr="00AD2A0C">
        <w:rPr>
          <w:lang w:val="en-US"/>
        </w:rPr>
        <w:t>Boaler</w:t>
      </w:r>
      <w:proofErr w:type="spellEnd"/>
      <w:r w:rsidRPr="00AD2A0C">
        <w:rPr>
          <w:lang w:val="en-US"/>
        </w:rPr>
        <w:t>, 2002). In contrast, while England's curriculum is systematic and theoretically grounded, it tends to focus less on real-world applications, especially in areas like proportions, percentages, and financial literacy. By incorporating more real-life problem-solving and practical tasks, England could help students better understand and appreciate the relevance of mathematics (Nardi &amp; Steward, 2003).</w:t>
      </w:r>
    </w:p>
    <w:p w14:paraId="607DC0E7" w14:textId="77777777" w:rsidR="00AD2A0C" w:rsidRPr="00AD2A0C" w:rsidRDefault="00AD2A0C" w:rsidP="00AD2A0C">
      <w:pPr>
        <w:rPr>
          <w:lang w:val="en-US"/>
        </w:rPr>
      </w:pPr>
      <w:r w:rsidRPr="00AD2A0C">
        <w:rPr>
          <w:lang w:val="en-US"/>
        </w:rPr>
        <w:t>Both countries could also improve how they teach core mathematical concepts. Wales might benefit from providing more detailed guidance on critical topics like fractions, ratios, and exponents. England’s curriculum progressively builds understanding of these concepts through a year-on-year, grade-level approach (Harlen, 2007). Wales, while emphasizing holistic learning, could maintain flexibility while offering more structured support for deepening students' comprehension of fundamental ideas (Black &amp; Wiliam, 1998). England, meanwhile, could encourage students to explore mathematical concepts more through inquiry-based learning, fostering critical thinking and problem-solving skills (</w:t>
      </w:r>
      <w:proofErr w:type="spellStart"/>
      <w:r w:rsidRPr="00AD2A0C">
        <w:rPr>
          <w:lang w:val="en-US"/>
        </w:rPr>
        <w:t>Boaler</w:t>
      </w:r>
      <w:proofErr w:type="spellEnd"/>
      <w:r w:rsidRPr="00AD2A0C">
        <w:rPr>
          <w:lang w:val="en-US"/>
        </w:rPr>
        <w:t>, 2016).</w:t>
      </w:r>
    </w:p>
    <w:p w14:paraId="535E4C83" w14:textId="231A4B12" w:rsidR="00AD2A0C" w:rsidRPr="00AD2A0C" w:rsidRDefault="00AD2A0C" w:rsidP="00AD2A0C">
      <w:pPr>
        <w:rPr>
          <w:lang w:val="en-US"/>
        </w:rPr>
      </w:pPr>
      <w:r w:rsidRPr="00AD2A0C">
        <w:rPr>
          <w:lang w:val="en-US"/>
        </w:rPr>
        <w:t xml:space="preserve">Finally, both systems could diversify their assessment methods. Wales could introduce more formative assessments to periodically evaluate students' understanding of core concepts, without adopting the rigid, </w:t>
      </w:r>
      <w:r w:rsidR="001A7B7E" w:rsidRPr="00AD2A0C">
        <w:rPr>
          <w:lang w:val="en-US"/>
        </w:rPr>
        <w:t>high stakes</w:t>
      </w:r>
      <w:r w:rsidRPr="00AD2A0C">
        <w:rPr>
          <w:lang w:val="en-US"/>
        </w:rPr>
        <w:t xml:space="preserve"> testing approach (Harlen, 2007). In contrast, England could reduce its reliance on standardized tests and incorporate more varied assessment methods, such as project work or collaborative tasks, to foster creativity and deeper conceptual understanding (Wiliam, 2011).</w:t>
      </w:r>
    </w:p>
    <w:p w14:paraId="63AA1B53" w14:textId="7B7F7C77" w:rsidR="00AD2A0C" w:rsidRPr="00AD2A0C" w:rsidRDefault="00AD2A0C" w:rsidP="00AD2A0C">
      <w:pPr>
        <w:rPr>
          <w:lang w:val="en-US"/>
        </w:rPr>
      </w:pPr>
      <w:r w:rsidRPr="00AD2A0C">
        <w:rPr>
          <w:lang w:val="en-US"/>
        </w:rPr>
        <w:t xml:space="preserve">In terms of teacher professional development, </w:t>
      </w:r>
      <w:proofErr w:type="spellStart"/>
      <w:r w:rsidRPr="00AD2A0C">
        <w:rPr>
          <w:lang w:val="en-US"/>
        </w:rPr>
        <w:t>Wales'</w:t>
      </w:r>
      <w:proofErr w:type="spellEnd"/>
      <w:r w:rsidRPr="00AD2A0C">
        <w:rPr>
          <w:lang w:val="en-US"/>
        </w:rPr>
        <w:t xml:space="preserve"> flexible approach requires teachers to have strong instructional design skills. Providing more professional development opportunities to help teachers implement inquiry-based, flexible learning strategies would be beneficial. In England, teachers often adhere to rigid standards that limit </w:t>
      </w:r>
      <w:r w:rsidR="001A7B7E" w:rsidRPr="00AD2A0C">
        <w:rPr>
          <w:lang w:val="en-US"/>
        </w:rPr>
        <w:t>innovation but</w:t>
      </w:r>
      <w:r w:rsidRPr="00AD2A0C">
        <w:rPr>
          <w:lang w:val="en-US"/>
        </w:rPr>
        <w:t xml:space="preserve"> encouraging more exploratory teaching methods could engage students more effectively, particularly in complex mathematical areas (</w:t>
      </w:r>
      <w:proofErr w:type="spellStart"/>
      <w:r w:rsidRPr="00AD2A0C">
        <w:rPr>
          <w:lang w:val="en-US"/>
        </w:rPr>
        <w:t>Boaler</w:t>
      </w:r>
      <w:proofErr w:type="spellEnd"/>
      <w:r w:rsidRPr="00AD2A0C">
        <w:rPr>
          <w:lang w:val="en-US"/>
        </w:rPr>
        <w:t>, 2016).</w:t>
      </w:r>
    </w:p>
    <w:p w14:paraId="0FE721E9" w14:textId="77777777" w:rsidR="00AD2A0C" w:rsidRPr="00AD2A0C" w:rsidRDefault="00AD2A0C" w:rsidP="00AD2A0C">
      <w:pPr>
        <w:rPr>
          <w:lang w:val="en-US"/>
        </w:rPr>
      </w:pPr>
      <w:r w:rsidRPr="00AD2A0C">
        <w:rPr>
          <w:lang w:val="en-US"/>
        </w:rPr>
        <w:t>In summary, England could benefit from introducing more flexibility and real-world applications into its mathematics curriculum, while Wales could improve by providing more structured guidance and assessments for key concepts. Both countries possess complementary strengths, and through collaboration, they could develop a more comprehensive and dynamic mathematics education.</w:t>
      </w:r>
    </w:p>
    <w:p w14:paraId="3912ACB1" w14:textId="77777777" w:rsidR="001343E9" w:rsidRDefault="001343E9">
      <w:pPr>
        <w:rPr>
          <w:lang w:val="en-US"/>
        </w:rPr>
      </w:pPr>
    </w:p>
    <w:p w14:paraId="6FA896FA" w14:textId="77777777" w:rsidR="00832B39" w:rsidRDefault="00832B39">
      <w:pPr>
        <w:rPr>
          <w:lang w:val="en-US"/>
        </w:rPr>
      </w:pPr>
    </w:p>
    <w:p w14:paraId="030F5CA0" w14:textId="160B8773" w:rsidR="00832B39" w:rsidRPr="00CA1592" w:rsidRDefault="00CA1592">
      <w:pPr>
        <w:rPr>
          <w:rFonts w:hint="eastAsia"/>
          <w:b/>
          <w:bCs/>
          <w:lang w:val="en-US"/>
        </w:rPr>
      </w:pPr>
      <w:r w:rsidRPr="00CA1592">
        <w:rPr>
          <w:rFonts w:hint="eastAsia"/>
          <w:b/>
          <w:bCs/>
          <w:lang w:val="en-US"/>
        </w:rPr>
        <w:lastRenderedPageBreak/>
        <w:t>conclusion</w:t>
      </w:r>
    </w:p>
    <w:p w14:paraId="4A14A6A6" w14:textId="4F3CC88F" w:rsidR="00832B39" w:rsidRDefault="00832B39">
      <w:r w:rsidRPr="00832B39">
        <w:t xml:space="preserve">In conclusion, the mathematics education systems in both England and Wales offer valuable strengths, but also present areas for potential improvement. England's systematic and assessment-driven approach ensures that students develop mathematical proficiency in a structured manner, but risks narrowing the curriculum and stifling creativity. </w:t>
      </w:r>
      <w:proofErr w:type="spellStart"/>
      <w:r w:rsidRPr="00832B39">
        <w:t>Wales’</w:t>
      </w:r>
      <w:proofErr w:type="spellEnd"/>
      <w:r w:rsidRPr="00832B39">
        <w:t xml:space="preserve"> more flexible, inquiry-based model encourages depth and real-world application, but could benefit from clearer guidance on core concepts and periodic evaluations to maintain academic rigor. By adopting a more balanced approach—England incorporating flexible learning pathways and Wales ensuring systematic progression in key concepts—both systems could provide students with a more holistic and enriched mathematical education. Such reciprocal learning between the two educational frameworks has the potential to foster environments that nurture both mathematical underst</w:t>
      </w:r>
      <w:r w:rsidR="00CA4FFF" w:rsidRPr="00CA4FFF">
        <w:t>anding and the broader skills necessary for success in the 21st century.</w:t>
      </w:r>
    </w:p>
    <w:p w14:paraId="67F2D30C" w14:textId="277CAC20" w:rsidR="00AA2B4B" w:rsidRPr="00D929C1" w:rsidRDefault="00D929C1">
      <w:pPr>
        <w:rPr>
          <w:rFonts w:hint="eastAsia"/>
          <w:b/>
          <w:bCs/>
        </w:rPr>
      </w:pPr>
      <w:r w:rsidRPr="00D929C1">
        <w:rPr>
          <w:rFonts w:hint="eastAsia"/>
          <w:b/>
          <w:bCs/>
        </w:rPr>
        <w:t>references</w:t>
      </w:r>
    </w:p>
    <w:p w14:paraId="19E6C37D" w14:textId="77777777" w:rsidR="00AA2B4B" w:rsidRPr="00AA2B4B" w:rsidRDefault="00AA2B4B" w:rsidP="00AA2B4B">
      <w:pPr>
        <w:rPr>
          <w:lang w:val="en-US"/>
        </w:rPr>
      </w:pPr>
      <w:r w:rsidRPr="00AA2B4B">
        <w:rPr>
          <w:lang w:val="en-US"/>
        </w:rPr>
        <w:t xml:space="preserve">Alexander, R.J. (2012) ‘Moral panic, miracle cures and educational </w:t>
      </w:r>
      <w:proofErr w:type="spellStart"/>
      <w:proofErr w:type="gramStart"/>
      <w:r w:rsidRPr="00AA2B4B">
        <w:rPr>
          <w:lang w:val="en-US"/>
        </w:rPr>
        <w:t>policy:what</w:t>
      </w:r>
      <w:proofErr w:type="spellEnd"/>
      <w:proofErr w:type="gramEnd"/>
      <w:r w:rsidRPr="00AA2B4B">
        <w:rPr>
          <w:lang w:val="en-US"/>
        </w:rPr>
        <w:t xml:space="preserve"> can we really learn from international comparison?’</w:t>
      </w:r>
    </w:p>
    <w:p w14:paraId="44E64357" w14:textId="77777777" w:rsidR="00AA2B4B" w:rsidRPr="00AA2B4B" w:rsidRDefault="00AA2B4B" w:rsidP="00AA2B4B">
      <w:pPr>
        <w:rPr>
          <w:lang w:val="en-US"/>
        </w:rPr>
      </w:pPr>
      <w:r w:rsidRPr="00AA2B4B">
        <w:rPr>
          <w:lang w:val="en-US"/>
        </w:rPr>
        <w:t xml:space="preserve"> </w:t>
      </w:r>
    </w:p>
    <w:p w14:paraId="50B22B88" w14:textId="77777777" w:rsidR="00AA2B4B" w:rsidRPr="00AA2B4B" w:rsidRDefault="00AA2B4B" w:rsidP="00AA2B4B">
      <w:pPr>
        <w:rPr>
          <w:lang w:val="en-US"/>
        </w:rPr>
      </w:pPr>
      <w:r w:rsidRPr="00AA2B4B">
        <w:rPr>
          <w:lang w:val="en-US"/>
        </w:rPr>
        <w:t xml:space="preserve">AQA (2015) </w:t>
      </w:r>
      <w:r w:rsidRPr="00AA2B4B">
        <w:rPr>
          <w:i/>
          <w:lang w:val="en-US"/>
        </w:rPr>
        <w:t>GCSE Mathematics Specification</w:t>
      </w:r>
      <w:r w:rsidRPr="00AA2B4B">
        <w:rPr>
          <w:lang w:val="en-US"/>
        </w:rPr>
        <w:t>. Available at: https://www.aqa.org.uk/subjects/mathematics/gcse/mathematics-8300/specification-overview (Accessed: 27 September 2024).</w:t>
      </w:r>
    </w:p>
    <w:p w14:paraId="5E3CF2D2" w14:textId="77777777" w:rsidR="00AA2B4B" w:rsidRPr="00AA2B4B" w:rsidRDefault="00AA2B4B" w:rsidP="00AA2B4B">
      <w:pPr>
        <w:rPr>
          <w:lang w:val="en-US"/>
        </w:rPr>
      </w:pPr>
      <w:r w:rsidRPr="00AA2B4B">
        <w:rPr>
          <w:lang w:val="en-US"/>
        </w:rPr>
        <w:t xml:space="preserve"> </w:t>
      </w:r>
    </w:p>
    <w:p w14:paraId="633C4A23" w14:textId="77777777" w:rsidR="00AA2B4B" w:rsidRPr="00AA2B4B" w:rsidRDefault="00AA2B4B" w:rsidP="00AA2B4B">
      <w:pPr>
        <w:rPr>
          <w:lang w:val="en-US"/>
        </w:rPr>
      </w:pPr>
      <w:r w:rsidRPr="00AA2B4B">
        <w:rPr>
          <w:lang w:val="en-US"/>
        </w:rPr>
        <w:t xml:space="preserve">Arthur, Y.D., Owusu, E.K., Asiedu-Addo, S. and Arhin, A.K. (2018) ‘Connecting mathematics to real life problems: A teaching quality that improves students’ mathematics interest’, </w:t>
      </w:r>
      <w:r w:rsidRPr="00AA2B4B">
        <w:rPr>
          <w:i/>
          <w:lang w:val="en-US"/>
        </w:rPr>
        <w:t>IOSR Journal of Research &amp; Method in Education</w:t>
      </w:r>
      <w:r w:rsidRPr="00AA2B4B">
        <w:rPr>
          <w:lang w:val="en-US"/>
        </w:rPr>
        <w:t>, 8(4), pp. 65-71.</w:t>
      </w:r>
    </w:p>
    <w:p w14:paraId="1AF5177B" w14:textId="77777777" w:rsidR="00AA2B4B" w:rsidRPr="00AA2B4B" w:rsidRDefault="00AA2B4B" w:rsidP="00AA2B4B">
      <w:pPr>
        <w:rPr>
          <w:lang w:val="en-US"/>
        </w:rPr>
      </w:pPr>
      <w:r w:rsidRPr="00AA2B4B">
        <w:rPr>
          <w:lang w:val="en-US"/>
        </w:rPr>
        <w:t xml:space="preserve"> </w:t>
      </w:r>
    </w:p>
    <w:p w14:paraId="47927956" w14:textId="77777777" w:rsidR="00AA2B4B" w:rsidRPr="00AA2B4B" w:rsidRDefault="00AA2B4B" w:rsidP="00AA2B4B">
      <w:pPr>
        <w:rPr>
          <w:lang w:val="en-US"/>
        </w:rPr>
      </w:pPr>
      <w:r w:rsidRPr="00AA2B4B">
        <w:rPr>
          <w:lang w:val="en-US"/>
        </w:rPr>
        <w:t xml:space="preserve">Ball, S.J. (2008) </w:t>
      </w:r>
      <w:r w:rsidRPr="00AA2B4B">
        <w:rPr>
          <w:i/>
          <w:lang w:val="en-US"/>
        </w:rPr>
        <w:t>The education debate: Policy and politics in the twenty-first century</w:t>
      </w:r>
      <w:r w:rsidRPr="00AA2B4B">
        <w:rPr>
          <w:lang w:val="en-US"/>
        </w:rPr>
        <w:t>. Bristol: Policy Press.</w:t>
      </w:r>
    </w:p>
    <w:p w14:paraId="5945C629" w14:textId="77777777" w:rsidR="00AA2B4B" w:rsidRPr="00AA2B4B" w:rsidRDefault="00AA2B4B" w:rsidP="00AA2B4B">
      <w:pPr>
        <w:rPr>
          <w:lang w:val="en-US"/>
        </w:rPr>
      </w:pPr>
      <w:r w:rsidRPr="00AA2B4B">
        <w:rPr>
          <w:lang w:val="en-US"/>
        </w:rPr>
        <w:t xml:space="preserve"> </w:t>
      </w:r>
    </w:p>
    <w:p w14:paraId="64CFFEA4" w14:textId="77777777" w:rsidR="00AA2B4B" w:rsidRPr="00AA2B4B" w:rsidRDefault="00AA2B4B" w:rsidP="00AA2B4B">
      <w:pPr>
        <w:rPr>
          <w:lang w:val="en-US"/>
        </w:rPr>
      </w:pPr>
      <w:r w:rsidRPr="00AA2B4B">
        <w:rPr>
          <w:lang w:val="en-US"/>
        </w:rPr>
        <w:t xml:space="preserve">Bernstein, B. (1971) On the classification and framing of educational knowledge. In: M.F.D. Young, ed. </w:t>
      </w:r>
      <w:r w:rsidRPr="00AA2B4B">
        <w:rPr>
          <w:i/>
          <w:iCs/>
          <w:lang w:val="en-US"/>
        </w:rPr>
        <w:t>Knowledge and control: New directions in the sociology of knowledge</w:t>
      </w:r>
      <w:r w:rsidRPr="00AA2B4B">
        <w:rPr>
          <w:lang w:val="en-US"/>
        </w:rPr>
        <w:t>. London: Collier-Macmillan, pp. 47-69.</w:t>
      </w:r>
    </w:p>
    <w:p w14:paraId="1A68BB10" w14:textId="77777777" w:rsidR="00AA2B4B" w:rsidRPr="00AA2B4B" w:rsidRDefault="00AA2B4B" w:rsidP="00AA2B4B">
      <w:pPr>
        <w:rPr>
          <w:lang w:val="en-US"/>
        </w:rPr>
      </w:pPr>
      <w:r w:rsidRPr="00AA2B4B">
        <w:rPr>
          <w:lang w:val="en-US"/>
        </w:rPr>
        <w:t xml:space="preserve"> </w:t>
      </w:r>
    </w:p>
    <w:p w14:paraId="3EDD145A" w14:textId="77777777" w:rsidR="00AA2B4B" w:rsidRPr="00AA2B4B" w:rsidRDefault="00AA2B4B" w:rsidP="00AA2B4B">
      <w:pPr>
        <w:rPr>
          <w:lang w:val="en-US"/>
        </w:rPr>
      </w:pPr>
      <w:r w:rsidRPr="00AA2B4B">
        <w:rPr>
          <w:lang w:val="en-US"/>
        </w:rPr>
        <w:lastRenderedPageBreak/>
        <w:t xml:space="preserve">Bernstein, B. (1990) </w:t>
      </w:r>
      <w:r w:rsidRPr="00AA2B4B">
        <w:rPr>
          <w:i/>
          <w:iCs/>
          <w:lang w:val="en-US"/>
        </w:rPr>
        <w:t>The structuring of pedagogic discourse: Volume IV, class, codes and control</w:t>
      </w:r>
      <w:r w:rsidRPr="00AA2B4B">
        <w:rPr>
          <w:lang w:val="en-US"/>
        </w:rPr>
        <w:t>. London: Routledge.</w:t>
      </w:r>
    </w:p>
    <w:p w14:paraId="42629BBC" w14:textId="77777777" w:rsidR="00AA2B4B" w:rsidRPr="00AA2B4B" w:rsidRDefault="00AA2B4B" w:rsidP="00AA2B4B">
      <w:pPr>
        <w:rPr>
          <w:lang w:val="en-US"/>
        </w:rPr>
      </w:pPr>
      <w:r w:rsidRPr="00AA2B4B">
        <w:rPr>
          <w:lang w:val="en-US"/>
        </w:rPr>
        <w:t xml:space="preserve"> </w:t>
      </w:r>
    </w:p>
    <w:p w14:paraId="5BFD495F" w14:textId="77777777" w:rsidR="00AA2B4B" w:rsidRPr="00AA2B4B" w:rsidRDefault="00AA2B4B" w:rsidP="00AA2B4B">
      <w:pPr>
        <w:rPr>
          <w:lang w:val="en-US"/>
        </w:rPr>
      </w:pPr>
      <w:r w:rsidRPr="00AA2B4B">
        <w:rPr>
          <w:lang w:val="en-US"/>
        </w:rPr>
        <w:t xml:space="preserve">Biesta, G. (2010) </w:t>
      </w:r>
      <w:r w:rsidRPr="00AA2B4B">
        <w:rPr>
          <w:i/>
          <w:lang w:val="en-US"/>
        </w:rPr>
        <w:t>Good education in an age of measurement: Ethics, politics, democracy</w:t>
      </w:r>
      <w:r w:rsidRPr="00AA2B4B">
        <w:rPr>
          <w:lang w:val="en-US"/>
        </w:rPr>
        <w:t>. London: Routledge.</w:t>
      </w:r>
    </w:p>
    <w:p w14:paraId="1EF4A5B1" w14:textId="77777777" w:rsidR="00AA2B4B" w:rsidRPr="00AA2B4B" w:rsidRDefault="00AA2B4B" w:rsidP="00AA2B4B">
      <w:pPr>
        <w:rPr>
          <w:lang w:val="en-US"/>
        </w:rPr>
      </w:pPr>
      <w:r w:rsidRPr="00AA2B4B">
        <w:rPr>
          <w:lang w:val="en-US"/>
        </w:rPr>
        <w:t xml:space="preserve"> </w:t>
      </w:r>
    </w:p>
    <w:p w14:paraId="2A854B86" w14:textId="77777777" w:rsidR="00AA2B4B" w:rsidRPr="00AA2B4B" w:rsidRDefault="00AA2B4B" w:rsidP="00AA2B4B">
      <w:pPr>
        <w:rPr>
          <w:lang w:val="en-US"/>
        </w:rPr>
      </w:pPr>
      <w:r w:rsidRPr="00AA2B4B">
        <w:rPr>
          <w:lang w:val="en-US"/>
        </w:rPr>
        <w:t xml:space="preserve">Black, P. and Wiliam, D. (1998) 'Assessment and classroom learning', </w:t>
      </w:r>
      <w:r w:rsidRPr="00AA2B4B">
        <w:rPr>
          <w:i/>
          <w:lang w:val="en-US"/>
        </w:rPr>
        <w:t>Assessment in Education: Principles, Policy &amp; Practice</w:t>
      </w:r>
      <w:r w:rsidRPr="00AA2B4B">
        <w:rPr>
          <w:lang w:val="en-US"/>
        </w:rPr>
        <w:t>, 5(1), pp. 7-74.</w:t>
      </w:r>
    </w:p>
    <w:p w14:paraId="56AF0D73" w14:textId="77777777" w:rsidR="00AA2B4B" w:rsidRPr="00AA2B4B" w:rsidRDefault="00AA2B4B" w:rsidP="00AA2B4B">
      <w:pPr>
        <w:rPr>
          <w:lang w:val="en-US"/>
        </w:rPr>
      </w:pPr>
      <w:r w:rsidRPr="00AA2B4B">
        <w:rPr>
          <w:lang w:val="en-US"/>
        </w:rPr>
        <w:t xml:space="preserve"> </w:t>
      </w:r>
    </w:p>
    <w:p w14:paraId="14A3D058" w14:textId="77777777" w:rsidR="00AA2B4B" w:rsidRPr="00AA2B4B" w:rsidRDefault="00AA2B4B" w:rsidP="00AA2B4B">
      <w:pPr>
        <w:rPr>
          <w:lang w:val="en-US"/>
        </w:rPr>
      </w:pPr>
      <w:proofErr w:type="spellStart"/>
      <w:r w:rsidRPr="00AA2B4B">
        <w:rPr>
          <w:lang w:val="en-US"/>
        </w:rPr>
        <w:t>Boaler</w:t>
      </w:r>
      <w:proofErr w:type="spellEnd"/>
      <w:r w:rsidRPr="00AA2B4B">
        <w:rPr>
          <w:lang w:val="en-US"/>
        </w:rPr>
        <w:t xml:space="preserve">, J. (2002) 'Learning from teaching: Exploring the relationship between reform curriculum and equity', </w:t>
      </w:r>
      <w:r w:rsidRPr="00AA2B4B">
        <w:rPr>
          <w:i/>
          <w:lang w:val="en-US"/>
        </w:rPr>
        <w:t>Journal for Research in Mathematics Education</w:t>
      </w:r>
      <w:r w:rsidRPr="00AA2B4B">
        <w:rPr>
          <w:lang w:val="en-US"/>
        </w:rPr>
        <w:t>, 33(4), pp. 239-258.</w:t>
      </w:r>
    </w:p>
    <w:p w14:paraId="6B7C7218" w14:textId="77777777" w:rsidR="00AA2B4B" w:rsidRPr="00AA2B4B" w:rsidRDefault="00AA2B4B" w:rsidP="00AA2B4B">
      <w:pPr>
        <w:rPr>
          <w:lang w:val="en-US"/>
        </w:rPr>
      </w:pPr>
      <w:r w:rsidRPr="00AA2B4B">
        <w:rPr>
          <w:lang w:val="en-US"/>
        </w:rPr>
        <w:t xml:space="preserve"> </w:t>
      </w:r>
    </w:p>
    <w:p w14:paraId="2031F06B" w14:textId="77777777" w:rsidR="00AA2B4B" w:rsidRPr="00AA2B4B" w:rsidRDefault="00AA2B4B" w:rsidP="00AA2B4B">
      <w:pPr>
        <w:rPr>
          <w:lang w:val="en-US"/>
        </w:rPr>
      </w:pPr>
      <w:proofErr w:type="spellStart"/>
      <w:r w:rsidRPr="00AA2B4B">
        <w:rPr>
          <w:lang w:val="en-US"/>
        </w:rPr>
        <w:t>Boaler</w:t>
      </w:r>
      <w:proofErr w:type="spellEnd"/>
      <w:r w:rsidRPr="00AA2B4B">
        <w:rPr>
          <w:lang w:val="en-US"/>
        </w:rPr>
        <w:t xml:space="preserve">, J. (2016) </w:t>
      </w:r>
      <w:r w:rsidRPr="00AA2B4B">
        <w:rPr>
          <w:i/>
          <w:lang w:val="en-US"/>
        </w:rPr>
        <w:t>Mathematical mindsets: Unleashing students' potential through creative math, inspiring messages, and innovative teaching</w:t>
      </w:r>
      <w:r w:rsidRPr="00AA2B4B">
        <w:rPr>
          <w:lang w:val="en-US"/>
        </w:rPr>
        <w:t>. San Francisco, CA: Jossey-Bass.</w:t>
      </w:r>
    </w:p>
    <w:p w14:paraId="36E0E95A" w14:textId="77777777" w:rsidR="00AA2B4B" w:rsidRPr="00AA2B4B" w:rsidRDefault="00AA2B4B" w:rsidP="00AA2B4B">
      <w:pPr>
        <w:rPr>
          <w:lang w:val="en-US"/>
        </w:rPr>
      </w:pPr>
      <w:r w:rsidRPr="00AA2B4B">
        <w:rPr>
          <w:lang w:val="en-US"/>
        </w:rPr>
        <w:t xml:space="preserve"> </w:t>
      </w:r>
    </w:p>
    <w:p w14:paraId="6D64E92D" w14:textId="77777777" w:rsidR="00AA2B4B" w:rsidRPr="00AA2B4B" w:rsidRDefault="00AA2B4B" w:rsidP="00AA2B4B">
      <w:pPr>
        <w:rPr>
          <w:lang w:val="en-US"/>
        </w:rPr>
      </w:pPr>
      <w:r w:rsidRPr="00AA2B4B">
        <w:rPr>
          <w:lang w:val="en-US"/>
        </w:rPr>
        <w:t xml:space="preserve"> </w:t>
      </w:r>
    </w:p>
    <w:p w14:paraId="53524820" w14:textId="77777777" w:rsidR="00AA2B4B" w:rsidRPr="00AA2B4B" w:rsidRDefault="00AA2B4B" w:rsidP="00AA2B4B">
      <w:pPr>
        <w:rPr>
          <w:lang w:val="en-US"/>
        </w:rPr>
      </w:pPr>
      <w:r w:rsidRPr="00AA2B4B">
        <w:rPr>
          <w:lang w:val="en-US"/>
        </w:rPr>
        <w:t xml:space="preserve">Dallimore, D. (2019) ‘Early Childhood Education and Care in Wales: An introduction’, </w:t>
      </w:r>
      <w:r w:rsidRPr="00AA2B4B">
        <w:rPr>
          <w:i/>
          <w:lang w:val="en-US"/>
        </w:rPr>
        <w:t>Research Briefing</w:t>
      </w:r>
      <w:r w:rsidRPr="00AA2B4B">
        <w:rPr>
          <w:lang w:val="en-US"/>
        </w:rPr>
        <w:t>. National Assembly for Wales.</w:t>
      </w:r>
    </w:p>
    <w:p w14:paraId="16A5D94E" w14:textId="77777777" w:rsidR="00AA2B4B" w:rsidRPr="00AA2B4B" w:rsidRDefault="00AA2B4B" w:rsidP="00AA2B4B">
      <w:pPr>
        <w:rPr>
          <w:lang w:val="en-US"/>
        </w:rPr>
      </w:pPr>
      <w:r w:rsidRPr="00AA2B4B">
        <w:rPr>
          <w:lang w:val="en-US"/>
        </w:rPr>
        <w:t xml:space="preserve"> </w:t>
      </w:r>
    </w:p>
    <w:p w14:paraId="738E4B77" w14:textId="77777777" w:rsidR="00AA2B4B" w:rsidRPr="00AA2B4B" w:rsidRDefault="00AA2B4B" w:rsidP="00AA2B4B">
      <w:pPr>
        <w:rPr>
          <w:lang w:val="en-US"/>
        </w:rPr>
      </w:pPr>
      <w:r w:rsidRPr="00AA2B4B">
        <w:rPr>
          <w:lang w:val="en-US"/>
        </w:rPr>
        <w:t>Department for Education. (2013). The national curriculum in England: Framework document.</w:t>
      </w:r>
    </w:p>
    <w:p w14:paraId="34F21509" w14:textId="77777777" w:rsidR="00AA2B4B" w:rsidRPr="00AA2B4B" w:rsidRDefault="00AA2B4B" w:rsidP="00AA2B4B">
      <w:pPr>
        <w:rPr>
          <w:lang w:val="en-US"/>
        </w:rPr>
      </w:pPr>
      <w:r w:rsidRPr="00AA2B4B">
        <w:rPr>
          <w:lang w:val="en-US"/>
        </w:rPr>
        <w:t xml:space="preserve"> </w:t>
      </w:r>
    </w:p>
    <w:p w14:paraId="461DB709" w14:textId="77777777" w:rsidR="00AA2B4B" w:rsidRPr="00AA2B4B" w:rsidRDefault="00AA2B4B" w:rsidP="00AA2B4B">
      <w:pPr>
        <w:rPr>
          <w:lang w:val="en-US"/>
        </w:rPr>
      </w:pPr>
      <w:r w:rsidRPr="00AA2B4B">
        <w:rPr>
          <w:lang w:val="en-US"/>
        </w:rPr>
        <w:t xml:space="preserve">Department for Education (2013) </w:t>
      </w:r>
      <w:r w:rsidRPr="00AA2B4B">
        <w:rPr>
          <w:i/>
          <w:lang w:val="en-US"/>
        </w:rPr>
        <w:t>National Curriculum in England: Framework for Key Stages 1 to 4</w:t>
      </w:r>
      <w:r w:rsidRPr="00AA2B4B">
        <w:rPr>
          <w:lang w:val="en-US"/>
        </w:rPr>
        <w:t xml:space="preserve">. Available at: </w:t>
      </w:r>
      <w:hyperlink r:id="rId10" w:history="1">
        <w:r w:rsidRPr="00AA2B4B">
          <w:rPr>
            <w:rStyle w:val="af3"/>
            <w:lang w:val="en-US"/>
          </w:rPr>
          <w:t>https://www.gov.uk/government/publications/national-curriculum-in-england-framework-for-key-stages-1-to-4</w:t>
        </w:r>
      </w:hyperlink>
      <w:r w:rsidRPr="00AA2B4B">
        <w:rPr>
          <w:lang w:val="en-US"/>
        </w:rPr>
        <w:t xml:space="preserve"> (Accessed: 27 September 2024).</w:t>
      </w:r>
    </w:p>
    <w:p w14:paraId="7D03BA05" w14:textId="77777777" w:rsidR="00AA2B4B" w:rsidRPr="00AA2B4B" w:rsidRDefault="00AA2B4B" w:rsidP="00AA2B4B">
      <w:pPr>
        <w:rPr>
          <w:lang w:val="en-US"/>
        </w:rPr>
      </w:pPr>
      <w:r w:rsidRPr="00AA2B4B">
        <w:rPr>
          <w:lang w:val="en-US"/>
        </w:rPr>
        <w:t xml:space="preserve"> </w:t>
      </w:r>
    </w:p>
    <w:p w14:paraId="13044549" w14:textId="77777777" w:rsidR="00AA2B4B" w:rsidRPr="00AA2B4B" w:rsidRDefault="00AA2B4B" w:rsidP="00AA2B4B">
      <w:pPr>
        <w:rPr>
          <w:lang w:val="en-US"/>
        </w:rPr>
      </w:pPr>
      <w:r w:rsidRPr="00AA2B4B">
        <w:rPr>
          <w:lang w:val="en-US"/>
        </w:rPr>
        <w:t xml:space="preserve">Department for Education. (2014). The national curriculum in England: Key stages 1 and 2 framework </w:t>
      </w:r>
      <w:proofErr w:type="gramStart"/>
      <w:r w:rsidRPr="00AA2B4B">
        <w:rPr>
          <w:lang w:val="en-US"/>
        </w:rPr>
        <w:t>document</w:t>
      </w:r>
      <w:proofErr w:type="gramEnd"/>
      <w:r w:rsidRPr="00AA2B4B">
        <w:rPr>
          <w:lang w:val="en-US"/>
        </w:rPr>
        <w:t>.</w:t>
      </w:r>
    </w:p>
    <w:p w14:paraId="25E2B18D" w14:textId="77777777" w:rsidR="00AA2B4B" w:rsidRPr="00AA2B4B" w:rsidRDefault="00AA2B4B" w:rsidP="00AA2B4B">
      <w:pPr>
        <w:rPr>
          <w:lang w:val="en-US"/>
        </w:rPr>
      </w:pPr>
      <w:r w:rsidRPr="00AA2B4B">
        <w:rPr>
          <w:lang w:val="en-US"/>
        </w:rPr>
        <w:lastRenderedPageBreak/>
        <w:t xml:space="preserve"> </w:t>
      </w:r>
    </w:p>
    <w:p w14:paraId="04C23243" w14:textId="77777777" w:rsidR="00AA2B4B" w:rsidRPr="00AA2B4B" w:rsidRDefault="00AA2B4B" w:rsidP="00AA2B4B">
      <w:pPr>
        <w:rPr>
          <w:lang w:val="en-US"/>
        </w:rPr>
      </w:pPr>
      <w:r w:rsidRPr="00AA2B4B">
        <w:rPr>
          <w:lang w:val="en-US"/>
        </w:rPr>
        <w:t xml:space="preserve">Donaldson, </w:t>
      </w:r>
      <w:proofErr w:type="gramStart"/>
      <w:r w:rsidRPr="00AA2B4B">
        <w:rPr>
          <w:lang w:val="en-US"/>
        </w:rPr>
        <w:t>G.(</w:t>
      </w:r>
      <w:proofErr w:type="gramEnd"/>
      <w:r w:rsidRPr="00AA2B4B">
        <w:rPr>
          <w:lang w:val="en-US"/>
        </w:rPr>
        <w:t xml:space="preserve">2015). </w:t>
      </w:r>
      <w:r w:rsidRPr="00AA2B4B">
        <w:rPr>
          <w:i/>
          <w:lang w:val="en-US"/>
        </w:rPr>
        <w:t>Successful futures: Independent review of curriculum and assessment arrangements in Wales</w:t>
      </w:r>
      <w:r w:rsidRPr="00AA2B4B">
        <w:rPr>
          <w:lang w:val="en-US"/>
        </w:rPr>
        <w:t xml:space="preserve">. Welsh Government. Available at: </w:t>
      </w:r>
      <w:hyperlink r:id="rId11" w:history="1">
        <w:r w:rsidRPr="00AA2B4B">
          <w:rPr>
            <w:rStyle w:val="af3"/>
            <w:lang w:val="en-US"/>
          </w:rPr>
          <w:t>https://dera.ioe.ac.uk/id/eprint/22165/</w:t>
        </w:r>
      </w:hyperlink>
      <w:r w:rsidRPr="00AA2B4B">
        <w:rPr>
          <w:lang w:val="en-US"/>
        </w:rPr>
        <w:t xml:space="preserve"> [Accessed 16 July 2024].</w:t>
      </w:r>
    </w:p>
    <w:p w14:paraId="290EE51F" w14:textId="77777777" w:rsidR="00AA2B4B" w:rsidRPr="00AA2B4B" w:rsidRDefault="00AA2B4B" w:rsidP="00AA2B4B">
      <w:pPr>
        <w:rPr>
          <w:lang w:val="en-US"/>
        </w:rPr>
      </w:pPr>
      <w:r w:rsidRPr="00AA2B4B">
        <w:rPr>
          <w:lang w:val="en-US"/>
        </w:rPr>
        <w:t xml:space="preserve"> </w:t>
      </w:r>
    </w:p>
    <w:p w14:paraId="3B789341" w14:textId="77777777" w:rsidR="00AA2B4B" w:rsidRPr="00AA2B4B" w:rsidRDefault="00AA2B4B" w:rsidP="00AA2B4B">
      <w:pPr>
        <w:rPr>
          <w:lang w:val="en-US"/>
        </w:rPr>
      </w:pPr>
      <w:r w:rsidRPr="00AA2B4B">
        <w:rPr>
          <w:lang w:val="en-US"/>
        </w:rPr>
        <w:t xml:space="preserve">Donaldson, G. (2016). A systematic approach to curriculum reform in Wales. </w:t>
      </w:r>
      <w:r w:rsidRPr="00AA2B4B">
        <w:rPr>
          <w:i/>
          <w:iCs/>
          <w:lang w:val="en-US"/>
        </w:rPr>
        <w:t>Wales Journal of Education</w:t>
      </w:r>
      <w:r w:rsidRPr="00AA2B4B">
        <w:rPr>
          <w:lang w:val="en-US"/>
        </w:rPr>
        <w:t xml:space="preserve">, </w:t>
      </w:r>
      <w:r w:rsidRPr="00AA2B4B">
        <w:rPr>
          <w:i/>
          <w:iCs/>
          <w:lang w:val="en-US"/>
        </w:rPr>
        <w:t>18</w:t>
      </w:r>
      <w:r w:rsidRPr="00AA2B4B">
        <w:rPr>
          <w:lang w:val="en-US"/>
        </w:rPr>
        <w:t>(1).</w:t>
      </w:r>
    </w:p>
    <w:p w14:paraId="1BB5F8E9" w14:textId="77777777" w:rsidR="00AA2B4B" w:rsidRPr="00AA2B4B" w:rsidRDefault="00AA2B4B" w:rsidP="00AA2B4B">
      <w:pPr>
        <w:rPr>
          <w:lang w:val="en-US"/>
        </w:rPr>
      </w:pPr>
      <w:r w:rsidRPr="00AA2B4B">
        <w:rPr>
          <w:lang w:val="en-US"/>
        </w:rPr>
        <w:t xml:space="preserve"> </w:t>
      </w:r>
    </w:p>
    <w:p w14:paraId="2F1AC362" w14:textId="77777777" w:rsidR="00AA2B4B" w:rsidRPr="00AA2B4B" w:rsidRDefault="00AA2B4B" w:rsidP="00AA2B4B">
      <w:pPr>
        <w:rPr>
          <w:lang w:val="en-US"/>
        </w:rPr>
      </w:pPr>
      <w:r w:rsidRPr="00AA2B4B">
        <w:rPr>
          <w:lang w:val="en-US"/>
        </w:rPr>
        <w:t xml:space="preserve"> </w:t>
      </w:r>
    </w:p>
    <w:p w14:paraId="30C65E0B" w14:textId="77777777" w:rsidR="00AA2B4B" w:rsidRPr="00AA2B4B" w:rsidRDefault="00AA2B4B" w:rsidP="00AA2B4B">
      <w:pPr>
        <w:rPr>
          <w:lang w:val="en-US"/>
        </w:rPr>
      </w:pPr>
      <w:r w:rsidRPr="00AA2B4B">
        <w:rPr>
          <w:lang w:val="en-US"/>
        </w:rPr>
        <w:t xml:space="preserve"> </w:t>
      </w:r>
    </w:p>
    <w:p w14:paraId="4512A4DC" w14:textId="77777777" w:rsidR="00AA2B4B" w:rsidRPr="00AA2B4B" w:rsidRDefault="00AA2B4B" w:rsidP="00AA2B4B">
      <w:pPr>
        <w:rPr>
          <w:lang w:val="en-US"/>
        </w:rPr>
      </w:pPr>
      <w:r w:rsidRPr="00AA2B4B">
        <w:rPr>
          <w:lang w:val="en-US"/>
        </w:rPr>
        <w:t xml:space="preserve">Education Wales, 2021. </w:t>
      </w:r>
      <w:r w:rsidRPr="00AA2B4B">
        <w:rPr>
          <w:i/>
          <w:lang w:val="en-US"/>
        </w:rPr>
        <w:t>Curriculum for Wales Implementation Plan</w:t>
      </w:r>
      <w:r w:rsidRPr="00AA2B4B">
        <w:rPr>
          <w:lang w:val="en-US"/>
        </w:rPr>
        <w:t xml:space="preserve">. [online] Available at: </w:t>
      </w:r>
      <w:hyperlink r:id="rId12" w:history="1">
        <w:r w:rsidRPr="00AA2B4B">
          <w:rPr>
            <w:rStyle w:val="af3"/>
            <w:lang w:val="en-US"/>
          </w:rPr>
          <w:t>https://educationwales.blog.gov.wales/2021/01/27/curriculum-for-wales-implementation-plan/</w:t>
        </w:r>
      </w:hyperlink>
      <w:r w:rsidRPr="00AA2B4B">
        <w:rPr>
          <w:lang w:val="en-US"/>
        </w:rPr>
        <w:t xml:space="preserve"> [Accessed 16 July 2024].</w:t>
      </w:r>
    </w:p>
    <w:p w14:paraId="774B7618" w14:textId="77777777" w:rsidR="00AA2B4B" w:rsidRPr="00AA2B4B" w:rsidRDefault="00AA2B4B" w:rsidP="00AA2B4B">
      <w:pPr>
        <w:rPr>
          <w:lang w:val="en-US"/>
        </w:rPr>
      </w:pPr>
      <w:r w:rsidRPr="00AA2B4B">
        <w:rPr>
          <w:lang w:val="en-US"/>
        </w:rPr>
        <w:t xml:space="preserve"> </w:t>
      </w:r>
    </w:p>
    <w:p w14:paraId="24FE5F52" w14:textId="77777777" w:rsidR="00AA2B4B" w:rsidRPr="00AA2B4B" w:rsidRDefault="00AA2B4B" w:rsidP="00AA2B4B">
      <w:pPr>
        <w:rPr>
          <w:lang w:val="en-US"/>
        </w:rPr>
      </w:pPr>
      <w:r w:rsidRPr="00AA2B4B">
        <w:rPr>
          <w:lang w:val="en-US"/>
        </w:rPr>
        <w:t xml:space="preserve">Education Wales, 2024. </w:t>
      </w:r>
      <w:r w:rsidRPr="00AA2B4B">
        <w:rPr>
          <w:i/>
          <w:lang w:val="en-US"/>
        </w:rPr>
        <w:t>Updates to the Curriculum for Wales Guidance</w:t>
      </w:r>
      <w:r w:rsidRPr="00AA2B4B">
        <w:rPr>
          <w:lang w:val="en-US"/>
        </w:rPr>
        <w:t xml:space="preserve">. [online] Available at: </w:t>
      </w:r>
      <w:hyperlink r:id="rId13" w:history="1">
        <w:r w:rsidRPr="00AA2B4B">
          <w:rPr>
            <w:rStyle w:val="af3"/>
            <w:lang w:val="en-US"/>
          </w:rPr>
          <w:t>https://educationwales.blog.gov.wales/2024/02/09/updates-to-the-curriculum-for-wales-guidance/</w:t>
        </w:r>
      </w:hyperlink>
      <w:r w:rsidRPr="00AA2B4B">
        <w:rPr>
          <w:lang w:val="en-US"/>
        </w:rPr>
        <w:t xml:space="preserve"> [Accessed 16 July 2024].</w:t>
      </w:r>
    </w:p>
    <w:p w14:paraId="4D9B9625" w14:textId="77777777" w:rsidR="00AA2B4B" w:rsidRPr="00AA2B4B" w:rsidRDefault="00AA2B4B" w:rsidP="00AA2B4B">
      <w:pPr>
        <w:rPr>
          <w:lang w:val="en-US"/>
        </w:rPr>
      </w:pPr>
      <w:r w:rsidRPr="00AA2B4B">
        <w:rPr>
          <w:lang w:val="en-US"/>
        </w:rPr>
        <w:t xml:space="preserve"> </w:t>
      </w:r>
    </w:p>
    <w:p w14:paraId="64DBDC9C" w14:textId="77777777" w:rsidR="00AA2B4B" w:rsidRPr="00AA2B4B" w:rsidRDefault="00AA2B4B" w:rsidP="00AA2B4B">
      <w:pPr>
        <w:rPr>
          <w:lang w:val="en-US"/>
        </w:rPr>
      </w:pPr>
      <w:r w:rsidRPr="00AA2B4B">
        <w:rPr>
          <w:lang w:val="en-US"/>
        </w:rPr>
        <w:t xml:space="preserve">Elwyn Jones, G. (2006) ‘Education and Nationhood in Wales: An Historiographical Analysis’, </w:t>
      </w:r>
      <w:r w:rsidRPr="00AA2B4B">
        <w:rPr>
          <w:i/>
          <w:iCs/>
          <w:lang w:val="en-US"/>
        </w:rPr>
        <w:t>Journal of educational administration and history</w:t>
      </w:r>
      <w:r w:rsidRPr="00AA2B4B">
        <w:rPr>
          <w:lang w:val="en-US"/>
        </w:rPr>
        <w:t xml:space="preserve">, 38(3), pp. 263–277. Available at: </w:t>
      </w:r>
      <w:hyperlink r:id="rId14" w:history="1">
        <w:r w:rsidRPr="00AA2B4B">
          <w:rPr>
            <w:rStyle w:val="af3"/>
            <w:lang w:val="en-US"/>
          </w:rPr>
          <w:t>https://doi.org/10.1080/00220620600984313.</w:t>
        </w:r>
      </w:hyperlink>
    </w:p>
    <w:p w14:paraId="61AB3E56" w14:textId="77777777" w:rsidR="00AA2B4B" w:rsidRPr="00AA2B4B" w:rsidRDefault="00AA2B4B" w:rsidP="00AA2B4B">
      <w:pPr>
        <w:rPr>
          <w:lang w:val="en-US"/>
        </w:rPr>
      </w:pPr>
      <w:r w:rsidRPr="00AA2B4B">
        <w:rPr>
          <w:lang w:val="en-US"/>
        </w:rPr>
        <w:t xml:space="preserve"> </w:t>
      </w:r>
    </w:p>
    <w:p w14:paraId="01835824" w14:textId="77777777" w:rsidR="00AA2B4B" w:rsidRPr="00AA2B4B" w:rsidRDefault="00AA2B4B" w:rsidP="00AA2B4B">
      <w:pPr>
        <w:rPr>
          <w:lang w:val="en-US"/>
        </w:rPr>
      </w:pPr>
      <w:proofErr w:type="spellStart"/>
      <w:r w:rsidRPr="00AA2B4B">
        <w:rPr>
          <w:lang w:val="en-US"/>
        </w:rPr>
        <w:t>Estyn</w:t>
      </w:r>
      <w:proofErr w:type="spellEnd"/>
      <w:r w:rsidRPr="00AA2B4B">
        <w:rPr>
          <w:lang w:val="en-US"/>
        </w:rPr>
        <w:t xml:space="preserve">. (2018). Annual Report on the State of Education in Wales 2017-2018. Retrieved from </w:t>
      </w:r>
      <w:hyperlink r:id="rId15" w:history="1">
        <w:r w:rsidRPr="00AA2B4B">
          <w:rPr>
            <w:rStyle w:val="af3"/>
            <w:lang w:val="en-US"/>
          </w:rPr>
          <w:t>https://www.estyn.gov.wales/node/13730</w:t>
        </w:r>
      </w:hyperlink>
      <w:r w:rsidRPr="00AA2B4B">
        <w:rPr>
          <w:lang w:val="en-US"/>
        </w:rPr>
        <w:t>.</w:t>
      </w:r>
    </w:p>
    <w:p w14:paraId="26D909F6" w14:textId="77777777" w:rsidR="00AA2B4B" w:rsidRPr="00AA2B4B" w:rsidRDefault="00AA2B4B" w:rsidP="00AA2B4B">
      <w:pPr>
        <w:rPr>
          <w:lang w:val="en-US"/>
        </w:rPr>
      </w:pPr>
      <w:r w:rsidRPr="00AA2B4B">
        <w:rPr>
          <w:lang w:val="en-US"/>
        </w:rPr>
        <w:t xml:space="preserve"> </w:t>
      </w:r>
    </w:p>
    <w:p w14:paraId="6F5FF4A3" w14:textId="77777777" w:rsidR="00AA2B4B" w:rsidRPr="00AA2B4B" w:rsidRDefault="00AA2B4B" w:rsidP="00AA2B4B">
      <w:pPr>
        <w:rPr>
          <w:lang w:val="en-US"/>
        </w:rPr>
      </w:pPr>
      <w:r w:rsidRPr="00AA2B4B">
        <w:rPr>
          <w:lang w:val="en-US"/>
        </w:rPr>
        <w:t xml:space="preserve">Gardner, J. (2012) </w:t>
      </w:r>
      <w:r w:rsidRPr="00AA2B4B">
        <w:rPr>
          <w:i/>
          <w:lang w:val="en-US"/>
        </w:rPr>
        <w:t>Assessment and learning</w:t>
      </w:r>
      <w:r w:rsidRPr="00AA2B4B">
        <w:rPr>
          <w:lang w:val="en-US"/>
        </w:rPr>
        <w:t xml:space="preserve">. 2nd </w:t>
      </w:r>
      <w:proofErr w:type="spellStart"/>
      <w:r w:rsidRPr="00AA2B4B">
        <w:rPr>
          <w:lang w:val="en-US"/>
        </w:rPr>
        <w:t>edn</w:t>
      </w:r>
      <w:proofErr w:type="spellEnd"/>
      <w:r w:rsidRPr="00AA2B4B">
        <w:rPr>
          <w:lang w:val="en-US"/>
        </w:rPr>
        <w:t>. London: Sage.</w:t>
      </w:r>
    </w:p>
    <w:p w14:paraId="4F39077D" w14:textId="77777777" w:rsidR="00AA2B4B" w:rsidRPr="00AA2B4B" w:rsidRDefault="00AA2B4B" w:rsidP="00AA2B4B">
      <w:pPr>
        <w:rPr>
          <w:lang w:val="en-US"/>
        </w:rPr>
      </w:pPr>
      <w:r w:rsidRPr="00AA2B4B">
        <w:rPr>
          <w:lang w:val="en-US"/>
        </w:rPr>
        <w:t xml:space="preserve"> </w:t>
      </w:r>
    </w:p>
    <w:p w14:paraId="59E128CA" w14:textId="77777777" w:rsidR="00AA2B4B" w:rsidRPr="00AA2B4B" w:rsidRDefault="00AA2B4B" w:rsidP="00AA2B4B">
      <w:pPr>
        <w:rPr>
          <w:lang w:val="en-US"/>
        </w:rPr>
      </w:pPr>
      <w:r w:rsidRPr="00AA2B4B">
        <w:rPr>
          <w:lang w:val="en-US"/>
        </w:rPr>
        <w:t xml:space="preserve">Harlen, W. (2007) 'The role of assessment in developing motivation for learning', in Gardner, J. (ed.) </w:t>
      </w:r>
      <w:r w:rsidRPr="00AA2B4B">
        <w:rPr>
          <w:i/>
          <w:lang w:val="en-US"/>
        </w:rPr>
        <w:t>Assessment and learning</w:t>
      </w:r>
      <w:r w:rsidRPr="00AA2B4B">
        <w:rPr>
          <w:lang w:val="en-US"/>
        </w:rPr>
        <w:t>. London: Sage</w:t>
      </w:r>
    </w:p>
    <w:p w14:paraId="2DE6BA2E" w14:textId="77777777" w:rsidR="00AA2B4B" w:rsidRPr="00AA2B4B" w:rsidRDefault="00AA2B4B" w:rsidP="00AA2B4B">
      <w:pPr>
        <w:rPr>
          <w:lang w:val="en-US"/>
        </w:rPr>
      </w:pPr>
      <w:r w:rsidRPr="00AA2B4B">
        <w:rPr>
          <w:lang w:val="en-US"/>
        </w:rPr>
        <w:t xml:space="preserve"> </w:t>
      </w:r>
    </w:p>
    <w:p w14:paraId="078146AA" w14:textId="77777777" w:rsidR="00AA2B4B" w:rsidRPr="00AA2B4B" w:rsidRDefault="00AA2B4B" w:rsidP="00AA2B4B">
      <w:pPr>
        <w:rPr>
          <w:lang w:val="en-US"/>
        </w:rPr>
      </w:pPr>
      <w:r w:rsidRPr="00AA2B4B">
        <w:rPr>
          <w:lang w:val="en-US"/>
        </w:rPr>
        <w:lastRenderedPageBreak/>
        <w:t xml:space="preserve">Hattie, J. (2009). </w:t>
      </w:r>
      <w:r w:rsidRPr="00AA2B4B">
        <w:rPr>
          <w:i/>
          <w:iCs/>
          <w:lang w:val="en-US"/>
        </w:rPr>
        <w:t>Visible Learning</w:t>
      </w:r>
      <w:r w:rsidRPr="00AA2B4B">
        <w:rPr>
          <w:lang w:val="en-US"/>
        </w:rPr>
        <w:t>. London: Routledge.</w:t>
      </w:r>
    </w:p>
    <w:p w14:paraId="058093F8" w14:textId="77777777" w:rsidR="00AA2B4B" w:rsidRPr="00AA2B4B" w:rsidRDefault="00AA2B4B" w:rsidP="00AA2B4B">
      <w:pPr>
        <w:rPr>
          <w:lang w:val="en-US"/>
        </w:rPr>
      </w:pPr>
      <w:r w:rsidRPr="00AA2B4B">
        <w:rPr>
          <w:lang w:val="en-US"/>
        </w:rPr>
        <w:t xml:space="preserve"> </w:t>
      </w:r>
    </w:p>
    <w:p w14:paraId="30B94B04" w14:textId="77777777" w:rsidR="00AA2B4B" w:rsidRPr="00AA2B4B" w:rsidRDefault="00AA2B4B" w:rsidP="00AA2B4B">
      <w:pPr>
        <w:rPr>
          <w:lang w:val="en-US"/>
        </w:rPr>
      </w:pPr>
      <w:r w:rsidRPr="00AA2B4B">
        <w:rPr>
          <w:lang w:val="en-US"/>
        </w:rPr>
        <w:t xml:space="preserve"> </w:t>
      </w:r>
    </w:p>
    <w:p w14:paraId="4F7F9B97" w14:textId="77777777" w:rsidR="00AA2B4B" w:rsidRPr="00AA2B4B" w:rsidRDefault="00AA2B4B" w:rsidP="00AA2B4B">
      <w:pPr>
        <w:rPr>
          <w:lang w:val="en-US"/>
        </w:rPr>
      </w:pPr>
      <w:r w:rsidRPr="00AA2B4B">
        <w:rPr>
          <w:lang w:val="en-US"/>
        </w:rPr>
        <w:t>Jansen, J. (2011). Piaget’s Cognitive Development Theory. In: Goldstein, S. &amp; Naglieri, J.A. (eds) Encyclopedia of Child Behavior and Development. Springer, Boston, MA.</w:t>
      </w:r>
    </w:p>
    <w:p w14:paraId="6D80C01A" w14:textId="77777777" w:rsidR="00AA2B4B" w:rsidRPr="00AA2B4B" w:rsidRDefault="00AA2B4B" w:rsidP="00AA2B4B">
      <w:pPr>
        <w:rPr>
          <w:lang w:val="en-US"/>
        </w:rPr>
      </w:pPr>
      <w:r w:rsidRPr="00AA2B4B">
        <w:rPr>
          <w:lang w:val="en-US"/>
        </w:rPr>
        <w:t xml:space="preserve"> </w:t>
      </w:r>
    </w:p>
    <w:p w14:paraId="7F5693E3" w14:textId="77777777" w:rsidR="00AA2B4B" w:rsidRPr="00AA2B4B" w:rsidRDefault="00AA2B4B" w:rsidP="00AA2B4B">
      <w:pPr>
        <w:rPr>
          <w:lang w:val="en-US"/>
        </w:rPr>
      </w:pPr>
      <w:proofErr w:type="spellStart"/>
      <w:r w:rsidRPr="00AA2B4B">
        <w:rPr>
          <w:lang w:val="en-US"/>
        </w:rPr>
        <w:t>Kampourakis</w:t>
      </w:r>
      <w:proofErr w:type="spellEnd"/>
      <w:r w:rsidRPr="00AA2B4B">
        <w:rPr>
          <w:lang w:val="en-US"/>
        </w:rPr>
        <w:t xml:space="preserve">, K. and McCain, K. (2019). The psychology of (un)certainty. In: </w:t>
      </w:r>
      <w:r w:rsidRPr="00AA2B4B">
        <w:rPr>
          <w:i/>
          <w:lang w:val="en-US"/>
        </w:rPr>
        <w:t>Uncertainty: How It Makes Science Advance</w:t>
      </w:r>
      <w:r w:rsidRPr="00AA2B4B">
        <w:rPr>
          <w:lang w:val="en-US"/>
        </w:rPr>
        <w:t>. New York: Oxford Academic.</w:t>
      </w:r>
    </w:p>
    <w:p w14:paraId="377461C7" w14:textId="77777777" w:rsidR="00AA2B4B" w:rsidRPr="00AA2B4B" w:rsidRDefault="00AA2B4B" w:rsidP="00AA2B4B">
      <w:pPr>
        <w:rPr>
          <w:lang w:val="en-US"/>
        </w:rPr>
      </w:pPr>
      <w:r w:rsidRPr="00AA2B4B">
        <w:rPr>
          <w:lang w:val="en-US"/>
        </w:rPr>
        <w:t xml:space="preserve"> </w:t>
      </w:r>
    </w:p>
    <w:p w14:paraId="06D7E1F1" w14:textId="77777777" w:rsidR="00AA2B4B" w:rsidRPr="00AA2B4B" w:rsidRDefault="00AA2B4B" w:rsidP="00AA2B4B">
      <w:pPr>
        <w:rPr>
          <w:lang w:val="en-US"/>
        </w:rPr>
      </w:pPr>
      <w:r w:rsidRPr="00AA2B4B">
        <w:rPr>
          <w:lang w:val="en-US"/>
        </w:rPr>
        <w:t xml:space="preserve">Lawton, D. (2012) </w:t>
      </w:r>
      <w:r w:rsidRPr="00AA2B4B">
        <w:rPr>
          <w:i/>
          <w:lang w:val="en-US"/>
        </w:rPr>
        <w:t>Education and politics in the 1990s: Conflict or consensus?</w:t>
      </w:r>
      <w:r w:rsidRPr="00AA2B4B">
        <w:rPr>
          <w:lang w:val="en-US"/>
        </w:rPr>
        <w:t xml:space="preserve"> London: Routledge.</w:t>
      </w:r>
    </w:p>
    <w:p w14:paraId="23039B71" w14:textId="77777777" w:rsidR="00AA2B4B" w:rsidRPr="00AA2B4B" w:rsidRDefault="00AA2B4B" w:rsidP="00AA2B4B">
      <w:pPr>
        <w:rPr>
          <w:lang w:val="en-US"/>
        </w:rPr>
      </w:pPr>
      <w:r w:rsidRPr="00AA2B4B">
        <w:rPr>
          <w:lang w:val="en-US"/>
        </w:rPr>
        <w:t xml:space="preserve"> </w:t>
      </w:r>
    </w:p>
    <w:p w14:paraId="5C6EFD10" w14:textId="77777777" w:rsidR="00AA2B4B" w:rsidRPr="00AA2B4B" w:rsidRDefault="00AA2B4B" w:rsidP="00AA2B4B">
      <w:pPr>
        <w:rPr>
          <w:lang w:val="en-US"/>
        </w:rPr>
      </w:pPr>
      <w:r w:rsidRPr="00AA2B4B">
        <w:rPr>
          <w:lang w:val="en-US"/>
        </w:rPr>
        <w:t xml:space="preserve">NAEYC (2021) </w:t>
      </w:r>
      <w:r w:rsidRPr="00AA2B4B">
        <w:rPr>
          <w:i/>
          <w:lang w:val="en-US"/>
        </w:rPr>
        <w:t>Developmentally Appropriate Practice (DAP): Planning and Implementing an Engaging Curriculum to Achieve Meaningful Goals</w:t>
      </w:r>
      <w:r w:rsidRPr="00AA2B4B">
        <w:rPr>
          <w:lang w:val="en-US"/>
        </w:rPr>
        <w:t xml:space="preserve">. Available at: </w:t>
      </w:r>
      <w:hyperlink r:id="rId16" w:history="1">
        <w:r w:rsidRPr="00AA2B4B">
          <w:rPr>
            <w:rStyle w:val="af3"/>
            <w:lang w:val="en-US"/>
          </w:rPr>
          <w:t>https://www.naeyc.org/resources/position-statements/dap</w:t>
        </w:r>
      </w:hyperlink>
      <w:r w:rsidRPr="00AA2B4B">
        <w:rPr>
          <w:lang w:val="en-US"/>
        </w:rPr>
        <w:t xml:space="preserve"> (Accessed: 27 September 2024)</w:t>
      </w:r>
    </w:p>
    <w:p w14:paraId="28EF45CD" w14:textId="77777777" w:rsidR="00AA2B4B" w:rsidRPr="00AA2B4B" w:rsidRDefault="00AA2B4B" w:rsidP="00AA2B4B">
      <w:pPr>
        <w:rPr>
          <w:lang w:val="en-US"/>
        </w:rPr>
      </w:pPr>
      <w:r w:rsidRPr="00AA2B4B">
        <w:rPr>
          <w:lang w:val="en-US"/>
        </w:rPr>
        <w:t xml:space="preserve"> </w:t>
      </w:r>
    </w:p>
    <w:p w14:paraId="7E558E07" w14:textId="77777777" w:rsidR="00AA2B4B" w:rsidRPr="00AA2B4B" w:rsidRDefault="00AA2B4B" w:rsidP="00AA2B4B">
      <w:pPr>
        <w:rPr>
          <w:lang w:val="en-US"/>
        </w:rPr>
      </w:pPr>
      <w:r w:rsidRPr="00AA2B4B">
        <w:rPr>
          <w:lang w:val="en-US"/>
        </w:rPr>
        <w:t xml:space="preserve">Nardi, E. and Steward, S. (2003) 'Is mathematics T.I.R.E.D.? A profile of quiet disaffection in the secondary mathematics classroom', </w:t>
      </w:r>
      <w:r w:rsidRPr="00AA2B4B">
        <w:rPr>
          <w:i/>
          <w:lang w:val="en-US"/>
        </w:rPr>
        <w:t>British Educational Research Journal</w:t>
      </w:r>
      <w:r w:rsidRPr="00AA2B4B">
        <w:rPr>
          <w:lang w:val="en-US"/>
        </w:rPr>
        <w:t>, 29(3), pp. 345-367.</w:t>
      </w:r>
    </w:p>
    <w:p w14:paraId="3336AA77" w14:textId="77777777" w:rsidR="00AA2B4B" w:rsidRPr="00AA2B4B" w:rsidRDefault="00AA2B4B" w:rsidP="00AA2B4B">
      <w:pPr>
        <w:rPr>
          <w:lang w:val="en-US"/>
        </w:rPr>
      </w:pPr>
      <w:r w:rsidRPr="00AA2B4B">
        <w:rPr>
          <w:lang w:val="en-US"/>
        </w:rPr>
        <w:t xml:space="preserve"> </w:t>
      </w:r>
    </w:p>
    <w:p w14:paraId="53365DE3" w14:textId="77777777" w:rsidR="00AA2B4B" w:rsidRPr="00AA2B4B" w:rsidRDefault="00AA2B4B" w:rsidP="00AA2B4B">
      <w:pPr>
        <w:rPr>
          <w:lang w:val="en-US"/>
        </w:rPr>
      </w:pPr>
      <w:r w:rsidRPr="00AA2B4B">
        <w:rPr>
          <w:lang w:val="en-US"/>
        </w:rPr>
        <w:t xml:space="preserve">Pathak, S., </w:t>
      </w:r>
      <w:proofErr w:type="spellStart"/>
      <w:r w:rsidRPr="00AA2B4B">
        <w:rPr>
          <w:lang w:val="en-US"/>
        </w:rPr>
        <w:t>Dewangan</w:t>
      </w:r>
      <w:proofErr w:type="spellEnd"/>
      <w:r w:rsidRPr="00AA2B4B">
        <w:rPr>
          <w:lang w:val="en-US"/>
        </w:rPr>
        <w:t xml:space="preserve">, R.L., Mohanty, S.N. (2021). Decision Making Under Uncertainty and Problem Solving. In: Nandan Mohanty, S. ed., </w:t>
      </w:r>
      <w:r w:rsidRPr="00AA2B4B">
        <w:rPr>
          <w:i/>
          <w:iCs/>
          <w:lang w:val="en-US"/>
        </w:rPr>
        <w:t xml:space="preserve">Decision Making </w:t>
      </w:r>
      <w:proofErr w:type="gramStart"/>
      <w:r w:rsidRPr="00AA2B4B">
        <w:rPr>
          <w:i/>
          <w:iCs/>
          <w:lang w:val="en-US"/>
        </w:rPr>
        <w:t>And</w:t>
      </w:r>
      <w:proofErr w:type="gramEnd"/>
      <w:r w:rsidRPr="00AA2B4B">
        <w:rPr>
          <w:i/>
          <w:iCs/>
          <w:lang w:val="en-US"/>
        </w:rPr>
        <w:t xml:space="preserve"> Problem Solving</w:t>
      </w:r>
      <w:r w:rsidRPr="00AA2B4B">
        <w:rPr>
          <w:lang w:val="en-US"/>
        </w:rPr>
        <w:t xml:space="preserve">. Cham: Springer. </w:t>
      </w:r>
      <w:hyperlink r:id="rId17" w:history="1">
        <w:r w:rsidRPr="00AA2B4B">
          <w:rPr>
            <w:rStyle w:val="af3"/>
            <w:lang w:val="en-US"/>
          </w:rPr>
          <w:t>https://doi.org/10.1007/978-3-030-66869-3_1</w:t>
        </w:r>
      </w:hyperlink>
    </w:p>
    <w:p w14:paraId="67BCB251" w14:textId="77777777" w:rsidR="00AA2B4B" w:rsidRPr="00AA2B4B" w:rsidRDefault="00AA2B4B" w:rsidP="00AA2B4B">
      <w:pPr>
        <w:rPr>
          <w:lang w:val="en-US"/>
        </w:rPr>
      </w:pPr>
      <w:r w:rsidRPr="00AA2B4B">
        <w:rPr>
          <w:lang w:val="en-US"/>
        </w:rPr>
        <w:t xml:space="preserve"> </w:t>
      </w:r>
    </w:p>
    <w:p w14:paraId="4D11B9FF" w14:textId="77777777" w:rsidR="00AA2B4B" w:rsidRPr="00AA2B4B" w:rsidRDefault="00AA2B4B" w:rsidP="00AA2B4B">
      <w:pPr>
        <w:rPr>
          <w:lang w:val="en-US"/>
        </w:rPr>
      </w:pPr>
      <w:r w:rsidRPr="00AA2B4B">
        <w:rPr>
          <w:lang w:val="en-US"/>
        </w:rPr>
        <w:t xml:space="preserve">Pinar, W.F. (2019) </w:t>
      </w:r>
      <w:r w:rsidRPr="00AA2B4B">
        <w:rPr>
          <w:i/>
          <w:lang w:val="en-US"/>
        </w:rPr>
        <w:t>What is curriculum theory?</w:t>
      </w:r>
      <w:r w:rsidRPr="00AA2B4B">
        <w:rPr>
          <w:lang w:val="en-US"/>
        </w:rPr>
        <w:t xml:space="preserve"> 3rd </w:t>
      </w:r>
      <w:proofErr w:type="spellStart"/>
      <w:r w:rsidRPr="00AA2B4B">
        <w:rPr>
          <w:lang w:val="en-US"/>
        </w:rPr>
        <w:t>edn</w:t>
      </w:r>
      <w:proofErr w:type="spellEnd"/>
      <w:r w:rsidRPr="00AA2B4B">
        <w:rPr>
          <w:lang w:val="en-US"/>
        </w:rPr>
        <w:t>. London: Routledge.</w:t>
      </w:r>
    </w:p>
    <w:p w14:paraId="3C194D0B" w14:textId="77777777" w:rsidR="00AA2B4B" w:rsidRPr="00AA2B4B" w:rsidRDefault="00AA2B4B" w:rsidP="00AA2B4B">
      <w:pPr>
        <w:rPr>
          <w:lang w:val="en-US"/>
        </w:rPr>
      </w:pPr>
      <w:r w:rsidRPr="00AA2B4B">
        <w:rPr>
          <w:lang w:val="en-US"/>
        </w:rPr>
        <w:t xml:space="preserve"> </w:t>
      </w:r>
    </w:p>
    <w:p w14:paraId="31AD7DEE" w14:textId="77777777" w:rsidR="00AA2B4B" w:rsidRPr="00AA2B4B" w:rsidRDefault="00AA2B4B" w:rsidP="00AA2B4B">
      <w:pPr>
        <w:rPr>
          <w:lang w:val="en-US"/>
        </w:rPr>
      </w:pPr>
      <w:r w:rsidRPr="00AA2B4B">
        <w:rPr>
          <w:lang w:val="en-US"/>
        </w:rPr>
        <w:t xml:space="preserve">Power, S., Newton, N. and Taylor, C. (2020) '‘Successful futures’ for all in Wales? The challenges of curriculum reform for addressing educational inequalities', </w:t>
      </w:r>
      <w:r w:rsidRPr="00AA2B4B">
        <w:rPr>
          <w:i/>
          <w:iCs/>
          <w:lang w:val="en-US"/>
        </w:rPr>
        <w:t xml:space="preserve">Curriculum journal (London, England), </w:t>
      </w:r>
      <w:r w:rsidRPr="00AA2B4B">
        <w:rPr>
          <w:lang w:val="en-US"/>
        </w:rPr>
        <w:t>31(2), pp. 317–333.</w:t>
      </w:r>
    </w:p>
    <w:p w14:paraId="67C4F29E" w14:textId="77777777" w:rsidR="00AA2B4B" w:rsidRPr="00AA2B4B" w:rsidRDefault="00AA2B4B" w:rsidP="00AA2B4B">
      <w:pPr>
        <w:rPr>
          <w:lang w:val="en-US"/>
        </w:rPr>
      </w:pPr>
      <w:r w:rsidRPr="00AA2B4B">
        <w:rPr>
          <w:lang w:val="en-US"/>
        </w:rPr>
        <w:lastRenderedPageBreak/>
        <w:t xml:space="preserve"> </w:t>
      </w:r>
    </w:p>
    <w:p w14:paraId="099C8B77" w14:textId="77777777" w:rsidR="00AA2B4B" w:rsidRPr="00AA2B4B" w:rsidRDefault="00AA2B4B" w:rsidP="00AA2B4B">
      <w:pPr>
        <w:rPr>
          <w:lang w:val="en-US"/>
        </w:rPr>
      </w:pPr>
      <w:r w:rsidRPr="00AA2B4B">
        <w:rPr>
          <w:lang w:val="en-US"/>
        </w:rPr>
        <w:t xml:space="preserve">Rata, E. (2012) 'The politics of knowledge in education', </w:t>
      </w:r>
      <w:r w:rsidRPr="00AA2B4B">
        <w:rPr>
          <w:i/>
          <w:iCs/>
          <w:lang w:val="en-US"/>
        </w:rPr>
        <w:t xml:space="preserve">British educational research journal, </w:t>
      </w:r>
      <w:r w:rsidRPr="00AA2B4B">
        <w:rPr>
          <w:lang w:val="en-US"/>
        </w:rPr>
        <w:t xml:space="preserve">38(1), pp. 103–124. </w:t>
      </w:r>
    </w:p>
    <w:p w14:paraId="559F1591" w14:textId="77777777" w:rsidR="00AA2B4B" w:rsidRPr="00AA2B4B" w:rsidRDefault="00AA2B4B" w:rsidP="00AA2B4B">
      <w:pPr>
        <w:rPr>
          <w:lang w:val="en-US"/>
        </w:rPr>
      </w:pPr>
      <w:r w:rsidRPr="00AA2B4B">
        <w:rPr>
          <w:lang w:val="en-US"/>
        </w:rPr>
        <w:t xml:space="preserve"> </w:t>
      </w:r>
    </w:p>
    <w:p w14:paraId="530B4480" w14:textId="77777777" w:rsidR="00AA2B4B" w:rsidRPr="00AA2B4B" w:rsidRDefault="00AA2B4B" w:rsidP="00AA2B4B">
      <w:pPr>
        <w:rPr>
          <w:lang w:val="en-US"/>
        </w:rPr>
      </w:pPr>
      <w:r w:rsidRPr="00AA2B4B">
        <w:rPr>
          <w:lang w:val="en-US"/>
        </w:rPr>
        <w:t xml:space="preserve">Shepard, L.A. (2005) </w:t>
      </w:r>
      <w:r w:rsidRPr="00AA2B4B">
        <w:rPr>
          <w:i/>
          <w:lang w:val="en-US"/>
        </w:rPr>
        <w:t>Formative assessment: Caveat emptor</w:t>
      </w:r>
      <w:r w:rsidRPr="00AA2B4B">
        <w:rPr>
          <w:lang w:val="en-US"/>
        </w:rPr>
        <w:t>. Paper presented at the ETS Invitational Conference. Princeton, NJ: Educational Testing Service.</w:t>
      </w:r>
    </w:p>
    <w:p w14:paraId="724FC0C2" w14:textId="77777777" w:rsidR="00AA2B4B" w:rsidRPr="00AA2B4B" w:rsidRDefault="00AA2B4B" w:rsidP="00AA2B4B">
      <w:pPr>
        <w:rPr>
          <w:lang w:val="en-US"/>
        </w:rPr>
      </w:pPr>
      <w:r w:rsidRPr="00AA2B4B">
        <w:rPr>
          <w:lang w:val="en-US"/>
        </w:rPr>
        <w:t xml:space="preserve"> </w:t>
      </w:r>
    </w:p>
    <w:p w14:paraId="78A2BFA5" w14:textId="77777777" w:rsidR="00AA2B4B" w:rsidRPr="00AA2B4B" w:rsidRDefault="00AA2B4B" w:rsidP="00AA2B4B">
      <w:pPr>
        <w:rPr>
          <w:lang w:val="en-US"/>
        </w:rPr>
      </w:pPr>
      <w:r w:rsidRPr="00AA2B4B">
        <w:rPr>
          <w:lang w:val="en-US"/>
        </w:rPr>
        <w:t xml:space="preserve">Sinnema, C., </w:t>
      </w:r>
      <w:proofErr w:type="spellStart"/>
      <w:r w:rsidRPr="00AA2B4B">
        <w:rPr>
          <w:lang w:val="en-US"/>
        </w:rPr>
        <w:t>Nieveen</w:t>
      </w:r>
      <w:proofErr w:type="spellEnd"/>
      <w:r w:rsidRPr="00AA2B4B">
        <w:rPr>
          <w:lang w:val="en-US"/>
        </w:rPr>
        <w:t xml:space="preserve">, N. and Priestley, M. (2020) 'Successful futures, successful curriculum: What can Wales learn from international curriculum reforms?', </w:t>
      </w:r>
      <w:r w:rsidRPr="00AA2B4B">
        <w:rPr>
          <w:i/>
          <w:iCs/>
          <w:lang w:val="en-US"/>
        </w:rPr>
        <w:t xml:space="preserve">Curriculum journal (London, England), </w:t>
      </w:r>
      <w:r w:rsidRPr="00AA2B4B">
        <w:rPr>
          <w:lang w:val="en-US"/>
        </w:rPr>
        <w:t>31(2), pp. 181–201.</w:t>
      </w:r>
    </w:p>
    <w:p w14:paraId="169F0FCF" w14:textId="77777777" w:rsidR="00AA2B4B" w:rsidRPr="00AA2B4B" w:rsidRDefault="00AA2B4B" w:rsidP="00AA2B4B">
      <w:pPr>
        <w:rPr>
          <w:lang w:val="en-US"/>
        </w:rPr>
      </w:pPr>
      <w:r w:rsidRPr="00AA2B4B">
        <w:rPr>
          <w:lang w:val="en-US"/>
        </w:rPr>
        <w:t xml:space="preserve"> </w:t>
      </w:r>
    </w:p>
    <w:p w14:paraId="6F2E3D35" w14:textId="77777777" w:rsidR="00AA2B4B" w:rsidRPr="00AA2B4B" w:rsidRDefault="00AA2B4B" w:rsidP="00AA2B4B">
      <w:pPr>
        <w:rPr>
          <w:lang w:val="en-US"/>
        </w:rPr>
      </w:pPr>
      <w:r w:rsidRPr="00AA2B4B">
        <w:rPr>
          <w:lang w:val="en-US"/>
        </w:rPr>
        <w:t xml:space="preserve">Smid, H.J. (2022) ‘Realistic Mathematics Education’, in </w:t>
      </w:r>
      <w:r w:rsidRPr="00AA2B4B">
        <w:rPr>
          <w:i/>
          <w:lang w:val="en-US"/>
        </w:rPr>
        <w:t>Theory and Practice</w:t>
      </w:r>
      <w:r w:rsidRPr="00AA2B4B">
        <w:rPr>
          <w:lang w:val="en-US"/>
        </w:rPr>
        <w:t xml:space="preserve">. International Studies in the History of Mathematics and its Teaching. Springer, Cham, pp. 247–261. Available at: </w:t>
      </w:r>
      <w:hyperlink r:id="rId18" w:history="1">
        <w:r w:rsidRPr="00AA2B4B">
          <w:rPr>
            <w:rStyle w:val="af3"/>
            <w:lang w:val="en-US"/>
          </w:rPr>
          <w:t>https://doi.org/10.1007/978-3-031-21873-6_8</w:t>
        </w:r>
      </w:hyperlink>
      <w:r w:rsidRPr="00AA2B4B">
        <w:rPr>
          <w:lang w:val="en-US"/>
        </w:rPr>
        <w:t xml:space="preserve"> (Accessed: 27 September 2024).</w:t>
      </w:r>
    </w:p>
    <w:p w14:paraId="5BEEFF42" w14:textId="77777777" w:rsidR="00AA2B4B" w:rsidRPr="00AA2B4B" w:rsidRDefault="00AA2B4B" w:rsidP="00AA2B4B">
      <w:pPr>
        <w:rPr>
          <w:lang w:val="en-US"/>
        </w:rPr>
      </w:pPr>
      <w:r w:rsidRPr="00AA2B4B">
        <w:rPr>
          <w:lang w:val="en-US"/>
        </w:rPr>
        <w:t xml:space="preserve"> </w:t>
      </w:r>
    </w:p>
    <w:p w14:paraId="7AC35B1E" w14:textId="77777777" w:rsidR="00AA2B4B" w:rsidRPr="00AA2B4B" w:rsidRDefault="00AA2B4B" w:rsidP="00AA2B4B">
      <w:pPr>
        <w:rPr>
          <w:lang w:val="en-US"/>
        </w:rPr>
      </w:pPr>
      <w:r w:rsidRPr="00AA2B4B">
        <w:rPr>
          <w:lang w:val="en-US"/>
        </w:rPr>
        <w:t xml:space="preserve">Smith, K. (2016) </w:t>
      </w:r>
      <w:r w:rsidRPr="00AA2B4B">
        <w:rPr>
          <w:i/>
          <w:iCs/>
          <w:lang w:val="en-US"/>
        </w:rPr>
        <w:t xml:space="preserve">Curriculum, Culture and Citizenship Education in Wales Investigations into the Curriculum </w:t>
      </w:r>
      <w:proofErr w:type="spellStart"/>
      <w:r w:rsidRPr="00AA2B4B">
        <w:rPr>
          <w:i/>
          <w:iCs/>
          <w:lang w:val="en-US"/>
        </w:rPr>
        <w:t>Cymreig</w:t>
      </w:r>
      <w:proofErr w:type="spellEnd"/>
      <w:r w:rsidRPr="00AA2B4B">
        <w:rPr>
          <w:lang w:val="en-US"/>
        </w:rPr>
        <w:t xml:space="preserve">. 1st ed. 2016. London: Palgrave Macmillan UK. Available at: </w:t>
      </w:r>
      <w:hyperlink r:id="rId19" w:history="1">
        <w:r w:rsidRPr="00AA2B4B">
          <w:rPr>
            <w:rStyle w:val="af3"/>
            <w:lang w:val="en-US"/>
          </w:rPr>
          <w:t>https://doi.org/10.1057/978-1-137-54443-8.</w:t>
        </w:r>
      </w:hyperlink>
    </w:p>
    <w:p w14:paraId="338B8D6D" w14:textId="77777777" w:rsidR="00AA2B4B" w:rsidRPr="00AA2B4B" w:rsidRDefault="00AA2B4B" w:rsidP="00AA2B4B">
      <w:pPr>
        <w:rPr>
          <w:lang w:val="en-US"/>
        </w:rPr>
      </w:pPr>
      <w:r w:rsidRPr="00AA2B4B">
        <w:rPr>
          <w:lang w:val="en-US"/>
        </w:rPr>
        <w:t xml:space="preserve"> </w:t>
      </w:r>
    </w:p>
    <w:p w14:paraId="0BBD6E6F" w14:textId="77777777" w:rsidR="00AA2B4B" w:rsidRPr="00AA2B4B" w:rsidRDefault="00AA2B4B" w:rsidP="00AA2B4B">
      <w:pPr>
        <w:rPr>
          <w:lang w:val="en-US"/>
        </w:rPr>
      </w:pPr>
      <w:r w:rsidRPr="00AA2B4B">
        <w:rPr>
          <w:lang w:val="en-US"/>
        </w:rPr>
        <w:t xml:space="preserve">Sweller, J., Van </w:t>
      </w:r>
      <w:proofErr w:type="spellStart"/>
      <w:r w:rsidRPr="00AA2B4B">
        <w:rPr>
          <w:lang w:val="en-US"/>
        </w:rPr>
        <w:t>Merriënboer</w:t>
      </w:r>
      <w:proofErr w:type="spellEnd"/>
      <w:r w:rsidRPr="00AA2B4B">
        <w:rPr>
          <w:lang w:val="en-US"/>
        </w:rPr>
        <w:t xml:space="preserve">, J.J.G. &amp; </w:t>
      </w:r>
      <w:proofErr w:type="spellStart"/>
      <w:r w:rsidRPr="00AA2B4B">
        <w:rPr>
          <w:lang w:val="en-US"/>
        </w:rPr>
        <w:t>Paas</w:t>
      </w:r>
      <w:proofErr w:type="spellEnd"/>
      <w:r w:rsidRPr="00AA2B4B">
        <w:rPr>
          <w:lang w:val="en-US"/>
        </w:rPr>
        <w:t xml:space="preserve">, F.G.W.C. (2019). ‘Cognitive architecture and instructional design: 20 years later’, </w:t>
      </w:r>
      <w:r w:rsidRPr="00AA2B4B">
        <w:rPr>
          <w:i/>
          <w:lang w:val="en-US"/>
        </w:rPr>
        <w:t>Educational Psychology Review</w:t>
      </w:r>
      <w:r w:rsidRPr="00AA2B4B">
        <w:rPr>
          <w:lang w:val="en-US"/>
        </w:rPr>
        <w:t>, 31(2), pp. 261–292. Available at: https://doi.org/10.1007/s10648-019-09465-5 (Accessed: 27 September 2024).</w:t>
      </w:r>
    </w:p>
    <w:p w14:paraId="7D425803" w14:textId="77777777" w:rsidR="00AA2B4B" w:rsidRPr="00AA2B4B" w:rsidRDefault="00AA2B4B" w:rsidP="00AA2B4B">
      <w:pPr>
        <w:rPr>
          <w:lang w:val="en-US"/>
        </w:rPr>
      </w:pPr>
      <w:r w:rsidRPr="00AA2B4B">
        <w:rPr>
          <w:lang w:val="en-US"/>
        </w:rPr>
        <w:t xml:space="preserve"> </w:t>
      </w:r>
    </w:p>
    <w:p w14:paraId="75375410" w14:textId="77777777" w:rsidR="00AA2B4B" w:rsidRPr="00AA2B4B" w:rsidRDefault="00AA2B4B" w:rsidP="00AA2B4B">
      <w:pPr>
        <w:rPr>
          <w:lang w:val="en-US"/>
        </w:rPr>
      </w:pPr>
      <w:r w:rsidRPr="00AA2B4B">
        <w:rPr>
          <w:lang w:val="en-US"/>
        </w:rPr>
        <w:t xml:space="preserve">Welsh Government. (2001). </w:t>
      </w:r>
      <w:r w:rsidRPr="00AA2B4B">
        <w:rPr>
          <w:i/>
          <w:lang w:val="en-US"/>
        </w:rPr>
        <w:t>Foundation Phase Framework</w:t>
      </w:r>
      <w:r w:rsidRPr="00AA2B4B">
        <w:rPr>
          <w:lang w:val="en-US"/>
        </w:rPr>
        <w:t>.</w:t>
      </w:r>
    </w:p>
    <w:p w14:paraId="66A0D615" w14:textId="77777777" w:rsidR="00AA2B4B" w:rsidRPr="00AA2B4B" w:rsidRDefault="00AA2B4B" w:rsidP="00AA2B4B">
      <w:pPr>
        <w:rPr>
          <w:lang w:val="en-US"/>
        </w:rPr>
      </w:pPr>
      <w:r w:rsidRPr="00AA2B4B">
        <w:rPr>
          <w:lang w:val="en-US"/>
        </w:rPr>
        <w:t xml:space="preserve"> </w:t>
      </w:r>
    </w:p>
    <w:p w14:paraId="4341CF9A" w14:textId="77777777" w:rsidR="00AA2B4B" w:rsidRPr="00AA2B4B" w:rsidRDefault="00AA2B4B" w:rsidP="00AA2B4B">
      <w:pPr>
        <w:rPr>
          <w:lang w:val="en-US"/>
        </w:rPr>
      </w:pPr>
      <w:r w:rsidRPr="00AA2B4B">
        <w:rPr>
          <w:lang w:val="en-US"/>
        </w:rPr>
        <w:t xml:space="preserve">Welsh Government. (2003). </w:t>
      </w:r>
      <w:r w:rsidRPr="00AA2B4B">
        <w:rPr>
          <w:i/>
          <w:lang w:val="en-US"/>
        </w:rPr>
        <w:t>Welsh Baccalaureate Qualification</w:t>
      </w:r>
      <w:r w:rsidRPr="00AA2B4B">
        <w:rPr>
          <w:lang w:val="en-US"/>
        </w:rPr>
        <w:t>.</w:t>
      </w:r>
    </w:p>
    <w:p w14:paraId="4EC616F8" w14:textId="77777777" w:rsidR="00AA2B4B" w:rsidRPr="00AA2B4B" w:rsidRDefault="00AA2B4B" w:rsidP="00AA2B4B">
      <w:pPr>
        <w:rPr>
          <w:lang w:val="en-US"/>
        </w:rPr>
      </w:pPr>
      <w:r w:rsidRPr="00AA2B4B">
        <w:rPr>
          <w:lang w:val="en-US"/>
        </w:rPr>
        <w:t xml:space="preserve"> </w:t>
      </w:r>
    </w:p>
    <w:p w14:paraId="206C01A3" w14:textId="77777777" w:rsidR="00AA2B4B" w:rsidRPr="00AA2B4B" w:rsidRDefault="00AA2B4B" w:rsidP="00AA2B4B">
      <w:pPr>
        <w:rPr>
          <w:lang w:val="en-US"/>
        </w:rPr>
      </w:pPr>
      <w:r w:rsidRPr="00AA2B4B">
        <w:rPr>
          <w:lang w:val="en-US"/>
        </w:rPr>
        <w:t xml:space="preserve">Welsh Government, 2019. </w:t>
      </w:r>
      <w:r w:rsidRPr="00AA2B4B">
        <w:rPr>
          <w:i/>
          <w:lang w:val="en-US"/>
        </w:rPr>
        <w:t>Written Statement: Curriculum for Wales 2022</w:t>
      </w:r>
      <w:r w:rsidRPr="00AA2B4B">
        <w:rPr>
          <w:lang w:val="en-US"/>
        </w:rPr>
        <w:t xml:space="preserve">. [online] Available at: </w:t>
      </w:r>
      <w:hyperlink r:id="rId20" w:history="1">
        <w:r w:rsidRPr="00AA2B4B">
          <w:rPr>
            <w:rStyle w:val="af3"/>
            <w:lang w:val="en-US"/>
          </w:rPr>
          <w:t>https://www.gov.wales/written-statement-curriculum-wales-2022</w:t>
        </w:r>
      </w:hyperlink>
      <w:r w:rsidRPr="00AA2B4B">
        <w:rPr>
          <w:lang w:val="en-US"/>
        </w:rPr>
        <w:t xml:space="preserve"> </w:t>
      </w:r>
      <w:r w:rsidRPr="00AA2B4B">
        <w:rPr>
          <w:lang w:val="en-US"/>
        </w:rPr>
        <w:lastRenderedPageBreak/>
        <w:t>[Accessed 16 July 2024].</w:t>
      </w:r>
    </w:p>
    <w:p w14:paraId="6A878003" w14:textId="77777777" w:rsidR="00AA2B4B" w:rsidRPr="00AA2B4B" w:rsidRDefault="00AA2B4B" w:rsidP="00AA2B4B">
      <w:pPr>
        <w:rPr>
          <w:lang w:val="en-US"/>
        </w:rPr>
      </w:pPr>
      <w:r w:rsidRPr="00AA2B4B">
        <w:rPr>
          <w:lang w:val="en-US"/>
        </w:rPr>
        <w:t xml:space="preserve"> </w:t>
      </w:r>
    </w:p>
    <w:p w14:paraId="6B46DCF6" w14:textId="77777777" w:rsidR="00AA2B4B" w:rsidRPr="00AA2B4B" w:rsidRDefault="00AA2B4B" w:rsidP="00AA2B4B">
      <w:pPr>
        <w:rPr>
          <w:lang w:val="en-US"/>
        </w:rPr>
      </w:pPr>
      <w:r w:rsidRPr="00AA2B4B">
        <w:rPr>
          <w:lang w:val="en-US"/>
        </w:rPr>
        <w:t xml:space="preserve">Welsh Government. (2020). </w:t>
      </w:r>
      <w:r w:rsidRPr="00AA2B4B">
        <w:rPr>
          <w:i/>
          <w:lang w:val="en-US"/>
        </w:rPr>
        <w:t>Curriculum for Wales: Foundation Phase Framework</w:t>
      </w:r>
      <w:r w:rsidRPr="00AA2B4B">
        <w:rPr>
          <w:lang w:val="en-US"/>
        </w:rPr>
        <w:t>.</w:t>
      </w:r>
    </w:p>
    <w:p w14:paraId="1897BC76" w14:textId="77777777" w:rsidR="00AA2B4B" w:rsidRPr="00AA2B4B" w:rsidRDefault="00AA2B4B" w:rsidP="00AA2B4B">
      <w:pPr>
        <w:rPr>
          <w:lang w:val="en-US"/>
        </w:rPr>
      </w:pPr>
      <w:r w:rsidRPr="00AA2B4B">
        <w:rPr>
          <w:lang w:val="en-US"/>
        </w:rPr>
        <w:t xml:space="preserve"> </w:t>
      </w:r>
    </w:p>
    <w:p w14:paraId="1025AE59" w14:textId="77777777" w:rsidR="00AA2B4B" w:rsidRPr="00AA2B4B" w:rsidRDefault="00AA2B4B" w:rsidP="00AA2B4B">
      <w:pPr>
        <w:rPr>
          <w:lang w:val="en-US"/>
        </w:rPr>
      </w:pPr>
      <w:r w:rsidRPr="00AA2B4B">
        <w:rPr>
          <w:lang w:val="en-US"/>
        </w:rPr>
        <w:t xml:space="preserve">Welsh Government (2021) </w:t>
      </w:r>
      <w:r w:rsidRPr="00AA2B4B">
        <w:rPr>
          <w:i/>
          <w:lang w:val="en-US"/>
        </w:rPr>
        <w:t>Review of evidence on socio-economic disadvantage and inequalities in education outcomes</w:t>
      </w:r>
      <w:r w:rsidRPr="00AA2B4B">
        <w:rPr>
          <w:lang w:val="en-US"/>
        </w:rPr>
        <w:t xml:space="preserve">. Available at: </w:t>
      </w:r>
      <w:hyperlink r:id="rId21" w:history="1">
        <w:r w:rsidRPr="00AA2B4B">
          <w:rPr>
            <w:rStyle w:val="af3"/>
            <w:lang w:val="en-US"/>
          </w:rPr>
          <w:t>https://www.gov.wales/sites/default/files/pdf-versions/2021/10/1/1635166770/review-evidence-socio-economic-disadvantage-and-inequalities-outcome-summary.pdf</w:t>
        </w:r>
      </w:hyperlink>
      <w:r w:rsidRPr="00AA2B4B">
        <w:rPr>
          <w:lang w:val="en-US"/>
        </w:rPr>
        <w:t xml:space="preserve"> (Accessed: 27 September 2024).</w:t>
      </w:r>
    </w:p>
    <w:p w14:paraId="109E37A5" w14:textId="77777777" w:rsidR="00AA2B4B" w:rsidRPr="00AA2B4B" w:rsidRDefault="00AA2B4B" w:rsidP="00AA2B4B">
      <w:pPr>
        <w:rPr>
          <w:lang w:val="en-US"/>
        </w:rPr>
      </w:pPr>
      <w:r w:rsidRPr="00AA2B4B">
        <w:rPr>
          <w:lang w:val="en-US"/>
        </w:rPr>
        <w:t xml:space="preserve"> </w:t>
      </w:r>
    </w:p>
    <w:p w14:paraId="20C967F8" w14:textId="77777777" w:rsidR="00AA2B4B" w:rsidRPr="00AA2B4B" w:rsidRDefault="00AA2B4B" w:rsidP="00AA2B4B">
      <w:pPr>
        <w:rPr>
          <w:lang w:val="en-US"/>
        </w:rPr>
      </w:pPr>
      <w:r w:rsidRPr="00AA2B4B">
        <w:rPr>
          <w:lang w:val="en-US"/>
        </w:rPr>
        <w:t xml:space="preserve">Welsh Government (2022) </w:t>
      </w:r>
      <w:r w:rsidRPr="00AA2B4B">
        <w:rPr>
          <w:i/>
          <w:lang w:val="en-US"/>
        </w:rPr>
        <w:t>Curriculum for Wales: Progression Code</w:t>
      </w:r>
      <w:r w:rsidRPr="00AA2B4B">
        <w:rPr>
          <w:lang w:val="en-US"/>
        </w:rPr>
        <w:t xml:space="preserve">. Available at: </w:t>
      </w:r>
      <w:hyperlink r:id="rId22" w:history="1">
        <w:r w:rsidRPr="00AA2B4B">
          <w:rPr>
            <w:rStyle w:val="af3"/>
            <w:lang w:val="en-US"/>
          </w:rPr>
          <w:t>https://www.gov.wales/curriculum-wales-progression-code</w:t>
        </w:r>
      </w:hyperlink>
      <w:r w:rsidRPr="00AA2B4B">
        <w:rPr>
          <w:lang w:val="en-US"/>
        </w:rPr>
        <w:t xml:space="preserve"> (Accessed: 27 September 2024)</w:t>
      </w:r>
    </w:p>
    <w:p w14:paraId="69A66351" w14:textId="77777777" w:rsidR="00AA2B4B" w:rsidRPr="00AA2B4B" w:rsidRDefault="00AA2B4B" w:rsidP="00AA2B4B">
      <w:pPr>
        <w:rPr>
          <w:lang w:val="en-US"/>
        </w:rPr>
      </w:pPr>
      <w:r w:rsidRPr="00AA2B4B">
        <w:rPr>
          <w:lang w:val="en-US"/>
        </w:rPr>
        <w:t xml:space="preserve"> </w:t>
      </w:r>
    </w:p>
    <w:p w14:paraId="2F3D0C8B" w14:textId="77777777" w:rsidR="00AA2B4B" w:rsidRPr="00AA2B4B" w:rsidRDefault="00AA2B4B" w:rsidP="00AA2B4B">
      <w:pPr>
        <w:rPr>
          <w:lang w:val="en-US"/>
        </w:rPr>
      </w:pPr>
      <w:r w:rsidRPr="00AA2B4B">
        <w:rPr>
          <w:lang w:val="en-US"/>
        </w:rPr>
        <w:t xml:space="preserve">Welsh Government. (2022). </w:t>
      </w:r>
      <w:r w:rsidRPr="00AA2B4B">
        <w:rPr>
          <w:i/>
          <w:lang w:val="en-US"/>
        </w:rPr>
        <w:t>Foundation Phase Framework</w:t>
      </w:r>
      <w:r w:rsidRPr="00AA2B4B">
        <w:rPr>
          <w:lang w:val="en-US"/>
        </w:rPr>
        <w:t>.</w:t>
      </w:r>
    </w:p>
    <w:p w14:paraId="5416FC79" w14:textId="77777777" w:rsidR="00AA2B4B" w:rsidRPr="00AA2B4B" w:rsidRDefault="00AA2B4B" w:rsidP="00AA2B4B">
      <w:pPr>
        <w:rPr>
          <w:lang w:val="en-US"/>
        </w:rPr>
      </w:pPr>
      <w:r w:rsidRPr="00AA2B4B">
        <w:rPr>
          <w:lang w:val="en-US"/>
        </w:rPr>
        <w:t xml:space="preserve"> </w:t>
      </w:r>
    </w:p>
    <w:p w14:paraId="10E08ED8" w14:textId="77777777" w:rsidR="00AA2B4B" w:rsidRPr="00AA2B4B" w:rsidRDefault="00AA2B4B" w:rsidP="00AA2B4B">
      <w:pPr>
        <w:rPr>
          <w:lang w:val="en-US"/>
        </w:rPr>
      </w:pPr>
      <w:r w:rsidRPr="00AA2B4B">
        <w:rPr>
          <w:lang w:val="en-US"/>
        </w:rPr>
        <w:t xml:space="preserve">Welsh Government (2023) </w:t>
      </w:r>
      <w:r w:rsidRPr="00AA2B4B">
        <w:rPr>
          <w:i/>
          <w:lang w:val="en-US"/>
        </w:rPr>
        <w:t>Mathematics and Numeracy Plan</w:t>
      </w:r>
      <w:r w:rsidRPr="00AA2B4B">
        <w:rPr>
          <w:lang w:val="en-US"/>
        </w:rPr>
        <w:t xml:space="preserve">. Available at: </w:t>
      </w:r>
      <w:hyperlink r:id="rId23" w:history="1">
        <w:r w:rsidRPr="00AA2B4B">
          <w:rPr>
            <w:rStyle w:val="af3"/>
            <w:lang w:val="en-US"/>
          </w:rPr>
          <w:t>https://www.gov.wales/mathematics-and-numeracy-plan-2023</w:t>
        </w:r>
      </w:hyperlink>
      <w:r w:rsidRPr="00AA2B4B">
        <w:rPr>
          <w:lang w:val="en-US"/>
        </w:rPr>
        <w:t xml:space="preserve"> (Accessed: 27 September 2024).</w:t>
      </w:r>
    </w:p>
    <w:p w14:paraId="11D4A2A1" w14:textId="77777777" w:rsidR="00AA2B4B" w:rsidRPr="00AA2B4B" w:rsidRDefault="00AA2B4B" w:rsidP="00AA2B4B">
      <w:pPr>
        <w:rPr>
          <w:lang w:val="en-US"/>
        </w:rPr>
      </w:pPr>
      <w:r w:rsidRPr="00AA2B4B">
        <w:rPr>
          <w:lang w:val="en-US"/>
        </w:rPr>
        <w:t xml:space="preserve"> </w:t>
      </w:r>
    </w:p>
    <w:p w14:paraId="256FA9C5" w14:textId="77777777" w:rsidR="00AA2B4B" w:rsidRPr="00AA2B4B" w:rsidRDefault="00AA2B4B" w:rsidP="00AA2B4B">
      <w:pPr>
        <w:rPr>
          <w:lang w:val="en-US"/>
        </w:rPr>
      </w:pPr>
      <w:r w:rsidRPr="00AA2B4B">
        <w:rPr>
          <w:lang w:val="en-US"/>
        </w:rPr>
        <w:t xml:space="preserve">Wiliam, D. (2011) </w:t>
      </w:r>
      <w:r w:rsidRPr="00AA2B4B">
        <w:rPr>
          <w:i/>
          <w:lang w:val="en-US"/>
        </w:rPr>
        <w:t>Embedded formative assessment</w:t>
      </w:r>
      <w:r w:rsidRPr="00AA2B4B">
        <w:rPr>
          <w:lang w:val="en-US"/>
        </w:rPr>
        <w:t>. Bloomington, IN: Solution Tree Press.</w:t>
      </w:r>
    </w:p>
    <w:p w14:paraId="6E22DC0E" w14:textId="77777777" w:rsidR="00AA2B4B" w:rsidRPr="00AA2B4B" w:rsidRDefault="00AA2B4B">
      <w:pPr>
        <w:rPr>
          <w:rFonts w:hint="eastAsia"/>
          <w:lang w:val="en-US"/>
        </w:rPr>
      </w:pPr>
    </w:p>
    <w:sectPr w:rsidR="00AA2B4B" w:rsidRPr="00AA2B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AA0E4F" w14:textId="77777777" w:rsidR="00573C1B" w:rsidRPr="00204021" w:rsidRDefault="00573C1B" w:rsidP="002F733A">
      <w:pPr>
        <w:spacing w:after="0" w:line="240" w:lineRule="auto"/>
        <w:rPr>
          <w:rFonts w:hint="eastAsia"/>
        </w:rPr>
      </w:pPr>
      <w:r w:rsidRPr="00204021">
        <w:separator/>
      </w:r>
    </w:p>
  </w:endnote>
  <w:endnote w:type="continuationSeparator" w:id="0">
    <w:p w14:paraId="51CF4566" w14:textId="77777777" w:rsidR="00573C1B" w:rsidRPr="00204021" w:rsidRDefault="00573C1B" w:rsidP="002F733A">
      <w:pPr>
        <w:spacing w:after="0" w:line="240" w:lineRule="auto"/>
        <w:rPr>
          <w:rFonts w:hint="eastAsia"/>
        </w:rPr>
      </w:pPr>
      <w:r w:rsidRPr="002040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CA782" w14:textId="77777777" w:rsidR="00573C1B" w:rsidRPr="00204021" w:rsidRDefault="00573C1B" w:rsidP="002F733A">
      <w:pPr>
        <w:spacing w:after="0" w:line="240" w:lineRule="auto"/>
        <w:rPr>
          <w:rFonts w:hint="eastAsia"/>
        </w:rPr>
      </w:pPr>
      <w:r w:rsidRPr="00204021">
        <w:separator/>
      </w:r>
    </w:p>
  </w:footnote>
  <w:footnote w:type="continuationSeparator" w:id="0">
    <w:p w14:paraId="26101313" w14:textId="77777777" w:rsidR="00573C1B" w:rsidRPr="00204021" w:rsidRDefault="00573C1B" w:rsidP="002F733A">
      <w:pPr>
        <w:spacing w:after="0" w:line="240" w:lineRule="auto"/>
        <w:rPr>
          <w:rFonts w:hint="eastAsia"/>
        </w:rPr>
      </w:pPr>
      <w:r w:rsidRPr="0020402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EC633B"/>
    <w:multiLevelType w:val="multilevel"/>
    <w:tmpl w:val="35F44810"/>
    <w:lvl w:ilvl="0">
      <w:start w:val="1"/>
      <w:numFmt w:val="decimal"/>
      <w:suff w:val="space"/>
      <w:lvlText w:val="%1."/>
      <w:lvlJc w:val="left"/>
      <w:pPr>
        <w:ind w:left="0" w:firstLine="0"/>
      </w:pPr>
      <w:rPr>
        <w:rFonts w:ascii="Times New Roman" w:hAnsi="Times New Roman" w:cs="Times New Roman" w:hint="default"/>
      </w:rPr>
    </w:lvl>
    <w:lvl w:ilvl="1">
      <w:start w:val="1"/>
      <w:numFmt w:val="decimal"/>
      <w:suff w:val="space"/>
      <w:lvlText w:val="%1.%2"/>
      <w:lvlJc w:val="left"/>
      <w:pPr>
        <w:ind w:left="0" w:firstLine="0"/>
      </w:pPr>
      <w:rPr>
        <w:rFonts w:ascii="Times New Roman" w:hAnsi="Times New Roman" w:cs="Times New Roman" w:hint="default"/>
      </w:rPr>
    </w:lvl>
    <w:lvl w:ilvl="2">
      <w:start w:val="1"/>
      <w:numFmt w:val="decimal"/>
      <w:suff w:val="space"/>
      <w:lvlText w:val="%1.%2.%3"/>
      <w:lvlJc w:val="left"/>
      <w:pPr>
        <w:ind w:left="0" w:firstLine="0"/>
      </w:pPr>
      <w:rPr>
        <w:rFonts w:ascii="Times New Roman" w:hAnsi="Times New Roman" w:cs="Times New Roman" w:hint="default"/>
      </w:rPr>
    </w:lvl>
    <w:lvl w:ilvl="3">
      <w:start w:val="1"/>
      <w:numFmt w:val="decimal"/>
      <w:suff w:val="space"/>
      <w:lvlText w:val="%1.%2.%3.%4"/>
      <w:lvlJc w:val="left"/>
      <w:pPr>
        <w:ind w:left="0" w:firstLine="0"/>
      </w:pPr>
      <w:rPr>
        <w:rFonts w:ascii="Times New Roman" w:hAnsi="Times New Roman" w:cs="Times New Roman" w:hint="default"/>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pPr>
        <w:ind w:left="0" w:firstLine="0"/>
      </w:pPr>
      <w:rPr>
        <w:rFonts w:ascii="Times New Roman" w:hAnsi="Times New Roman" w:cs="Times New Roman" w:hint="default"/>
      </w:rPr>
    </w:lvl>
    <w:lvl w:ilvl="6">
      <w:start w:val="1"/>
      <w:numFmt w:val="decimal"/>
      <w:suff w:val="space"/>
      <w:lvlText w:val="%1.%2.%3.%4.%5.%6.%7"/>
      <w:lvlJc w:val="left"/>
      <w:pPr>
        <w:ind w:left="0" w:firstLine="0"/>
      </w:pPr>
      <w:rPr>
        <w:rFonts w:ascii="Times New Roman" w:hAnsi="Times New Roman" w:cs="Times New Roman" w:hint="default"/>
      </w:rPr>
    </w:lvl>
    <w:lvl w:ilvl="7">
      <w:start w:val="1"/>
      <w:numFmt w:val="decimal"/>
      <w:suff w:val="space"/>
      <w:lvlText w:val="%1.%2.%3.%4.%5.%6.%7.%8"/>
      <w:lvlJc w:val="left"/>
      <w:pPr>
        <w:ind w:left="0" w:firstLine="0"/>
      </w:pPr>
      <w:rPr>
        <w:rFonts w:ascii="Times New Roman" w:hAnsi="Times New Roman" w:cs="Times New Roman" w:hint="default"/>
      </w:rPr>
    </w:lvl>
    <w:lvl w:ilvl="8">
      <w:start w:val="1"/>
      <w:numFmt w:val="decimal"/>
      <w:suff w:val="space"/>
      <w:lvlText w:val="%1.%2.%3.%4.%5.%6.%7.%8.%9"/>
      <w:lvlJc w:val="left"/>
      <w:pPr>
        <w:ind w:left="0" w:firstLine="0"/>
      </w:pPr>
      <w:rPr>
        <w:rFonts w:ascii="Times New Roman" w:hAnsi="Times New Roman" w:cs="Times New Roman" w:hint="default"/>
      </w:rPr>
    </w:lvl>
  </w:abstractNum>
  <w:abstractNum w:abstractNumId="1" w15:restartNumberingAfterBreak="0">
    <w:nsid w:val="7FDA343F"/>
    <w:multiLevelType w:val="multilevel"/>
    <w:tmpl w:val="00A89DDC"/>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826897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428585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B6C"/>
    <w:rsid w:val="00000250"/>
    <w:rsid w:val="0001755F"/>
    <w:rsid w:val="0002305D"/>
    <w:rsid w:val="0003511D"/>
    <w:rsid w:val="00041C47"/>
    <w:rsid w:val="00044BBA"/>
    <w:rsid w:val="000849DE"/>
    <w:rsid w:val="00091648"/>
    <w:rsid w:val="00094776"/>
    <w:rsid w:val="000973C7"/>
    <w:rsid w:val="000A0443"/>
    <w:rsid w:val="000A1492"/>
    <w:rsid w:val="000B37FA"/>
    <w:rsid w:val="000D5A1D"/>
    <w:rsid w:val="000E2B3A"/>
    <w:rsid w:val="000E6163"/>
    <w:rsid w:val="000F3836"/>
    <w:rsid w:val="000F3A3F"/>
    <w:rsid w:val="00100AD6"/>
    <w:rsid w:val="00101902"/>
    <w:rsid w:val="001156BF"/>
    <w:rsid w:val="001343E9"/>
    <w:rsid w:val="00135ADF"/>
    <w:rsid w:val="00141DE1"/>
    <w:rsid w:val="0014477A"/>
    <w:rsid w:val="00150EB6"/>
    <w:rsid w:val="00152DCF"/>
    <w:rsid w:val="0018366D"/>
    <w:rsid w:val="00193DAD"/>
    <w:rsid w:val="001A052D"/>
    <w:rsid w:val="001A7B7E"/>
    <w:rsid w:val="00204021"/>
    <w:rsid w:val="0021000E"/>
    <w:rsid w:val="00217338"/>
    <w:rsid w:val="00232B6C"/>
    <w:rsid w:val="00256FE2"/>
    <w:rsid w:val="0027140F"/>
    <w:rsid w:val="002717A4"/>
    <w:rsid w:val="00286555"/>
    <w:rsid w:val="002D030B"/>
    <w:rsid w:val="002D76FE"/>
    <w:rsid w:val="002E0C33"/>
    <w:rsid w:val="002E1F9D"/>
    <w:rsid w:val="002E319B"/>
    <w:rsid w:val="002F733A"/>
    <w:rsid w:val="003056CA"/>
    <w:rsid w:val="00312BD0"/>
    <w:rsid w:val="00313DE5"/>
    <w:rsid w:val="0031736F"/>
    <w:rsid w:val="00323A5D"/>
    <w:rsid w:val="00347894"/>
    <w:rsid w:val="00351AD7"/>
    <w:rsid w:val="003610F0"/>
    <w:rsid w:val="00387C09"/>
    <w:rsid w:val="00403DCE"/>
    <w:rsid w:val="004326B3"/>
    <w:rsid w:val="004461F3"/>
    <w:rsid w:val="00451C95"/>
    <w:rsid w:val="00457E11"/>
    <w:rsid w:val="00470E42"/>
    <w:rsid w:val="00475693"/>
    <w:rsid w:val="004927F7"/>
    <w:rsid w:val="00493F39"/>
    <w:rsid w:val="004C04F9"/>
    <w:rsid w:val="004C0BC4"/>
    <w:rsid w:val="004C4A2D"/>
    <w:rsid w:val="004C518B"/>
    <w:rsid w:val="004D66EE"/>
    <w:rsid w:val="004E4C48"/>
    <w:rsid w:val="004F425D"/>
    <w:rsid w:val="004F6F43"/>
    <w:rsid w:val="005132DF"/>
    <w:rsid w:val="00521717"/>
    <w:rsid w:val="00526907"/>
    <w:rsid w:val="005335FC"/>
    <w:rsid w:val="00550B22"/>
    <w:rsid w:val="00560F8C"/>
    <w:rsid w:val="005718CE"/>
    <w:rsid w:val="00573C1B"/>
    <w:rsid w:val="00580B46"/>
    <w:rsid w:val="00584D92"/>
    <w:rsid w:val="005C31C5"/>
    <w:rsid w:val="005C3604"/>
    <w:rsid w:val="005E06A3"/>
    <w:rsid w:val="005F3972"/>
    <w:rsid w:val="005F780D"/>
    <w:rsid w:val="0061343B"/>
    <w:rsid w:val="006146A4"/>
    <w:rsid w:val="00616984"/>
    <w:rsid w:val="00640EAA"/>
    <w:rsid w:val="00643E3D"/>
    <w:rsid w:val="006520F1"/>
    <w:rsid w:val="006953AC"/>
    <w:rsid w:val="00697856"/>
    <w:rsid w:val="006A53C7"/>
    <w:rsid w:val="006D284F"/>
    <w:rsid w:val="006D4D99"/>
    <w:rsid w:val="006F4F18"/>
    <w:rsid w:val="00705063"/>
    <w:rsid w:val="00716C3E"/>
    <w:rsid w:val="00735B48"/>
    <w:rsid w:val="00736BC2"/>
    <w:rsid w:val="00747129"/>
    <w:rsid w:val="00771D1E"/>
    <w:rsid w:val="00785D2C"/>
    <w:rsid w:val="00797DB8"/>
    <w:rsid w:val="00797F23"/>
    <w:rsid w:val="007C33E1"/>
    <w:rsid w:val="007F4384"/>
    <w:rsid w:val="00800BEC"/>
    <w:rsid w:val="00806312"/>
    <w:rsid w:val="00810E5C"/>
    <w:rsid w:val="00817F9D"/>
    <w:rsid w:val="00832B39"/>
    <w:rsid w:val="00840A31"/>
    <w:rsid w:val="00841FC9"/>
    <w:rsid w:val="00845D6A"/>
    <w:rsid w:val="00863711"/>
    <w:rsid w:val="0087156F"/>
    <w:rsid w:val="00881575"/>
    <w:rsid w:val="0088238A"/>
    <w:rsid w:val="00883F57"/>
    <w:rsid w:val="008A1D5B"/>
    <w:rsid w:val="008C3E23"/>
    <w:rsid w:val="009033D1"/>
    <w:rsid w:val="009043AC"/>
    <w:rsid w:val="00925E99"/>
    <w:rsid w:val="00932CE7"/>
    <w:rsid w:val="0093480D"/>
    <w:rsid w:val="0094066E"/>
    <w:rsid w:val="00957E02"/>
    <w:rsid w:val="009602AD"/>
    <w:rsid w:val="0096051F"/>
    <w:rsid w:val="009712F6"/>
    <w:rsid w:val="0097645F"/>
    <w:rsid w:val="00983888"/>
    <w:rsid w:val="00986BFB"/>
    <w:rsid w:val="009A52A6"/>
    <w:rsid w:val="009B08C1"/>
    <w:rsid w:val="009B3B68"/>
    <w:rsid w:val="009B661D"/>
    <w:rsid w:val="009C22FE"/>
    <w:rsid w:val="009D43E4"/>
    <w:rsid w:val="009F7FF3"/>
    <w:rsid w:val="00A0006A"/>
    <w:rsid w:val="00A06554"/>
    <w:rsid w:val="00A104F4"/>
    <w:rsid w:val="00A109F3"/>
    <w:rsid w:val="00A44196"/>
    <w:rsid w:val="00A52D9D"/>
    <w:rsid w:val="00A60F23"/>
    <w:rsid w:val="00A67045"/>
    <w:rsid w:val="00A8620E"/>
    <w:rsid w:val="00AA2B4B"/>
    <w:rsid w:val="00AA340D"/>
    <w:rsid w:val="00AA5181"/>
    <w:rsid w:val="00AB20C1"/>
    <w:rsid w:val="00AC0989"/>
    <w:rsid w:val="00AC1320"/>
    <w:rsid w:val="00AC7428"/>
    <w:rsid w:val="00AD2A0C"/>
    <w:rsid w:val="00B537A7"/>
    <w:rsid w:val="00B61EC9"/>
    <w:rsid w:val="00B872FB"/>
    <w:rsid w:val="00B95E92"/>
    <w:rsid w:val="00BA01DA"/>
    <w:rsid w:val="00BA578D"/>
    <w:rsid w:val="00BC202F"/>
    <w:rsid w:val="00BE1605"/>
    <w:rsid w:val="00BE2F2B"/>
    <w:rsid w:val="00BF472C"/>
    <w:rsid w:val="00C00BA5"/>
    <w:rsid w:val="00C0413D"/>
    <w:rsid w:val="00C50F0A"/>
    <w:rsid w:val="00C738E4"/>
    <w:rsid w:val="00C82C86"/>
    <w:rsid w:val="00C86EB8"/>
    <w:rsid w:val="00C937A0"/>
    <w:rsid w:val="00C95975"/>
    <w:rsid w:val="00CA1592"/>
    <w:rsid w:val="00CA4FFF"/>
    <w:rsid w:val="00CA74A2"/>
    <w:rsid w:val="00CB2105"/>
    <w:rsid w:val="00CD5B48"/>
    <w:rsid w:val="00CD6E3A"/>
    <w:rsid w:val="00CF04B9"/>
    <w:rsid w:val="00D16207"/>
    <w:rsid w:val="00D226EE"/>
    <w:rsid w:val="00D43A91"/>
    <w:rsid w:val="00D46189"/>
    <w:rsid w:val="00D51889"/>
    <w:rsid w:val="00D67564"/>
    <w:rsid w:val="00D727A5"/>
    <w:rsid w:val="00D929C1"/>
    <w:rsid w:val="00DA688E"/>
    <w:rsid w:val="00DC649A"/>
    <w:rsid w:val="00DE49D5"/>
    <w:rsid w:val="00DE7D84"/>
    <w:rsid w:val="00E314F1"/>
    <w:rsid w:val="00E41C63"/>
    <w:rsid w:val="00E4680B"/>
    <w:rsid w:val="00E541D9"/>
    <w:rsid w:val="00E82640"/>
    <w:rsid w:val="00EA4807"/>
    <w:rsid w:val="00EA7181"/>
    <w:rsid w:val="00EC3A91"/>
    <w:rsid w:val="00ED50CA"/>
    <w:rsid w:val="00EE4776"/>
    <w:rsid w:val="00EF22DD"/>
    <w:rsid w:val="00F22A51"/>
    <w:rsid w:val="00F3248E"/>
    <w:rsid w:val="00F3558B"/>
    <w:rsid w:val="00F94505"/>
    <w:rsid w:val="00FA14F2"/>
    <w:rsid w:val="00FB2723"/>
    <w:rsid w:val="00FB70C7"/>
    <w:rsid w:val="00FC10BD"/>
    <w:rsid w:val="00FC110E"/>
    <w:rsid w:val="00FF04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28301"/>
  <w15:chartTrackingRefBased/>
  <w15:docId w15:val="{49CAA0CF-7706-477C-86F6-569661B48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paragraph" w:styleId="1">
    <w:name w:val="heading 1"/>
    <w:basedOn w:val="a"/>
    <w:next w:val="a"/>
    <w:link w:val="10"/>
    <w:uiPriority w:val="9"/>
    <w:qFormat/>
    <w:rsid w:val="00232B6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32B6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32B6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32B6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32B6C"/>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32B6C"/>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32B6C"/>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32B6C"/>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32B6C"/>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32B6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32B6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32B6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32B6C"/>
    <w:rPr>
      <w:rFonts w:cstheme="majorBidi"/>
      <w:color w:val="0F4761" w:themeColor="accent1" w:themeShade="BF"/>
      <w:sz w:val="28"/>
      <w:szCs w:val="28"/>
    </w:rPr>
  </w:style>
  <w:style w:type="character" w:customStyle="1" w:styleId="50">
    <w:name w:val="标题 5 字符"/>
    <w:basedOn w:val="a0"/>
    <w:link w:val="5"/>
    <w:uiPriority w:val="9"/>
    <w:semiHidden/>
    <w:rsid w:val="00232B6C"/>
    <w:rPr>
      <w:rFonts w:cstheme="majorBidi"/>
      <w:color w:val="0F4761" w:themeColor="accent1" w:themeShade="BF"/>
      <w:sz w:val="24"/>
    </w:rPr>
  </w:style>
  <w:style w:type="character" w:customStyle="1" w:styleId="60">
    <w:name w:val="标题 6 字符"/>
    <w:basedOn w:val="a0"/>
    <w:link w:val="6"/>
    <w:uiPriority w:val="9"/>
    <w:semiHidden/>
    <w:rsid w:val="00232B6C"/>
    <w:rPr>
      <w:rFonts w:cstheme="majorBidi"/>
      <w:b/>
      <w:bCs/>
      <w:color w:val="0F4761" w:themeColor="accent1" w:themeShade="BF"/>
    </w:rPr>
  </w:style>
  <w:style w:type="character" w:customStyle="1" w:styleId="70">
    <w:name w:val="标题 7 字符"/>
    <w:basedOn w:val="a0"/>
    <w:link w:val="7"/>
    <w:uiPriority w:val="9"/>
    <w:semiHidden/>
    <w:rsid w:val="00232B6C"/>
    <w:rPr>
      <w:rFonts w:cstheme="majorBidi"/>
      <w:b/>
      <w:bCs/>
      <w:color w:val="595959" w:themeColor="text1" w:themeTint="A6"/>
    </w:rPr>
  </w:style>
  <w:style w:type="character" w:customStyle="1" w:styleId="80">
    <w:name w:val="标题 8 字符"/>
    <w:basedOn w:val="a0"/>
    <w:link w:val="8"/>
    <w:uiPriority w:val="9"/>
    <w:semiHidden/>
    <w:rsid w:val="00232B6C"/>
    <w:rPr>
      <w:rFonts w:cstheme="majorBidi"/>
      <w:color w:val="595959" w:themeColor="text1" w:themeTint="A6"/>
    </w:rPr>
  </w:style>
  <w:style w:type="character" w:customStyle="1" w:styleId="90">
    <w:name w:val="标题 9 字符"/>
    <w:basedOn w:val="a0"/>
    <w:link w:val="9"/>
    <w:uiPriority w:val="9"/>
    <w:semiHidden/>
    <w:rsid w:val="00232B6C"/>
    <w:rPr>
      <w:rFonts w:eastAsiaTheme="majorEastAsia" w:cstheme="majorBidi"/>
      <w:color w:val="595959" w:themeColor="text1" w:themeTint="A6"/>
    </w:rPr>
  </w:style>
  <w:style w:type="paragraph" w:styleId="a3">
    <w:name w:val="Title"/>
    <w:basedOn w:val="a"/>
    <w:next w:val="a"/>
    <w:link w:val="a4"/>
    <w:uiPriority w:val="10"/>
    <w:qFormat/>
    <w:rsid w:val="00232B6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32B6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32B6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32B6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32B6C"/>
    <w:pPr>
      <w:spacing w:before="160"/>
      <w:jc w:val="center"/>
    </w:pPr>
    <w:rPr>
      <w:i/>
      <w:iCs/>
      <w:color w:val="404040" w:themeColor="text1" w:themeTint="BF"/>
    </w:rPr>
  </w:style>
  <w:style w:type="character" w:customStyle="1" w:styleId="a8">
    <w:name w:val="引用 字符"/>
    <w:basedOn w:val="a0"/>
    <w:link w:val="a7"/>
    <w:uiPriority w:val="29"/>
    <w:rsid w:val="00232B6C"/>
    <w:rPr>
      <w:i/>
      <w:iCs/>
      <w:color w:val="404040" w:themeColor="text1" w:themeTint="BF"/>
    </w:rPr>
  </w:style>
  <w:style w:type="paragraph" w:styleId="a9">
    <w:name w:val="List Paragraph"/>
    <w:basedOn w:val="a"/>
    <w:uiPriority w:val="34"/>
    <w:qFormat/>
    <w:rsid w:val="00232B6C"/>
    <w:pPr>
      <w:ind w:left="720"/>
      <w:contextualSpacing/>
    </w:pPr>
  </w:style>
  <w:style w:type="character" w:styleId="aa">
    <w:name w:val="Intense Emphasis"/>
    <w:basedOn w:val="a0"/>
    <w:uiPriority w:val="21"/>
    <w:qFormat/>
    <w:rsid w:val="00232B6C"/>
    <w:rPr>
      <w:i/>
      <w:iCs/>
      <w:color w:val="0F4761" w:themeColor="accent1" w:themeShade="BF"/>
    </w:rPr>
  </w:style>
  <w:style w:type="paragraph" w:styleId="ab">
    <w:name w:val="Intense Quote"/>
    <w:basedOn w:val="a"/>
    <w:next w:val="a"/>
    <w:link w:val="ac"/>
    <w:uiPriority w:val="30"/>
    <w:qFormat/>
    <w:rsid w:val="00232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32B6C"/>
    <w:rPr>
      <w:i/>
      <w:iCs/>
      <w:color w:val="0F4761" w:themeColor="accent1" w:themeShade="BF"/>
    </w:rPr>
  </w:style>
  <w:style w:type="character" w:styleId="ad">
    <w:name w:val="Intense Reference"/>
    <w:basedOn w:val="a0"/>
    <w:uiPriority w:val="32"/>
    <w:qFormat/>
    <w:rsid w:val="00232B6C"/>
    <w:rPr>
      <w:b/>
      <w:bCs/>
      <w:smallCaps/>
      <w:color w:val="0F4761" w:themeColor="accent1" w:themeShade="BF"/>
      <w:spacing w:val="5"/>
    </w:rPr>
  </w:style>
  <w:style w:type="paragraph" w:styleId="ae">
    <w:name w:val="header"/>
    <w:basedOn w:val="a"/>
    <w:link w:val="af"/>
    <w:uiPriority w:val="99"/>
    <w:unhideWhenUsed/>
    <w:rsid w:val="002F733A"/>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2F733A"/>
    <w:rPr>
      <w:sz w:val="18"/>
      <w:szCs w:val="18"/>
    </w:rPr>
  </w:style>
  <w:style w:type="paragraph" w:styleId="af0">
    <w:name w:val="footer"/>
    <w:basedOn w:val="a"/>
    <w:link w:val="af1"/>
    <w:uiPriority w:val="99"/>
    <w:unhideWhenUsed/>
    <w:rsid w:val="002F733A"/>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2F733A"/>
    <w:rPr>
      <w:sz w:val="18"/>
      <w:szCs w:val="18"/>
    </w:rPr>
  </w:style>
  <w:style w:type="paragraph" w:styleId="af2">
    <w:name w:val="Normal (Web)"/>
    <w:basedOn w:val="a"/>
    <w:uiPriority w:val="99"/>
    <w:unhideWhenUsed/>
    <w:rsid w:val="00BE1605"/>
    <w:rPr>
      <w:rFonts w:ascii="Times New Roman" w:hAnsi="Times New Roman" w:cs="Times New Roman"/>
      <w:sz w:val="24"/>
    </w:rPr>
  </w:style>
  <w:style w:type="character" w:styleId="af3">
    <w:name w:val="Hyperlink"/>
    <w:basedOn w:val="a0"/>
    <w:uiPriority w:val="99"/>
    <w:unhideWhenUsed/>
    <w:rsid w:val="00580B46"/>
    <w:rPr>
      <w:color w:val="467886" w:themeColor="hyperlink"/>
      <w:u w:val="single"/>
    </w:rPr>
  </w:style>
  <w:style w:type="character" w:styleId="af4">
    <w:name w:val="Unresolved Mention"/>
    <w:basedOn w:val="a0"/>
    <w:uiPriority w:val="99"/>
    <w:semiHidden/>
    <w:unhideWhenUsed/>
    <w:rsid w:val="00580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2497">
      <w:bodyDiv w:val="1"/>
      <w:marLeft w:val="0"/>
      <w:marRight w:val="0"/>
      <w:marTop w:val="0"/>
      <w:marBottom w:val="0"/>
      <w:divBdr>
        <w:top w:val="none" w:sz="0" w:space="0" w:color="auto"/>
        <w:left w:val="none" w:sz="0" w:space="0" w:color="auto"/>
        <w:bottom w:val="none" w:sz="0" w:space="0" w:color="auto"/>
        <w:right w:val="none" w:sz="0" w:space="0" w:color="auto"/>
      </w:divBdr>
    </w:div>
    <w:div w:id="26760428">
      <w:bodyDiv w:val="1"/>
      <w:marLeft w:val="0"/>
      <w:marRight w:val="0"/>
      <w:marTop w:val="0"/>
      <w:marBottom w:val="0"/>
      <w:divBdr>
        <w:top w:val="none" w:sz="0" w:space="0" w:color="auto"/>
        <w:left w:val="none" w:sz="0" w:space="0" w:color="auto"/>
        <w:bottom w:val="none" w:sz="0" w:space="0" w:color="auto"/>
        <w:right w:val="none" w:sz="0" w:space="0" w:color="auto"/>
      </w:divBdr>
      <w:divsChild>
        <w:div w:id="1921213665">
          <w:marLeft w:val="0"/>
          <w:marRight w:val="0"/>
          <w:marTop w:val="0"/>
          <w:marBottom w:val="0"/>
          <w:divBdr>
            <w:top w:val="none" w:sz="0" w:space="0" w:color="auto"/>
            <w:left w:val="none" w:sz="0" w:space="0" w:color="auto"/>
            <w:bottom w:val="none" w:sz="0" w:space="0" w:color="auto"/>
            <w:right w:val="none" w:sz="0" w:space="0" w:color="auto"/>
          </w:divBdr>
        </w:div>
        <w:div w:id="805051988">
          <w:marLeft w:val="0"/>
          <w:marRight w:val="0"/>
          <w:marTop w:val="0"/>
          <w:marBottom w:val="0"/>
          <w:divBdr>
            <w:top w:val="none" w:sz="0" w:space="0" w:color="auto"/>
            <w:left w:val="none" w:sz="0" w:space="0" w:color="auto"/>
            <w:bottom w:val="none" w:sz="0" w:space="0" w:color="auto"/>
            <w:right w:val="none" w:sz="0" w:space="0" w:color="auto"/>
          </w:divBdr>
        </w:div>
        <w:div w:id="2129278006">
          <w:marLeft w:val="0"/>
          <w:marRight w:val="0"/>
          <w:marTop w:val="0"/>
          <w:marBottom w:val="0"/>
          <w:divBdr>
            <w:top w:val="none" w:sz="0" w:space="0" w:color="auto"/>
            <w:left w:val="none" w:sz="0" w:space="0" w:color="auto"/>
            <w:bottom w:val="none" w:sz="0" w:space="0" w:color="auto"/>
            <w:right w:val="none" w:sz="0" w:space="0" w:color="auto"/>
          </w:divBdr>
        </w:div>
        <w:div w:id="311519002">
          <w:marLeft w:val="0"/>
          <w:marRight w:val="0"/>
          <w:marTop w:val="0"/>
          <w:marBottom w:val="0"/>
          <w:divBdr>
            <w:top w:val="none" w:sz="0" w:space="0" w:color="auto"/>
            <w:left w:val="none" w:sz="0" w:space="0" w:color="auto"/>
            <w:bottom w:val="none" w:sz="0" w:space="0" w:color="auto"/>
            <w:right w:val="none" w:sz="0" w:space="0" w:color="auto"/>
          </w:divBdr>
        </w:div>
      </w:divsChild>
    </w:div>
    <w:div w:id="48118190">
      <w:bodyDiv w:val="1"/>
      <w:marLeft w:val="0"/>
      <w:marRight w:val="0"/>
      <w:marTop w:val="0"/>
      <w:marBottom w:val="0"/>
      <w:divBdr>
        <w:top w:val="none" w:sz="0" w:space="0" w:color="auto"/>
        <w:left w:val="none" w:sz="0" w:space="0" w:color="auto"/>
        <w:bottom w:val="none" w:sz="0" w:space="0" w:color="auto"/>
        <w:right w:val="none" w:sz="0" w:space="0" w:color="auto"/>
      </w:divBdr>
    </w:div>
    <w:div w:id="52046020">
      <w:bodyDiv w:val="1"/>
      <w:marLeft w:val="0"/>
      <w:marRight w:val="0"/>
      <w:marTop w:val="0"/>
      <w:marBottom w:val="0"/>
      <w:divBdr>
        <w:top w:val="none" w:sz="0" w:space="0" w:color="auto"/>
        <w:left w:val="none" w:sz="0" w:space="0" w:color="auto"/>
        <w:bottom w:val="none" w:sz="0" w:space="0" w:color="auto"/>
        <w:right w:val="none" w:sz="0" w:space="0" w:color="auto"/>
      </w:divBdr>
    </w:div>
    <w:div w:id="79955500">
      <w:bodyDiv w:val="1"/>
      <w:marLeft w:val="0"/>
      <w:marRight w:val="0"/>
      <w:marTop w:val="0"/>
      <w:marBottom w:val="0"/>
      <w:divBdr>
        <w:top w:val="none" w:sz="0" w:space="0" w:color="auto"/>
        <w:left w:val="none" w:sz="0" w:space="0" w:color="auto"/>
        <w:bottom w:val="none" w:sz="0" w:space="0" w:color="auto"/>
        <w:right w:val="none" w:sz="0" w:space="0" w:color="auto"/>
      </w:divBdr>
    </w:div>
    <w:div w:id="213469598">
      <w:bodyDiv w:val="1"/>
      <w:marLeft w:val="0"/>
      <w:marRight w:val="0"/>
      <w:marTop w:val="0"/>
      <w:marBottom w:val="0"/>
      <w:divBdr>
        <w:top w:val="none" w:sz="0" w:space="0" w:color="auto"/>
        <w:left w:val="none" w:sz="0" w:space="0" w:color="auto"/>
        <w:bottom w:val="none" w:sz="0" w:space="0" w:color="auto"/>
        <w:right w:val="none" w:sz="0" w:space="0" w:color="auto"/>
      </w:divBdr>
    </w:div>
    <w:div w:id="269092245">
      <w:bodyDiv w:val="1"/>
      <w:marLeft w:val="0"/>
      <w:marRight w:val="0"/>
      <w:marTop w:val="0"/>
      <w:marBottom w:val="0"/>
      <w:divBdr>
        <w:top w:val="none" w:sz="0" w:space="0" w:color="auto"/>
        <w:left w:val="none" w:sz="0" w:space="0" w:color="auto"/>
        <w:bottom w:val="none" w:sz="0" w:space="0" w:color="auto"/>
        <w:right w:val="none" w:sz="0" w:space="0" w:color="auto"/>
      </w:divBdr>
    </w:div>
    <w:div w:id="298414127">
      <w:bodyDiv w:val="1"/>
      <w:marLeft w:val="0"/>
      <w:marRight w:val="0"/>
      <w:marTop w:val="0"/>
      <w:marBottom w:val="0"/>
      <w:divBdr>
        <w:top w:val="none" w:sz="0" w:space="0" w:color="auto"/>
        <w:left w:val="none" w:sz="0" w:space="0" w:color="auto"/>
        <w:bottom w:val="none" w:sz="0" w:space="0" w:color="auto"/>
        <w:right w:val="none" w:sz="0" w:space="0" w:color="auto"/>
      </w:divBdr>
    </w:div>
    <w:div w:id="303201614">
      <w:bodyDiv w:val="1"/>
      <w:marLeft w:val="0"/>
      <w:marRight w:val="0"/>
      <w:marTop w:val="0"/>
      <w:marBottom w:val="0"/>
      <w:divBdr>
        <w:top w:val="none" w:sz="0" w:space="0" w:color="auto"/>
        <w:left w:val="none" w:sz="0" w:space="0" w:color="auto"/>
        <w:bottom w:val="none" w:sz="0" w:space="0" w:color="auto"/>
        <w:right w:val="none" w:sz="0" w:space="0" w:color="auto"/>
      </w:divBdr>
    </w:div>
    <w:div w:id="313602703">
      <w:bodyDiv w:val="1"/>
      <w:marLeft w:val="0"/>
      <w:marRight w:val="0"/>
      <w:marTop w:val="0"/>
      <w:marBottom w:val="0"/>
      <w:divBdr>
        <w:top w:val="none" w:sz="0" w:space="0" w:color="auto"/>
        <w:left w:val="none" w:sz="0" w:space="0" w:color="auto"/>
        <w:bottom w:val="none" w:sz="0" w:space="0" w:color="auto"/>
        <w:right w:val="none" w:sz="0" w:space="0" w:color="auto"/>
      </w:divBdr>
    </w:div>
    <w:div w:id="366180675">
      <w:bodyDiv w:val="1"/>
      <w:marLeft w:val="0"/>
      <w:marRight w:val="0"/>
      <w:marTop w:val="0"/>
      <w:marBottom w:val="0"/>
      <w:divBdr>
        <w:top w:val="none" w:sz="0" w:space="0" w:color="auto"/>
        <w:left w:val="none" w:sz="0" w:space="0" w:color="auto"/>
        <w:bottom w:val="none" w:sz="0" w:space="0" w:color="auto"/>
        <w:right w:val="none" w:sz="0" w:space="0" w:color="auto"/>
      </w:divBdr>
    </w:div>
    <w:div w:id="389427084">
      <w:bodyDiv w:val="1"/>
      <w:marLeft w:val="0"/>
      <w:marRight w:val="0"/>
      <w:marTop w:val="0"/>
      <w:marBottom w:val="0"/>
      <w:divBdr>
        <w:top w:val="none" w:sz="0" w:space="0" w:color="auto"/>
        <w:left w:val="none" w:sz="0" w:space="0" w:color="auto"/>
        <w:bottom w:val="none" w:sz="0" w:space="0" w:color="auto"/>
        <w:right w:val="none" w:sz="0" w:space="0" w:color="auto"/>
      </w:divBdr>
    </w:div>
    <w:div w:id="464591134">
      <w:bodyDiv w:val="1"/>
      <w:marLeft w:val="0"/>
      <w:marRight w:val="0"/>
      <w:marTop w:val="0"/>
      <w:marBottom w:val="0"/>
      <w:divBdr>
        <w:top w:val="none" w:sz="0" w:space="0" w:color="auto"/>
        <w:left w:val="none" w:sz="0" w:space="0" w:color="auto"/>
        <w:bottom w:val="none" w:sz="0" w:space="0" w:color="auto"/>
        <w:right w:val="none" w:sz="0" w:space="0" w:color="auto"/>
      </w:divBdr>
    </w:div>
    <w:div w:id="466315741">
      <w:bodyDiv w:val="1"/>
      <w:marLeft w:val="0"/>
      <w:marRight w:val="0"/>
      <w:marTop w:val="0"/>
      <w:marBottom w:val="0"/>
      <w:divBdr>
        <w:top w:val="none" w:sz="0" w:space="0" w:color="auto"/>
        <w:left w:val="none" w:sz="0" w:space="0" w:color="auto"/>
        <w:bottom w:val="none" w:sz="0" w:space="0" w:color="auto"/>
        <w:right w:val="none" w:sz="0" w:space="0" w:color="auto"/>
      </w:divBdr>
    </w:div>
    <w:div w:id="472719665">
      <w:bodyDiv w:val="1"/>
      <w:marLeft w:val="0"/>
      <w:marRight w:val="0"/>
      <w:marTop w:val="0"/>
      <w:marBottom w:val="0"/>
      <w:divBdr>
        <w:top w:val="none" w:sz="0" w:space="0" w:color="auto"/>
        <w:left w:val="none" w:sz="0" w:space="0" w:color="auto"/>
        <w:bottom w:val="none" w:sz="0" w:space="0" w:color="auto"/>
        <w:right w:val="none" w:sz="0" w:space="0" w:color="auto"/>
      </w:divBdr>
    </w:div>
    <w:div w:id="478688483">
      <w:bodyDiv w:val="1"/>
      <w:marLeft w:val="0"/>
      <w:marRight w:val="0"/>
      <w:marTop w:val="0"/>
      <w:marBottom w:val="0"/>
      <w:divBdr>
        <w:top w:val="none" w:sz="0" w:space="0" w:color="auto"/>
        <w:left w:val="none" w:sz="0" w:space="0" w:color="auto"/>
        <w:bottom w:val="none" w:sz="0" w:space="0" w:color="auto"/>
        <w:right w:val="none" w:sz="0" w:space="0" w:color="auto"/>
      </w:divBdr>
    </w:div>
    <w:div w:id="515850568">
      <w:bodyDiv w:val="1"/>
      <w:marLeft w:val="0"/>
      <w:marRight w:val="0"/>
      <w:marTop w:val="0"/>
      <w:marBottom w:val="0"/>
      <w:divBdr>
        <w:top w:val="none" w:sz="0" w:space="0" w:color="auto"/>
        <w:left w:val="none" w:sz="0" w:space="0" w:color="auto"/>
        <w:bottom w:val="none" w:sz="0" w:space="0" w:color="auto"/>
        <w:right w:val="none" w:sz="0" w:space="0" w:color="auto"/>
      </w:divBdr>
    </w:div>
    <w:div w:id="524828061">
      <w:bodyDiv w:val="1"/>
      <w:marLeft w:val="0"/>
      <w:marRight w:val="0"/>
      <w:marTop w:val="0"/>
      <w:marBottom w:val="0"/>
      <w:divBdr>
        <w:top w:val="none" w:sz="0" w:space="0" w:color="auto"/>
        <w:left w:val="none" w:sz="0" w:space="0" w:color="auto"/>
        <w:bottom w:val="none" w:sz="0" w:space="0" w:color="auto"/>
        <w:right w:val="none" w:sz="0" w:space="0" w:color="auto"/>
      </w:divBdr>
    </w:div>
    <w:div w:id="643386650">
      <w:bodyDiv w:val="1"/>
      <w:marLeft w:val="0"/>
      <w:marRight w:val="0"/>
      <w:marTop w:val="0"/>
      <w:marBottom w:val="0"/>
      <w:divBdr>
        <w:top w:val="none" w:sz="0" w:space="0" w:color="auto"/>
        <w:left w:val="none" w:sz="0" w:space="0" w:color="auto"/>
        <w:bottom w:val="none" w:sz="0" w:space="0" w:color="auto"/>
        <w:right w:val="none" w:sz="0" w:space="0" w:color="auto"/>
      </w:divBdr>
    </w:div>
    <w:div w:id="687217735">
      <w:bodyDiv w:val="1"/>
      <w:marLeft w:val="0"/>
      <w:marRight w:val="0"/>
      <w:marTop w:val="0"/>
      <w:marBottom w:val="0"/>
      <w:divBdr>
        <w:top w:val="none" w:sz="0" w:space="0" w:color="auto"/>
        <w:left w:val="none" w:sz="0" w:space="0" w:color="auto"/>
        <w:bottom w:val="none" w:sz="0" w:space="0" w:color="auto"/>
        <w:right w:val="none" w:sz="0" w:space="0" w:color="auto"/>
      </w:divBdr>
    </w:div>
    <w:div w:id="706612934">
      <w:bodyDiv w:val="1"/>
      <w:marLeft w:val="0"/>
      <w:marRight w:val="0"/>
      <w:marTop w:val="0"/>
      <w:marBottom w:val="0"/>
      <w:divBdr>
        <w:top w:val="none" w:sz="0" w:space="0" w:color="auto"/>
        <w:left w:val="none" w:sz="0" w:space="0" w:color="auto"/>
        <w:bottom w:val="none" w:sz="0" w:space="0" w:color="auto"/>
        <w:right w:val="none" w:sz="0" w:space="0" w:color="auto"/>
      </w:divBdr>
    </w:div>
    <w:div w:id="720903218">
      <w:bodyDiv w:val="1"/>
      <w:marLeft w:val="0"/>
      <w:marRight w:val="0"/>
      <w:marTop w:val="0"/>
      <w:marBottom w:val="0"/>
      <w:divBdr>
        <w:top w:val="none" w:sz="0" w:space="0" w:color="auto"/>
        <w:left w:val="none" w:sz="0" w:space="0" w:color="auto"/>
        <w:bottom w:val="none" w:sz="0" w:space="0" w:color="auto"/>
        <w:right w:val="none" w:sz="0" w:space="0" w:color="auto"/>
      </w:divBdr>
    </w:div>
    <w:div w:id="727849662">
      <w:bodyDiv w:val="1"/>
      <w:marLeft w:val="0"/>
      <w:marRight w:val="0"/>
      <w:marTop w:val="0"/>
      <w:marBottom w:val="0"/>
      <w:divBdr>
        <w:top w:val="none" w:sz="0" w:space="0" w:color="auto"/>
        <w:left w:val="none" w:sz="0" w:space="0" w:color="auto"/>
        <w:bottom w:val="none" w:sz="0" w:space="0" w:color="auto"/>
        <w:right w:val="none" w:sz="0" w:space="0" w:color="auto"/>
      </w:divBdr>
      <w:divsChild>
        <w:div w:id="520246556">
          <w:marLeft w:val="0"/>
          <w:marRight w:val="0"/>
          <w:marTop w:val="0"/>
          <w:marBottom w:val="0"/>
          <w:divBdr>
            <w:top w:val="none" w:sz="0" w:space="0" w:color="auto"/>
            <w:left w:val="none" w:sz="0" w:space="0" w:color="auto"/>
            <w:bottom w:val="none" w:sz="0" w:space="0" w:color="auto"/>
            <w:right w:val="none" w:sz="0" w:space="0" w:color="auto"/>
          </w:divBdr>
          <w:divsChild>
            <w:div w:id="1120952281">
              <w:marLeft w:val="0"/>
              <w:marRight w:val="0"/>
              <w:marTop w:val="0"/>
              <w:marBottom w:val="0"/>
              <w:divBdr>
                <w:top w:val="none" w:sz="0" w:space="0" w:color="auto"/>
                <w:left w:val="none" w:sz="0" w:space="0" w:color="auto"/>
                <w:bottom w:val="none" w:sz="0" w:space="0" w:color="auto"/>
                <w:right w:val="none" w:sz="0" w:space="0" w:color="auto"/>
              </w:divBdr>
              <w:divsChild>
                <w:div w:id="1794904784">
                  <w:marLeft w:val="0"/>
                  <w:marRight w:val="0"/>
                  <w:marTop w:val="0"/>
                  <w:marBottom w:val="0"/>
                  <w:divBdr>
                    <w:top w:val="none" w:sz="0" w:space="0" w:color="auto"/>
                    <w:left w:val="none" w:sz="0" w:space="0" w:color="auto"/>
                    <w:bottom w:val="none" w:sz="0" w:space="0" w:color="auto"/>
                    <w:right w:val="none" w:sz="0" w:space="0" w:color="auto"/>
                  </w:divBdr>
                  <w:divsChild>
                    <w:div w:id="121654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92116">
          <w:marLeft w:val="0"/>
          <w:marRight w:val="0"/>
          <w:marTop w:val="0"/>
          <w:marBottom w:val="0"/>
          <w:divBdr>
            <w:top w:val="none" w:sz="0" w:space="0" w:color="auto"/>
            <w:left w:val="none" w:sz="0" w:space="0" w:color="auto"/>
            <w:bottom w:val="none" w:sz="0" w:space="0" w:color="auto"/>
            <w:right w:val="none" w:sz="0" w:space="0" w:color="auto"/>
          </w:divBdr>
          <w:divsChild>
            <w:div w:id="1483892845">
              <w:marLeft w:val="0"/>
              <w:marRight w:val="0"/>
              <w:marTop w:val="0"/>
              <w:marBottom w:val="0"/>
              <w:divBdr>
                <w:top w:val="none" w:sz="0" w:space="0" w:color="auto"/>
                <w:left w:val="none" w:sz="0" w:space="0" w:color="auto"/>
                <w:bottom w:val="none" w:sz="0" w:space="0" w:color="auto"/>
                <w:right w:val="none" w:sz="0" w:space="0" w:color="auto"/>
              </w:divBdr>
              <w:divsChild>
                <w:div w:id="171993504">
                  <w:marLeft w:val="0"/>
                  <w:marRight w:val="0"/>
                  <w:marTop w:val="0"/>
                  <w:marBottom w:val="0"/>
                  <w:divBdr>
                    <w:top w:val="none" w:sz="0" w:space="0" w:color="auto"/>
                    <w:left w:val="none" w:sz="0" w:space="0" w:color="auto"/>
                    <w:bottom w:val="none" w:sz="0" w:space="0" w:color="auto"/>
                    <w:right w:val="none" w:sz="0" w:space="0" w:color="auto"/>
                  </w:divBdr>
                  <w:divsChild>
                    <w:div w:id="103003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948946">
      <w:bodyDiv w:val="1"/>
      <w:marLeft w:val="0"/>
      <w:marRight w:val="0"/>
      <w:marTop w:val="0"/>
      <w:marBottom w:val="0"/>
      <w:divBdr>
        <w:top w:val="none" w:sz="0" w:space="0" w:color="auto"/>
        <w:left w:val="none" w:sz="0" w:space="0" w:color="auto"/>
        <w:bottom w:val="none" w:sz="0" w:space="0" w:color="auto"/>
        <w:right w:val="none" w:sz="0" w:space="0" w:color="auto"/>
      </w:divBdr>
    </w:div>
    <w:div w:id="782000343">
      <w:bodyDiv w:val="1"/>
      <w:marLeft w:val="0"/>
      <w:marRight w:val="0"/>
      <w:marTop w:val="0"/>
      <w:marBottom w:val="0"/>
      <w:divBdr>
        <w:top w:val="none" w:sz="0" w:space="0" w:color="auto"/>
        <w:left w:val="none" w:sz="0" w:space="0" w:color="auto"/>
        <w:bottom w:val="none" w:sz="0" w:space="0" w:color="auto"/>
        <w:right w:val="none" w:sz="0" w:space="0" w:color="auto"/>
      </w:divBdr>
    </w:div>
    <w:div w:id="814949136">
      <w:bodyDiv w:val="1"/>
      <w:marLeft w:val="0"/>
      <w:marRight w:val="0"/>
      <w:marTop w:val="0"/>
      <w:marBottom w:val="0"/>
      <w:divBdr>
        <w:top w:val="none" w:sz="0" w:space="0" w:color="auto"/>
        <w:left w:val="none" w:sz="0" w:space="0" w:color="auto"/>
        <w:bottom w:val="none" w:sz="0" w:space="0" w:color="auto"/>
        <w:right w:val="none" w:sz="0" w:space="0" w:color="auto"/>
      </w:divBdr>
    </w:div>
    <w:div w:id="940643910">
      <w:bodyDiv w:val="1"/>
      <w:marLeft w:val="0"/>
      <w:marRight w:val="0"/>
      <w:marTop w:val="0"/>
      <w:marBottom w:val="0"/>
      <w:divBdr>
        <w:top w:val="none" w:sz="0" w:space="0" w:color="auto"/>
        <w:left w:val="none" w:sz="0" w:space="0" w:color="auto"/>
        <w:bottom w:val="none" w:sz="0" w:space="0" w:color="auto"/>
        <w:right w:val="none" w:sz="0" w:space="0" w:color="auto"/>
      </w:divBdr>
    </w:div>
    <w:div w:id="955065019">
      <w:bodyDiv w:val="1"/>
      <w:marLeft w:val="0"/>
      <w:marRight w:val="0"/>
      <w:marTop w:val="0"/>
      <w:marBottom w:val="0"/>
      <w:divBdr>
        <w:top w:val="none" w:sz="0" w:space="0" w:color="auto"/>
        <w:left w:val="none" w:sz="0" w:space="0" w:color="auto"/>
        <w:bottom w:val="none" w:sz="0" w:space="0" w:color="auto"/>
        <w:right w:val="none" w:sz="0" w:space="0" w:color="auto"/>
      </w:divBdr>
    </w:div>
    <w:div w:id="999114549">
      <w:bodyDiv w:val="1"/>
      <w:marLeft w:val="0"/>
      <w:marRight w:val="0"/>
      <w:marTop w:val="0"/>
      <w:marBottom w:val="0"/>
      <w:divBdr>
        <w:top w:val="none" w:sz="0" w:space="0" w:color="auto"/>
        <w:left w:val="none" w:sz="0" w:space="0" w:color="auto"/>
        <w:bottom w:val="none" w:sz="0" w:space="0" w:color="auto"/>
        <w:right w:val="none" w:sz="0" w:space="0" w:color="auto"/>
      </w:divBdr>
    </w:div>
    <w:div w:id="1031370907">
      <w:bodyDiv w:val="1"/>
      <w:marLeft w:val="0"/>
      <w:marRight w:val="0"/>
      <w:marTop w:val="0"/>
      <w:marBottom w:val="0"/>
      <w:divBdr>
        <w:top w:val="none" w:sz="0" w:space="0" w:color="auto"/>
        <w:left w:val="none" w:sz="0" w:space="0" w:color="auto"/>
        <w:bottom w:val="none" w:sz="0" w:space="0" w:color="auto"/>
        <w:right w:val="none" w:sz="0" w:space="0" w:color="auto"/>
      </w:divBdr>
    </w:div>
    <w:div w:id="1081103392">
      <w:bodyDiv w:val="1"/>
      <w:marLeft w:val="0"/>
      <w:marRight w:val="0"/>
      <w:marTop w:val="0"/>
      <w:marBottom w:val="0"/>
      <w:divBdr>
        <w:top w:val="none" w:sz="0" w:space="0" w:color="auto"/>
        <w:left w:val="none" w:sz="0" w:space="0" w:color="auto"/>
        <w:bottom w:val="none" w:sz="0" w:space="0" w:color="auto"/>
        <w:right w:val="none" w:sz="0" w:space="0" w:color="auto"/>
      </w:divBdr>
    </w:div>
    <w:div w:id="1114715901">
      <w:bodyDiv w:val="1"/>
      <w:marLeft w:val="0"/>
      <w:marRight w:val="0"/>
      <w:marTop w:val="0"/>
      <w:marBottom w:val="0"/>
      <w:divBdr>
        <w:top w:val="none" w:sz="0" w:space="0" w:color="auto"/>
        <w:left w:val="none" w:sz="0" w:space="0" w:color="auto"/>
        <w:bottom w:val="none" w:sz="0" w:space="0" w:color="auto"/>
        <w:right w:val="none" w:sz="0" w:space="0" w:color="auto"/>
      </w:divBdr>
    </w:div>
    <w:div w:id="1130827821">
      <w:bodyDiv w:val="1"/>
      <w:marLeft w:val="0"/>
      <w:marRight w:val="0"/>
      <w:marTop w:val="0"/>
      <w:marBottom w:val="0"/>
      <w:divBdr>
        <w:top w:val="none" w:sz="0" w:space="0" w:color="auto"/>
        <w:left w:val="none" w:sz="0" w:space="0" w:color="auto"/>
        <w:bottom w:val="none" w:sz="0" w:space="0" w:color="auto"/>
        <w:right w:val="none" w:sz="0" w:space="0" w:color="auto"/>
      </w:divBdr>
    </w:div>
    <w:div w:id="1144200970">
      <w:bodyDiv w:val="1"/>
      <w:marLeft w:val="0"/>
      <w:marRight w:val="0"/>
      <w:marTop w:val="0"/>
      <w:marBottom w:val="0"/>
      <w:divBdr>
        <w:top w:val="none" w:sz="0" w:space="0" w:color="auto"/>
        <w:left w:val="none" w:sz="0" w:space="0" w:color="auto"/>
        <w:bottom w:val="none" w:sz="0" w:space="0" w:color="auto"/>
        <w:right w:val="none" w:sz="0" w:space="0" w:color="auto"/>
      </w:divBdr>
    </w:div>
    <w:div w:id="1194809601">
      <w:bodyDiv w:val="1"/>
      <w:marLeft w:val="0"/>
      <w:marRight w:val="0"/>
      <w:marTop w:val="0"/>
      <w:marBottom w:val="0"/>
      <w:divBdr>
        <w:top w:val="none" w:sz="0" w:space="0" w:color="auto"/>
        <w:left w:val="none" w:sz="0" w:space="0" w:color="auto"/>
        <w:bottom w:val="none" w:sz="0" w:space="0" w:color="auto"/>
        <w:right w:val="none" w:sz="0" w:space="0" w:color="auto"/>
      </w:divBdr>
      <w:divsChild>
        <w:div w:id="326640304">
          <w:marLeft w:val="0"/>
          <w:marRight w:val="0"/>
          <w:marTop w:val="0"/>
          <w:marBottom w:val="0"/>
          <w:divBdr>
            <w:top w:val="none" w:sz="0" w:space="0" w:color="auto"/>
            <w:left w:val="none" w:sz="0" w:space="0" w:color="auto"/>
            <w:bottom w:val="none" w:sz="0" w:space="0" w:color="auto"/>
            <w:right w:val="none" w:sz="0" w:space="0" w:color="auto"/>
          </w:divBdr>
        </w:div>
        <w:div w:id="1115831943">
          <w:marLeft w:val="0"/>
          <w:marRight w:val="0"/>
          <w:marTop w:val="0"/>
          <w:marBottom w:val="0"/>
          <w:divBdr>
            <w:top w:val="none" w:sz="0" w:space="0" w:color="auto"/>
            <w:left w:val="none" w:sz="0" w:space="0" w:color="auto"/>
            <w:bottom w:val="none" w:sz="0" w:space="0" w:color="auto"/>
            <w:right w:val="none" w:sz="0" w:space="0" w:color="auto"/>
          </w:divBdr>
        </w:div>
        <w:div w:id="1362171708">
          <w:marLeft w:val="0"/>
          <w:marRight w:val="0"/>
          <w:marTop w:val="0"/>
          <w:marBottom w:val="0"/>
          <w:divBdr>
            <w:top w:val="none" w:sz="0" w:space="0" w:color="auto"/>
            <w:left w:val="none" w:sz="0" w:space="0" w:color="auto"/>
            <w:bottom w:val="none" w:sz="0" w:space="0" w:color="auto"/>
            <w:right w:val="none" w:sz="0" w:space="0" w:color="auto"/>
          </w:divBdr>
        </w:div>
        <w:div w:id="1701660429">
          <w:marLeft w:val="0"/>
          <w:marRight w:val="0"/>
          <w:marTop w:val="0"/>
          <w:marBottom w:val="0"/>
          <w:divBdr>
            <w:top w:val="none" w:sz="0" w:space="0" w:color="auto"/>
            <w:left w:val="none" w:sz="0" w:space="0" w:color="auto"/>
            <w:bottom w:val="none" w:sz="0" w:space="0" w:color="auto"/>
            <w:right w:val="none" w:sz="0" w:space="0" w:color="auto"/>
          </w:divBdr>
        </w:div>
        <w:div w:id="1685475340">
          <w:marLeft w:val="0"/>
          <w:marRight w:val="0"/>
          <w:marTop w:val="0"/>
          <w:marBottom w:val="0"/>
          <w:divBdr>
            <w:top w:val="none" w:sz="0" w:space="0" w:color="auto"/>
            <w:left w:val="none" w:sz="0" w:space="0" w:color="auto"/>
            <w:bottom w:val="none" w:sz="0" w:space="0" w:color="auto"/>
            <w:right w:val="none" w:sz="0" w:space="0" w:color="auto"/>
          </w:divBdr>
        </w:div>
        <w:div w:id="1957981847">
          <w:marLeft w:val="0"/>
          <w:marRight w:val="0"/>
          <w:marTop w:val="0"/>
          <w:marBottom w:val="0"/>
          <w:divBdr>
            <w:top w:val="none" w:sz="0" w:space="0" w:color="auto"/>
            <w:left w:val="none" w:sz="0" w:space="0" w:color="auto"/>
            <w:bottom w:val="none" w:sz="0" w:space="0" w:color="auto"/>
            <w:right w:val="none" w:sz="0" w:space="0" w:color="auto"/>
          </w:divBdr>
        </w:div>
        <w:div w:id="1346522468">
          <w:marLeft w:val="0"/>
          <w:marRight w:val="0"/>
          <w:marTop w:val="0"/>
          <w:marBottom w:val="0"/>
          <w:divBdr>
            <w:top w:val="none" w:sz="0" w:space="0" w:color="auto"/>
            <w:left w:val="none" w:sz="0" w:space="0" w:color="auto"/>
            <w:bottom w:val="none" w:sz="0" w:space="0" w:color="auto"/>
            <w:right w:val="none" w:sz="0" w:space="0" w:color="auto"/>
          </w:divBdr>
        </w:div>
        <w:div w:id="161361931">
          <w:marLeft w:val="0"/>
          <w:marRight w:val="0"/>
          <w:marTop w:val="0"/>
          <w:marBottom w:val="0"/>
          <w:divBdr>
            <w:top w:val="none" w:sz="0" w:space="0" w:color="auto"/>
            <w:left w:val="none" w:sz="0" w:space="0" w:color="auto"/>
            <w:bottom w:val="none" w:sz="0" w:space="0" w:color="auto"/>
            <w:right w:val="none" w:sz="0" w:space="0" w:color="auto"/>
          </w:divBdr>
        </w:div>
        <w:div w:id="745224476">
          <w:marLeft w:val="0"/>
          <w:marRight w:val="0"/>
          <w:marTop w:val="0"/>
          <w:marBottom w:val="0"/>
          <w:divBdr>
            <w:top w:val="none" w:sz="0" w:space="0" w:color="auto"/>
            <w:left w:val="none" w:sz="0" w:space="0" w:color="auto"/>
            <w:bottom w:val="none" w:sz="0" w:space="0" w:color="auto"/>
            <w:right w:val="none" w:sz="0" w:space="0" w:color="auto"/>
          </w:divBdr>
        </w:div>
        <w:div w:id="1965378871">
          <w:marLeft w:val="0"/>
          <w:marRight w:val="0"/>
          <w:marTop w:val="0"/>
          <w:marBottom w:val="0"/>
          <w:divBdr>
            <w:top w:val="none" w:sz="0" w:space="0" w:color="auto"/>
            <w:left w:val="none" w:sz="0" w:space="0" w:color="auto"/>
            <w:bottom w:val="none" w:sz="0" w:space="0" w:color="auto"/>
            <w:right w:val="none" w:sz="0" w:space="0" w:color="auto"/>
          </w:divBdr>
        </w:div>
        <w:div w:id="1487550483">
          <w:marLeft w:val="0"/>
          <w:marRight w:val="0"/>
          <w:marTop w:val="0"/>
          <w:marBottom w:val="0"/>
          <w:divBdr>
            <w:top w:val="none" w:sz="0" w:space="0" w:color="auto"/>
            <w:left w:val="none" w:sz="0" w:space="0" w:color="auto"/>
            <w:bottom w:val="none" w:sz="0" w:space="0" w:color="auto"/>
            <w:right w:val="none" w:sz="0" w:space="0" w:color="auto"/>
          </w:divBdr>
        </w:div>
        <w:div w:id="1387680721">
          <w:marLeft w:val="0"/>
          <w:marRight w:val="0"/>
          <w:marTop w:val="0"/>
          <w:marBottom w:val="0"/>
          <w:divBdr>
            <w:top w:val="none" w:sz="0" w:space="0" w:color="auto"/>
            <w:left w:val="none" w:sz="0" w:space="0" w:color="auto"/>
            <w:bottom w:val="none" w:sz="0" w:space="0" w:color="auto"/>
            <w:right w:val="none" w:sz="0" w:space="0" w:color="auto"/>
          </w:divBdr>
        </w:div>
        <w:div w:id="214244713">
          <w:marLeft w:val="0"/>
          <w:marRight w:val="0"/>
          <w:marTop w:val="0"/>
          <w:marBottom w:val="0"/>
          <w:divBdr>
            <w:top w:val="none" w:sz="0" w:space="0" w:color="auto"/>
            <w:left w:val="none" w:sz="0" w:space="0" w:color="auto"/>
            <w:bottom w:val="none" w:sz="0" w:space="0" w:color="auto"/>
            <w:right w:val="none" w:sz="0" w:space="0" w:color="auto"/>
          </w:divBdr>
        </w:div>
      </w:divsChild>
    </w:div>
    <w:div w:id="1284072342">
      <w:bodyDiv w:val="1"/>
      <w:marLeft w:val="0"/>
      <w:marRight w:val="0"/>
      <w:marTop w:val="0"/>
      <w:marBottom w:val="0"/>
      <w:divBdr>
        <w:top w:val="none" w:sz="0" w:space="0" w:color="auto"/>
        <w:left w:val="none" w:sz="0" w:space="0" w:color="auto"/>
        <w:bottom w:val="none" w:sz="0" w:space="0" w:color="auto"/>
        <w:right w:val="none" w:sz="0" w:space="0" w:color="auto"/>
      </w:divBdr>
    </w:div>
    <w:div w:id="1293099972">
      <w:bodyDiv w:val="1"/>
      <w:marLeft w:val="0"/>
      <w:marRight w:val="0"/>
      <w:marTop w:val="0"/>
      <w:marBottom w:val="0"/>
      <w:divBdr>
        <w:top w:val="none" w:sz="0" w:space="0" w:color="auto"/>
        <w:left w:val="none" w:sz="0" w:space="0" w:color="auto"/>
        <w:bottom w:val="none" w:sz="0" w:space="0" w:color="auto"/>
        <w:right w:val="none" w:sz="0" w:space="0" w:color="auto"/>
      </w:divBdr>
    </w:div>
    <w:div w:id="1301378104">
      <w:bodyDiv w:val="1"/>
      <w:marLeft w:val="0"/>
      <w:marRight w:val="0"/>
      <w:marTop w:val="0"/>
      <w:marBottom w:val="0"/>
      <w:divBdr>
        <w:top w:val="none" w:sz="0" w:space="0" w:color="auto"/>
        <w:left w:val="none" w:sz="0" w:space="0" w:color="auto"/>
        <w:bottom w:val="none" w:sz="0" w:space="0" w:color="auto"/>
        <w:right w:val="none" w:sz="0" w:space="0" w:color="auto"/>
      </w:divBdr>
      <w:divsChild>
        <w:div w:id="1048214736">
          <w:marLeft w:val="0"/>
          <w:marRight w:val="0"/>
          <w:marTop w:val="0"/>
          <w:marBottom w:val="0"/>
          <w:divBdr>
            <w:top w:val="none" w:sz="0" w:space="0" w:color="auto"/>
            <w:left w:val="none" w:sz="0" w:space="0" w:color="auto"/>
            <w:bottom w:val="none" w:sz="0" w:space="0" w:color="auto"/>
            <w:right w:val="none" w:sz="0" w:space="0" w:color="auto"/>
          </w:divBdr>
          <w:divsChild>
            <w:div w:id="2010980362">
              <w:marLeft w:val="0"/>
              <w:marRight w:val="0"/>
              <w:marTop w:val="0"/>
              <w:marBottom w:val="0"/>
              <w:divBdr>
                <w:top w:val="none" w:sz="0" w:space="0" w:color="auto"/>
                <w:left w:val="none" w:sz="0" w:space="0" w:color="auto"/>
                <w:bottom w:val="none" w:sz="0" w:space="0" w:color="auto"/>
                <w:right w:val="none" w:sz="0" w:space="0" w:color="auto"/>
              </w:divBdr>
              <w:divsChild>
                <w:div w:id="1143306698">
                  <w:marLeft w:val="0"/>
                  <w:marRight w:val="0"/>
                  <w:marTop w:val="0"/>
                  <w:marBottom w:val="0"/>
                  <w:divBdr>
                    <w:top w:val="none" w:sz="0" w:space="0" w:color="auto"/>
                    <w:left w:val="none" w:sz="0" w:space="0" w:color="auto"/>
                    <w:bottom w:val="none" w:sz="0" w:space="0" w:color="auto"/>
                    <w:right w:val="none" w:sz="0" w:space="0" w:color="auto"/>
                  </w:divBdr>
                  <w:divsChild>
                    <w:div w:id="167375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08114">
          <w:marLeft w:val="0"/>
          <w:marRight w:val="0"/>
          <w:marTop w:val="0"/>
          <w:marBottom w:val="0"/>
          <w:divBdr>
            <w:top w:val="none" w:sz="0" w:space="0" w:color="auto"/>
            <w:left w:val="none" w:sz="0" w:space="0" w:color="auto"/>
            <w:bottom w:val="none" w:sz="0" w:space="0" w:color="auto"/>
            <w:right w:val="none" w:sz="0" w:space="0" w:color="auto"/>
          </w:divBdr>
          <w:divsChild>
            <w:div w:id="2081947809">
              <w:marLeft w:val="0"/>
              <w:marRight w:val="0"/>
              <w:marTop w:val="0"/>
              <w:marBottom w:val="0"/>
              <w:divBdr>
                <w:top w:val="none" w:sz="0" w:space="0" w:color="auto"/>
                <w:left w:val="none" w:sz="0" w:space="0" w:color="auto"/>
                <w:bottom w:val="none" w:sz="0" w:space="0" w:color="auto"/>
                <w:right w:val="none" w:sz="0" w:space="0" w:color="auto"/>
              </w:divBdr>
              <w:divsChild>
                <w:div w:id="280840367">
                  <w:marLeft w:val="0"/>
                  <w:marRight w:val="0"/>
                  <w:marTop w:val="0"/>
                  <w:marBottom w:val="0"/>
                  <w:divBdr>
                    <w:top w:val="none" w:sz="0" w:space="0" w:color="auto"/>
                    <w:left w:val="none" w:sz="0" w:space="0" w:color="auto"/>
                    <w:bottom w:val="none" w:sz="0" w:space="0" w:color="auto"/>
                    <w:right w:val="none" w:sz="0" w:space="0" w:color="auto"/>
                  </w:divBdr>
                  <w:divsChild>
                    <w:div w:id="189866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065292">
      <w:bodyDiv w:val="1"/>
      <w:marLeft w:val="0"/>
      <w:marRight w:val="0"/>
      <w:marTop w:val="0"/>
      <w:marBottom w:val="0"/>
      <w:divBdr>
        <w:top w:val="none" w:sz="0" w:space="0" w:color="auto"/>
        <w:left w:val="none" w:sz="0" w:space="0" w:color="auto"/>
        <w:bottom w:val="none" w:sz="0" w:space="0" w:color="auto"/>
        <w:right w:val="none" w:sz="0" w:space="0" w:color="auto"/>
      </w:divBdr>
    </w:div>
    <w:div w:id="1377002386">
      <w:bodyDiv w:val="1"/>
      <w:marLeft w:val="0"/>
      <w:marRight w:val="0"/>
      <w:marTop w:val="0"/>
      <w:marBottom w:val="0"/>
      <w:divBdr>
        <w:top w:val="none" w:sz="0" w:space="0" w:color="auto"/>
        <w:left w:val="none" w:sz="0" w:space="0" w:color="auto"/>
        <w:bottom w:val="none" w:sz="0" w:space="0" w:color="auto"/>
        <w:right w:val="none" w:sz="0" w:space="0" w:color="auto"/>
      </w:divBdr>
    </w:div>
    <w:div w:id="1382360457">
      <w:bodyDiv w:val="1"/>
      <w:marLeft w:val="0"/>
      <w:marRight w:val="0"/>
      <w:marTop w:val="0"/>
      <w:marBottom w:val="0"/>
      <w:divBdr>
        <w:top w:val="none" w:sz="0" w:space="0" w:color="auto"/>
        <w:left w:val="none" w:sz="0" w:space="0" w:color="auto"/>
        <w:bottom w:val="none" w:sz="0" w:space="0" w:color="auto"/>
        <w:right w:val="none" w:sz="0" w:space="0" w:color="auto"/>
      </w:divBdr>
    </w:div>
    <w:div w:id="1398044325">
      <w:bodyDiv w:val="1"/>
      <w:marLeft w:val="0"/>
      <w:marRight w:val="0"/>
      <w:marTop w:val="0"/>
      <w:marBottom w:val="0"/>
      <w:divBdr>
        <w:top w:val="none" w:sz="0" w:space="0" w:color="auto"/>
        <w:left w:val="none" w:sz="0" w:space="0" w:color="auto"/>
        <w:bottom w:val="none" w:sz="0" w:space="0" w:color="auto"/>
        <w:right w:val="none" w:sz="0" w:space="0" w:color="auto"/>
      </w:divBdr>
    </w:div>
    <w:div w:id="1406536273">
      <w:bodyDiv w:val="1"/>
      <w:marLeft w:val="0"/>
      <w:marRight w:val="0"/>
      <w:marTop w:val="0"/>
      <w:marBottom w:val="0"/>
      <w:divBdr>
        <w:top w:val="none" w:sz="0" w:space="0" w:color="auto"/>
        <w:left w:val="none" w:sz="0" w:space="0" w:color="auto"/>
        <w:bottom w:val="none" w:sz="0" w:space="0" w:color="auto"/>
        <w:right w:val="none" w:sz="0" w:space="0" w:color="auto"/>
      </w:divBdr>
    </w:div>
    <w:div w:id="1419331136">
      <w:bodyDiv w:val="1"/>
      <w:marLeft w:val="0"/>
      <w:marRight w:val="0"/>
      <w:marTop w:val="0"/>
      <w:marBottom w:val="0"/>
      <w:divBdr>
        <w:top w:val="none" w:sz="0" w:space="0" w:color="auto"/>
        <w:left w:val="none" w:sz="0" w:space="0" w:color="auto"/>
        <w:bottom w:val="none" w:sz="0" w:space="0" w:color="auto"/>
        <w:right w:val="none" w:sz="0" w:space="0" w:color="auto"/>
      </w:divBdr>
    </w:div>
    <w:div w:id="1419980189">
      <w:bodyDiv w:val="1"/>
      <w:marLeft w:val="0"/>
      <w:marRight w:val="0"/>
      <w:marTop w:val="0"/>
      <w:marBottom w:val="0"/>
      <w:divBdr>
        <w:top w:val="none" w:sz="0" w:space="0" w:color="auto"/>
        <w:left w:val="none" w:sz="0" w:space="0" w:color="auto"/>
        <w:bottom w:val="none" w:sz="0" w:space="0" w:color="auto"/>
        <w:right w:val="none" w:sz="0" w:space="0" w:color="auto"/>
      </w:divBdr>
    </w:div>
    <w:div w:id="1480346788">
      <w:bodyDiv w:val="1"/>
      <w:marLeft w:val="0"/>
      <w:marRight w:val="0"/>
      <w:marTop w:val="0"/>
      <w:marBottom w:val="0"/>
      <w:divBdr>
        <w:top w:val="none" w:sz="0" w:space="0" w:color="auto"/>
        <w:left w:val="none" w:sz="0" w:space="0" w:color="auto"/>
        <w:bottom w:val="none" w:sz="0" w:space="0" w:color="auto"/>
        <w:right w:val="none" w:sz="0" w:space="0" w:color="auto"/>
      </w:divBdr>
    </w:div>
    <w:div w:id="1500345531">
      <w:bodyDiv w:val="1"/>
      <w:marLeft w:val="0"/>
      <w:marRight w:val="0"/>
      <w:marTop w:val="0"/>
      <w:marBottom w:val="0"/>
      <w:divBdr>
        <w:top w:val="none" w:sz="0" w:space="0" w:color="auto"/>
        <w:left w:val="none" w:sz="0" w:space="0" w:color="auto"/>
        <w:bottom w:val="none" w:sz="0" w:space="0" w:color="auto"/>
        <w:right w:val="none" w:sz="0" w:space="0" w:color="auto"/>
      </w:divBdr>
    </w:div>
    <w:div w:id="1527333841">
      <w:bodyDiv w:val="1"/>
      <w:marLeft w:val="0"/>
      <w:marRight w:val="0"/>
      <w:marTop w:val="0"/>
      <w:marBottom w:val="0"/>
      <w:divBdr>
        <w:top w:val="none" w:sz="0" w:space="0" w:color="auto"/>
        <w:left w:val="none" w:sz="0" w:space="0" w:color="auto"/>
        <w:bottom w:val="none" w:sz="0" w:space="0" w:color="auto"/>
        <w:right w:val="none" w:sz="0" w:space="0" w:color="auto"/>
      </w:divBdr>
      <w:divsChild>
        <w:div w:id="181672376">
          <w:marLeft w:val="0"/>
          <w:marRight w:val="0"/>
          <w:marTop w:val="0"/>
          <w:marBottom w:val="0"/>
          <w:divBdr>
            <w:top w:val="none" w:sz="0" w:space="0" w:color="auto"/>
            <w:left w:val="none" w:sz="0" w:space="0" w:color="auto"/>
            <w:bottom w:val="none" w:sz="0" w:space="0" w:color="auto"/>
            <w:right w:val="none" w:sz="0" w:space="0" w:color="auto"/>
          </w:divBdr>
        </w:div>
        <w:div w:id="959608176">
          <w:marLeft w:val="0"/>
          <w:marRight w:val="0"/>
          <w:marTop w:val="0"/>
          <w:marBottom w:val="0"/>
          <w:divBdr>
            <w:top w:val="none" w:sz="0" w:space="0" w:color="auto"/>
            <w:left w:val="none" w:sz="0" w:space="0" w:color="auto"/>
            <w:bottom w:val="none" w:sz="0" w:space="0" w:color="auto"/>
            <w:right w:val="none" w:sz="0" w:space="0" w:color="auto"/>
          </w:divBdr>
        </w:div>
        <w:div w:id="2008289109">
          <w:marLeft w:val="0"/>
          <w:marRight w:val="0"/>
          <w:marTop w:val="0"/>
          <w:marBottom w:val="0"/>
          <w:divBdr>
            <w:top w:val="none" w:sz="0" w:space="0" w:color="auto"/>
            <w:left w:val="none" w:sz="0" w:space="0" w:color="auto"/>
            <w:bottom w:val="none" w:sz="0" w:space="0" w:color="auto"/>
            <w:right w:val="none" w:sz="0" w:space="0" w:color="auto"/>
          </w:divBdr>
        </w:div>
        <w:div w:id="1116408468">
          <w:marLeft w:val="0"/>
          <w:marRight w:val="0"/>
          <w:marTop w:val="0"/>
          <w:marBottom w:val="0"/>
          <w:divBdr>
            <w:top w:val="none" w:sz="0" w:space="0" w:color="auto"/>
            <w:left w:val="none" w:sz="0" w:space="0" w:color="auto"/>
            <w:bottom w:val="none" w:sz="0" w:space="0" w:color="auto"/>
            <w:right w:val="none" w:sz="0" w:space="0" w:color="auto"/>
          </w:divBdr>
        </w:div>
      </w:divsChild>
    </w:div>
    <w:div w:id="1574006063">
      <w:bodyDiv w:val="1"/>
      <w:marLeft w:val="0"/>
      <w:marRight w:val="0"/>
      <w:marTop w:val="0"/>
      <w:marBottom w:val="0"/>
      <w:divBdr>
        <w:top w:val="none" w:sz="0" w:space="0" w:color="auto"/>
        <w:left w:val="none" w:sz="0" w:space="0" w:color="auto"/>
        <w:bottom w:val="none" w:sz="0" w:space="0" w:color="auto"/>
        <w:right w:val="none" w:sz="0" w:space="0" w:color="auto"/>
      </w:divBdr>
    </w:div>
    <w:div w:id="1603881604">
      <w:bodyDiv w:val="1"/>
      <w:marLeft w:val="0"/>
      <w:marRight w:val="0"/>
      <w:marTop w:val="0"/>
      <w:marBottom w:val="0"/>
      <w:divBdr>
        <w:top w:val="none" w:sz="0" w:space="0" w:color="auto"/>
        <w:left w:val="none" w:sz="0" w:space="0" w:color="auto"/>
        <w:bottom w:val="none" w:sz="0" w:space="0" w:color="auto"/>
        <w:right w:val="none" w:sz="0" w:space="0" w:color="auto"/>
      </w:divBdr>
    </w:div>
    <w:div w:id="1610818911">
      <w:bodyDiv w:val="1"/>
      <w:marLeft w:val="0"/>
      <w:marRight w:val="0"/>
      <w:marTop w:val="0"/>
      <w:marBottom w:val="0"/>
      <w:divBdr>
        <w:top w:val="none" w:sz="0" w:space="0" w:color="auto"/>
        <w:left w:val="none" w:sz="0" w:space="0" w:color="auto"/>
        <w:bottom w:val="none" w:sz="0" w:space="0" w:color="auto"/>
        <w:right w:val="none" w:sz="0" w:space="0" w:color="auto"/>
      </w:divBdr>
    </w:div>
    <w:div w:id="1661427672">
      <w:bodyDiv w:val="1"/>
      <w:marLeft w:val="0"/>
      <w:marRight w:val="0"/>
      <w:marTop w:val="0"/>
      <w:marBottom w:val="0"/>
      <w:divBdr>
        <w:top w:val="none" w:sz="0" w:space="0" w:color="auto"/>
        <w:left w:val="none" w:sz="0" w:space="0" w:color="auto"/>
        <w:bottom w:val="none" w:sz="0" w:space="0" w:color="auto"/>
        <w:right w:val="none" w:sz="0" w:space="0" w:color="auto"/>
      </w:divBdr>
    </w:div>
    <w:div w:id="1696924099">
      <w:bodyDiv w:val="1"/>
      <w:marLeft w:val="0"/>
      <w:marRight w:val="0"/>
      <w:marTop w:val="0"/>
      <w:marBottom w:val="0"/>
      <w:divBdr>
        <w:top w:val="none" w:sz="0" w:space="0" w:color="auto"/>
        <w:left w:val="none" w:sz="0" w:space="0" w:color="auto"/>
        <w:bottom w:val="none" w:sz="0" w:space="0" w:color="auto"/>
        <w:right w:val="none" w:sz="0" w:space="0" w:color="auto"/>
      </w:divBdr>
    </w:div>
    <w:div w:id="1722095688">
      <w:bodyDiv w:val="1"/>
      <w:marLeft w:val="0"/>
      <w:marRight w:val="0"/>
      <w:marTop w:val="0"/>
      <w:marBottom w:val="0"/>
      <w:divBdr>
        <w:top w:val="none" w:sz="0" w:space="0" w:color="auto"/>
        <w:left w:val="none" w:sz="0" w:space="0" w:color="auto"/>
        <w:bottom w:val="none" w:sz="0" w:space="0" w:color="auto"/>
        <w:right w:val="none" w:sz="0" w:space="0" w:color="auto"/>
      </w:divBdr>
    </w:div>
    <w:div w:id="1730883387">
      <w:bodyDiv w:val="1"/>
      <w:marLeft w:val="0"/>
      <w:marRight w:val="0"/>
      <w:marTop w:val="0"/>
      <w:marBottom w:val="0"/>
      <w:divBdr>
        <w:top w:val="none" w:sz="0" w:space="0" w:color="auto"/>
        <w:left w:val="none" w:sz="0" w:space="0" w:color="auto"/>
        <w:bottom w:val="none" w:sz="0" w:space="0" w:color="auto"/>
        <w:right w:val="none" w:sz="0" w:space="0" w:color="auto"/>
      </w:divBdr>
    </w:div>
    <w:div w:id="1763646707">
      <w:bodyDiv w:val="1"/>
      <w:marLeft w:val="0"/>
      <w:marRight w:val="0"/>
      <w:marTop w:val="0"/>
      <w:marBottom w:val="0"/>
      <w:divBdr>
        <w:top w:val="none" w:sz="0" w:space="0" w:color="auto"/>
        <w:left w:val="none" w:sz="0" w:space="0" w:color="auto"/>
        <w:bottom w:val="none" w:sz="0" w:space="0" w:color="auto"/>
        <w:right w:val="none" w:sz="0" w:space="0" w:color="auto"/>
      </w:divBdr>
    </w:div>
    <w:div w:id="1770352193">
      <w:bodyDiv w:val="1"/>
      <w:marLeft w:val="0"/>
      <w:marRight w:val="0"/>
      <w:marTop w:val="0"/>
      <w:marBottom w:val="0"/>
      <w:divBdr>
        <w:top w:val="none" w:sz="0" w:space="0" w:color="auto"/>
        <w:left w:val="none" w:sz="0" w:space="0" w:color="auto"/>
        <w:bottom w:val="none" w:sz="0" w:space="0" w:color="auto"/>
        <w:right w:val="none" w:sz="0" w:space="0" w:color="auto"/>
      </w:divBdr>
    </w:div>
    <w:div w:id="1786072969">
      <w:bodyDiv w:val="1"/>
      <w:marLeft w:val="0"/>
      <w:marRight w:val="0"/>
      <w:marTop w:val="0"/>
      <w:marBottom w:val="0"/>
      <w:divBdr>
        <w:top w:val="none" w:sz="0" w:space="0" w:color="auto"/>
        <w:left w:val="none" w:sz="0" w:space="0" w:color="auto"/>
        <w:bottom w:val="none" w:sz="0" w:space="0" w:color="auto"/>
        <w:right w:val="none" w:sz="0" w:space="0" w:color="auto"/>
      </w:divBdr>
    </w:div>
    <w:div w:id="1796291542">
      <w:bodyDiv w:val="1"/>
      <w:marLeft w:val="0"/>
      <w:marRight w:val="0"/>
      <w:marTop w:val="0"/>
      <w:marBottom w:val="0"/>
      <w:divBdr>
        <w:top w:val="none" w:sz="0" w:space="0" w:color="auto"/>
        <w:left w:val="none" w:sz="0" w:space="0" w:color="auto"/>
        <w:bottom w:val="none" w:sz="0" w:space="0" w:color="auto"/>
        <w:right w:val="none" w:sz="0" w:space="0" w:color="auto"/>
      </w:divBdr>
    </w:div>
    <w:div w:id="1884250150">
      <w:bodyDiv w:val="1"/>
      <w:marLeft w:val="0"/>
      <w:marRight w:val="0"/>
      <w:marTop w:val="0"/>
      <w:marBottom w:val="0"/>
      <w:divBdr>
        <w:top w:val="none" w:sz="0" w:space="0" w:color="auto"/>
        <w:left w:val="none" w:sz="0" w:space="0" w:color="auto"/>
        <w:bottom w:val="none" w:sz="0" w:space="0" w:color="auto"/>
        <w:right w:val="none" w:sz="0" w:space="0" w:color="auto"/>
      </w:divBdr>
    </w:div>
    <w:div w:id="1918829925">
      <w:bodyDiv w:val="1"/>
      <w:marLeft w:val="0"/>
      <w:marRight w:val="0"/>
      <w:marTop w:val="0"/>
      <w:marBottom w:val="0"/>
      <w:divBdr>
        <w:top w:val="none" w:sz="0" w:space="0" w:color="auto"/>
        <w:left w:val="none" w:sz="0" w:space="0" w:color="auto"/>
        <w:bottom w:val="none" w:sz="0" w:space="0" w:color="auto"/>
        <w:right w:val="none" w:sz="0" w:space="0" w:color="auto"/>
      </w:divBdr>
    </w:div>
    <w:div w:id="1932539422">
      <w:bodyDiv w:val="1"/>
      <w:marLeft w:val="0"/>
      <w:marRight w:val="0"/>
      <w:marTop w:val="0"/>
      <w:marBottom w:val="0"/>
      <w:divBdr>
        <w:top w:val="none" w:sz="0" w:space="0" w:color="auto"/>
        <w:left w:val="none" w:sz="0" w:space="0" w:color="auto"/>
        <w:bottom w:val="none" w:sz="0" w:space="0" w:color="auto"/>
        <w:right w:val="none" w:sz="0" w:space="0" w:color="auto"/>
      </w:divBdr>
      <w:divsChild>
        <w:div w:id="1336807761">
          <w:marLeft w:val="0"/>
          <w:marRight w:val="0"/>
          <w:marTop w:val="0"/>
          <w:marBottom w:val="0"/>
          <w:divBdr>
            <w:top w:val="none" w:sz="0" w:space="0" w:color="auto"/>
            <w:left w:val="none" w:sz="0" w:space="0" w:color="auto"/>
            <w:bottom w:val="none" w:sz="0" w:space="0" w:color="auto"/>
            <w:right w:val="none" w:sz="0" w:space="0" w:color="auto"/>
          </w:divBdr>
        </w:div>
        <w:div w:id="1863589251">
          <w:marLeft w:val="0"/>
          <w:marRight w:val="0"/>
          <w:marTop w:val="0"/>
          <w:marBottom w:val="0"/>
          <w:divBdr>
            <w:top w:val="none" w:sz="0" w:space="0" w:color="auto"/>
            <w:left w:val="none" w:sz="0" w:space="0" w:color="auto"/>
            <w:bottom w:val="none" w:sz="0" w:space="0" w:color="auto"/>
            <w:right w:val="none" w:sz="0" w:space="0" w:color="auto"/>
          </w:divBdr>
        </w:div>
        <w:div w:id="976489714">
          <w:marLeft w:val="0"/>
          <w:marRight w:val="0"/>
          <w:marTop w:val="0"/>
          <w:marBottom w:val="0"/>
          <w:divBdr>
            <w:top w:val="none" w:sz="0" w:space="0" w:color="auto"/>
            <w:left w:val="none" w:sz="0" w:space="0" w:color="auto"/>
            <w:bottom w:val="none" w:sz="0" w:space="0" w:color="auto"/>
            <w:right w:val="none" w:sz="0" w:space="0" w:color="auto"/>
          </w:divBdr>
        </w:div>
        <w:div w:id="752581046">
          <w:marLeft w:val="0"/>
          <w:marRight w:val="0"/>
          <w:marTop w:val="0"/>
          <w:marBottom w:val="0"/>
          <w:divBdr>
            <w:top w:val="none" w:sz="0" w:space="0" w:color="auto"/>
            <w:left w:val="none" w:sz="0" w:space="0" w:color="auto"/>
            <w:bottom w:val="none" w:sz="0" w:space="0" w:color="auto"/>
            <w:right w:val="none" w:sz="0" w:space="0" w:color="auto"/>
          </w:divBdr>
        </w:div>
        <w:div w:id="1534734187">
          <w:marLeft w:val="0"/>
          <w:marRight w:val="0"/>
          <w:marTop w:val="0"/>
          <w:marBottom w:val="0"/>
          <w:divBdr>
            <w:top w:val="none" w:sz="0" w:space="0" w:color="auto"/>
            <w:left w:val="none" w:sz="0" w:space="0" w:color="auto"/>
            <w:bottom w:val="none" w:sz="0" w:space="0" w:color="auto"/>
            <w:right w:val="none" w:sz="0" w:space="0" w:color="auto"/>
          </w:divBdr>
        </w:div>
        <w:div w:id="914319511">
          <w:marLeft w:val="0"/>
          <w:marRight w:val="0"/>
          <w:marTop w:val="0"/>
          <w:marBottom w:val="0"/>
          <w:divBdr>
            <w:top w:val="none" w:sz="0" w:space="0" w:color="auto"/>
            <w:left w:val="none" w:sz="0" w:space="0" w:color="auto"/>
            <w:bottom w:val="none" w:sz="0" w:space="0" w:color="auto"/>
            <w:right w:val="none" w:sz="0" w:space="0" w:color="auto"/>
          </w:divBdr>
        </w:div>
        <w:div w:id="2115517764">
          <w:marLeft w:val="0"/>
          <w:marRight w:val="0"/>
          <w:marTop w:val="0"/>
          <w:marBottom w:val="0"/>
          <w:divBdr>
            <w:top w:val="none" w:sz="0" w:space="0" w:color="auto"/>
            <w:left w:val="none" w:sz="0" w:space="0" w:color="auto"/>
            <w:bottom w:val="none" w:sz="0" w:space="0" w:color="auto"/>
            <w:right w:val="none" w:sz="0" w:space="0" w:color="auto"/>
          </w:divBdr>
        </w:div>
        <w:div w:id="1625572337">
          <w:marLeft w:val="0"/>
          <w:marRight w:val="0"/>
          <w:marTop w:val="0"/>
          <w:marBottom w:val="0"/>
          <w:divBdr>
            <w:top w:val="none" w:sz="0" w:space="0" w:color="auto"/>
            <w:left w:val="none" w:sz="0" w:space="0" w:color="auto"/>
            <w:bottom w:val="none" w:sz="0" w:space="0" w:color="auto"/>
            <w:right w:val="none" w:sz="0" w:space="0" w:color="auto"/>
          </w:divBdr>
        </w:div>
        <w:div w:id="388191964">
          <w:marLeft w:val="0"/>
          <w:marRight w:val="0"/>
          <w:marTop w:val="0"/>
          <w:marBottom w:val="0"/>
          <w:divBdr>
            <w:top w:val="none" w:sz="0" w:space="0" w:color="auto"/>
            <w:left w:val="none" w:sz="0" w:space="0" w:color="auto"/>
            <w:bottom w:val="none" w:sz="0" w:space="0" w:color="auto"/>
            <w:right w:val="none" w:sz="0" w:space="0" w:color="auto"/>
          </w:divBdr>
        </w:div>
        <w:div w:id="1766420512">
          <w:marLeft w:val="0"/>
          <w:marRight w:val="0"/>
          <w:marTop w:val="0"/>
          <w:marBottom w:val="0"/>
          <w:divBdr>
            <w:top w:val="none" w:sz="0" w:space="0" w:color="auto"/>
            <w:left w:val="none" w:sz="0" w:space="0" w:color="auto"/>
            <w:bottom w:val="none" w:sz="0" w:space="0" w:color="auto"/>
            <w:right w:val="none" w:sz="0" w:space="0" w:color="auto"/>
          </w:divBdr>
        </w:div>
        <w:div w:id="321659334">
          <w:marLeft w:val="0"/>
          <w:marRight w:val="0"/>
          <w:marTop w:val="0"/>
          <w:marBottom w:val="0"/>
          <w:divBdr>
            <w:top w:val="none" w:sz="0" w:space="0" w:color="auto"/>
            <w:left w:val="none" w:sz="0" w:space="0" w:color="auto"/>
            <w:bottom w:val="none" w:sz="0" w:space="0" w:color="auto"/>
            <w:right w:val="none" w:sz="0" w:space="0" w:color="auto"/>
          </w:divBdr>
        </w:div>
        <w:div w:id="1129401585">
          <w:marLeft w:val="0"/>
          <w:marRight w:val="0"/>
          <w:marTop w:val="0"/>
          <w:marBottom w:val="0"/>
          <w:divBdr>
            <w:top w:val="none" w:sz="0" w:space="0" w:color="auto"/>
            <w:left w:val="none" w:sz="0" w:space="0" w:color="auto"/>
            <w:bottom w:val="none" w:sz="0" w:space="0" w:color="auto"/>
            <w:right w:val="none" w:sz="0" w:space="0" w:color="auto"/>
          </w:divBdr>
        </w:div>
        <w:div w:id="1523326841">
          <w:marLeft w:val="0"/>
          <w:marRight w:val="0"/>
          <w:marTop w:val="0"/>
          <w:marBottom w:val="0"/>
          <w:divBdr>
            <w:top w:val="none" w:sz="0" w:space="0" w:color="auto"/>
            <w:left w:val="none" w:sz="0" w:space="0" w:color="auto"/>
            <w:bottom w:val="none" w:sz="0" w:space="0" w:color="auto"/>
            <w:right w:val="none" w:sz="0" w:space="0" w:color="auto"/>
          </w:divBdr>
        </w:div>
      </w:divsChild>
    </w:div>
    <w:div w:id="1972712898">
      <w:bodyDiv w:val="1"/>
      <w:marLeft w:val="0"/>
      <w:marRight w:val="0"/>
      <w:marTop w:val="0"/>
      <w:marBottom w:val="0"/>
      <w:divBdr>
        <w:top w:val="none" w:sz="0" w:space="0" w:color="auto"/>
        <w:left w:val="none" w:sz="0" w:space="0" w:color="auto"/>
        <w:bottom w:val="none" w:sz="0" w:space="0" w:color="auto"/>
        <w:right w:val="none" w:sz="0" w:space="0" w:color="auto"/>
      </w:divBdr>
      <w:divsChild>
        <w:div w:id="1995452436">
          <w:marLeft w:val="0"/>
          <w:marRight w:val="0"/>
          <w:marTop w:val="0"/>
          <w:marBottom w:val="0"/>
          <w:divBdr>
            <w:top w:val="none" w:sz="0" w:space="0" w:color="auto"/>
            <w:left w:val="none" w:sz="0" w:space="0" w:color="auto"/>
            <w:bottom w:val="none" w:sz="0" w:space="0" w:color="auto"/>
            <w:right w:val="none" w:sz="0" w:space="0" w:color="auto"/>
          </w:divBdr>
          <w:divsChild>
            <w:div w:id="220141726">
              <w:marLeft w:val="0"/>
              <w:marRight w:val="0"/>
              <w:marTop w:val="0"/>
              <w:marBottom w:val="0"/>
              <w:divBdr>
                <w:top w:val="none" w:sz="0" w:space="0" w:color="auto"/>
                <w:left w:val="none" w:sz="0" w:space="0" w:color="auto"/>
                <w:bottom w:val="none" w:sz="0" w:space="0" w:color="auto"/>
                <w:right w:val="none" w:sz="0" w:space="0" w:color="auto"/>
              </w:divBdr>
              <w:divsChild>
                <w:div w:id="567761847">
                  <w:marLeft w:val="0"/>
                  <w:marRight w:val="0"/>
                  <w:marTop w:val="0"/>
                  <w:marBottom w:val="0"/>
                  <w:divBdr>
                    <w:top w:val="none" w:sz="0" w:space="0" w:color="auto"/>
                    <w:left w:val="none" w:sz="0" w:space="0" w:color="auto"/>
                    <w:bottom w:val="none" w:sz="0" w:space="0" w:color="auto"/>
                    <w:right w:val="none" w:sz="0" w:space="0" w:color="auto"/>
                  </w:divBdr>
                  <w:divsChild>
                    <w:div w:id="9016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755687">
          <w:marLeft w:val="0"/>
          <w:marRight w:val="0"/>
          <w:marTop w:val="0"/>
          <w:marBottom w:val="0"/>
          <w:divBdr>
            <w:top w:val="none" w:sz="0" w:space="0" w:color="auto"/>
            <w:left w:val="none" w:sz="0" w:space="0" w:color="auto"/>
            <w:bottom w:val="none" w:sz="0" w:space="0" w:color="auto"/>
            <w:right w:val="none" w:sz="0" w:space="0" w:color="auto"/>
          </w:divBdr>
          <w:divsChild>
            <w:div w:id="281038869">
              <w:marLeft w:val="0"/>
              <w:marRight w:val="0"/>
              <w:marTop w:val="0"/>
              <w:marBottom w:val="0"/>
              <w:divBdr>
                <w:top w:val="none" w:sz="0" w:space="0" w:color="auto"/>
                <w:left w:val="none" w:sz="0" w:space="0" w:color="auto"/>
                <w:bottom w:val="none" w:sz="0" w:space="0" w:color="auto"/>
                <w:right w:val="none" w:sz="0" w:space="0" w:color="auto"/>
              </w:divBdr>
              <w:divsChild>
                <w:div w:id="89508">
                  <w:marLeft w:val="0"/>
                  <w:marRight w:val="0"/>
                  <w:marTop w:val="0"/>
                  <w:marBottom w:val="0"/>
                  <w:divBdr>
                    <w:top w:val="none" w:sz="0" w:space="0" w:color="auto"/>
                    <w:left w:val="none" w:sz="0" w:space="0" w:color="auto"/>
                    <w:bottom w:val="none" w:sz="0" w:space="0" w:color="auto"/>
                    <w:right w:val="none" w:sz="0" w:space="0" w:color="auto"/>
                  </w:divBdr>
                  <w:divsChild>
                    <w:div w:id="1179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956406">
      <w:bodyDiv w:val="1"/>
      <w:marLeft w:val="0"/>
      <w:marRight w:val="0"/>
      <w:marTop w:val="0"/>
      <w:marBottom w:val="0"/>
      <w:divBdr>
        <w:top w:val="none" w:sz="0" w:space="0" w:color="auto"/>
        <w:left w:val="none" w:sz="0" w:space="0" w:color="auto"/>
        <w:bottom w:val="none" w:sz="0" w:space="0" w:color="auto"/>
        <w:right w:val="none" w:sz="0" w:space="0" w:color="auto"/>
      </w:divBdr>
    </w:div>
    <w:div w:id="2054036975">
      <w:bodyDiv w:val="1"/>
      <w:marLeft w:val="0"/>
      <w:marRight w:val="0"/>
      <w:marTop w:val="0"/>
      <w:marBottom w:val="0"/>
      <w:divBdr>
        <w:top w:val="none" w:sz="0" w:space="0" w:color="auto"/>
        <w:left w:val="none" w:sz="0" w:space="0" w:color="auto"/>
        <w:bottom w:val="none" w:sz="0" w:space="0" w:color="auto"/>
        <w:right w:val="none" w:sz="0" w:space="0" w:color="auto"/>
      </w:divBdr>
    </w:div>
    <w:div w:id="2054574841">
      <w:bodyDiv w:val="1"/>
      <w:marLeft w:val="0"/>
      <w:marRight w:val="0"/>
      <w:marTop w:val="0"/>
      <w:marBottom w:val="0"/>
      <w:divBdr>
        <w:top w:val="none" w:sz="0" w:space="0" w:color="auto"/>
        <w:left w:val="none" w:sz="0" w:space="0" w:color="auto"/>
        <w:bottom w:val="none" w:sz="0" w:space="0" w:color="auto"/>
        <w:right w:val="none" w:sz="0" w:space="0" w:color="auto"/>
      </w:divBdr>
    </w:div>
    <w:div w:id="214303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wales.blog.gov.wales/2024/02/09/updates-to-the-curriculum-for-wales-guidance/" TargetMode="External"/><Relationship Id="rId18" Type="http://schemas.openxmlformats.org/officeDocument/2006/relationships/hyperlink" Target="https://doi.org/10.1007/978-3-031-21873-6_8" TargetMode="External"/><Relationship Id="rId3" Type="http://schemas.openxmlformats.org/officeDocument/2006/relationships/customXml" Target="../customXml/item3.xml"/><Relationship Id="rId21" Type="http://schemas.openxmlformats.org/officeDocument/2006/relationships/hyperlink" Target="https://www.gov.wales/sites/default/files/pdf-versions/2021/10/1/1635166770/review-evidence-socio-economic-disadvantage-and-inequalities-outcome-summary.pdf" TargetMode="External"/><Relationship Id="rId7" Type="http://schemas.openxmlformats.org/officeDocument/2006/relationships/webSettings" Target="webSettings.xml"/><Relationship Id="rId12" Type="http://schemas.openxmlformats.org/officeDocument/2006/relationships/hyperlink" Target="https://educationwales.blog.gov.wales/2021/01/27/curriculum-for-wales-implementation-plan/" TargetMode="External"/><Relationship Id="rId17" Type="http://schemas.openxmlformats.org/officeDocument/2006/relationships/hyperlink" Target="https://doi.org/10.1007/978-3-030-66869-3_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aeyc.org/resources/position-statements/dap" TargetMode="External"/><Relationship Id="rId20" Type="http://schemas.openxmlformats.org/officeDocument/2006/relationships/hyperlink" Target="https://www.gov.wales/written-statement-curriculum-wales-202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era.ioe.ac.uk/id/eprint/22165/"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styn.gov.wales/node/13730" TargetMode="External"/><Relationship Id="rId23" Type="http://schemas.openxmlformats.org/officeDocument/2006/relationships/hyperlink" Target="https://www.gov.wales/mathematics-and-numeracy-plan-2023" TargetMode="External"/><Relationship Id="rId10" Type="http://schemas.openxmlformats.org/officeDocument/2006/relationships/hyperlink" Target="https://www.gov.uk/government/publications/national-curriculum-in-england-framework-for-key-stages-1-to-4" TargetMode="External"/><Relationship Id="rId19" Type="http://schemas.openxmlformats.org/officeDocument/2006/relationships/hyperlink" Target="https://doi.org/10.1057/978-1-137-5444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80/00220620600984313." TargetMode="External"/><Relationship Id="rId22" Type="http://schemas.openxmlformats.org/officeDocument/2006/relationships/hyperlink" Target="https://www.gov.wales/curriculum-wales-progression-cod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0" ma:contentTypeDescription="Create a new document." ma:contentTypeScope="" ma:versionID="b90bf14d67b23b59dfc4e18194cade94">
  <xsd:schema xmlns:xsd="http://www.w3.org/2001/XMLSchema" xmlns:xs="http://www.w3.org/2001/XMLSchema" xmlns:p="http://schemas.microsoft.com/office/2006/metadata/properties" xmlns:ns3="0ebdf10f-b5a3-45b6-acdb-7dc1eb398785" targetNamespace="http://schemas.microsoft.com/office/2006/metadata/properties" ma:root="true" ma:fieldsID="0c5116ba5c967e894b248fdc6a942777"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E44F7FBF-85C0-41BA-9DE7-895E747442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CA72BC-9608-4CCE-B0FA-38B58D5AE908}">
  <ds:schemaRefs>
    <ds:schemaRef ds:uri="http://schemas.microsoft.com/sharepoint/v3/contenttype/forms"/>
  </ds:schemaRefs>
</ds:datastoreItem>
</file>

<file path=customXml/itemProps3.xml><?xml version="1.0" encoding="utf-8"?>
<ds:datastoreItem xmlns:ds="http://schemas.openxmlformats.org/officeDocument/2006/customXml" ds:itemID="{A280E16C-EA4F-4896-82BE-5BD4C1AEE174}">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3860</TotalTime>
  <Pages>48</Pages>
  <Words>16686</Words>
  <Characters>102458</Characters>
  <Application>Microsoft Office Word</Application>
  <DocSecurity>0</DocSecurity>
  <Lines>1652</Lines>
  <Paragraphs>297</Paragraphs>
  <ScaleCrop>false</ScaleCrop>
  <Company/>
  <LinksUpToDate>false</LinksUpToDate>
  <CharactersWithSpaces>118847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 Liu (2315749)</dc:creator>
  <cp:keywords/>
  <dc:description/>
  <cp:lastModifiedBy>Min Liu (2315749)</cp:lastModifiedBy>
  <cp:revision>200</cp:revision>
  <dcterms:created xsi:type="dcterms:W3CDTF">2024-09-26T10:15:00Z</dcterms:created>
  <dcterms:modified xsi:type="dcterms:W3CDTF">2024-09-30T22:59:00Z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