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379E24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51BDB">
              <w:rPr>
                <w:rFonts w:ascii="Times New Roman" w:hAnsi="Times New Roman" w:cs="Times New Roman"/>
                <w:b/>
                <w:color w:val="auto"/>
                <w:sz w:val="48"/>
              </w:rPr>
              <w:t>Kelly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F3EDF2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51BDB">
              <w:rPr>
                <w:rFonts w:ascii="Times New Roman" w:hAnsi="Times New Roman" w:cs="Times New Roman"/>
                <w:b/>
                <w:color w:val="auto"/>
                <w:sz w:val="48"/>
              </w:rPr>
              <w:t xml:space="preserve"> </w:t>
            </w:r>
            <w:hyperlink r:id="rId11" w:history="1">
              <w:r w:rsidR="00751BDB" w:rsidRPr="00681997">
                <w:rPr>
                  <w:rStyle w:val="Hyperlink"/>
                  <w:rFonts w:ascii="Times New Roman" w:hAnsi="Times New Roman" w:cs="Times New Roman"/>
                  <w:b/>
                  <w:sz w:val="48"/>
                </w:rPr>
                <w:t>KMGThomas@carmarthenshire.gov.uk</w:t>
              </w:r>
            </w:hyperlink>
          </w:p>
          <w:p w14:paraId="4A9E7E11" w14:textId="25370BDD" w:rsidR="00751BDB" w:rsidRDefault="00000000" w:rsidP="005D3F07">
            <w:pPr>
              <w:overflowPunct/>
              <w:autoSpaceDE/>
              <w:autoSpaceDN/>
              <w:adjustRightInd/>
              <w:ind w:right="-957"/>
              <w:textAlignment w:val="auto"/>
              <w:rPr>
                <w:rFonts w:ascii="Times New Roman" w:hAnsi="Times New Roman" w:cs="Times New Roman"/>
                <w:b/>
                <w:color w:val="auto"/>
                <w:sz w:val="48"/>
              </w:rPr>
            </w:pPr>
            <w:hyperlink r:id="rId12" w:history="1">
              <w:r w:rsidR="00751BDB" w:rsidRPr="00681997">
                <w:rPr>
                  <w:rStyle w:val="Hyperlink"/>
                  <w:rFonts w:ascii="Times New Roman" w:hAnsi="Times New Roman" w:cs="Times New Roman"/>
                  <w:b/>
                  <w:sz w:val="48"/>
                </w:rPr>
                <w:t>XxKellyGxx83@aol.com</w:t>
              </w:r>
            </w:hyperlink>
          </w:p>
          <w:p w14:paraId="443F63AA" w14:textId="77777777" w:rsidR="00751BDB" w:rsidRDefault="00751BDB"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A8E0710" w14:textId="77777777" w:rsidR="00F140BA"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51BDB">
              <w:rPr>
                <w:rFonts w:ascii="Times New Roman" w:hAnsi="Times New Roman" w:cs="Times New Roman"/>
                <w:b/>
                <w:color w:val="auto"/>
                <w:sz w:val="48"/>
              </w:rPr>
              <w:t xml:space="preserve">  </w:t>
            </w:r>
          </w:p>
          <w:p w14:paraId="0DE696B2" w14:textId="58D5BBAF" w:rsidR="00F927A1" w:rsidRPr="005D3F07" w:rsidRDefault="00751BD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2238484</w:t>
            </w:r>
            <w:r w:rsidR="00F140BA">
              <w:rPr>
                <w:rFonts w:ascii="Times New Roman" w:hAnsi="Times New Roman" w:cs="Times New Roman"/>
                <w:b/>
                <w:color w:val="auto"/>
                <w:sz w:val="48"/>
              </w:rPr>
              <w:t xml:space="preserve"> </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49C23384" w14:textId="77777777" w:rsidR="007F57FF" w:rsidRPr="007F57FF" w:rsidRDefault="007F57FF" w:rsidP="007F57FF">
            <w:pPr>
              <w:jc w:val="both"/>
              <w:rPr>
                <w:iCs/>
                <w:sz w:val="24"/>
                <w:szCs w:val="24"/>
              </w:rPr>
            </w:pPr>
          </w:p>
          <w:p w14:paraId="3A3F2353" w14:textId="38596BE1" w:rsidR="007F57FF" w:rsidRDefault="007F57FF" w:rsidP="007F57FF">
            <w:pPr>
              <w:jc w:val="both"/>
              <w:rPr>
                <w:iCs/>
                <w:sz w:val="24"/>
                <w:szCs w:val="24"/>
              </w:rPr>
            </w:pPr>
            <w:r w:rsidRPr="007F57FF">
              <w:rPr>
                <w:iCs/>
                <w:sz w:val="24"/>
                <w:szCs w:val="24"/>
              </w:rPr>
              <w:t xml:space="preserve">During the year undertaking my Continuing Professional Education and Learning (CPEL) I’ve been employed within an adult social work team within a local authority in Wales. The team largely works with members of the public with physical disabilities and cognitive impairments over the age of 18, and their carers. For this assignment, I’ll aim to critically reflect on a case study based upon an assessment that I’ve undertaken within the team in which there were safeguarding concerns. To begin the assignment, I’ll initially provide an overview of the case study to provide context to my critical reflection. I’ll then aim to critically reflect upon my analysis into assessment, collaborative working, and the use of my professional judgement, and how this impacted upon the case. In exploring this I’ll draw reference to social work theories and models of assessment such as crisis intervention, exchange model of assessment, person-centred approach, and </w:t>
            </w:r>
            <w:r w:rsidR="00B25BF7">
              <w:rPr>
                <w:iCs/>
                <w:sz w:val="24"/>
                <w:szCs w:val="24"/>
              </w:rPr>
              <w:t>the</w:t>
            </w:r>
            <w:r w:rsidRPr="007F57FF">
              <w:rPr>
                <w:iCs/>
                <w:sz w:val="24"/>
                <w:szCs w:val="24"/>
              </w:rPr>
              <w:t xml:space="preserve"> PCS Model</w:t>
            </w:r>
            <w:r w:rsidR="00A04684">
              <w:rPr>
                <w:iCs/>
                <w:sz w:val="24"/>
                <w:szCs w:val="24"/>
              </w:rPr>
              <w:t xml:space="preserve"> </w:t>
            </w:r>
            <w:r w:rsidR="00A04684" w:rsidRPr="00A04684">
              <w:rPr>
                <w:iCs/>
                <w:sz w:val="24"/>
                <w:szCs w:val="24"/>
              </w:rPr>
              <w:t>(Maclean and Harrison, 2015)</w:t>
            </w:r>
            <w:r w:rsidRPr="007F57FF">
              <w:rPr>
                <w:iCs/>
                <w:sz w:val="24"/>
                <w:szCs w:val="24"/>
              </w:rPr>
              <w:t>, as well as making reference to relevant legislation and guidance governing practice in Wales, the United Kingdon (UK), and the European Union (EU). In line with the Data Protection Act 2018, which is the UK’s implementation of the General Data Protection Regulation (GDPR)</w:t>
            </w:r>
            <w:r w:rsidR="005E1697">
              <w:rPr>
                <w:iCs/>
                <w:sz w:val="24"/>
                <w:szCs w:val="24"/>
              </w:rPr>
              <w:t xml:space="preserve"> (</w:t>
            </w:r>
            <w:r w:rsidR="00252852">
              <w:rPr>
                <w:iCs/>
                <w:sz w:val="24"/>
                <w:szCs w:val="24"/>
              </w:rPr>
              <w:t>gov.uk 2024)</w:t>
            </w:r>
            <w:r w:rsidRPr="007F57FF">
              <w:rPr>
                <w:iCs/>
                <w:sz w:val="24"/>
                <w:szCs w:val="24"/>
              </w:rPr>
              <w:t xml:space="preserve">, to maintain the service user’s confidentiality within this assignment I’ll refer to them henceforth as client 2. </w:t>
            </w:r>
          </w:p>
          <w:p w14:paraId="1B405953" w14:textId="77777777" w:rsidR="00F140BA" w:rsidRPr="007F57FF" w:rsidRDefault="00F140BA" w:rsidP="007F57FF">
            <w:pPr>
              <w:jc w:val="both"/>
              <w:rPr>
                <w:iCs/>
                <w:sz w:val="24"/>
                <w:szCs w:val="24"/>
              </w:rPr>
            </w:pPr>
          </w:p>
          <w:p w14:paraId="233AEEDC" w14:textId="77777777" w:rsidR="007F57FF" w:rsidRDefault="007F57FF" w:rsidP="007F57FF">
            <w:pPr>
              <w:jc w:val="both"/>
              <w:rPr>
                <w:iCs/>
                <w:sz w:val="24"/>
                <w:szCs w:val="24"/>
              </w:rPr>
            </w:pPr>
            <w:r w:rsidRPr="007F57FF">
              <w:rPr>
                <w:iCs/>
                <w:sz w:val="24"/>
                <w:szCs w:val="24"/>
              </w:rPr>
              <w:t xml:space="preserve">Client 2 is a female over the age of 65 and was diagnosed with a complex neurological condition at a young age, and the symptoms of her condition can impact upon her physical function. As she’s aged, she’s also experienced additional health difficulties which have impacted upon her level of independence. Client 2 does not experience any difficulties with </w:t>
            </w:r>
            <w:r w:rsidRPr="007F57FF">
              <w:rPr>
                <w:iCs/>
                <w:sz w:val="24"/>
                <w:szCs w:val="24"/>
              </w:rPr>
              <w:lastRenderedPageBreak/>
              <w:t>their cognition and considers herself to be a strong advocate for her health diagnosis and her needs. I first became known to client 2 whilst they were in a period of convalescence in a residential care setting for people over the age of 65 following a discharge from hospital. I undertook an assessment of need in line with the Social Services and Well-being (Wales) Act 2014 (</w:t>
            </w:r>
            <w:r w:rsidRPr="0079153C">
              <w:rPr>
                <w:i/>
                <w:sz w:val="24"/>
                <w:szCs w:val="24"/>
              </w:rPr>
              <w:t>SSWB(W)A 2014</w:t>
            </w:r>
            <w:r w:rsidRPr="007F57FF">
              <w:rPr>
                <w:iCs/>
                <w:sz w:val="24"/>
                <w:szCs w:val="24"/>
              </w:rPr>
              <w:t xml:space="preserve">), and within the assessment client 2 expressed that her personal outcome would be to be rehoused in the community closer to her family with access to formal care and support. Client 2 felt isolated from support in their previous accommodation owing to its rurality which heightened their anxiety owing to the advancement of their health symptoms. Whilst awaiting rehousing and service provision, client 2 agreed to a short-term residential placement. Owing to the limited availability of resources in the immediate area a placement was sourced within a neighbouring authority. Due to unforeseen circumstances on my behalf client 2 was reallocated to another worker for a period of time. During this period client 2 experienced difficulties in accessing their specialist healthcare provision as the care home was located in another health board’s area. Client 2 also raised concerns with the medication management in the home in that they had been provided with another residents’ medication. This concern had been reported to the local authorities safeguarding team in my absence, enquiries made with the care home and client 2 as part of the investigation, which established that the wrong medication had been provided. The care home reviewed their procedures and worked in partnership with safeguarding to conclude the investigation, and client 2 came to no harm. Weighing up their health care verses placement setting client 2 chose to be moved to another care home, however the only one available within the required area to facilitate access to her health care and family at the time was a residential dementia care home. Upon my return to work my involvement with client 2 recommenced following information shared by safeguarding that she had disclosed to a colleague that she had been physically assaulted by another resident, and an incident report was placed to the safeguarding team by the care home and client 2 separately. </w:t>
            </w:r>
          </w:p>
          <w:p w14:paraId="7E71161C" w14:textId="77777777" w:rsidR="00F140BA" w:rsidRPr="007F57FF" w:rsidRDefault="00F140BA" w:rsidP="007F57FF">
            <w:pPr>
              <w:jc w:val="both"/>
              <w:rPr>
                <w:iCs/>
                <w:sz w:val="24"/>
                <w:szCs w:val="24"/>
              </w:rPr>
            </w:pPr>
          </w:p>
          <w:p w14:paraId="26EA413E" w14:textId="03B01FEB" w:rsidR="007F57FF" w:rsidRDefault="007F57FF" w:rsidP="007F57FF">
            <w:pPr>
              <w:jc w:val="both"/>
              <w:rPr>
                <w:iCs/>
                <w:sz w:val="24"/>
                <w:szCs w:val="24"/>
              </w:rPr>
            </w:pPr>
            <w:r w:rsidRPr="007F57FF">
              <w:rPr>
                <w:iCs/>
                <w:sz w:val="24"/>
                <w:szCs w:val="24"/>
              </w:rPr>
              <w:t>In analysing this information and reflecting upon the legislative frameworks in Wales for safeguarding of this alleged incident and if it would meet the threshold for reporting a concern, Wales Safeguarding Procedures 2019</w:t>
            </w:r>
            <w:r w:rsidR="0019394E">
              <w:rPr>
                <w:iCs/>
                <w:sz w:val="24"/>
                <w:szCs w:val="24"/>
              </w:rPr>
              <w:t xml:space="preserve"> (Welsh Government 2024)</w:t>
            </w:r>
            <w:r w:rsidRPr="007F57FF">
              <w:rPr>
                <w:iCs/>
                <w:sz w:val="24"/>
                <w:szCs w:val="24"/>
              </w:rPr>
              <w:t xml:space="preserve"> details that under Part 7 section 126 of </w:t>
            </w:r>
            <w:r w:rsidRPr="0019394E">
              <w:rPr>
                <w:i/>
                <w:sz w:val="24"/>
                <w:szCs w:val="24"/>
              </w:rPr>
              <w:t>SSWB(W)A 2014</w:t>
            </w:r>
            <w:r w:rsidRPr="007F57FF">
              <w:rPr>
                <w:iCs/>
                <w:sz w:val="24"/>
                <w:szCs w:val="24"/>
              </w:rPr>
              <w:t xml:space="preserve"> an adult is considered to be an ‘adult at risk’ if they are experiencing neglect or abuse, has care and support needs, and if they are unable to protect themselves as a result of those needs. The same definition is also used within the </w:t>
            </w:r>
            <w:r w:rsidRPr="002A09DC">
              <w:rPr>
                <w:i/>
                <w:sz w:val="24"/>
                <w:szCs w:val="24"/>
              </w:rPr>
              <w:t xml:space="preserve">Care Act 2014 </w:t>
            </w:r>
            <w:r w:rsidRPr="007F57FF">
              <w:rPr>
                <w:iCs/>
                <w:sz w:val="24"/>
                <w:szCs w:val="24"/>
              </w:rPr>
              <w:t>which governs practice in England. Showing consideration to this definition of an ‘adult at risk’, I’m of the professional opinion that as client 2 is an adult who was unable to physically protect herself owing to her care and support needs, she’d meet the legislative definition. Furthermore, in terms of the alleged abuse experienced, client 2 reported that she was hit on the back of the head which caused her to fall to the floor, and the act of hitting a person is defined by Wales Safeguarding Procedures 2019</w:t>
            </w:r>
            <w:r w:rsidR="000503AD">
              <w:rPr>
                <w:iCs/>
                <w:sz w:val="24"/>
                <w:szCs w:val="24"/>
              </w:rPr>
              <w:t xml:space="preserve"> (Welsh Government 2024)</w:t>
            </w:r>
            <w:r w:rsidRPr="007F57FF">
              <w:rPr>
                <w:iCs/>
                <w:sz w:val="24"/>
                <w:szCs w:val="24"/>
              </w:rPr>
              <w:t xml:space="preserve"> as physical abuse. As such showing consideration to the legislative definitions in this instance, a report to safeguarding would be argued as an appropriate action in beginning the safeguarding process and undertaking the necessary enquiries to determine the best cause of action moving forward. Additionally, owing to the nature of the concern, in line with legislative duties, responsibilities and procedures set out in </w:t>
            </w:r>
            <w:r w:rsidRPr="0059357F">
              <w:rPr>
                <w:i/>
                <w:sz w:val="24"/>
                <w:szCs w:val="24"/>
              </w:rPr>
              <w:t>SSWB(W)A 2014</w:t>
            </w:r>
            <w:r w:rsidRPr="007F57FF">
              <w:rPr>
                <w:iCs/>
                <w:sz w:val="24"/>
                <w:szCs w:val="24"/>
              </w:rPr>
              <w:t xml:space="preserve"> and the guidance ‘Working together to safeguard people: volume 6 handling individual cases to protect adults at risk’</w:t>
            </w:r>
            <w:r w:rsidR="00167F1B">
              <w:rPr>
                <w:iCs/>
                <w:sz w:val="24"/>
                <w:szCs w:val="24"/>
              </w:rPr>
              <w:t xml:space="preserve"> (Welsh Government 2018)</w:t>
            </w:r>
            <w:r w:rsidRPr="007F57FF">
              <w:rPr>
                <w:iCs/>
                <w:sz w:val="24"/>
                <w:szCs w:val="24"/>
              </w:rPr>
              <w:t xml:space="preserve">, information was also shared with the police to investigate if there </w:t>
            </w:r>
            <w:r w:rsidRPr="007F57FF">
              <w:rPr>
                <w:iCs/>
                <w:sz w:val="24"/>
                <w:szCs w:val="24"/>
              </w:rPr>
              <w:lastRenderedPageBreak/>
              <w:t>was a criminal element to the incident due to client 2 alleging that she had been physically assaulted by another person.</w:t>
            </w:r>
          </w:p>
          <w:p w14:paraId="2DBFEE2D" w14:textId="77777777" w:rsidR="00F140BA" w:rsidRPr="007F57FF" w:rsidRDefault="00F140BA" w:rsidP="007F57FF">
            <w:pPr>
              <w:jc w:val="both"/>
              <w:rPr>
                <w:iCs/>
                <w:sz w:val="24"/>
                <w:szCs w:val="24"/>
              </w:rPr>
            </w:pPr>
          </w:p>
          <w:p w14:paraId="03D5C0C4" w14:textId="39D949F3" w:rsidR="007F57FF" w:rsidRDefault="007F57FF" w:rsidP="007F57FF">
            <w:pPr>
              <w:jc w:val="both"/>
              <w:rPr>
                <w:iCs/>
                <w:sz w:val="24"/>
                <w:szCs w:val="24"/>
              </w:rPr>
            </w:pPr>
            <w:r w:rsidRPr="007F57FF">
              <w:rPr>
                <w:iCs/>
                <w:sz w:val="24"/>
                <w:szCs w:val="24"/>
              </w:rPr>
              <w:t>Acting upon the duties to make enquiries regarding the alleged incident a meeting was arranged with client 2 within the care home setting by the investigating officer in the police and I was asked to accompany them with an aim of ascertaining her views and wishes, personal outcomes, and reviewing her care and support needs to contribute towards future planning and risk management. The venue for the meeting had been prearranged by the investigation officer, which was within the care home setting, to enable access to records in the home for evidence gathering, and further meetings with staff members and the alleged perpetrator. Reflecting upon the setting the meeting took place although it allowed the investigating officer to conduct their investigation within one setting in a timely manner, I was concerned that this might not have been the most suitable environment for client 2 to be able to talk freely if she wanted to disclose information pertaining to her treatment by staff at the care home as I was aware that separate referrals were placed to safeguarding. As explored by</w:t>
            </w:r>
            <w:r w:rsidR="004C08D4">
              <w:rPr>
                <w:iCs/>
                <w:sz w:val="24"/>
                <w:szCs w:val="24"/>
              </w:rPr>
              <w:t xml:space="preserve"> Wilson et al</w:t>
            </w:r>
            <w:r w:rsidRPr="007F57FF">
              <w:rPr>
                <w:iCs/>
                <w:sz w:val="24"/>
                <w:szCs w:val="24"/>
              </w:rPr>
              <w:t xml:space="preserve"> </w:t>
            </w:r>
            <w:r w:rsidR="004C08D4" w:rsidRPr="004C08D4">
              <w:rPr>
                <w:iCs/>
                <w:sz w:val="24"/>
                <w:szCs w:val="24"/>
              </w:rPr>
              <w:t>(Wilson and Al, 2011</w:t>
            </w:r>
            <w:r w:rsidR="001B72C0">
              <w:rPr>
                <w:iCs/>
                <w:sz w:val="24"/>
                <w:szCs w:val="24"/>
              </w:rPr>
              <w:t>, p324-332</w:t>
            </w:r>
            <w:r w:rsidR="004C08D4" w:rsidRPr="004C08D4">
              <w:rPr>
                <w:iCs/>
                <w:sz w:val="24"/>
                <w:szCs w:val="24"/>
              </w:rPr>
              <w:t>)</w:t>
            </w:r>
            <w:r w:rsidRPr="007F57FF">
              <w:rPr>
                <w:iCs/>
                <w:sz w:val="24"/>
                <w:szCs w:val="24"/>
              </w:rPr>
              <w:t xml:space="preserve"> the environment in which a meeting takes place can present as a barrier to effective communication. As such I was concerned that this could present as an ethical dilemma, however reflecting back I did not feel that I was confident enough to challenge this with the police in the first instance as the plans for the meeting had already been made, and this is something I aim to develop moving forward. However, to counteract this in practice I drew upon my Code of Professional Practice for Social Care Workers (COPP</w:t>
            </w:r>
            <w:r w:rsidR="009530A3">
              <w:rPr>
                <w:iCs/>
                <w:sz w:val="24"/>
                <w:szCs w:val="24"/>
              </w:rPr>
              <w:t xml:space="preserve"> 2017</w:t>
            </w:r>
            <w:r w:rsidRPr="007F57FF">
              <w:rPr>
                <w:iCs/>
                <w:sz w:val="24"/>
                <w:szCs w:val="24"/>
              </w:rPr>
              <w:t xml:space="preserve">) </w:t>
            </w:r>
            <w:r w:rsidR="009530A3">
              <w:rPr>
                <w:iCs/>
                <w:sz w:val="24"/>
                <w:szCs w:val="24"/>
              </w:rPr>
              <w:t>(</w:t>
            </w:r>
            <w:r w:rsidRPr="007F57FF">
              <w:rPr>
                <w:iCs/>
                <w:sz w:val="24"/>
                <w:szCs w:val="24"/>
              </w:rPr>
              <w:t>Social Care Wales</w:t>
            </w:r>
            <w:r w:rsidR="009530A3">
              <w:rPr>
                <w:iCs/>
                <w:sz w:val="24"/>
                <w:szCs w:val="24"/>
              </w:rPr>
              <w:t xml:space="preserve"> 2017)</w:t>
            </w:r>
            <w:r w:rsidRPr="007F57FF">
              <w:rPr>
                <w:iCs/>
                <w:sz w:val="24"/>
                <w:szCs w:val="24"/>
              </w:rPr>
              <w:t xml:space="preserve"> and aimed to use my skills in establishing and maintaining trust and confidence with client 2. Having had previous meetings and communication with client 2, I felt confident in my ability to uphold my COPP 2017</w:t>
            </w:r>
            <w:r w:rsidR="00721E0C">
              <w:rPr>
                <w:iCs/>
                <w:sz w:val="24"/>
                <w:szCs w:val="24"/>
              </w:rPr>
              <w:t xml:space="preserve"> (Social Care Wales 2017)</w:t>
            </w:r>
            <w:r w:rsidRPr="007F57FF">
              <w:rPr>
                <w:iCs/>
                <w:sz w:val="24"/>
                <w:szCs w:val="24"/>
              </w:rPr>
              <w:t xml:space="preserve">, and that our working relationship and collaborative working could counteract any difficulties that she may have experienced in sharing information. I believe that this was successful as client 2 advised that she was appreciative of my presence in the meeting as a professional with whom she had built up confidence in. </w:t>
            </w:r>
          </w:p>
          <w:p w14:paraId="06BD608F" w14:textId="77777777" w:rsidR="00F140BA" w:rsidRPr="007F57FF" w:rsidRDefault="00F140BA" w:rsidP="007F57FF">
            <w:pPr>
              <w:jc w:val="both"/>
              <w:rPr>
                <w:iCs/>
                <w:sz w:val="24"/>
                <w:szCs w:val="24"/>
              </w:rPr>
            </w:pPr>
          </w:p>
          <w:p w14:paraId="3A50DF7E" w14:textId="5B9E206A" w:rsidR="007F57FF" w:rsidRDefault="007F57FF" w:rsidP="007F57FF">
            <w:pPr>
              <w:jc w:val="both"/>
              <w:rPr>
                <w:iCs/>
                <w:sz w:val="24"/>
                <w:szCs w:val="24"/>
              </w:rPr>
            </w:pPr>
            <w:r w:rsidRPr="007F57FF">
              <w:rPr>
                <w:iCs/>
                <w:sz w:val="24"/>
                <w:szCs w:val="24"/>
              </w:rPr>
              <w:t xml:space="preserve">As argued by </w:t>
            </w:r>
            <w:r w:rsidR="00721E0C">
              <w:rPr>
                <w:iCs/>
                <w:sz w:val="24"/>
                <w:szCs w:val="24"/>
              </w:rPr>
              <w:t xml:space="preserve">Wilson et al </w:t>
            </w:r>
            <w:r w:rsidR="00721E0C" w:rsidRPr="00721E0C">
              <w:rPr>
                <w:iCs/>
                <w:sz w:val="24"/>
                <w:szCs w:val="24"/>
              </w:rPr>
              <w:t>(Wilson and Al, 2011</w:t>
            </w:r>
            <w:r w:rsidR="00F42645">
              <w:rPr>
                <w:iCs/>
                <w:sz w:val="24"/>
                <w:szCs w:val="24"/>
              </w:rPr>
              <w:t>, p325</w:t>
            </w:r>
            <w:r w:rsidR="00721E0C" w:rsidRPr="00721E0C">
              <w:rPr>
                <w:iCs/>
                <w:sz w:val="24"/>
                <w:szCs w:val="24"/>
              </w:rPr>
              <w:t>)</w:t>
            </w:r>
            <w:r w:rsidRPr="007F57FF">
              <w:rPr>
                <w:iCs/>
                <w:sz w:val="24"/>
                <w:szCs w:val="24"/>
              </w:rPr>
              <w:t xml:space="preserve">, preparation is key in approaching interactions with service users, as it enables us as a social worker to feel confident in addressing different issues that may arise in the meeting. To prepare for the meeting I read the safeguarding reports by the care provider and client 2 to inform my analysis into assessment and contribute towards my professional judgment in the meeting. Reflecting upon the information I decided to draw upon my knowledge and application of crisis intervention as client 2 had found themselves in a position which was out of the ordinary and could be considered to be a traumatic incident. </w:t>
            </w:r>
            <w:r w:rsidR="002A4A46">
              <w:rPr>
                <w:iCs/>
                <w:sz w:val="24"/>
                <w:szCs w:val="24"/>
              </w:rPr>
              <w:t xml:space="preserve">In </w:t>
            </w:r>
            <w:r w:rsidRPr="007F57FF">
              <w:rPr>
                <w:iCs/>
                <w:sz w:val="24"/>
                <w:szCs w:val="24"/>
              </w:rPr>
              <w:t>exploring crisis intervention,</w:t>
            </w:r>
            <w:r w:rsidR="002A4A46">
              <w:rPr>
                <w:iCs/>
                <w:sz w:val="24"/>
                <w:szCs w:val="24"/>
              </w:rPr>
              <w:t xml:space="preserve"> </w:t>
            </w:r>
            <w:r w:rsidRPr="007F57FF">
              <w:rPr>
                <w:iCs/>
                <w:sz w:val="24"/>
                <w:szCs w:val="24"/>
              </w:rPr>
              <w:t xml:space="preserve">Bard and Ellison 1974 </w:t>
            </w:r>
            <w:r w:rsidR="00CC2CA6">
              <w:rPr>
                <w:iCs/>
                <w:sz w:val="24"/>
                <w:szCs w:val="24"/>
              </w:rPr>
              <w:t>describe</w:t>
            </w:r>
            <w:r w:rsidRPr="007F57FF">
              <w:rPr>
                <w:iCs/>
                <w:sz w:val="24"/>
                <w:szCs w:val="24"/>
              </w:rPr>
              <w:t xml:space="preserve"> that ‘crisis is a subjective rection to a stressful life experience, one so affecting the stability of the individual that the ability to cope or function may be seriously compromised’</w:t>
            </w:r>
            <w:r w:rsidR="002A4A46">
              <w:rPr>
                <w:iCs/>
                <w:sz w:val="24"/>
                <w:szCs w:val="24"/>
              </w:rPr>
              <w:t xml:space="preserve"> </w:t>
            </w:r>
            <w:r w:rsidR="00CC2CA6">
              <w:rPr>
                <w:iCs/>
                <w:sz w:val="24"/>
                <w:szCs w:val="24"/>
              </w:rPr>
              <w:t>(</w:t>
            </w:r>
            <w:r w:rsidR="00B15BFB">
              <w:rPr>
                <w:iCs/>
                <w:sz w:val="24"/>
                <w:szCs w:val="24"/>
              </w:rPr>
              <w:t>Bard and Ellison 1974, quote</w:t>
            </w:r>
            <w:r w:rsidR="008D7B9D">
              <w:rPr>
                <w:iCs/>
                <w:sz w:val="24"/>
                <w:szCs w:val="24"/>
              </w:rPr>
              <w:t>d</w:t>
            </w:r>
            <w:r w:rsidR="00B15BFB">
              <w:rPr>
                <w:iCs/>
                <w:sz w:val="24"/>
                <w:szCs w:val="24"/>
              </w:rPr>
              <w:t xml:space="preserve"> in Maclean and Harrison, 2015, p211)</w:t>
            </w:r>
            <w:r w:rsidRPr="007F57FF">
              <w:rPr>
                <w:iCs/>
                <w:sz w:val="24"/>
                <w:szCs w:val="24"/>
              </w:rPr>
              <w:t>. Furthermore,</w:t>
            </w:r>
            <w:r w:rsidR="000A2241">
              <w:rPr>
                <w:iCs/>
                <w:sz w:val="24"/>
                <w:szCs w:val="24"/>
              </w:rPr>
              <w:t xml:space="preserve"> Maclean and Harrison </w:t>
            </w:r>
            <w:r w:rsidR="00F62E39">
              <w:rPr>
                <w:iCs/>
                <w:sz w:val="24"/>
                <w:szCs w:val="24"/>
              </w:rPr>
              <w:t>highlight</w:t>
            </w:r>
            <w:r w:rsidRPr="007F57FF">
              <w:rPr>
                <w:iCs/>
                <w:sz w:val="24"/>
                <w:szCs w:val="24"/>
              </w:rPr>
              <w:t xml:space="preserve"> it’s important as a social worker in applying crisis theory to be aware and understand that the event could trigger emotional responses in that client 2 could present as angry, upset, or hostile which could have impacted her ability to participate in the meeting</w:t>
            </w:r>
            <w:r w:rsidR="00F62E39">
              <w:t xml:space="preserve"> (</w:t>
            </w:r>
            <w:r w:rsidR="00F62E39" w:rsidRPr="00F62E39">
              <w:rPr>
                <w:iCs/>
                <w:sz w:val="24"/>
                <w:szCs w:val="24"/>
              </w:rPr>
              <w:t>Maclean and Harrison, 2015</w:t>
            </w:r>
            <w:r w:rsidR="00975FBF">
              <w:rPr>
                <w:iCs/>
                <w:sz w:val="24"/>
                <w:szCs w:val="24"/>
              </w:rPr>
              <w:t>, p211</w:t>
            </w:r>
            <w:r w:rsidR="00F62E39">
              <w:rPr>
                <w:iCs/>
                <w:sz w:val="24"/>
                <w:szCs w:val="24"/>
              </w:rPr>
              <w:t>)</w:t>
            </w:r>
            <w:r w:rsidRPr="007F57FF">
              <w:rPr>
                <w:iCs/>
                <w:sz w:val="24"/>
                <w:szCs w:val="24"/>
              </w:rPr>
              <w:t xml:space="preserve">. Therefore, in my application of crisis intervention and being aware that the meeting could create an emotionally charged environment, in analysing the risks and applying my professional judgement I wanted to ensure that client 2 was </w:t>
            </w:r>
            <w:r w:rsidRPr="007F57FF">
              <w:rPr>
                <w:iCs/>
                <w:sz w:val="24"/>
                <w:szCs w:val="24"/>
              </w:rPr>
              <w:lastRenderedPageBreak/>
              <w:t>extended the opportunity of having a family member or advocate present for the meeting to support her throughout the process. However, client 2 informed that she felt confident to participate in the meeting independently and advocate on their own behalf. In applying crisis intervention to the meeting, I found that it aided in preparing me with the mindset that the situation had the potential to change at any moment owing to the complexity of engaging in emotional environments in which there could be conflict between individuals.</w:t>
            </w:r>
          </w:p>
          <w:p w14:paraId="408C74B2" w14:textId="77777777" w:rsidR="00F140BA" w:rsidRPr="007F57FF" w:rsidRDefault="00F140BA" w:rsidP="007F57FF">
            <w:pPr>
              <w:jc w:val="both"/>
              <w:rPr>
                <w:iCs/>
                <w:sz w:val="24"/>
                <w:szCs w:val="24"/>
              </w:rPr>
            </w:pPr>
          </w:p>
          <w:p w14:paraId="4B9AB8C5" w14:textId="41150AF7" w:rsidR="007F57FF" w:rsidRDefault="007F57FF" w:rsidP="007F57FF">
            <w:pPr>
              <w:jc w:val="both"/>
              <w:rPr>
                <w:iCs/>
                <w:sz w:val="24"/>
                <w:szCs w:val="24"/>
              </w:rPr>
            </w:pPr>
            <w:r w:rsidRPr="007F57FF">
              <w:rPr>
                <w:iCs/>
                <w:sz w:val="24"/>
                <w:szCs w:val="24"/>
              </w:rPr>
              <w:t>In showing consideration to working in Wales, as explained by Care Inspectorate Wales, the strategic framework ‘More than Just Words’ which was published in 2012 in accordance with the Welsh Language (Wales) Measure 2011, led to the implementation of the ‘Active Offer’ which ensures that people in Wales are able to access services within the Welsh language</w:t>
            </w:r>
            <w:r w:rsidR="00A61633">
              <w:rPr>
                <w:iCs/>
                <w:sz w:val="24"/>
                <w:szCs w:val="24"/>
              </w:rPr>
              <w:t xml:space="preserve"> (Welsh Government 2012)</w:t>
            </w:r>
            <w:r w:rsidRPr="007F57FF">
              <w:rPr>
                <w:iCs/>
                <w:sz w:val="24"/>
                <w:szCs w:val="24"/>
              </w:rPr>
              <w:t xml:space="preserve">. As I was aware that client 2 identified as Welsh, and was originally from the local area, I ensured to extend her the opportunity for the meeting to be conducted within the Welsh language. Client 2 is bilingual and felt confident to speak in both English and Welsh, however, chose to speak in English for the purpose of the meeting as she expressed that she found this easier in explaining her health conditions to others. In providing client 2 with language options, I believe that this empowered her in what could have been an intimidating environment with two professionals and promoted a person-centred approach to the meeting as it gave her choice and control. Although I felt confident in being able to extend the choice of speaking in Welsh as I am confident in my ability in conversational Welsh, my knowledge of complex medical terminology isn’t to a degree in which I feel competent. Therefore, reflecting on her choice of language, I believed that this worked well for the meeting not only for client 2, but myself as a professional, and the investigating officer as they spoke English, as it allowed us to work collaboratively as client 2 was able to converse comfortably without having to concentrate on the correct translations and we were also confident that we would interpret her language correctly. </w:t>
            </w:r>
          </w:p>
          <w:p w14:paraId="402BA0FA" w14:textId="77777777" w:rsidR="00F140BA" w:rsidRPr="007F57FF" w:rsidRDefault="00F140BA" w:rsidP="007F57FF">
            <w:pPr>
              <w:jc w:val="both"/>
              <w:rPr>
                <w:iCs/>
                <w:sz w:val="24"/>
                <w:szCs w:val="24"/>
              </w:rPr>
            </w:pPr>
          </w:p>
          <w:p w14:paraId="09AF28CC" w14:textId="167862EF" w:rsidR="007F57FF" w:rsidRDefault="007F57FF" w:rsidP="007F57FF">
            <w:pPr>
              <w:jc w:val="both"/>
              <w:rPr>
                <w:iCs/>
                <w:sz w:val="24"/>
                <w:szCs w:val="24"/>
              </w:rPr>
            </w:pPr>
            <w:r w:rsidRPr="007F57FF">
              <w:rPr>
                <w:iCs/>
                <w:sz w:val="24"/>
                <w:szCs w:val="24"/>
              </w:rPr>
              <w:t xml:space="preserve">Underpinning effective safeguarding practice in Wales the </w:t>
            </w:r>
            <w:r w:rsidRPr="001B2461">
              <w:rPr>
                <w:i/>
                <w:sz w:val="24"/>
                <w:szCs w:val="24"/>
              </w:rPr>
              <w:t>SSWB(W)A 2014</w:t>
            </w:r>
            <w:r w:rsidRPr="007F57FF">
              <w:rPr>
                <w:iCs/>
                <w:sz w:val="24"/>
                <w:szCs w:val="24"/>
              </w:rPr>
              <w:t xml:space="preserve"> and the relevant guidance ‘Working together to safeguard people: volume 6 handling individual cases to protect adults at risk’</w:t>
            </w:r>
            <w:r w:rsidR="001B2461">
              <w:rPr>
                <w:iCs/>
                <w:sz w:val="24"/>
                <w:szCs w:val="24"/>
              </w:rPr>
              <w:t xml:space="preserve"> (Welsh Government 2018)</w:t>
            </w:r>
            <w:r w:rsidRPr="007F57FF">
              <w:rPr>
                <w:iCs/>
                <w:sz w:val="24"/>
                <w:szCs w:val="24"/>
              </w:rPr>
              <w:t xml:space="preserve"> outlines the two main principles. Firstly, that safeguarding is the responsibility of everyone, and secondly, that it should be undertaken with a person-centred approach, and that in applying this knowledge to client 2 it’s important to approach the meeting with a view of placing her central to the interview and assessment, and to work in partnership with her to ascertain her views, wishes, and personal outcomes. As argued by Sieminski </w:t>
            </w:r>
            <w:r w:rsidR="00F5411F">
              <w:rPr>
                <w:iCs/>
                <w:sz w:val="24"/>
                <w:szCs w:val="24"/>
              </w:rPr>
              <w:t>(2013</w:t>
            </w:r>
            <w:r w:rsidR="003C751A">
              <w:rPr>
                <w:iCs/>
                <w:sz w:val="24"/>
                <w:szCs w:val="24"/>
              </w:rPr>
              <w:t>, p267-2</w:t>
            </w:r>
            <w:r w:rsidR="00652CE8">
              <w:rPr>
                <w:iCs/>
                <w:sz w:val="24"/>
                <w:szCs w:val="24"/>
              </w:rPr>
              <w:t>73</w:t>
            </w:r>
            <w:r w:rsidR="00F5411F">
              <w:rPr>
                <w:iCs/>
                <w:sz w:val="24"/>
                <w:szCs w:val="24"/>
              </w:rPr>
              <w:t>)</w:t>
            </w:r>
            <w:r w:rsidRPr="007F57FF">
              <w:rPr>
                <w:iCs/>
                <w:sz w:val="24"/>
                <w:szCs w:val="24"/>
              </w:rPr>
              <w:t xml:space="preserve">, to promote a person-centred approach to assessment encompasses the use of an exchange model to interviewing along with using non-verbal communication, which both demonstrate that the social worker is paying attention and encouraging a service user to participate in the assessment process. In applying my knowledge into practice, I wanted to ensure that client 2 was at the centre of the assessment and interview, but also that they felt safe and secure to disclose information which may have been traumatic. However, I was mindful of the purpose of the meeting was to gather information to contribute towards the safeguarding and criminal investigation, and that this objective had the potential to conflict with building a trusting relationship with client 2 to empower her to disclose information, presenting as an ethical dilemma. To reduce the risk of the situation becoming conflicting I ensured at the beginning of the meeting to explain to client 2 our professional roles and responsibilities, the purpose of the meeting, and the safeguarding </w:t>
            </w:r>
            <w:r w:rsidRPr="007F57FF">
              <w:rPr>
                <w:iCs/>
                <w:sz w:val="24"/>
                <w:szCs w:val="24"/>
              </w:rPr>
              <w:lastRenderedPageBreak/>
              <w:t>process. Reflecting if this was successful, I found that in being honest with client 2 aided in building trust within the meeting and supported us to work collaboratively throughout the process, which also upheld my COPP 2017</w:t>
            </w:r>
            <w:r w:rsidR="00FC2385">
              <w:rPr>
                <w:iCs/>
                <w:sz w:val="24"/>
                <w:szCs w:val="24"/>
              </w:rPr>
              <w:t xml:space="preserve"> (Social Care Wales 2017)</w:t>
            </w:r>
            <w:r w:rsidRPr="007F57FF">
              <w:rPr>
                <w:iCs/>
                <w:sz w:val="24"/>
                <w:szCs w:val="24"/>
              </w:rPr>
              <w:t xml:space="preserve"> in promoting trust in the profession. </w:t>
            </w:r>
          </w:p>
          <w:p w14:paraId="6D5A21CB" w14:textId="77777777" w:rsidR="00F140BA" w:rsidRPr="007F57FF" w:rsidRDefault="00F140BA" w:rsidP="007F57FF">
            <w:pPr>
              <w:jc w:val="both"/>
              <w:rPr>
                <w:iCs/>
                <w:sz w:val="24"/>
                <w:szCs w:val="24"/>
              </w:rPr>
            </w:pPr>
          </w:p>
          <w:p w14:paraId="1FBCDBAD" w14:textId="04B19786" w:rsidR="007F57FF" w:rsidRDefault="007F57FF" w:rsidP="007F57FF">
            <w:pPr>
              <w:jc w:val="both"/>
              <w:rPr>
                <w:iCs/>
                <w:sz w:val="24"/>
                <w:szCs w:val="24"/>
              </w:rPr>
            </w:pPr>
            <w:r w:rsidRPr="007F57FF">
              <w:rPr>
                <w:iCs/>
                <w:sz w:val="24"/>
                <w:szCs w:val="24"/>
              </w:rPr>
              <w:t xml:space="preserve">As highlighted by Sieminski </w:t>
            </w:r>
            <w:r w:rsidR="00462AF8">
              <w:rPr>
                <w:iCs/>
                <w:sz w:val="24"/>
                <w:szCs w:val="24"/>
              </w:rPr>
              <w:t>(</w:t>
            </w:r>
            <w:r w:rsidRPr="007F57FF">
              <w:rPr>
                <w:iCs/>
                <w:sz w:val="24"/>
                <w:szCs w:val="24"/>
              </w:rPr>
              <w:t>2013</w:t>
            </w:r>
            <w:r w:rsidR="006B0FFB">
              <w:rPr>
                <w:iCs/>
                <w:sz w:val="24"/>
                <w:szCs w:val="24"/>
              </w:rPr>
              <w:t>, p</w:t>
            </w:r>
            <w:r w:rsidR="003C751A">
              <w:rPr>
                <w:iCs/>
                <w:sz w:val="24"/>
                <w:szCs w:val="24"/>
              </w:rPr>
              <w:t>267-273</w:t>
            </w:r>
            <w:r w:rsidR="00462AF8">
              <w:rPr>
                <w:iCs/>
                <w:sz w:val="24"/>
                <w:szCs w:val="24"/>
              </w:rPr>
              <w:t>)</w:t>
            </w:r>
            <w:r w:rsidRPr="007F57FF">
              <w:rPr>
                <w:iCs/>
                <w:sz w:val="24"/>
                <w:szCs w:val="24"/>
              </w:rPr>
              <w:t xml:space="preserve">, non-verbal communication is important in delivering a person-centred approach within a meeting. Reflecting on my skills of using non-verbal communication in this meeting, I chose to sit opposite client 2 so that the investigating officer and I were seated in her eyeline as I was aware of her limited range of movement, and I didn’t wish to make client 2 experience any physical discomfort. Reflecting on the seating arrangements </w:t>
            </w:r>
            <w:r w:rsidR="00736025">
              <w:rPr>
                <w:iCs/>
                <w:sz w:val="24"/>
                <w:szCs w:val="24"/>
              </w:rPr>
              <w:t>in using</w:t>
            </w:r>
            <w:r w:rsidRPr="007F57FF">
              <w:rPr>
                <w:iCs/>
                <w:sz w:val="24"/>
                <w:szCs w:val="24"/>
              </w:rPr>
              <w:t xml:space="preserve"> my professional judgement in choosing where to position myself I believe that this worked well as client 2 was able to participate in the meeting for the full duration and didn’t express that she was experiencing any discomfort, and I found that this benefited the collaborative process. I was also mindful of my body language, tone of voice, and eye contact, as I wanted to ensure that I upheld my COPP 2017</w:t>
            </w:r>
            <w:r w:rsidR="00462AF8">
              <w:rPr>
                <w:iCs/>
                <w:sz w:val="24"/>
                <w:szCs w:val="24"/>
              </w:rPr>
              <w:t xml:space="preserve"> (Social Care Wales 2017)</w:t>
            </w:r>
            <w:r w:rsidRPr="007F57FF">
              <w:rPr>
                <w:iCs/>
                <w:sz w:val="24"/>
                <w:szCs w:val="24"/>
              </w:rPr>
              <w:t xml:space="preserve"> and conducted myself with an anti-discriminatory and non-judgemental manner, as I was concerned with my non-verbal responses upon hearing information on the way she had been harmed by the alleged perpetrator. I was mindful that I didn’t want my reactions to add to the difficulties that she may have been experiencing in recalling the event. In relation to my non-verbal communication, I found that by maintaining eye contact, nodding, and presenting myself in an open manner by not crossing my arms and sitting upright demonstrated that I was listening and aided in building confidence and partnership working within the meeting. I also believe having an awareness of my non-verbal communication skills and tone of speech and pace within this meeting aided me in being able to maintain my professionalism in what could be considered a difficult meeting in listening and responding to a disclosure of abuse.</w:t>
            </w:r>
          </w:p>
          <w:p w14:paraId="54CDD37E" w14:textId="77777777" w:rsidR="00736025" w:rsidRPr="007F57FF" w:rsidRDefault="00736025" w:rsidP="007F57FF">
            <w:pPr>
              <w:jc w:val="both"/>
              <w:rPr>
                <w:iCs/>
                <w:sz w:val="24"/>
                <w:szCs w:val="24"/>
              </w:rPr>
            </w:pPr>
          </w:p>
          <w:p w14:paraId="2B442CDA" w14:textId="2FD72D23" w:rsidR="007F57FF" w:rsidRDefault="007F57FF" w:rsidP="007F57FF">
            <w:pPr>
              <w:jc w:val="both"/>
              <w:rPr>
                <w:iCs/>
                <w:sz w:val="24"/>
                <w:szCs w:val="24"/>
              </w:rPr>
            </w:pPr>
            <w:r w:rsidRPr="007F57FF">
              <w:rPr>
                <w:iCs/>
                <w:sz w:val="24"/>
                <w:szCs w:val="24"/>
              </w:rPr>
              <w:t xml:space="preserve">With Sieminski’s </w:t>
            </w:r>
            <w:r w:rsidR="00456350">
              <w:rPr>
                <w:iCs/>
                <w:sz w:val="24"/>
                <w:szCs w:val="24"/>
              </w:rPr>
              <w:t>(</w:t>
            </w:r>
            <w:r w:rsidRPr="007F57FF">
              <w:rPr>
                <w:iCs/>
                <w:sz w:val="24"/>
                <w:szCs w:val="24"/>
              </w:rPr>
              <w:t>2013</w:t>
            </w:r>
            <w:r w:rsidR="00652CE8">
              <w:rPr>
                <w:iCs/>
                <w:sz w:val="24"/>
                <w:szCs w:val="24"/>
              </w:rPr>
              <w:t>, p267-273</w:t>
            </w:r>
            <w:r w:rsidR="00456350">
              <w:rPr>
                <w:iCs/>
                <w:sz w:val="24"/>
                <w:szCs w:val="24"/>
              </w:rPr>
              <w:t>)</w:t>
            </w:r>
            <w:r w:rsidRPr="007F57FF">
              <w:rPr>
                <w:iCs/>
                <w:sz w:val="24"/>
                <w:szCs w:val="24"/>
              </w:rPr>
              <w:t xml:space="preserve"> writings in mind, in applying the exchange model to undertake the investigation and assessment, although the aim was to promote a two-way exchange of information, I was mindful not to use any leading or closed questions. As argued by Koprowska</w:t>
            </w:r>
            <w:r w:rsidR="00456350">
              <w:rPr>
                <w:iCs/>
                <w:sz w:val="24"/>
                <w:szCs w:val="24"/>
              </w:rPr>
              <w:t xml:space="preserve"> (2010</w:t>
            </w:r>
            <w:r w:rsidR="00923038">
              <w:rPr>
                <w:iCs/>
                <w:sz w:val="24"/>
                <w:szCs w:val="24"/>
              </w:rPr>
              <w:t>, p85</w:t>
            </w:r>
            <w:r w:rsidR="00456350">
              <w:rPr>
                <w:iCs/>
                <w:sz w:val="24"/>
                <w:szCs w:val="24"/>
              </w:rPr>
              <w:t>)</w:t>
            </w:r>
            <w:r w:rsidRPr="007F57FF">
              <w:rPr>
                <w:iCs/>
                <w:sz w:val="24"/>
                <w:szCs w:val="24"/>
              </w:rPr>
              <w:t xml:space="preserve"> in using leading questions there’s a risk that I’d coerce client 2 into agreement with my questions, and I wanted to ensure that we were able to gather evidence of the alleged incident without putting our interpretation of events or feelings as suggestions to enable us to analyse the information and make professional judgements on the next steps to be taken. As such I decided that the appropriate style of questioning to use was that of open focused questions such as ‘where did the incident take place?’ to enable a two-way exchange of information which was focused on the actions leading to the alleged incident, the incident itself, and the actions that followed. I believe that this worked well, as we were able to focus on the aim of the meeting and gather client 2’s version of events and she provided further context to the incident than what was detailed in the original report. I found that using this style of questioning not only promoted a person-centred approach, reinforcing that client 2 was the expert in their life, but I also found that it enabled us to work in partnership to ascertain her views on the situation and outcomes moving forward and apply analysis into assessment and professional judgement to these. </w:t>
            </w:r>
          </w:p>
          <w:p w14:paraId="67186AA3" w14:textId="77777777" w:rsidR="00D144D0" w:rsidRPr="007F57FF" w:rsidRDefault="00D144D0" w:rsidP="007F57FF">
            <w:pPr>
              <w:jc w:val="both"/>
              <w:rPr>
                <w:iCs/>
                <w:sz w:val="24"/>
                <w:szCs w:val="24"/>
              </w:rPr>
            </w:pPr>
          </w:p>
          <w:p w14:paraId="71797917" w14:textId="152E616F" w:rsidR="007F57FF" w:rsidRDefault="007F57FF" w:rsidP="007F57FF">
            <w:pPr>
              <w:jc w:val="both"/>
              <w:rPr>
                <w:iCs/>
                <w:sz w:val="24"/>
                <w:szCs w:val="24"/>
              </w:rPr>
            </w:pPr>
            <w:r w:rsidRPr="007F57FF">
              <w:rPr>
                <w:iCs/>
                <w:sz w:val="24"/>
                <w:szCs w:val="24"/>
              </w:rPr>
              <w:t xml:space="preserve">The United Nations, which is the largest intergovernmental organisation in the world, presents the standard for achievement on people’s human rights globally with the Universal Declaration </w:t>
            </w:r>
            <w:r w:rsidRPr="007F57FF">
              <w:rPr>
                <w:iCs/>
                <w:sz w:val="24"/>
                <w:szCs w:val="24"/>
              </w:rPr>
              <w:lastRenderedPageBreak/>
              <w:t>on Human Rights 1948 (</w:t>
            </w:r>
            <w:r w:rsidRPr="00A37330">
              <w:rPr>
                <w:i/>
                <w:sz w:val="24"/>
                <w:szCs w:val="24"/>
              </w:rPr>
              <w:t>UDHR</w:t>
            </w:r>
            <w:r w:rsidR="00A37330" w:rsidRPr="00A37330">
              <w:rPr>
                <w:i/>
                <w:sz w:val="24"/>
                <w:szCs w:val="24"/>
              </w:rPr>
              <w:t xml:space="preserve"> 1948</w:t>
            </w:r>
            <w:r w:rsidRPr="007F57FF">
              <w:rPr>
                <w:iCs/>
                <w:sz w:val="24"/>
                <w:szCs w:val="24"/>
              </w:rPr>
              <w:t>). In line with this declaration the United Kingdom’s (UK) implementation of these standards is the Human Rights Act 1998 (</w:t>
            </w:r>
            <w:r w:rsidRPr="004450A9">
              <w:rPr>
                <w:i/>
                <w:sz w:val="24"/>
                <w:szCs w:val="24"/>
              </w:rPr>
              <w:t>HRA</w:t>
            </w:r>
            <w:r w:rsidR="004450A9" w:rsidRPr="004450A9">
              <w:rPr>
                <w:i/>
                <w:sz w:val="24"/>
                <w:szCs w:val="24"/>
              </w:rPr>
              <w:t xml:space="preserve"> 1998</w:t>
            </w:r>
            <w:r w:rsidRPr="007F57FF">
              <w:rPr>
                <w:iCs/>
                <w:sz w:val="24"/>
                <w:szCs w:val="24"/>
              </w:rPr>
              <w:t xml:space="preserve">). In applying the </w:t>
            </w:r>
            <w:r w:rsidRPr="00D65043">
              <w:rPr>
                <w:i/>
                <w:sz w:val="24"/>
                <w:szCs w:val="24"/>
              </w:rPr>
              <w:t>HRA 1998</w:t>
            </w:r>
            <w:r w:rsidRPr="007F57FF">
              <w:rPr>
                <w:iCs/>
                <w:sz w:val="24"/>
                <w:szCs w:val="24"/>
              </w:rPr>
              <w:t xml:space="preserve"> to client 2, article 3 establishes that everyone has the right not to be subjected to degrading or inhuman punishment or treatment, and as such client 2 had the right to reside in the care home without fear of being subjected to abuse. During the investigation and assessment process client 2 advised that although she was assaulted which resulted in an assessment in hospital, she didn’t sustain damage to her medical equipment implanted in her head and was of the view that she wasn’t harmed intentionally. Client 2 expressed that she was understanding that the residential home was registered predominantly for people with dementia and informed us that the person who harmed her was experiencing an advanced dementia and the incident was accidental. As such client 2 expressed that she didn’t wish for criminal proceedings to be pursued. There was no cause to suspect that client 2 lacked mental capacity under the Mental Capacity Act 2005 (</w:t>
            </w:r>
            <w:r w:rsidRPr="00106110">
              <w:rPr>
                <w:i/>
                <w:sz w:val="24"/>
                <w:szCs w:val="24"/>
              </w:rPr>
              <w:t>MCA 2005</w:t>
            </w:r>
            <w:r w:rsidRPr="007F57FF">
              <w:rPr>
                <w:iCs/>
                <w:sz w:val="24"/>
                <w:szCs w:val="24"/>
              </w:rPr>
              <w:t xml:space="preserve">), therefore client 2 has the right to make decisions for themselves, even if they’re considered unwise by others. In analysing the information provided by client 2 of the incident, and applying our professional judgement to the evidence gathered the investigating officer agreed with her request not to prosecute, advising that it's also not in the public interest, and I agreed. In discussing the actions after the incident, client 2 advised that she felt she was not believed by staff in the care home as the event was not witnessed by them, but that she was moved to the ground floor and no longer came into contact with the alleged perpetrator. In disclosing this information during the meeting, I believe that this reflected the trust and confidence that client 2 had gained with us as professionals, which reflected that we have achieved positive collaborative working within the interview and assessment. As argued by </w:t>
            </w:r>
            <w:r w:rsidR="00025F83">
              <w:rPr>
                <w:iCs/>
                <w:sz w:val="24"/>
                <w:szCs w:val="24"/>
              </w:rPr>
              <w:t>Gorman</w:t>
            </w:r>
            <w:r w:rsidR="0066490A">
              <w:rPr>
                <w:iCs/>
                <w:sz w:val="24"/>
                <w:szCs w:val="24"/>
              </w:rPr>
              <w:t xml:space="preserve"> (2009, p94)</w:t>
            </w:r>
            <w:r w:rsidRPr="007F57FF">
              <w:rPr>
                <w:iCs/>
                <w:sz w:val="24"/>
                <w:szCs w:val="24"/>
              </w:rPr>
              <w:t xml:space="preserve"> without good practice and collaboration research has demonstrated that if an older person has experienced poor service or experiences, they are likely not to express their concerns</w:t>
            </w:r>
            <w:r w:rsidR="002D4C15">
              <w:rPr>
                <w:iCs/>
                <w:sz w:val="24"/>
                <w:szCs w:val="24"/>
              </w:rPr>
              <w:t xml:space="preserve"> </w:t>
            </w:r>
            <w:r w:rsidR="002D4C15" w:rsidRPr="002D4C15">
              <w:rPr>
                <w:iCs/>
                <w:sz w:val="24"/>
                <w:szCs w:val="24"/>
              </w:rPr>
              <w:t>(Adams, Dominelli and Payne, 2009)</w:t>
            </w:r>
            <w:r w:rsidRPr="007F57FF">
              <w:rPr>
                <w:iCs/>
                <w:sz w:val="24"/>
                <w:szCs w:val="24"/>
              </w:rPr>
              <w:t xml:space="preserve">. </w:t>
            </w:r>
          </w:p>
          <w:p w14:paraId="10C4566A" w14:textId="77777777" w:rsidR="00D144D0" w:rsidRPr="007F57FF" w:rsidRDefault="00D144D0" w:rsidP="007F57FF">
            <w:pPr>
              <w:jc w:val="both"/>
              <w:rPr>
                <w:iCs/>
                <w:sz w:val="24"/>
                <w:szCs w:val="24"/>
              </w:rPr>
            </w:pPr>
          </w:p>
          <w:p w14:paraId="5C2755A6" w14:textId="6D54E2DE" w:rsidR="007F57FF" w:rsidRDefault="007F57FF" w:rsidP="007F57FF">
            <w:pPr>
              <w:jc w:val="both"/>
              <w:rPr>
                <w:iCs/>
                <w:sz w:val="24"/>
                <w:szCs w:val="24"/>
              </w:rPr>
            </w:pPr>
            <w:r w:rsidRPr="007F57FF">
              <w:rPr>
                <w:iCs/>
                <w:sz w:val="24"/>
                <w:szCs w:val="24"/>
              </w:rPr>
              <w:t>Wales Safeguarding Procedures</w:t>
            </w:r>
            <w:r w:rsidR="00EC3D79">
              <w:rPr>
                <w:iCs/>
                <w:sz w:val="24"/>
                <w:szCs w:val="24"/>
              </w:rPr>
              <w:t xml:space="preserve"> </w:t>
            </w:r>
            <w:r w:rsidRPr="007F57FF">
              <w:rPr>
                <w:iCs/>
                <w:sz w:val="24"/>
                <w:szCs w:val="24"/>
              </w:rPr>
              <w:t>2019</w:t>
            </w:r>
            <w:r w:rsidR="00EC3D79">
              <w:rPr>
                <w:iCs/>
                <w:sz w:val="24"/>
                <w:szCs w:val="24"/>
              </w:rPr>
              <w:t xml:space="preserve"> (</w:t>
            </w:r>
            <w:r w:rsidR="00A42597">
              <w:rPr>
                <w:iCs/>
                <w:sz w:val="24"/>
                <w:szCs w:val="24"/>
              </w:rPr>
              <w:t>Welsh Government 2024)</w:t>
            </w:r>
            <w:r w:rsidRPr="007F57FF">
              <w:rPr>
                <w:iCs/>
                <w:sz w:val="24"/>
                <w:szCs w:val="24"/>
              </w:rPr>
              <w:t xml:space="preserve"> and the guidance ‘Working together to safeguard people: volume 6 handling individual cases to protect adults at risk’</w:t>
            </w:r>
            <w:r w:rsidR="001B1A1B">
              <w:rPr>
                <w:iCs/>
                <w:sz w:val="24"/>
                <w:szCs w:val="24"/>
              </w:rPr>
              <w:t xml:space="preserve"> (Welsh Government 2018)</w:t>
            </w:r>
            <w:r w:rsidRPr="007F57FF">
              <w:rPr>
                <w:iCs/>
                <w:sz w:val="24"/>
                <w:szCs w:val="24"/>
              </w:rPr>
              <w:t>, highlights procedures in the timescale of reporting a safeguarding incident in that it should be done immediately or within one working day. Reflecting on the disclosure by client 2 that staff didn’t believe her, led me to question if the care home staff were diligent in following safeguarding procedures and if client 2 was subject to discrimination in the home as she was able to advocate for herself. As Penhale and Parker</w:t>
            </w:r>
            <w:r w:rsidR="004D5822">
              <w:rPr>
                <w:iCs/>
                <w:sz w:val="24"/>
                <w:szCs w:val="24"/>
              </w:rPr>
              <w:t xml:space="preserve"> </w:t>
            </w:r>
            <w:r w:rsidR="00FC08D9">
              <w:rPr>
                <w:iCs/>
                <w:sz w:val="24"/>
                <w:szCs w:val="24"/>
              </w:rPr>
              <w:t>argue</w:t>
            </w:r>
            <w:r w:rsidRPr="007F57FF">
              <w:rPr>
                <w:iCs/>
                <w:sz w:val="24"/>
                <w:szCs w:val="24"/>
              </w:rPr>
              <w:t xml:space="preserve"> institutional care settings pose an increased risk of abuse when residents experience complex physical difficulties and advanced cognitive impairments which impacts their ability to communicate their needs</w:t>
            </w:r>
            <w:r w:rsidR="004D5822">
              <w:t xml:space="preserve"> </w:t>
            </w:r>
            <w:r w:rsidR="004D5822" w:rsidRPr="004D5822">
              <w:rPr>
                <w:iCs/>
                <w:sz w:val="24"/>
                <w:szCs w:val="24"/>
              </w:rPr>
              <w:t>(Penhale and Parker, 2007</w:t>
            </w:r>
            <w:r w:rsidR="004D5822">
              <w:rPr>
                <w:iCs/>
                <w:sz w:val="24"/>
                <w:szCs w:val="24"/>
              </w:rPr>
              <w:t>, p33</w:t>
            </w:r>
            <w:r w:rsidR="004D5822" w:rsidRPr="004D5822">
              <w:rPr>
                <w:iCs/>
                <w:sz w:val="24"/>
                <w:szCs w:val="24"/>
              </w:rPr>
              <w:t>)</w:t>
            </w:r>
            <w:r w:rsidRPr="007F57FF">
              <w:rPr>
                <w:iCs/>
                <w:sz w:val="24"/>
                <w:szCs w:val="24"/>
              </w:rPr>
              <w:t xml:space="preserve">. They also identify that poor systems within the home setting can increase the risk of abuse either not being detected or act acted on. Applying this knowledge to my analysis and professional judgement I found myself questioning if the care home would have placed the referral to safeguarding if client 2 hadn’t done so, and if other incidents had gone unreported. I found myself facing an ethical dilemma in that we had placed client 2 within this care home setting to be cared for, and yet she’d been the victim of abuse by another resident and was being discriminated against by staff. </w:t>
            </w:r>
          </w:p>
          <w:p w14:paraId="4EEC82D3" w14:textId="77777777" w:rsidR="00302D83" w:rsidRPr="007F57FF" w:rsidRDefault="00302D83" w:rsidP="007F57FF">
            <w:pPr>
              <w:jc w:val="both"/>
              <w:rPr>
                <w:iCs/>
                <w:sz w:val="24"/>
                <w:szCs w:val="24"/>
              </w:rPr>
            </w:pPr>
          </w:p>
          <w:p w14:paraId="6C0DA987" w14:textId="55BA6B33" w:rsidR="007F57FF" w:rsidRDefault="007F57FF" w:rsidP="007F57FF">
            <w:pPr>
              <w:jc w:val="both"/>
              <w:rPr>
                <w:iCs/>
                <w:sz w:val="24"/>
                <w:szCs w:val="24"/>
              </w:rPr>
            </w:pPr>
            <w:r w:rsidRPr="007F57FF">
              <w:rPr>
                <w:iCs/>
                <w:sz w:val="24"/>
                <w:szCs w:val="24"/>
              </w:rPr>
              <w:t xml:space="preserve">In addressing the meeting with the provider and my concerns about their processes in the home and potential discrimination I applied my knowledge of PCS Model, which as described </w:t>
            </w:r>
            <w:r w:rsidRPr="007F57FF">
              <w:rPr>
                <w:iCs/>
                <w:sz w:val="24"/>
                <w:szCs w:val="24"/>
              </w:rPr>
              <w:lastRenderedPageBreak/>
              <w:t>by Maclean and Harrison, is a method which would enable me to analyse how oppression would impact upon client 2 in this situation</w:t>
            </w:r>
            <w:r w:rsidR="00491669">
              <w:rPr>
                <w:iCs/>
                <w:sz w:val="24"/>
                <w:szCs w:val="24"/>
              </w:rPr>
              <w:t xml:space="preserve"> </w:t>
            </w:r>
            <w:r w:rsidR="00491669" w:rsidRPr="00491669">
              <w:rPr>
                <w:iCs/>
                <w:sz w:val="24"/>
                <w:szCs w:val="24"/>
              </w:rPr>
              <w:t>(Maclean and Harrison, 2015</w:t>
            </w:r>
            <w:r w:rsidR="00491669">
              <w:rPr>
                <w:iCs/>
                <w:sz w:val="24"/>
                <w:szCs w:val="24"/>
              </w:rPr>
              <w:t>, p</w:t>
            </w:r>
            <w:r w:rsidR="00A576C8">
              <w:rPr>
                <w:iCs/>
                <w:sz w:val="24"/>
                <w:szCs w:val="24"/>
              </w:rPr>
              <w:t>55</w:t>
            </w:r>
            <w:r w:rsidR="00491669" w:rsidRPr="00491669">
              <w:rPr>
                <w:iCs/>
                <w:sz w:val="24"/>
                <w:szCs w:val="24"/>
              </w:rPr>
              <w:t>)</w:t>
            </w:r>
            <w:r w:rsidRPr="007F57FF">
              <w:rPr>
                <w:iCs/>
                <w:sz w:val="24"/>
                <w:szCs w:val="24"/>
              </w:rPr>
              <w:t>. In applying the PCS model</w:t>
            </w:r>
            <w:r w:rsidR="000F66F5">
              <w:rPr>
                <w:iCs/>
                <w:sz w:val="24"/>
                <w:szCs w:val="24"/>
              </w:rPr>
              <w:t xml:space="preserve"> </w:t>
            </w:r>
            <w:r w:rsidR="00D24E65" w:rsidRPr="00D24E65">
              <w:rPr>
                <w:iCs/>
                <w:sz w:val="24"/>
                <w:szCs w:val="24"/>
              </w:rPr>
              <w:t xml:space="preserve">(Maclean and Harrison, 2015, p55) </w:t>
            </w:r>
            <w:r w:rsidRPr="007F57FF">
              <w:rPr>
                <w:iCs/>
                <w:sz w:val="24"/>
                <w:szCs w:val="24"/>
              </w:rPr>
              <w:t xml:space="preserve">to this meeting and looking at the ‘Personal / Psychological’ element, in discussing the safeguarding report both manager and regional manager advised that they were unsure if the incident took place as it was unwitnessed by staff and the other residents had advanced dementia and couldn’t verify the incident. They also made a statement that client 2 placed a safeguarding referral in the last care home that she’d resided in, and that ‘she has done it again’. In relation to ‘Cultural’ </w:t>
            </w:r>
            <w:r w:rsidR="00D24E65" w:rsidRPr="00D24E65">
              <w:rPr>
                <w:iCs/>
                <w:sz w:val="24"/>
                <w:szCs w:val="24"/>
              </w:rPr>
              <w:t xml:space="preserve">(Maclean and Harrison, 2015, p55) </w:t>
            </w:r>
            <w:r w:rsidRPr="007F57FF">
              <w:rPr>
                <w:iCs/>
                <w:sz w:val="24"/>
                <w:szCs w:val="24"/>
              </w:rPr>
              <w:t>the care home environment was a dementia care home, and as client 2 didn’t experience a cognitive impairment, she wouldn’t have conformed with their typical client group which placed her at risk of being segregated. In looking at the ‘Structural’</w:t>
            </w:r>
            <w:r w:rsidR="00D24E65">
              <w:rPr>
                <w:iCs/>
                <w:sz w:val="24"/>
                <w:szCs w:val="24"/>
              </w:rPr>
              <w:t xml:space="preserve"> </w:t>
            </w:r>
            <w:r w:rsidR="00D24E65" w:rsidRPr="00D24E65">
              <w:rPr>
                <w:iCs/>
                <w:sz w:val="24"/>
                <w:szCs w:val="24"/>
              </w:rPr>
              <w:t xml:space="preserve">(Maclean and Harrison, 2015, p55) </w:t>
            </w:r>
            <w:r w:rsidRPr="007F57FF">
              <w:rPr>
                <w:iCs/>
                <w:sz w:val="24"/>
                <w:szCs w:val="24"/>
              </w:rPr>
              <w:t>element I observed there to be power dynamics in that as an institution the care home attempted to assert their power onto the situation by suggesting that they served notice on client 2 to pressurise the local authority to source another service provision. Reflecting on applying this theory in practice I found that it aided in applying my professional judgement in that I felt client 2 was being discriminated against as they were aware that she’d previously raised concerns about practice in another care home and wanted to assert their power to evict her from the care home.</w:t>
            </w:r>
          </w:p>
          <w:p w14:paraId="25420344" w14:textId="77777777" w:rsidR="00302D83" w:rsidRPr="007F57FF" w:rsidRDefault="00302D83" w:rsidP="007F57FF">
            <w:pPr>
              <w:jc w:val="both"/>
              <w:rPr>
                <w:iCs/>
                <w:sz w:val="24"/>
                <w:szCs w:val="24"/>
              </w:rPr>
            </w:pPr>
          </w:p>
          <w:p w14:paraId="632D9348" w14:textId="76F11CB1" w:rsidR="007F57FF" w:rsidRDefault="007F57FF" w:rsidP="007F57FF">
            <w:pPr>
              <w:jc w:val="both"/>
              <w:rPr>
                <w:iCs/>
                <w:sz w:val="24"/>
                <w:szCs w:val="24"/>
              </w:rPr>
            </w:pPr>
            <w:r w:rsidRPr="007F57FF">
              <w:rPr>
                <w:iCs/>
                <w:sz w:val="24"/>
                <w:szCs w:val="24"/>
              </w:rPr>
              <w:t>Safeguarding guidance details that a care home environment should promote people’s welfare and treat them with dignity and respect (Working together to safeguard people: volume 6 handling individual cases to protect adults at risk</w:t>
            </w:r>
            <w:r w:rsidR="009B53FE">
              <w:rPr>
                <w:iCs/>
                <w:sz w:val="24"/>
                <w:szCs w:val="24"/>
              </w:rPr>
              <w:t xml:space="preserve">. </w:t>
            </w:r>
            <w:r w:rsidR="0021514F">
              <w:rPr>
                <w:iCs/>
                <w:sz w:val="24"/>
                <w:szCs w:val="24"/>
              </w:rPr>
              <w:t>Welsh Government 2018</w:t>
            </w:r>
            <w:r w:rsidRPr="007F57FF">
              <w:rPr>
                <w:iCs/>
                <w:sz w:val="24"/>
                <w:szCs w:val="24"/>
              </w:rPr>
              <w:t>). Reflecting on this I didn’t believe that this was the case in this situation, however, I wanted to promote a positive working relationship with the provider to achieve client 2’s outcome of being protected whilst in their care setting, and also to identify if there was poor practice in the home to reduce the risk of institutional abuse. The Regional Adult Safeguarding Threshold Guidance 2018 published by Cwmpas</w:t>
            </w:r>
            <w:r w:rsidR="0024250A">
              <w:rPr>
                <w:iCs/>
                <w:sz w:val="24"/>
                <w:szCs w:val="24"/>
              </w:rPr>
              <w:t xml:space="preserve"> (Cysur 2024)</w:t>
            </w:r>
            <w:r w:rsidRPr="007F57FF">
              <w:rPr>
                <w:iCs/>
                <w:sz w:val="24"/>
                <w:szCs w:val="24"/>
              </w:rPr>
              <w:t xml:space="preserve">, which is the Mid and West Wales Safeguarding Adult Board for the area I’m located explores that ‘poor practice’ relates to the standards and quality of a service delivery and that if it becomes reoccurring this constitutes safeguarding procedures being instigated as this is an indicator that there could be institutional abuse. Reflecting on this I was aware that as Cranmer </w:t>
            </w:r>
            <w:r w:rsidR="00E444A7">
              <w:rPr>
                <w:iCs/>
                <w:sz w:val="24"/>
                <w:szCs w:val="24"/>
              </w:rPr>
              <w:t>(2011</w:t>
            </w:r>
            <w:r w:rsidR="00EF5017">
              <w:rPr>
                <w:iCs/>
                <w:sz w:val="24"/>
                <w:szCs w:val="24"/>
              </w:rPr>
              <w:t>, p154-1</w:t>
            </w:r>
            <w:r w:rsidR="00876D6B">
              <w:rPr>
                <w:iCs/>
                <w:sz w:val="24"/>
                <w:szCs w:val="24"/>
              </w:rPr>
              <w:t>58</w:t>
            </w:r>
            <w:r w:rsidR="00E444A7">
              <w:rPr>
                <w:iCs/>
                <w:sz w:val="24"/>
                <w:szCs w:val="24"/>
              </w:rPr>
              <w:t>)</w:t>
            </w:r>
            <w:r w:rsidR="00F00F46">
              <w:rPr>
                <w:iCs/>
                <w:sz w:val="24"/>
                <w:szCs w:val="24"/>
              </w:rPr>
              <w:t xml:space="preserve"> </w:t>
            </w:r>
            <w:r w:rsidRPr="007F57FF">
              <w:rPr>
                <w:iCs/>
                <w:sz w:val="24"/>
                <w:szCs w:val="24"/>
              </w:rPr>
              <w:t>writes collaborative working with other professionals promotes safeguarding protection for vulnerable individuals, therefore I wanted to ensure that we developed a shared understanding of the situation to work collaboratively moving forward without conflict</w:t>
            </w:r>
            <w:r w:rsidR="000433B1">
              <w:rPr>
                <w:iCs/>
                <w:sz w:val="24"/>
                <w:szCs w:val="24"/>
              </w:rPr>
              <w:t xml:space="preserve"> </w:t>
            </w:r>
            <w:r w:rsidR="000433B1" w:rsidRPr="000433B1">
              <w:rPr>
                <w:iCs/>
                <w:sz w:val="24"/>
                <w:szCs w:val="24"/>
              </w:rPr>
              <w:t>(Mantell and Scragg, 2011)</w:t>
            </w:r>
            <w:r w:rsidRPr="007F57FF">
              <w:rPr>
                <w:iCs/>
                <w:sz w:val="24"/>
                <w:szCs w:val="24"/>
              </w:rPr>
              <w:t xml:space="preserve">. Putting this into practice I found using my knowledge of my professional role, demonstrating my willingness to work with them, and being clear in the expectations of information required, enabled to me professionally challenge them by asking open honest questions in relation to their practice and reporting procedures and how these could be improved upon. Reflecting on applying these skills to promote working collaboratively I believe that it was successful as we established that the care home had acted immediately to reduce the risk of further incidents by separating the clients onto different floors, however, in their reporting it transpired that they had incorrect contact numbers for departments within the local authority which caused delays in the report being received. In working collaboratively, I learnt that this enabled a two-way exchange of information in relation to supporting client 2 to remain in the care home until an alternative service provision was sourced and she was not issued with an eviction notice, and it also allowed me to address the potential discrimination she </w:t>
            </w:r>
            <w:r w:rsidRPr="007F57FF">
              <w:rPr>
                <w:iCs/>
                <w:sz w:val="24"/>
                <w:szCs w:val="24"/>
              </w:rPr>
              <w:lastRenderedPageBreak/>
              <w:t>faced. In using the information gathered during the investigation process, it led to an open discussion being held within a strategy meeting with the provider, police, safeguarding and myself. The outcome being as described by Cwmpas as ‘preventative support’ via the local authorities commissioning department to work alongside the provider with their safeguarding procedures</w:t>
            </w:r>
            <w:r w:rsidR="00DE03B2">
              <w:rPr>
                <w:iCs/>
                <w:sz w:val="24"/>
                <w:szCs w:val="24"/>
              </w:rPr>
              <w:t xml:space="preserve"> (Cysur</w:t>
            </w:r>
            <w:r w:rsidR="00C27DC8">
              <w:rPr>
                <w:iCs/>
                <w:sz w:val="24"/>
                <w:szCs w:val="24"/>
              </w:rPr>
              <w:t xml:space="preserve"> 2024)</w:t>
            </w:r>
            <w:r w:rsidRPr="007F57FF">
              <w:rPr>
                <w:iCs/>
                <w:sz w:val="24"/>
                <w:szCs w:val="24"/>
              </w:rPr>
              <w:t>. Additionally, the case concluded with client 2 returning to home shortly after the meeting, with a package of care whilst awaiting rehousing.</w:t>
            </w:r>
          </w:p>
          <w:p w14:paraId="2BDA2665" w14:textId="77777777" w:rsidR="002A64BB" w:rsidRPr="007F57FF" w:rsidRDefault="002A64BB" w:rsidP="007F57FF">
            <w:pPr>
              <w:jc w:val="both"/>
              <w:rPr>
                <w:iCs/>
                <w:sz w:val="24"/>
                <w:szCs w:val="24"/>
              </w:rPr>
            </w:pPr>
          </w:p>
          <w:p w14:paraId="09225F6E" w14:textId="5C43CE26" w:rsidR="007F57FF" w:rsidRDefault="007F57FF" w:rsidP="007F57FF">
            <w:pPr>
              <w:jc w:val="both"/>
              <w:rPr>
                <w:iCs/>
                <w:sz w:val="24"/>
                <w:szCs w:val="24"/>
              </w:rPr>
            </w:pPr>
            <w:r w:rsidRPr="007F57FF">
              <w:rPr>
                <w:iCs/>
                <w:sz w:val="24"/>
                <w:szCs w:val="24"/>
              </w:rPr>
              <w:t>In conclusion, reflecting upon the case study client 2 met the legislative definition of an adult at risk, and it was an appropriate action to place a safeguarding referral and instigate enquiries. In using a person-centred approach, as per safeguarding guidelines, along with the exchange model of assessment and being mindful of my communication skills, I learnt that this promoted collaborative workin</w:t>
            </w:r>
            <w:r w:rsidR="00442F86">
              <w:rPr>
                <w:iCs/>
                <w:sz w:val="24"/>
                <w:szCs w:val="24"/>
              </w:rPr>
              <w:t xml:space="preserve">g </w:t>
            </w:r>
            <w:r w:rsidRPr="007F57FF">
              <w:rPr>
                <w:iCs/>
                <w:sz w:val="24"/>
                <w:szCs w:val="24"/>
              </w:rPr>
              <w:t>to achieve a two-way exchange of information which I was able to use to apply my analysis into assessment and professional judgment. I found that crisis intervention aided in preparing me for the meeting and that the response from client 2 could be emotional and challenging, and that applying PCS model</w:t>
            </w:r>
            <w:r w:rsidR="00883552">
              <w:t xml:space="preserve"> </w:t>
            </w:r>
            <w:r w:rsidR="00883552" w:rsidRPr="00883552">
              <w:rPr>
                <w:iCs/>
                <w:sz w:val="24"/>
                <w:szCs w:val="24"/>
              </w:rPr>
              <w:t>(Maclean and Harrison, 2015</w:t>
            </w:r>
            <w:r w:rsidR="00D14BE4">
              <w:rPr>
                <w:iCs/>
                <w:sz w:val="24"/>
                <w:szCs w:val="24"/>
              </w:rPr>
              <w:t>, p55</w:t>
            </w:r>
            <w:r w:rsidR="00883552" w:rsidRPr="00883552">
              <w:rPr>
                <w:iCs/>
                <w:sz w:val="24"/>
                <w:szCs w:val="24"/>
              </w:rPr>
              <w:t>)</w:t>
            </w:r>
            <w:r w:rsidRPr="007F57FF">
              <w:rPr>
                <w:iCs/>
                <w:sz w:val="24"/>
                <w:szCs w:val="24"/>
              </w:rPr>
              <w:t xml:space="preserve"> supported me to address the oppression within a care home environment. Additionally, I’ve learnt that moving forward I need to show consideration to professional judgement in relation to the environment in which a safeguarding meeting with a client takes place to ensure that they feel safe to disclose information.</w:t>
            </w:r>
            <w:r>
              <w:rPr>
                <w:iCs/>
                <w:sz w:val="24"/>
                <w:szCs w:val="24"/>
              </w:rPr>
              <w:t xml:space="preserve"> </w:t>
            </w:r>
          </w:p>
          <w:p w14:paraId="3569F487" w14:textId="77777777" w:rsidR="007F57FF" w:rsidRDefault="007F57FF" w:rsidP="007F57FF">
            <w:pPr>
              <w:jc w:val="both"/>
              <w:rPr>
                <w:iCs/>
                <w:sz w:val="24"/>
                <w:szCs w:val="24"/>
              </w:rPr>
            </w:pPr>
          </w:p>
          <w:p w14:paraId="20370495" w14:textId="24A490EA" w:rsidR="00D3203C" w:rsidRPr="007F57FF" w:rsidRDefault="007F57FF" w:rsidP="007F57FF">
            <w:pPr>
              <w:jc w:val="both"/>
              <w:rPr>
                <w:iCs/>
                <w:sz w:val="24"/>
                <w:szCs w:val="24"/>
              </w:rPr>
            </w:pPr>
            <w:r>
              <w:rPr>
                <w:iCs/>
                <w:sz w:val="24"/>
                <w:szCs w:val="24"/>
              </w:rPr>
              <w:t>Word count: 43</w:t>
            </w:r>
            <w:r w:rsidR="006A3949">
              <w:rPr>
                <w:iCs/>
                <w:sz w:val="24"/>
                <w:szCs w:val="24"/>
              </w:rPr>
              <w:t>8</w:t>
            </w:r>
            <w:r w:rsidR="00391DE5">
              <w:rPr>
                <w:iCs/>
                <w:sz w:val="24"/>
                <w:szCs w:val="24"/>
              </w:rPr>
              <w:t>2</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2F371" w14:textId="77777777" w:rsidR="00D7285F" w:rsidRDefault="00D7285F">
      <w:r>
        <w:separator/>
      </w:r>
    </w:p>
  </w:endnote>
  <w:endnote w:type="continuationSeparator" w:id="0">
    <w:p w14:paraId="7A348651" w14:textId="77777777" w:rsidR="00D7285F" w:rsidRDefault="00D72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92B53" w14:textId="77777777" w:rsidR="00D7285F" w:rsidRDefault="00D7285F">
      <w:r>
        <w:separator/>
      </w:r>
    </w:p>
  </w:footnote>
  <w:footnote w:type="continuationSeparator" w:id="0">
    <w:p w14:paraId="75C5270B" w14:textId="77777777" w:rsidR="00D7285F" w:rsidRDefault="00D728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5F83"/>
    <w:rsid w:val="0002759A"/>
    <w:rsid w:val="00027B1F"/>
    <w:rsid w:val="0003088B"/>
    <w:rsid w:val="000325D9"/>
    <w:rsid w:val="000372B2"/>
    <w:rsid w:val="0004079F"/>
    <w:rsid w:val="000433B1"/>
    <w:rsid w:val="00043543"/>
    <w:rsid w:val="00045B87"/>
    <w:rsid w:val="00045C07"/>
    <w:rsid w:val="00045C40"/>
    <w:rsid w:val="00046861"/>
    <w:rsid w:val="000503AD"/>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2241"/>
    <w:rsid w:val="000A4240"/>
    <w:rsid w:val="000A469A"/>
    <w:rsid w:val="000A584A"/>
    <w:rsid w:val="000A6458"/>
    <w:rsid w:val="000C378F"/>
    <w:rsid w:val="000C6892"/>
    <w:rsid w:val="000C6FFE"/>
    <w:rsid w:val="000D0BB6"/>
    <w:rsid w:val="000D2ED2"/>
    <w:rsid w:val="000D6653"/>
    <w:rsid w:val="000E0681"/>
    <w:rsid w:val="000E0D51"/>
    <w:rsid w:val="000E26B0"/>
    <w:rsid w:val="000E37C2"/>
    <w:rsid w:val="000E38C3"/>
    <w:rsid w:val="000F1599"/>
    <w:rsid w:val="000F1769"/>
    <w:rsid w:val="000F1A97"/>
    <w:rsid w:val="000F42AE"/>
    <w:rsid w:val="000F6196"/>
    <w:rsid w:val="000F66F5"/>
    <w:rsid w:val="000F6BC3"/>
    <w:rsid w:val="0010312C"/>
    <w:rsid w:val="00105026"/>
    <w:rsid w:val="00106110"/>
    <w:rsid w:val="0010662B"/>
    <w:rsid w:val="00106DC7"/>
    <w:rsid w:val="00112391"/>
    <w:rsid w:val="00114F52"/>
    <w:rsid w:val="001277E9"/>
    <w:rsid w:val="00130119"/>
    <w:rsid w:val="00132812"/>
    <w:rsid w:val="001347F8"/>
    <w:rsid w:val="001359EE"/>
    <w:rsid w:val="00137BB5"/>
    <w:rsid w:val="00137E05"/>
    <w:rsid w:val="001447F6"/>
    <w:rsid w:val="00147DE3"/>
    <w:rsid w:val="00150794"/>
    <w:rsid w:val="00151DA6"/>
    <w:rsid w:val="00155688"/>
    <w:rsid w:val="001608C4"/>
    <w:rsid w:val="00164832"/>
    <w:rsid w:val="00167F1B"/>
    <w:rsid w:val="00171418"/>
    <w:rsid w:val="00176624"/>
    <w:rsid w:val="001772BF"/>
    <w:rsid w:val="001772DE"/>
    <w:rsid w:val="0019394E"/>
    <w:rsid w:val="0019496C"/>
    <w:rsid w:val="001961CF"/>
    <w:rsid w:val="001A59BB"/>
    <w:rsid w:val="001A607E"/>
    <w:rsid w:val="001A6A51"/>
    <w:rsid w:val="001A79C4"/>
    <w:rsid w:val="001B1A1B"/>
    <w:rsid w:val="001B2461"/>
    <w:rsid w:val="001B331A"/>
    <w:rsid w:val="001B72C0"/>
    <w:rsid w:val="001C0237"/>
    <w:rsid w:val="001C0E74"/>
    <w:rsid w:val="001C4DB8"/>
    <w:rsid w:val="001C50B8"/>
    <w:rsid w:val="001D229F"/>
    <w:rsid w:val="001E2EB6"/>
    <w:rsid w:val="001F4552"/>
    <w:rsid w:val="002019EB"/>
    <w:rsid w:val="00204B58"/>
    <w:rsid w:val="00205051"/>
    <w:rsid w:val="00211F65"/>
    <w:rsid w:val="00214047"/>
    <w:rsid w:val="0021514F"/>
    <w:rsid w:val="00216563"/>
    <w:rsid w:val="0021792F"/>
    <w:rsid w:val="00220D06"/>
    <w:rsid w:val="002246A0"/>
    <w:rsid w:val="00230439"/>
    <w:rsid w:val="00232A09"/>
    <w:rsid w:val="00235176"/>
    <w:rsid w:val="00236061"/>
    <w:rsid w:val="0024100E"/>
    <w:rsid w:val="00241C1B"/>
    <w:rsid w:val="0024250A"/>
    <w:rsid w:val="0024288B"/>
    <w:rsid w:val="00243DB0"/>
    <w:rsid w:val="00247265"/>
    <w:rsid w:val="00252852"/>
    <w:rsid w:val="00260663"/>
    <w:rsid w:val="002657E9"/>
    <w:rsid w:val="0026665E"/>
    <w:rsid w:val="0027147E"/>
    <w:rsid w:val="002761F4"/>
    <w:rsid w:val="002775E1"/>
    <w:rsid w:val="00277979"/>
    <w:rsid w:val="00291ADD"/>
    <w:rsid w:val="002920DF"/>
    <w:rsid w:val="00292F3D"/>
    <w:rsid w:val="00295CA1"/>
    <w:rsid w:val="002A09DC"/>
    <w:rsid w:val="002A0E51"/>
    <w:rsid w:val="002A1A44"/>
    <w:rsid w:val="002A291A"/>
    <w:rsid w:val="002A2C54"/>
    <w:rsid w:val="002A4A46"/>
    <w:rsid w:val="002A4E2E"/>
    <w:rsid w:val="002A5604"/>
    <w:rsid w:val="002A64BB"/>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4C15"/>
    <w:rsid w:val="002D5A92"/>
    <w:rsid w:val="002D65D2"/>
    <w:rsid w:val="002D6B31"/>
    <w:rsid w:val="002E6D17"/>
    <w:rsid w:val="002E7017"/>
    <w:rsid w:val="002E7F2C"/>
    <w:rsid w:val="002F1FC7"/>
    <w:rsid w:val="002F2185"/>
    <w:rsid w:val="002F4F6E"/>
    <w:rsid w:val="003015C3"/>
    <w:rsid w:val="00302D8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1DE5"/>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C751A"/>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D1"/>
    <w:rsid w:val="00430DE3"/>
    <w:rsid w:val="004348AE"/>
    <w:rsid w:val="004376C0"/>
    <w:rsid w:val="0044223A"/>
    <w:rsid w:val="00442F86"/>
    <w:rsid w:val="004450A9"/>
    <w:rsid w:val="00450B67"/>
    <w:rsid w:val="00451851"/>
    <w:rsid w:val="0045189A"/>
    <w:rsid w:val="00453343"/>
    <w:rsid w:val="004538C3"/>
    <w:rsid w:val="00456350"/>
    <w:rsid w:val="004608B9"/>
    <w:rsid w:val="00462AF8"/>
    <w:rsid w:val="00463B55"/>
    <w:rsid w:val="00465947"/>
    <w:rsid w:val="004667B1"/>
    <w:rsid w:val="00467F66"/>
    <w:rsid w:val="00470461"/>
    <w:rsid w:val="00470BB1"/>
    <w:rsid w:val="00473153"/>
    <w:rsid w:val="0047350F"/>
    <w:rsid w:val="004743AF"/>
    <w:rsid w:val="00482C17"/>
    <w:rsid w:val="00484CE3"/>
    <w:rsid w:val="004911B4"/>
    <w:rsid w:val="00491669"/>
    <w:rsid w:val="0049196A"/>
    <w:rsid w:val="004923DA"/>
    <w:rsid w:val="00492EEB"/>
    <w:rsid w:val="00493434"/>
    <w:rsid w:val="004968E2"/>
    <w:rsid w:val="004A2A49"/>
    <w:rsid w:val="004A5A64"/>
    <w:rsid w:val="004B5553"/>
    <w:rsid w:val="004B600B"/>
    <w:rsid w:val="004B6822"/>
    <w:rsid w:val="004B69F6"/>
    <w:rsid w:val="004C08D4"/>
    <w:rsid w:val="004C2D3A"/>
    <w:rsid w:val="004D03C4"/>
    <w:rsid w:val="004D0BF1"/>
    <w:rsid w:val="004D0F4E"/>
    <w:rsid w:val="004D3278"/>
    <w:rsid w:val="004D35A4"/>
    <w:rsid w:val="004D445F"/>
    <w:rsid w:val="004D5822"/>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357F"/>
    <w:rsid w:val="00594F9F"/>
    <w:rsid w:val="005A1B4C"/>
    <w:rsid w:val="005A545C"/>
    <w:rsid w:val="005B271A"/>
    <w:rsid w:val="005B3A2D"/>
    <w:rsid w:val="005C1567"/>
    <w:rsid w:val="005C28D3"/>
    <w:rsid w:val="005C6CE5"/>
    <w:rsid w:val="005D3F07"/>
    <w:rsid w:val="005D4A1E"/>
    <w:rsid w:val="005D4F72"/>
    <w:rsid w:val="005E13EA"/>
    <w:rsid w:val="005E1697"/>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2CE8"/>
    <w:rsid w:val="00654329"/>
    <w:rsid w:val="00654CEC"/>
    <w:rsid w:val="00655507"/>
    <w:rsid w:val="006579FD"/>
    <w:rsid w:val="006635E3"/>
    <w:rsid w:val="0066490A"/>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3949"/>
    <w:rsid w:val="006B0FFB"/>
    <w:rsid w:val="006B4496"/>
    <w:rsid w:val="006B5E67"/>
    <w:rsid w:val="006B6612"/>
    <w:rsid w:val="006C2EB5"/>
    <w:rsid w:val="006D18A3"/>
    <w:rsid w:val="006D5970"/>
    <w:rsid w:val="006E481E"/>
    <w:rsid w:val="006E6A01"/>
    <w:rsid w:val="006E795F"/>
    <w:rsid w:val="006F0862"/>
    <w:rsid w:val="006F1438"/>
    <w:rsid w:val="006F2A9E"/>
    <w:rsid w:val="006F5ED3"/>
    <w:rsid w:val="00700249"/>
    <w:rsid w:val="007069CD"/>
    <w:rsid w:val="00706BB5"/>
    <w:rsid w:val="0071231A"/>
    <w:rsid w:val="00712E90"/>
    <w:rsid w:val="00713B7E"/>
    <w:rsid w:val="00721E0C"/>
    <w:rsid w:val="0072678F"/>
    <w:rsid w:val="007276E5"/>
    <w:rsid w:val="00727C4C"/>
    <w:rsid w:val="00734809"/>
    <w:rsid w:val="00736025"/>
    <w:rsid w:val="0073714E"/>
    <w:rsid w:val="007374EF"/>
    <w:rsid w:val="007406E1"/>
    <w:rsid w:val="00743E40"/>
    <w:rsid w:val="00745016"/>
    <w:rsid w:val="0075031F"/>
    <w:rsid w:val="00751263"/>
    <w:rsid w:val="00751BDB"/>
    <w:rsid w:val="007544FC"/>
    <w:rsid w:val="00755427"/>
    <w:rsid w:val="00756548"/>
    <w:rsid w:val="0075673A"/>
    <w:rsid w:val="0075704F"/>
    <w:rsid w:val="00763B2D"/>
    <w:rsid w:val="00764C84"/>
    <w:rsid w:val="00770601"/>
    <w:rsid w:val="007710AD"/>
    <w:rsid w:val="00772924"/>
    <w:rsid w:val="0078112D"/>
    <w:rsid w:val="007872F2"/>
    <w:rsid w:val="007873F9"/>
    <w:rsid w:val="007908E0"/>
    <w:rsid w:val="0079153C"/>
    <w:rsid w:val="00793EB3"/>
    <w:rsid w:val="00794205"/>
    <w:rsid w:val="0079422A"/>
    <w:rsid w:val="007A1F6A"/>
    <w:rsid w:val="007A628F"/>
    <w:rsid w:val="007B0DE3"/>
    <w:rsid w:val="007B1BFD"/>
    <w:rsid w:val="007B7191"/>
    <w:rsid w:val="007C1D94"/>
    <w:rsid w:val="007C20CC"/>
    <w:rsid w:val="007C556F"/>
    <w:rsid w:val="007C5ABE"/>
    <w:rsid w:val="007C6A87"/>
    <w:rsid w:val="007D0A07"/>
    <w:rsid w:val="007D0F11"/>
    <w:rsid w:val="007D133D"/>
    <w:rsid w:val="007D3EB4"/>
    <w:rsid w:val="007D3F16"/>
    <w:rsid w:val="007F10BD"/>
    <w:rsid w:val="007F312E"/>
    <w:rsid w:val="007F3F7E"/>
    <w:rsid w:val="007F4BA4"/>
    <w:rsid w:val="007F57FF"/>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6D6B"/>
    <w:rsid w:val="00880539"/>
    <w:rsid w:val="00883552"/>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D7B9D"/>
    <w:rsid w:val="008E3195"/>
    <w:rsid w:val="008E5A35"/>
    <w:rsid w:val="008F127E"/>
    <w:rsid w:val="008F32D9"/>
    <w:rsid w:val="00902A65"/>
    <w:rsid w:val="00903932"/>
    <w:rsid w:val="009079BD"/>
    <w:rsid w:val="00912BD9"/>
    <w:rsid w:val="00916FB2"/>
    <w:rsid w:val="00920E5B"/>
    <w:rsid w:val="00923038"/>
    <w:rsid w:val="00926436"/>
    <w:rsid w:val="00926C53"/>
    <w:rsid w:val="0093018C"/>
    <w:rsid w:val="0094495F"/>
    <w:rsid w:val="009530A3"/>
    <w:rsid w:val="009544C0"/>
    <w:rsid w:val="00954FA4"/>
    <w:rsid w:val="00956AE9"/>
    <w:rsid w:val="00964CC6"/>
    <w:rsid w:val="00967BFA"/>
    <w:rsid w:val="00975FBF"/>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53FE"/>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4684"/>
    <w:rsid w:val="00A06422"/>
    <w:rsid w:val="00A10D56"/>
    <w:rsid w:val="00A12AAE"/>
    <w:rsid w:val="00A12F22"/>
    <w:rsid w:val="00A16DD1"/>
    <w:rsid w:val="00A22441"/>
    <w:rsid w:val="00A23F3B"/>
    <w:rsid w:val="00A24406"/>
    <w:rsid w:val="00A25F64"/>
    <w:rsid w:val="00A275F6"/>
    <w:rsid w:val="00A303B9"/>
    <w:rsid w:val="00A37330"/>
    <w:rsid w:val="00A37416"/>
    <w:rsid w:val="00A40ED6"/>
    <w:rsid w:val="00A42597"/>
    <w:rsid w:val="00A4424E"/>
    <w:rsid w:val="00A47621"/>
    <w:rsid w:val="00A479CD"/>
    <w:rsid w:val="00A50CFC"/>
    <w:rsid w:val="00A54D67"/>
    <w:rsid w:val="00A55A3F"/>
    <w:rsid w:val="00A5656A"/>
    <w:rsid w:val="00A576C8"/>
    <w:rsid w:val="00A60103"/>
    <w:rsid w:val="00A61633"/>
    <w:rsid w:val="00A652F6"/>
    <w:rsid w:val="00A65861"/>
    <w:rsid w:val="00A732EA"/>
    <w:rsid w:val="00A7489E"/>
    <w:rsid w:val="00A8015F"/>
    <w:rsid w:val="00A85039"/>
    <w:rsid w:val="00A906AA"/>
    <w:rsid w:val="00A94C5E"/>
    <w:rsid w:val="00AA252C"/>
    <w:rsid w:val="00AA60B0"/>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1939"/>
    <w:rsid w:val="00B12295"/>
    <w:rsid w:val="00B137BE"/>
    <w:rsid w:val="00B15998"/>
    <w:rsid w:val="00B15BFB"/>
    <w:rsid w:val="00B17FA0"/>
    <w:rsid w:val="00B2292C"/>
    <w:rsid w:val="00B22C3C"/>
    <w:rsid w:val="00B24344"/>
    <w:rsid w:val="00B25BF7"/>
    <w:rsid w:val="00B26769"/>
    <w:rsid w:val="00B2754B"/>
    <w:rsid w:val="00B31C91"/>
    <w:rsid w:val="00B34363"/>
    <w:rsid w:val="00B3747F"/>
    <w:rsid w:val="00B42E76"/>
    <w:rsid w:val="00B43194"/>
    <w:rsid w:val="00B436BF"/>
    <w:rsid w:val="00B47734"/>
    <w:rsid w:val="00B50FBA"/>
    <w:rsid w:val="00B558EB"/>
    <w:rsid w:val="00B577D3"/>
    <w:rsid w:val="00B60466"/>
    <w:rsid w:val="00B6548F"/>
    <w:rsid w:val="00B71A32"/>
    <w:rsid w:val="00B73D61"/>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27DC8"/>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2CA6"/>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4D0"/>
    <w:rsid w:val="00D146AE"/>
    <w:rsid w:val="00D14BE4"/>
    <w:rsid w:val="00D22C8F"/>
    <w:rsid w:val="00D24E65"/>
    <w:rsid w:val="00D3203C"/>
    <w:rsid w:val="00D33491"/>
    <w:rsid w:val="00D3442D"/>
    <w:rsid w:val="00D36F00"/>
    <w:rsid w:val="00D44B67"/>
    <w:rsid w:val="00D44F8E"/>
    <w:rsid w:val="00D51FD5"/>
    <w:rsid w:val="00D55DE0"/>
    <w:rsid w:val="00D607EF"/>
    <w:rsid w:val="00D60F88"/>
    <w:rsid w:val="00D646BD"/>
    <w:rsid w:val="00D65043"/>
    <w:rsid w:val="00D65558"/>
    <w:rsid w:val="00D71201"/>
    <w:rsid w:val="00D720C7"/>
    <w:rsid w:val="00D7285F"/>
    <w:rsid w:val="00D84841"/>
    <w:rsid w:val="00D876E6"/>
    <w:rsid w:val="00D90958"/>
    <w:rsid w:val="00DA0BCA"/>
    <w:rsid w:val="00DA1025"/>
    <w:rsid w:val="00DA22EC"/>
    <w:rsid w:val="00DA5682"/>
    <w:rsid w:val="00DA5860"/>
    <w:rsid w:val="00DA5C0C"/>
    <w:rsid w:val="00DB2767"/>
    <w:rsid w:val="00DC1B10"/>
    <w:rsid w:val="00DC2924"/>
    <w:rsid w:val="00DC4729"/>
    <w:rsid w:val="00DD31C5"/>
    <w:rsid w:val="00DD5020"/>
    <w:rsid w:val="00DD63BE"/>
    <w:rsid w:val="00DE03B2"/>
    <w:rsid w:val="00DE4296"/>
    <w:rsid w:val="00DF2469"/>
    <w:rsid w:val="00DF7899"/>
    <w:rsid w:val="00E0524C"/>
    <w:rsid w:val="00E15751"/>
    <w:rsid w:val="00E17160"/>
    <w:rsid w:val="00E17D41"/>
    <w:rsid w:val="00E231D1"/>
    <w:rsid w:val="00E3288D"/>
    <w:rsid w:val="00E35112"/>
    <w:rsid w:val="00E35BEC"/>
    <w:rsid w:val="00E41A6A"/>
    <w:rsid w:val="00E444A7"/>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A08"/>
    <w:rsid w:val="00E95F08"/>
    <w:rsid w:val="00E97171"/>
    <w:rsid w:val="00EA4D48"/>
    <w:rsid w:val="00EA7ADF"/>
    <w:rsid w:val="00EB2173"/>
    <w:rsid w:val="00EB62E6"/>
    <w:rsid w:val="00EB695F"/>
    <w:rsid w:val="00EC3A85"/>
    <w:rsid w:val="00EC3D79"/>
    <w:rsid w:val="00EC4B89"/>
    <w:rsid w:val="00EC59A5"/>
    <w:rsid w:val="00EC6E15"/>
    <w:rsid w:val="00ED1B30"/>
    <w:rsid w:val="00ED5D03"/>
    <w:rsid w:val="00EE01ED"/>
    <w:rsid w:val="00EE1AC1"/>
    <w:rsid w:val="00EE39D6"/>
    <w:rsid w:val="00EE52AD"/>
    <w:rsid w:val="00EE5BC3"/>
    <w:rsid w:val="00EE6FAB"/>
    <w:rsid w:val="00EF328C"/>
    <w:rsid w:val="00EF5017"/>
    <w:rsid w:val="00EF68BB"/>
    <w:rsid w:val="00F00F46"/>
    <w:rsid w:val="00F01F92"/>
    <w:rsid w:val="00F030D4"/>
    <w:rsid w:val="00F04053"/>
    <w:rsid w:val="00F06573"/>
    <w:rsid w:val="00F10A08"/>
    <w:rsid w:val="00F140BA"/>
    <w:rsid w:val="00F15354"/>
    <w:rsid w:val="00F22AC5"/>
    <w:rsid w:val="00F254D1"/>
    <w:rsid w:val="00F32B82"/>
    <w:rsid w:val="00F34C86"/>
    <w:rsid w:val="00F4043E"/>
    <w:rsid w:val="00F41795"/>
    <w:rsid w:val="00F41BBC"/>
    <w:rsid w:val="00F42645"/>
    <w:rsid w:val="00F444F0"/>
    <w:rsid w:val="00F446FF"/>
    <w:rsid w:val="00F45521"/>
    <w:rsid w:val="00F50847"/>
    <w:rsid w:val="00F53F27"/>
    <w:rsid w:val="00F5411F"/>
    <w:rsid w:val="00F546D1"/>
    <w:rsid w:val="00F60281"/>
    <w:rsid w:val="00F62E39"/>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08D9"/>
    <w:rsid w:val="00FC1310"/>
    <w:rsid w:val="00FC2385"/>
    <w:rsid w:val="00FC2FF3"/>
    <w:rsid w:val="00FC3263"/>
    <w:rsid w:val="00FC51F9"/>
    <w:rsid w:val="00FC5B40"/>
    <w:rsid w:val="00FC5FF8"/>
    <w:rsid w:val="00FD06C3"/>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751B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XxKellyGxx83@ao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MGThomas@carmarthenshire.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4291</Words>
  <Characters>24462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Kelly MG Thomas</cp:lastModifiedBy>
  <cp:revision>86</cp:revision>
  <cp:lastPrinted>2020-02-11T19:20:00Z</cp:lastPrinted>
  <dcterms:created xsi:type="dcterms:W3CDTF">2024-01-29T12:23:00Z</dcterms:created>
  <dcterms:modified xsi:type="dcterms:W3CDTF">2024-02-11T12:37:00Z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