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5B704" w14:textId="10DCA5CD" w:rsidR="006758AE" w:rsidRPr="006758AE" w:rsidRDefault="006758AE">
      <w:pPr>
        <w:rPr>
          <w:sz w:val="24"/>
          <w:szCs w:val="24"/>
        </w:rPr>
      </w:pPr>
      <w:r>
        <w:rPr>
          <w:sz w:val="24"/>
          <w:szCs w:val="24"/>
        </w:rPr>
        <w:t xml:space="preserve">                                                                                                                                    </w:t>
      </w:r>
      <w:r w:rsidRPr="006758AE">
        <w:rPr>
          <w:sz w:val="24"/>
          <w:szCs w:val="24"/>
        </w:rPr>
        <w:t>Lilu Meah 2009177</w:t>
      </w:r>
    </w:p>
    <w:p w14:paraId="25CD4123" w14:textId="2963858D" w:rsidR="006758AE" w:rsidRDefault="006758AE">
      <w:pPr>
        <w:rPr>
          <w:sz w:val="28"/>
          <w:szCs w:val="28"/>
          <w:u w:val="single"/>
        </w:rPr>
      </w:pPr>
      <w:r w:rsidRPr="006758AE">
        <w:rPr>
          <w:sz w:val="28"/>
          <w:szCs w:val="28"/>
          <w:u w:val="single"/>
        </w:rPr>
        <w:t xml:space="preserve">Discuss when criminal liability will be upheld for failing to act </w:t>
      </w:r>
    </w:p>
    <w:p w14:paraId="6A074012" w14:textId="323CD457" w:rsidR="006758AE" w:rsidRDefault="006758AE">
      <w:pPr>
        <w:rPr>
          <w:sz w:val="28"/>
          <w:szCs w:val="28"/>
          <w:u w:val="single"/>
        </w:rPr>
      </w:pPr>
      <w:r>
        <w:rPr>
          <w:sz w:val="28"/>
          <w:szCs w:val="28"/>
          <w:u w:val="single"/>
        </w:rPr>
        <w:t xml:space="preserve">Introduction </w:t>
      </w:r>
    </w:p>
    <w:p w14:paraId="265175BA" w14:textId="21B94A9B" w:rsidR="006758AE" w:rsidRDefault="006758AE">
      <w:pPr>
        <w:rPr>
          <w:sz w:val="24"/>
          <w:szCs w:val="24"/>
        </w:rPr>
      </w:pPr>
      <w:r>
        <w:rPr>
          <w:sz w:val="24"/>
          <w:szCs w:val="24"/>
        </w:rPr>
        <w:t>To start of this assignment, criminal liability, and its failure to act can be spoken about in more depth. In this assignment, I will be highlighting the main focus of criminal liability and when it will be upheld for failing to act which is also known as the term ‘omissions.’</w:t>
      </w:r>
    </w:p>
    <w:p w14:paraId="277F2D1A" w14:textId="357B4253" w:rsidR="00324032" w:rsidRDefault="006758AE">
      <w:pPr>
        <w:rPr>
          <w:sz w:val="24"/>
          <w:szCs w:val="24"/>
        </w:rPr>
      </w:pPr>
      <w:r>
        <w:rPr>
          <w:sz w:val="24"/>
          <w:szCs w:val="24"/>
        </w:rPr>
        <w:t xml:space="preserve">Omissions is seen as the failure to act, to have the responsibility to be a person’s duty of care and being liable for a specific duty of care but failing to come onto terms and meet with the needs which </w:t>
      </w:r>
      <w:proofErr w:type="gramStart"/>
      <w:r>
        <w:rPr>
          <w:sz w:val="24"/>
          <w:szCs w:val="24"/>
        </w:rPr>
        <w:t>is</w:t>
      </w:r>
      <w:proofErr w:type="gramEnd"/>
      <w:r>
        <w:rPr>
          <w:sz w:val="24"/>
          <w:szCs w:val="24"/>
        </w:rPr>
        <w:t xml:space="preserve"> also known is negligence. </w:t>
      </w:r>
      <w:r w:rsidR="00324032">
        <w:rPr>
          <w:sz w:val="24"/>
          <w:szCs w:val="24"/>
        </w:rPr>
        <w:t>‘’omission is the opposite of action- it is non-action (not-doing), absence of action.’’ (Ambos K, 2020).</w:t>
      </w:r>
    </w:p>
    <w:p w14:paraId="0437F352" w14:textId="55D5A27C" w:rsidR="00FE2D78" w:rsidRDefault="006758AE">
      <w:pPr>
        <w:rPr>
          <w:rFonts w:ascii="Noto Sans" w:hAnsi="Noto Sans" w:cs="Noto Sans"/>
          <w:color w:val="333333"/>
          <w:sz w:val="27"/>
          <w:szCs w:val="27"/>
          <w:shd w:val="clear" w:color="auto" w:fill="FFFFFF"/>
        </w:rPr>
      </w:pPr>
      <w:r>
        <w:rPr>
          <w:sz w:val="24"/>
          <w:szCs w:val="24"/>
        </w:rPr>
        <w:t>An omission can also be seen as a pre agreed contract or promise, but then is failed to act upon. This can be towards a duty of care for an individual or the public.</w:t>
      </w:r>
      <w:r w:rsidR="0085520F">
        <w:rPr>
          <w:sz w:val="24"/>
          <w:szCs w:val="24"/>
        </w:rPr>
        <w:t xml:space="preserve">  An example of an omission in criminal law is a mother failing to provide her baby with food which led to her baby then dying. This is seen as an omission as the mother had the duty of care to take care of her child, therefore, she is liable and responsible for the crime.</w:t>
      </w:r>
      <w:r w:rsidR="00C63533">
        <w:rPr>
          <w:sz w:val="24"/>
          <w:szCs w:val="24"/>
        </w:rPr>
        <w:t xml:space="preserve"> Duty of care initially means that </w:t>
      </w:r>
      <w:r w:rsidR="00FE2D78">
        <w:rPr>
          <w:sz w:val="24"/>
          <w:szCs w:val="24"/>
        </w:rPr>
        <w:t xml:space="preserve">if a person creates a dangerous situation, then they are fully liable for any harm that is caused, if then you decide to not take reasonable to prevent the harm occurring, then that duty of care is broken.’’ A duty of care is furthermore associated with a particularly low threshold for legal responsibility for the consequences of </w:t>
      </w:r>
      <w:r w:rsidR="00324032">
        <w:rPr>
          <w:sz w:val="24"/>
          <w:szCs w:val="24"/>
        </w:rPr>
        <w:t>one’s</w:t>
      </w:r>
      <w:r w:rsidR="00FE2D78">
        <w:rPr>
          <w:sz w:val="24"/>
          <w:szCs w:val="24"/>
        </w:rPr>
        <w:t xml:space="preserve"> actions. It often signals that negligent violations of law can trigger individual responsibility.’</w:t>
      </w:r>
      <w:r w:rsidR="00324032">
        <w:rPr>
          <w:sz w:val="24"/>
          <w:szCs w:val="24"/>
        </w:rPr>
        <w:t>’ (</w:t>
      </w:r>
      <w:r w:rsidR="00FE2D78">
        <w:rPr>
          <w:sz w:val="24"/>
          <w:szCs w:val="24"/>
        </w:rPr>
        <w:t>Dill, J</w:t>
      </w:r>
      <w:r w:rsidR="00324032">
        <w:rPr>
          <w:sz w:val="24"/>
          <w:szCs w:val="24"/>
        </w:rPr>
        <w:t>, 2019</w:t>
      </w:r>
      <w:r w:rsidR="00FE2D78">
        <w:rPr>
          <w:sz w:val="24"/>
          <w:szCs w:val="24"/>
        </w:rPr>
        <w:t>)</w:t>
      </w:r>
      <w:r w:rsidR="00324032">
        <w:rPr>
          <w:sz w:val="24"/>
          <w:szCs w:val="24"/>
        </w:rPr>
        <w:t>.</w:t>
      </w:r>
    </w:p>
    <w:p w14:paraId="311B0EFC" w14:textId="2E846003" w:rsidR="00324032" w:rsidRDefault="00C4475D">
      <w:pPr>
        <w:rPr>
          <w:sz w:val="24"/>
          <w:szCs w:val="24"/>
        </w:rPr>
      </w:pPr>
      <w:r>
        <w:rPr>
          <w:sz w:val="24"/>
          <w:szCs w:val="24"/>
        </w:rPr>
        <w:t>‘’</w:t>
      </w:r>
      <w:r w:rsidRPr="00C4475D">
        <w:rPr>
          <w:rFonts w:cstheme="minorHAnsi"/>
          <w:color w:val="000000" w:themeColor="text1"/>
          <w:sz w:val="24"/>
          <w:szCs w:val="24"/>
          <w:shd w:val="clear" w:color="auto" w:fill="FFFFFF"/>
        </w:rPr>
        <w:t xml:space="preserve">House of Lords judgement, Lord Atkin stated: ‘In English law there must be, and is, some general conception of relations giving rise to a duty of </w:t>
      </w:r>
      <w:r w:rsidRPr="00C4475D">
        <w:rPr>
          <w:rFonts w:cstheme="minorHAnsi"/>
          <w:color w:val="000000" w:themeColor="text1"/>
          <w:sz w:val="24"/>
          <w:szCs w:val="24"/>
          <w:shd w:val="clear" w:color="auto" w:fill="FFFFFF"/>
        </w:rPr>
        <w:t>care’</w:t>
      </w:r>
      <w:r>
        <w:rPr>
          <w:rFonts w:cstheme="minorHAnsi"/>
          <w:color w:val="000000" w:themeColor="text1"/>
          <w:sz w:val="24"/>
          <w:szCs w:val="24"/>
          <w:shd w:val="clear" w:color="auto" w:fill="FFFFFF"/>
        </w:rPr>
        <w:t>’ (Isaacs David, 2019)</w:t>
      </w:r>
      <w:r>
        <w:rPr>
          <w:rFonts w:ascii="Open Sans" w:hAnsi="Open Sans" w:cs="Open Sans"/>
          <w:color w:val="1C1D1E"/>
          <w:shd w:val="clear" w:color="auto" w:fill="FFFFFF"/>
        </w:rPr>
        <w:t>.</w:t>
      </w:r>
      <w:r>
        <w:rPr>
          <w:sz w:val="24"/>
          <w:szCs w:val="24"/>
        </w:rPr>
        <w:t xml:space="preserve"> Another</w:t>
      </w:r>
      <w:r w:rsidR="00FE2D78">
        <w:rPr>
          <w:sz w:val="24"/>
          <w:szCs w:val="24"/>
        </w:rPr>
        <w:t xml:space="preserve"> example of duty of care is giving a worker with a specia</w:t>
      </w:r>
      <w:r w:rsidR="003A5DC2">
        <w:rPr>
          <w:sz w:val="24"/>
          <w:szCs w:val="24"/>
        </w:rPr>
        <w:t>l equipment</w:t>
      </w:r>
      <w:r w:rsidR="00FE2D78">
        <w:rPr>
          <w:sz w:val="24"/>
          <w:szCs w:val="24"/>
        </w:rPr>
        <w:t xml:space="preserve"> that allows them to complete tasks at work. This also includes giving disabled staff the duty of care and supporting them in work. For instance, if an employee got involved in an accident and is then paralysed from the feet down and is in a wheelchair, the workplace then has the duty of care to provide care and special needs for that individual. </w:t>
      </w:r>
      <w:r w:rsidR="008939B8">
        <w:rPr>
          <w:sz w:val="24"/>
          <w:szCs w:val="24"/>
        </w:rPr>
        <w:t xml:space="preserve">‘’ </w:t>
      </w:r>
      <w:r w:rsidR="008939B8" w:rsidRPr="008939B8">
        <w:rPr>
          <w:sz w:val="24"/>
          <w:szCs w:val="24"/>
        </w:rPr>
        <w:t>Negligence reminds us that we often do and cause things unawares, occasionally with grave results.</w:t>
      </w:r>
      <w:r w:rsidR="008939B8" w:rsidRPr="008939B8">
        <w:rPr>
          <w:sz w:val="24"/>
          <w:szCs w:val="24"/>
        </w:rPr>
        <w:t>’’ (</w:t>
      </w:r>
      <w:r w:rsidR="008939B8" w:rsidRPr="008939B8">
        <w:rPr>
          <w:sz w:val="24"/>
          <w:szCs w:val="24"/>
        </w:rPr>
        <w:t>Williams, G</w:t>
      </w:r>
      <w:r w:rsidR="008939B8" w:rsidRPr="008939B8">
        <w:rPr>
          <w:sz w:val="24"/>
          <w:szCs w:val="24"/>
        </w:rPr>
        <w:t>,2020)</w:t>
      </w:r>
      <w:r w:rsidR="00FF5FDC">
        <w:rPr>
          <w:sz w:val="24"/>
          <w:szCs w:val="24"/>
        </w:rPr>
        <w:t xml:space="preserve">. Another example would be ‘’ </w:t>
      </w:r>
      <w:r w:rsidR="00FF5FDC" w:rsidRPr="00FF5FDC">
        <w:rPr>
          <w:rFonts w:cstheme="minorHAnsi"/>
          <w:color w:val="000000" w:themeColor="text1"/>
          <w:sz w:val="24"/>
          <w:szCs w:val="24"/>
          <w:shd w:val="clear" w:color="auto" w:fill="FFFFFF"/>
        </w:rPr>
        <w:t xml:space="preserve">Specific expectations of employers here include the prevention of illness, </w:t>
      </w:r>
      <w:proofErr w:type="gramStart"/>
      <w:r w:rsidR="00FF5FDC" w:rsidRPr="00FF5FDC">
        <w:rPr>
          <w:rFonts w:cstheme="minorHAnsi"/>
          <w:color w:val="000000" w:themeColor="text1"/>
          <w:sz w:val="24"/>
          <w:szCs w:val="24"/>
          <w:shd w:val="clear" w:color="auto" w:fill="FFFFFF"/>
        </w:rPr>
        <w:t>injury</w:t>
      </w:r>
      <w:proofErr w:type="gramEnd"/>
      <w:r w:rsidR="00FF5FDC" w:rsidRPr="00FF5FDC">
        <w:rPr>
          <w:rFonts w:cstheme="minorHAnsi"/>
          <w:color w:val="000000" w:themeColor="text1"/>
          <w:sz w:val="24"/>
          <w:szCs w:val="24"/>
          <w:shd w:val="clear" w:color="auto" w:fill="FFFFFF"/>
        </w:rPr>
        <w:t xml:space="preserve"> and death of workers, providing safe systems of work, safety equipment and generally assuring the health, safety and welfare of workers</w:t>
      </w:r>
      <w:r w:rsidR="00FF5FDC">
        <w:rPr>
          <w:rFonts w:cstheme="minorHAnsi"/>
          <w:color w:val="000000" w:themeColor="text1"/>
          <w:sz w:val="24"/>
          <w:szCs w:val="24"/>
          <w:shd w:val="clear" w:color="auto" w:fill="FFFFFF"/>
        </w:rPr>
        <w:t>.’’ (</w:t>
      </w:r>
      <w:proofErr w:type="spellStart"/>
      <w:r w:rsidR="005E5D41" w:rsidRPr="005E5D41">
        <w:rPr>
          <w:rFonts w:cstheme="minorHAnsi"/>
          <w:color w:val="212121"/>
          <w:sz w:val="24"/>
          <w:szCs w:val="24"/>
          <w:shd w:val="clear" w:color="auto" w:fill="FFFFFF"/>
        </w:rPr>
        <w:t>Gaitens</w:t>
      </w:r>
      <w:proofErr w:type="spellEnd"/>
      <w:r w:rsidR="005E5D41" w:rsidRPr="005E5D41">
        <w:rPr>
          <w:rFonts w:cstheme="minorHAnsi"/>
          <w:color w:val="212121"/>
          <w:sz w:val="24"/>
          <w:szCs w:val="24"/>
          <w:shd w:val="clear" w:color="auto" w:fill="FFFFFF"/>
        </w:rPr>
        <w:t>, J. (2021</w:t>
      </w:r>
      <w:r w:rsidR="005E5D41" w:rsidRPr="00FF5FDC">
        <w:rPr>
          <w:rFonts w:ascii="Roboto" w:hAnsi="Roboto"/>
          <w:color w:val="212121"/>
          <w:sz w:val="24"/>
          <w:szCs w:val="24"/>
          <w:shd w:val="clear" w:color="auto" w:fill="FFFFFF"/>
        </w:rPr>
        <w:t>)</w:t>
      </w:r>
    </w:p>
    <w:p w14:paraId="78EC9979" w14:textId="5941D8D1" w:rsidR="0085520F" w:rsidRDefault="00C63533">
      <w:pPr>
        <w:rPr>
          <w:sz w:val="24"/>
          <w:szCs w:val="24"/>
        </w:rPr>
      </w:pPr>
      <w:r>
        <w:rPr>
          <w:sz w:val="24"/>
          <w:szCs w:val="24"/>
        </w:rPr>
        <w:t xml:space="preserve">One of the common questions regarding to omissions is if it is an offence. An omission which includes both actus and mens rea will result in a negligence and failure to act, which if the defendant fails to meet these standards, then an omission is a fundamental part of being an offence. </w:t>
      </w:r>
      <w:r w:rsidR="00547201">
        <w:rPr>
          <w:sz w:val="24"/>
          <w:szCs w:val="24"/>
        </w:rPr>
        <w:t>‘’</w:t>
      </w:r>
      <w:r w:rsidR="00547201" w:rsidRPr="00547201">
        <w:rPr>
          <w:rFonts w:ascii="Roboto" w:hAnsi="Roboto"/>
          <w:color w:val="333333"/>
          <w:sz w:val="21"/>
          <w:szCs w:val="21"/>
          <w:shd w:val="clear" w:color="auto" w:fill="FFFFFF"/>
        </w:rPr>
        <w:t xml:space="preserve"> </w:t>
      </w:r>
      <w:r w:rsidR="00547201" w:rsidRPr="00547201">
        <w:rPr>
          <w:rFonts w:cstheme="minorHAnsi"/>
          <w:color w:val="000000" w:themeColor="text1"/>
          <w:sz w:val="24"/>
          <w:szCs w:val="24"/>
          <w:shd w:val="clear" w:color="auto" w:fill="FFFFFF"/>
        </w:rPr>
        <w:t>R v Evans [2009] EWCA Crim 650, [2009] 1 WLR 1999 holds that if a person merely facilitates another to create a dangerous situation for himself, that person may be held criminally liable for a homicide offence if that self-endangerment results in death</w:t>
      </w:r>
      <w:r w:rsidR="00547201" w:rsidRPr="00547201">
        <w:rPr>
          <w:rFonts w:cstheme="minorHAnsi"/>
          <w:color w:val="000000" w:themeColor="text1"/>
          <w:sz w:val="24"/>
          <w:szCs w:val="24"/>
          <w:shd w:val="clear" w:color="auto" w:fill="FFFFFF"/>
        </w:rPr>
        <w:t>.’’</w:t>
      </w:r>
      <w:r w:rsidR="00547201">
        <w:rPr>
          <w:rFonts w:cstheme="minorHAnsi"/>
          <w:color w:val="000000" w:themeColor="text1"/>
          <w:sz w:val="24"/>
          <w:szCs w:val="24"/>
          <w:shd w:val="clear" w:color="auto" w:fill="FFFFFF"/>
        </w:rPr>
        <w:t xml:space="preserve"> </w:t>
      </w:r>
      <w:r w:rsidR="006D0C43">
        <w:rPr>
          <w:rFonts w:cstheme="minorHAnsi"/>
          <w:color w:val="000000" w:themeColor="text1"/>
          <w:sz w:val="24"/>
          <w:szCs w:val="24"/>
          <w:shd w:val="clear" w:color="auto" w:fill="FFFFFF"/>
        </w:rPr>
        <w:t>(</w:t>
      </w:r>
      <w:r w:rsidR="006D0C43" w:rsidRPr="006D0C43">
        <w:rPr>
          <w:rFonts w:cstheme="minorHAnsi"/>
          <w:color w:val="000000" w:themeColor="text1"/>
          <w:sz w:val="24"/>
          <w:szCs w:val="24"/>
          <w:shd w:val="clear" w:color="auto" w:fill="FFFFFF"/>
        </w:rPr>
        <w:t>Baker, Dennis. 2012).</w:t>
      </w:r>
    </w:p>
    <w:p w14:paraId="1DBC61B0" w14:textId="766BE296" w:rsidR="00324032" w:rsidRPr="006130C6" w:rsidRDefault="00324032">
      <w:pPr>
        <w:rPr>
          <w:rFonts w:ascii="Arial" w:hAnsi="Arial" w:cs="Arial"/>
          <w:i/>
          <w:iCs/>
          <w:color w:val="333333"/>
          <w:sz w:val="18"/>
          <w:szCs w:val="18"/>
          <w:shd w:val="clear" w:color="auto" w:fill="FFFFFF"/>
        </w:rPr>
      </w:pPr>
      <w:r>
        <w:rPr>
          <w:sz w:val="24"/>
          <w:szCs w:val="24"/>
        </w:rPr>
        <w:lastRenderedPageBreak/>
        <w:t xml:space="preserve">In relation to the question, there needs to be actus reus and mens rea involved. Actus reus is the guilty act of an individual. This is the physical part of the offence, an example of this is a person stabbing another person. </w:t>
      </w:r>
      <w:r w:rsidR="00FE791E">
        <w:rPr>
          <w:sz w:val="24"/>
          <w:szCs w:val="24"/>
        </w:rPr>
        <w:t>A</w:t>
      </w:r>
      <w:r>
        <w:rPr>
          <w:sz w:val="24"/>
          <w:szCs w:val="24"/>
        </w:rPr>
        <w:t>ctus reus is the act of the crime, rather than the intention which relates to the mens rea.</w:t>
      </w:r>
      <w:r w:rsidR="00FE791E">
        <w:rPr>
          <w:sz w:val="24"/>
          <w:szCs w:val="24"/>
        </w:rPr>
        <w:t xml:space="preserve"> ‘’Actus reus is an area of substantive criminal law and is an act by an individual that is deemed to be improper by societal laws.’’ (Foster Michelle, 2021)</w:t>
      </w:r>
      <w:r w:rsidR="006130C6">
        <w:rPr>
          <w:rFonts w:ascii="Arial" w:hAnsi="Arial" w:cs="Arial"/>
          <w:i/>
          <w:iCs/>
          <w:color w:val="333333"/>
          <w:sz w:val="18"/>
          <w:szCs w:val="18"/>
          <w:shd w:val="clear" w:color="auto" w:fill="FFFFFF"/>
        </w:rPr>
        <w:t xml:space="preserve">. </w:t>
      </w:r>
      <w:proofErr w:type="spellStart"/>
      <w:r>
        <w:rPr>
          <w:sz w:val="24"/>
          <w:szCs w:val="24"/>
        </w:rPr>
        <w:t>Mens</w:t>
      </w:r>
      <w:proofErr w:type="spellEnd"/>
      <w:r>
        <w:rPr>
          <w:sz w:val="24"/>
          <w:szCs w:val="24"/>
        </w:rPr>
        <w:t xml:space="preserve"> rea is seen as the guilty mind of an individual.</w:t>
      </w:r>
      <w:r w:rsidR="006F6DC5">
        <w:rPr>
          <w:sz w:val="24"/>
          <w:szCs w:val="24"/>
        </w:rPr>
        <w:t xml:space="preserve"> This is required for most cases of murder as it is required to be proven as part of an element of the crime. There needs to be an intention for the crime in order to fit with the actus reus and murder. </w:t>
      </w:r>
      <w:r w:rsidR="00B01505">
        <w:rPr>
          <w:sz w:val="24"/>
          <w:szCs w:val="24"/>
        </w:rPr>
        <w:t xml:space="preserve">The definition of negligence is also seen in more detail, </w:t>
      </w:r>
      <w:r w:rsidR="00AF6E3E">
        <w:rPr>
          <w:sz w:val="24"/>
          <w:szCs w:val="24"/>
        </w:rPr>
        <w:t>‘’</w:t>
      </w:r>
      <w:r w:rsidR="007F593A">
        <w:rPr>
          <w:sz w:val="24"/>
          <w:szCs w:val="24"/>
        </w:rPr>
        <w:t>C</w:t>
      </w:r>
      <w:r w:rsidR="007F593A" w:rsidRPr="007F593A">
        <w:rPr>
          <w:sz w:val="24"/>
          <w:szCs w:val="24"/>
        </w:rPr>
        <w:t>riminal conviction by establishing the fault element or the “guilty mind” for the reason that guilt rests not only on intent, but on other elements as well.</w:t>
      </w:r>
      <w:r w:rsidR="007F593A">
        <w:rPr>
          <w:sz w:val="24"/>
          <w:szCs w:val="24"/>
        </w:rPr>
        <w:t>’’</w:t>
      </w:r>
      <w:r w:rsidR="007F593A" w:rsidRPr="007F593A">
        <w:rPr>
          <w:sz w:val="24"/>
          <w:szCs w:val="24"/>
        </w:rPr>
        <w:t xml:space="preserve"> (Chan &amp; Simester, 2011, p. 382)</w:t>
      </w:r>
      <w:r w:rsidR="002B3668">
        <w:rPr>
          <w:sz w:val="24"/>
          <w:szCs w:val="24"/>
        </w:rPr>
        <w:t>.</w:t>
      </w:r>
      <w:r w:rsidR="00550474">
        <w:rPr>
          <w:sz w:val="24"/>
          <w:szCs w:val="24"/>
        </w:rPr>
        <w:t xml:space="preserve"> Actus reus and mens rea is apparent in the cases of R v Jordan [1956] and in R v Cheshire [1991]. </w:t>
      </w:r>
      <w:r w:rsidR="00B01505">
        <w:rPr>
          <w:sz w:val="24"/>
          <w:szCs w:val="24"/>
        </w:rPr>
        <w:t xml:space="preserve">The case summary of R v Jordan is when he worked for the Air force and as a result of their disturbance, he had stabbed a man. The man (victim) then died in hospital eight days later. The victim died of broncho-pneumonia which followed by the abdominal injury that he had, the evidence was discovered by the post mote rum. The court then convicted Jordan as guilty. </w:t>
      </w:r>
    </w:p>
    <w:p w14:paraId="297F26C5" w14:textId="34B67AFF" w:rsidR="00A21BE6" w:rsidRPr="00A21BE6" w:rsidRDefault="007309C8">
      <w:pPr>
        <w:rPr>
          <w:rFonts w:cstheme="minorHAnsi"/>
          <w:color w:val="000000" w:themeColor="text1"/>
          <w:sz w:val="24"/>
          <w:szCs w:val="24"/>
          <w:shd w:val="clear" w:color="auto" w:fill="CAE7FF"/>
        </w:rPr>
      </w:pPr>
      <w:r>
        <w:rPr>
          <w:sz w:val="24"/>
          <w:szCs w:val="24"/>
        </w:rPr>
        <w:t>Generally, there is a duty to act in criminal law, the duty to act is given when the defendant has accepted and applied reasonable steps.</w:t>
      </w:r>
      <w:r w:rsidR="00921B65">
        <w:rPr>
          <w:sz w:val="24"/>
          <w:szCs w:val="24"/>
        </w:rPr>
        <w:t xml:space="preserve"> If the defendant creates a dangerous situation, then they may be applied to be under a duty to take the reasonable steps in order to divert that danger or stop/prevent it. In addition, in statutory duty regarding to criminal law, </w:t>
      </w:r>
      <w:r w:rsidR="00F63594">
        <w:rPr>
          <w:sz w:val="24"/>
          <w:szCs w:val="24"/>
        </w:rPr>
        <w:t xml:space="preserve">breach of duty is imposed on an individual or by a body of statute. This means that the person who in involved in the breach of duty of statutory duty is responsible and liable for any criminal consequences such as a penalty which is given by the statute. Furthermore, this may also mean that the individual may be liable to pay a person who is injured </w:t>
      </w:r>
      <w:r w:rsidR="00F1740E">
        <w:rPr>
          <w:sz w:val="24"/>
          <w:szCs w:val="24"/>
        </w:rPr>
        <w:t>damages. ’’Establishing that duty of care is owed or not owed, the courts must follow that authority’</w:t>
      </w:r>
      <w:proofErr w:type="gramStart"/>
      <w:r w:rsidR="00F1740E">
        <w:rPr>
          <w:sz w:val="24"/>
          <w:szCs w:val="24"/>
        </w:rPr>
        <w:t>’(</w:t>
      </w:r>
      <w:proofErr w:type="spellStart"/>
      <w:proofErr w:type="gramEnd"/>
      <w:r w:rsidR="009D363E" w:rsidRPr="00A21BE6">
        <w:t>Tofaris</w:t>
      </w:r>
      <w:proofErr w:type="spellEnd"/>
      <w:r w:rsidR="009D363E" w:rsidRPr="00A21BE6">
        <w:t>, S. (2018).</w:t>
      </w:r>
      <w:r w:rsidR="00A21BE6">
        <w:t xml:space="preserve"> </w:t>
      </w:r>
      <w:r w:rsidR="00B77741">
        <w:t xml:space="preserve">Generally, mostly everything in the court consists of duty of care and act, whether that’s between a manager and their employers and their safety, to a father and his child. This also goes for doctors and their patients. </w:t>
      </w:r>
    </w:p>
    <w:p w14:paraId="672DCCF1" w14:textId="6E20814A" w:rsidR="0071176A" w:rsidRDefault="001C39FE">
      <w:pPr>
        <w:rPr>
          <w:sz w:val="24"/>
          <w:szCs w:val="24"/>
        </w:rPr>
      </w:pPr>
      <w:r>
        <w:rPr>
          <w:sz w:val="24"/>
          <w:szCs w:val="24"/>
        </w:rPr>
        <w:t xml:space="preserve">There are a few conditions that must be apparent and met for a breach of statutory duty. One of the things is that must be highlighted is tat there must be a statutory duty given to the claimant, there then must be a breach of duty by the defendant, there also must be a damage to the claimant. The damage then must be seen and caused by the breach of the statutory duty. </w:t>
      </w:r>
      <w:r w:rsidR="00244C37">
        <w:rPr>
          <w:sz w:val="24"/>
          <w:szCs w:val="24"/>
        </w:rPr>
        <w:t xml:space="preserve">Furthermore, the standard of care is requirement of reasonableness. </w:t>
      </w:r>
      <w:r w:rsidR="0071176A">
        <w:rPr>
          <w:sz w:val="24"/>
          <w:szCs w:val="24"/>
        </w:rPr>
        <w:t>It’s</w:t>
      </w:r>
      <w:r w:rsidR="001C7627">
        <w:rPr>
          <w:sz w:val="24"/>
          <w:szCs w:val="24"/>
        </w:rPr>
        <w:t xml:space="preserve"> also necessary that the employer can assess the risk of the injury against the harm it would </w:t>
      </w:r>
      <w:r w:rsidR="0071176A">
        <w:rPr>
          <w:sz w:val="24"/>
          <w:szCs w:val="24"/>
        </w:rPr>
        <w:t xml:space="preserve">potentially </w:t>
      </w:r>
      <w:r w:rsidR="00A13EFB">
        <w:rPr>
          <w:sz w:val="24"/>
          <w:szCs w:val="24"/>
        </w:rPr>
        <w:t>make</w:t>
      </w:r>
      <w:r w:rsidR="001C7627">
        <w:rPr>
          <w:sz w:val="24"/>
          <w:szCs w:val="24"/>
        </w:rPr>
        <w:t xml:space="preserve"> the employee and the </w:t>
      </w:r>
      <w:r w:rsidR="00A13EFB">
        <w:rPr>
          <w:sz w:val="24"/>
          <w:szCs w:val="24"/>
        </w:rPr>
        <w:t>finance/cost</w:t>
      </w:r>
      <w:r w:rsidR="001C7627">
        <w:rPr>
          <w:sz w:val="24"/>
          <w:szCs w:val="24"/>
        </w:rPr>
        <w:t xml:space="preserve"> of putting </w:t>
      </w:r>
      <w:r w:rsidR="0071176A">
        <w:rPr>
          <w:sz w:val="24"/>
          <w:szCs w:val="24"/>
        </w:rPr>
        <w:t>safety</w:t>
      </w:r>
      <w:r w:rsidR="001C7627">
        <w:rPr>
          <w:sz w:val="24"/>
          <w:szCs w:val="24"/>
        </w:rPr>
        <w:t xml:space="preserve"> precautions</w:t>
      </w:r>
      <w:r w:rsidR="00A13EFB">
        <w:rPr>
          <w:sz w:val="24"/>
          <w:szCs w:val="24"/>
        </w:rPr>
        <w:t xml:space="preserve"> and equipment</w:t>
      </w:r>
      <w:r w:rsidR="001C7627">
        <w:rPr>
          <w:sz w:val="24"/>
          <w:szCs w:val="24"/>
        </w:rPr>
        <w:t xml:space="preserve"> in place.</w:t>
      </w:r>
      <w:r w:rsidR="00B57A09">
        <w:rPr>
          <w:sz w:val="24"/>
          <w:szCs w:val="24"/>
        </w:rPr>
        <w:t xml:space="preserve"> </w:t>
      </w:r>
      <w:r w:rsidR="003931CC">
        <w:rPr>
          <w:sz w:val="24"/>
          <w:szCs w:val="24"/>
        </w:rPr>
        <w:t>This looks at organisations rather than individuals, this highlights the admissions negligence.</w:t>
      </w:r>
    </w:p>
    <w:p w14:paraId="55DC08F2" w14:textId="27C2A2EB" w:rsidR="003931CC" w:rsidRPr="00A21BE6" w:rsidRDefault="003931CC">
      <w:r>
        <w:rPr>
          <w:sz w:val="24"/>
          <w:szCs w:val="24"/>
        </w:rPr>
        <w:t xml:space="preserve">A contractual duty is initially the employment contract. This includes and sets out an agreement for the employee which includes their employment conditions, responsibilities in the workplace, their </w:t>
      </w:r>
      <w:proofErr w:type="gramStart"/>
      <w:r>
        <w:rPr>
          <w:sz w:val="24"/>
          <w:szCs w:val="24"/>
        </w:rPr>
        <w:t>rights</w:t>
      </w:r>
      <w:proofErr w:type="gramEnd"/>
      <w:r>
        <w:rPr>
          <w:sz w:val="24"/>
          <w:szCs w:val="24"/>
        </w:rPr>
        <w:t xml:space="preserve"> and duties within the workplace.</w:t>
      </w:r>
      <w:r w:rsidR="006130C6">
        <w:rPr>
          <w:sz w:val="24"/>
          <w:szCs w:val="24"/>
        </w:rPr>
        <w:t xml:space="preserve"> If the organisation is unable to do so, then ‘’</w:t>
      </w:r>
      <w:r w:rsidR="006130C6" w:rsidRPr="006130C6">
        <w:t xml:space="preserve"> </w:t>
      </w:r>
      <w:r w:rsidR="006130C6">
        <w:t>t</w:t>
      </w:r>
      <w:r w:rsidR="006130C6">
        <w:t>he contractor is liable for any loss or damage caused</w:t>
      </w:r>
      <w:r w:rsidR="006130C6">
        <w:t>.’’ (Council of the European Union, 2016)</w:t>
      </w:r>
      <w:r w:rsidR="006130C6">
        <w:rPr>
          <w:sz w:val="24"/>
          <w:szCs w:val="24"/>
        </w:rPr>
        <w:t xml:space="preserve">. </w:t>
      </w:r>
      <w:r>
        <w:rPr>
          <w:sz w:val="24"/>
          <w:szCs w:val="24"/>
        </w:rPr>
        <w:t>These are also seen as ‘</w:t>
      </w:r>
      <w:r w:rsidR="00F4068D">
        <w:rPr>
          <w:sz w:val="24"/>
          <w:szCs w:val="24"/>
        </w:rPr>
        <w:t>terms</w:t>
      </w:r>
      <w:r>
        <w:rPr>
          <w:sz w:val="24"/>
          <w:szCs w:val="24"/>
        </w:rPr>
        <w:t>.</w:t>
      </w:r>
      <w:r w:rsidR="00F4068D">
        <w:rPr>
          <w:sz w:val="24"/>
          <w:szCs w:val="24"/>
        </w:rPr>
        <w:t xml:space="preserve"> Furthermore, a contractual duty is underlining </w:t>
      </w:r>
      <w:r w:rsidR="00F4068D">
        <w:rPr>
          <w:sz w:val="24"/>
          <w:szCs w:val="24"/>
        </w:rPr>
        <w:lastRenderedPageBreak/>
        <w:t xml:space="preserve">that a party/ organisation is liable and legally responsible to provide a contract agreement. Usually, in this type of contract, each side of the party gives either products, </w:t>
      </w:r>
      <w:proofErr w:type="gramStart"/>
      <w:r w:rsidR="00F4068D">
        <w:rPr>
          <w:sz w:val="24"/>
          <w:szCs w:val="24"/>
        </w:rPr>
        <w:t>money</w:t>
      </w:r>
      <w:proofErr w:type="gramEnd"/>
      <w:r w:rsidR="00F4068D">
        <w:rPr>
          <w:sz w:val="24"/>
          <w:szCs w:val="24"/>
        </w:rPr>
        <w:t xml:space="preserve"> or their services to the other party. On each side of the agreement, each party can then have obligations in the matter with the exchange. </w:t>
      </w:r>
      <w:r w:rsidR="00A21BE6">
        <w:rPr>
          <w:sz w:val="24"/>
          <w:szCs w:val="24"/>
        </w:rPr>
        <w:t>‘</w:t>
      </w:r>
      <w:r w:rsidR="00A21BE6" w:rsidRPr="00A21BE6">
        <w:t>’</w:t>
      </w:r>
      <w:r w:rsidR="00A21BE6" w:rsidRPr="00A21BE6">
        <w:t>contract law help to minimise conflict</w:t>
      </w:r>
      <w:r w:rsidR="00A21BE6">
        <w:t>’</w:t>
      </w:r>
      <w:proofErr w:type="gramStart"/>
      <w:r w:rsidR="00A21BE6">
        <w:t>’(</w:t>
      </w:r>
      <w:proofErr w:type="gramEnd"/>
      <w:r w:rsidR="00A21BE6" w:rsidRPr="00A21BE6">
        <w:t>Paul MacMahon</w:t>
      </w:r>
      <w:r w:rsidR="00A21BE6" w:rsidRPr="00A21BE6">
        <w:t>,2018)</w:t>
      </w:r>
      <w:r w:rsidR="00A21BE6">
        <w:t>. Furthermore, ‘’strict liability is usually thought to stand in need of special explanation or justification.’</w:t>
      </w:r>
      <w:proofErr w:type="gramStart"/>
      <w:r w:rsidR="00A21BE6">
        <w:t>’</w:t>
      </w:r>
      <w:r w:rsidR="00E860F9">
        <w:t>(</w:t>
      </w:r>
      <w:proofErr w:type="spellStart"/>
      <w:proofErr w:type="gramEnd"/>
      <w:r w:rsidR="00E860F9">
        <w:t>Niick</w:t>
      </w:r>
      <w:proofErr w:type="spellEnd"/>
      <w:r w:rsidR="00E860F9">
        <w:t xml:space="preserve"> Sage,2019).</w:t>
      </w:r>
    </w:p>
    <w:p w14:paraId="748A2E2B" w14:textId="0CA95150" w:rsidR="006130C6" w:rsidRDefault="00555C3F">
      <w:pPr>
        <w:rPr>
          <w:rFonts w:ascii="Segoe UI" w:hAnsi="Segoe UI" w:cs="Segoe UI"/>
          <w:color w:val="000000" w:themeColor="text1"/>
          <w:sz w:val="24"/>
          <w:szCs w:val="24"/>
          <w:shd w:val="clear" w:color="auto" w:fill="FFFFFF"/>
        </w:rPr>
      </w:pPr>
      <w:r>
        <w:rPr>
          <w:sz w:val="24"/>
          <w:szCs w:val="24"/>
        </w:rPr>
        <w:t xml:space="preserve">In terms of duty of care, </w:t>
      </w:r>
      <w:r w:rsidR="00D55280">
        <w:rPr>
          <w:sz w:val="24"/>
          <w:szCs w:val="24"/>
        </w:rPr>
        <w:t>‘’ ’Duty’ is a term that is used in several areas of the law’</w:t>
      </w:r>
      <w:r w:rsidR="00B85092">
        <w:rPr>
          <w:sz w:val="24"/>
          <w:szCs w:val="24"/>
        </w:rPr>
        <w:t>’ (</w:t>
      </w:r>
      <w:r w:rsidR="00D55280">
        <w:rPr>
          <w:sz w:val="24"/>
          <w:szCs w:val="24"/>
        </w:rPr>
        <w:t xml:space="preserve">Chris Dent,2020). A </w:t>
      </w:r>
      <w:r>
        <w:rPr>
          <w:sz w:val="24"/>
          <w:szCs w:val="24"/>
        </w:rPr>
        <w:t>clear case that is given and shown in the case of R v Evans [2009]. Evans bought heroin and decided to give the drug to her half-sister who then took the drug herself. Evans recognised that her sister has the symptoms of akin which is seen in those who have overdosed. Instead calling for medical attention, they decided to keep quiet as they thought they would get into trouble. The victim then dead the following morning. The cause of death was from the heroin that she had taken. The jury convicted Evans as she had the duty of care. ‘</w:t>
      </w:r>
      <w:r w:rsidRPr="00555C3F">
        <w:rPr>
          <w:color w:val="000000" w:themeColor="text1"/>
          <w:sz w:val="28"/>
          <w:szCs w:val="28"/>
        </w:rPr>
        <w:t>’</w:t>
      </w:r>
      <w:r w:rsidRPr="00555C3F">
        <w:rPr>
          <w:rFonts w:cstheme="minorHAnsi"/>
          <w:color w:val="000000" w:themeColor="text1"/>
          <w:sz w:val="24"/>
          <w:szCs w:val="24"/>
          <w:shd w:val="clear" w:color="auto" w:fill="FFFFFF"/>
        </w:rPr>
        <w:t>Further, she argued that the judge was wrong to leave the question of duty of care to the jury and that doing so conflicted the </w:t>
      </w:r>
      <w:r w:rsidRPr="004C1891">
        <w:rPr>
          <w:rStyle w:val="Strong"/>
          <w:rFonts w:cstheme="minorHAnsi"/>
          <w:b w:val="0"/>
          <w:bCs w:val="0"/>
          <w:color w:val="000000" w:themeColor="text1"/>
          <w:sz w:val="24"/>
          <w:szCs w:val="24"/>
          <w:shd w:val="clear" w:color="auto" w:fill="FFFFFF"/>
        </w:rPr>
        <w:t>European Convention on Human Rights 1950 Article 6 and 7</w:t>
      </w:r>
      <w:r w:rsidRPr="00555C3F">
        <w:rPr>
          <w:rFonts w:cstheme="minorHAnsi"/>
          <w:color w:val="000000" w:themeColor="text1"/>
          <w:sz w:val="24"/>
          <w:szCs w:val="24"/>
          <w:shd w:val="clear" w:color="auto" w:fill="FFFFFF"/>
        </w:rPr>
        <w:t>.</w:t>
      </w:r>
      <w:r w:rsidRPr="00555C3F">
        <w:rPr>
          <w:rFonts w:cstheme="minorHAnsi"/>
          <w:color w:val="000000" w:themeColor="text1"/>
          <w:sz w:val="24"/>
          <w:szCs w:val="24"/>
          <w:shd w:val="clear" w:color="auto" w:fill="FFFFFF"/>
        </w:rPr>
        <w:t>’’</w:t>
      </w:r>
      <w:r w:rsidRPr="00555C3F">
        <w:rPr>
          <w:rFonts w:ascii="Segoe UI" w:hAnsi="Segoe UI" w:cs="Segoe UI"/>
          <w:color w:val="000000" w:themeColor="text1"/>
          <w:sz w:val="24"/>
          <w:szCs w:val="24"/>
          <w:shd w:val="clear" w:color="auto" w:fill="FFFFFF"/>
        </w:rPr>
        <w:t xml:space="preserve"> </w:t>
      </w:r>
      <w:r w:rsidR="00A90ED3">
        <w:rPr>
          <w:rFonts w:ascii="Segoe UI" w:hAnsi="Segoe UI" w:cs="Segoe UI"/>
          <w:color w:val="000000" w:themeColor="text1"/>
          <w:sz w:val="24"/>
          <w:szCs w:val="24"/>
          <w:shd w:val="clear" w:color="auto" w:fill="FFFFFF"/>
        </w:rPr>
        <w:t>(</w:t>
      </w:r>
      <w:r w:rsidR="00A90ED3" w:rsidRPr="00A90ED3">
        <w:rPr>
          <w:rFonts w:cstheme="minorHAnsi"/>
          <w:color w:val="000000" w:themeColor="text1"/>
          <w:sz w:val="24"/>
          <w:szCs w:val="24"/>
          <w:shd w:val="clear" w:color="auto" w:fill="FFFFFF"/>
        </w:rPr>
        <w:t>Law Teacher, 2013</w:t>
      </w:r>
      <w:r w:rsidR="00A90ED3">
        <w:rPr>
          <w:rFonts w:ascii="Segoe UI" w:hAnsi="Segoe UI" w:cs="Segoe UI"/>
          <w:color w:val="000000" w:themeColor="text1"/>
          <w:sz w:val="24"/>
          <w:szCs w:val="24"/>
          <w:shd w:val="clear" w:color="auto" w:fill="FFFFFF"/>
        </w:rPr>
        <w:t>).</w:t>
      </w:r>
      <w:r w:rsidR="00D55280">
        <w:rPr>
          <w:rFonts w:ascii="Segoe UI" w:hAnsi="Segoe UI" w:cs="Segoe UI"/>
          <w:color w:val="000000" w:themeColor="text1"/>
          <w:sz w:val="24"/>
          <w:szCs w:val="24"/>
          <w:shd w:val="clear" w:color="auto" w:fill="FFFFFF"/>
        </w:rPr>
        <w:t xml:space="preserve"> </w:t>
      </w:r>
    </w:p>
    <w:p w14:paraId="56A1300B" w14:textId="73043B11" w:rsidR="005C00AF" w:rsidRPr="005C00AF" w:rsidRDefault="005C00AF">
      <w:pPr>
        <w:rPr>
          <w:rFonts w:cstheme="minorHAnsi"/>
          <w:sz w:val="24"/>
          <w:szCs w:val="24"/>
        </w:rPr>
      </w:pPr>
      <w:r>
        <w:rPr>
          <w:rFonts w:cstheme="minorHAnsi"/>
          <w:color w:val="000000" w:themeColor="text1"/>
          <w:sz w:val="24"/>
          <w:szCs w:val="24"/>
          <w:shd w:val="clear" w:color="auto" w:fill="FFFFFF"/>
        </w:rPr>
        <w:t xml:space="preserve">General duty to act is providing workers with a safe environment, avoiding any hazards that may cause injuries or death. </w:t>
      </w:r>
      <w:r w:rsidR="00C454A5">
        <w:rPr>
          <w:rFonts w:cstheme="minorHAnsi"/>
          <w:color w:val="000000" w:themeColor="text1"/>
          <w:sz w:val="24"/>
          <w:szCs w:val="24"/>
          <w:shd w:val="clear" w:color="auto" w:fill="FFFFFF"/>
        </w:rPr>
        <w:t>‘’ Legal should also be equitable, and conversely.’</w:t>
      </w:r>
      <w:proofErr w:type="gramStart"/>
      <w:r w:rsidR="00C454A5">
        <w:rPr>
          <w:rFonts w:cstheme="minorHAnsi"/>
          <w:color w:val="000000" w:themeColor="text1"/>
          <w:sz w:val="24"/>
          <w:szCs w:val="24"/>
          <w:shd w:val="clear" w:color="auto" w:fill="FFFFFF"/>
        </w:rPr>
        <w:t>’(</w:t>
      </w:r>
      <w:proofErr w:type="gramEnd"/>
      <w:r w:rsidR="00C454A5" w:rsidRPr="00313C8F">
        <w:rPr>
          <w:rFonts w:cstheme="minorHAnsi"/>
          <w:color w:val="333333"/>
          <w:sz w:val="24"/>
          <w:szCs w:val="24"/>
          <w:shd w:val="clear" w:color="auto" w:fill="FFFFFF"/>
        </w:rPr>
        <w:t>Catherine Valcke</w:t>
      </w:r>
      <w:r w:rsidR="00C454A5" w:rsidRPr="00313C8F">
        <w:rPr>
          <w:rFonts w:cstheme="minorHAnsi"/>
          <w:color w:val="333333"/>
          <w:sz w:val="24"/>
          <w:szCs w:val="24"/>
          <w:shd w:val="clear" w:color="auto" w:fill="FFFFFF"/>
        </w:rPr>
        <w:t>,2019</w:t>
      </w:r>
      <w:r w:rsidR="00C454A5">
        <w:rPr>
          <w:rFonts w:cstheme="minorHAnsi"/>
          <w:color w:val="000000" w:themeColor="text1"/>
          <w:sz w:val="24"/>
          <w:szCs w:val="24"/>
          <w:shd w:val="clear" w:color="auto" w:fill="FFFFFF"/>
        </w:rPr>
        <w:t>).</w:t>
      </w:r>
      <w:r w:rsidR="00313C8F">
        <w:rPr>
          <w:rFonts w:cstheme="minorHAnsi"/>
          <w:color w:val="000000" w:themeColor="text1"/>
          <w:sz w:val="24"/>
          <w:szCs w:val="24"/>
          <w:shd w:val="clear" w:color="auto" w:fill="FFFFFF"/>
        </w:rPr>
        <w:t xml:space="preserve"> To conclude this assignment, all duty to care and act is necessary to the law today as everything consists of responsibility, duty to care in </w:t>
      </w:r>
      <w:proofErr w:type="gramStart"/>
      <w:r w:rsidR="00313C8F">
        <w:rPr>
          <w:rFonts w:cstheme="minorHAnsi"/>
          <w:color w:val="000000" w:themeColor="text1"/>
          <w:sz w:val="24"/>
          <w:szCs w:val="24"/>
          <w:shd w:val="clear" w:color="auto" w:fill="FFFFFF"/>
        </w:rPr>
        <w:t>work places</w:t>
      </w:r>
      <w:proofErr w:type="gramEnd"/>
      <w:r w:rsidR="00313C8F">
        <w:rPr>
          <w:rFonts w:cstheme="minorHAnsi"/>
          <w:color w:val="000000" w:themeColor="text1"/>
          <w:sz w:val="24"/>
          <w:szCs w:val="24"/>
          <w:shd w:val="clear" w:color="auto" w:fill="FFFFFF"/>
        </w:rPr>
        <w:t xml:space="preserve"> and legal relations. In law, it is important to understand the duty to care and who is liable or not in a situation.</w:t>
      </w:r>
    </w:p>
    <w:p w14:paraId="45D970E6" w14:textId="77777777" w:rsidR="00D55280" w:rsidRPr="00555C3F" w:rsidRDefault="00D55280">
      <w:pPr>
        <w:rPr>
          <w:color w:val="000000" w:themeColor="text1"/>
          <w:sz w:val="28"/>
          <w:szCs w:val="28"/>
        </w:rPr>
      </w:pPr>
    </w:p>
    <w:p w14:paraId="33C3F87B" w14:textId="77777777" w:rsidR="00324032" w:rsidRDefault="00324032">
      <w:pPr>
        <w:rPr>
          <w:sz w:val="24"/>
          <w:szCs w:val="24"/>
        </w:rPr>
      </w:pPr>
    </w:p>
    <w:p w14:paraId="72FEBF0D" w14:textId="77777777" w:rsidR="00324032" w:rsidRDefault="00324032">
      <w:pPr>
        <w:rPr>
          <w:sz w:val="24"/>
          <w:szCs w:val="24"/>
        </w:rPr>
      </w:pPr>
    </w:p>
    <w:p w14:paraId="02BA05E1" w14:textId="77777777" w:rsidR="00324032" w:rsidRDefault="00324032">
      <w:pPr>
        <w:rPr>
          <w:sz w:val="24"/>
          <w:szCs w:val="24"/>
        </w:rPr>
      </w:pPr>
    </w:p>
    <w:p w14:paraId="13CF38F1" w14:textId="77777777" w:rsidR="00324032" w:rsidRDefault="00324032">
      <w:pPr>
        <w:rPr>
          <w:sz w:val="24"/>
          <w:szCs w:val="24"/>
        </w:rPr>
      </w:pPr>
    </w:p>
    <w:p w14:paraId="0EC36D3C" w14:textId="77777777" w:rsidR="00324032" w:rsidRDefault="00324032">
      <w:pPr>
        <w:rPr>
          <w:sz w:val="24"/>
          <w:szCs w:val="24"/>
        </w:rPr>
      </w:pPr>
    </w:p>
    <w:p w14:paraId="4118D4EC" w14:textId="0FC835C5" w:rsidR="00FE2D78" w:rsidRPr="00324032" w:rsidRDefault="00FE2D78">
      <w:pPr>
        <w:rPr>
          <w:sz w:val="24"/>
          <w:szCs w:val="24"/>
          <w:u w:val="single"/>
        </w:rPr>
      </w:pPr>
      <w:r w:rsidRPr="00324032">
        <w:rPr>
          <w:sz w:val="24"/>
          <w:szCs w:val="24"/>
          <w:u w:val="single"/>
        </w:rPr>
        <w:t xml:space="preserve">References </w:t>
      </w:r>
    </w:p>
    <w:p w14:paraId="45D50B38" w14:textId="77777777" w:rsidR="004C1891" w:rsidRPr="004C1891" w:rsidRDefault="004C1891" w:rsidP="00FE2D78">
      <w:pPr>
        <w:pStyle w:val="ListParagraph"/>
        <w:numPr>
          <w:ilvl w:val="0"/>
          <w:numId w:val="1"/>
        </w:numPr>
        <w:rPr>
          <w:rFonts w:cstheme="minorHAnsi"/>
          <w:sz w:val="28"/>
          <w:szCs w:val="28"/>
        </w:rPr>
      </w:pPr>
      <w:r w:rsidRPr="004C1891">
        <w:rPr>
          <w:rFonts w:cstheme="minorHAnsi"/>
          <w:color w:val="181817"/>
          <w:sz w:val="24"/>
          <w:szCs w:val="24"/>
          <w:shd w:val="clear" w:color="auto" w:fill="CAE7FF"/>
        </w:rPr>
        <w:t xml:space="preserve">Ambos, K. (2020). Omissions. In K. Ambos, A. Duff, J. Roberts, T. </w:t>
      </w:r>
      <w:proofErr w:type="spellStart"/>
      <w:r w:rsidRPr="004C1891">
        <w:rPr>
          <w:rFonts w:cstheme="minorHAnsi"/>
          <w:color w:val="181817"/>
          <w:sz w:val="24"/>
          <w:szCs w:val="24"/>
          <w:shd w:val="clear" w:color="auto" w:fill="CAE7FF"/>
        </w:rPr>
        <w:t>Weigend</w:t>
      </w:r>
      <w:proofErr w:type="spellEnd"/>
      <w:r w:rsidRPr="004C1891">
        <w:rPr>
          <w:rFonts w:cstheme="minorHAnsi"/>
          <w:color w:val="181817"/>
          <w:sz w:val="24"/>
          <w:szCs w:val="24"/>
          <w:shd w:val="clear" w:color="auto" w:fill="CAE7FF"/>
        </w:rPr>
        <w:t>, &amp; A. Heinze (Eds.), </w:t>
      </w:r>
      <w:r w:rsidRPr="004C1891">
        <w:rPr>
          <w:rFonts w:cstheme="minorHAnsi"/>
          <w:i/>
          <w:iCs/>
          <w:color w:val="181817"/>
          <w:sz w:val="24"/>
          <w:szCs w:val="24"/>
          <w:bdr w:val="none" w:sz="0" w:space="0" w:color="auto" w:frame="1"/>
          <w:shd w:val="clear" w:color="auto" w:fill="CAE7FF"/>
        </w:rPr>
        <w:t>Core Concepts in Criminal Law and Criminal Justice: Volume I</w:t>
      </w:r>
      <w:r w:rsidRPr="004C1891">
        <w:rPr>
          <w:rFonts w:cstheme="minorHAnsi"/>
          <w:color w:val="181817"/>
          <w:sz w:val="24"/>
          <w:szCs w:val="24"/>
          <w:shd w:val="clear" w:color="auto" w:fill="CAE7FF"/>
        </w:rPr>
        <w:t> (pp. 17-53).</w:t>
      </w:r>
    </w:p>
    <w:p w14:paraId="191C3A0A" w14:textId="77777777" w:rsidR="004C1891" w:rsidRDefault="004C1891" w:rsidP="00FE2D78">
      <w:pPr>
        <w:pStyle w:val="ListParagraph"/>
        <w:numPr>
          <w:ilvl w:val="0"/>
          <w:numId w:val="1"/>
        </w:numPr>
        <w:rPr>
          <w:sz w:val="24"/>
          <w:szCs w:val="24"/>
        </w:rPr>
      </w:pPr>
      <w:bookmarkStart w:id="0" w:name="_Hlk118805205"/>
      <w:r w:rsidRPr="00547201">
        <w:rPr>
          <w:sz w:val="24"/>
          <w:szCs w:val="24"/>
        </w:rPr>
        <w:t xml:space="preserve">Baker, Dennis. (2012). </w:t>
      </w:r>
      <w:bookmarkEnd w:id="0"/>
      <w:r w:rsidRPr="00547201">
        <w:rPr>
          <w:sz w:val="24"/>
          <w:szCs w:val="24"/>
        </w:rPr>
        <w:t xml:space="preserve">Omissions Liability for Homicide Offences: Reconciling R V Kennedy with R V Evans. The Journal of Criminal Law. </w:t>
      </w:r>
    </w:p>
    <w:p w14:paraId="6AEB4B2D" w14:textId="77777777" w:rsidR="004C1891" w:rsidRPr="004C1891" w:rsidRDefault="004C1891" w:rsidP="00FE2D78">
      <w:pPr>
        <w:pStyle w:val="ListParagraph"/>
        <w:numPr>
          <w:ilvl w:val="0"/>
          <w:numId w:val="1"/>
        </w:numPr>
        <w:rPr>
          <w:rFonts w:cstheme="minorHAnsi"/>
          <w:sz w:val="24"/>
          <w:szCs w:val="24"/>
        </w:rPr>
      </w:pPr>
      <w:r w:rsidRPr="004C1891">
        <w:rPr>
          <w:rFonts w:cstheme="minorHAnsi"/>
          <w:color w:val="333333"/>
          <w:sz w:val="24"/>
          <w:szCs w:val="24"/>
          <w:shd w:val="clear" w:color="auto" w:fill="FFFFFF"/>
        </w:rPr>
        <w:t xml:space="preserve">Catherine Valcke, Bhasin v </w:t>
      </w:r>
      <w:proofErr w:type="spellStart"/>
      <w:r w:rsidRPr="004C1891">
        <w:rPr>
          <w:rFonts w:cstheme="minorHAnsi"/>
          <w:color w:val="333333"/>
          <w:sz w:val="24"/>
          <w:szCs w:val="24"/>
          <w:shd w:val="clear" w:color="auto" w:fill="FFFFFF"/>
        </w:rPr>
        <w:t>Hrynew</w:t>
      </w:r>
      <w:proofErr w:type="spellEnd"/>
      <w:r w:rsidRPr="004C1891">
        <w:rPr>
          <w:rFonts w:cstheme="minorHAnsi"/>
          <w:i/>
          <w:iCs/>
          <w:color w:val="333333"/>
          <w:sz w:val="24"/>
          <w:szCs w:val="24"/>
          <w:shd w:val="clear" w:color="auto" w:fill="FFFFFF"/>
        </w:rPr>
        <w:t>: Why a General Duty of Good Faith Would Be Out of Place in English Canadian Contract Law</w:t>
      </w:r>
      <w:r w:rsidRPr="004C1891">
        <w:rPr>
          <w:rFonts w:cstheme="minorHAnsi"/>
          <w:color w:val="333333"/>
          <w:sz w:val="24"/>
          <w:szCs w:val="24"/>
          <w:shd w:val="clear" w:color="auto" w:fill="FFFFFF"/>
        </w:rPr>
        <w:t>, 1 </w:t>
      </w:r>
      <w:r w:rsidRPr="004C1891">
        <w:rPr>
          <w:rFonts w:cstheme="minorHAnsi"/>
          <w:smallCaps/>
          <w:color w:val="333333"/>
          <w:sz w:val="24"/>
          <w:szCs w:val="24"/>
          <w:shd w:val="clear" w:color="auto" w:fill="FFFFFF"/>
        </w:rPr>
        <w:t>Journal of Commonwealth Law</w:t>
      </w:r>
      <w:r w:rsidRPr="004C1891">
        <w:rPr>
          <w:rFonts w:cstheme="minorHAnsi"/>
          <w:color w:val="333333"/>
          <w:sz w:val="24"/>
          <w:szCs w:val="24"/>
          <w:shd w:val="clear" w:color="auto" w:fill="FFFFFF"/>
        </w:rPr>
        <w:t> (2019).</w:t>
      </w:r>
    </w:p>
    <w:p w14:paraId="5FAFEA5E" w14:textId="77777777" w:rsidR="004C1891" w:rsidRPr="00FE791E" w:rsidRDefault="004C1891" w:rsidP="00FE2D78">
      <w:pPr>
        <w:pStyle w:val="ListParagraph"/>
        <w:numPr>
          <w:ilvl w:val="0"/>
          <w:numId w:val="1"/>
        </w:numPr>
        <w:rPr>
          <w:sz w:val="28"/>
          <w:szCs w:val="28"/>
        </w:rPr>
      </w:pPr>
      <w:r w:rsidRPr="007F593A">
        <w:rPr>
          <w:sz w:val="24"/>
          <w:szCs w:val="24"/>
        </w:rPr>
        <w:t xml:space="preserve">Chan, W., &amp; Simester, A.P. (2011). Four functions of mens rea. The Cambridge Law Journal, Vol. 70, No. 2, pp. 381 </w:t>
      </w:r>
      <w:r>
        <w:rPr>
          <w:sz w:val="24"/>
          <w:szCs w:val="24"/>
        </w:rPr>
        <w:t>–</w:t>
      </w:r>
      <w:r w:rsidRPr="007F593A">
        <w:rPr>
          <w:sz w:val="24"/>
          <w:szCs w:val="24"/>
        </w:rPr>
        <w:t xml:space="preserve"> 396</w:t>
      </w:r>
    </w:p>
    <w:p w14:paraId="7ABEFD13" w14:textId="77777777" w:rsidR="004C1891" w:rsidRPr="004C1891" w:rsidRDefault="004C1891" w:rsidP="00FE2D78">
      <w:pPr>
        <w:pStyle w:val="ListParagraph"/>
        <w:numPr>
          <w:ilvl w:val="0"/>
          <w:numId w:val="1"/>
        </w:numPr>
        <w:rPr>
          <w:rFonts w:cstheme="minorHAnsi"/>
          <w:sz w:val="28"/>
          <w:szCs w:val="28"/>
        </w:rPr>
      </w:pPr>
      <w:r w:rsidRPr="004C1891">
        <w:rPr>
          <w:rFonts w:cstheme="minorHAnsi"/>
          <w:color w:val="2A2A2A"/>
          <w:sz w:val="24"/>
          <w:szCs w:val="24"/>
          <w:shd w:val="clear" w:color="auto" w:fill="FFFFFF"/>
        </w:rPr>
        <w:lastRenderedPageBreak/>
        <w:t>Chris Dent, The Introduction of Duty into English Law and the Development of the Legal Subject, </w:t>
      </w:r>
      <w:r w:rsidRPr="004C1891">
        <w:rPr>
          <w:rStyle w:val="Emphasis"/>
          <w:rFonts w:cstheme="minorHAnsi"/>
          <w:color w:val="2A2A2A"/>
          <w:sz w:val="24"/>
          <w:szCs w:val="24"/>
          <w:bdr w:val="none" w:sz="0" w:space="0" w:color="auto" w:frame="1"/>
          <w:shd w:val="clear" w:color="auto" w:fill="FFFFFF"/>
        </w:rPr>
        <w:t>Oxford Journal of Legal Studies</w:t>
      </w:r>
      <w:r w:rsidRPr="004C1891">
        <w:rPr>
          <w:rFonts w:cstheme="minorHAnsi"/>
          <w:color w:val="2A2A2A"/>
          <w:sz w:val="24"/>
          <w:szCs w:val="24"/>
          <w:shd w:val="clear" w:color="auto" w:fill="FFFFFF"/>
        </w:rPr>
        <w:t>, Volume 40, Issue 1, March 2020, Pages 158–182,</w:t>
      </w:r>
      <w:r w:rsidRPr="004C1891">
        <w:rPr>
          <w:rFonts w:cstheme="minorHAnsi"/>
          <w:color w:val="2A2A2A"/>
          <w:sz w:val="24"/>
          <w:szCs w:val="24"/>
          <w:shd w:val="clear" w:color="auto" w:fill="FFFFFF"/>
        </w:rPr>
        <w:t xml:space="preserve"> </w:t>
      </w:r>
    </w:p>
    <w:p w14:paraId="0BFFB572" w14:textId="77777777" w:rsidR="004C1891" w:rsidRPr="00A90ED3" w:rsidRDefault="004C1891" w:rsidP="00FE2D78">
      <w:pPr>
        <w:pStyle w:val="ListParagraph"/>
        <w:numPr>
          <w:ilvl w:val="0"/>
          <w:numId w:val="1"/>
        </w:numPr>
        <w:rPr>
          <w:sz w:val="28"/>
          <w:szCs w:val="28"/>
        </w:rPr>
      </w:pPr>
      <w:r>
        <w:rPr>
          <w:sz w:val="24"/>
          <w:szCs w:val="24"/>
        </w:rPr>
        <w:t>Council of the European Union, General Secretariat, 2016</w:t>
      </w:r>
    </w:p>
    <w:p w14:paraId="6BE08D7C" w14:textId="77777777" w:rsidR="004C1891" w:rsidRPr="004C1891" w:rsidRDefault="004C1891" w:rsidP="00FE2D78">
      <w:pPr>
        <w:pStyle w:val="ListParagraph"/>
        <w:numPr>
          <w:ilvl w:val="0"/>
          <w:numId w:val="1"/>
        </w:numPr>
        <w:rPr>
          <w:rFonts w:cstheme="minorHAnsi"/>
          <w:sz w:val="28"/>
          <w:szCs w:val="28"/>
        </w:rPr>
      </w:pPr>
      <w:r w:rsidRPr="004C1891">
        <w:rPr>
          <w:rFonts w:cstheme="minorHAnsi"/>
          <w:color w:val="181817"/>
          <w:sz w:val="24"/>
          <w:szCs w:val="24"/>
          <w:shd w:val="clear" w:color="auto" w:fill="CAE7FF"/>
        </w:rPr>
        <w:t>Dill, J. (2019). Do attackers have a legal duty of care? Limits to the ‘individualization of war’. </w:t>
      </w:r>
      <w:r w:rsidRPr="004C1891">
        <w:rPr>
          <w:rFonts w:cstheme="minorHAnsi"/>
          <w:i/>
          <w:iCs/>
          <w:color w:val="181817"/>
          <w:sz w:val="24"/>
          <w:szCs w:val="24"/>
          <w:bdr w:val="none" w:sz="0" w:space="0" w:color="auto" w:frame="1"/>
          <w:shd w:val="clear" w:color="auto" w:fill="CAE7FF"/>
        </w:rPr>
        <w:t>International Theory,</w:t>
      </w:r>
      <w:r w:rsidRPr="004C1891">
        <w:rPr>
          <w:rFonts w:cstheme="minorHAnsi"/>
          <w:color w:val="181817"/>
          <w:sz w:val="24"/>
          <w:szCs w:val="24"/>
          <w:shd w:val="clear" w:color="auto" w:fill="CAE7FF"/>
        </w:rPr>
        <w:t> </w:t>
      </w:r>
      <w:r w:rsidRPr="004C1891">
        <w:rPr>
          <w:rFonts w:cstheme="minorHAnsi"/>
          <w:i/>
          <w:iCs/>
          <w:color w:val="181817"/>
          <w:sz w:val="24"/>
          <w:szCs w:val="24"/>
          <w:bdr w:val="none" w:sz="0" w:space="0" w:color="auto" w:frame="1"/>
          <w:shd w:val="clear" w:color="auto" w:fill="CAE7FF"/>
        </w:rPr>
        <w:t>11</w:t>
      </w:r>
      <w:r w:rsidRPr="004C1891">
        <w:rPr>
          <w:rFonts w:cstheme="minorHAnsi"/>
          <w:color w:val="181817"/>
          <w:sz w:val="24"/>
          <w:szCs w:val="24"/>
          <w:shd w:val="clear" w:color="auto" w:fill="CAE7FF"/>
        </w:rPr>
        <w:t>(1), 1-25.</w:t>
      </w:r>
    </w:p>
    <w:p w14:paraId="20A0BB4B" w14:textId="77777777" w:rsidR="004C1891" w:rsidRPr="006130C6" w:rsidRDefault="004C1891" w:rsidP="00FE2D78">
      <w:pPr>
        <w:pStyle w:val="ListParagraph"/>
        <w:numPr>
          <w:ilvl w:val="0"/>
          <w:numId w:val="1"/>
        </w:numPr>
        <w:rPr>
          <w:sz w:val="28"/>
          <w:szCs w:val="28"/>
        </w:rPr>
      </w:pPr>
      <w:r>
        <w:rPr>
          <w:sz w:val="24"/>
          <w:szCs w:val="24"/>
        </w:rPr>
        <w:t>Foster Michelle (2021). Oxford Bibliographies, actus reus.</w:t>
      </w:r>
    </w:p>
    <w:p w14:paraId="513DFFCA" w14:textId="77777777" w:rsidR="004C1891" w:rsidRDefault="004C1891" w:rsidP="00FE2D78">
      <w:pPr>
        <w:pStyle w:val="ListParagraph"/>
        <w:numPr>
          <w:ilvl w:val="0"/>
          <w:numId w:val="1"/>
        </w:numPr>
        <w:rPr>
          <w:sz w:val="24"/>
          <w:szCs w:val="24"/>
        </w:rPr>
      </w:pPr>
      <w:r>
        <w:rPr>
          <w:sz w:val="24"/>
          <w:szCs w:val="24"/>
        </w:rPr>
        <w:t>Isaacs David 2019 duty of care, journal of paediatrics and child health/ volume 55, issue 3/ p.258-259</w:t>
      </w:r>
    </w:p>
    <w:p w14:paraId="528AD687" w14:textId="77777777" w:rsidR="004C1891" w:rsidRDefault="004C1891" w:rsidP="00FE2D78">
      <w:pPr>
        <w:pStyle w:val="ListParagraph"/>
        <w:numPr>
          <w:ilvl w:val="0"/>
          <w:numId w:val="1"/>
        </w:numPr>
        <w:rPr>
          <w:sz w:val="24"/>
          <w:szCs w:val="24"/>
        </w:rPr>
      </w:pPr>
      <w:proofErr w:type="spellStart"/>
      <w:r w:rsidRPr="00A90ED3">
        <w:rPr>
          <w:sz w:val="24"/>
          <w:szCs w:val="24"/>
        </w:rPr>
        <w:t>LawTeacher</w:t>
      </w:r>
      <w:proofErr w:type="spellEnd"/>
      <w:r w:rsidRPr="00A90ED3">
        <w:rPr>
          <w:sz w:val="24"/>
          <w:szCs w:val="24"/>
        </w:rPr>
        <w:t>. November 2013. R v Evans - 2009. [online]. Available from: https://www.lawteacher.net/cases/r-v-evans.php?vref=1 [Accessed 3 November 2022].</w:t>
      </w:r>
    </w:p>
    <w:p w14:paraId="3354D355" w14:textId="77777777" w:rsidR="004C1891" w:rsidRPr="004C1891" w:rsidRDefault="004C1891" w:rsidP="00FE2D78">
      <w:pPr>
        <w:pStyle w:val="ListParagraph"/>
        <w:numPr>
          <w:ilvl w:val="0"/>
          <w:numId w:val="1"/>
        </w:numPr>
        <w:rPr>
          <w:rFonts w:cstheme="minorHAnsi"/>
        </w:rPr>
      </w:pPr>
      <w:r w:rsidRPr="004C1891">
        <w:rPr>
          <w:rFonts w:cstheme="minorHAnsi"/>
          <w:color w:val="212121"/>
          <w:sz w:val="24"/>
          <w:szCs w:val="24"/>
          <w:shd w:val="clear" w:color="auto" w:fill="FFFFFF"/>
        </w:rPr>
        <w:t xml:space="preserve">McDiarmid, M., Condon, M., &amp; </w:t>
      </w:r>
      <w:proofErr w:type="spellStart"/>
      <w:r w:rsidRPr="004C1891">
        <w:rPr>
          <w:rFonts w:cstheme="minorHAnsi"/>
          <w:color w:val="212121"/>
          <w:sz w:val="24"/>
          <w:szCs w:val="24"/>
          <w:shd w:val="clear" w:color="auto" w:fill="FFFFFF"/>
        </w:rPr>
        <w:t>Gaitens</w:t>
      </w:r>
      <w:proofErr w:type="spellEnd"/>
      <w:r w:rsidRPr="004C1891">
        <w:rPr>
          <w:rFonts w:cstheme="minorHAnsi"/>
          <w:color w:val="212121"/>
          <w:sz w:val="24"/>
          <w:szCs w:val="24"/>
          <w:shd w:val="clear" w:color="auto" w:fill="FFFFFF"/>
        </w:rPr>
        <w:t>, J. (2021). The Healthcare Sector Employer's Duty of Care: Implications for Worker Well-Being. </w:t>
      </w:r>
      <w:r w:rsidRPr="004C1891">
        <w:rPr>
          <w:rFonts w:cstheme="minorHAnsi"/>
          <w:i/>
          <w:iCs/>
          <w:color w:val="212121"/>
          <w:sz w:val="24"/>
          <w:szCs w:val="24"/>
          <w:shd w:val="clear" w:color="auto" w:fill="FFFFFF"/>
        </w:rPr>
        <w:t>International journal of environmental research and public health</w:t>
      </w:r>
      <w:r w:rsidRPr="004C1891">
        <w:rPr>
          <w:rFonts w:cstheme="minorHAnsi"/>
          <w:color w:val="212121"/>
          <w:sz w:val="24"/>
          <w:szCs w:val="24"/>
          <w:shd w:val="clear" w:color="auto" w:fill="FFFFFF"/>
        </w:rPr>
        <w:t>, </w:t>
      </w:r>
      <w:r w:rsidRPr="004C1891">
        <w:rPr>
          <w:rFonts w:cstheme="minorHAnsi"/>
          <w:i/>
          <w:iCs/>
          <w:color w:val="212121"/>
          <w:sz w:val="24"/>
          <w:szCs w:val="24"/>
          <w:shd w:val="clear" w:color="auto" w:fill="FFFFFF"/>
        </w:rPr>
        <w:t>18</w:t>
      </w:r>
      <w:r w:rsidRPr="004C1891">
        <w:rPr>
          <w:rFonts w:cstheme="minorHAnsi"/>
          <w:color w:val="212121"/>
          <w:sz w:val="24"/>
          <w:szCs w:val="24"/>
          <w:shd w:val="clear" w:color="auto" w:fill="FFFFFF"/>
        </w:rPr>
        <w:t>(11), 6015.</w:t>
      </w:r>
    </w:p>
    <w:p w14:paraId="583C38FF" w14:textId="77777777" w:rsidR="004C1891" w:rsidRPr="004C1891" w:rsidRDefault="004C1891" w:rsidP="00FE2D78">
      <w:pPr>
        <w:pStyle w:val="ListParagraph"/>
        <w:numPr>
          <w:ilvl w:val="0"/>
          <w:numId w:val="1"/>
        </w:numPr>
        <w:rPr>
          <w:rStyle w:val="pagerange"/>
          <w:rFonts w:cstheme="minorHAnsi"/>
          <w:sz w:val="28"/>
          <w:szCs w:val="28"/>
        </w:rPr>
      </w:pPr>
      <w:r w:rsidRPr="004C1891">
        <w:rPr>
          <w:rStyle w:val="authors"/>
          <w:rFonts w:cstheme="minorHAnsi"/>
          <w:color w:val="333333"/>
          <w:sz w:val="24"/>
          <w:szCs w:val="24"/>
          <w:shd w:val="clear" w:color="auto" w:fill="FFFFFF"/>
        </w:rPr>
        <w:t>Nick Sage</w:t>
      </w:r>
      <w:r w:rsidRPr="004C1891">
        <w:rPr>
          <w:rFonts w:cstheme="minorHAnsi"/>
          <w:color w:val="333333"/>
          <w:sz w:val="24"/>
          <w:szCs w:val="24"/>
          <w:shd w:val="clear" w:color="auto" w:fill="FFFFFF"/>
        </w:rPr>
        <w:t> </w:t>
      </w:r>
      <w:r w:rsidRPr="004C1891">
        <w:rPr>
          <w:rStyle w:val="date"/>
          <w:rFonts w:cstheme="minorHAnsi"/>
          <w:color w:val="333333"/>
          <w:sz w:val="24"/>
          <w:szCs w:val="24"/>
          <w:shd w:val="clear" w:color="auto" w:fill="FFFFFF"/>
        </w:rPr>
        <w:t>(2019)</w:t>
      </w:r>
      <w:r w:rsidRPr="004C1891">
        <w:rPr>
          <w:rFonts w:cstheme="minorHAnsi"/>
          <w:color w:val="333333"/>
          <w:sz w:val="24"/>
          <w:szCs w:val="24"/>
          <w:shd w:val="clear" w:color="auto" w:fill="FFFFFF"/>
        </w:rPr>
        <w:t> </w:t>
      </w:r>
      <w:r w:rsidRPr="004C1891">
        <w:rPr>
          <w:rStyle w:val="arttitle"/>
          <w:rFonts w:cstheme="minorHAnsi"/>
          <w:color w:val="333333"/>
          <w:sz w:val="24"/>
          <w:szCs w:val="24"/>
          <w:shd w:val="clear" w:color="auto" w:fill="FFFFFF"/>
        </w:rPr>
        <w:t>Contractual Liability and the Theory of Contract Law,</w:t>
      </w:r>
      <w:r w:rsidRPr="004C1891">
        <w:rPr>
          <w:rFonts w:cstheme="minorHAnsi"/>
          <w:color w:val="333333"/>
          <w:sz w:val="24"/>
          <w:szCs w:val="24"/>
          <w:shd w:val="clear" w:color="auto" w:fill="FFFFFF"/>
        </w:rPr>
        <w:t> </w:t>
      </w:r>
      <w:r w:rsidRPr="004C1891">
        <w:rPr>
          <w:rStyle w:val="serialtitle"/>
          <w:rFonts w:cstheme="minorHAnsi"/>
          <w:color w:val="333333"/>
          <w:sz w:val="24"/>
          <w:szCs w:val="24"/>
          <w:shd w:val="clear" w:color="auto" w:fill="FFFFFF"/>
        </w:rPr>
        <w:t>King's Law Journal,</w:t>
      </w:r>
      <w:r w:rsidRPr="004C1891">
        <w:rPr>
          <w:rFonts w:cstheme="minorHAnsi"/>
          <w:color w:val="333333"/>
          <w:sz w:val="24"/>
          <w:szCs w:val="24"/>
          <w:shd w:val="clear" w:color="auto" w:fill="FFFFFF"/>
        </w:rPr>
        <w:t> </w:t>
      </w:r>
      <w:r w:rsidRPr="004C1891">
        <w:rPr>
          <w:rStyle w:val="volumeissue"/>
          <w:rFonts w:cstheme="minorHAnsi"/>
          <w:color w:val="333333"/>
          <w:sz w:val="24"/>
          <w:szCs w:val="24"/>
          <w:shd w:val="clear" w:color="auto" w:fill="FFFFFF"/>
        </w:rPr>
        <w:t>30:3,</w:t>
      </w:r>
      <w:r w:rsidRPr="004C1891">
        <w:rPr>
          <w:rFonts w:cstheme="minorHAnsi"/>
          <w:color w:val="333333"/>
          <w:sz w:val="24"/>
          <w:szCs w:val="24"/>
          <w:shd w:val="clear" w:color="auto" w:fill="FFFFFF"/>
        </w:rPr>
        <w:t> </w:t>
      </w:r>
      <w:r w:rsidRPr="004C1891">
        <w:rPr>
          <w:rStyle w:val="pagerange"/>
          <w:rFonts w:cstheme="minorHAnsi"/>
          <w:color w:val="333333"/>
          <w:sz w:val="24"/>
          <w:szCs w:val="24"/>
          <w:shd w:val="clear" w:color="auto" w:fill="FFFFFF"/>
        </w:rPr>
        <w:t>459-488,</w:t>
      </w:r>
    </w:p>
    <w:p w14:paraId="196375AA" w14:textId="77777777" w:rsidR="004C1891" w:rsidRPr="00E860F9" w:rsidRDefault="004C1891" w:rsidP="00FE2D78">
      <w:pPr>
        <w:pStyle w:val="ListParagraph"/>
        <w:numPr>
          <w:ilvl w:val="0"/>
          <w:numId w:val="1"/>
        </w:numPr>
        <w:rPr>
          <w:sz w:val="24"/>
          <w:szCs w:val="24"/>
        </w:rPr>
      </w:pPr>
      <w:r>
        <w:rPr>
          <w:rFonts w:ascii="Source Sans Pro" w:hAnsi="Source Sans Pro"/>
          <w:color w:val="2A2A2A"/>
          <w:sz w:val="23"/>
          <w:szCs w:val="23"/>
          <w:shd w:val="clear" w:color="auto" w:fill="FFFFFF"/>
        </w:rPr>
        <w:t xml:space="preserve">Paul </w:t>
      </w:r>
      <w:proofErr w:type="spellStart"/>
      <w:r>
        <w:rPr>
          <w:rFonts w:ascii="Source Sans Pro" w:hAnsi="Source Sans Pro"/>
          <w:color w:val="2A2A2A"/>
          <w:sz w:val="23"/>
          <w:szCs w:val="23"/>
          <w:shd w:val="clear" w:color="auto" w:fill="FFFFFF"/>
        </w:rPr>
        <w:t>MacMahon</w:t>
      </w:r>
      <w:proofErr w:type="spellEnd"/>
      <w:r>
        <w:rPr>
          <w:rFonts w:ascii="Source Sans Pro" w:hAnsi="Source Sans Pro"/>
          <w:color w:val="2A2A2A"/>
          <w:sz w:val="23"/>
          <w:szCs w:val="23"/>
          <w:shd w:val="clear" w:color="auto" w:fill="FFFFFF"/>
        </w:rPr>
        <w:t>, Conflict and Contract Law, </w:t>
      </w:r>
      <w:r>
        <w:rPr>
          <w:rStyle w:val="Emphasis"/>
          <w:rFonts w:ascii="Source Sans Pro" w:hAnsi="Source Sans Pro"/>
          <w:color w:val="2A2A2A"/>
          <w:sz w:val="23"/>
          <w:szCs w:val="23"/>
          <w:bdr w:val="none" w:sz="0" w:space="0" w:color="auto" w:frame="1"/>
          <w:shd w:val="clear" w:color="auto" w:fill="FFFFFF"/>
        </w:rPr>
        <w:t>Oxford Journal of Legal Studies</w:t>
      </w:r>
      <w:r>
        <w:rPr>
          <w:rFonts w:ascii="Source Sans Pro" w:hAnsi="Source Sans Pro"/>
          <w:color w:val="2A2A2A"/>
          <w:sz w:val="23"/>
          <w:szCs w:val="23"/>
          <w:shd w:val="clear" w:color="auto" w:fill="FFFFFF"/>
        </w:rPr>
        <w:t>, Volume 38, Issue 2, Summer 2018, Pages 270–298</w:t>
      </w:r>
    </w:p>
    <w:p w14:paraId="17A5CB3C" w14:textId="77777777" w:rsidR="004C1891" w:rsidRPr="00A21BE6" w:rsidRDefault="004C1891" w:rsidP="00FE2D78">
      <w:pPr>
        <w:pStyle w:val="ListParagraph"/>
        <w:numPr>
          <w:ilvl w:val="0"/>
          <w:numId w:val="1"/>
        </w:numPr>
        <w:rPr>
          <w:sz w:val="24"/>
          <w:szCs w:val="24"/>
        </w:rPr>
      </w:pPr>
      <w:proofErr w:type="spellStart"/>
      <w:r w:rsidRPr="004C1891">
        <w:rPr>
          <w:rFonts w:cstheme="minorHAnsi"/>
          <w:color w:val="181817"/>
          <w:sz w:val="24"/>
          <w:szCs w:val="24"/>
          <w:shd w:val="clear" w:color="auto" w:fill="CAE7FF"/>
        </w:rPr>
        <w:t>Tofaris</w:t>
      </w:r>
      <w:proofErr w:type="spellEnd"/>
      <w:r w:rsidRPr="004C1891">
        <w:rPr>
          <w:rFonts w:cstheme="minorHAnsi"/>
          <w:color w:val="181817"/>
          <w:sz w:val="24"/>
          <w:szCs w:val="24"/>
          <w:shd w:val="clear" w:color="auto" w:fill="CAE7FF"/>
        </w:rPr>
        <w:t>, S. (2018). DUTY OF CARE IN NEGLIGENCE: A RETURN TO ORTHODOXY? </w:t>
      </w:r>
      <w:r w:rsidRPr="004C1891">
        <w:rPr>
          <w:rFonts w:cstheme="minorHAnsi"/>
          <w:i/>
          <w:iCs/>
          <w:color w:val="181817"/>
          <w:sz w:val="24"/>
          <w:szCs w:val="24"/>
          <w:bdr w:val="none" w:sz="0" w:space="0" w:color="auto" w:frame="1"/>
          <w:shd w:val="clear" w:color="auto" w:fill="CAE7FF"/>
        </w:rPr>
        <w:t>The Cambridge Law Journal,</w:t>
      </w:r>
      <w:r w:rsidRPr="004C1891">
        <w:rPr>
          <w:rFonts w:cstheme="minorHAnsi"/>
          <w:color w:val="181817"/>
          <w:sz w:val="24"/>
          <w:szCs w:val="24"/>
          <w:shd w:val="clear" w:color="auto" w:fill="CAE7FF"/>
        </w:rPr>
        <w:t> </w:t>
      </w:r>
      <w:r w:rsidRPr="004C1891">
        <w:rPr>
          <w:rFonts w:cstheme="minorHAnsi"/>
          <w:i/>
          <w:iCs/>
          <w:color w:val="181817"/>
          <w:sz w:val="24"/>
          <w:szCs w:val="24"/>
          <w:bdr w:val="none" w:sz="0" w:space="0" w:color="auto" w:frame="1"/>
          <w:shd w:val="clear" w:color="auto" w:fill="CAE7FF"/>
        </w:rPr>
        <w:t>77</w:t>
      </w:r>
      <w:r w:rsidRPr="004C1891">
        <w:rPr>
          <w:rFonts w:cstheme="minorHAnsi"/>
          <w:color w:val="181817"/>
          <w:sz w:val="24"/>
          <w:szCs w:val="24"/>
          <w:shd w:val="clear" w:color="auto" w:fill="CAE7FF"/>
        </w:rPr>
        <w:t>(3), 454-457</w:t>
      </w:r>
      <w:r>
        <w:rPr>
          <w:rFonts w:ascii="Noto Sans" w:hAnsi="Noto Sans" w:cs="Noto Sans"/>
          <w:color w:val="181817"/>
          <w:shd w:val="clear" w:color="auto" w:fill="CAE7FF"/>
        </w:rPr>
        <w:t>.</w:t>
      </w:r>
    </w:p>
    <w:p w14:paraId="4E72736B" w14:textId="77777777" w:rsidR="004C1891" w:rsidRPr="004C1891" w:rsidRDefault="004C1891" w:rsidP="00FE2D78">
      <w:pPr>
        <w:pStyle w:val="ListParagraph"/>
        <w:numPr>
          <w:ilvl w:val="0"/>
          <w:numId w:val="1"/>
        </w:numPr>
        <w:rPr>
          <w:rFonts w:cstheme="minorHAnsi"/>
          <w:sz w:val="28"/>
          <w:szCs w:val="28"/>
        </w:rPr>
      </w:pPr>
      <w:r w:rsidRPr="004C1891">
        <w:rPr>
          <w:rFonts w:cstheme="minorHAnsi"/>
          <w:color w:val="333333"/>
          <w:sz w:val="24"/>
          <w:szCs w:val="24"/>
          <w:shd w:val="clear" w:color="auto" w:fill="FCFCFC"/>
        </w:rPr>
        <w:t>Williams, G. Taking Responsibility for Negligence and Non-negligence. </w:t>
      </w:r>
      <w:r w:rsidRPr="004C1891">
        <w:rPr>
          <w:rFonts w:cstheme="minorHAnsi"/>
          <w:i/>
          <w:iCs/>
          <w:color w:val="333333"/>
          <w:sz w:val="24"/>
          <w:szCs w:val="24"/>
          <w:shd w:val="clear" w:color="auto" w:fill="FCFCFC"/>
        </w:rPr>
        <w:t>Criminal Law, Philosophy</w:t>
      </w:r>
      <w:r w:rsidRPr="004C1891">
        <w:rPr>
          <w:rFonts w:cstheme="minorHAnsi"/>
          <w:color w:val="333333"/>
          <w:sz w:val="24"/>
          <w:szCs w:val="24"/>
          <w:shd w:val="clear" w:color="auto" w:fill="FCFCFC"/>
        </w:rPr>
        <w:t> </w:t>
      </w:r>
      <w:r w:rsidRPr="004C1891">
        <w:rPr>
          <w:rFonts w:cstheme="minorHAnsi"/>
          <w:b/>
          <w:bCs/>
          <w:color w:val="333333"/>
          <w:sz w:val="24"/>
          <w:szCs w:val="24"/>
          <w:shd w:val="clear" w:color="auto" w:fill="FCFCFC"/>
        </w:rPr>
        <w:t>14</w:t>
      </w:r>
      <w:r w:rsidRPr="004C1891">
        <w:rPr>
          <w:rFonts w:cstheme="minorHAnsi"/>
          <w:color w:val="333333"/>
          <w:sz w:val="24"/>
          <w:szCs w:val="24"/>
          <w:shd w:val="clear" w:color="auto" w:fill="FCFCFC"/>
        </w:rPr>
        <w:t>, 113–134 (2020)</w:t>
      </w:r>
    </w:p>
    <w:p w14:paraId="28553A0E" w14:textId="77777777" w:rsidR="006758AE" w:rsidRPr="006758AE" w:rsidRDefault="006758AE">
      <w:pPr>
        <w:rPr>
          <w:sz w:val="24"/>
          <w:szCs w:val="24"/>
        </w:rPr>
      </w:pPr>
    </w:p>
    <w:p w14:paraId="2F336358" w14:textId="77777777" w:rsidR="006758AE" w:rsidRDefault="006758AE"/>
    <w:sectPr w:rsidR="006758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oto Sans">
    <w:altName w:val="Nirmala UI"/>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6710CF"/>
    <w:multiLevelType w:val="hybridMultilevel"/>
    <w:tmpl w:val="57E69A50"/>
    <w:lvl w:ilvl="0" w:tplc="1354F0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1830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8AE"/>
    <w:rsid w:val="00195EB6"/>
    <w:rsid w:val="001C39FE"/>
    <w:rsid w:val="001C7627"/>
    <w:rsid w:val="00244C37"/>
    <w:rsid w:val="002B3668"/>
    <w:rsid w:val="00313C8F"/>
    <w:rsid w:val="00324032"/>
    <w:rsid w:val="003258BC"/>
    <w:rsid w:val="00326371"/>
    <w:rsid w:val="003931CC"/>
    <w:rsid w:val="003A5DC2"/>
    <w:rsid w:val="0049150B"/>
    <w:rsid w:val="004C1891"/>
    <w:rsid w:val="00547201"/>
    <w:rsid w:val="00550474"/>
    <w:rsid w:val="00555C3F"/>
    <w:rsid w:val="005C00AF"/>
    <w:rsid w:val="005E5D41"/>
    <w:rsid w:val="006130C6"/>
    <w:rsid w:val="006758AE"/>
    <w:rsid w:val="006D0C43"/>
    <w:rsid w:val="006F6DC5"/>
    <w:rsid w:val="0071176A"/>
    <w:rsid w:val="007309C8"/>
    <w:rsid w:val="007F593A"/>
    <w:rsid w:val="0085520F"/>
    <w:rsid w:val="008939B8"/>
    <w:rsid w:val="00921B65"/>
    <w:rsid w:val="009D363E"/>
    <w:rsid w:val="00A13EFB"/>
    <w:rsid w:val="00A21BE6"/>
    <w:rsid w:val="00A27E5F"/>
    <w:rsid w:val="00A90ED3"/>
    <w:rsid w:val="00AF6E3E"/>
    <w:rsid w:val="00B01505"/>
    <w:rsid w:val="00B57A09"/>
    <w:rsid w:val="00B77741"/>
    <w:rsid w:val="00B85092"/>
    <w:rsid w:val="00C4475D"/>
    <w:rsid w:val="00C454A5"/>
    <w:rsid w:val="00C63533"/>
    <w:rsid w:val="00D45CF2"/>
    <w:rsid w:val="00D55280"/>
    <w:rsid w:val="00E860F9"/>
    <w:rsid w:val="00F1740E"/>
    <w:rsid w:val="00F4068D"/>
    <w:rsid w:val="00F63594"/>
    <w:rsid w:val="00FC5174"/>
    <w:rsid w:val="00FE2D78"/>
    <w:rsid w:val="00FE791E"/>
    <w:rsid w:val="00FF5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85766"/>
  <w15:chartTrackingRefBased/>
  <w15:docId w15:val="{838EDBB7-0FDA-48CE-A1D8-BF450D363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D78"/>
    <w:pPr>
      <w:ind w:left="720"/>
      <w:contextualSpacing/>
    </w:pPr>
  </w:style>
  <w:style w:type="character" w:styleId="Strong">
    <w:name w:val="Strong"/>
    <w:basedOn w:val="DefaultParagraphFont"/>
    <w:uiPriority w:val="22"/>
    <w:qFormat/>
    <w:rsid w:val="00555C3F"/>
    <w:rPr>
      <w:b/>
      <w:bCs/>
    </w:rPr>
  </w:style>
  <w:style w:type="character" w:styleId="Emphasis">
    <w:name w:val="Emphasis"/>
    <w:basedOn w:val="DefaultParagraphFont"/>
    <w:uiPriority w:val="20"/>
    <w:qFormat/>
    <w:rsid w:val="00D55280"/>
    <w:rPr>
      <w:i/>
      <w:iCs/>
    </w:rPr>
  </w:style>
  <w:style w:type="character" w:customStyle="1" w:styleId="authors">
    <w:name w:val="authors"/>
    <w:basedOn w:val="DefaultParagraphFont"/>
    <w:rsid w:val="00E860F9"/>
  </w:style>
  <w:style w:type="character" w:customStyle="1" w:styleId="date">
    <w:name w:val="date"/>
    <w:basedOn w:val="DefaultParagraphFont"/>
    <w:rsid w:val="00E860F9"/>
  </w:style>
  <w:style w:type="character" w:customStyle="1" w:styleId="arttitle">
    <w:name w:val="art_title"/>
    <w:basedOn w:val="DefaultParagraphFont"/>
    <w:rsid w:val="00E860F9"/>
  </w:style>
  <w:style w:type="character" w:customStyle="1" w:styleId="serialtitle">
    <w:name w:val="serial_title"/>
    <w:basedOn w:val="DefaultParagraphFont"/>
    <w:rsid w:val="00E860F9"/>
  </w:style>
  <w:style w:type="character" w:customStyle="1" w:styleId="volumeissue">
    <w:name w:val="volume_issue"/>
    <w:basedOn w:val="DefaultParagraphFont"/>
    <w:rsid w:val="00E860F9"/>
  </w:style>
  <w:style w:type="character" w:customStyle="1" w:styleId="pagerange">
    <w:name w:val="page_range"/>
    <w:basedOn w:val="DefaultParagraphFont"/>
    <w:rsid w:val="00E86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1620</Words>
  <Characters>9238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2</cp:revision>
  <dcterms:created xsi:type="dcterms:W3CDTF">2022-11-08T22:18:00Z</dcterms:created>
  <dcterms:modified xsi:type="dcterms:W3CDTF">2022-11-08T22:18:00Z</dcterms:modified>
</cp:coreProperties>
</file>