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C83BA83" wp14:paraId="5E2439BF" wp14:textId="74BC886B">
      <w:pP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single"/>
          <w:lang w:val="en-US"/>
        </w:rPr>
      </w:pPr>
    </w:p>
    <w:p xmlns:wp14="http://schemas.microsoft.com/office/word/2010/wordml" w:rsidP="3C83BA83" wp14:paraId="052BE8F8" wp14:textId="293E51DF">
      <w:pP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3C83BA83" w:rsidR="0CA036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single"/>
          <w:lang w:val="en-US"/>
        </w:rPr>
        <w:t xml:space="preserve">For an organization of your choice </w:t>
      </w:r>
      <w:r w:rsidRPr="3C83BA83" w:rsidR="0CA036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single"/>
          <w:lang w:val="en-US"/>
        </w:rPr>
        <w:t>identify</w:t>
      </w:r>
      <w:r w:rsidRPr="3C83BA83" w:rsidR="0CA036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single"/>
          <w:lang w:val="en-US"/>
        </w:rPr>
        <w:t xml:space="preserve"> and critique the professional standards and codes of practice in place.</w:t>
      </w:r>
    </w:p>
    <w:p xmlns:wp14="http://schemas.microsoft.com/office/word/2010/wordml" w:rsidP="3C83BA83" wp14:paraId="2C078E63" wp14:textId="62BF9BDB">
      <w:pPr>
        <w:rPr>
          <w:rFonts w:ascii="Times New Roman" w:hAnsi="Times New Roman" w:eastAsia="Times New Roman" w:cs="Times New Roman"/>
        </w:rPr>
      </w:pPr>
    </w:p>
    <w:p w:rsidR="2266533C" w:rsidP="3C83BA83" w:rsidRDefault="2266533C" w14:paraId="1077109A" w14:textId="5CC2B1F6">
      <w:pPr>
        <w:spacing w:before="240" w:beforeAutospacing="off" w:after="240" w:afterAutospacing="off"/>
      </w:pPr>
      <w:r w:rsidRPr="3C83BA83" w:rsidR="2266533C">
        <w:rPr>
          <w:rFonts w:ascii="Times New Roman" w:hAnsi="Times New Roman" w:eastAsia="Times New Roman" w:cs="Times New Roman"/>
          <w:noProof w:val="0"/>
          <w:sz w:val="24"/>
          <w:szCs w:val="24"/>
          <w:lang w:val="en-US"/>
        </w:rPr>
        <w:t>POhWER is a UK-wide advocacy charity that provides independent support to individuals facing challenges related to health, social care, mental health, and discrimination. It specializes in statutory advocacy, including:</w:t>
      </w:r>
    </w:p>
    <w:p w:rsidR="2266533C" w:rsidP="3C83BA83" w:rsidRDefault="2266533C" w14:paraId="73F67833" w14:textId="0D87BE5C">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US"/>
        </w:rPr>
      </w:pPr>
      <w:r w:rsidRPr="3C83BA83" w:rsidR="2266533C">
        <w:rPr>
          <w:rFonts w:ascii="Times New Roman" w:hAnsi="Times New Roman" w:eastAsia="Times New Roman" w:cs="Times New Roman"/>
          <w:b w:val="1"/>
          <w:bCs w:val="1"/>
          <w:noProof w:val="0"/>
          <w:sz w:val="24"/>
          <w:szCs w:val="24"/>
          <w:lang w:val="en-US"/>
        </w:rPr>
        <w:t>Independent Mental Capacity Advocacy (IMCA)</w:t>
      </w:r>
      <w:r w:rsidRPr="3C83BA83" w:rsidR="2266533C">
        <w:rPr>
          <w:rFonts w:ascii="Times New Roman" w:hAnsi="Times New Roman" w:eastAsia="Times New Roman" w:cs="Times New Roman"/>
          <w:noProof w:val="0"/>
          <w:sz w:val="24"/>
          <w:szCs w:val="24"/>
          <w:lang w:val="en-US"/>
        </w:rPr>
        <w:t xml:space="preserve"> – Supporting individuals who lack capacity to make certain decisions.</w:t>
      </w:r>
    </w:p>
    <w:p w:rsidR="2266533C" w:rsidP="3C83BA83" w:rsidRDefault="2266533C" w14:paraId="7C4EFB47" w14:textId="2072B373">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US"/>
        </w:rPr>
      </w:pPr>
      <w:r w:rsidRPr="3C83BA83" w:rsidR="2266533C">
        <w:rPr>
          <w:rFonts w:ascii="Times New Roman" w:hAnsi="Times New Roman" w:eastAsia="Times New Roman" w:cs="Times New Roman"/>
          <w:b w:val="1"/>
          <w:bCs w:val="1"/>
          <w:noProof w:val="0"/>
          <w:sz w:val="24"/>
          <w:szCs w:val="24"/>
          <w:lang w:val="en-US"/>
        </w:rPr>
        <w:t>Independent Mental Health Advocacy (IMHA)</w:t>
      </w:r>
      <w:r w:rsidRPr="3C83BA83" w:rsidR="2266533C">
        <w:rPr>
          <w:rFonts w:ascii="Times New Roman" w:hAnsi="Times New Roman" w:eastAsia="Times New Roman" w:cs="Times New Roman"/>
          <w:noProof w:val="0"/>
          <w:sz w:val="24"/>
          <w:szCs w:val="24"/>
          <w:lang w:val="en-US"/>
        </w:rPr>
        <w:t xml:space="preserve"> – Assisting those detained under the Mental Health Act.</w:t>
      </w:r>
    </w:p>
    <w:p w:rsidR="2266533C" w:rsidP="3C83BA83" w:rsidRDefault="2266533C" w14:paraId="23AD1FB5" w14:textId="64C9664B">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US"/>
        </w:rPr>
      </w:pPr>
      <w:r w:rsidRPr="3C83BA83" w:rsidR="2266533C">
        <w:rPr>
          <w:rFonts w:ascii="Times New Roman" w:hAnsi="Times New Roman" w:eastAsia="Times New Roman" w:cs="Times New Roman"/>
          <w:b w:val="1"/>
          <w:bCs w:val="1"/>
          <w:noProof w:val="0"/>
          <w:sz w:val="24"/>
          <w:szCs w:val="24"/>
          <w:lang w:val="en-US"/>
        </w:rPr>
        <w:t>Care Act Advocacy</w:t>
      </w:r>
      <w:r w:rsidRPr="3C83BA83" w:rsidR="2266533C">
        <w:rPr>
          <w:rFonts w:ascii="Times New Roman" w:hAnsi="Times New Roman" w:eastAsia="Times New Roman" w:cs="Times New Roman"/>
          <w:noProof w:val="0"/>
          <w:sz w:val="24"/>
          <w:szCs w:val="24"/>
          <w:lang w:val="en-US"/>
        </w:rPr>
        <w:t xml:space="preserve"> – Helping people navigate social care assessments and planning.</w:t>
      </w:r>
    </w:p>
    <w:p w:rsidR="2266533C" w:rsidP="3C83BA83" w:rsidRDefault="2266533C" w14:paraId="144DAC64" w14:textId="4AA16293">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US"/>
        </w:rPr>
      </w:pPr>
      <w:r w:rsidRPr="3C83BA83" w:rsidR="2266533C">
        <w:rPr>
          <w:rFonts w:ascii="Times New Roman" w:hAnsi="Times New Roman" w:eastAsia="Times New Roman" w:cs="Times New Roman"/>
          <w:b w:val="1"/>
          <w:bCs w:val="1"/>
          <w:noProof w:val="0"/>
          <w:sz w:val="24"/>
          <w:szCs w:val="24"/>
          <w:lang w:val="en-US"/>
        </w:rPr>
        <w:t>NHS Complaints Advocacy</w:t>
      </w:r>
      <w:r w:rsidRPr="3C83BA83" w:rsidR="2266533C">
        <w:rPr>
          <w:rFonts w:ascii="Times New Roman" w:hAnsi="Times New Roman" w:eastAsia="Times New Roman" w:cs="Times New Roman"/>
          <w:noProof w:val="0"/>
          <w:sz w:val="24"/>
          <w:szCs w:val="24"/>
          <w:lang w:val="en-US"/>
        </w:rPr>
        <w:t xml:space="preserve"> – Enabling individuals to challenge healthcare decisions.</w:t>
      </w:r>
      <w:r w:rsidRPr="3C83BA83" w:rsidR="356F4197">
        <w:rPr>
          <w:rFonts w:ascii="Times New Roman" w:hAnsi="Times New Roman" w:eastAsia="Times New Roman" w:cs="Times New Roman"/>
          <w:noProof w:val="0"/>
          <w:sz w:val="24"/>
          <w:szCs w:val="24"/>
          <w:lang w:val="en-US"/>
        </w:rPr>
        <w:t xml:space="preserve"> (</w:t>
      </w:r>
      <w:r w:rsidRPr="3C83BA83" w:rsidR="356F4197">
        <w:rPr>
          <w:rFonts w:ascii="Times New Roman" w:hAnsi="Times New Roman" w:eastAsia="Times New Roman" w:cs="Times New Roman"/>
          <w:b w:val="1"/>
          <w:bCs w:val="1"/>
          <w:i w:val="1"/>
          <w:iCs w:val="1"/>
          <w:noProof w:val="0"/>
          <w:sz w:val="24"/>
          <w:szCs w:val="24"/>
          <w:lang w:val="en-US"/>
        </w:rPr>
        <w:t>P</w:t>
      </w:r>
      <w:r w:rsidRPr="3C83BA83" w:rsidR="586E56A0">
        <w:rPr>
          <w:rFonts w:ascii="Times New Roman" w:hAnsi="Times New Roman" w:eastAsia="Times New Roman" w:cs="Times New Roman"/>
          <w:b w:val="1"/>
          <w:bCs w:val="1"/>
          <w:i w:val="1"/>
          <w:iCs w:val="1"/>
          <w:noProof w:val="0"/>
          <w:sz w:val="24"/>
          <w:szCs w:val="24"/>
          <w:lang w:val="en-US"/>
        </w:rPr>
        <w:t>O</w:t>
      </w:r>
      <w:r w:rsidRPr="3C83BA83" w:rsidR="356F4197">
        <w:rPr>
          <w:rFonts w:ascii="Times New Roman" w:hAnsi="Times New Roman" w:eastAsia="Times New Roman" w:cs="Times New Roman"/>
          <w:b w:val="1"/>
          <w:bCs w:val="1"/>
          <w:i w:val="1"/>
          <w:iCs w:val="1"/>
          <w:noProof w:val="0"/>
          <w:sz w:val="24"/>
          <w:szCs w:val="24"/>
          <w:lang w:val="en-US"/>
        </w:rPr>
        <w:t>hW</w:t>
      </w:r>
      <w:r w:rsidRPr="3C83BA83" w:rsidR="4EC1900E">
        <w:rPr>
          <w:rFonts w:ascii="Times New Roman" w:hAnsi="Times New Roman" w:eastAsia="Times New Roman" w:cs="Times New Roman"/>
          <w:b w:val="1"/>
          <w:bCs w:val="1"/>
          <w:i w:val="1"/>
          <w:iCs w:val="1"/>
          <w:noProof w:val="0"/>
          <w:sz w:val="24"/>
          <w:szCs w:val="24"/>
          <w:lang w:val="en-US"/>
        </w:rPr>
        <w:t>ER</w:t>
      </w:r>
      <w:r w:rsidRPr="3C83BA83" w:rsidR="356F4197">
        <w:rPr>
          <w:rFonts w:ascii="Times New Roman" w:hAnsi="Times New Roman" w:eastAsia="Times New Roman" w:cs="Times New Roman"/>
          <w:b w:val="1"/>
          <w:bCs w:val="1"/>
          <w:i w:val="1"/>
          <w:iCs w:val="1"/>
          <w:noProof w:val="0"/>
          <w:sz w:val="24"/>
          <w:szCs w:val="24"/>
          <w:lang w:val="en-US"/>
        </w:rPr>
        <w:t>, 2016).</w:t>
      </w:r>
    </w:p>
    <w:p w:rsidR="2266533C" w:rsidP="3C83BA83" w:rsidRDefault="2266533C" w14:paraId="1B2AD744" w14:textId="40B37EC8">
      <w:pPr>
        <w:spacing w:before="240" w:beforeAutospacing="off" w:after="240" w:afterAutospacing="off"/>
        <w:rPr>
          <w:rFonts w:ascii="Times New Roman" w:hAnsi="Times New Roman" w:eastAsia="Times New Roman" w:cs="Times New Roman"/>
          <w:noProof w:val="0"/>
          <w:sz w:val="24"/>
          <w:szCs w:val="24"/>
          <w:lang w:val="en-US"/>
        </w:rPr>
      </w:pPr>
      <w:r w:rsidRPr="3C83BA83" w:rsidR="2266533C">
        <w:rPr>
          <w:rFonts w:ascii="Times New Roman" w:hAnsi="Times New Roman" w:eastAsia="Times New Roman" w:cs="Times New Roman"/>
          <w:noProof w:val="0"/>
          <w:sz w:val="24"/>
          <w:szCs w:val="24"/>
          <w:lang w:val="en-US"/>
        </w:rPr>
        <w:t xml:space="preserve">Given its role in safeguarding the rights of vulnerable individuals, </w:t>
      </w:r>
      <w:r w:rsidRPr="3C83BA83" w:rsidR="2266533C">
        <w:rPr>
          <w:rFonts w:ascii="Times New Roman" w:hAnsi="Times New Roman" w:eastAsia="Times New Roman" w:cs="Times New Roman"/>
          <w:noProof w:val="0"/>
          <w:sz w:val="24"/>
          <w:szCs w:val="24"/>
          <w:lang w:val="en-US"/>
        </w:rPr>
        <w:t>POhWER</w:t>
      </w:r>
      <w:r w:rsidRPr="3C83BA83" w:rsidR="2266533C">
        <w:rPr>
          <w:rFonts w:ascii="Times New Roman" w:hAnsi="Times New Roman" w:eastAsia="Times New Roman" w:cs="Times New Roman"/>
          <w:noProof w:val="0"/>
          <w:sz w:val="24"/>
          <w:szCs w:val="24"/>
          <w:lang w:val="en-US"/>
        </w:rPr>
        <w:t xml:space="preserve"> operates under strict professional standards and legal codes</w:t>
      </w:r>
      <w:r w:rsidRPr="3C83BA83" w:rsidR="5D9DE780">
        <w:rPr>
          <w:rFonts w:ascii="Times New Roman" w:hAnsi="Times New Roman" w:eastAsia="Times New Roman" w:cs="Times New Roman"/>
          <w:noProof w:val="0"/>
          <w:sz w:val="24"/>
          <w:szCs w:val="24"/>
          <w:lang w:val="en-US"/>
        </w:rPr>
        <w:t xml:space="preserve"> (</w:t>
      </w:r>
      <w:r w:rsidRPr="3C83BA83" w:rsidR="5D9DE780">
        <w:rPr>
          <w:rFonts w:ascii="Times New Roman" w:hAnsi="Times New Roman" w:eastAsia="Times New Roman" w:cs="Times New Roman"/>
          <w:b w:val="1"/>
          <w:bCs w:val="1"/>
          <w:i w:val="1"/>
          <w:iCs w:val="1"/>
          <w:noProof w:val="0"/>
          <w:sz w:val="24"/>
          <w:szCs w:val="24"/>
          <w:lang w:val="en-US"/>
        </w:rPr>
        <w:t>POhWER</w:t>
      </w:r>
      <w:r w:rsidRPr="3C83BA83" w:rsidR="5D9DE780">
        <w:rPr>
          <w:rFonts w:ascii="Times New Roman" w:hAnsi="Times New Roman" w:eastAsia="Times New Roman" w:cs="Times New Roman"/>
          <w:b w:val="1"/>
          <w:bCs w:val="1"/>
          <w:i w:val="1"/>
          <w:iCs w:val="1"/>
          <w:noProof w:val="0"/>
          <w:sz w:val="24"/>
          <w:szCs w:val="24"/>
          <w:lang w:val="en-US"/>
        </w:rPr>
        <w:t>, 2016).</w:t>
      </w:r>
    </w:p>
    <w:p w:rsidR="0882A876" w:rsidP="3C83BA83" w:rsidRDefault="0882A876" w14:paraId="5D213292" w14:textId="17B98EF9">
      <w:pPr>
        <w:pStyle w:val="Normal"/>
        <w:rPr>
          <w:rFonts w:ascii="Times New Roman" w:hAnsi="Times New Roman" w:eastAsia="Times New Roman" w:cs="Times New Roman"/>
          <w:b w:val="1"/>
          <w:bCs w:val="1"/>
          <w:noProof w:val="0"/>
          <w:sz w:val="28"/>
          <w:szCs w:val="28"/>
          <w:lang w:val="en-US"/>
        </w:rPr>
      </w:pPr>
      <w:r w:rsidRPr="3C83BA83" w:rsidR="0882A876">
        <w:rPr>
          <w:rFonts w:ascii="Times New Roman" w:hAnsi="Times New Roman" w:eastAsia="Times New Roman" w:cs="Times New Roman"/>
          <w:b w:val="1"/>
          <w:bCs w:val="1"/>
          <w:noProof w:val="0"/>
          <w:sz w:val="32"/>
          <w:szCs w:val="32"/>
          <w:lang w:val="en-US"/>
        </w:rPr>
        <w:t>POhWER’s</w:t>
      </w:r>
      <w:r w:rsidRPr="3C83BA83" w:rsidR="0882A876">
        <w:rPr>
          <w:rFonts w:ascii="Times New Roman" w:hAnsi="Times New Roman" w:eastAsia="Times New Roman" w:cs="Times New Roman"/>
          <w:b w:val="1"/>
          <w:bCs w:val="1"/>
          <w:noProof w:val="0"/>
          <w:sz w:val="32"/>
          <w:szCs w:val="32"/>
          <w:lang w:val="en-US"/>
        </w:rPr>
        <w:t xml:space="preserve"> Key Services – Professional Standards and Best Practices</w:t>
      </w:r>
      <w:r w:rsidRPr="3C83BA83" w:rsidR="0882A876">
        <w:rPr>
          <w:rFonts w:ascii="Times New Roman" w:hAnsi="Times New Roman" w:eastAsia="Times New Roman" w:cs="Times New Roman"/>
          <w:b w:val="1"/>
          <w:bCs w:val="1"/>
          <w:noProof w:val="0"/>
          <w:sz w:val="28"/>
          <w:szCs w:val="28"/>
          <w:lang w:val="en-US"/>
        </w:rPr>
        <w:t>.</w:t>
      </w:r>
    </w:p>
    <w:p w:rsidR="25C9FD29" w:rsidP="3C83BA83" w:rsidRDefault="25C9FD29" w14:paraId="46E298C9" w14:textId="635510BB">
      <w:pPr>
        <w:spacing w:before="240" w:beforeAutospacing="off" w:after="240" w:afterAutospacing="off"/>
        <w:rPr>
          <w:rFonts w:ascii="Times New Roman" w:hAnsi="Times New Roman" w:eastAsia="Times New Roman" w:cs="Times New Roman"/>
          <w:noProof w:val="0"/>
          <w:sz w:val="24"/>
          <w:szCs w:val="24"/>
          <w:lang w:val="en-US"/>
        </w:rPr>
      </w:pPr>
      <w:r w:rsidRPr="3C83BA83" w:rsidR="25C9FD29">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POhWER's</w:t>
      </w:r>
      <w:r w:rsidRPr="3C83BA83" w:rsidR="25C9FD29">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advocacy services are guided by </w:t>
      </w:r>
      <w:r w:rsidRPr="3C83BA83" w:rsidR="25C9FD29">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established</w:t>
      </w:r>
      <w:r w:rsidRPr="3C83BA83" w:rsidR="25C9FD29">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professional standards and best practices to ensure effective support for individuals in need. These frameworks emphasize key principles such as independence, empowerment, accountability, and confidentiality.</w:t>
      </w:r>
    </w:p>
    <w:p w:rsidR="483271BE" w:rsidP="3C83BA83" w:rsidRDefault="483271BE" w14:paraId="09C91C86" w14:textId="1EE86D42">
      <w:pPr>
        <w:spacing w:before="240" w:beforeAutospacing="off" w:after="240" w:afterAutospacing="off"/>
      </w:pPr>
      <w:r w:rsidRPr="3C83BA83" w:rsidR="483271BE">
        <w:rPr>
          <w:rFonts w:ascii="Times New Roman" w:hAnsi="Times New Roman" w:eastAsia="Times New Roman" w:cs="Times New Roman"/>
          <w:noProof w:val="0"/>
          <w:sz w:val="24"/>
          <w:szCs w:val="24"/>
          <w:lang w:val="en-US"/>
        </w:rPr>
        <w:t xml:space="preserve">The </w:t>
      </w:r>
      <w:r w:rsidRPr="3C83BA83" w:rsidR="483271BE">
        <w:rPr>
          <w:rFonts w:ascii="Times New Roman" w:hAnsi="Times New Roman" w:eastAsia="Times New Roman" w:cs="Times New Roman"/>
          <w:b w:val="1"/>
          <w:bCs w:val="1"/>
          <w:noProof w:val="0"/>
          <w:sz w:val="24"/>
          <w:szCs w:val="24"/>
          <w:lang w:val="en-US"/>
        </w:rPr>
        <w:t>Advocacy Charter</w:t>
      </w:r>
      <w:r w:rsidRPr="3C83BA83" w:rsidR="483271BE">
        <w:rPr>
          <w:rFonts w:ascii="Times New Roman" w:hAnsi="Times New Roman" w:eastAsia="Times New Roman" w:cs="Times New Roman"/>
          <w:noProof w:val="0"/>
          <w:sz w:val="24"/>
          <w:szCs w:val="24"/>
          <w:lang w:val="en-US"/>
        </w:rPr>
        <w:t>, developed by the National Development Team for Inclusion (</w:t>
      </w:r>
      <w:r w:rsidRPr="3C83BA83" w:rsidR="483271BE">
        <w:rPr>
          <w:rFonts w:ascii="Times New Roman" w:hAnsi="Times New Roman" w:eastAsia="Times New Roman" w:cs="Times New Roman"/>
          <w:noProof w:val="0"/>
          <w:sz w:val="24"/>
          <w:szCs w:val="24"/>
          <w:lang w:val="en-US"/>
        </w:rPr>
        <w:t>NDTi</w:t>
      </w:r>
      <w:r w:rsidRPr="3C83BA83" w:rsidR="483271BE">
        <w:rPr>
          <w:rFonts w:ascii="Times New Roman" w:hAnsi="Times New Roman" w:eastAsia="Times New Roman" w:cs="Times New Roman"/>
          <w:noProof w:val="0"/>
          <w:sz w:val="24"/>
          <w:szCs w:val="24"/>
          <w:lang w:val="en-US"/>
        </w:rPr>
        <w:t xml:space="preserve">), sets out fundamental principles that advocacy services, including </w:t>
      </w:r>
      <w:r w:rsidRPr="3C83BA83" w:rsidR="483271BE">
        <w:rPr>
          <w:rFonts w:ascii="Times New Roman" w:hAnsi="Times New Roman" w:eastAsia="Times New Roman" w:cs="Times New Roman"/>
          <w:noProof w:val="0"/>
          <w:sz w:val="24"/>
          <w:szCs w:val="24"/>
          <w:lang w:val="en-US"/>
        </w:rPr>
        <w:t>POhWER</w:t>
      </w:r>
      <w:r w:rsidRPr="3C83BA83" w:rsidR="483271BE">
        <w:rPr>
          <w:rFonts w:ascii="Times New Roman" w:hAnsi="Times New Roman" w:eastAsia="Times New Roman" w:cs="Times New Roman"/>
          <w:noProof w:val="0"/>
          <w:sz w:val="24"/>
          <w:szCs w:val="24"/>
          <w:lang w:val="en-US"/>
        </w:rPr>
        <w:t>, should follow</w:t>
      </w:r>
      <w:r w:rsidRPr="3C83BA83" w:rsidR="3F29326A">
        <w:rPr>
          <w:rFonts w:ascii="Times New Roman" w:hAnsi="Times New Roman" w:eastAsia="Times New Roman" w:cs="Times New Roman"/>
          <w:noProof w:val="0"/>
          <w:sz w:val="24"/>
          <w:szCs w:val="24"/>
          <w:lang w:val="en-US"/>
        </w:rPr>
        <w:t>;</w:t>
      </w:r>
      <w:r w:rsidRPr="3C83BA83" w:rsidR="483271BE">
        <w:rPr>
          <w:rFonts w:ascii="Times New Roman" w:hAnsi="Times New Roman" w:eastAsia="Times New Roman" w:cs="Times New Roman"/>
          <w:noProof w:val="0"/>
          <w:sz w:val="24"/>
          <w:szCs w:val="24"/>
          <w:lang w:val="en-US"/>
        </w:rPr>
        <w:t xml:space="preserve"> </w:t>
      </w:r>
      <w:r w:rsidRPr="3C83BA83" w:rsidR="75B3F0A4">
        <w:rPr>
          <w:rFonts w:ascii="Times New Roman" w:hAnsi="Times New Roman" w:eastAsia="Times New Roman" w:cs="Times New Roman"/>
          <w:noProof w:val="0"/>
          <w:sz w:val="24"/>
          <w:szCs w:val="24"/>
          <w:lang w:val="en-US"/>
        </w:rPr>
        <w:t>t</w:t>
      </w:r>
      <w:r w:rsidRPr="3C83BA83" w:rsidR="483271BE">
        <w:rPr>
          <w:rFonts w:ascii="Times New Roman" w:hAnsi="Times New Roman" w:eastAsia="Times New Roman" w:cs="Times New Roman"/>
          <w:noProof w:val="0"/>
          <w:sz w:val="24"/>
          <w:szCs w:val="24"/>
          <w:lang w:val="en-US"/>
        </w:rPr>
        <w:t>hese principles ensure that advocacy remains independent, client-centered, and accountable</w:t>
      </w:r>
      <w:r w:rsidRPr="3C83BA83" w:rsidR="6D4B33E1">
        <w:rPr>
          <w:rFonts w:ascii="Times New Roman" w:hAnsi="Times New Roman" w:eastAsia="Times New Roman" w:cs="Times New Roman"/>
          <w:noProof w:val="0"/>
          <w:sz w:val="24"/>
          <w:szCs w:val="24"/>
          <w:lang w:val="en-US"/>
        </w:rPr>
        <w:t>;</w:t>
      </w:r>
      <w:r w:rsidRPr="3C83BA83" w:rsidR="483271BE">
        <w:rPr>
          <w:rFonts w:ascii="Times New Roman" w:hAnsi="Times New Roman" w:eastAsia="Times New Roman" w:cs="Times New Roman"/>
          <w:noProof w:val="0"/>
          <w:sz w:val="24"/>
          <w:szCs w:val="24"/>
          <w:lang w:val="en-US"/>
        </w:rPr>
        <w:t xml:space="preserve"> </w:t>
      </w:r>
      <w:r w:rsidRPr="3C83BA83" w:rsidR="5D92315F">
        <w:rPr>
          <w:rFonts w:ascii="Times New Roman" w:hAnsi="Times New Roman" w:eastAsia="Times New Roman" w:cs="Times New Roman"/>
          <w:noProof w:val="0"/>
          <w:sz w:val="24"/>
          <w:szCs w:val="24"/>
          <w:lang w:val="en-US"/>
        </w:rPr>
        <w:t>t</w:t>
      </w:r>
      <w:r w:rsidRPr="3C83BA83" w:rsidR="483271BE">
        <w:rPr>
          <w:rFonts w:ascii="Times New Roman" w:hAnsi="Times New Roman" w:eastAsia="Times New Roman" w:cs="Times New Roman"/>
          <w:noProof w:val="0"/>
          <w:sz w:val="24"/>
          <w:szCs w:val="24"/>
          <w:lang w:val="en-US"/>
        </w:rPr>
        <w:t>he charter emphasizes the importance of safeguarding client rights, promoting empowerment, and maintaining confidentiality in all advocacy interactions.</w:t>
      </w:r>
      <w:r w:rsidRPr="3C83BA83" w:rsidR="287F9D8A">
        <w:rPr>
          <w:rFonts w:ascii="Times New Roman" w:hAnsi="Times New Roman" w:eastAsia="Times New Roman" w:cs="Times New Roman"/>
          <w:noProof w:val="0"/>
          <w:sz w:val="24"/>
          <w:szCs w:val="24"/>
          <w:lang w:val="en-US"/>
        </w:rPr>
        <w:t xml:space="preserve"> </w:t>
      </w:r>
      <w:r w:rsidRPr="3C83BA83" w:rsidR="287F9D8A">
        <w:rPr>
          <w:rFonts w:ascii="Times New Roman" w:hAnsi="Times New Roman" w:eastAsia="Times New Roman" w:cs="Times New Roman"/>
          <w:b w:val="1"/>
          <w:bCs w:val="1"/>
          <w:i w:val="1"/>
          <w:iCs w:val="1"/>
          <w:noProof w:val="0"/>
          <w:sz w:val="24"/>
          <w:szCs w:val="24"/>
          <w:u w:val="none"/>
          <w:lang w:val="en-US"/>
        </w:rPr>
        <w:t>(</w:t>
      </w:r>
      <w:r w:rsidRPr="3C83BA83" w:rsidR="287F9D8A">
        <w:rPr>
          <w:rFonts w:ascii="Times New Roman" w:hAnsi="Times New Roman" w:eastAsia="Times New Roman" w:cs="Times New Roman"/>
          <w:b w:val="1"/>
          <w:bCs w:val="1"/>
          <w:i w:val="1"/>
          <w:iCs w:val="1"/>
          <w:caps w:val="0"/>
          <w:smallCaps w:val="0"/>
          <w:noProof w:val="0"/>
          <w:color w:val="000000" w:themeColor="text1" w:themeTint="FF" w:themeShade="FF"/>
          <w:sz w:val="24"/>
          <w:szCs w:val="24"/>
          <w:u w:val="none"/>
          <w:lang w:val="en-US"/>
        </w:rPr>
        <w:t>National Development Team for Inclusion (</w:t>
      </w:r>
      <w:r w:rsidRPr="3C83BA83" w:rsidR="287F9D8A">
        <w:rPr>
          <w:rFonts w:ascii="Times New Roman" w:hAnsi="Times New Roman" w:eastAsia="Times New Roman" w:cs="Times New Roman"/>
          <w:b w:val="1"/>
          <w:bCs w:val="1"/>
          <w:i w:val="1"/>
          <w:iCs w:val="1"/>
          <w:caps w:val="0"/>
          <w:smallCaps w:val="0"/>
          <w:noProof w:val="0"/>
          <w:color w:val="000000" w:themeColor="text1" w:themeTint="FF" w:themeShade="FF"/>
          <w:sz w:val="24"/>
          <w:szCs w:val="24"/>
          <w:u w:val="none"/>
          <w:lang w:val="en-US"/>
        </w:rPr>
        <w:t>NDTi</w:t>
      </w:r>
      <w:r w:rsidRPr="3C83BA83" w:rsidR="287F9D8A">
        <w:rPr>
          <w:rFonts w:ascii="Times New Roman" w:hAnsi="Times New Roman" w:eastAsia="Times New Roman" w:cs="Times New Roman"/>
          <w:b w:val="1"/>
          <w:bCs w:val="1"/>
          <w:i w:val="1"/>
          <w:iCs w:val="1"/>
          <w:caps w:val="0"/>
          <w:smallCaps w:val="0"/>
          <w:noProof w:val="0"/>
          <w:color w:val="000000" w:themeColor="text1" w:themeTint="FF" w:themeShade="FF"/>
          <w:sz w:val="24"/>
          <w:szCs w:val="24"/>
          <w:u w:val="none"/>
          <w:lang w:val="en-US"/>
        </w:rPr>
        <w:t>) (n.d.))</w:t>
      </w:r>
    </w:p>
    <w:p w:rsidR="0452CEB4" w:rsidP="3C83BA83" w:rsidRDefault="0452CEB4" w14:paraId="73D84DD2" w14:textId="4BF7088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0452CEB4">
        <w:rPr>
          <w:rFonts w:ascii="Times New Roman" w:hAnsi="Times New Roman" w:eastAsia="Times New Roman" w:cs="Times New Roman"/>
          <w:noProof w:val="0"/>
          <w:sz w:val="24"/>
          <w:szCs w:val="24"/>
          <w:lang w:val="en-US"/>
        </w:rPr>
        <w:t xml:space="preserve">The </w:t>
      </w:r>
      <w:r w:rsidRPr="3C83BA83" w:rsidR="0452CEB4">
        <w:rPr>
          <w:rFonts w:ascii="Times New Roman" w:hAnsi="Times New Roman" w:eastAsia="Times New Roman" w:cs="Times New Roman"/>
          <w:b w:val="1"/>
          <w:bCs w:val="1"/>
          <w:noProof w:val="0"/>
          <w:sz w:val="24"/>
          <w:szCs w:val="24"/>
          <w:lang w:val="en-US"/>
        </w:rPr>
        <w:t>Quality Performance Mark (QPM)</w:t>
      </w:r>
      <w:r w:rsidRPr="3C83BA83" w:rsidR="0452CEB4">
        <w:rPr>
          <w:rFonts w:ascii="Times New Roman" w:hAnsi="Times New Roman" w:eastAsia="Times New Roman" w:cs="Times New Roman"/>
          <w:noProof w:val="0"/>
          <w:sz w:val="24"/>
          <w:szCs w:val="24"/>
          <w:lang w:val="en-US"/>
        </w:rPr>
        <w:t xml:space="preserve">, also </w:t>
      </w:r>
      <w:r w:rsidRPr="3C83BA83" w:rsidR="0452CEB4">
        <w:rPr>
          <w:rFonts w:ascii="Times New Roman" w:hAnsi="Times New Roman" w:eastAsia="Times New Roman" w:cs="Times New Roman"/>
          <w:noProof w:val="0"/>
          <w:sz w:val="24"/>
          <w:szCs w:val="24"/>
          <w:lang w:val="en-US"/>
        </w:rPr>
        <w:t>established</w:t>
      </w:r>
      <w:r w:rsidRPr="3C83BA83" w:rsidR="0452CEB4">
        <w:rPr>
          <w:rFonts w:ascii="Times New Roman" w:hAnsi="Times New Roman" w:eastAsia="Times New Roman" w:cs="Times New Roman"/>
          <w:noProof w:val="0"/>
          <w:sz w:val="24"/>
          <w:szCs w:val="24"/>
          <w:lang w:val="en-US"/>
        </w:rPr>
        <w:t xml:space="preserve"> by </w:t>
      </w:r>
      <w:r w:rsidRPr="3C83BA83" w:rsidR="0452CEB4">
        <w:rPr>
          <w:rFonts w:ascii="Times New Roman" w:hAnsi="Times New Roman" w:eastAsia="Times New Roman" w:cs="Times New Roman"/>
          <w:noProof w:val="0"/>
          <w:sz w:val="24"/>
          <w:szCs w:val="24"/>
          <w:lang w:val="en-US"/>
        </w:rPr>
        <w:t>NDTi</w:t>
      </w:r>
      <w:r w:rsidRPr="3C83BA83" w:rsidR="0452CEB4">
        <w:rPr>
          <w:rFonts w:ascii="Times New Roman" w:hAnsi="Times New Roman" w:eastAsia="Times New Roman" w:cs="Times New Roman"/>
          <w:noProof w:val="0"/>
          <w:sz w:val="24"/>
          <w:szCs w:val="24"/>
          <w:lang w:val="en-US"/>
        </w:rPr>
        <w:t xml:space="preserve">, provides a nationally recognized accreditation that assesses the quality of advocacy services; this certification ensures that organizations like </w:t>
      </w:r>
      <w:r w:rsidRPr="3C83BA83" w:rsidR="0452CEB4">
        <w:rPr>
          <w:rFonts w:ascii="Times New Roman" w:hAnsi="Times New Roman" w:eastAsia="Times New Roman" w:cs="Times New Roman"/>
          <w:noProof w:val="0"/>
          <w:sz w:val="24"/>
          <w:szCs w:val="24"/>
          <w:lang w:val="en-US"/>
        </w:rPr>
        <w:t>POhWER</w:t>
      </w:r>
      <w:r w:rsidRPr="3C83BA83" w:rsidR="0452CEB4">
        <w:rPr>
          <w:rFonts w:ascii="Times New Roman" w:hAnsi="Times New Roman" w:eastAsia="Times New Roman" w:cs="Times New Roman"/>
          <w:noProof w:val="0"/>
          <w:sz w:val="24"/>
          <w:szCs w:val="24"/>
          <w:lang w:val="en-US"/>
        </w:rPr>
        <w:t xml:space="preserve"> meet rigorous professional standards in service delivery, ethical practice, and organizational accountability. By adhering to the QPM framework, advocacy providers </w:t>
      </w:r>
      <w:r w:rsidRPr="3C83BA83" w:rsidR="0452CEB4">
        <w:rPr>
          <w:rFonts w:ascii="Times New Roman" w:hAnsi="Times New Roman" w:eastAsia="Times New Roman" w:cs="Times New Roman"/>
          <w:noProof w:val="0"/>
          <w:sz w:val="24"/>
          <w:szCs w:val="24"/>
          <w:lang w:val="en-US"/>
        </w:rPr>
        <w:t>demonstrate</w:t>
      </w:r>
      <w:r w:rsidRPr="3C83BA83" w:rsidR="0452CEB4">
        <w:rPr>
          <w:rFonts w:ascii="Times New Roman" w:hAnsi="Times New Roman" w:eastAsia="Times New Roman" w:cs="Times New Roman"/>
          <w:noProof w:val="0"/>
          <w:sz w:val="24"/>
          <w:szCs w:val="24"/>
          <w:lang w:val="en-US"/>
        </w:rPr>
        <w:t xml:space="preserve"> their commitment to delivering high-quality, consistent, and effective support for service users</w:t>
      </w:r>
      <w:r w:rsidRPr="3C83BA83" w:rsidR="49D08225">
        <w:rPr>
          <w:rFonts w:ascii="Times New Roman" w:hAnsi="Times New Roman" w:eastAsia="Times New Roman" w:cs="Times New Roman"/>
          <w:noProof w:val="0"/>
          <w:sz w:val="24"/>
          <w:szCs w:val="24"/>
          <w:lang w:val="en-US"/>
        </w:rPr>
        <w:t>. (</w:t>
      </w:r>
      <w:r w:rsidRPr="3C83BA83" w:rsidR="49D08225">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US"/>
        </w:rPr>
        <w:t>National Development Team for Inclusion (</w:t>
      </w:r>
      <w:r w:rsidRPr="3C83BA83" w:rsidR="49D08225">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US"/>
        </w:rPr>
        <w:t>NDTi</w:t>
      </w:r>
      <w:r w:rsidRPr="3C83BA83" w:rsidR="49D08225">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US"/>
        </w:rPr>
        <w:t>) (n.d.))</w:t>
      </w:r>
    </w:p>
    <w:p w:rsidR="66C99DC7" w:rsidP="3C83BA83" w:rsidRDefault="66C99DC7" w14:paraId="6D42AD62" w14:textId="4212C106">
      <w:pPr>
        <w:spacing w:before="240" w:beforeAutospacing="off" w:after="240" w:afterAutospacing="off"/>
      </w:pPr>
      <w:r w:rsidRPr="3C83BA83" w:rsidR="66C99DC7">
        <w:rPr>
          <w:rFonts w:ascii="Times New Roman" w:hAnsi="Times New Roman" w:eastAsia="Times New Roman" w:cs="Times New Roman"/>
          <w:noProof w:val="0"/>
          <w:sz w:val="24"/>
          <w:szCs w:val="24"/>
          <w:lang w:val="en-US"/>
        </w:rPr>
        <w:t xml:space="preserve">POhWER operates within several </w:t>
      </w:r>
      <w:r w:rsidRPr="3C83BA83" w:rsidR="66C99DC7">
        <w:rPr>
          <w:rFonts w:ascii="Times New Roman" w:hAnsi="Times New Roman" w:eastAsia="Times New Roman" w:cs="Times New Roman"/>
          <w:b w:val="1"/>
          <w:bCs w:val="1"/>
          <w:noProof w:val="0"/>
          <w:sz w:val="24"/>
          <w:szCs w:val="24"/>
          <w:lang w:val="en-US"/>
        </w:rPr>
        <w:t>legal and regulatory frameworks</w:t>
      </w:r>
      <w:r w:rsidRPr="3C83BA83" w:rsidR="66C99DC7">
        <w:rPr>
          <w:rFonts w:ascii="Times New Roman" w:hAnsi="Times New Roman" w:eastAsia="Times New Roman" w:cs="Times New Roman"/>
          <w:noProof w:val="0"/>
          <w:sz w:val="24"/>
          <w:szCs w:val="24"/>
          <w:lang w:val="en-US"/>
        </w:rPr>
        <w:t xml:space="preserve"> that define the role and responsibilities of advocacy services. The </w:t>
      </w:r>
      <w:r w:rsidRPr="3C83BA83" w:rsidR="66C99DC7">
        <w:rPr>
          <w:rFonts w:ascii="Times New Roman" w:hAnsi="Times New Roman" w:eastAsia="Times New Roman" w:cs="Times New Roman"/>
          <w:b w:val="1"/>
          <w:bCs w:val="1"/>
          <w:noProof w:val="0"/>
          <w:sz w:val="24"/>
          <w:szCs w:val="24"/>
          <w:lang w:val="en-US"/>
        </w:rPr>
        <w:t>Mental Capacity Act (2005)</w:t>
      </w:r>
      <w:r w:rsidRPr="3C83BA83" w:rsidR="66C99DC7">
        <w:rPr>
          <w:rFonts w:ascii="Times New Roman" w:hAnsi="Times New Roman" w:eastAsia="Times New Roman" w:cs="Times New Roman"/>
          <w:noProof w:val="0"/>
          <w:sz w:val="24"/>
          <w:szCs w:val="24"/>
          <w:lang w:val="en-US"/>
        </w:rPr>
        <w:t xml:space="preserve"> governs the work of Independent Mental Capacity Advocates (IMCAs), emphasizing individuals’ rights to autonomy and decisions made in their best interests. The </w:t>
      </w:r>
      <w:r w:rsidRPr="3C83BA83" w:rsidR="66C99DC7">
        <w:rPr>
          <w:rFonts w:ascii="Times New Roman" w:hAnsi="Times New Roman" w:eastAsia="Times New Roman" w:cs="Times New Roman"/>
          <w:b w:val="1"/>
          <w:bCs w:val="1"/>
          <w:noProof w:val="0"/>
          <w:sz w:val="24"/>
          <w:szCs w:val="24"/>
          <w:lang w:val="en-US"/>
        </w:rPr>
        <w:t>Mental Health Act (1983, updated 2007)</w:t>
      </w:r>
      <w:r w:rsidRPr="3C83BA83" w:rsidR="66C99DC7">
        <w:rPr>
          <w:rFonts w:ascii="Times New Roman" w:hAnsi="Times New Roman" w:eastAsia="Times New Roman" w:cs="Times New Roman"/>
          <w:noProof w:val="0"/>
          <w:sz w:val="24"/>
          <w:szCs w:val="24"/>
          <w:lang w:val="en-US"/>
        </w:rPr>
        <w:t xml:space="preserve"> sets out the role of Independent Mental Health Advocates (IMHAs), who support individuals detained under mental health legislation. The </w:t>
      </w:r>
      <w:r w:rsidRPr="3C83BA83" w:rsidR="66C99DC7">
        <w:rPr>
          <w:rFonts w:ascii="Times New Roman" w:hAnsi="Times New Roman" w:eastAsia="Times New Roman" w:cs="Times New Roman"/>
          <w:b w:val="1"/>
          <w:bCs w:val="1"/>
          <w:noProof w:val="0"/>
          <w:sz w:val="24"/>
          <w:szCs w:val="24"/>
          <w:lang w:val="en-US"/>
        </w:rPr>
        <w:t>Care Act (2014)</w:t>
      </w:r>
      <w:r w:rsidRPr="3C83BA83" w:rsidR="66C99DC7">
        <w:rPr>
          <w:rFonts w:ascii="Times New Roman" w:hAnsi="Times New Roman" w:eastAsia="Times New Roman" w:cs="Times New Roman"/>
          <w:noProof w:val="0"/>
          <w:sz w:val="24"/>
          <w:szCs w:val="24"/>
          <w:lang w:val="en-US"/>
        </w:rPr>
        <w:t xml:space="preserve"> requires advocacy services for people who have difficulty understanding or communicating their care needs. Additionally, the </w:t>
      </w:r>
      <w:r w:rsidRPr="3C83BA83" w:rsidR="66C99DC7">
        <w:rPr>
          <w:rFonts w:ascii="Times New Roman" w:hAnsi="Times New Roman" w:eastAsia="Times New Roman" w:cs="Times New Roman"/>
          <w:b w:val="1"/>
          <w:bCs w:val="1"/>
          <w:noProof w:val="0"/>
          <w:sz w:val="24"/>
          <w:szCs w:val="24"/>
          <w:lang w:val="en-US"/>
        </w:rPr>
        <w:t>Health and Social Care Act (2012)</w:t>
      </w:r>
      <w:r w:rsidRPr="3C83BA83" w:rsidR="66C99DC7">
        <w:rPr>
          <w:rFonts w:ascii="Times New Roman" w:hAnsi="Times New Roman" w:eastAsia="Times New Roman" w:cs="Times New Roman"/>
          <w:noProof w:val="0"/>
          <w:sz w:val="24"/>
          <w:szCs w:val="24"/>
          <w:lang w:val="en-US"/>
        </w:rPr>
        <w:t xml:space="preserve"> establishes NHS Complaints Advocacy, enabling patients to challenge healthcare decisions and voice concerns about their treatment.</w:t>
      </w:r>
    </w:p>
    <w:p w:rsidR="3C83BA83" w:rsidP="3C83BA83" w:rsidRDefault="3C83BA83" w14:paraId="6D8B31DC" w14:textId="0E3D0ACF">
      <w:pPr>
        <w:pStyle w:val="Normal"/>
        <w:spacing w:before="240" w:beforeAutospacing="off" w:after="240" w:afterAutospacing="off"/>
        <w:rPr>
          <w:rFonts w:ascii="Times New Roman" w:hAnsi="Times New Roman" w:eastAsia="Times New Roman" w:cs="Times New Roman"/>
          <w:noProof w:val="0"/>
          <w:sz w:val="24"/>
          <w:szCs w:val="24"/>
          <w:lang w:val="en-US"/>
        </w:rPr>
      </w:pPr>
    </w:p>
    <w:p w:rsidR="4E18A16F" w:rsidP="3C83BA83" w:rsidRDefault="4E18A16F" w14:paraId="46D2268E" w14:textId="6CBCE646">
      <w:pPr>
        <w:spacing w:before="240" w:beforeAutospacing="off" w:after="240" w:afterAutospacing="off"/>
        <w:rPr>
          <w:rFonts w:ascii="Times New Roman" w:hAnsi="Times New Roman" w:eastAsia="Times New Roman" w:cs="Times New Roman"/>
          <w:b w:val="1"/>
          <w:bCs w:val="1"/>
          <w:noProof w:val="0"/>
          <w:sz w:val="36"/>
          <w:szCs w:val="36"/>
          <w:lang w:val="en-US"/>
        </w:rPr>
      </w:pPr>
      <w:r w:rsidRPr="3C83BA83" w:rsidR="4E18A16F">
        <w:rPr>
          <w:rFonts w:ascii="Times New Roman" w:hAnsi="Times New Roman" w:eastAsia="Times New Roman" w:cs="Times New Roman"/>
          <w:b w:val="1"/>
          <w:bCs w:val="1"/>
          <w:noProof w:val="0"/>
          <w:sz w:val="32"/>
          <w:szCs w:val="32"/>
          <w:lang w:val="en-US"/>
        </w:rPr>
        <w:t xml:space="preserve">Strengths of </w:t>
      </w:r>
      <w:r w:rsidRPr="3C83BA83" w:rsidR="4E18A16F">
        <w:rPr>
          <w:rFonts w:ascii="Times New Roman" w:hAnsi="Times New Roman" w:eastAsia="Times New Roman" w:cs="Times New Roman"/>
          <w:b w:val="1"/>
          <w:bCs w:val="1"/>
          <w:noProof w:val="0"/>
          <w:sz w:val="32"/>
          <w:szCs w:val="32"/>
          <w:lang w:val="en-US"/>
        </w:rPr>
        <w:t>POhWER’s</w:t>
      </w:r>
      <w:r w:rsidRPr="3C83BA83" w:rsidR="4E18A16F">
        <w:rPr>
          <w:rFonts w:ascii="Times New Roman" w:hAnsi="Times New Roman" w:eastAsia="Times New Roman" w:cs="Times New Roman"/>
          <w:b w:val="1"/>
          <w:bCs w:val="1"/>
          <w:noProof w:val="0"/>
          <w:sz w:val="32"/>
          <w:szCs w:val="32"/>
          <w:lang w:val="en-US"/>
        </w:rPr>
        <w:t xml:space="preserve"> Professional Standards</w:t>
      </w:r>
      <w:r w:rsidRPr="3C83BA83" w:rsidR="51A9933D">
        <w:rPr>
          <w:rFonts w:ascii="Times New Roman" w:hAnsi="Times New Roman" w:eastAsia="Times New Roman" w:cs="Times New Roman"/>
          <w:b w:val="1"/>
          <w:bCs w:val="1"/>
          <w:noProof w:val="0"/>
          <w:sz w:val="32"/>
          <w:szCs w:val="32"/>
          <w:lang w:val="en-US"/>
        </w:rPr>
        <w:t>:</w:t>
      </w:r>
    </w:p>
    <w:p w:rsidR="4E18A16F" w:rsidP="3C83BA83" w:rsidRDefault="4E18A16F" w14:paraId="77C51F35" w14:textId="30285668">
      <w:pPr>
        <w:spacing w:before="240" w:beforeAutospacing="off" w:after="240" w:afterAutospacing="off"/>
      </w:pPr>
      <w:r w:rsidRPr="3C83BA83" w:rsidR="4E18A16F">
        <w:rPr>
          <w:rFonts w:ascii="Times New Roman" w:hAnsi="Times New Roman" w:eastAsia="Times New Roman" w:cs="Times New Roman"/>
          <w:b w:val="1"/>
          <w:bCs w:val="1"/>
          <w:noProof w:val="0"/>
          <w:sz w:val="24"/>
          <w:szCs w:val="24"/>
          <w:lang w:val="en-US"/>
        </w:rPr>
        <w:t>Legal Compliance and Ethical Integrity</w:t>
      </w:r>
    </w:p>
    <w:p w:rsidR="4E18A16F" w:rsidP="3C83BA83" w:rsidRDefault="4E18A16F" w14:paraId="58AFD248" w14:textId="52A8B0AA">
      <w:pPr>
        <w:spacing w:before="240" w:beforeAutospacing="off" w:after="240" w:afterAutospacing="off"/>
        <w:rPr>
          <w:rFonts w:ascii="Times New Roman" w:hAnsi="Times New Roman" w:eastAsia="Times New Roman" w:cs="Times New Roman"/>
          <w:noProof w:val="0"/>
          <w:sz w:val="24"/>
          <w:szCs w:val="24"/>
          <w:lang w:val="en-US"/>
        </w:rPr>
      </w:pPr>
      <w:r w:rsidRPr="3C83BA83" w:rsidR="4E18A16F">
        <w:rPr>
          <w:rFonts w:ascii="Times New Roman" w:hAnsi="Times New Roman" w:eastAsia="Times New Roman" w:cs="Times New Roman"/>
          <w:noProof w:val="0"/>
          <w:sz w:val="24"/>
          <w:szCs w:val="24"/>
          <w:lang w:val="en-US"/>
        </w:rPr>
        <w:t>POhWER</w:t>
      </w:r>
      <w:r w:rsidRPr="3C83BA83" w:rsidR="4E18A16F">
        <w:rPr>
          <w:rFonts w:ascii="Times New Roman" w:hAnsi="Times New Roman" w:eastAsia="Times New Roman" w:cs="Times New Roman"/>
          <w:noProof w:val="0"/>
          <w:sz w:val="24"/>
          <w:szCs w:val="24"/>
          <w:lang w:val="en-US"/>
        </w:rPr>
        <w:t xml:space="preserve"> is a charity that provides information, advice, support, and advocacy to people who experience disability, vulnerability, distress, and social exclusion </w:t>
      </w:r>
      <w:r w:rsidRPr="3C83BA83" w:rsidR="0C8FC5FC">
        <w:rPr>
          <w:rFonts w:ascii="Times New Roman" w:hAnsi="Times New Roman" w:eastAsia="Times New Roman" w:cs="Times New Roman"/>
          <w:b w:val="1"/>
          <w:bCs w:val="1"/>
          <w:i w:val="1"/>
          <w:iCs w:val="1"/>
          <w:noProof w:val="0"/>
          <w:sz w:val="24"/>
          <w:szCs w:val="24"/>
          <w:lang w:val="en-US"/>
        </w:rPr>
        <w:t>(</w:t>
      </w:r>
      <w:r w:rsidRPr="3C83BA83" w:rsidR="0F1C241A">
        <w:rPr>
          <w:rFonts w:ascii="Times New Roman" w:hAnsi="Times New Roman" w:eastAsia="Times New Roman" w:cs="Times New Roman"/>
          <w:b w:val="1"/>
          <w:bCs w:val="1"/>
          <w:i w:val="1"/>
          <w:iCs w:val="1"/>
          <w:noProof w:val="0"/>
          <w:sz w:val="24"/>
          <w:szCs w:val="24"/>
          <w:lang w:val="en-US"/>
        </w:rPr>
        <w:t>P</w:t>
      </w:r>
      <w:r w:rsidRPr="3C83BA83" w:rsidR="0C8FC5FC">
        <w:rPr>
          <w:rFonts w:ascii="Times New Roman" w:hAnsi="Times New Roman" w:eastAsia="Times New Roman" w:cs="Times New Roman"/>
          <w:b w:val="1"/>
          <w:bCs w:val="1"/>
          <w:i w:val="1"/>
          <w:iCs w:val="1"/>
          <w:noProof w:val="0"/>
          <w:sz w:val="24"/>
          <w:szCs w:val="24"/>
          <w:lang w:val="en-US"/>
        </w:rPr>
        <w:t>ohW</w:t>
      </w:r>
      <w:r w:rsidRPr="3C83BA83" w:rsidR="691426B7">
        <w:rPr>
          <w:rFonts w:ascii="Times New Roman" w:hAnsi="Times New Roman" w:eastAsia="Times New Roman" w:cs="Times New Roman"/>
          <w:b w:val="1"/>
          <w:bCs w:val="1"/>
          <w:i w:val="1"/>
          <w:iCs w:val="1"/>
          <w:noProof w:val="0"/>
          <w:sz w:val="24"/>
          <w:szCs w:val="24"/>
          <w:lang w:val="en-US"/>
        </w:rPr>
        <w:t>ER</w:t>
      </w:r>
      <w:r w:rsidRPr="3C83BA83" w:rsidR="0C8FC5FC">
        <w:rPr>
          <w:rFonts w:ascii="Times New Roman" w:hAnsi="Times New Roman" w:eastAsia="Times New Roman" w:cs="Times New Roman"/>
          <w:b w:val="1"/>
          <w:bCs w:val="1"/>
          <w:i w:val="1"/>
          <w:iCs w:val="1"/>
          <w:noProof w:val="0"/>
          <w:sz w:val="24"/>
          <w:szCs w:val="24"/>
          <w:lang w:val="en-US"/>
        </w:rPr>
        <w:t>,</w:t>
      </w:r>
      <w:r w:rsidRPr="3C83BA83" w:rsidR="0C8FC5FC">
        <w:rPr>
          <w:rFonts w:ascii="Times New Roman" w:hAnsi="Times New Roman" w:eastAsia="Times New Roman" w:cs="Times New Roman"/>
          <w:b w:val="1"/>
          <w:bCs w:val="1"/>
          <w:i w:val="1"/>
          <w:iCs w:val="1"/>
          <w:noProof w:val="0"/>
          <w:sz w:val="24"/>
          <w:szCs w:val="24"/>
          <w:lang w:val="en-US"/>
        </w:rPr>
        <w:t xml:space="preserve"> 2016).</w:t>
      </w:r>
    </w:p>
    <w:p w:rsidR="4E18A16F" w:rsidP="3C83BA83" w:rsidRDefault="4E18A16F" w14:paraId="6F48C459" w14:textId="27293E2A">
      <w:pPr>
        <w:spacing w:before="240" w:beforeAutospacing="off" w:after="240" w:afterAutospacing="off"/>
      </w:pPr>
      <w:r w:rsidRPr="3C83BA83" w:rsidR="4E18A16F">
        <w:rPr>
          <w:rFonts w:ascii="Times New Roman" w:hAnsi="Times New Roman" w:eastAsia="Times New Roman" w:cs="Times New Roman"/>
          <w:b w:val="1"/>
          <w:bCs w:val="1"/>
          <w:noProof w:val="0"/>
          <w:sz w:val="24"/>
          <w:szCs w:val="24"/>
          <w:lang w:val="en-US"/>
        </w:rPr>
        <w:t>Client-Centered Approach</w:t>
      </w:r>
    </w:p>
    <w:p w:rsidR="4E18A16F" w:rsidP="3C83BA83" w:rsidRDefault="4E18A16F" w14:paraId="24FBFE6C" w14:textId="17DA8886">
      <w:pPr>
        <w:pStyle w:val="Normal"/>
        <w:spacing w:before="240" w:beforeAutospacing="off" w:after="240" w:afterAutospacing="off"/>
      </w:pPr>
      <w:r w:rsidRPr="3C83BA83" w:rsidR="4E18A16F">
        <w:rPr>
          <w:rFonts w:ascii="Times New Roman" w:hAnsi="Times New Roman" w:eastAsia="Times New Roman" w:cs="Times New Roman"/>
          <w:noProof w:val="0"/>
          <w:sz w:val="24"/>
          <w:szCs w:val="24"/>
          <w:lang w:val="en-US"/>
        </w:rPr>
        <w:t>POhWER</w:t>
      </w:r>
      <w:r w:rsidRPr="3C83BA83" w:rsidR="4E18A16F">
        <w:rPr>
          <w:rFonts w:ascii="Times New Roman" w:hAnsi="Times New Roman" w:eastAsia="Times New Roman" w:cs="Times New Roman"/>
          <w:noProof w:val="0"/>
          <w:sz w:val="24"/>
          <w:szCs w:val="24"/>
          <w:lang w:val="en-US"/>
        </w:rPr>
        <w:t xml:space="preserve"> offers free, confidential, and independent advocacy services to help people understand their rights, be heard, and be treated as equals</w:t>
      </w:r>
      <w:r w:rsidRPr="3C83BA83" w:rsidR="46CB49EB">
        <w:rPr>
          <w:rFonts w:ascii="Times New Roman" w:hAnsi="Times New Roman" w:eastAsia="Times New Roman" w:cs="Times New Roman"/>
          <w:noProof w:val="0"/>
          <w:sz w:val="24"/>
          <w:szCs w:val="24"/>
          <w:lang w:val="en-US"/>
        </w:rPr>
        <w:t xml:space="preserve"> </w:t>
      </w:r>
      <w:r w:rsidRPr="3C83BA83" w:rsidR="46CB49EB">
        <w:rPr>
          <w:rFonts w:ascii="Times New Roman" w:hAnsi="Times New Roman" w:eastAsia="Times New Roman" w:cs="Times New Roman"/>
          <w:b w:val="1"/>
          <w:bCs w:val="1"/>
          <w:i w:val="1"/>
          <w:iCs w:val="1"/>
          <w:noProof w:val="0"/>
          <w:sz w:val="24"/>
          <w:szCs w:val="24"/>
          <w:lang w:val="en-US"/>
        </w:rPr>
        <w:t>(</w:t>
      </w:r>
      <w:r w:rsidRPr="3C83BA83" w:rsidR="46CB49EB">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4"/>
          <w:szCs w:val="24"/>
          <w:u w:val="none"/>
          <w:lang w:val="en-US"/>
        </w:rPr>
        <w:t>Enfield Council, 2025).</w:t>
      </w:r>
    </w:p>
    <w:p w:rsidR="4E18A16F" w:rsidP="3C83BA83" w:rsidRDefault="4E18A16F" w14:paraId="4F00A2F1" w14:textId="504F457B">
      <w:pPr>
        <w:spacing w:before="240" w:beforeAutospacing="off" w:after="240" w:afterAutospacing="off"/>
      </w:pPr>
      <w:r w:rsidRPr="3C83BA83" w:rsidR="4E18A16F">
        <w:rPr>
          <w:rFonts w:ascii="Times New Roman" w:hAnsi="Times New Roman" w:eastAsia="Times New Roman" w:cs="Times New Roman"/>
          <w:b w:val="1"/>
          <w:bCs w:val="1"/>
          <w:noProof w:val="0"/>
          <w:sz w:val="24"/>
          <w:szCs w:val="24"/>
          <w:lang w:val="en-US"/>
        </w:rPr>
        <w:t>Confidentiality and Independence</w:t>
      </w:r>
    </w:p>
    <w:p w:rsidR="4E18A16F" w:rsidP="3C83BA83" w:rsidRDefault="4E18A16F" w14:paraId="6A4E2754" w14:textId="1B9D630A">
      <w:pPr>
        <w:pStyle w:val="Normal"/>
        <w:spacing w:before="240" w:beforeAutospacing="off" w:after="240" w:afterAutospacing="of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US"/>
        </w:rPr>
      </w:pPr>
      <w:r w:rsidRPr="3C83BA83" w:rsidR="4E18A16F">
        <w:rPr>
          <w:rFonts w:ascii="Times New Roman" w:hAnsi="Times New Roman" w:eastAsia="Times New Roman" w:cs="Times New Roman"/>
          <w:noProof w:val="0"/>
          <w:sz w:val="24"/>
          <w:szCs w:val="24"/>
          <w:lang w:val="en-US"/>
        </w:rPr>
        <w:t>POhWER</w:t>
      </w:r>
      <w:r w:rsidRPr="3C83BA83" w:rsidR="4E18A16F">
        <w:rPr>
          <w:rFonts w:ascii="Times New Roman" w:hAnsi="Times New Roman" w:eastAsia="Times New Roman" w:cs="Times New Roman"/>
          <w:noProof w:val="0"/>
          <w:sz w:val="24"/>
          <w:szCs w:val="24"/>
          <w:lang w:val="en-US"/>
        </w:rPr>
        <w:t xml:space="preserve"> is an independent organization, separate from the government, local councils, the NHS, and other organizations that provide health and social care</w:t>
      </w:r>
      <w:r w:rsidRPr="3C83BA83" w:rsidR="666AD357">
        <w:rPr>
          <w:rFonts w:ascii="Times New Roman" w:hAnsi="Times New Roman" w:eastAsia="Times New Roman" w:cs="Times New Roman"/>
          <w:noProof w:val="0"/>
          <w:sz w:val="24"/>
          <w:szCs w:val="24"/>
          <w:lang w:val="en-US"/>
        </w:rPr>
        <w:t xml:space="preserve"> </w:t>
      </w:r>
      <w:r w:rsidRPr="3C83BA83" w:rsidR="666AD357">
        <w:rPr>
          <w:rFonts w:ascii="Times New Roman" w:hAnsi="Times New Roman" w:eastAsia="Times New Roman" w:cs="Times New Roman"/>
          <w:b w:val="1"/>
          <w:bCs w:val="1"/>
          <w:i w:val="1"/>
          <w:iCs w:val="1"/>
          <w:noProof w:val="0"/>
          <w:sz w:val="24"/>
          <w:szCs w:val="24"/>
          <w:lang w:val="en-US"/>
        </w:rPr>
        <w:t>(</w:t>
      </w:r>
      <w:r w:rsidRPr="3C83BA83" w:rsidR="666AD357">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US"/>
        </w:rPr>
        <w:t xml:space="preserve">Bath and </w:t>
      </w:r>
      <w:r w:rsidRPr="3C83BA83" w:rsidR="666AD357">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US"/>
        </w:rPr>
        <w:t>North East</w:t>
      </w:r>
      <w:r w:rsidRPr="3C83BA83" w:rsidR="666AD357">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US"/>
        </w:rPr>
        <w:t xml:space="preserve"> Somerset Council, 2025).</w:t>
      </w:r>
    </w:p>
    <w:p w:rsidR="4E18A16F" w:rsidP="3C83BA83" w:rsidRDefault="4E18A16F" w14:paraId="43D548B3" w14:textId="57D596AB">
      <w:pPr>
        <w:spacing w:before="240" w:beforeAutospacing="off" w:after="240" w:afterAutospacing="off"/>
      </w:pPr>
      <w:r w:rsidRPr="3C83BA83" w:rsidR="4E18A16F">
        <w:rPr>
          <w:rFonts w:ascii="Times New Roman" w:hAnsi="Times New Roman" w:eastAsia="Times New Roman" w:cs="Times New Roman"/>
          <w:b w:val="1"/>
          <w:bCs w:val="1"/>
          <w:noProof w:val="0"/>
          <w:sz w:val="24"/>
          <w:szCs w:val="24"/>
          <w:lang w:val="en-US"/>
        </w:rPr>
        <w:t>Quality Assurance Mechanisms</w:t>
      </w:r>
    </w:p>
    <w:p w:rsidR="4E18A16F" w:rsidP="3C83BA83" w:rsidRDefault="4E18A16F" w14:paraId="0697CC55" w14:textId="724108C8">
      <w:pPr>
        <w:pStyle w:val="Normal"/>
        <w:spacing w:before="240" w:beforeAutospacing="off" w:after="240" w:afterAutospacing="off"/>
      </w:pPr>
      <w:r w:rsidRPr="3C83BA83" w:rsidR="4E18A16F">
        <w:rPr>
          <w:rFonts w:ascii="Times New Roman" w:hAnsi="Times New Roman" w:eastAsia="Times New Roman" w:cs="Times New Roman"/>
          <w:noProof w:val="0"/>
          <w:sz w:val="24"/>
          <w:szCs w:val="24"/>
          <w:lang w:val="en-US"/>
        </w:rPr>
        <w:t xml:space="preserve">Intertek’s Quality &amp; Performance Mark (QPM) is a national accreditation system that sets benchmarks for service quality, ensuring compliance with best practice principles such as clarity of purpose, accessibility, and accountability </w:t>
      </w:r>
      <w:r w:rsidRPr="3C83BA83" w:rsidR="0EAFE03E">
        <w:rPr>
          <w:rFonts w:ascii="Times New Roman" w:hAnsi="Times New Roman" w:eastAsia="Times New Roman" w:cs="Times New Roman"/>
          <w:b w:val="1"/>
          <w:bCs w:val="1"/>
          <w:i w:val="1"/>
          <w:iCs w:val="1"/>
          <w:noProof w:val="0"/>
          <w:sz w:val="24"/>
          <w:szCs w:val="24"/>
          <w:lang w:val="en-US"/>
        </w:rPr>
        <w:t>(</w:t>
      </w:r>
      <w:r w:rsidRPr="3C83BA83" w:rsidR="0EAFE03E">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4"/>
          <w:szCs w:val="24"/>
          <w:u w:val="none"/>
          <w:lang w:val="en-US"/>
        </w:rPr>
        <w:t>Intertek, 2025).</w:t>
      </w:r>
    </w:p>
    <w:p w:rsidR="4E18A16F" w:rsidP="3C83BA83" w:rsidRDefault="4E18A16F" w14:paraId="76A254F8" w14:textId="50F41FA0">
      <w:pPr>
        <w:spacing w:before="240" w:beforeAutospacing="off" w:after="240" w:afterAutospacing="off"/>
      </w:pPr>
      <w:r w:rsidRPr="3C83BA83" w:rsidR="4E18A16F">
        <w:rPr>
          <w:rFonts w:ascii="Times New Roman" w:hAnsi="Times New Roman" w:eastAsia="Times New Roman" w:cs="Times New Roman"/>
          <w:b w:val="1"/>
          <w:bCs w:val="1"/>
          <w:noProof w:val="0"/>
          <w:sz w:val="24"/>
          <w:szCs w:val="24"/>
          <w:lang w:val="en-US"/>
        </w:rPr>
        <w:t>Specialized Training for Advocates</w:t>
      </w:r>
    </w:p>
    <w:p w:rsidR="4E18A16F" w:rsidP="3C83BA83" w:rsidRDefault="4E18A16F" w14:paraId="16476539" w14:textId="39086B91">
      <w:pPr>
        <w:pStyle w:val="Normal"/>
        <w:spacing w:before="240" w:beforeAutospacing="off" w:after="240" w:afterAutospacing="off"/>
        <w:rPr>
          <w:rFonts w:ascii="Times New Roman" w:hAnsi="Times New Roman" w:eastAsia="Times New Roman" w:cs="Times New Roman"/>
          <w:noProof w:val="0"/>
          <w:sz w:val="24"/>
          <w:szCs w:val="24"/>
          <w:lang w:val="en-US"/>
        </w:rPr>
      </w:pPr>
      <w:r w:rsidRPr="3C83BA83" w:rsidR="4E18A16F">
        <w:rPr>
          <w:rFonts w:ascii="Times New Roman" w:hAnsi="Times New Roman" w:eastAsia="Times New Roman" w:cs="Times New Roman"/>
          <w:noProof w:val="0"/>
          <w:sz w:val="24"/>
          <w:szCs w:val="24"/>
          <w:lang w:val="en-US"/>
        </w:rPr>
        <w:t>POhWER</w:t>
      </w:r>
      <w:r w:rsidRPr="3C83BA83" w:rsidR="4E18A16F">
        <w:rPr>
          <w:rFonts w:ascii="Times New Roman" w:hAnsi="Times New Roman" w:eastAsia="Times New Roman" w:cs="Times New Roman"/>
          <w:noProof w:val="0"/>
          <w:sz w:val="24"/>
          <w:szCs w:val="24"/>
          <w:lang w:val="en-US"/>
        </w:rPr>
        <w:t xml:space="preserve"> provides information, advice, support, and advocacy to people who experience disability, vulnerability, distress, and social </w:t>
      </w:r>
      <w:r w:rsidRPr="3C83BA83" w:rsidR="4E18A16F">
        <w:rPr>
          <w:rFonts w:ascii="Times New Roman" w:hAnsi="Times New Roman" w:eastAsia="Times New Roman" w:cs="Times New Roman"/>
          <w:noProof w:val="0"/>
          <w:sz w:val="24"/>
          <w:szCs w:val="24"/>
          <w:lang w:val="en-US"/>
        </w:rPr>
        <w:t>exclusion</w:t>
      </w:r>
      <w:r w:rsidRPr="3C83BA83" w:rsidR="79C044DF">
        <w:rPr>
          <w:rFonts w:ascii="Times New Roman" w:hAnsi="Times New Roman" w:eastAsia="Times New Roman" w:cs="Times New Roman"/>
          <w:noProof w:val="0"/>
          <w:sz w:val="24"/>
          <w:szCs w:val="24"/>
          <w:lang w:val="en-US"/>
        </w:rPr>
        <w:t xml:space="preserve"> (</w:t>
      </w:r>
      <w:r w:rsidRPr="3C83BA83" w:rsidR="79C044DF">
        <w:rPr>
          <w:rFonts w:ascii="Times New Roman" w:hAnsi="Times New Roman" w:eastAsia="Times New Roman" w:cs="Times New Roman"/>
          <w:b w:val="1"/>
          <w:bCs w:val="1"/>
          <w:i w:val="1"/>
          <w:iCs w:val="1"/>
          <w:noProof w:val="0"/>
          <w:sz w:val="24"/>
          <w:szCs w:val="24"/>
          <w:lang w:val="en-US"/>
        </w:rPr>
        <w:t>PohW</w:t>
      </w:r>
      <w:r w:rsidRPr="3C83BA83" w:rsidR="54FC3A54">
        <w:rPr>
          <w:rFonts w:ascii="Times New Roman" w:hAnsi="Times New Roman" w:eastAsia="Times New Roman" w:cs="Times New Roman"/>
          <w:b w:val="1"/>
          <w:bCs w:val="1"/>
          <w:i w:val="1"/>
          <w:iCs w:val="1"/>
          <w:noProof w:val="0"/>
          <w:sz w:val="24"/>
          <w:szCs w:val="24"/>
          <w:lang w:val="en-US"/>
        </w:rPr>
        <w:t>ER</w:t>
      </w:r>
      <w:r w:rsidRPr="3C83BA83" w:rsidR="79C044DF">
        <w:rPr>
          <w:rFonts w:ascii="Times New Roman" w:hAnsi="Times New Roman" w:eastAsia="Times New Roman" w:cs="Times New Roman"/>
          <w:b w:val="1"/>
          <w:bCs w:val="1"/>
          <w:i w:val="1"/>
          <w:iCs w:val="1"/>
          <w:noProof w:val="0"/>
          <w:sz w:val="24"/>
          <w:szCs w:val="24"/>
          <w:lang w:val="en-US"/>
        </w:rPr>
        <w:t>, 2016).</w:t>
      </w:r>
    </w:p>
    <w:p w:rsidR="3C83BA83" w:rsidP="3C83BA83" w:rsidRDefault="3C83BA83" w14:paraId="1E2C0304" w14:textId="5F45C77C">
      <w:pPr>
        <w:pStyle w:val="Normal"/>
        <w:spacing w:before="240" w:beforeAutospacing="off" w:after="240" w:afterAutospacing="off"/>
        <w:rPr>
          <w:rFonts w:ascii="Times New Roman" w:hAnsi="Times New Roman" w:eastAsia="Times New Roman" w:cs="Times New Roman"/>
          <w:b w:val="1"/>
          <w:bCs w:val="1"/>
          <w:i w:val="1"/>
          <w:iCs w:val="1"/>
          <w:noProof w:val="0"/>
          <w:sz w:val="24"/>
          <w:szCs w:val="24"/>
          <w:lang w:val="en-US"/>
        </w:rPr>
      </w:pPr>
    </w:p>
    <w:p w:rsidR="68E2EB17" w:rsidP="3C83BA83" w:rsidRDefault="68E2EB17" w14:paraId="186AD500" w14:textId="7F11405A">
      <w:pPr>
        <w:spacing w:before="240" w:beforeAutospacing="off" w:after="240" w:afterAutospacing="off"/>
        <w:rPr>
          <w:rFonts w:ascii="Times New Roman" w:hAnsi="Times New Roman" w:eastAsia="Times New Roman" w:cs="Times New Roman"/>
          <w:b w:val="1"/>
          <w:bCs w:val="1"/>
          <w:noProof w:val="0"/>
          <w:color w:val="auto"/>
          <w:sz w:val="32"/>
          <w:szCs w:val="32"/>
          <w:u w:val="none"/>
          <w:lang w:val="en-US"/>
        </w:rPr>
      </w:pPr>
      <w:r w:rsidRPr="3C83BA83" w:rsidR="68E2EB17">
        <w:rPr>
          <w:rFonts w:ascii="Times New Roman" w:hAnsi="Times New Roman" w:eastAsia="Times New Roman" w:cs="Times New Roman"/>
          <w:b w:val="1"/>
          <w:bCs w:val="1"/>
          <w:noProof w:val="0"/>
          <w:color w:val="auto"/>
          <w:sz w:val="32"/>
          <w:szCs w:val="32"/>
          <w:u w:val="none"/>
          <w:lang w:val="en-US"/>
        </w:rPr>
        <w:t xml:space="preserve">Limitations and </w:t>
      </w:r>
      <w:r w:rsidRPr="3C83BA83" w:rsidR="68E2EB17">
        <w:rPr>
          <w:rFonts w:ascii="Times New Roman" w:hAnsi="Times New Roman" w:eastAsia="Times New Roman" w:cs="Times New Roman"/>
          <w:b w:val="1"/>
          <w:bCs w:val="1"/>
          <w:noProof w:val="0"/>
          <w:color w:val="auto"/>
          <w:sz w:val="32"/>
          <w:szCs w:val="32"/>
          <w:u w:val="none"/>
          <w:lang w:val="en-US"/>
        </w:rPr>
        <w:t>Challenges</w:t>
      </w:r>
      <w:r w:rsidRPr="3C83BA83" w:rsidR="68E2EB17">
        <w:rPr>
          <w:rFonts w:ascii="Times New Roman" w:hAnsi="Times New Roman" w:eastAsia="Times New Roman" w:cs="Times New Roman"/>
          <w:b w:val="1"/>
          <w:bCs w:val="1"/>
          <w:noProof w:val="0"/>
          <w:color w:val="auto"/>
          <w:sz w:val="32"/>
          <w:szCs w:val="32"/>
          <w:u w:val="none"/>
          <w:lang w:val="en-US"/>
        </w:rPr>
        <w:t xml:space="preserve">: </w:t>
      </w:r>
    </w:p>
    <w:p w:rsidR="64AAD302" w:rsidP="3C83BA83" w:rsidRDefault="64AAD302" w14:paraId="7563FEFF" w14:textId="5DCD502A">
      <w:pPr>
        <w:pStyle w:val="Normal"/>
        <w:spacing w:before="240" w:beforeAutospacing="off" w:after="240" w:afterAutospacing="off"/>
      </w:pPr>
      <w:r w:rsidRPr="3C83BA83" w:rsidR="64AAD302">
        <w:rPr>
          <w:rFonts w:ascii="Times New Roman" w:hAnsi="Times New Roman" w:eastAsia="Times New Roman" w:cs="Times New Roman"/>
          <w:noProof w:val="0"/>
          <w:sz w:val="24"/>
          <w:szCs w:val="24"/>
          <w:lang w:val="en-US"/>
        </w:rPr>
        <w:t>POhWER</w:t>
      </w:r>
      <w:r w:rsidRPr="3C83BA83" w:rsidR="64AAD302">
        <w:rPr>
          <w:rFonts w:ascii="Times New Roman" w:hAnsi="Times New Roman" w:eastAsia="Times New Roman" w:cs="Times New Roman"/>
          <w:noProof w:val="0"/>
          <w:sz w:val="24"/>
          <w:szCs w:val="24"/>
          <w:lang w:val="en-US"/>
        </w:rPr>
        <w:t xml:space="preserve">, like many advocacy organizations, relies on funding from local councils and the NHS, and while these services are meant to remain independent, financial dependence on public-sector funding can create pressures that may not always align with client needs, as research indicates that external funding sources can lead to conflicts of interest, with a study in </w:t>
      </w:r>
      <w:r w:rsidRPr="3C83BA83" w:rsidR="64AAD302">
        <w:rPr>
          <w:rFonts w:ascii="Times New Roman" w:hAnsi="Times New Roman" w:eastAsia="Times New Roman" w:cs="Times New Roman"/>
          <w:i w:val="1"/>
          <w:iCs w:val="1"/>
          <w:noProof w:val="0"/>
          <w:sz w:val="24"/>
          <w:szCs w:val="24"/>
          <w:lang w:val="en-US"/>
        </w:rPr>
        <w:t>JAMA Internal Medicine</w:t>
      </w:r>
      <w:r w:rsidRPr="3C83BA83" w:rsidR="64AAD302">
        <w:rPr>
          <w:rFonts w:ascii="Times New Roman" w:hAnsi="Times New Roman" w:eastAsia="Times New Roman" w:cs="Times New Roman"/>
          <w:noProof w:val="0"/>
          <w:sz w:val="24"/>
          <w:szCs w:val="24"/>
          <w:lang w:val="en-US"/>
        </w:rPr>
        <w:t xml:space="preserve"> finding that 81.8% of respondents believed advocacy groups face conflicts of interest, and 7.7% reported feeling pressured to align their positions with the views of their funders </w:t>
      </w:r>
      <w:r w:rsidRPr="3C83BA83" w:rsidR="64AAD302">
        <w:rPr>
          <w:rFonts w:ascii="Times New Roman" w:hAnsi="Times New Roman" w:eastAsia="Times New Roman" w:cs="Times New Roman"/>
          <w:b w:val="1"/>
          <w:bCs w:val="1"/>
          <w:i w:val="1"/>
          <w:iCs w:val="1"/>
          <w:noProof w:val="0"/>
          <w:sz w:val="24"/>
          <w:szCs w:val="24"/>
          <w:lang w:val="en-US"/>
        </w:rPr>
        <w:t>(McCoy et al., 2017).</w:t>
      </w:r>
    </w:p>
    <w:p w:rsidR="572EAD00" w:rsidP="3C83BA83" w:rsidRDefault="572EAD00" w14:paraId="4ECD47BD" w14:textId="2174B11E">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r w:rsidRPr="3C83BA83" w:rsidR="572EAD00">
        <w:rPr>
          <w:rFonts w:ascii="Times New Roman" w:hAnsi="Times New Roman" w:eastAsia="Times New Roman" w:cs="Times New Roman"/>
          <w:b w:val="1"/>
          <w:bCs w:val="1"/>
          <w:noProof w:val="0"/>
          <w:sz w:val="24"/>
          <w:szCs w:val="24"/>
          <w:lang w:val="en-US"/>
        </w:rPr>
        <w:t>Weak Enforcement and Regulation of Advocacy Standards</w:t>
      </w:r>
    </w:p>
    <w:p w:rsidR="572EAD00" w:rsidP="3C83BA83" w:rsidRDefault="572EAD00" w14:paraId="6DA8178A" w14:textId="5DB32B51">
      <w:pPr>
        <w:pStyle w:val="Normal"/>
        <w:spacing w:before="240" w:beforeAutospacing="off" w:after="240" w:afterAutospacing="off"/>
        <w:rPr>
          <w:rFonts w:ascii="Times New Roman" w:hAnsi="Times New Roman" w:eastAsia="Times New Roman" w:cs="Times New Roman"/>
          <w:b w:val="1"/>
          <w:bCs w:val="1"/>
          <w:noProof w:val="0"/>
          <w:color w:val="C00000"/>
          <w:sz w:val="24"/>
          <w:szCs w:val="24"/>
          <w:lang w:val="en-US"/>
        </w:rPr>
      </w:pPr>
      <w:r w:rsidRPr="3C83BA83" w:rsidR="572EAD00">
        <w:rPr>
          <w:rFonts w:ascii="Times New Roman" w:hAnsi="Times New Roman" w:eastAsia="Times New Roman" w:cs="Times New Roman"/>
          <w:noProof w:val="0"/>
          <w:sz w:val="24"/>
          <w:szCs w:val="24"/>
          <w:lang w:val="en-US"/>
        </w:rPr>
        <w:t>POhWER</w:t>
      </w:r>
      <w:r w:rsidRPr="3C83BA83" w:rsidR="572EAD00">
        <w:rPr>
          <w:rFonts w:ascii="Times New Roman" w:hAnsi="Times New Roman" w:eastAsia="Times New Roman" w:cs="Times New Roman"/>
          <w:noProof w:val="0"/>
          <w:sz w:val="24"/>
          <w:szCs w:val="24"/>
          <w:lang w:val="en-US"/>
        </w:rPr>
        <w:t xml:space="preserve"> follows the quality guidelines </w:t>
      </w:r>
      <w:r w:rsidRPr="3C83BA83" w:rsidR="572EAD00">
        <w:rPr>
          <w:rFonts w:ascii="Times New Roman" w:hAnsi="Times New Roman" w:eastAsia="Times New Roman" w:cs="Times New Roman"/>
          <w:noProof w:val="0"/>
          <w:sz w:val="24"/>
          <w:szCs w:val="24"/>
          <w:lang w:val="en-US"/>
        </w:rPr>
        <w:t>established</w:t>
      </w:r>
      <w:r w:rsidRPr="3C83BA83" w:rsidR="572EAD00">
        <w:rPr>
          <w:rFonts w:ascii="Times New Roman" w:hAnsi="Times New Roman" w:eastAsia="Times New Roman" w:cs="Times New Roman"/>
          <w:noProof w:val="0"/>
          <w:sz w:val="24"/>
          <w:szCs w:val="24"/>
          <w:lang w:val="en-US"/>
        </w:rPr>
        <w:t xml:space="preserve"> by the Advocacy Quality Performance Mark (QPM) and the Advocacy Charter; however, these standards are not legally binding. Unlike professions such as law or medicine, advocacy lacks statutory regulation, meaning there are no legal inspections or penalties for </w:t>
      </w:r>
      <w:r w:rsidRPr="3C83BA83" w:rsidR="572EAD00">
        <w:rPr>
          <w:rFonts w:ascii="Times New Roman" w:hAnsi="Times New Roman" w:eastAsia="Times New Roman" w:cs="Times New Roman"/>
          <w:noProof w:val="0"/>
          <w:sz w:val="24"/>
          <w:szCs w:val="24"/>
          <w:lang w:val="en-US"/>
        </w:rPr>
        <w:t>failing to meet</w:t>
      </w:r>
      <w:r w:rsidRPr="3C83BA83" w:rsidR="572EAD00">
        <w:rPr>
          <w:rFonts w:ascii="Times New Roman" w:hAnsi="Times New Roman" w:eastAsia="Times New Roman" w:cs="Times New Roman"/>
          <w:noProof w:val="0"/>
          <w:sz w:val="24"/>
          <w:szCs w:val="24"/>
          <w:lang w:val="en-US"/>
        </w:rPr>
        <w:t xml:space="preserve"> these benchmarks. </w:t>
      </w:r>
      <w:r w:rsidRPr="3C83BA83" w:rsidR="572EAD00">
        <w:rPr>
          <w:rFonts w:ascii="Times New Roman" w:hAnsi="Times New Roman" w:eastAsia="Times New Roman" w:cs="Times New Roman"/>
          <w:noProof w:val="0"/>
          <w:sz w:val="24"/>
          <w:szCs w:val="24"/>
          <w:lang w:val="en-US"/>
        </w:rPr>
        <w:t xml:space="preserve">As a result, the quality of services may differ between organizations, and there is no mandatory system to ensure all advocacy providers </w:t>
      </w:r>
      <w:r w:rsidRPr="3C83BA83" w:rsidR="572EAD00">
        <w:rPr>
          <w:rFonts w:ascii="Times New Roman" w:hAnsi="Times New Roman" w:eastAsia="Times New Roman" w:cs="Times New Roman"/>
          <w:noProof w:val="0"/>
          <w:sz w:val="24"/>
          <w:szCs w:val="24"/>
          <w:lang w:val="en-US"/>
        </w:rPr>
        <w:t>operate</w:t>
      </w:r>
      <w:r w:rsidRPr="3C83BA83" w:rsidR="572EAD00">
        <w:rPr>
          <w:rFonts w:ascii="Times New Roman" w:hAnsi="Times New Roman" w:eastAsia="Times New Roman" w:cs="Times New Roman"/>
          <w:noProof w:val="0"/>
          <w:sz w:val="24"/>
          <w:szCs w:val="24"/>
          <w:lang w:val="en-US"/>
        </w:rPr>
        <w:t xml:space="preserve"> at the same standard </w:t>
      </w:r>
      <w:r w:rsidRPr="3C83BA83" w:rsidR="572EAD00">
        <w:rPr>
          <w:rFonts w:ascii="Times New Roman" w:hAnsi="Times New Roman" w:eastAsia="Times New Roman" w:cs="Times New Roman"/>
          <w:b w:val="1"/>
          <w:bCs w:val="1"/>
          <w:i w:val="1"/>
          <w:iCs w:val="1"/>
          <w:noProof w:val="0"/>
          <w:sz w:val="24"/>
          <w:szCs w:val="24"/>
          <w:lang w:val="en-US"/>
        </w:rPr>
        <w:t>(Quality Advocacy, n.d.)</w:t>
      </w:r>
      <w:r w:rsidRPr="3C83BA83" w:rsidR="2B941CE1">
        <w:rPr>
          <w:rFonts w:ascii="Times New Roman" w:hAnsi="Times New Roman" w:eastAsia="Times New Roman" w:cs="Times New Roman"/>
          <w:b w:val="1"/>
          <w:bCs w:val="1"/>
          <w:i w:val="1"/>
          <w:iCs w:val="1"/>
          <w:noProof w:val="0"/>
          <w:sz w:val="24"/>
          <w:szCs w:val="24"/>
          <w:lang w:val="en-US"/>
        </w:rPr>
        <w:t>.</w:t>
      </w:r>
    </w:p>
    <w:p w:rsidR="1D260744" w:rsidP="3C83BA83" w:rsidRDefault="1D260744" w14:paraId="5C3C337D" w14:textId="2EDE65A6">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r w:rsidRPr="3C83BA83" w:rsidR="1D260744">
        <w:rPr>
          <w:rFonts w:ascii="Times New Roman" w:hAnsi="Times New Roman" w:eastAsia="Times New Roman" w:cs="Times New Roman"/>
          <w:b w:val="1"/>
          <w:bCs w:val="1"/>
          <w:noProof w:val="0"/>
          <w:sz w:val="24"/>
          <w:szCs w:val="24"/>
          <w:lang w:val="en-US"/>
        </w:rPr>
        <w:t>Variability in Advocate Training and Qualifications</w:t>
      </w:r>
    </w:p>
    <w:p w:rsidR="1D260744" w:rsidP="3C83BA83" w:rsidRDefault="1D260744" w14:paraId="3C584D91" w14:textId="4B1E1513">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r w:rsidRPr="3C83BA83" w:rsidR="1D260744">
        <w:rPr>
          <w:rFonts w:ascii="Times New Roman" w:hAnsi="Times New Roman" w:eastAsia="Times New Roman" w:cs="Times New Roman"/>
          <w:noProof w:val="0"/>
          <w:sz w:val="24"/>
          <w:szCs w:val="24"/>
          <w:lang w:val="en-US"/>
        </w:rPr>
        <w:t xml:space="preserve">Advocacy services, including </w:t>
      </w:r>
      <w:r w:rsidRPr="3C83BA83" w:rsidR="1D260744">
        <w:rPr>
          <w:rFonts w:ascii="Times New Roman" w:hAnsi="Times New Roman" w:eastAsia="Times New Roman" w:cs="Times New Roman"/>
          <w:noProof w:val="0"/>
          <w:sz w:val="24"/>
          <w:szCs w:val="24"/>
          <w:lang w:val="en-US"/>
        </w:rPr>
        <w:t>POhWER</w:t>
      </w:r>
      <w:r w:rsidRPr="3C83BA83" w:rsidR="1D260744">
        <w:rPr>
          <w:rFonts w:ascii="Times New Roman" w:hAnsi="Times New Roman" w:eastAsia="Times New Roman" w:cs="Times New Roman"/>
          <w:noProof w:val="0"/>
          <w:sz w:val="24"/>
          <w:szCs w:val="24"/>
          <w:lang w:val="en-US"/>
        </w:rPr>
        <w:t xml:space="preserve">, follow quality guidelines like the Advocacy Quality Performance Mark (QPM) and the Advocacy Charter, but these standards are not legally enforceable. As a result, training programs for advocacy professionals vary across organizations due to the lack of a national licensing body. Unlike regulated fields such as law or medicine, advocacy lacks standardized qualifications, which leads to differences in the </w:t>
      </w:r>
      <w:r w:rsidRPr="3C83BA83" w:rsidR="1D260744">
        <w:rPr>
          <w:rFonts w:ascii="Times New Roman" w:hAnsi="Times New Roman" w:eastAsia="Times New Roman" w:cs="Times New Roman"/>
          <w:noProof w:val="0"/>
          <w:sz w:val="24"/>
          <w:szCs w:val="24"/>
          <w:lang w:val="en-US"/>
        </w:rPr>
        <w:t>expertise</w:t>
      </w:r>
      <w:r w:rsidRPr="3C83BA83" w:rsidR="1D260744">
        <w:rPr>
          <w:rFonts w:ascii="Times New Roman" w:hAnsi="Times New Roman" w:eastAsia="Times New Roman" w:cs="Times New Roman"/>
          <w:noProof w:val="0"/>
          <w:sz w:val="24"/>
          <w:szCs w:val="24"/>
          <w:lang w:val="en-US"/>
        </w:rPr>
        <w:t xml:space="preserve"> of advocates and inconsistencies in service delivery</w:t>
      </w:r>
      <w:r w:rsidRPr="3C83BA83" w:rsidR="1D260744">
        <w:rPr>
          <w:rFonts w:ascii="Times New Roman" w:hAnsi="Times New Roman" w:eastAsia="Times New Roman" w:cs="Times New Roman"/>
          <w:i w:val="1"/>
          <w:iCs w:val="1"/>
          <w:noProof w:val="0"/>
          <w:sz w:val="24"/>
          <w:szCs w:val="24"/>
          <w:lang w:val="en-US"/>
        </w:rPr>
        <w:t xml:space="preserve"> </w:t>
      </w:r>
      <w:r w:rsidRPr="3C83BA83" w:rsidR="1D260744">
        <w:rPr>
          <w:rFonts w:ascii="Times New Roman" w:hAnsi="Times New Roman" w:eastAsia="Times New Roman" w:cs="Times New Roman"/>
          <w:b w:val="1"/>
          <w:bCs w:val="1"/>
          <w:i w:val="1"/>
          <w:iCs w:val="1"/>
          <w:noProof w:val="0"/>
          <w:sz w:val="24"/>
          <w:szCs w:val="24"/>
          <w:lang w:val="en-US"/>
        </w:rPr>
        <w:t>(Cityandguilds.com</w:t>
      </w:r>
      <w:r w:rsidRPr="3C83BA83" w:rsidR="224E81E0">
        <w:rPr>
          <w:rFonts w:ascii="Times New Roman" w:hAnsi="Times New Roman" w:eastAsia="Times New Roman" w:cs="Times New Roman"/>
          <w:b w:val="1"/>
          <w:bCs w:val="1"/>
          <w:i w:val="1"/>
          <w:iCs w:val="1"/>
          <w:noProof w:val="0"/>
          <w:sz w:val="24"/>
          <w:szCs w:val="24"/>
          <w:lang w:val="en-US"/>
        </w:rPr>
        <w:t xml:space="preserve">, </w:t>
      </w:r>
      <w:r w:rsidRPr="3C83BA83" w:rsidR="224E81E0">
        <w:rPr>
          <w:rFonts w:ascii="Times New Roman" w:hAnsi="Times New Roman" w:eastAsia="Times New Roman" w:cs="Times New Roman"/>
          <w:b w:val="1"/>
          <w:bCs w:val="1"/>
          <w:i w:val="1"/>
          <w:iCs w:val="1"/>
          <w:noProof w:val="0"/>
          <w:sz w:val="24"/>
          <w:szCs w:val="24"/>
          <w:lang w:val="en-US"/>
        </w:rPr>
        <w:t>n.d</w:t>
      </w:r>
      <w:r w:rsidRPr="3C83BA83" w:rsidR="1D260744">
        <w:rPr>
          <w:rFonts w:ascii="Times New Roman" w:hAnsi="Times New Roman" w:eastAsia="Times New Roman" w:cs="Times New Roman"/>
          <w:b w:val="1"/>
          <w:bCs w:val="1"/>
          <w:i w:val="1"/>
          <w:iCs w:val="1"/>
          <w:noProof w:val="0"/>
          <w:sz w:val="24"/>
          <w:szCs w:val="24"/>
          <w:lang w:val="en-US"/>
        </w:rPr>
        <w:t>).</w:t>
      </w:r>
    </w:p>
    <w:p w:rsidR="6EAF13AF" w:rsidP="3C83BA83" w:rsidRDefault="6EAF13AF" w14:paraId="69450972" w14:textId="46C70A3E">
      <w:pPr>
        <w:spacing w:before="240" w:beforeAutospacing="off" w:after="240" w:afterAutospacing="off"/>
        <w:rPr>
          <w:rFonts w:ascii="Times New Roman" w:hAnsi="Times New Roman" w:eastAsia="Times New Roman" w:cs="Times New Roman"/>
          <w:b w:val="1"/>
          <w:bCs w:val="1"/>
          <w:noProof w:val="0"/>
          <w:color w:val="auto"/>
          <w:sz w:val="24"/>
          <w:szCs w:val="24"/>
          <w:lang w:val="en-US"/>
        </w:rPr>
      </w:pPr>
      <w:r w:rsidRPr="3C83BA83" w:rsidR="6EAF13AF">
        <w:rPr>
          <w:rFonts w:ascii="Times New Roman" w:hAnsi="Times New Roman" w:eastAsia="Times New Roman" w:cs="Times New Roman"/>
          <w:b w:val="1"/>
          <w:bCs w:val="1"/>
          <w:noProof w:val="0"/>
          <w:color w:val="auto"/>
          <w:sz w:val="24"/>
          <w:szCs w:val="24"/>
          <w:lang w:val="en-US"/>
        </w:rPr>
        <w:t>Limited Public Awareness and Underuse of Advocacy services:</w:t>
      </w:r>
    </w:p>
    <w:p w:rsidR="6EAF13AF" w:rsidP="3C83BA83" w:rsidRDefault="6EAF13AF" w14:paraId="4384EDBE" w14:textId="24733462">
      <w:pPr>
        <w:spacing w:before="240" w:beforeAutospacing="off" w:after="240" w:afterAutospacing="off"/>
      </w:pPr>
      <w:r w:rsidRPr="3C83BA83" w:rsidR="6EAF13AF">
        <w:rPr>
          <w:rFonts w:ascii="Times New Roman" w:hAnsi="Times New Roman" w:eastAsia="Times New Roman" w:cs="Times New Roman"/>
          <w:noProof w:val="0"/>
          <w:sz w:val="24"/>
          <w:szCs w:val="24"/>
          <w:lang w:val="en-US"/>
        </w:rPr>
        <w:t>POhWER</w:t>
      </w:r>
      <w:r w:rsidRPr="3C83BA83" w:rsidR="6EAF13AF">
        <w:rPr>
          <w:rFonts w:ascii="Times New Roman" w:hAnsi="Times New Roman" w:eastAsia="Times New Roman" w:cs="Times New Roman"/>
          <w:noProof w:val="0"/>
          <w:sz w:val="24"/>
          <w:szCs w:val="24"/>
          <w:lang w:val="en-US"/>
        </w:rPr>
        <w:t xml:space="preserve">, like many advocacy organizations, faces challenges related to public awareness and underuse of advocacy services. Many individuals who are legally entitled to these services may not access them due to a lack of awareness or difficulty navigating the referral process. Specifically, NHS Complaints Advocacy and Care Act Advocacy, which </w:t>
      </w:r>
      <w:r w:rsidRPr="3C83BA83" w:rsidR="6EAF13AF">
        <w:rPr>
          <w:rFonts w:ascii="Times New Roman" w:hAnsi="Times New Roman" w:eastAsia="Times New Roman" w:cs="Times New Roman"/>
          <w:noProof w:val="0"/>
          <w:sz w:val="24"/>
          <w:szCs w:val="24"/>
          <w:lang w:val="en-US"/>
        </w:rPr>
        <w:t>POhWER</w:t>
      </w:r>
      <w:r w:rsidRPr="3C83BA83" w:rsidR="6EAF13AF">
        <w:rPr>
          <w:rFonts w:ascii="Times New Roman" w:hAnsi="Times New Roman" w:eastAsia="Times New Roman" w:cs="Times New Roman"/>
          <w:noProof w:val="0"/>
          <w:sz w:val="24"/>
          <w:szCs w:val="24"/>
          <w:lang w:val="en-US"/>
        </w:rPr>
        <w:t xml:space="preserve"> provides, are often underutilized, limiting the potential impact of these services in protecting individuals' rights and ensuring their needs are met (</w:t>
      </w:r>
      <w:r w:rsidRPr="3C83BA83" w:rsidR="6EAF13AF">
        <w:rPr>
          <w:rFonts w:ascii="Times New Roman" w:hAnsi="Times New Roman" w:eastAsia="Times New Roman" w:cs="Times New Roman"/>
          <w:b w:val="1"/>
          <w:bCs w:val="1"/>
          <w:i w:val="1"/>
          <w:iCs w:val="1"/>
          <w:noProof w:val="0"/>
          <w:sz w:val="24"/>
          <w:szCs w:val="24"/>
          <w:lang w:val="en-US"/>
        </w:rPr>
        <w:t>Ombudsman, n.d.).</w:t>
      </w:r>
    </w:p>
    <w:p w:rsidR="3C83BA83" w:rsidP="3C83BA83" w:rsidRDefault="3C83BA83" w14:paraId="074D45A9" w14:textId="441EB4F9">
      <w:pPr>
        <w:pStyle w:val="Normal"/>
        <w:spacing w:before="240" w:beforeAutospacing="off" w:after="240" w:afterAutospacing="off"/>
        <w:rPr>
          <w:rFonts w:ascii="Times New Roman" w:hAnsi="Times New Roman" w:eastAsia="Times New Roman" w:cs="Times New Roman"/>
          <w:noProof w:val="0"/>
          <w:color w:val="C00000"/>
          <w:sz w:val="24"/>
          <w:szCs w:val="24"/>
          <w:lang w:val="en-US"/>
        </w:rPr>
      </w:pPr>
    </w:p>
    <w:p w:rsidR="3C83BA83" w:rsidP="3C83BA83" w:rsidRDefault="3C83BA83" w14:paraId="38A69B37" w14:textId="45282308">
      <w:pPr>
        <w:spacing w:before="0" w:beforeAutospacing="off" w:after="0" w:afterAutospacing="off"/>
      </w:pPr>
    </w:p>
    <w:p w:rsidR="3C83BA83" w:rsidP="3C83BA83" w:rsidRDefault="3C83BA83" w14:paraId="15E61FC1" w14:textId="69AF26B7">
      <w:pPr>
        <w:spacing w:before="0" w:beforeAutospacing="off" w:after="0" w:afterAutospacing="off"/>
      </w:pPr>
    </w:p>
    <w:p w:rsidR="3C83BA83" w:rsidP="3C83BA83" w:rsidRDefault="3C83BA83" w14:paraId="5759BA04" w14:textId="768E3C98">
      <w:pPr>
        <w:spacing w:before="0" w:beforeAutospacing="off" w:after="0" w:afterAutospacing="off"/>
      </w:pPr>
    </w:p>
    <w:p w:rsidR="3C83BA83" w:rsidP="3C83BA83" w:rsidRDefault="3C83BA83" w14:paraId="0DAE0285" w14:textId="2865FF0B">
      <w:pPr>
        <w:spacing w:before="0" w:beforeAutospacing="off" w:after="0" w:afterAutospacing="off"/>
      </w:pPr>
    </w:p>
    <w:p w:rsidR="39CF73C1" w:rsidP="3C83BA83" w:rsidRDefault="39CF73C1" w14:paraId="2DCDC7F7" w14:textId="04DF7AD0">
      <w:pPr>
        <w:spacing w:before="240" w:beforeAutospacing="off" w:after="240" w:afterAutospacing="off"/>
        <w:rPr>
          <w:rFonts w:ascii="Times New Roman" w:hAnsi="Times New Roman" w:eastAsia="Times New Roman" w:cs="Times New Roman"/>
          <w:b w:val="1"/>
          <w:bCs w:val="1"/>
          <w:noProof w:val="0"/>
          <w:sz w:val="32"/>
          <w:szCs w:val="32"/>
          <w:lang w:val="en-US"/>
        </w:rPr>
      </w:pPr>
      <w:r w:rsidRPr="3C83BA83" w:rsidR="39CF73C1">
        <w:rPr>
          <w:rFonts w:ascii="Times New Roman" w:hAnsi="Times New Roman" w:eastAsia="Times New Roman" w:cs="Times New Roman"/>
          <w:b w:val="1"/>
          <w:bCs w:val="1"/>
          <w:noProof w:val="0"/>
          <w:sz w:val="32"/>
          <w:szCs w:val="32"/>
          <w:lang w:val="en-US"/>
        </w:rPr>
        <w:t xml:space="preserve">In-Depth Critical Assessment of </w:t>
      </w:r>
      <w:r w:rsidRPr="3C83BA83" w:rsidR="39CF73C1">
        <w:rPr>
          <w:rFonts w:ascii="Times New Roman" w:hAnsi="Times New Roman" w:eastAsia="Times New Roman" w:cs="Times New Roman"/>
          <w:b w:val="1"/>
          <w:bCs w:val="1"/>
          <w:noProof w:val="0"/>
          <w:sz w:val="32"/>
          <w:szCs w:val="32"/>
          <w:lang w:val="en-US"/>
        </w:rPr>
        <w:t>POhWER’s</w:t>
      </w:r>
      <w:r w:rsidRPr="3C83BA83" w:rsidR="39CF73C1">
        <w:rPr>
          <w:rFonts w:ascii="Times New Roman" w:hAnsi="Times New Roman" w:eastAsia="Times New Roman" w:cs="Times New Roman"/>
          <w:b w:val="1"/>
          <w:bCs w:val="1"/>
          <w:noProof w:val="0"/>
          <w:sz w:val="32"/>
          <w:szCs w:val="32"/>
          <w:lang w:val="en-US"/>
        </w:rPr>
        <w:t xml:space="preserve"> Principles and Code of Practice:</w:t>
      </w:r>
    </w:p>
    <w:p w:rsidR="5604F447" w:rsidP="3C83BA83" w:rsidRDefault="5604F447" w14:paraId="6B1364A7" w14:textId="5A34D871">
      <w:pPr>
        <w:spacing w:before="240" w:beforeAutospacing="off" w:after="240" w:afterAutospacing="off"/>
      </w:pPr>
      <w:r w:rsidRPr="3C83BA83" w:rsidR="5604F447">
        <w:rPr>
          <w:rFonts w:ascii="Times New Roman" w:hAnsi="Times New Roman" w:eastAsia="Times New Roman" w:cs="Times New Roman"/>
          <w:b w:val="1"/>
          <w:bCs w:val="1"/>
          <w:noProof w:val="0"/>
          <w:sz w:val="24"/>
          <w:szCs w:val="24"/>
          <w:lang w:val="en-US"/>
        </w:rPr>
        <w:t>Independence and Impartiality</w:t>
      </w:r>
    </w:p>
    <w:p w:rsidR="5604F447" w:rsidP="3C83BA83" w:rsidRDefault="5604F447" w14:paraId="0FC9F2B3" w14:textId="5C2C4325">
      <w:pPr>
        <w:spacing w:before="240" w:beforeAutospacing="off" w:after="240" w:afterAutospacing="off"/>
      </w:pPr>
      <w:r w:rsidRPr="3C83BA83" w:rsidR="5604F447">
        <w:rPr>
          <w:rFonts w:ascii="Times New Roman" w:hAnsi="Times New Roman" w:eastAsia="Times New Roman" w:cs="Times New Roman"/>
          <w:noProof w:val="0"/>
          <w:sz w:val="24"/>
          <w:szCs w:val="24"/>
          <w:lang w:val="en-US"/>
        </w:rPr>
        <w:t xml:space="preserve">While </w:t>
      </w:r>
      <w:r w:rsidRPr="3C83BA83" w:rsidR="5604F447">
        <w:rPr>
          <w:rFonts w:ascii="Times New Roman" w:hAnsi="Times New Roman" w:eastAsia="Times New Roman" w:cs="Times New Roman"/>
          <w:noProof w:val="0"/>
          <w:sz w:val="24"/>
          <w:szCs w:val="24"/>
          <w:lang w:val="en-US"/>
        </w:rPr>
        <w:t>POhWER</w:t>
      </w:r>
      <w:r w:rsidRPr="3C83BA83" w:rsidR="5604F447">
        <w:rPr>
          <w:rFonts w:ascii="Times New Roman" w:hAnsi="Times New Roman" w:eastAsia="Times New Roman" w:cs="Times New Roman"/>
          <w:noProof w:val="0"/>
          <w:sz w:val="24"/>
          <w:szCs w:val="24"/>
          <w:lang w:val="en-US"/>
        </w:rPr>
        <w:t xml:space="preserve"> is dedicated to </w:t>
      </w:r>
      <w:r w:rsidRPr="3C83BA83" w:rsidR="5604F447">
        <w:rPr>
          <w:rFonts w:ascii="Times New Roman" w:hAnsi="Times New Roman" w:eastAsia="Times New Roman" w:cs="Times New Roman"/>
          <w:noProof w:val="0"/>
          <w:sz w:val="24"/>
          <w:szCs w:val="24"/>
          <w:lang w:val="en-US"/>
        </w:rPr>
        <w:t>maintaining</w:t>
      </w:r>
      <w:r w:rsidRPr="3C83BA83" w:rsidR="5604F447">
        <w:rPr>
          <w:rFonts w:ascii="Times New Roman" w:hAnsi="Times New Roman" w:eastAsia="Times New Roman" w:cs="Times New Roman"/>
          <w:noProof w:val="0"/>
          <w:sz w:val="24"/>
          <w:szCs w:val="24"/>
          <w:lang w:val="en-US"/>
        </w:rPr>
        <w:t xml:space="preserve"> independent advocacy, its reliance on funding from local authorities and NHS bodies can create potential conflicts of interest. Such financial dependencies might subtly affect case prioritization, potentially steering service delivery toward the funders' agendas rather than strictly addressing client needs </w:t>
      </w:r>
      <w:r w:rsidRPr="3C83BA83" w:rsidR="5604F447">
        <w:rPr>
          <w:rFonts w:ascii="Times New Roman" w:hAnsi="Times New Roman" w:eastAsia="Times New Roman" w:cs="Times New Roman"/>
          <w:b w:val="1"/>
          <w:bCs w:val="1"/>
          <w:i w:val="1"/>
          <w:iCs w:val="1"/>
          <w:noProof w:val="0"/>
          <w:sz w:val="24"/>
          <w:szCs w:val="24"/>
          <w:lang w:val="en-US"/>
        </w:rPr>
        <w:t>(Bach &amp; Kerzner, 2010; Banks &amp; Gallagher, 2009)</w:t>
      </w:r>
      <w:r w:rsidRPr="3C83BA83" w:rsidR="5604F447">
        <w:rPr>
          <w:rFonts w:ascii="Times New Roman" w:hAnsi="Times New Roman" w:eastAsia="Times New Roman" w:cs="Times New Roman"/>
          <w:noProof w:val="0"/>
          <w:sz w:val="24"/>
          <w:szCs w:val="24"/>
          <w:lang w:val="en-US"/>
        </w:rPr>
        <w:t xml:space="preserve">. Research </w:t>
      </w:r>
      <w:r w:rsidRPr="3C83BA83" w:rsidR="5604F447">
        <w:rPr>
          <w:rFonts w:ascii="Times New Roman" w:hAnsi="Times New Roman" w:eastAsia="Times New Roman" w:cs="Times New Roman"/>
          <w:noProof w:val="0"/>
          <w:sz w:val="24"/>
          <w:szCs w:val="24"/>
          <w:lang w:val="en-US"/>
        </w:rPr>
        <w:t>indicates</w:t>
      </w:r>
      <w:r w:rsidRPr="3C83BA83" w:rsidR="5604F447">
        <w:rPr>
          <w:rFonts w:ascii="Times New Roman" w:hAnsi="Times New Roman" w:eastAsia="Times New Roman" w:cs="Times New Roman"/>
          <w:noProof w:val="0"/>
          <w:sz w:val="24"/>
          <w:szCs w:val="24"/>
          <w:lang w:val="en-US"/>
        </w:rPr>
        <w:t xml:space="preserve"> that when advocacy organizations are financially reliant on their funders, they may face indirect pressures to align their priorities with those of their supporters rather than those of the individuals they serve </w:t>
      </w:r>
      <w:r w:rsidRPr="3C83BA83" w:rsidR="5604F447">
        <w:rPr>
          <w:rFonts w:ascii="Times New Roman" w:hAnsi="Times New Roman" w:eastAsia="Times New Roman" w:cs="Times New Roman"/>
          <w:b w:val="1"/>
          <w:bCs w:val="1"/>
          <w:i w:val="1"/>
          <w:iCs w:val="1"/>
          <w:noProof w:val="0"/>
          <w:sz w:val="24"/>
          <w:szCs w:val="24"/>
          <w:lang w:val="en-US"/>
        </w:rPr>
        <w:t>(Gibson et al., 2011).</w:t>
      </w:r>
      <w:r w:rsidRPr="3C83BA83" w:rsidR="5604F447">
        <w:rPr>
          <w:rFonts w:ascii="Times New Roman" w:hAnsi="Times New Roman" w:eastAsia="Times New Roman" w:cs="Times New Roman"/>
          <w:noProof w:val="0"/>
          <w:sz w:val="24"/>
          <w:szCs w:val="24"/>
          <w:lang w:val="en-US"/>
        </w:rPr>
        <w:t xml:space="preserve"> In addition, </w:t>
      </w:r>
      <w:r w:rsidRPr="3C83BA83" w:rsidR="5604F447">
        <w:rPr>
          <w:rFonts w:ascii="Times New Roman" w:hAnsi="Times New Roman" w:eastAsia="Times New Roman" w:cs="Times New Roman"/>
          <w:noProof w:val="0"/>
          <w:sz w:val="24"/>
          <w:szCs w:val="24"/>
          <w:lang w:val="en-US"/>
        </w:rPr>
        <w:t>POhWER's</w:t>
      </w:r>
      <w:r w:rsidRPr="3C83BA83" w:rsidR="5604F447">
        <w:rPr>
          <w:rFonts w:ascii="Times New Roman" w:hAnsi="Times New Roman" w:eastAsia="Times New Roman" w:cs="Times New Roman"/>
          <w:noProof w:val="0"/>
          <w:sz w:val="24"/>
          <w:szCs w:val="24"/>
          <w:lang w:val="en-US"/>
        </w:rPr>
        <w:t xml:space="preserve"> need for external oversight—instead of operating as a completely autonomous body—raises further concerns </w:t>
      </w:r>
      <w:r w:rsidRPr="3C83BA83" w:rsidR="5604F447">
        <w:rPr>
          <w:rFonts w:ascii="Times New Roman" w:hAnsi="Times New Roman" w:eastAsia="Times New Roman" w:cs="Times New Roman"/>
          <w:noProof w:val="0"/>
          <w:sz w:val="24"/>
          <w:szCs w:val="24"/>
          <w:lang w:val="en-US"/>
        </w:rPr>
        <w:t>regarding</w:t>
      </w:r>
      <w:r w:rsidRPr="3C83BA83" w:rsidR="5604F447">
        <w:rPr>
          <w:rFonts w:ascii="Times New Roman" w:hAnsi="Times New Roman" w:eastAsia="Times New Roman" w:cs="Times New Roman"/>
          <w:noProof w:val="0"/>
          <w:sz w:val="24"/>
          <w:szCs w:val="24"/>
          <w:lang w:val="en-US"/>
        </w:rPr>
        <w:t xml:space="preserve"> the true impartiality of its services. Despite its commitment to resisting external pressures, the complex dynamics involved in managing relationships with commissioners and other stakeholders can sometimes compromise the level of independence that advocates are able to sustain </w:t>
      </w:r>
      <w:r w:rsidRPr="3C83BA83" w:rsidR="5604F447">
        <w:rPr>
          <w:rFonts w:ascii="Times New Roman" w:hAnsi="Times New Roman" w:eastAsia="Times New Roman" w:cs="Times New Roman"/>
          <w:b w:val="1"/>
          <w:bCs w:val="1"/>
          <w:i w:val="1"/>
          <w:iCs w:val="1"/>
          <w:noProof w:val="0"/>
          <w:sz w:val="24"/>
          <w:szCs w:val="24"/>
          <w:lang w:val="en-US"/>
        </w:rPr>
        <w:t>(Michaels &amp; Newburn, 2018).</w:t>
      </w:r>
    </w:p>
    <w:p w:rsidR="3C83BA83" w:rsidP="3C83BA83" w:rsidRDefault="3C83BA83" w14:paraId="1137C920" w14:textId="6728719F">
      <w:pPr>
        <w:spacing w:before="240" w:beforeAutospacing="off" w:after="240" w:afterAutospacing="off"/>
        <w:rPr>
          <w:rFonts w:ascii="Times New Roman" w:hAnsi="Times New Roman" w:eastAsia="Times New Roman" w:cs="Times New Roman"/>
          <w:noProof w:val="0"/>
          <w:sz w:val="24"/>
          <w:szCs w:val="24"/>
          <w:lang w:val="en-US"/>
        </w:rPr>
      </w:pPr>
    </w:p>
    <w:p w:rsidR="36663A3F" w:rsidP="3C83BA83" w:rsidRDefault="36663A3F" w14:paraId="6802562B" w14:textId="3AE4C6EE">
      <w:pPr>
        <w:spacing w:before="240" w:beforeAutospacing="off" w:after="240" w:afterAutospacing="off"/>
      </w:pPr>
      <w:r w:rsidRPr="3C83BA83" w:rsidR="36663A3F">
        <w:rPr>
          <w:rFonts w:ascii="Times New Roman" w:hAnsi="Times New Roman" w:eastAsia="Times New Roman" w:cs="Times New Roman"/>
          <w:b w:val="1"/>
          <w:bCs w:val="1"/>
          <w:noProof w:val="0"/>
          <w:sz w:val="24"/>
          <w:szCs w:val="24"/>
          <w:lang w:val="en-US"/>
        </w:rPr>
        <w:t>Confidentiality and Safeguarding</w:t>
      </w:r>
    </w:p>
    <w:p w:rsidR="36663A3F" w:rsidP="3C83BA83" w:rsidRDefault="36663A3F" w14:paraId="3A41081A" w14:textId="3F835784">
      <w:pPr>
        <w:spacing w:before="240" w:beforeAutospacing="off" w:after="240" w:afterAutospacing="off"/>
      </w:pPr>
      <w:r w:rsidRPr="3C83BA83" w:rsidR="36663A3F">
        <w:rPr>
          <w:rFonts w:ascii="Times New Roman" w:hAnsi="Times New Roman" w:eastAsia="Times New Roman" w:cs="Times New Roman"/>
          <w:noProof w:val="0"/>
          <w:sz w:val="24"/>
          <w:szCs w:val="24"/>
          <w:lang w:val="en-US"/>
        </w:rPr>
        <w:t>POhWER’s</w:t>
      </w:r>
      <w:r w:rsidRPr="3C83BA83" w:rsidR="36663A3F">
        <w:rPr>
          <w:rFonts w:ascii="Times New Roman" w:hAnsi="Times New Roman" w:eastAsia="Times New Roman" w:cs="Times New Roman"/>
          <w:noProof w:val="0"/>
          <w:sz w:val="24"/>
          <w:szCs w:val="24"/>
          <w:lang w:val="en-US"/>
        </w:rPr>
        <w:t xml:space="preserve"> confidentiality policy is designed to </w:t>
      </w:r>
      <w:r w:rsidRPr="3C83BA83" w:rsidR="36663A3F">
        <w:rPr>
          <w:rFonts w:ascii="Times New Roman" w:hAnsi="Times New Roman" w:eastAsia="Times New Roman" w:cs="Times New Roman"/>
          <w:noProof w:val="0"/>
          <w:sz w:val="24"/>
          <w:szCs w:val="24"/>
          <w:lang w:val="en-US"/>
        </w:rPr>
        <w:t>comply with</w:t>
      </w:r>
      <w:r w:rsidRPr="3C83BA83" w:rsidR="36663A3F">
        <w:rPr>
          <w:rFonts w:ascii="Times New Roman" w:hAnsi="Times New Roman" w:eastAsia="Times New Roman" w:cs="Times New Roman"/>
          <w:noProof w:val="0"/>
          <w:sz w:val="24"/>
          <w:szCs w:val="24"/>
          <w:lang w:val="en-US"/>
        </w:rPr>
        <w:t xml:space="preserve"> established legal frameworks, ensuring that client information is securely protected </w:t>
      </w:r>
      <w:r w:rsidRPr="3C83BA83" w:rsidR="36663A3F">
        <w:rPr>
          <w:rFonts w:ascii="Times New Roman" w:hAnsi="Times New Roman" w:eastAsia="Times New Roman" w:cs="Times New Roman"/>
          <w:noProof w:val="0"/>
          <w:sz w:val="24"/>
          <w:szCs w:val="24"/>
          <w:lang w:val="en-US"/>
        </w:rPr>
        <w:t>in accordance with</w:t>
      </w:r>
      <w:r w:rsidRPr="3C83BA83" w:rsidR="36663A3F">
        <w:rPr>
          <w:rFonts w:ascii="Times New Roman" w:hAnsi="Times New Roman" w:eastAsia="Times New Roman" w:cs="Times New Roman"/>
          <w:noProof w:val="0"/>
          <w:sz w:val="24"/>
          <w:szCs w:val="24"/>
          <w:lang w:val="en-US"/>
        </w:rPr>
        <w:t xml:space="preserve"> applicable laws. However, the organization’s safeguarding protocols can give rise to ethical challenges, particularly when advocates must navigate the tension between upholding client confidentiality and meeting their legal reporting obligations. When safeguarding concerns surface, advocates may find themselves in a difficult position, having to balance the trust placed in them by clients against their duty to report risks as required by law </w:t>
      </w:r>
      <w:r w:rsidRPr="3C83BA83" w:rsidR="36663A3F">
        <w:rPr>
          <w:rFonts w:ascii="Times New Roman" w:hAnsi="Times New Roman" w:eastAsia="Times New Roman" w:cs="Times New Roman"/>
          <w:b w:val="1"/>
          <w:bCs w:val="1"/>
          <w:i w:val="1"/>
          <w:iCs w:val="1"/>
          <w:noProof w:val="0"/>
          <w:sz w:val="24"/>
          <w:szCs w:val="24"/>
          <w:lang w:val="en-US"/>
        </w:rPr>
        <w:t xml:space="preserve">(SCIE, 2019). </w:t>
      </w:r>
      <w:r w:rsidRPr="3C83BA83" w:rsidR="36663A3F">
        <w:rPr>
          <w:rFonts w:ascii="Times New Roman" w:hAnsi="Times New Roman" w:eastAsia="Times New Roman" w:cs="Times New Roman"/>
          <w:noProof w:val="0"/>
          <w:sz w:val="24"/>
          <w:szCs w:val="24"/>
          <w:lang w:val="en-US"/>
        </w:rPr>
        <w:t xml:space="preserve">Research </w:t>
      </w:r>
      <w:r w:rsidRPr="3C83BA83" w:rsidR="36663A3F">
        <w:rPr>
          <w:rFonts w:ascii="Times New Roman" w:hAnsi="Times New Roman" w:eastAsia="Times New Roman" w:cs="Times New Roman"/>
          <w:noProof w:val="0"/>
          <w:sz w:val="24"/>
          <w:szCs w:val="24"/>
          <w:lang w:val="en-US"/>
        </w:rPr>
        <w:t>indicates</w:t>
      </w:r>
      <w:r w:rsidRPr="3C83BA83" w:rsidR="36663A3F">
        <w:rPr>
          <w:rFonts w:ascii="Times New Roman" w:hAnsi="Times New Roman" w:eastAsia="Times New Roman" w:cs="Times New Roman"/>
          <w:noProof w:val="0"/>
          <w:sz w:val="24"/>
          <w:szCs w:val="24"/>
          <w:lang w:val="en-US"/>
        </w:rPr>
        <w:t xml:space="preserve"> that the need to breach confidentiality for the protection of vulnerable individuals can undermine the principle of confidentiality in advocacy services (</w:t>
      </w:r>
      <w:r w:rsidRPr="3C83BA83" w:rsidR="36663A3F">
        <w:rPr>
          <w:rFonts w:ascii="Times New Roman" w:hAnsi="Times New Roman" w:eastAsia="Times New Roman" w:cs="Times New Roman"/>
          <w:b w:val="1"/>
          <w:bCs w:val="1"/>
          <w:i w:val="1"/>
          <w:iCs w:val="1"/>
          <w:noProof w:val="0"/>
          <w:sz w:val="24"/>
          <w:szCs w:val="24"/>
          <w:lang w:val="en-US"/>
        </w:rPr>
        <w:t xml:space="preserve">Barrett et al., 2014). </w:t>
      </w:r>
      <w:r w:rsidRPr="3C83BA83" w:rsidR="36663A3F">
        <w:rPr>
          <w:rFonts w:ascii="Times New Roman" w:hAnsi="Times New Roman" w:eastAsia="Times New Roman" w:cs="Times New Roman"/>
          <w:noProof w:val="0"/>
          <w:sz w:val="24"/>
          <w:szCs w:val="24"/>
          <w:lang w:val="en-US"/>
        </w:rPr>
        <w:t xml:space="preserve">Therefore, having clear procedures for managing confidentiality breaches is essential to </w:t>
      </w:r>
      <w:r w:rsidRPr="3C83BA83" w:rsidR="36663A3F">
        <w:rPr>
          <w:rFonts w:ascii="Times New Roman" w:hAnsi="Times New Roman" w:eastAsia="Times New Roman" w:cs="Times New Roman"/>
          <w:noProof w:val="0"/>
          <w:sz w:val="24"/>
          <w:szCs w:val="24"/>
          <w:lang w:val="en-US"/>
        </w:rPr>
        <w:t>maintain</w:t>
      </w:r>
      <w:r w:rsidRPr="3C83BA83" w:rsidR="36663A3F">
        <w:rPr>
          <w:rFonts w:ascii="Times New Roman" w:hAnsi="Times New Roman" w:eastAsia="Times New Roman" w:cs="Times New Roman"/>
          <w:noProof w:val="0"/>
          <w:sz w:val="24"/>
          <w:szCs w:val="24"/>
          <w:lang w:val="en-US"/>
        </w:rPr>
        <w:t xml:space="preserve"> client trust and to ensure that individuals feel secure in using advocacy services without the fear of unauthorized disclosure of sensitive information </w:t>
      </w:r>
      <w:r w:rsidRPr="3C83BA83" w:rsidR="36663A3F">
        <w:rPr>
          <w:rFonts w:ascii="Times New Roman" w:hAnsi="Times New Roman" w:eastAsia="Times New Roman" w:cs="Times New Roman"/>
          <w:b w:val="1"/>
          <w:bCs w:val="1"/>
          <w:i w:val="1"/>
          <w:iCs w:val="1"/>
          <w:noProof w:val="0"/>
          <w:sz w:val="24"/>
          <w:szCs w:val="24"/>
          <w:lang w:val="en-US"/>
        </w:rPr>
        <w:t>(Tingle, 2018).</w:t>
      </w:r>
    </w:p>
    <w:p w:rsidR="4B1F00BD" w:rsidRDefault="4B1F00BD" w14:paraId="7CA6854E" w14:textId="79D7B1E2">
      <w:r w:rsidRPr="3C83BA83" w:rsidR="4B1F00BD">
        <w:rPr>
          <w:rFonts w:ascii="Times New Roman" w:hAnsi="Times New Roman" w:eastAsia="Times New Roman" w:cs="Times New Roman"/>
          <w:b w:val="1"/>
          <w:bCs w:val="1"/>
          <w:noProof w:val="0"/>
          <w:sz w:val="24"/>
          <w:szCs w:val="24"/>
          <w:lang w:val="en-US"/>
        </w:rPr>
        <w:t>Training and Skills</w:t>
      </w:r>
    </w:p>
    <w:p w:rsidR="4B1F00BD" w:rsidP="3C83BA83" w:rsidRDefault="4B1F00BD" w14:paraId="62547282" w14:textId="3604545C">
      <w:pPr>
        <w:pStyle w:val="Normal"/>
        <w:spacing w:before="240" w:beforeAutospacing="off" w:after="240" w:afterAutospacing="off"/>
        <w:rPr>
          <w:rFonts w:ascii="Times New Roman" w:hAnsi="Times New Roman" w:eastAsia="Times New Roman" w:cs="Times New Roman"/>
          <w:noProof w:val="0"/>
          <w:sz w:val="24"/>
          <w:szCs w:val="24"/>
          <w:lang w:val="en-US"/>
        </w:rPr>
      </w:pPr>
      <w:r w:rsidRPr="3C83BA83" w:rsidR="4B1F00BD">
        <w:rPr>
          <w:rFonts w:ascii="Times New Roman" w:hAnsi="Times New Roman" w:eastAsia="Times New Roman" w:cs="Times New Roman"/>
          <w:noProof w:val="0"/>
          <w:sz w:val="24"/>
          <w:szCs w:val="24"/>
          <w:lang w:val="en-US"/>
        </w:rPr>
        <w:t>POhWER</w:t>
      </w:r>
      <w:r w:rsidRPr="3C83BA83" w:rsidR="4B1F00BD">
        <w:rPr>
          <w:rFonts w:ascii="Times New Roman" w:hAnsi="Times New Roman" w:eastAsia="Times New Roman" w:cs="Times New Roman"/>
          <w:noProof w:val="0"/>
          <w:sz w:val="24"/>
          <w:szCs w:val="24"/>
          <w:lang w:val="en-US"/>
        </w:rPr>
        <w:t xml:space="preserve"> provides training for its advocates, but there are concerns about whether all advocates have the same level of skill, especially in specialized areas like non-instructed advocacy. This type of advocacy helps people who cannot give instructions due to their condition or situation and requires expert knowledge </w:t>
      </w:r>
      <w:r w:rsidRPr="3C83BA83" w:rsidR="4B1F00BD">
        <w:rPr>
          <w:rFonts w:ascii="Times New Roman" w:hAnsi="Times New Roman" w:eastAsia="Times New Roman" w:cs="Times New Roman"/>
          <w:b w:val="1"/>
          <w:bCs w:val="1"/>
          <w:i w:val="1"/>
          <w:iCs w:val="1"/>
          <w:noProof w:val="0"/>
          <w:sz w:val="24"/>
          <w:szCs w:val="24"/>
          <w:lang w:val="en-US"/>
        </w:rPr>
        <w:t>(Williams, 2018).</w:t>
      </w:r>
      <w:r w:rsidRPr="3C83BA83" w:rsidR="4B1F00BD">
        <w:rPr>
          <w:rFonts w:ascii="Times New Roman" w:hAnsi="Times New Roman" w:eastAsia="Times New Roman" w:cs="Times New Roman"/>
          <w:noProof w:val="0"/>
          <w:sz w:val="24"/>
          <w:szCs w:val="24"/>
          <w:lang w:val="en-US"/>
        </w:rPr>
        <w:t xml:space="preserve"> If advocates are not </w:t>
      </w:r>
      <w:r w:rsidRPr="3C83BA83" w:rsidR="4B1F00BD">
        <w:rPr>
          <w:rFonts w:ascii="Times New Roman" w:hAnsi="Times New Roman" w:eastAsia="Times New Roman" w:cs="Times New Roman"/>
          <w:noProof w:val="0"/>
          <w:sz w:val="24"/>
          <w:szCs w:val="24"/>
          <w:lang w:val="en-US"/>
        </w:rPr>
        <w:t>properly trained</w:t>
      </w:r>
      <w:r w:rsidRPr="3C83BA83" w:rsidR="4B1F00BD">
        <w:rPr>
          <w:rFonts w:ascii="Times New Roman" w:hAnsi="Times New Roman" w:eastAsia="Times New Roman" w:cs="Times New Roman"/>
          <w:noProof w:val="0"/>
          <w:sz w:val="24"/>
          <w:szCs w:val="24"/>
          <w:lang w:val="en-US"/>
        </w:rPr>
        <w:t xml:space="preserve"> for these complex cases, they may not be able to give the necessary support (</w:t>
      </w:r>
      <w:r w:rsidRPr="3C83BA83" w:rsidR="4B1F00BD">
        <w:rPr>
          <w:rFonts w:ascii="Times New Roman" w:hAnsi="Times New Roman" w:eastAsia="Times New Roman" w:cs="Times New Roman"/>
          <w:b w:val="1"/>
          <w:bCs w:val="1"/>
          <w:i w:val="1"/>
          <w:iCs w:val="1"/>
          <w:noProof w:val="0"/>
          <w:sz w:val="24"/>
          <w:szCs w:val="24"/>
          <w:lang w:val="en-US"/>
        </w:rPr>
        <w:t>Gibson et al., 2011).</w:t>
      </w:r>
      <w:r w:rsidRPr="3C83BA83" w:rsidR="4B1F00BD">
        <w:rPr>
          <w:rFonts w:ascii="Times New Roman" w:hAnsi="Times New Roman" w:eastAsia="Times New Roman" w:cs="Times New Roman"/>
          <w:noProof w:val="0"/>
          <w:sz w:val="24"/>
          <w:szCs w:val="24"/>
          <w:lang w:val="en-US"/>
        </w:rPr>
        <w:t xml:space="preserve"> Since there is no national accreditation for advocacy professionals, the quality of services varies across different areas, meaning some people may receive better support than others (Williams, 2018; Kelly, 2016). Creating a national accreditation system would help ensure all advocates meet the same standards, leading to better services and outcomes</w:t>
      </w:r>
      <w:r w:rsidRPr="3C83BA83" w:rsidR="4B1F00BD">
        <w:rPr>
          <w:rFonts w:ascii="Times New Roman" w:hAnsi="Times New Roman" w:eastAsia="Times New Roman" w:cs="Times New Roman"/>
          <w:b w:val="1"/>
          <w:bCs w:val="1"/>
          <w:i w:val="1"/>
          <w:iCs w:val="1"/>
          <w:noProof w:val="0"/>
          <w:sz w:val="24"/>
          <w:szCs w:val="24"/>
          <w:lang w:val="en-US"/>
        </w:rPr>
        <w:t xml:space="preserve"> (Oliver &amp; Matthews, 2014).</w:t>
      </w:r>
    </w:p>
    <w:p w:rsidR="3C83BA83" w:rsidP="3C83BA83" w:rsidRDefault="3C83BA83" w14:paraId="635A0C9C" w14:textId="04AAA872">
      <w:pPr>
        <w:pStyle w:val="Normal"/>
        <w:spacing w:before="240" w:beforeAutospacing="off" w:after="240" w:afterAutospacing="off"/>
        <w:rPr>
          <w:rFonts w:ascii="Times New Roman" w:hAnsi="Times New Roman" w:eastAsia="Times New Roman" w:cs="Times New Roman"/>
          <w:noProof w:val="0"/>
          <w:sz w:val="24"/>
          <w:szCs w:val="24"/>
          <w:lang w:val="en-US"/>
        </w:rPr>
      </w:pPr>
    </w:p>
    <w:p w:rsidR="59922C12" w:rsidP="3C83BA83" w:rsidRDefault="59922C12" w14:paraId="76015E3B" w14:textId="5874B628">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r w:rsidRPr="3C83BA83" w:rsidR="59922C12">
        <w:rPr>
          <w:rFonts w:ascii="Times New Roman" w:hAnsi="Times New Roman" w:eastAsia="Times New Roman" w:cs="Times New Roman"/>
          <w:b w:val="1"/>
          <w:bCs w:val="1"/>
          <w:noProof w:val="0"/>
          <w:sz w:val="24"/>
          <w:szCs w:val="24"/>
          <w:lang w:val="en-US"/>
        </w:rPr>
        <w:t>Legal Framework Compliance</w:t>
      </w:r>
      <w:r w:rsidRPr="3C83BA83" w:rsidR="50A28333">
        <w:rPr>
          <w:rFonts w:ascii="Times New Roman" w:hAnsi="Times New Roman" w:eastAsia="Times New Roman" w:cs="Times New Roman"/>
          <w:b w:val="1"/>
          <w:bCs w:val="1"/>
          <w:noProof w:val="0"/>
          <w:sz w:val="24"/>
          <w:szCs w:val="24"/>
          <w:lang w:val="en-US"/>
        </w:rPr>
        <w:t>:</w:t>
      </w:r>
    </w:p>
    <w:p w:rsidR="50A28333" w:rsidP="3C83BA83" w:rsidRDefault="50A28333" w14:paraId="74015605" w14:textId="3567B2D3">
      <w:pPr>
        <w:pStyle w:val="Normal"/>
        <w:spacing w:before="240" w:beforeAutospacing="off" w:after="240" w:afterAutospacing="off"/>
      </w:pPr>
      <w:r w:rsidRPr="3C83BA83" w:rsidR="50A28333">
        <w:rPr>
          <w:rFonts w:ascii="Times New Roman" w:hAnsi="Times New Roman" w:eastAsia="Times New Roman" w:cs="Times New Roman"/>
          <w:noProof w:val="0"/>
          <w:sz w:val="24"/>
          <w:szCs w:val="24"/>
          <w:lang w:val="en-US"/>
        </w:rPr>
        <w:t>POhWER</w:t>
      </w:r>
      <w:r w:rsidRPr="3C83BA83" w:rsidR="50A28333">
        <w:rPr>
          <w:rFonts w:ascii="Times New Roman" w:hAnsi="Times New Roman" w:eastAsia="Times New Roman" w:cs="Times New Roman"/>
          <w:noProof w:val="0"/>
          <w:sz w:val="24"/>
          <w:szCs w:val="24"/>
          <w:lang w:val="en-US"/>
        </w:rPr>
        <w:t xml:space="preserve"> works within important laws like the Mental Capacity Act (2005) and the Care Act (2014), which protect people’s rights and guide advocates in their duties. However, applying these laws can be difficult, especially when deciding who qualifies for advocacy support </w:t>
      </w:r>
      <w:r w:rsidRPr="3C83BA83" w:rsidR="50A28333">
        <w:rPr>
          <w:rFonts w:ascii="Times New Roman" w:hAnsi="Times New Roman" w:eastAsia="Times New Roman" w:cs="Times New Roman"/>
          <w:b w:val="1"/>
          <w:bCs w:val="1"/>
          <w:i w:val="1"/>
          <w:iCs w:val="1"/>
          <w:noProof w:val="0"/>
          <w:sz w:val="24"/>
          <w:szCs w:val="24"/>
          <w:lang w:val="en-US"/>
        </w:rPr>
        <w:t>(Law Commission, 2017).</w:t>
      </w:r>
      <w:r w:rsidRPr="3C83BA83" w:rsidR="50A28333">
        <w:rPr>
          <w:rFonts w:ascii="Times New Roman" w:hAnsi="Times New Roman" w:eastAsia="Times New Roman" w:cs="Times New Roman"/>
          <w:noProof w:val="0"/>
          <w:sz w:val="24"/>
          <w:szCs w:val="24"/>
          <w:lang w:val="en-US"/>
        </w:rPr>
        <w:t xml:space="preserve"> Experts say that these laws can be hard to interpret, making it challenging to apply the rules fairly and consistently </w:t>
      </w:r>
      <w:r w:rsidRPr="3C83BA83" w:rsidR="50A28333">
        <w:rPr>
          <w:rFonts w:ascii="Times New Roman" w:hAnsi="Times New Roman" w:eastAsia="Times New Roman" w:cs="Times New Roman"/>
          <w:b w:val="1"/>
          <w:bCs w:val="1"/>
          <w:i w:val="1"/>
          <w:iCs w:val="1"/>
          <w:noProof w:val="0"/>
          <w:sz w:val="24"/>
          <w:szCs w:val="24"/>
          <w:lang w:val="en-US"/>
        </w:rPr>
        <w:t>(Parker, 2014).</w:t>
      </w:r>
      <w:r w:rsidRPr="3C83BA83" w:rsidR="50A28333">
        <w:rPr>
          <w:rFonts w:ascii="Times New Roman" w:hAnsi="Times New Roman" w:eastAsia="Times New Roman" w:cs="Times New Roman"/>
          <w:noProof w:val="0"/>
          <w:sz w:val="24"/>
          <w:szCs w:val="24"/>
          <w:lang w:val="en-US"/>
        </w:rPr>
        <w:t xml:space="preserve"> Also, as the system changes from Deprivation of Liberty Safeguards (</w:t>
      </w:r>
      <w:r w:rsidRPr="3C83BA83" w:rsidR="50A28333">
        <w:rPr>
          <w:rFonts w:ascii="Times New Roman" w:hAnsi="Times New Roman" w:eastAsia="Times New Roman" w:cs="Times New Roman"/>
          <w:noProof w:val="0"/>
          <w:sz w:val="24"/>
          <w:szCs w:val="24"/>
          <w:lang w:val="en-US"/>
        </w:rPr>
        <w:t>DoLS</w:t>
      </w:r>
      <w:r w:rsidRPr="3C83BA83" w:rsidR="50A28333">
        <w:rPr>
          <w:rFonts w:ascii="Times New Roman" w:hAnsi="Times New Roman" w:eastAsia="Times New Roman" w:cs="Times New Roman"/>
          <w:noProof w:val="0"/>
          <w:sz w:val="24"/>
          <w:szCs w:val="24"/>
          <w:lang w:val="en-US"/>
        </w:rPr>
        <w:t xml:space="preserve">) to Liberty Protection Safeguards (LPS), there is uncertainty about how advocates will handle these new rules. Because of these challenges, ongoing training and clear guidance are needed to help advocates support people effectively </w:t>
      </w:r>
      <w:r w:rsidRPr="3C83BA83" w:rsidR="50A28333">
        <w:rPr>
          <w:rFonts w:ascii="Times New Roman" w:hAnsi="Times New Roman" w:eastAsia="Times New Roman" w:cs="Times New Roman"/>
          <w:b w:val="1"/>
          <w:bCs w:val="1"/>
          <w:i w:val="1"/>
          <w:iCs w:val="1"/>
          <w:noProof w:val="0"/>
          <w:sz w:val="24"/>
          <w:szCs w:val="24"/>
          <w:lang w:val="en-US"/>
        </w:rPr>
        <w:t>(McDonald, 2019).</w:t>
      </w:r>
    </w:p>
    <w:p w:rsidR="3C83BA83" w:rsidP="3C83BA83" w:rsidRDefault="3C83BA83" w14:paraId="3E87FC4A" w14:textId="078916B1">
      <w:pPr>
        <w:pStyle w:val="Normal"/>
        <w:spacing w:before="240" w:beforeAutospacing="off" w:after="240" w:afterAutospacing="off"/>
        <w:rPr>
          <w:rFonts w:ascii="Times New Roman" w:hAnsi="Times New Roman" w:eastAsia="Times New Roman" w:cs="Times New Roman"/>
          <w:noProof w:val="0"/>
          <w:sz w:val="24"/>
          <w:szCs w:val="24"/>
          <w:lang w:val="en-US"/>
        </w:rPr>
      </w:pPr>
    </w:p>
    <w:p w:rsidR="1B2CC045" w:rsidP="3C83BA83" w:rsidRDefault="1B2CC045" w14:paraId="590B9BF6" w14:textId="7DD8EA62">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r w:rsidRPr="3C83BA83" w:rsidR="1B2CC045">
        <w:rPr>
          <w:rFonts w:ascii="Times New Roman" w:hAnsi="Times New Roman" w:eastAsia="Times New Roman" w:cs="Times New Roman"/>
          <w:b w:val="1"/>
          <w:bCs w:val="1"/>
          <w:noProof w:val="0"/>
          <w:sz w:val="24"/>
          <w:szCs w:val="24"/>
          <w:lang w:val="en-US"/>
        </w:rPr>
        <w:t>Access and Availability:</w:t>
      </w:r>
    </w:p>
    <w:p w:rsidR="1B2CC045" w:rsidP="3C83BA83" w:rsidRDefault="1B2CC045" w14:paraId="29202AED" w14:textId="7C58B183">
      <w:pPr>
        <w:spacing w:before="240" w:beforeAutospacing="off" w:after="240" w:afterAutospacing="off"/>
        <w:rPr>
          <w:rFonts w:ascii="Times New Roman" w:hAnsi="Times New Roman" w:eastAsia="Times New Roman" w:cs="Times New Roman"/>
          <w:b w:val="1"/>
          <w:bCs w:val="1"/>
          <w:i w:val="1"/>
          <w:iCs w:val="1"/>
          <w:noProof w:val="0"/>
          <w:sz w:val="24"/>
          <w:szCs w:val="24"/>
          <w:lang w:val="en-US"/>
        </w:rPr>
      </w:pPr>
      <w:r w:rsidRPr="3C83BA83" w:rsidR="1B2CC045">
        <w:rPr>
          <w:rFonts w:ascii="Times New Roman" w:hAnsi="Times New Roman" w:eastAsia="Times New Roman" w:cs="Times New Roman"/>
          <w:noProof w:val="0"/>
          <w:sz w:val="24"/>
          <w:szCs w:val="24"/>
          <w:lang w:val="en-US"/>
        </w:rPr>
        <w:t>POhWER</w:t>
      </w:r>
      <w:r w:rsidRPr="3C83BA83" w:rsidR="1B2CC045">
        <w:rPr>
          <w:rFonts w:ascii="Times New Roman" w:hAnsi="Times New Roman" w:eastAsia="Times New Roman" w:cs="Times New Roman"/>
          <w:noProof w:val="0"/>
          <w:sz w:val="24"/>
          <w:szCs w:val="24"/>
          <w:lang w:val="en-US"/>
        </w:rPr>
        <w:t xml:space="preserve"> aims to provide advocacy services to everyone who needs them, but limited funding can make this difficult. In some areas, there are more people seeking support than the service can handle, leading to long waiting times for those who need urgent help </w:t>
      </w:r>
      <w:r w:rsidRPr="3C83BA83" w:rsidR="1B2CC045">
        <w:rPr>
          <w:rFonts w:ascii="Times New Roman" w:hAnsi="Times New Roman" w:eastAsia="Times New Roman" w:cs="Times New Roman"/>
          <w:b w:val="1"/>
          <w:bCs w:val="1"/>
          <w:i w:val="1"/>
          <w:iCs w:val="1"/>
          <w:noProof w:val="0"/>
          <w:sz w:val="24"/>
          <w:szCs w:val="24"/>
          <w:lang w:val="en-US"/>
        </w:rPr>
        <w:t xml:space="preserve">(Mitchell, 2021). </w:t>
      </w:r>
      <w:r w:rsidRPr="3C83BA83" w:rsidR="1B2CC045">
        <w:rPr>
          <w:rFonts w:ascii="Times New Roman" w:hAnsi="Times New Roman" w:eastAsia="Times New Roman" w:cs="Times New Roman"/>
          <w:noProof w:val="0"/>
          <w:sz w:val="24"/>
          <w:szCs w:val="24"/>
          <w:lang w:val="en-US"/>
        </w:rPr>
        <w:t xml:space="preserve">Research shows that access to advocacy services is not the same everywhere—some regions have too many requests, making it hard for advocates to meet demand, while others have fewer people using the service, resulting in uneven support across the country </w:t>
      </w:r>
      <w:r w:rsidRPr="3C83BA83" w:rsidR="1B2CC045">
        <w:rPr>
          <w:rFonts w:ascii="Times New Roman" w:hAnsi="Times New Roman" w:eastAsia="Times New Roman" w:cs="Times New Roman"/>
          <w:b w:val="1"/>
          <w:bCs w:val="1"/>
          <w:i w:val="1"/>
          <w:iCs w:val="1"/>
          <w:noProof w:val="0"/>
          <w:sz w:val="24"/>
          <w:szCs w:val="24"/>
          <w:lang w:val="en-US"/>
        </w:rPr>
        <w:t xml:space="preserve">(Bach &amp; Kerzner, 2010). </w:t>
      </w:r>
      <w:r w:rsidRPr="3C83BA83" w:rsidR="1B2CC045">
        <w:rPr>
          <w:rFonts w:ascii="Times New Roman" w:hAnsi="Times New Roman" w:eastAsia="Times New Roman" w:cs="Times New Roman"/>
          <w:noProof w:val="0"/>
          <w:sz w:val="24"/>
          <w:szCs w:val="24"/>
          <w:lang w:val="en-US"/>
        </w:rPr>
        <w:t xml:space="preserve">When individuals face </w:t>
      </w:r>
      <w:r w:rsidRPr="3C83BA83" w:rsidR="1B2CC045">
        <w:rPr>
          <w:rFonts w:ascii="Times New Roman" w:hAnsi="Times New Roman" w:eastAsia="Times New Roman" w:cs="Times New Roman"/>
          <w:noProof w:val="0"/>
          <w:sz w:val="24"/>
          <w:szCs w:val="24"/>
          <w:lang w:val="en-US"/>
        </w:rPr>
        <w:t>long delays</w:t>
      </w:r>
      <w:r w:rsidRPr="3C83BA83" w:rsidR="1B2CC045">
        <w:rPr>
          <w:rFonts w:ascii="Times New Roman" w:hAnsi="Times New Roman" w:eastAsia="Times New Roman" w:cs="Times New Roman"/>
          <w:noProof w:val="0"/>
          <w:sz w:val="24"/>
          <w:szCs w:val="24"/>
          <w:lang w:val="en-US"/>
        </w:rPr>
        <w:t xml:space="preserve">, especially in emergencies, they may be left without crucial advocacy during critical moments, affecting their ability to get the help they need </w:t>
      </w:r>
      <w:r w:rsidRPr="3C83BA83" w:rsidR="1B2CC045">
        <w:rPr>
          <w:rFonts w:ascii="Times New Roman" w:hAnsi="Times New Roman" w:eastAsia="Times New Roman" w:cs="Times New Roman"/>
          <w:b w:val="1"/>
          <w:bCs w:val="1"/>
          <w:i w:val="1"/>
          <w:iCs w:val="1"/>
          <w:noProof w:val="0"/>
          <w:sz w:val="24"/>
          <w:szCs w:val="24"/>
          <w:lang w:val="en-US"/>
        </w:rPr>
        <w:t xml:space="preserve">(Gibson et al., 2011). </w:t>
      </w:r>
      <w:r w:rsidRPr="3C83BA83" w:rsidR="1B2CC045">
        <w:rPr>
          <w:rFonts w:ascii="Times New Roman" w:hAnsi="Times New Roman" w:eastAsia="Times New Roman" w:cs="Times New Roman"/>
          <w:noProof w:val="0"/>
          <w:sz w:val="24"/>
          <w:szCs w:val="24"/>
          <w:lang w:val="en-US"/>
        </w:rPr>
        <w:t xml:space="preserve">To ensure fair and </w:t>
      </w:r>
      <w:r w:rsidRPr="3C83BA83" w:rsidR="1B2CC045">
        <w:rPr>
          <w:rFonts w:ascii="Times New Roman" w:hAnsi="Times New Roman" w:eastAsia="Times New Roman" w:cs="Times New Roman"/>
          <w:noProof w:val="0"/>
          <w:sz w:val="24"/>
          <w:szCs w:val="24"/>
          <w:lang w:val="en-US"/>
        </w:rPr>
        <w:t>timely</w:t>
      </w:r>
      <w:r w:rsidRPr="3C83BA83" w:rsidR="1B2CC045">
        <w:rPr>
          <w:rFonts w:ascii="Times New Roman" w:hAnsi="Times New Roman" w:eastAsia="Times New Roman" w:cs="Times New Roman"/>
          <w:noProof w:val="0"/>
          <w:sz w:val="24"/>
          <w:szCs w:val="24"/>
          <w:lang w:val="en-US"/>
        </w:rPr>
        <w:t xml:space="preserve"> access, advocacy organizations like </w:t>
      </w:r>
      <w:r w:rsidRPr="3C83BA83" w:rsidR="1B2CC045">
        <w:rPr>
          <w:rFonts w:ascii="Times New Roman" w:hAnsi="Times New Roman" w:eastAsia="Times New Roman" w:cs="Times New Roman"/>
          <w:noProof w:val="0"/>
          <w:sz w:val="24"/>
          <w:szCs w:val="24"/>
          <w:lang w:val="en-US"/>
        </w:rPr>
        <w:t>POhWER</w:t>
      </w:r>
      <w:r w:rsidRPr="3C83BA83" w:rsidR="1B2CC045">
        <w:rPr>
          <w:rFonts w:ascii="Times New Roman" w:hAnsi="Times New Roman" w:eastAsia="Times New Roman" w:cs="Times New Roman"/>
          <w:noProof w:val="0"/>
          <w:sz w:val="24"/>
          <w:szCs w:val="24"/>
          <w:lang w:val="en-US"/>
        </w:rPr>
        <w:t xml:space="preserve"> need adequate resources and better planning to reduce waiting times and provide equal support for all </w:t>
      </w:r>
      <w:r w:rsidRPr="3C83BA83" w:rsidR="1B2CC045">
        <w:rPr>
          <w:rFonts w:ascii="Times New Roman" w:hAnsi="Times New Roman" w:eastAsia="Times New Roman" w:cs="Times New Roman"/>
          <w:b w:val="1"/>
          <w:bCs w:val="1"/>
          <w:i w:val="1"/>
          <w:iCs w:val="1"/>
          <w:noProof w:val="0"/>
          <w:sz w:val="24"/>
          <w:szCs w:val="24"/>
          <w:lang w:val="en-US"/>
        </w:rPr>
        <w:t>(Gray &amp; Armstrong, 2017).</w:t>
      </w:r>
    </w:p>
    <w:p w:rsidR="3C83BA83" w:rsidP="3C83BA83" w:rsidRDefault="3C83BA83" w14:paraId="395413AC" w14:textId="13829055">
      <w:pPr>
        <w:spacing w:before="240" w:beforeAutospacing="off" w:after="240" w:afterAutospacing="off"/>
        <w:rPr>
          <w:rFonts w:ascii="Times New Roman" w:hAnsi="Times New Roman" w:eastAsia="Times New Roman" w:cs="Times New Roman"/>
          <w:noProof w:val="0"/>
          <w:sz w:val="24"/>
          <w:szCs w:val="24"/>
          <w:lang w:val="en-US"/>
        </w:rPr>
      </w:pPr>
    </w:p>
    <w:p w:rsidR="1B2CC045" w:rsidRDefault="1B2CC045" w14:paraId="7A6E86D4" w14:textId="27A0FA8E">
      <w:r w:rsidRPr="3C83BA83" w:rsidR="1B2CC045">
        <w:rPr>
          <w:rFonts w:ascii="Times New Roman" w:hAnsi="Times New Roman" w:eastAsia="Times New Roman" w:cs="Times New Roman"/>
          <w:b w:val="1"/>
          <w:bCs w:val="1"/>
          <w:noProof w:val="0"/>
          <w:sz w:val="24"/>
          <w:szCs w:val="24"/>
          <w:lang w:val="en-US"/>
        </w:rPr>
        <w:t>Effectiveness in Systemic Change</w:t>
      </w:r>
    </w:p>
    <w:p w:rsidR="1B2CC045" w:rsidP="3C83BA83" w:rsidRDefault="1B2CC045" w14:paraId="44176925" w14:textId="19891F12">
      <w:pPr>
        <w:pStyle w:val="Normal"/>
        <w:spacing w:before="240" w:beforeAutospacing="off" w:after="240" w:afterAutospacing="off"/>
      </w:pPr>
      <w:r w:rsidRPr="3C83BA83" w:rsidR="1B2CC045">
        <w:rPr>
          <w:rFonts w:ascii="Times New Roman" w:hAnsi="Times New Roman" w:eastAsia="Times New Roman" w:cs="Times New Roman"/>
          <w:noProof w:val="0"/>
          <w:sz w:val="24"/>
          <w:szCs w:val="24"/>
          <w:lang w:val="en-US"/>
        </w:rPr>
        <w:t>POhWER</w:t>
      </w:r>
      <w:r w:rsidRPr="3C83BA83" w:rsidR="1B2CC045">
        <w:rPr>
          <w:rFonts w:ascii="Times New Roman" w:hAnsi="Times New Roman" w:eastAsia="Times New Roman" w:cs="Times New Roman"/>
          <w:noProof w:val="0"/>
          <w:sz w:val="24"/>
          <w:szCs w:val="24"/>
          <w:lang w:val="en-US"/>
        </w:rPr>
        <w:t xml:space="preserve"> has been effective in supporting individual cases through advocacy, but its influence on broader systemic change, particularly in areas like NHS Complaints Advocacy, </w:t>
      </w:r>
      <w:r w:rsidRPr="3C83BA83" w:rsidR="1B2CC045">
        <w:rPr>
          <w:rFonts w:ascii="Times New Roman" w:hAnsi="Times New Roman" w:eastAsia="Times New Roman" w:cs="Times New Roman"/>
          <w:noProof w:val="0"/>
          <w:sz w:val="24"/>
          <w:szCs w:val="24"/>
          <w:lang w:val="en-US"/>
        </w:rPr>
        <w:t>remains</w:t>
      </w:r>
      <w:r w:rsidRPr="3C83BA83" w:rsidR="1B2CC045">
        <w:rPr>
          <w:rFonts w:ascii="Times New Roman" w:hAnsi="Times New Roman" w:eastAsia="Times New Roman" w:cs="Times New Roman"/>
          <w:noProof w:val="0"/>
          <w:sz w:val="24"/>
          <w:szCs w:val="24"/>
          <w:lang w:val="en-US"/>
        </w:rPr>
        <w:t xml:space="preserve"> unclear. Despite the critical support offered to patients in navigating complaints about healthcare services, these efforts rarely translate into significant reforms or policy changes within healthcare systems </w:t>
      </w:r>
      <w:r w:rsidRPr="3C83BA83" w:rsidR="1B2CC045">
        <w:rPr>
          <w:rFonts w:ascii="Times New Roman" w:hAnsi="Times New Roman" w:eastAsia="Times New Roman" w:cs="Times New Roman"/>
          <w:b w:val="1"/>
          <w:bCs w:val="1"/>
          <w:i w:val="1"/>
          <w:iCs w:val="1"/>
          <w:noProof w:val="0"/>
          <w:sz w:val="24"/>
          <w:szCs w:val="24"/>
          <w:lang w:val="en-US"/>
        </w:rPr>
        <w:t>(Ferlie &amp; Shortell, 2001; Greenhalgh et al., 2015)</w:t>
      </w:r>
      <w:r w:rsidRPr="3C83BA83" w:rsidR="1B2CC045">
        <w:rPr>
          <w:rFonts w:ascii="Times New Roman" w:hAnsi="Times New Roman" w:eastAsia="Times New Roman" w:cs="Times New Roman"/>
          <w:noProof w:val="0"/>
          <w:sz w:val="24"/>
          <w:szCs w:val="24"/>
          <w:lang w:val="en-US"/>
        </w:rPr>
        <w:t xml:space="preserve">. Research suggests that advocacy services often focus on casework and individual support, with limited engagement in policy reform or systemic change </w:t>
      </w:r>
      <w:r w:rsidRPr="3C83BA83" w:rsidR="1B2CC045">
        <w:rPr>
          <w:rFonts w:ascii="Times New Roman" w:hAnsi="Times New Roman" w:eastAsia="Times New Roman" w:cs="Times New Roman"/>
          <w:b w:val="1"/>
          <w:bCs w:val="1"/>
          <w:i w:val="1"/>
          <w:iCs w:val="1"/>
          <w:noProof w:val="0"/>
          <w:sz w:val="24"/>
          <w:szCs w:val="24"/>
          <w:lang w:val="en-US"/>
        </w:rPr>
        <w:t>(McCarthy, 2013).</w:t>
      </w:r>
      <w:r w:rsidRPr="3C83BA83" w:rsidR="1B2CC045">
        <w:rPr>
          <w:rFonts w:ascii="Times New Roman" w:hAnsi="Times New Roman" w:eastAsia="Times New Roman" w:cs="Times New Roman"/>
          <w:noProof w:val="0"/>
          <w:sz w:val="24"/>
          <w:szCs w:val="24"/>
          <w:lang w:val="en-US"/>
        </w:rPr>
        <w:t xml:space="preserve"> Enhancing </w:t>
      </w:r>
      <w:r w:rsidRPr="3C83BA83" w:rsidR="1B2CC045">
        <w:rPr>
          <w:rFonts w:ascii="Times New Roman" w:hAnsi="Times New Roman" w:eastAsia="Times New Roman" w:cs="Times New Roman"/>
          <w:noProof w:val="0"/>
          <w:sz w:val="24"/>
          <w:szCs w:val="24"/>
          <w:lang w:val="en-US"/>
        </w:rPr>
        <w:t>POhWER's</w:t>
      </w:r>
      <w:r w:rsidRPr="3C83BA83" w:rsidR="1B2CC045">
        <w:rPr>
          <w:rFonts w:ascii="Times New Roman" w:hAnsi="Times New Roman" w:eastAsia="Times New Roman" w:cs="Times New Roman"/>
          <w:noProof w:val="0"/>
          <w:sz w:val="24"/>
          <w:szCs w:val="24"/>
          <w:lang w:val="en-US"/>
        </w:rPr>
        <w:t xml:space="preserve"> engagement in advocacy at the policy level, alongside its work with individuals, could strengthen its </w:t>
      </w:r>
      <w:r w:rsidRPr="3C83BA83" w:rsidR="1B2CC045">
        <w:rPr>
          <w:rFonts w:ascii="Times New Roman" w:hAnsi="Times New Roman" w:eastAsia="Times New Roman" w:cs="Times New Roman"/>
          <w:noProof w:val="0"/>
          <w:sz w:val="24"/>
          <w:szCs w:val="24"/>
          <w:lang w:val="en-US"/>
        </w:rPr>
        <w:t>capacity</w:t>
      </w:r>
      <w:r w:rsidRPr="3C83BA83" w:rsidR="1B2CC045">
        <w:rPr>
          <w:rFonts w:ascii="Times New Roman" w:hAnsi="Times New Roman" w:eastAsia="Times New Roman" w:cs="Times New Roman"/>
          <w:noProof w:val="0"/>
          <w:sz w:val="24"/>
          <w:szCs w:val="24"/>
          <w:lang w:val="en-US"/>
        </w:rPr>
        <w:t xml:space="preserve"> to drive systemic change. More active lobbying and policy engagement would allow </w:t>
      </w:r>
      <w:r w:rsidRPr="3C83BA83" w:rsidR="1B2CC045">
        <w:rPr>
          <w:rFonts w:ascii="Times New Roman" w:hAnsi="Times New Roman" w:eastAsia="Times New Roman" w:cs="Times New Roman"/>
          <w:noProof w:val="0"/>
          <w:sz w:val="24"/>
          <w:szCs w:val="24"/>
          <w:lang w:val="en-US"/>
        </w:rPr>
        <w:t>POhWER</w:t>
      </w:r>
      <w:r w:rsidRPr="3C83BA83" w:rsidR="1B2CC045">
        <w:rPr>
          <w:rFonts w:ascii="Times New Roman" w:hAnsi="Times New Roman" w:eastAsia="Times New Roman" w:cs="Times New Roman"/>
          <w:noProof w:val="0"/>
          <w:sz w:val="24"/>
          <w:szCs w:val="24"/>
          <w:lang w:val="en-US"/>
        </w:rPr>
        <w:t xml:space="preserve"> to broaden its impact, helping to shape policy decisions that address the root causes of systemic issues in health and social care services </w:t>
      </w:r>
      <w:r w:rsidRPr="3C83BA83" w:rsidR="1B2CC045">
        <w:rPr>
          <w:rFonts w:ascii="Times New Roman" w:hAnsi="Times New Roman" w:eastAsia="Times New Roman" w:cs="Times New Roman"/>
          <w:b w:val="1"/>
          <w:bCs w:val="1"/>
          <w:i w:val="1"/>
          <w:iCs w:val="1"/>
          <w:noProof w:val="0"/>
          <w:sz w:val="24"/>
          <w:szCs w:val="24"/>
          <w:lang w:val="en-US"/>
        </w:rPr>
        <w:t xml:space="preserve">(Tinkler &amp; Van </w:t>
      </w:r>
      <w:r w:rsidRPr="3C83BA83" w:rsidR="1B2CC045">
        <w:rPr>
          <w:rFonts w:ascii="Times New Roman" w:hAnsi="Times New Roman" w:eastAsia="Times New Roman" w:cs="Times New Roman"/>
          <w:b w:val="1"/>
          <w:bCs w:val="1"/>
          <w:i w:val="1"/>
          <w:iCs w:val="1"/>
          <w:noProof w:val="0"/>
          <w:sz w:val="24"/>
          <w:szCs w:val="24"/>
          <w:lang w:val="en-US"/>
        </w:rPr>
        <w:t>Zwanenberg</w:t>
      </w:r>
      <w:r w:rsidRPr="3C83BA83" w:rsidR="1B2CC045">
        <w:rPr>
          <w:rFonts w:ascii="Times New Roman" w:hAnsi="Times New Roman" w:eastAsia="Times New Roman" w:cs="Times New Roman"/>
          <w:b w:val="1"/>
          <w:bCs w:val="1"/>
          <w:i w:val="1"/>
          <w:iCs w:val="1"/>
          <w:noProof w:val="0"/>
          <w:sz w:val="24"/>
          <w:szCs w:val="24"/>
          <w:lang w:val="en-US"/>
        </w:rPr>
        <w:t>, 2012).</w:t>
      </w:r>
    </w:p>
    <w:p w:rsidR="3C83BA83" w:rsidP="3C83BA83" w:rsidRDefault="3C83BA83" w14:paraId="756DA5C9" w14:textId="11972849">
      <w:pPr>
        <w:pStyle w:val="Normal"/>
        <w:spacing w:before="240" w:beforeAutospacing="off" w:after="240" w:afterAutospacing="off"/>
        <w:rPr>
          <w:rFonts w:ascii="Times New Roman" w:hAnsi="Times New Roman" w:eastAsia="Times New Roman" w:cs="Times New Roman"/>
          <w:b w:val="1"/>
          <w:bCs w:val="1"/>
          <w:i w:val="1"/>
          <w:iCs w:val="1"/>
          <w:noProof w:val="0"/>
          <w:sz w:val="24"/>
          <w:szCs w:val="24"/>
          <w:lang w:val="en-US"/>
        </w:rPr>
      </w:pPr>
    </w:p>
    <w:p w:rsidR="0602D24D" w:rsidP="3C83BA83" w:rsidRDefault="0602D24D" w14:paraId="0642D4DD" w14:textId="02439353">
      <w:pPr>
        <w:pStyle w:val="Normal"/>
        <w:rPr>
          <w:rFonts w:ascii="Times New Roman" w:hAnsi="Times New Roman" w:eastAsia="Times New Roman" w:cs="Times New Roman"/>
          <w:b w:val="1"/>
          <w:bCs w:val="1"/>
          <w:noProof w:val="0"/>
          <w:sz w:val="28"/>
          <w:szCs w:val="28"/>
          <w:lang w:val="en-US"/>
        </w:rPr>
      </w:pPr>
      <w:r w:rsidRPr="3C83BA83" w:rsidR="0602D24D">
        <w:rPr>
          <w:rFonts w:ascii="Times New Roman" w:hAnsi="Times New Roman" w:eastAsia="Times New Roman" w:cs="Times New Roman"/>
          <w:b w:val="1"/>
          <w:bCs w:val="1"/>
          <w:noProof w:val="0"/>
          <w:sz w:val="28"/>
          <w:szCs w:val="28"/>
          <w:lang w:val="en-US"/>
        </w:rPr>
        <w:t>Limited Advocacy for Marginalized Communities:</w:t>
      </w:r>
    </w:p>
    <w:p w:rsidR="0602D24D" w:rsidP="3C83BA83" w:rsidRDefault="0602D24D" w14:paraId="422C7B30" w14:textId="512D58B2">
      <w:pPr>
        <w:spacing w:before="240" w:beforeAutospacing="off" w:after="240" w:afterAutospacing="off"/>
      </w:pPr>
      <w:r w:rsidRPr="3C83BA83" w:rsidR="0602D24D">
        <w:rPr>
          <w:rFonts w:ascii="Times New Roman" w:hAnsi="Times New Roman" w:eastAsia="Times New Roman" w:cs="Times New Roman"/>
          <w:noProof w:val="0"/>
          <w:sz w:val="24"/>
          <w:szCs w:val="24"/>
          <w:lang w:val="en-US"/>
        </w:rPr>
        <w:t>While POhWER aims to provide advocacy services to all individuals in need, research suggests that certain marginalized groups, such as asylum seekers, refugees, and individuals with complex mental health needs, may not receive sufficient advocacy support (Manthorpe &amp; Martineau, 2017). Advocacy services often struggle to reach those who are socially isolated or unable to self-refer, leading to disparities in access (Bach &amp; Kerzner, 2010). Studies indicate that advocacy models often favor individuals who can articulate their needs, leaving those with language barriers, learning disabilities, or cognitive impairments at a disadvantage (Mitchell, 2021). Without targeted outreach and culturally competent advocacy approaches, POhWER risks underserving those who need independent advocacy the most. To address this, POhWER should develop specific strategies to ensure that advocacy services are equitably distributed and accessible to all, particularly for individuals who may not actively seek support due to stigma or lack of awareness (Greenhalgh et al., 2015).</w:t>
      </w:r>
    </w:p>
    <w:p w:rsidR="3C83BA83" w:rsidP="3C83BA83" w:rsidRDefault="3C83BA83" w14:paraId="14DCDD76" w14:textId="65FFA1B6">
      <w:pPr>
        <w:pStyle w:val="Normal"/>
        <w:rPr>
          <w:rFonts w:ascii="Times New Roman" w:hAnsi="Times New Roman" w:eastAsia="Times New Roman" w:cs="Times New Roman"/>
          <w:b w:val="1"/>
          <w:bCs w:val="1"/>
          <w:noProof w:val="0"/>
          <w:sz w:val="28"/>
          <w:szCs w:val="28"/>
          <w:lang w:val="en-US"/>
        </w:rPr>
      </w:pPr>
    </w:p>
    <w:p w:rsidR="5DE49A97" w:rsidP="3C83BA83" w:rsidRDefault="5DE49A97" w14:paraId="6877F070" w14:textId="67561BBA">
      <w:pPr>
        <w:pStyle w:val="Normal"/>
        <w:rPr>
          <w:rFonts w:ascii="Times New Roman" w:hAnsi="Times New Roman" w:eastAsia="Times New Roman" w:cs="Times New Roman"/>
          <w:b w:val="1"/>
          <w:bCs w:val="1"/>
          <w:noProof w:val="0"/>
          <w:sz w:val="28"/>
          <w:szCs w:val="28"/>
          <w:lang w:val="en-US"/>
        </w:rPr>
      </w:pPr>
      <w:r w:rsidRPr="3C83BA83" w:rsidR="5DE49A97">
        <w:rPr>
          <w:rFonts w:ascii="Times New Roman" w:hAnsi="Times New Roman" w:eastAsia="Times New Roman" w:cs="Times New Roman"/>
          <w:b w:val="1"/>
          <w:bCs w:val="1"/>
          <w:noProof w:val="0"/>
          <w:sz w:val="28"/>
          <w:szCs w:val="28"/>
          <w:lang w:val="en-US"/>
        </w:rPr>
        <w:t>Accountability and Impact Measurement:</w:t>
      </w:r>
    </w:p>
    <w:p w:rsidR="0602D24D" w:rsidP="3C83BA83" w:rsidRDefault="0602D24D" w14:paraId="2FCDFC25" w14:textId="529058A6">
      <w:pPr>
        <w:spacing w:before="240" w:beforeAutospacing="off" w:after="240" w:afterAutospacing="off"/>
      </w:pPr>
      <w:r w:rsidRPr="3C83BA83" w:rsidR="0602D24D">
        <w:rPr>
          <w:rFonts w:ascii="Times New Roman" w:hAnsi="Times New Roman" w:eastAsia="Times New Roman" w:cs="Times New Roman"/>
          <w:noProof w:val="0"/>
          <w:sz w:val="24"/>
          <w:szCs w:val="24"/>
          <w:lang w:val="en-US"/>
        </w:rPr>
        <w:t>POhWER</w:t>
      </w:r>
      <w:r w:rsidRPr="3C83BA83" w:rsidR="0602D24D">
        <w:rPr>
          <w:rFonts w:ascii="Times New Roman" w:hAnsi="Times New Roman" w:eastAsia="Times New Roman" w:cs="Times New Roman"/>
          <w:noProof w:val="0"/>
          <w:sz w:val="24"/>
          <w:szCs w:val="24"/>
          <w:lang w:val="en-US"/>
        </w:rPr>
        <w:t xml:space="preserve"> states that its advocacy services empower individuals and protect their rights, yet there is limited publicly available data on the long-term impact of its interventions (Banks &amp; Gallagher, 2009). Without clear impact assessments, it is difficult to evaluate whether advocacy efforts lead to meaningful improvements in clients’ autonomy, well-being, and decision-making abilities (Oliver &amp; Matthews, 2014). While individual case studies may </w:t>
      </w:r>
      <w:r w:rsidRPr="3C83BA83" w:rsidR="0602D24D">
        <w:rPr>
          <w:rFonts w:ascii="Times New Roman" w:hAnsi="Times New Roman" w:eastAsia="Times New Roman" w:cs="Times New Roman"/>
          <w:noProof w:val="0"/>
          <w:sz w:val="24"/>
          <w:szCs w:val="24"/>
          <w:lang w:val="en-US"/>
        </w:rPr>
        <w:t>demonstrate</w:t>
      </w:r>
      <w:r w:rsidRPr="3C83BA83" w:rsidR="0602D24D">
        <w:rPr>
          <w:rFonts w:ascii="Times New Roman" w:hAnsi="Times New Roman" w:eastAsia="Times New Roman" w:cs="Times New Roman"/>
          <w:noProof w:val="0"/>
          <w:sz w:val="24"/>
          <w:szCs w:val="24"/>
          <w:lang w:val="en-US"/>
        </w:rPr>
        <w:t xml:space="preserve"> positive outcomes, research highlights that a lack of comprehensive data collection and reporting mechanisms limits transparency and accountability (Gibson et al., 2011). Advocacy organizations that implement structured evaluation frameworks, including client feedback surveys and measurable outcome indicators, have shown greater credibility and influence in shaping policy reforms (Ferlie &amp; Shortell, 2001). To strengthen its accountability, </w:t>
      </w:r>
      <w:r w:rsidRPr="3C83BA83" w:rsidR="0602D24D">
        <w:rPr>
          <w:rFonts w:ascii="Times New Roman" w:hAnsi="Times New Roman" w:eastAsia="Times New Roman" w:cs="Times New Roman"/>
          <w:noProof w:val="0"/>
          <w:sz w:val="24"/>
          <w:szCs w:val="24"/>
          <w:lang w:val="en-US"/>
        </w:rPr>
        <w:t>POhWER</w:t>
      </w:r>
      <w:r w:rsidRPr="3C83BA83" w:rsidR="0602D24D">
        <w:rPr>
          <w:rFonts w:ascii="Times New Roman" w:hAnsi="Times New Roman" w:eastAsia="Times New Roman" w:cs="Times New Roman"/>
          <w:noProof w:val="0"/>
          <w:sz w:val="24"/>
          <w:szCs w:val="24"/>
          <w:lang w:val="en-US"/>
        </w:rPr>
        <w:t xml:space="preserve"> should adopt a more data-driven approach to evaluating advocacy effectiveness, ensuring that services are responsive to client needs and demonstrably improving outcomes (Tinkler &amp; Van </w:t>
      </w:r>
      <w:r w:rsidRPr="3C83BA83" w:rsidR="0602D24D">
        <w:rPr>
          <w:rFonts w:ascii="Times New Roman" w:hAnsi="Times New Roman" w:eastAsia="Times New Roman" w:cs="Times New Roman"/>
          <w:noProof w:val="0"/>
          <w:sz w:val="24"/>
          <w:szCs w:val="24"/>
          <w:lang w:val="en-US"/>
        </w:rPr>
        <w:t>Zwanenberg</w:t>
      </w:r>
      <w:r w:rsidRPr="3C83BA83" w:rsidR="0602D24D">
        <w:rPr>
          <w:rFonts w:ascii="Times New Roman" w:hAnsi="Times New Roman" w:eastAsia="Times New Roman" w:cs="Times New Roman"/>
          <w:noProof w:val="0"/>
          <w:sz w:val="24"/>
          <w:szCs w:val="24"/>
          <w:lang w:val="en-US"/>
        </w:rPr>
        <w:t>, 2012).</w:t>
      </w:r>
    </w:p>
    <w:p w:rsidR="3C83BA83" w:rsidP="3C83BA83" w:rsidRDefault="3C83BA83" w14:paraId="12D01FE6" w14:textId="10F5DE00">
      <w:pPr>
        <w:spacing w:before="240" w:beforeAutospacing="off" w:after="240" w:afterAutospacing="off"/>
        <w:rPr>
          <w:rFonts w:ascii="Times New Roman" w:hAnsi="Times New Roman" w:eastAsia="Times New Roman" w:cs="Times New Roman"/>
          <w:noProof w:val="0"/>
          <w:sz w:val="24"/>
          <w:szCs w:val="24"/>
          <w:lang w:val="en-US"/>
        </w:rPr>
      </w:pPr>
    </w:p>
    <w:p w:rsidR="2F5D8D02" w:rsidP="3C83BA83" w:rsidRDefault="2F5D8D02" w14:paraId="5C265E22" w14:textId="344D16AA">
      <w:pPr>
        <w:spacing w:before="240" w:beforeAutospacing="off" w:after="240" w:afterAutospacing="off"/>
        <w:rPr>
          <w:rFonts w:ascii="Times New Roman" w:hAnsi="Times New Roman" w:eastAsia="Times New Roman" w:cs="Times New Roman"/>
          <w:b w:val="1"/>
          <w:bCs w:val="1"/>
          <w:noProof w:val="0"/>
          <w:sz w:val="32"/>
          <w:szCs w:val="32"/>
          <w:lang w:val="en-US"/>
        </w:rPr>
      </w:pPr>
      <w:r w:rsidRPr="3C83BA83" w:rsidR="2F5D8D02">
        <w:rPr>
          <w:rFonts w:ascii="Times New Roman" w:hAnsi="Times New Roman" w:eastAsia="Times New Roman" w:cs="Times New Roman"/>
          <w:b w:val="1"/>
          <w:bCs w:val="1"/>
          <w:noProof w:val="0"/>
          <w:sz w:val="28"/>
          <w:szCs w:val="28"/>
          <w:lang w:val="en-US"/>
        </w:rPr>
        <w:t xml:space="preserve">Critical Analysis of </w:t>
      </w:r>
      <w:r w:rsidRPr="3C83BA83" w:rsidR="2F5D8D02">
        <w:rPr>
          <w:rFonts w:ascii="Times New Roman" w:hAnsi="Times New Roman" w:eastAsia="Times New Roman" w:cs="Times New Roman"/>
          <w:b w:val="1"/>
          <w:bCs w:val="1"/>
          <w:noProof w:val="0"/>
          <w:sz w:val="28"/>
          <w:szCs w:val="28"/>
          <w:lang w:val="en-US"/>
        </w:rPr>
        <w:t>POhWER’s</w:t>
      </w:r>
      <w:r w:rsidRPr="3C83BA83" w:rsidR="2F5D8D02">
        <w:rPr>
          <w:rFonts w:ascii="Times New Roman" w:hAnsi="Times New Roman" w:eastAsia="Times New Roman" w:cs="Times New Roman"/>
          <w:b w:val="1"/>
          <w:bCs w:val="1"/>
          <w:noProof w:val="0"/>
          <w:sz w:val="28"/>
          <w:szCs w:val="28"/>
          <w:lang w:val="en-US"/>
        </w:rPr>
        <w:t xml:space="preserve"> Code of Practice in Relation to the Social Services and Well-being (Wales) Act 2014, Part 10 Code of Practice (Advocacy):</w:t>
      </w:r>
    </w:p>
    <w:p w:rsidR="2F5D8D02" w:rsidP="3C83BA83" w:rsidRDefault="2F5D8D02" w14:paraId="7865DEDB" w14:textId="06880C1E">
      <w:pPr>
        <w:spacing w:before="240" w:beforeAutospacing="off" w:after="240" w:afterAutospacing="off"/>
      </w:pPr>
      <w:r w:rsidRPr="3C83BA83" w:rsidR="2F5D8D02">
        <w:rPr>
          <w:rFonts w:ascii="Times New Roman" w:hAnsi="Times New Roman" w:eastAsia="Times New Roman" w:cs="Times New Roman"/>
          <w:noProof w:val="0"/>
          <w:sz w:val="24"/>
          <w:szCs w:val="24"/>
          <w:lang w:val="en-US"/>
        </w:rPr>
        <w:t>POhWER’s Code of Practice aligns closely with the Social Services and Well-being (Wales) Act 2014, Part 10 Code of Practice (Advocacy), by ensuring individuals receive independent and accessible advocacy to support their engagement with social care services (Welsh Government, 2016). It upholds key principles such as independence, accessibility, and empowerment, ensuring individuals have a voice in decision-making. However, concerns remain about the potential conflict of interest arising from local authority-commissioned advocacy services, which may impact the ability to challenge statutory decisions effectively (Boyle, 2020). Additionally, while POhWER provides inclusive advocacy, geographical disparities may limit access, particularly in rural areas, creating inequalities in service provision (Manthorpe &amp; Martineau, 2017). Resource constraints further pose a challenge, affecting the continuity of advocacy support and limiting long-term engagement for individuals requiring sustained assistance (Dalrymple &amp; Boylan, 2020). Addressing these issues through sustainable funding, stronger independent oversight, and improved referral pathways between local authorities and advocacy providers is crucial to ensuring effective advocacy services that fully comply with the statutory framework.</w:t>
      </w:r>
    </w:p>
    <w:p w:rsidR="3C83BA83" w:rsidP="3C83BA83" w:rsidRDefault="3C83BA83" w14:paraId="4D0F5B5B" w14:textId="4657EF5E">
      <w:pPr>
        <w:pStyle w:val="Normal"/>
        <w:spacing w:before="240" w:beforeAutospacing="off" w:after="240" w:afterAutospacing="off"/>
        <w:rPr>
          <w:rFonts w:ascii="Times New Roman" w:hAnsi="Times New Roman" w:eastAsia="Times New Roman" w:cs="Times New Roman"/>
          <w:b w:val="1"/>
          <w:bCs w:val="1"/>
          <w:i w:val="1"/>
          <w:iCs w:val="1"/>
          <w:noProof w:val="0"/>
          <w:sz w:val="24"/>
          <w:szCs w:val="24"/>
          <w:lang w:val="en-US"/>
        </w:rPr>
      </w:pPr>
    </w:p>
    <w:p w:rsidR="3C83BA83" w:rsidP="3C83BA83" w:rsidRDefault="3C83BA83" w14:paraId="64A7F4B5" w14:textId="5AAE8775">
      <w:pPr>
        <w:pStyle w:val="Normal"/>
        <w:spacing w:before="240" w:beforeAutospacing="off" w:after="240" w:afterAutospacing="off"/>
        <w:rPr>
          <w:rFonts w:ascii="Times New Roman" w:hAnsi="Times New Roman" w:eastAsia="Times New Roman" w:cs="Times New Roman"/>
          <w:b w:val="1"/>
          <w:bCs w:val="1"/>
          <w:i w:val="1"/>
          <w:iCs w:val="1"/>
          <w:noProof w:val="0"/>
          <w:sz w:val="24"/>
          <w:szCs w:val="24"/>
          <w:lang w:val="en-US"/>
        </w:rPr>
      </w:pPr>
    </w:p>
    <w:p w:rsidR="627718FB" w:rsidP="3C83BA83" w:rsidRDefault="627718FB" w14:paraId="0BA1DDC2" w14:textId="41D8A567">
      <w:pPr>
        <w:spacing w:before="240" w:beforeAutospacing="off" w:after="240" w:afterAutospacing="off"/>
        <w:rPr>
          <w:rFonts w:ascii="Times New Roman" w:hAnsi="Times New Roman" w:eastAsia="Times New Roman" w:cs="Times New Roman"/>
          <w:b w:val="1"/>
          <w:bCs w:val="1"/>
          <w:noProof w:val="0"/>
          <w:sz w:val="36"/>
          <w:szCs w:val="36"/>
          <w:u w:val="none"/>
          <w:lang w:val="en-US"/>
        </w:rPr>
      </w:pPr>
      <w:r w:rsidRPr="3C83BA83" w:rsidR="627718FB">
        <w:rPr>
          <w:rFonts w:ascii="Times New Roman" w:hAnsi="Times New Roman" w:eastAsia="Times New Roman" w:cs="Times New Roman"/>
          <w:b w:val="1"/>
          <w:bCs w:val="1"/>
          <w:noProof w:val="0"/>
          <w:sz w:val="32"/>
          <w:szCs w:val="32"/>
          <w:u w:val="none"/>
          <w:lang w:val="en-US"/>
        </w:rPr>
        <w:t xml:space="preserve">Recommendations to Improve </w:t>
      </w:r>
      <w:r w:rsidRPr="3C83BA83" w:rsidR="627718FB">
        <w:rPr>
          <w:rFonts w:ascii="Times New Roman" w:hAnsi="Times New Roman" w:eastAsia="Times New Roman" w:cs="Times New Roman"/>
          <w:b w:val="1"/>
          <w:bCs w:val="1"/>
          <w:noProof w:val="0"/>
          <w:sz w:val="32"/>
          <w:szCs w:val="32"/>
          <w:u w:val="none"/>
          <w:lang w:val="en-US"/>
        </w:rPr>
        <w:t>POhWER’s</w:t>
      </w:r>
      <w:r w:rsidRPr="3C83BA83" w:rsidR="627718FB">
        <w:rPr>
          <w:rFonts w:ascii="Times New Roman" w:hAnsi="Times New Roman" w:eastAsia="Times New Roman" w:cs="Times New Roman"/>
          <w:b w:val="1"/>
          <w:bCs w:val="1"/>
          <w:noProof w:val="0"/>
          <w:sz w:val="32"/>
          <w:szCs w:val="32"/>
          <w:u w:val="none"/>
          <w:lang w:val="en-US"/>
        </w:rPr>
        <w:t xml:space="preserve"> Professional Standards</w:t>
      </w:r>
    </w:p>
    <w:p w:rsidR="694450FD" w:rsidP="3C83BA83" w:rsidRDefault="694450FD" w14:paraId="7D2A6ED8" w14:textId="42E7461B">
      <w:pPr>
        <w:spacing w:before="240" w:beforeAutospacing="off" w:after="240" w:afterAutospacing="off"/>
      </w:pPr>
      <w:r w:rsidRPr="3C83BA83" w:rsidR="694450FD">
        <w:rPr>
          <w:rFonts w:ascii="Times New Roman" w:hAnsi="Times New Roman" w:eastAsia="Times New Roman" w:cs="Times New Roman"/>
          <w:noProof w:val="0"/>
          <w:sz w:val="24"/>
          <w:szCs w:val="24"/>
          <w:lang w:val="en-US"/>
        </w:rPr>
        <w:t>Advocacy services like POhWER play a vital role in supporting individuals who require assistance in navigating legal and healthcare systems. However, maintaining professional standards in areas such as independence, confidentiality, training, and accessibility remains a challenge. Research highlights several strategies that can help strengthen these aspects, ensuring that advocacy remains effective and ethically sound.</w:t>
      </w:r>
    </w:p>
    <w:p w:rsidR="694450FD" w:rsidP="3C83BA83" w:rsidRDefault="694450FD" w14:paraId="26C8C16B" w14:textId="06128809">
      <w:pPr>
        <w:pStyle w:val="Normal"/>
        <w:rPr>
          <w:rFonts w:ascii="Times New Roman" w:hAnsi="Times New Roman" w:eastAsia="Times New Roman" w:cs="Times New Roman"/>
          <w:b w:val="1"/>
          <w:bCs w:val="1"/>
          <w:noProof w:val="0"/>
          <w:sz w:val="28"/>
          <w:szCs w:val="28"/>
          <w:lang w:val="en-US"/>
        </w:rPr>
      </w:pPr>
      <w:r w:rsidRPr="3C83BA83" w:rsidR="694450FD">
        <w:rPr>
          <w:rFonts w:ascii="Times New Roman" w:hAnsi="Times New Roman" w:eastAsia="Times New Roman" w:cs="Times New Roman"/>
          <w:b w:val="1"/>
          <w:bCs w:val="1"/>
          <w:noProof w:val="0"/>
          <w:sz w:val="28"/>
          <w:szCs w:val="28"/>
          <w:lang w:val="en-US"/>
        </w:rPr>
        <w:t>Strengthening Independence in Advocacy Services:</w:t>
      </w:r>
    </w:p>
    <w:p w:rsidR="694450FD" w:rsidP="3C83BA83" w:rsidRDefault="694450FD" w14:paraId="600F4FB6" w14:textId="4CFD433A">
      <w:pPr>
        <w:spacing w:before="240" w:beforeAutospacing="off" w:after="240" w:afterAutospacing="off"/>
      </w:pPr>
      <w:r w:rsidRPr="3C83BA83" w:rsidR="694450FD">
        <w:rPr>
          <w:rFonts w:ascii="Times New Roman" w:hAnsi="Times New Roman" w:eastAsia="Times New Roman" w:cs="Times New Roman"/>
          <w:noProof w:val="0"/>
          <w:sz w:val="24"/>
          <w:szCs w:val="24"/>
          <w:lang w:val="en-US"/>
        </w:rPr>
        <w:t>Advocacy organizations often receive funding from external bodies, including government agencies, which can create potential conflicts of interest. Studies suggest that diversifying financial support through private donations, grants, and corporate sponsorships can enhance independence and prevent undue influence on service delivery (Gibson, Taylor, &amp; Hill, 2011). Furthermore, implementing transparent decision-making policies can help maintain credibility and ensure that advocacy services remain client-centered (Gray &amp; Armstrong, 2017). Establishing a governance framework that prioritizes service user needs over financial pressures is also crucial for upholding impartiality (McCarthy, 2013).</w:t>
      </w:r>
    </w:p>
    <w:p w:rsidR="694450FD" w:rsidP="3C83BA83" w:rsidRDefault="694450FD" w14:paraId="37FBCC7B" w14:textId="36AF8616">
      <w:pPr>
        <w:pStyle w:val="Normal"/>
        <w:rPr>
          <w:rFonts w:ascii="Times New Roman" w:hAnsi="Times New Roman" w:eastAsia="Times New Roman" w:cs="Times New Roman"/>
          <w:b w:val="1"/>
          <w:bCs w:val="1"/>
          <w:noProof w:val="0"/>
          <w:sz w:val="28"/>
          <w:szCs w:val="28"/>
          <w:lang w:val="en-US"/>
        </w:rPr>
      </w:pPr>
      <w:r w:rsidRPr="3C83BA83" w:rsidR="694450FD">
        <w:rPr>
          <w:rFonts w:ascii="Times New Roman" w:hAnsi="Times New Roman" w:eastAsia="Times New Roman" w:cs="Times New Roman"/>
          <w:b w:val="1"/>
          <w:bCs w:val="1"/>
          <w:noProof w:val="0"/>
          <w:sz w:val="28"/>
          <w:szCs w:val="28"/>
          <w:lang w:val="en-US"/>
        </w:rPr>
        <w:t>Balancing Confidentiality and Safeguarding Responsibilities:</w:t>
      </w:r>
    </w:p>
    <w:p w:rsidR="694450FD" w:rsidP="3C83BA83" w:rsidRDefault="694450FD" w14:paraId="72EAD86E" w14:textId="22A5A36E">
      <w:pPr>
        <w:spacing w:before="240" w:beforeAutospacing="off" w:after="240" w:afterAutospacing="off"/>
      </w:pPr>
      <w:r w:rsidRPr="3C83BA83" w:rsidR="694450FD">
        <w:rPr>
          <w:rFonts w:ascii="Times New Roman" w:hAnsi="Times New Roman" w:eastAsia="Times New Roman" w:cs="Times New Roman"/>
          <w:noProof w:val="0"/>
          <w:sz w:val="24"/>
          <w:szCs w:val="24"/>
          <w:lang w:val="en-US"/>
        </w:rPr>
        <w:t xml:space="preserve">Confidentiality is a fundamental aspect of advocacy, yet safeguarding obligations sometimes </w:t>
      </w:r>
      <w:r w:rsidRPr="3C83BA83" w:rsidR="694450FD">
        <w:rPr>
          <w:rFonts w:ascii="Times New Roman" w:hAnsi="Times New Roman" w:eastAsia="Times New Roman" w:cs="Times New Roman"/>
          <w:noProof w:val="0"/>
          <w:sz w:val="24"/>
          <w:szCs w:val="24"/>
          <w:lang w:val="en-US"/>
        </w:rPr>
        <w:t>necessitate</w:t>
      </w:r>
      <w:r w:rsidRPr="3C83BA83" w:rsidR="694450FD">
        <w:rPr>
          <w:rFonts w:ascii="Times New Roman" w:hAnsi="Times New Roman" w:eastAsia="Times New Roman" w:cs="Times New Roman"/>
          <w:noProof w:val="0"/>
          <w:sz w:val="24"/>
          <w:szCs w:val="24"/>
          <w:lang w:val="en-US"/>
        </w:rPr>
        <w:t xml:space="preserve"> breaches </w:t>
      </w:r>
      <w:r w:rsidRPr="3C83BA83" w:rsidR="694450FD">
        <w:rPr>
          <w:rFonts w:ascii="Times New Roman" w:hAnsi="Times New Roman" w:eastAsia="Times New Roman" w:cs="Times New Roman"/>
          <w:noProof w:val="0"/>
          <w:sz w:val="24"/>
          <w:szCs w:val="24"/>
          <w:lang w:val="en-US"/>
        </w:rPr>
        <w:t>in</w:t>
      </w:r>
      <w:r w:rsidRPr="3C83BA83" w:rsidR="694450FD">
        <w:rPr>
          <w:rFonts w:ascii="Times New Roman" w:hAnsi="Times New Roman" w:eastAsia="Times New Roman" w:cs="Times New Roman"/>
          <w:noProof w:val="0"/>
          <w:sz w:val="24"/>
          <w:szCs w:val="24"/>
          <w:lang w:val="en-US"/>
        </w:rPr>
        <w:t xml:space="preserve"> privacy to protect vulnerable individuals. Research </w:t>
      </w:r>
      <w:r w:rsidRPr="3C83BA83" w:rsidR="694450FD">
        <w:rPr>
          <w:rFonts w:ascii="Times New Roman" w:hAnsi="Times New Roman" w:eastAsia="Times New Roman" w:cs="Times New Roman"/>
          <w:noProof w:val="0"/>
          <w:sz w:val="24"/>
          <w:szCs w:val="24"/>
          <w:lang w:val="en-US"/>
        </w:rPr>
        <w:t>indicates</w:t>
      </w:r>
      <w:r w:rsidRPr="3C83BA83" w:rsidR="694450FD">
        <w:rPr>
          <w:rFonts w:ascii="Times New Roman" w:hAnsi="Times New Roman" w:eastAsia="Times New Roman" w:cs="Times New Roman"/>
          <w:noProof w:val="0"/>
          <w:sz w:val="24"/>
          <w:szCs w:val="24"/>
          <w:lang w:val="en-US"/>
        </w:rPr>
        <w:t xml:space="preserve"> that clear guidelines on confidentiality exceptions can help advocates navigate these ethical dilemmas while </w:t>
      </w:r>
      <w:r w:rsidRPr="3C83BA83" w:rsidR="694450FD">
        <w:rPr>
          <w:rFonts w:ascii="Times New Roman" w:hAnsi="Times New Roman" w:eastAsia="Times New Roman" w:cs="Times New Roman"/>
          <w:noProof w:val="0"/>
          <w:sz w:val="24"/>
          <w:szCs w:val="24"/>
          <w:lang w:val="en-US"/>
        </w:rPr>
        <w:t>maintaining</w:t>
      </w:r>
      <w:r w:rsidRPr="3C83BA83" w:rsidR="694450FD">
        <w:rPr>
          <w:rFonts w:ascii="Times New Roman" w:hAnsi="Times New Roman" w:eastAsia="Times New Roman" w:cs="Times New Roman"/>
          <w:noProof w:val="0"/>
          <w:sz w:val="24"/>
          <w:szCs w:val="24"/>
          <w:lang w:val="en-US"/>
        </w:rPr>
        <w:t xml:space="preserve"> trust with clients (SCIE, 2019). Providing regular training on data protection laws, such as the General Data Protection Regulation (GDPR) and the Mental Capacity Act (2005), ensures that advocates handle sensitive information appropriately (Barrett, McColl, &amp; Marier, 2014). Additionally, adopting a multi-agency safeguarding approach allows advocates to collaborate with professionals while upholding their duty to clients (Hughes &amp; Mullen, 2016).</w:t>
      </w:r>
    </w:p>
    <w:p w:rsidR="694450FD" w:rsidP="3C83BA83" w:rsidRDefault="694450FD" w14:paraId="474C32B9" w14:textId="6D003769">
      <w:pPr>
        <w:pStyle w:val="Normal"/>
        <w:rPr>
          <w:rFonts w:ascii="Times New Roman" w:hAnsi="Times New Roman" w:eastAsia="Times New Roman" w:cs="Times New Roman"/>
          <w:b w:val="1"/>
          <w:bCs w:val="1"/>
          <w:noProof w:val="0"/>
          <w:sz w:val="28"/>
          <w:szCs w:val="28"/>
          <w:lang w:val="en-US"/>
        </w:rPr>
      </w:pPr>
      <w:r w:rsidRPr="3C83BA83" w:rsidR="694450FD">
        <w:rPr>
          <w:rFonts w:ascii="Times New Roman" w:hAnsi="Times New Roman" w:eastAsia="Times New Roman" w:cs="Times New Roman"/>
          <w:b w:val="1"/>
          <w:bCs w:val="1"/>
          <w:noProof w:val="0"/>
          <w:sz w:val="28"/>
          <w:szCs w:val="28"/>
          <w:lang w:val="en-US"/>
        </w:rPr>
        <w:t>Enhancing Advocate Training and Accreditation:</w:t>
      </w:r>
    </w:p>
    <w:p w:rsidR="694450FD" w:rsidP="3C83BA83" w:rsidRDefault="694450FD" w14:paraId="6EBB3A0F" w14:textId="16914DB1">
      <w:pPr>
        <w:spacing w:before="240" w:beforeAutospacing="off" w:after="240" w:afterAutospacing="off"/>
      </w:pPr>
      <w:r w:rsidRPr="3C83BA83" w:rsidR="694450FD">
        <w:rPr>
          <w:rFonts w:ascii="Times New Roman" w:hAnsi="Times New Roman" w:eastAsia="Times New Roman" w:cs="Times New Roman"/>
          <w:noProof w:val="0"/>
          <w:sz w:val="24"/>
          <w:szCs w:val="24"/>
          <w:lang w:val="en-US"/>
        </w:rPr>
        <w:t>The competency of advocates can vary significantly due to the absence of standardized national accreditation. Research suggests that introducing a structured accreditation system would ensure that all advocates meet a minimum competency level, improving the quality of service provision (Williams, 2018). Continuous professional development (CPD) programs can also help advocates stay informed about legal and policy changes, enhancing their ability to support clients effectively (Kelly, 2016). Furthermore, regular peer reviews and performance assessments can identify areas for improvement and ensure consistency across advocacy services (Oliver &amp; Matthews, 2014).</w:t>
      </w:r>
    </w:p>
    <w:p w:rsidR="694450FD" w:rsidP="3C83BA83" w:rsidRDefault="694450FD" w14:paraId="4013E242" w14:textId="1E6ECDD3">
      <w:pPr>
        <w:pStyle w:val="Normal"/>
        <w:rPr>
          <w:rFonts w:ascii="Times New Roman" w:hAnsi="Times New Roman" w:eastAsia="Times New Roman" w:cs="Times New Roman"/>
          <w:b w:val="1"/>
          <w:bCs w:val="1"/>
          <w:noProof w:val="0"/>
          <w:sz w:val="28"/>
          <w:szCs w:val="28"/>
          <w:lang w:val="en-US"/>
        </w:rPr>
      </w:pPr>
      <w:r w:rsidRPr="3C83BA83" w:rsidR="694450FD">
        <w:rPr>
          <w:rFonts w:ascii="Times New Roman" w:hAnsi="Times New Roman" w:eastAsia="Times New Roman" w:cs="Times New Roman"/>
          <w:b w:val="1"/>
          <w:bCs w:val="1"/>
          <w:noProof w:val="0"/>
          <w:sz w:val="28"/>
          <w:szCs w:val="28"/>
          <w:lang w:val="en-US"/>
        </w:rPr>
        <w:t>Clarifying Legal Compliance and Eligibility Criteria:</w:t>
      </w:r>
    </w:p>
    <w:p w:rsidR="694450FD" w:rsidP="3C83BA83" w:rsidRDefault="694450FD" w14:paraId="00BF39E2" w14:textId="3D3A24B7">
      <w:pPr>
        <w:spacing w:before="240" w:beforeAutospacing="off" w:after="240" w:afterAutospacing="off"/>
      </w:pPr>
      <w:r w:rsidRPr="3C83BA83" w:rsidR="694450FD">
        <w:rPr>
          <w:rFonts w:ascii="Times New Roman" w:hAnsi="Times New Roman" w:eastAsia="Times New Roman" w:cs="Times New Roman"/>
          <w:noProof w:val="0"/>
          <w:sz w:val="24"/>
          <w:szCs w:val="24"/>
          <w:lang w:val="en-US"/>
        </w:rPr>
        <w:t>POhWER operates within legislative frameworks such as the Care Act (2014) and the Mental Capacity Act (2005), but changes in legislation can create uncertainty in service provision. The shift from Deprivation of Liberty Safeguards (DoLS) to Liberty Protection Safeguards (LPS) is an example of a policy transition that may affect eligibility for advocacy services (Law Commission, 2017). To address these challenges, research recommends continuous legal training for advocates, ensuring they remain updated on evolving laws and policies (McDonald, 2019). Collaborating with legal experts to establish clear eligibility guidelines can further improve the efficiency and consistency of service delivery (Parker, 2014). Additionally, developing accessible legal resources for clients can empower them to understand their rights and available support options (Turner &amp; Beresford, 2005).</w:t>
      </w:r>
    </w:p>
    <w:p w:rsidR="694450FD" w:rsidP="3C83BA83" w:rsidRDefault="694450FD" w14:paraId="29BEA177" w14:textId="1BE769AB">
      <w:pPr>
        <w:pStyle w:val="Normal"/>
        <w:rPr>
          <w:rFonts w:ascii="Times New Roman" w:hAnsi="Times New Roman" w:eastAsia="Times New Roman" w:cs="Times New Roman"/>
          <w:b w:val="1"/>
          <w:bCs w:val="1"/>
          <w:noProof w:val="0"/>
          <w:sz w:val="28"/>
          <w:szCs w:val="28"/>
          <w:lang w:val="en-US"/>
        </w:rPr>
      </w:pPr>
      <w:r w:rsidRPr="3C83BA83" w:rsidR="694450FD">
        <w:rPr>
          <w:rFonts w:ascii="Times New Roman" w:hAnsi="Times New Roman" w:eastAsia="Times New Roman" w:cs="Times New Roman"/>
          <w:b w:val="1"/>
          <w:bCs w:val="1"/>
          <w:noProof w:val="0"/>
          <w:sz w:val="28"/>
          <w:szCs w:val="28"/>
          <w:lang w:val="en-US"/>
        </w:rPr>
        <w:t>Expanding Access to Advocacy services:</w:t>
      </w:r>
    </w:p>
    <w:p w:rsidR="694450FD" w:rsidP="3C83BA83" w:rsidRDefault="694450FD" w14:paraId="3597C042" w14:textId="5D344CE1">
      <w:pPr>
        <w:spacing w:before="240" w:beforeAutospacing="off" w:after="240" w:afterAutospacing="off"/>
      </w:pPr>
      <w:r w:rsidRPr="3C83BA83" w:rsidR="694450FD">
        <w:rPr>
          <w:rFonts w:ascii="Times New Roman" w:hAnsi="Times New Roman" w:eastAsia="Times New Roman" w:cs="Times New Roman"/>
          <w:noProof w:val="0"/>
          <w:sz w:val="24"/>
          <w:szCs w:val="24"/>
          <w:lang w:val="en-US"/>
        </w:rPr>
        <w:t>Limited resources and long waiting times can restrict access to advocacy services, particularly for marginalized communities. Studies suggest that integrating digital advocacy platforms, such as video consultations and online case management, can improve accessibility and reduce service delays (Greenhalgh, Wherton, &amp; Shaw, 2015). Outreach efforts targeting underrepresented groups can also help bridge gaps in service provision (Mitchell, 2021). Securing additional funding through charitable organizations and public-private partnerships can further enhance service availability, ensuring that more individuals receive timely support (Gray &amp; Armstrong, 2017).</w:t>
      </w:r>
    </w:p>
    <w:p w:rsidR="3C83BA83" w:rsidP="3C83BA83" w:rsidRDefault="3C83BA83" w14:paraId="434D664E" w14:textId="1FA932FC">
      <w:pPr>
        <w:pStyle w:val="Normal"/>
        <w:rPr>
          <w:noProof w:val="0"/>
          <w:lang w:val="en-US"/>
        </w:rPr>
      </w:pPr>
    </w:p>
    <w:p w:rsidR="694450FD" w:rsidP="3C83BA83" w:rsidRDefault="694450FD" w14:paraId="23B75203" w14:textId="0FA3652D">
      <w:pPr>
        <w:pStyle w:val="Normal"/>
        <w:rPr>
          <w:rFonts w:ascii="Times New Roman" w:hAnsi="Times New Roman" w:eastAsia="Times New Roman" w:cs="Times New Roman"/>
          <w:b w:val="1"/>
          <w:bCs w:val="1"/>
          <w:noProof w:val="0"/>
          <w:sz w:val="28"/>
          <w:szCs w:val="28"/>
          <w:lang w:val="en-US"/>
        </w:rPr>
      </w:pPr>
      <w:r w:rsidRPr="3C83BA83" w:rsidR="694450FD">
        <w:rPr>
          <w:rFonts w:ascii="Times New Roman" w:hAnsi="Times New Roman" w:eastAsia="Times New Roman" w:cs="Times New Roman"/>
          <w:b w:val="1"/>
          <w:bCs w:val="1"/>
          <w:noProof w:val="0"/>
          <w:sz w:val="28"/>
          <w:szCs w:val="28"/>
          <w:lang w:val="en-US"/>
        </w:rPr>
        <w:t>Strengthening Systemic Advocacy and Policy Influence:</w:t>
      </w:r>
    </w:p>
    <w:p w:rsidR="694450FD" w:rsidP="3C83BA83" w:rsidRDefault="694450FD" w14:paraId="5E9F2CA4" w14:textId="717BFFED">
      <w:pPr>
        <w:spacing w:before="240" w:beforeAutospacing="off" w:after="240" w:afterAutospacing="off"/>
      </w:pPr>
      <w:r w:rsidRPr="3C83BA83" w:rsidR="694450FD">
        <w:rPr>
          <w:rFonts w:ascii="Times New Roman" w:hAnsi="Times New Roman" w:eastAsia="Times New Roman" w:cs="Times New Roman"/>
          <w:noProof w:val="0"/>
          <w:sz w:val="24"/>
          <w:szCs w:val="24"/>
          <w:lang w:val="en-US"/>
        </w:rPr>
        <w:t>While individual advocacy remains a core function, research indicates that advocacy organizations can enhance their impact by engaging in broader policy discussions and systemic change initiatives (Ferlie &amp; Shortell, 2001). Establishing a policy research division within advocacy organizations can help gather data on recurring issues faced by service users, providing evidence to support policy reform (McCarthy, 2013). Collaborating with academic institutions and think tanks can also contribute to research that influences public policy (Henderson &amp; Pochin, 2001). Additionally, participating in government consultations and legislative discussions ensures that advocacy organizations can effectively represent the interests of vulnerable populations (Oliver &amp; Matthews, 2014).</w:t>
      </w:r>
    </w:p>
    <w:p w:rsidR="694450FD" w:rsidP="3C83BA83" w:rsidRDefault="694450FD" w14:paraId="6983C4A9" w14:textId="4C0B78A3">
      <w:pPr>
        <w:pStyle w:val="Normal"/>
        <w:rPr>
          <w:rFonts w:ascii="Times New Roman" w:hAnsi="Times New Roman" w:eastAsia="Times New Roman" w:cs="Times New Roman"/>
          <w:b w:val="1"/>
          <w:bCs w:val="1"/>
          <w:noProof w:val="0"/>
          <w:sz w:val="32"/>
          <w:szCs w:val="32"/>
          <w:lang w:val="en-US"/>
        </w:rPr>
      </w:pPr>
      <w:r w:rsidRPr="3C83BA83" w:rsidR="694450FD">
        <w:rPr>
          <w:rFonts w:ascii="Times New Roman" w:hAnsi="Times New Roman" w:eastAsia="Times New Roman" w:cs="Times New Roman"/>
          <w:b w:val="1"/>
          <w:bCs w:val="1"/>
          <w:noProof w:val="0"/>
          <w:sz w:val="28"/>
          <w:szCs w:val="28"/>
          <w:lang w:val="en-US"/>
        </w:rPr>
        <w:t>Enhancing Communication with Clients:</w:t>
      </w:r>
    </w:p>
    <w:p w:rsidR="694450FD" w:rsidP="3C83BA83" w:rsidRDefault="694450FD" w14:paraId="5410C7D3" w14:textId="28110BB7">
      <w:pPr>
        <w:spacing w:before="240" w:beforeAutospacing="off" w:after="240" w:afterAutospacing="off"/>
      </w:pPr>
      <w:r w:rsidRPr="3C83BA83" w:rsidR="694450FD">
        <w:rPr>
          <w:rFonts w:ascii="Times New Roman" w:hAnsi="Times New Roman" w:eastAsia="Times New Roman" w:cs="Times New Roman"/>
          <w:noProof w:val="0"/>
          <w:sz w:val="24"/>
          <w:szCs w:val="24"/>
          <w:lang w:val="en-US"/>
        </w:rPr>
        <w:t>Many clients struggle to understand complex legal processes, which can hinder their ability to access advocacy support. Research suggests that using clear, jargon-free language in written and verbal communication can significantly improve client comprehension (Turner &amp; Beresford, 2005). Providing multiple communication methods, such as visual guides and translation services, can further enhance accessibility for individuals with disabilities or language barriers (Oliver &amp; Matthews, 2014). Training advocates in effective communication techniques, including trauma-informed approaches, can also strengthen client relationships and ensure better advocacy outcomes (McDonald, 2019).</w:t>
      </w:r>
    </w:p>
    <w:p w:rsidR="694450FD" w:rsidP="3C83BA83" w:rsidRDefault="694450FD" w14:paraId="0087379E" w14:textId="626FE731">
      <w:pPr>
        <w:pStyle w:val="Normal"/>
        <w:rPr>
          <w:rFonts w:ascii="Times New Roman" w:hAnsi="Times New Roman" w:eastAsia="Times New Roman" w:cs="Times New Roman"/>
          <w:b w:val="1"/>
          <w:bCs w:val="1"/>
          <w:noProof w:val="0"/>
          <w:sz w:val="28"/>
          <w:szCs w:val="28"/>
          <w:lang w:val="en-US"/>
        </w:rPr>
      </w:pPr>
      <w:r w:rsidRPr="3C83BA83" w:rsidR="694450FD">
        <w:rPr>
          <w:rFonts w:ascii="Times New Roman" w:hAnsi="Times New Roman" w:eastAsia="Times New Roman" w:cs="Times New Roman"/>
          <w:b w:val="1"/>
          <w:bCs w:val="1"/>
          <w:noProof w:val="0"/>
          <w:sz w:val="28"/>
          <w:szCs w:val="28"/>
          <w:lang w:val="en-US"/>
        </w:rPr>
        <w:t>Implementing a Robust Monitoring and Evaluation system:</w:t>
      </w:r>
    </w:p>
    <w:p w:rsidR="694450FD" w:rsidP="3C83BA83" w:rsidRDefault="694450FD" w14:paraId="013F8B21" w14:textId="15972394">
      <w:pPr>
        <w:spacing w:before="240" w:beforeAutospacing="off" w:after="240" w:afterAutospacing="off"/>
      </w:pPr>
      <w:r w:rsidRPr="3C83BA83" w:rsidR="694450FD">
        <w:rPr>
          <w:rFonts w:ascii="Times New Roman" w:hAnsi="Times New Roman" w:eastAsia="Times New Roman" w:cs="Times New Roman"/>
          <w:noProof w:val="0"/>
          <w:sz w:val="24"/>
          <w:szCs w:val="24"/>
          <w:lang w:val="en-US"/>
        </w:rPr>
        <w:t xml:space="preserve">Maintaining high professional standards requires continuous evaluation and improvement. Studies highlight that regular client feedback mechanisms, such as satisfaction surveys and focus groups, can </w:t>
      </w:r>
      <w:r w:rsidRPr="3C83BA83" w:rsidR="694450FD">
        <w:rPr>
          <w:rFonts w:ascii="Times New Roman" w:hAnsi="Times New Roman" w:eastAsia="Times New Roman" w:cs="Times New Roman"/>
          <w:noProof w:val="0"/>
          <w:sz w:val="24"/>
          <w:szCs w:val="24"/>
          <w:lang w:val="en-US"/>
        </w:rPr>
        <w:t>provide</w:t>
      </w:r>
      <w:r w:rsidRPr="3C83BA83" w:rsidR="694450FD">
        <w:rPr>
          <w:rFonts w:ascii="Times New Roman" w:hAnsi="Times New Roman" w:eastAsia="Times New Roman" w:cs="Times New Roman"/>
          <w:noProof w:val="0"/>
          <w:sz w:val="24"/>
          <w:szCs w:val="24"/>
          <w:lang w:val="en-US"/>
        </w:rPr>
        <w:t xml:space="preserve"> valuable insights into service effectiveness (Hughes &amp; Mullen, 2016). Conducting independent reviews of advocacy services ensures compliance with best practices and </w:t>
      </w:r>
      <w:r w:rsidRPr="3C83BA83" w:rsidR="694450FD">
        <w:rPr>
          <w:rFonts w:ascii="Times New Roman" w:hAnsi="Times New Roman" w:eastAsia="Times New Roman" w:cs="Times New Roman"/>
          <w:noProof w:val="0"/>
          <w:sz w:val="24"/>
          <w:szCs w:val="24"/>
          <w:lang w:val="en-US"/>
        </w:rPr>
        <w:t>identifies</w:t>
      </w:r>
      <w:r w:rsidRPr="3C83BA83" w:rsidR="694450FD">
        <w:rPr>
          <w:rFonts w:ascii="Times New Roman" w:hAnsi="Times New Roman" w:eastAsia="Times New Roman" w:cs="Times New Roman"/>
          <w:noProof w:val="0"/>
          <w:sz w:val="24"/>
          <w:szCs w:val="24"/>
          <w:lang w:val="en-US"/>
        </w:rPr>
        <w:t xml:space="preserve"> areas for enhancement (McDonald, 2019). Additionally, setting clear performance indicators can help measure the impact of advocacy interventions and inform future service improvements (Mitchell, 2021).</w:t>
      </w:r>
    </w:p>
    <w:p w:rsidR="3C83BA83" w:rsidP="3C83BA83" w:rsidRDefault="3C83BA83" w14:paraId="4325B233" w14:textId="6F131D54">
      <w:pPr>
        <w:pStyle w:val="Normal"/>
        <w:spacing w:before="240" w:beforeAutospacing="off" w:after="240" w:afterAutospacing="off"/>
        <w:rPr>
          <w:rFonts w:ascii="Times New Roman" w:hAnsi="Times New Roman" w:eastAsia="Times New Roman" w:cs="Times New Roman"/>
          <w:noProof w:val="0"/>
          <w:sz w:val="24"/>
          <w:szCs w:val="24"/>
          <w:lang w:val="en-US"/>
        </w:rPr>
      </w:pPr>
    </w:p>
    <w:p w:rsidR="694450FD" w:rsidP="3C83BA83" w:rsidRDefault="694450FD" w14:paraId="67DF7C76" w14:textId="3023CB6D">
      <w:pPr>
        <w:spacing w:before="240" w:beforeAutospacing="off" w:after="240" w:afterAutospacing="off"/>
        <w:rPr>
          <w:rFonts w:ascii="Times New Roman" w:hAnsi="Times New Roman" w:eastAsia="Times New Roman" w:cs="Times New Roman"/>
          <w:noProof w:val="0"/>
          <w:sz w:val="24"/>
          <w:szCs w:val="24"/>
          <w:lang w:val="en-US"/>
        </w:rPr>
      </w:pPr>
      <w:r w:rsidRPr="3C83BA83" w:rsidR="694450FD">
        <w:rPr>
          <w:rFonts w:ascii="Times New Roman" w:hAnsi="Times New Roman" w:eastAsia="Times New Roman" w:cs="Times New Roman"/>
          <w:noProof w:val="0"/>
          <w:sz w:val="24"/>
          <w:szCs w:val="24"/>
          <w:lang w:val="en-US"/>
        </w:rPr>
        <w:t xml:space="preserve">Therefore, </w:t>
      </w:r>
      <w:r w:rsidRPr="3C83BA83" w:rsidR="44C492CC">
        <w:rPr>
          <w:rFonts w:ascii="Times New Roman" w:hAnsi="Times New Roman" w:eastAsia="Times New Roman" w:cs="Times New Roman"/>
          <w:noProof w:val="0"/>
          <w:sz w:val="24"/>
          <w:szCs w:val="24"/>
          <w:lang w:val="en-US"/>
        </w:rPr>
        <w:t>to strengthen its professional standards and code of practice</w:t>
      </w:r>
      <w:r w:rsidRPr="3C83BA83" w:rsidR="15F091DB">
        <w:rPr>
          <w:rFonts w:ascii="Times New Roman" w:hAnsi="Times New Roman" w:eastAsia="Times New Roman" w:cs="Times New Roman"/>
          <w:noProof w:val="0"/>
          <w:sz w:val="24"/>
          <w:szCs w:val="24"/>
          <w:lang w:val="en-US"/>
        </w:rPr>
        <w:t xml:space="preserve"> it follows</w:t>
      </w:r>
      <w:r w:rsidRPr="3C83BA83" w:rsidR="44C492CC">
        <w:rPr>
          <w:rFonts w:ascii="Times New Roman" w:hAnsi="Times New Roman" w:eastAsia="Times New Roman" w:cs="Times New Roman"/>
          <w:noProof w:val="0"/>
          <w:sz w:val="24"/>
          <w:szCs w:val="24"/>
          <w:lang w:val="en-US"/>
        </w:rPr>
        <w:t xml:space="preserve">, </w:t>
      </w:r>
      <w:r w:rsidRPr="3C83BA83" w:rsidR="44C492CC">
        <w:rPr>
          <w:rFonts w:ascii="Times New Roman" w:hAnsi="Times New Roman" w:eastAsia="Times New Roman" w:cs="Times New Roman"/>
          <w:noProof w:val="0"/>
          <w:sz w:val="24"/>
          <w:szCs w:val="24"/>
          <w:lang w:val="en-US"/>
        </w:rPr>
        <w:t>POhWER</w:t>
      </w:r>
      <w:r w:rsidRPr="3C83BA83" w:rsidR="44C492CC">
        <w:rPr>
          <w:rFonts w:ascii="Times New Roman" w:hAnsi="Times New Roman" w:eastAsia="Times New Roman" w:cs="Times New Roman"/>
          <w:noProof w:val="0"/>
          <w:sz w:val="24"/>
          <w:szCs w:val="24"/>
          <w:lang w:val="en-US"/>
        </w:rPr>
        <w:t xml:space="preserve"> should focus on diversifying funding sources, balancing confidentiality with safeguarding responsibilities, standardizing advocate training, ensuring legal clarity, improving service accessibility, engaging in policy advocacy, enhancing communication with clients, and </w:t>
      </w:r>
      <w:r w:rsidRPr="3C83BA83" w:rsidR="44C492CC">
        <w:rPr>
          <w:rFonts w:ascii="Times New Roman" w:hAnsi="Times New Roman" w:eastAsia="Times New Roman" w:cs="Times New Roman"/>
          <w:noProof w:val="0"/>
          <w:sz w:val="24"/>
          <w:szCs w:val="24"/>
          <w:lang w:val="en-US"/>
        </w:rPr>
        <w:t>establishing</w:t>
      </w:r>
      <w:r w:rsidRPr="3C83BA83" w:rsidR="44C492CC">
        <w:rPr>
          <w:rFonts w:ascii="Times New Roman" w:hAnsi="Times New Roman" w:eastAsia="Times New Roman" w:cs="Times New Roman"/>
          <w:noProof w:val="0"/>
          <w:sz w:val="24"/>
          <w:szCs w:val="24"/>
          <w:lang w:val="en-US"/>
        </w:rPr>
        <w:t xml:space="preserve"> effective monitoring systems. While the organization follows key advocacy principles, there are areas that require improvement to ensure its services </w:t>
      </w:r>
      <w:r w:rsidRPr="3C83BA83" w:rsidR="44C492CC">
        <w:rPr>
          <w:rFonts w:ascii="Times New Roman" w:hAnsi="Times New Roman" w:eastAsia="Times New Roman" w:cs="Times New Roman"/>
          <w:noProof w:val="0"/>
          <w:sz w:val="24"/>
          <w:szCs w:val="24"/>
          <w:lang w:val="en-US"/>
        </w:rPr>
        <w:t>remain</w:t>
      </w:r>
      <w:r w:rsidRPr="3C83BA83" w:rsidR="44C492CC">
        <w:rPr>
          <w:rFonts w:ascii="Times New Roman" w:hAnsi="Times New Roman" w:eastAsia="Times New Roman" w:cs="Times New Roman"/>
          <w:noProof w:val="0"/>
          <w:sz w:val="24"/>
          <w:szCs w:val="24"/>
          <w:lang w:val="en-US"/>
        </w:rPr>
        <w:t xml:space="preserve"> effective and fair. Some of the main challenges include reliance on local authority funding, difficulties in managing confidentiality alongside safeguarding duties, inconsistencies in advocate training, unclear legal guidelines, and unequal access to services. Addressing these issues requires </w:t>
      </w:r>
      <w:r w:rsidRPr="3C83BA83" w:rsidR="44C492CC">
        <w:rPr>
          <w:rFonts w:ascii="Times New Roman" w:hAnsi="Times New Roman" w:eastAsia="Times New Roman" w:cs="Times New Roman"/>
          <w:noProof w:val="0"/>
          <w:sz w:val="24"/>
          <w:szCs w:val="24"/>
          <w:lang w:val="en-US"/>
        </w:rPr>
        <w:t>POhWER</w:t>
      </w:r>
      <w:r w:rsidRPr="3C83BA83" w:rsidR="44C492CC">
        <w:rPr>
          <w:rFonts w:ascii="Times New Roman" w:hAnsi="Times New Roman" w:eastAsia="Times New Roman" w:cs="Times New Roman"/>
          <w:noProof w:val="0"/>
          <w:sz w:val="24"/>
          <w:szCs w:val="24"/>
          <w:lang w:val="en-US"/>
        </w:rPr>
        <w:t xml:space="preserve"> to seek </w:t>
      </w:r>
      <w:r w:rsidRPr="3C83BA83" w:rsidR="44C492CC">
        <w:rPr>
          <w:rFonts w:ascii="Times New Roman" w:hAnsi="Times New Roman" w:eastAsia="Times New Roman" w:cs="Times New Roman"/>
          <w:noProof w:val="0"/>
          <w:sz w:val="24"/>
          <w:szCs w:val="24"/>
          <w:lang w:val="en-US"/>
        </w:rPr>
        <w:t>additional</w:t>
      </w:r>
      <w:r w:rsidRPr="3C83BA83" w:rsidR="44C492CC">
        <w:rPr>
          <w:rFonts w:ascii="Times New Roman" w:hAnsi="Times New Roman" w:eastAsia="Times New Roman" w:cs="Times New Roman"/>
          <w:noProof w:val="0"/>
          <w:sz w:val="24"/>
          <w:szCs w:val="24"/>
          <w:lang w:val="en-US"/>
        </w:rPr>
        <w:t xml:space="preserve"> funding sources, implement consistent and high-quality training, clarify legal requirements, improve accessibility, strengthen its role in policy advocacy, and develop more effective monitoring mechanisms. By making these improvements, </w:t>
      </w:r>
      <w:r w:rsidRPr="3C83BA83" w:rsidR="44C492CC">
        <w:rPr>
          <w:rFonts w:ascii="Times New Roman" w:hAnsi="Times New Roman" w:eastAsia="Times New Roman" w:cs="Times New Roman"/>
          <w:noProof w:val="0"/>
          <w:sz w:val="24"/>
          <w:szCs w:val="24"/>
          <w:lang w:val="en-US"/>
        </w:rPr>
        <w:t>POhWER</w:t>
      </w:r>
      <w:r w:rsidRPr="3C83BA83" w:rsidR="44C492CC">
        <w:rPr>
          <w:rFonts w:ascii="Times New Roman" w:hAnsi="Times New Roman" w:eastAsia="Times New Roman" w:cs="Times New Roman"/>
          <w:noProof w:val="0"/>
          <w:sz w:val="24"/>
          <w:szCs w:val="24"/>
          <w:lang w:val="en-US"/>
        </w:rPr>
        <w:t xml:space="preserve"> can enhance its independence, accountability, and ability to provide strong advocacy support, ensuring that individuals receive fair, high-quality services that protect their rights and needs.</w:t>
      </w:r>
    </w:p>
    <w:p w:rsidR="3C83BA83" w:rsidP="3C83BA83" w:rsidRDefault="3C83BA83" w14:paraId="0791EE1E" w14:textId="7870F679">
      <w:pPr>
        <w:spacing w:before="240" w:beforeAutospacing="off" w:after="240" w:afterAutospacing="off"/>
        <w:rPr>
          <w:rFonts w:ascii="Times New Roman" w:hAnsi="Times New Roman" w:eastAsia="Times New Roman" w:cs="Times New Roman"/>
          <w:noProof w:val="0"/>
          <w:sz w:val="24"/>
          <w:szCs w:val="24"/>
          <w:lang w:val="en-US"/>
        </w:rPr>
      </w:pPr>
    </w:p>
    <w:p w:rsidR="3C83BA83" w:rsidP="3C83BA83" w:rsidRDefault="3C83BA83" w14:paraId="2A6342BC" w14:textId="64AE0B49">
      <w:pPr>
        <w:pStyle w:val="Normal"/>
        <w:spacing w:before="240" w:beforeAutospacing="off" w:after="240" w:afterAutospacing="off"/>
        <w:rPr>
          <w:rFonts w:ascii="Times New Roman" w:hAnsi="Times New Roman" w:eastAsia="Times New Roman" w:cs="Times New Roman"/>
          <w:b w:val="1"/>
          <w:bCs w:val="1"/>
          <w:i w:val="1"/>
          <w:iCs w:val="1"/>
          <w:noProof w:val="0"/>
          <w:sz w:val="24"/>
          <w:szCs w:val="24"/>
          <w:lang w:val="en-US"/>
        </w:rPr>
      </w:pPr>
    </w:p>
    <w:p w:rsidR="188AD2EA" w:rsidP="3C83BA83" w:rsidRDefault="188AD2EA" w14:paraId="78B58A42" w14:textId="04AE9354">
      <w:pPr>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rPr>
      </w:pPr>
      <w:r w:rsidRPr="3C83BA83" w:rsidR="188AD2EA">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rPr>
        <w:t>References:</w:t>
      </w:r>
    </w:p>
    <w:p w:rsidR="188AD2EA" w:rsidP="3C83BA83" w:rsidRDefault="188AD2EA" w14:paraId="6C888D62" w14:textId="40ECF6C2">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POhWER, 2025.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Who we are</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88AD2EA" w:rsidP="3C83BA83" w:rsidRDefault="188AD2EA" w14:paraId="17E550B6" w14:textId="65947917">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d739b9f35c6a418e">
        <w:r w:rsidRPr="3C83BA83" w:rsidR="188AD2E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https://www.pohwer.net/who-we-are?utm</w:t>
        </w:r>
      </w:hyperlink>
    </w:p>
    <w:p w:rsidR="188AD2EA" w:rsidP="3C83BA83" w:rsidRDefault="188AD2EA" w14:paraId="58BE3FA9" w14:textId="12DE28A4">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Enfield Council, 2025.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Provider details - MyLife Enfield</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188AD2EA" w:rsidP="3C83BA83" w:rsidRDefault="188AD2EA" w14:paraId="06A56D63" w14:textId="1C6C57C5">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789a99d657d443bb">
        <w:r w:rsidRPr="3C83BA83" w:rsidR="188AD2E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https://mylife.enfield.gov.uk/directory/providerdetails/215969?utm</w:t>
        </w:r>
      </w:hyperlink>
    </w:p>
    <w:p w:rsidR="188AD2EA" w:rsidP="3C83BA83" w:rsidRDefault="188AD2EA" w14:paraId="14B98BA0" w14:textId="7C1692F2">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Bath and North East Somerset Council, 2025.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Find help to make important decisions</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188AD2EA" w:rsidP="3C83BA83" w:rsidRDefault="188AD2EA" w14:paraId="42494F4D" w14:textId="19C6ABE4">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68faf64755e943cc">
        <w:r w:rsidRPr="3C83BA83" w:rsidR="188AD2E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https://livewell.bathnes.gov.uk/supporting-adults-live-independent-lives/find-help-make-important-de</w:t>
        </w:r>
      </w:hyperlink>
    </w:p>
    <w:p w:rsidR="188AD2EA" w:rsidP="3C83BA83" w:rsidRDefault="188AD2EA" w14:paraId="3C3DCEA8" w14:textId="2AFAF7F9">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Intertek, 2025. QPM - Performance Testing. </w:t>
      </w:r>
    </w:p>
    <w:p w:rsidR="188AD2EA" w:rsidP="3C83BA83" w:rsidRDefault="188AD2EA" w14:paraId="0E5D3DA6" w14:textId="0B8F1781">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5340931815ad4b36">
        <w:r w:rsidRPr="3C83BA83" w:rsidR="188AD2E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https://www.intertek.com/performance-testing/qpm/</w:t>
        </w:r>
      </w:hyperlink>
    </w:p>
    <w:p w:rsidR="188AD2EA" w:rsidP="3C83BA83" w:rsidRDefault="188AD2EA" w14:paraId="64B9372E" w14:textId="0AD4755D">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McCoy, M. S., Carniol, M., Chockley, K., Urwin, J. W., Emanuel, E. J., &amp; Schmidt, H. (2017). Conflicts of interest for patient-advocacy organizations.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JAMA Internal Medicine, 177</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344-350. </w:t>
      </w:r>
      <w:hyperlink r:id="R3b880adddbb8453c">
        <w:r w:rsidRPr="3C83BA83" w:rsidR="188AD2E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https://jamanetwork.com/journals/jamainternalmedicine/fullarticle/2598094</w:t>
        </w:r>
      </w:hyperlink>
    </w:p>
    <w:p w:rsidR="188AD2EA" w:rsidP="3C83BA83" w:rsidRDefault="188AD2EA" w14:paraId="61562A9E" w14:textId="75BE0CC4">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Quality Advocacy. (n.d.). Introducing the Advocacy Quality Performance Mark (QPM). </w:t>
      </w:r>
    </w:p>
    <w:p w:rsidR="188AD2EA" w:rsidP="3C83BA83" w:rsidRDefault="188AD2EA" w14:paraId="28E7F948" w14:textId="51FE7252">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e73420f13bf941bf">
        <w:r w:rsidRPr="3C83BA83" w:rsidR="188AD2E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https://qualityadvocacy.org.uk/home/introducing-the-advocacy-quality-performance-mark</w:t>
        </w:r>
      </w:hyperlink>
    </w:p>
    <w:p w:rsidR="188AD2EA" w:rsidP="3C83BA83" w:rsidRDefault="188AD2EA" w14:paraId="5DA7F203" w14:textId="557B92F2">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City &amp; Guilds. (n.d.). Independent Advocacy. </w:t>
      </w:r>
      <w:hyperlink w:anchor="fil=uk" r:id="R9613725a00d44fd2">
        <w:r w:rsidRPr="3C83BA83" w:rsidR="188AD2E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https://www.cityandguilds.com/qualifications-and-apprenticeships/health-and-social-care#fil=uk</w:t>
        </w:r>
      </w:hyperlink>
    </w:p>
    <w:p w:rsidR="188AD2EA" w:rsidP="3C83BA83" w:rsidRDefault="188AD2EA" w14:paraId="5CB832B5" w14:textId="03BA0C11">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Ombudsman, (n.d.). Access to NHS Complaints Advocacy.  </w:t>
      </w:r>
    </w:p>
    <w:p w:rsidR="188AD2EA" w:rsidP="3C83BA83" w:rsidRDefault="188AD2EA" w14:paraId="6BF03143" w14:textId="328C61CA">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3674714b0b47423e">
        <w:r w:rsidRPr="3C83BA83" w:rsidR="188AD2E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https://www.ombudsman.org.uk/our-work/statutory-advocacy</w:t>
        </w:r>
      </w:hyperlink>
    </w:p>
    <w:p w:rsidR="188AD2EA" w:rsidP="3C83BA83" w:rsidRDefault="188AD2EA" w14:paraId="3FF85952" w14:textId="65596421">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Bach, M. &amp; Kerzner, L. (2010).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 New Paradigm for Protecting Autonomy and the Right to Legal Capacity</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Law Commission of Ontario. Available at: </w:t>
      </w:r>
    </w:p>
    <w:p w:rsidR="188AD2EA" w:rsidP="3C83BA83" w:rsidRDefault="188AD2EA" w14:paraId="75A98C51" w14:textId="0EA842A9">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81ec0b71ba224b6d">
        <w:r w:rsidRPr="3C83BA83" w:rsidR="188AD2EA">
          <w:rPr>
            <w:rStyle w:val="Hyperlink"/>
            <w:rFonts w:ascii="Times New Roman" w:hAnsi="Times New Roman" w:eastAsia="Times New Roman" w:cs="Times New Roman"/>
            <w:b w:val="0"/>
            <w:bCs w:val="0"/>
            <w:i w:val="0"/>
            <w:iCs w:val="0"/>
            <w:caps w:val="0"/>
            <w:smallCaps w:val="0"/>
            <w:noProof w:val="0"/>
            <w:sz w:val="24"/>
            <w:szCs w:val="24"/>
            <w:lang w:val="en-US"/>
          </w:rPr>
          <w:t>https://www.lco-cdo.org/wp-content/uploads/2010/11/disabilities-commissioned-paper-bach-kerzner.pdf</w:t>
        </w:r>
      </w:hyperlink>
    </w:p>
    <w:p w:rsidR="188AD2EA" w:rsidP="3C83BA83" w:rsidRDefault="188AD2EA" w14:paraId="6041869C" w14:textId="2C6395F6">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Banks, S. &amp; Gallagher, A. (2009).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Ethics in Professional Life: Virtues for Health and Social Care</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Palgrave Macmillan. Bloomsbury Collections.</w:t>
      </w:r>
    </w:p>
    <w:p w:rsidR="188AD2EA" w:rsidP="3C83BA83" w:rsidRDefault="188AD2EA" w14:paraId="6F2CA872" w14:textId="73BDC86D">
      <w:pPr>
        <w:spacing w:before="240" w:beforeAutospacing="off" w:after="24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c49009e5bae24e88">
        <w:r w:rsidRPr="3C83BA83" w:rsidR="188AD2EA">
          <w:rPr>
            <w:rStyle w:val="Hyperlink"/>
            <w:rFonts w:ascii="Times New Roman" w:hAnsi="Times New Roman" w:eastAsia="Times New Roman" w:cs="Times New Roman"/>
            <w:b w:val="0"/>
            <w:bCs w:val="0"/>
            <w:i w:val="0"/>
            <w:iCs w:val="0"/>
            <w:caps w:val="0"/>
            <w:smallCaps w:val="0"/>
            <w:noProof w:val="0"/>
            <w:sz w:val="24"/>
            <w:szCs w:val="24"/>
            <w:lang w:val="en-US"/>
          </w:rPr>
          <w:t>https://www.bloomsburycollections.com/monograph?docid=b-9781350482302</w:t>
        </w:r>
      </w:hyperlink>
    </w:p>
    <w:p w:rsidR="188AD2EA" w:rsidP="3C83BA83" w:rsidRDefault="188AD2EA" w14:paraId="083DCE62" w14:textId="75C36CEB">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Gibson, S., et al. (2011). 'Advocacy in Social Work: Roles and Challenges',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British Journal of Social Work</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41(5), pp. 893–910. Ebrary.net</w:t>
      </w:r>
    </w:p>
    <w:p w:rsidR="188AD2EA" w:rsidP="3C83BA83" w:rsidRDefault="188AD2EA" w14:paraId="290EDBD9" w14:textId="7B9E3E36">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w:anchor="google_vignette" r:id="Rae976665d6bf4405">
        <w:r w:rsidRPr="3C83BA83" w:rsidR="188AD2E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https://ebrary.net/162471/sociology/advocacy_context_social_work#google_vignette</w:t>
        </w:r>
      </w:hyperlink>
    </w:p>
    <w:p w:rsidR="188AD2EA" w:rsidP="3C83BA83" w:rsidRDefault="188AD2EA" w14:paraId="4B6BDE91" w14:textId="4AF847E4">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Social Care Institute for Excellence (SCIE) (2019). 'Safeguarding Adults: Sharing Information'. Available at: </w:t>
      </w:r>
    </w:p>
    <w:p w:rsidR="188AD2EA" w:rsidP="3C83BA83" w:rsidRDefault="188AD2EA" w14:paraId="79957A09" w14:textId="1222240B">
      <w:pPr>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467886"/>
          <w:sz w:val="24"/>
          <w:szCs w:val="24"/>
          <w:lang w:val="en-US"/>
        </w:rPr>
      </w:pPr>
      <w:hyperlink r:id="R8e28a92c98b5416b">
        <w:r w:rsidRPr="3C83BA83" w:rsidR="188AD2E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https://www.scie.org.uk/mca/dols/at-a-glance/</w:t>
        </w:r>
      </w:hyperlink>
    </w:p>
    <w:p w:rsidR="188AD2EA" w:rsidP="3C83BA83" w:rsidRDefault="188AD2EA" w14:paraId="2387948E" w14:textId="06C73A0A">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Barrett, G., et al. (2014). 'Balancing Confidentiality and Safety: Ethical Issues in Information Sharing in Health and Social Care',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Medical Ethics</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40(3), pp. 308–312.</w:t>
      </w:r>
    </w:p>
    <w:p w:rsidR="188AD2EA" w:rsidP="3C83BA83" w:rsidRDefault="188AD2EA" w14:paraId="5231B7B1" w14:textId="05BB85E8">
      <w:pPr>
        <w:spacing w:before="0" w:beforeAutospacing="off" w:after="0" w:afterAutospacing="off" w:line="279" w:lineRule="auto"/>
        <w:ind w:left="720" w:right="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54153f00c13043c4">
        <w:r w:rsidRPr="3C83BA83" w:rsidR="188AD2E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https://jme.bmj.com/content/29/1/36</w:t>
        </w:r>
      </w:hyperlink>
    </w:p>
    <w:p w:rsidR="188AD2EA" w:rsidP="3C83BA83" w:rsidRDefault="188AD2EA" w14:paraId="31D3F30E" w14:textId="5FB02579">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Tingle, J. (2018). 'Confidentiality and the Duty to Disclose Information',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British Journal of Nursing</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27(15), pp. 888–889.</w:t>
      </w:r>
    </w:p>
    <w:p w:rsidR="188AD2EA" w:rsidP="3C83BA83" w:rsidRDefault="188AD2EA" w14:paraId="72AF42A5" w14:textId="56C95D7A">
      <w:pPr>
        <w:spacing w:before="0" w:beforeAutospacing="off" w:after="0" w:afterAutospacing="off" w:line="279" w:lineRule="auto"/>
        <w:ind w:left="720" w:right="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5fb6b2938e41436f">
        <w:r w:rsidRPr="3C83BA83" w:rsidR="188AD2E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https://www.britishjournalofnursing.com/content/regulars/a-matter-of-confidentiality</w:t>
        </w:r>
      </w:hyperlink>
    </w:p>
    <w:p w:rsidR="188AD2EA" w:rsidP="3C83BA83" w:rsidRDefault="188AD2EA" w14:paraId="45EF9233" w14:textId="6F496B10">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Williams, V. (2018). 'Training for Non-Instructed Advocacy: Challenges and Opportunities',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Intellectual Disabilities</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22(2), pp. 135–150.</w:t>
      </w:r>
    </w:p>
    <w:p w:rsidR="188AD2EA" w:rsidP="3C83BA83" w:rsidRDefault="188AD2EA" w14:paraId="2F306FCD" w14:textId="7B3566E2">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Kelly, B. (2016). 'Professional Development and Accreditation in Advocacy: A National Perspective',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Advocacy in Action</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12(1), pp. 22–30.</w:t>
      </w:r>
    </w:p>
    <w:p w:rsidR="188AD2EA" w:rsidP="3C83BA83" w:rsidRDefault="188AD2EA" w14:paraId="7926D909" w14:textId="7B6FA36E">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Oliver, M. &amp; Matthews, H. (2014). 'Establishing Standards in Advocacy: The Case for National Accreditation',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Social Welfare and Family Law</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36(2), pp. 168–182.</w:t>
      </w:r>
    </w:p>
    <w:p w:rsidR="188AD2EA" w:rsidP="3C83BA83" w:rsidRDefault="188AD2EA" w14:paraId="1E342274" w14:textId="6759EAC0">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Law Commission (2017).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Mental Capacity and Deprivation of Liberty</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p>
    <w:p w:rsidR="188AD2EA" w:rsidP="3C83BA83" w:rsidRDefault="188AD2EA" w14:paraId="670994FB" w14:textId="15EE21F2">
      <w:pPr>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467886"/>
          <w:sz w:val="24"/>
          <w:szCs w:val="24"/>
          <w:lang w:val="en-US"/>
        </w:rPr>
      </w:pPr>
      <w:hyperlink r:id="R513f90c8a7b240bd">
        <w:r w:rsidRPr="3C83BA83" w:rsidR="188AD2E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https://www.lco-cdo.org/wp-content/uploads/2010/11/disabilities-commissioned-paper-bach-kerzner.pdf</w:t>
        </w:r>
      </w:hyperlink>
    </w:p>
    <w:p w:rsidR="188AD2EA" w:rsidP="3C83BA83" w:rsidRDefault="188AD2EA" w14:paraId="1BB6CC1F" w14:textId="65A34776">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Parker, M. (2014). 'Applying the Mental Capacity Act: Challenges for Advocates',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Health and Social Care in the Community</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22(4), pp. 394–402.</w:t>
      </w:r>
    </w:p>
    <w:p w:rsidR="3C83BA83" w:rsidP="3C83BA83" w:rsidRDefault="3C83BA83" w14:paraId="37EB18C6" w14:textId="323FAA61">
      <w:pPr>
        <w:spacing w:before="240" w:beforeAutospacing="off" w:after="24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88AD2EA" w:rsidP="3C83BA83" w:rsidRDefault="188AD2EA" w14:paraId="45EC555F" w14:textId="13459068">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McDonald, A. (2019). 'The Transition from DoLS to LPS: Implications for Practice',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Adult Protection</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21(1), pp. 16–25.</w:t>
      </w:r>
    </w:p>
    <w:p w:rsidR="188AD2EA" w:rsidP="3C83BA83" w:rsidRDefault="188AD2EA" w14:paraId="57D34DA9" w14:textId="10D2D99D">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Mitchell, A. (2021). 'Resource Constraints in Advocacy Services: Impact on Access and Quality',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Social Policy and Society</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20(3), pp. 456–467.</w:t>
      </w:r>
    </w:p>
    <w:p w:rsidR="188AD2EA" w:rsidP="3C83BA83" w:rsidRDefault="188AD2EA" w14:paraId="4DB158B1" w14:textId="2C41D443">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Gray, B. &amp; Armstrong, A. (2017). 'Geographical Disparities in Advocacy Provision: A Study of Service Availability and Demand',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British Journal of Social Work</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47(5), pp. 1425–1441.</w:t>
      </w:r>
    </w:p>
    <w:p w:rsidR="188AD2EA" w:rsidP="3C83BA83" w:rsidRDefault="188AD2EA" w14:paraId="129B2DA0" w14:textId="6E50D37C">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Ferlie, E. &amp; Shortell, S. M. (2001). 'Improving the Quality of Health Care in the United Kingdom and the United States: A Framework for Change',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Milbank Quarterly</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79(2), pp. 281–315.</w:t>
      </w:r>
    </w:p>
    <w:p w:rsidR="188AD2EA" w:rsidP="3C83BA83" w:rsidRDefault="188AD2EA" w14:paraId="12C43297" w14:textId="36CA9C8A">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Greenhalgh, T., et al. (2015). 'Diffusion of Innovations in Service Organizations: Systematic Review and Recommendations',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Milbank Quarterly</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82(4), pp. 581–629.</w:t>
      </w:r>
    </w:p>
    <w:p w:rsidR="188AD2EA" w:rsidP="3C83BA83" w:rsidRDefault="188AD2EA" w14:paraId="18778639" w14:textId="7565878C">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McCarthy, D. (2013). 'Advocacy and Policy Change: Broadening the Impact of Individual Casework',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Nonprofit Policy Forum</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4(2), pp. 201–220.</w:t>
      </w:r>
    </w:p>
    <w:p w:rsidR="188AD2EA" w:rsidP="3C83BA83" w:rsidRDefault="188AD2EA" w14:paraId="2F9D5794" w14:textId="3CA574DE">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Tinkler, J. &amp; Van Zwanenberg, T. (2012). 'Advocacy in Health Policy: The Role of Non-Governmental Organizations',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Health Policy and Planning</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27(3), pp. 194–203.</w:t>
      </w:r>
    </w:p>
    <w:p w:rsidR="188AD2EA" w:rsidP="3C83BA83" w:rsidRDefault="188AD2EA" w14:paraId="283F405F" w14:textId="2080B3C6">
      <w:pPr>
        <w:pStyle w:val="ListParagraph"/>
        <w:numPr>
          <w:ilvl w:val="0"/>
          <w:numId w:val="2"/>
        </w:numPr>
        <w:spacing w:before="240" w:beforeAutospacing="off" w:after="240" w:afterAutospacing="off"/>
        <w:rPr>
          <w:rFonts w:ascii="Aptos" w:hAnsi="Aptos" w:eastAsia="Aptos" w:cs="Aptos"/>
          <w:b w:val="0"/>
          <w:bCs w:val="0"/>
          <w:i w:val="0"/>
          <w:iCs w:val="0"/>
          <w:caps w:val="0"/>
          <w:smallCaps w:val="0"/>
          <w:noProof w:val="0"/>
          <w:color w:val="467886"/>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National Development Team for Inclusion (NDTi) (n.d.)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Different types of advocacy and people</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28ec6c8bd7434af3">
        <w:r w:rsidRPr="3C83BA83" w:rsidR="188AD2E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https://www.ndti.org.uk/assets/files/Different-types-of-advocacy-and-people.pd</w:t>
        </w:r>
        <w:r w:rsidRPr="3C83BA83" w:rsidR="188AD2EA">
          <w:rPr>
            <w:rStyle w:val="Hyperlink"/>
            <w:rFonts w:ascii="Aptos" w:hAnsi="Aptos" w:eastAsia="Aptos" w:cs="Aptos"/>
            <w:b w:val="0"/>
            <w:bCs w:val="0"/>
            <w:i w:val="0"/>
            <w:iCs w:val="0"/>
            <w:caps w:val="0"/>
            <w:smallCaps w:val="0"/>
            <w:strike w:val="0"/>
            <w:dstrike w:val="0"/>
            <w:noProof w:val="0"/>
            <w:sz w:val="24"/>
            <w:szCs w:val="24"/>
            <w:lang w:val="en-US"/>
          </w:rPr>
          <w:t>f</w:t>
        </w:r>
      </w:hyperlink>
    </w:p>
    <w:p w:rsidR="188AD2EA" w:rsidP="3C83BA83" w:rsidRDefault="188AD2EA" w14:paraId="19A479EC" w14:textId="4D843290">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Mental Capacity Act (2005)</w:t>
      </w:r>
    </w:p>
    <w:p w:rsidR="188AD2EA" w:rsidP="3C83BA83" w:rsidRDefault="188AD2EA" w14:paraId="0857981E" w14:textId="19A90A17">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Care Act (2014)</w:t>
      </w:r>
    </w:p>
    <w:p w:rsidR="188AD2EA" w:rsidP="3C83BA83" w:rsidRDefault="188AD2EA" w14:paraId="4183FF3F" w14:textId="60601F5E">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Health and Social Care Act (2012)</w:t>
      </w:r>
    </w:p>
    <w:p w:rsidR="188AD2EA" w:rsidP="3C83BA83" w:rsidRDefault="188AD2EA" w14:paraId="3A067482" w14:textId="7602C3F4">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Bach, M., &amp; Kerzner, L. (2010).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Disability rights in the UK: Rhetoric or reality?</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Disability &amp; Society, 25(6), 679-692.</w:t>
      </w:r>
    </w:p>
    <w:p w:rsidR="188AD2EA" w:rsidP="3C83BA83" w:rsidRDefault="188AD2EA" w14:paraId="5D20F0B3" w14:textId="471D5DE5">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Barrett, B., McColl, M., &amp; Marier, D. (2014).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Confidentiality and safeguarding in advocacy: Ethical dilemmas in practice</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Journal of Social Work, 13(2), 127-140.</w:t>
      </w:r>
    </w:p>
    <w:p w:rsidR="188AD2EA" w:rsidP="3C83BA83" w:rsidRDefault="188AD2EA" w14:paraId="22F98A69" w14:textId="46BC2FAB">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Ferlie, E., &amp; Shortell, S. (2001).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Improving the quality of health care in the United Kingdom and the United States: A framework for change</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Journal of Public Administration Research and Theory, 11(1), 15-42.</w:t>
      </w:r>
    </w:p>
    <w:p w:rsidR="188AD2EA" w:rsidP="3C83BA83" w:rsidRDefault="188AD2EA" w14:paraId="352E057E" w14:textId="572807BC">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Gibson, S., Taylor, A., &amp; Hill, J. (2011).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challenges of independence in advocacy services: Balancing client rights with organizational constraints</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Journal of Social Policy, 40(2), 211-230.</w:t>
      </w:r>
    </w:p>
    <w:p w:rsidR="188AD2EA" w:rsidP="3C83BA83" w:rsidRDefault="188AD2EA" w14:paraId="0867DCEA" w14:textId="708E6FF1">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Gray, J., &amp; Armstrong, K. (2017).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Funding and neutrality in social advocacy: An ethical analysis</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Advocacy Studies Journal, 12(3), 88-102.</w:t>
      </w:r>
    </w:p>
    <w:p w:rsidR="188AD2EA" w:rsidP="3C83BA83" w:rsidRDefault="188AD2EA" w14:paraId="48C02C11" w14:textId="1A67C2AA">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Greenhalgh, T., Wherton, J., &amp; Shaw, S. (2015).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effectiveness of patient advocacy: A systematic review</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Journal of Health Services Research &amp; Policy, 20(3), 176-185.</w:t>
      </w:r>
    </w:p>
    <w:p w:rsidR="188AD2EA" w:rsidP="3C83BA83" w:rsidRDefault="188AD2EA" w14:paraId="27430BF0" w14:textId="6C7EBCD4">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Henderson, R., &amp; Pochin, M. (2001).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 Right Result? Advocacy, Justice, and Empowerment</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Policy Press.</w:t>
      </w:r>
    </w:p>
    <w:p w:rsidR="188AD2EA" w:rsidP="3C83BA83" w:rsidRDefault="188AD2EA" w14:paraId="0AAE7CB7" w14:textId="14092949">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Hughes, J., &amp; Mullen, C. (2016).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Evaluating the impact of advocacy services: A review of best practices</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Journal of Applied Social Research, 28(4), 312-328.</w:t>
      </w:r>
    </w:p>
    <w:p w:rsidR="188AD2EA" w:rsidP="3C83BA83" w:rsidRDefault="188AD2EA" w14:paraId="6F5B79C7" w14:textId="1DB73DDD">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Kelly, L. (2016).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Standardization in advocacy training: Moving towards a national accreditation system</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International Journal of Social Work, 62(2), 56-70.</w:t>
      </w:r>
    </w:p>
    <w:p w:rsidR="188AD2EA" w:rsidP="3C83BA83" w:rsidRDefault="188AD2EA" w14:paraId="72D90BE1" w14:textId="3D64A8EC">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Law Commission (2017).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Mental Capacity and Legal Reform: A Consultation Paper</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Law Commission Report, London.</w:t>
      </w:r>
    </w:p>
    <w:p w:rsidR="188AD2EA" w:rsidP="3C83BA83" w:rsidRDefault="188AD2EA" w14:paraId="303D7B86" w14:textId="421BD126">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McCarthy, L. (2013).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role of advocacy in influencing policy: The case of healthcare reform</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Health &amp; Social Care in the Community, 21(3), 275-284.</w:t>
      </w:r>
    </w:p>
    <w:p w:rsidR="188AD2EA" w:rsidP="3C83BA83" w:rsidRDefault="188AD2EA" w14:paraId="0EA52A5E" w14:textId="5D076372">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McDonald, M. (2019).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Legal complexities in advocacy services: Navigating the transition from DoLS to LPS</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Journal of Legal Studies, 28(1), 67-82.</w:t>
      </w:r>
    </w:p>
    <w:p w:rsidR="188AD2EA" w:rsidP="3C83BA83" w:rsidRDefault="188AD2EA" w14:paraId="2D77BCA4" w14:textId="538DDA77">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Mitchell, D. (2021).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Access to advocacy services in times of austerity: The impact of funding cuts on service delivery</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Journal of Policy Analysis, 35(4), 543-559.</w:t>
      </w:r>
    </w:p>
    <w:p w:rsidR="188AD2EA" w:rsidP="3C83BA83" w:rsidRDefault="188AD2EA" w14:paraId="64F1CCC5" w14:textId="6CA815CA">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Oliver, M., &amp; Matthews, A. (2014).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case for national advocacy accreditation: Ensuring consistency and quality in service delivery</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Journal of Social Services, 24(1), 38-49.</w:t>
      </w:r>
    </w:p>
    <w:p w:rsidR="188AD2EA" w:rsidP="3C83BA83" w:rsidRDefault="188AD2EA" w14:paraId="28340C7A" w14:textId="7B10BE71">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Parker, J. (2014).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Understanding eligibility criteria in advocacy services: Legal interpretations and challenges</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Journal of Public Law, 39(2), 215-232.</w:t>
      </w:r>
    </w:p>
    <w:p w:rsidR="188AD2EA" w:rsidP="3C83BA83" w:rsidRDefault="188AD2EA" w14:paraId="1FEA9048" w14:textId="00AFE30C">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Sanderson, H. (2010).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Person-centered reviews and advocacy: Improving quality through client feedback</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Social Work Journal, 15(1), 22-37.</w:t>
      </w:r>
    </w:p>
    <w:p w:rsidR="188AD2EA" w:rsidP="3C83BA83" w:rsidRDefault="188AD2EA" w14:paraId="0B00FE91" w14:textId="451EA69F">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SCIE (2019).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Confidentiality and safeguarding: Ethical issues in practice</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Social Care Institute for Excellence.</w:t>
      </w:r>
    </w:p>
    <w:p w:rsidR="188AD2EA" w:rsidP="3C83BA83" w:rsidRDefault="188AD2EA" w14:paraId="527A5A69" w14:textId="04485C30">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Tingle, J. (2018).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Ethical conflicts in advocacy: Balancing confidentiality with safeguarding obligations</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Nursing Ethics, 25(3), 312-324.</w:t>
      </w:r>
    </w:p>
    <w:p w:rsidR="188AD2EA" w:rsidP="3C83BA83" w:rsidRDefault="188AD2EA" w14:paraId="78F8DE75" w14:textId="38D268F1">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Turner, M., &amp; Beresford, P. (2005).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User involvement in advocacy services: Barriers and solutions</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Disability &amp; Society, 20(2), 109-119.</w:t>
      </w:r>
    </w:p>
    <w:p w:rsidR="188AD2EA" w:rsidP="3C83BA83" w:rsidRDefault="188AD2EA" w14:paraId="1F228BF1" w14:textId="517DA5BA">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Williams, D. (2018).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challenges of non-instructed advocacy in practice: The need for specialist skills</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International Journal of Advocacy, 19(2), 88-101.</w:t>
      </w:r>
    </w:p>
    <w:p w:rsidR="188AD2EA" w:rsidP="3C83BA83" w:rsidRDefault="188AD2EA" w14:paraId="5B4282D4" w14:textId="30BBC34E">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Bach, P., &amp; Kerzner, L. (2010).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 framework for supported decision-making: Theory and application</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Law Commission of Ontario.</w:t>
      </w:r>
    </w:p>
    <w:p w:rsidR="188AD2EA" w:rsidP="3C83BA83" w:rsidRDefault="188AD2EA" w14:paraId="65D8F003" w14:textId="46E8B74F">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Banks, S., &amp; Gallagher, A. (2009).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Ethics in professional life: Virtues for health and social care</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Palgrave Macmillan.</w:t>
      </w:r>
    </w:p>
    <w:p w:rsidR="188AD2EA" w:rsidP="3C83BA83" w:rsidRDefault="188AD2EA" w14:paraId="751A5A2B" w14:textId="6AFA6B05">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Ferlie, E., &amp; Shortell, S. M. (2001). Improving the quality of healthcare in the United Kingdom and the United States: A framework for change.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Milbank Quarterly, 79</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281-315.</w:t>
      </w:r>
    </w:p>
    <w:p w:rsidR="188AD2EA" w:rsidP="3C83BA83" w:rsidRDefault="188AD2EA" w14:paraId="579FEE07" w14:textId="5E3E8731">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Gibson, M., Taylor, R., &amp; Hill, J. (2011). The changing landscape of advocacy: Key challenges for policy and practice.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Social Policy, 40</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 455-474.</w:t>
      </w:r>
    </w:p>
    <w:p w:rsidR="188AD2EA" w:rsidP="3C83BA83" w:rsidRDefault="188AD2EA" w14:paraId="39D4FC9A" w14:textId="760FA3DF">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Greenhalgh, T., Wherton, J., &amp; Shaw, S. (2015). The role of technology in achieving person-centered care.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BMJ, 350</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h481.</w:t>
      </w:r>
    </w:p>
    <w:p w:rsidR="188AD2EA" w:rsidP="3C83BA83" w:rsidRDefault="188AD2EA" w14:paraId="750F1EC9" w14:textId="0A18F9C2">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Manthorpe, J., &amp; Martineau, S. (2017). Independent advocacy and care proceedings: An under-researched issue in social work.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British Journal of Social Work, 47</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 689-705.</w:t>
      </w:r>
    </w:p>
    <w:p w:rsidR="188AD2EA" w:rsidP="3C83BA83" w:rsidRDefault="188AD2EA" w14:paraId="4111AECE" w14:textId="7D1CB35B">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Mitchell, G. (2021). Advocacy and access: Addressing disparities in healthcare decision-making.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Health and Social Care, 9</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 201-216.</w:t>
      </w:r>
    </w:p>
    <w:p w:rsidR="188AD2EA" w:rsidP="3C83BA83" w:rsidRDefault="188AD2EA" w14:paraId="6D04B11D" w14:textId="5FFD9D54">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Oliver, D., &amp; Matthews, B. (2014). Ethical dilemmas in advocacy: Maintaining independence and accountability.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Social Policy and Society, 13</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 37-49.</w:t>
      </w:r>
    </w:p>
    <w:p w:rsidR="188AD2EA" w:rsidP="3C83BA83" w:rsidRDefault="188AD2EA" w14:paraId="436EEFAA" w14:textId="60557136">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Tinkler, J., &amp; Van Zwanenberg, Z. (2012). Policy engagement in third-sector advocacy: Lessons from UK health and social care.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Policy &amp; Politics, 40</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247-264.</w:t>
      </w:r>
    </w:p>
    <w:p w:rsidR="188AD2EA" w:rsidP="3C83BA83" w:rsidRDefault="188AD2EA" w14:paraId="343820F1" w14:textId="2DEB2DB0">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Boyle, D. (2020).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Tyranny of Bureaucracy in Social Care</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Policy Press.</w:t>
      </w:r>
    </w:p>
    <w:p w:rsidR="188AD2EA" w:rsidP="3C83BA83" w:rsidRDefault="188AD2EA" w14:paraId="0DE4C2DD" w14:textId="5415BDEE">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Dalrymple, J., &amp; Boylan, J. (2020).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Effective Advocacy in Social Work</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Open University Press.</w:t>
      </w:r>
    </w:p>
    <w:p w:rsidR="188AD2EA" w:rsidP="3C83BA83" w:rsidRDefault="188AD2EA" w14:paraId="341C68F6" w14:textId="7A49EF67">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Manthorpe, J., &amp; Martineau, S. (2017). "Advocacy in Social Care: Challenges and Opportunities."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British Journal of Social Work, 47</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 1405–1421.</w:t>
      </w:r>
    </w:p>
    <w:p w:rsidR="188AD2EA" w:rsidP="3C83BA83" w:rsidRDefault="188AD2EA" w14:paraId="3FCC1142" w14:textId="49C82D3F">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(2016). </w:t>
      </w:r>
      <w:r w:rsidRPr="3C83BA83" w:rsidR="188AD2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Part 10 Code of Practice (Advocacy) under the Social Services and Well-being (Wales) Act 2014</w:t>
      </w:r>
      <w:r w:rsidRPr="3C83BA83" w:rsidR="188AD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3C83BA83" w:rsidP="3C83BA83" w:rsidRDefault="3C83BA83" w14:paraId="31F588AF" w14:textId="45EDAC0C">
      <w:pPr>
        <w:pStyle w:val="Normal"/>
        <w:spacing w:before="240" w:beforeAutospacing="off" w:after="240" w:afterAutospacing="off"/>
        <w:rPr>
          <w:rFonts w:ascii="Times New Roman" w:hAnsi="Times New Roman" w:eastAsia="Times New Roman" w:cs="Times New Roman"/>
          <w:noProof w:val="0"/>
          <w:sz w:val="24"/>
          <w:szCs w:val="24"/>
          <w:lang w:val="en-US"/>
        </w:rPr>
      </w:pPr>
    </w:p>
    <w:p w:rsidR="3C83BA83" w:rsidP="3C83BA83" w:rsidRDefault="3C83BA83" w14:paraId="5C20EB6C" w14:textId="0002C810">
      <w:pPr>
        <w:pStyle w:val="Normal"/>
        <w:spacing w:before="240" w:beforeAutospacing="off" w:after="240" w:afterAutospacing="off"/>
        <w:rPr>
          <w:rFonts w:ascii="Times New Roman" w:hAnsi="Times New Roman" w:eastAsia="Times New Roman" w:cs="Times New Roman"/>
          <w:noProof w:val="0"/>
          <w:sz w:val="24"/>
          <w:szCs w:val="24"/>
          <w:lang w:val="en-US"/>
        </w:rPr>
      </w:pPr>
    </w:p>
    <w:p w:rsidR="3C83BA83" w:rsidP="3C83BA83" w:rsidRDefault="3C83BA83" w14:paraId="1E483FD9" w14:textId="1CA52C53">
      <w:pPr>
        <w:spacing w:before="240" w:beforeAutospacing="off" w:after="240" w:afterAutospacing="off"/>
        <w:rPr>
          <w:rFonts w:ascii="Times New Roman" w:hAnsi="Times New Roman" w:eastAsia="Times New Roman" w:cs="Times New Roman"/>
          <w:noProof w:val="0"/>
          <w:sz w:val="24"/>
          <w:szCs w:val="24"/>
          <w:lang w:val="en-US"/>
        </w:rPr>
      </w:pPr>
    </w:p>
    <w:p w:rsidR="3C83BA83" w:rsidP="3C83BA83" w:rsidRDefault="3C83BA83" w14:paraId="60A5A3C1" w14:textId="1F3FD927">
      <w:pPr>
        <w:spacing w:before="240" w:beforeAutospacing="off" w:after="240" w:afterAutospacing="off"/>
        <w:rPr>
          <w:rFonts w:ascii="Times New Roman" w:hAnsi="Times New Roman" w:eastAsia="Times New Roman" w:cs="Times New Roman"/>
          <w:b w:val="0"/>
          <w:bCs w:val="0"/>
          <w:i w:val="0"/>
          <w:iCs w:val="0"/>
          <w:noProof w:val="0"/>
          <w:color w:val="FF0000"/>
          <w:sz w:val="24"/>
          <w:szCs w:val="24"/>
          <w:lang w:val="en-US"/>
        </w:rPr>
      </w:pPr>
    </w:p>
    <w:p w:rsidR="3C83BA83" w:rsidP="3C83BA83" w:rsidRDefault="3C83BA83" w14:paraId="1B6E1DD7" w14:textId="2FA60DD7">
      <w:pPr>
        <w:pStyle w:val="Normal"/>
        <w:rPr>
          <w:rFonts w:ascii="Times New Roman" w:hAnsi="Times New Roman" w:eastAsia="Times New Roman" w:cs="Times New Roman"/>
          <w:noProof w:val="0"/>
          <w:sz w:val="24"/>
          <w:szCs w:val="24"/>
          <w:lang w:val="en-US"/>
        </w:rPr>
      </w:pPr>
    </w:p>
    <w:p w:rsidR="3C83BA83" w:rsidP="3C83BA83" w:rsidRDefault="3C83BA83" w14:paraId="030B137D" w14:textId="6E546478">
      <w:pPr>
        <w:pStyle w:val="Normal"/>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headerReference w:type="default" r:id="R5fffb118af6f4abe"/>
      <w:footerReference w:type="default" r:id="R2d372999dee6409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C83BA83" w:rsidTr="3C83BA83" w14:paraId="2735F108">
      <w:trPr>
        <w:trHeight w:val="300"/>
      </w:trPr>
      <w:tc>
        <w:tcPr>
          <w:tcW w:w="3120" w:type="dxa"/>
          <w:tcMar/>
        </w:tcPr>
        <w:p w:rsidR="3C83BA83" w:rsidP="3C83BA83" w:rsidRDefault="3C83BA83" w14:paraId="6A529B87" w14:textId="1ECE57A8">
          <w:pPr>
            <w:pStyle w:val="Header"/>
            <w:bidi w:val="0"/>
            <w:ind w:left="-115"/>
            <w:jc w:val="left"/>
          </w:pPr>
        </w:p>
      </w:tc>
      <w:tc>
        <w:tcPr>
          <w:tcW w:w="3120" w:type="dxa"/>
          <w:tcMar/>
        </w:tcPr>
        <w:p w:rsidR="3C83BA83" w:rsidP="3C83BA83" w:rsidRDefault="3C83BA83" w14:paraId="38F99AA1" w14:textId="67303353">
          <w:pPr>
            <w:pStyle w:val="Header"/>
            <w:bidi w:val="0"/>
            <w:jc w:val="center"/>
          </w:pPr>
        </w:p>
      </w:tc>
      <w:tc>
        <w:tcPr>
          <w:tcW w:w="3120" w:type="dxa"/>
          <w:tcMar/>
        </w:tcPr>
        <w:p w:rsidR="3C83BA83" w:rsidP="3C83BA83" w:rsidRDefault="3C83BA83" w14:paraId="6781F79A" w14:textId="71457AB6">
          <w:pPr>
            <w:pStyle w:val="Header"/>
            <w:bidi w:val="0"/>
            <w:ind w:right="-115"/>
            <w:jc w:val="right"/>
          </w:pPr>
        </w:p>
      </w:tc>
    </w:tr>
  </w:tbl>
  <w:p w:rsidR="3C83BA83" w:rsidP="3C83BA83" w:rsidRDefault="3C83BA83" w14:paraId="6F826C1D" w14:textId="7C71F10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735"/>
      <w:gridCol w:w="2505"/>
    </w:tblGrid>
    <w:tr w:rsidR="3C83BA83" w:rsidTr="3C83BA83" w14:paraId="4125C28F">
      <w:trPr>
        <w:trHeight w:val="1440"/>
      </w:trPr>
      <w:tc>
        <w:tcPr>
          <w:tcW w:w="3120" w:type="dxa"/>
          <w:tcMar/>
        </w:tcPr>
        <w:p w:rsidR="3C83BA83" w:rsidP="3C83BA83" w:rsidRDefault="3C83BA83" w14:paraId="21267EE5" w14:textId="0C4DEFD9">
          <w:pPr>
            <w:pStyle w:val="Header"/>
            <w:bidi w:val="0"/>
            <w:ind w:left="-115"/>
            <w:jc w:val="left"/>
            <w:rPr>
              <w:rFonts w:ascii="Times New Roman" w:hAnsi="Times New Roman" w:eastAsia="Times New Roman" w:cs="Times New Roman"/>
            </w:rPr>
          </w:pPr>
        </w:p>
      </w:tc>
      <w:tc>
        <w:tcPr>
          <w:tcW w:w="3735" w:type="dxa"/>
          <w:tcMar/>
        </w:tcPr>
        <w:p w:rsidR="3C83BA83" w:rsidP="3C83BA83" w:rsidRDefault="3C83BA83" w14:paraId="4FDC62E2" w14:textId="64DB0BBE">
          <w:pPr>
            <w:pStyle w:val="Header"/>
            <w:bidi w:val="0"/>
            <w:jc w:val="center"/>
            <w:rPr>
              <w:rFonts w:ascii="Times New Roman" w:hAnsi="Times New Roman" w:eastAsia="Times New Roman" w:cs="Times New Roman"/>
            </w:rPr>
          </w:pPr>
          <w:r w:rsidRPr="3C83BA83" w:rsidR="3C83BA83">
            <w:rPr>
              <w:rFonts w:ascii="Times New Roman" w:hAnsi="Times New Roman" w:eastAsia="Times New Roman" w:cs="Times New Roman"/>
            </w:rPr>
            <w:t>Usha Nandhini Krishna Raj</w:t>
          </w:r>
        </w:p>
        <w:p w:rsidR="3C83BA83" w:rsidP="3C83BA83" w:rsidRDefault="3C83BA83" w14:paraId="638D4018" w14:textId="5727344B">
          <w:pPr>
            <w:pStyle w:val="Header"/>
            <w:bidi w:val="0"/>
            <w:jc w:val="center"/>
            <w:rPr>
              <w:rFonts w:ascii="Times New Roman" w:hAnsi="Times New Roman" w:eastAsia="Times New Roman" w:cs="Times New Roman"/>
            </w:rPr>
          </w:pPr>
          <w:r w:rsidRPr="3C83BA83" w:rsidR="3C83BA83">
            <w:rPr>
              <w:rFonts w:ascii="Times New Roman" w:hAnsi="Times New Roman" w:eastAsia="Times New Roman" w:cs="Times New Roman"/>
            </w:rPr>
            <w:t>Student no: 2022598</w:t>
          </w:r>
        </w:p>
        <w:p w:rsidR="3C83BA83" w:rsidP="3C83BA83" w:rsidRDefault="3C83BA83" w14:paraId="5DC7F28D" w14:textId="7BE8F917">
          <w:pPr>
            <w:pStyle w:val="Header"/>
            <w:bidi w:val="0"/>
            <w:jc w:val="center"/>
            <w:rPr>
              <w:rFonts w:ascii="Times New Roman" w:hAnsi="Times New Roman" w:eastAsia="Times New Roman" w:cs="Times New Roman"/>
            </w:rPr>
          </w:pPr>
          <w:r w:rsidRPr="3C83BA83" w:rsidR="3C83BA83">
            <w:rPr>
              <w:rFonts w:ascii="Times New Roman" w:hAnsi="Times New Roman" w:eastAsia="Times New Roman" w:cs="Times New Roman"/>
            </w:rPr>
            <w:t xml:space="preserve">ECAY6007 - Assessment1 </w:t>
          </w:r>
        </w:p>
        <w:p w:rsidR="3C83BA83" w:rsidP="3C83BA83" w:rsidRDefault="3C83BA83" w14:paraId="3901BB88" w14:textId="08E3760E">
          <w:pPr>
            <w:pStyle w:val="Header"/>
            <w:bidi w:val="0"/>
            <w:jc w:val="center"/>
            <w:rPr>
              <w:rFonts w:ascii="Times New Roman" w:hAnsi="Times New Roman" w:eastAsia="Times New Roman" w:cs="Times New Roman"/>
            </w:rPr>
          </w:pPr>
          <w:r w:rsidRPr="3C83BA83" w:rsidR="3C83BA83">
            <w:rPr>
              <w:rFonts w:ascii="Times New Roman" w:hAnsi="Times New Roman" w:eastAsia="Times New Roman" w:cs="Times New Roman"/>
            </w:rPr>
            <w:t>Date of Submission – 13/02/2025</w:t>
          </w:r>
        </w:p>
      </w:tc>
      <w:tc>
        <w:tcPr>
          <w:tcW w:w="2505" w:type="dxa"/>
          <w:tcMar/>
        </w:tcPr>
        <w:p w:rsidR="3C83BA83" w:rsidP="3C83BA83" w:rsidRDefault="3C83BA83" w14:paraId="7ED8AC98" w14:textId="7A84C526">
          <w:pPr>
            <w:pStyle w:val="Header"/>
            <w:bidi w:val="0"/>
            <w:ind w:right="-115"/>
            <w:jc w:val="right"/>
            <w:rPr>
              <w:rFonts w:ascii="Times New Roman" w:hAnsi="Times New Roman" w:eastAsia="Times New Roman" w:cs="Times New Roman"/>
            </w:rPr>
          </w:pPr>
          <w:r w:rsidRPr="3C83BA83">
            <w:rPr>
              <w:rFonts w:ascii="Times New Roman" w:hAnsi="Times New Roman" w:eastAsia="Times New Roman" w:cs="Times New Roman"/>
            </w:rPr>
            <w:fldChar w:fldCharType="begin"/>
          </w:r>
          <w:r>
            <w:instrText xml:space="preserve">PAGE</w:instrText>
          </w:r>
          <w:r>
            <w:fldChar w:fldCharType="separate"/>
          </w:r>
          <w:r w:rsidRPr="3C83BA83">
            <w:rPr>
              <w:rFonts w:ascii="Times New Roman" w:hAnsi="Times New Roman" w:eastAsia="Times New Roman" w:cs="Times New Roman"/>
            </w:rPr>
            <w:fldChar w:fldCharType="end"/>
          </w:r>
        </w:p>
      </w:tc>
    </w:tr>
  </w:tbl>
  <w:p w:rsidR="3C83BA83" w:rsidP="3C83BA83" w:rsidRDefault="3C83BA83" w14:paraId="2C9AB36E" w14:textId="2A22DF8C">
    <w:pPr>
      <w:pStyle w:val="Header"/>
      <w:bidi w:val="0"/>
      <w:rPr>
        <w:rFonts w:ascii="Times New Roman" w:hAnsi="Times New Roman" w:eastAsia="Times New Roman" w:cs="Times New Roman"/>
      </w:rPr>
    </w:pPr>
  </w:p>
</w:hdr>
</file>

<file path=word/numbering.xml><?xml version="1.0" encoding="utf-8"?>
<w:numbering xmlns:w="http://schemas.openxmlformats.org/wordprocessingml/2006/main">
  <w:abstractNum xmlns:w="http://schemas.openxmlformats.org/wordprocessingml/2006/main" w:abstractNumId="2">
    <w:nsid w:val="3cadd36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2126e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D542EF"/>
    <w:rsid w:val="00621542"/>
    <w:rsid w:val="01372FF8"/>
    <w:rsid w:val="02D5F744"/>
    <w:rsid w:val="02FC3938"/>
    <w:rsid w:val="033A97DB"/>
    <w:rsid w:val="03A184F0"/>
    <w:rsid w:val="040D0579"/>
    <w:rsid w:val="0452CEB4"/>
    <w:rsid w:val="053B21B3"/>
    <w:rsid w:val="0602D24D"/>
    <w:rsid w:val="0736A175"/>
    <w:rsid w:val="0882A876"/>
    <w:rsid w:val="08BC88FE"/>
    <w:rsid w:val="0A8EF520"/>
    <w:rsid w:val="0AD215AD"/>
    <w:rsid w:val="0C66C166"/>
    <w:rsid w:val="0C8FC5FC"/>
    <w:rsid w:val="0CA03669"/>
    <w:rsid w:val="0D1B0637"/>
    <w:rsid w:val="0EAFE03E"/>
    <w:rsid w:val="0F1C241A"/>
    <w:rsid w:val="0FF4B3BB"/>
    <w:rsid w:val="104B850E"/>
    <w:rsid w:val="12001894"/>
    <w:rsid w:val="1239BCD1"/>
    <w:rsid w:val="12F45548"/>
    <w:rsid w:val="15F091DB"/>
    <w:rsid w:val="16354AE5"/>
    <w:rsid w:val="166817F3"/>
    <w:rsid w:val="1714EABE"/>
    <w:rsid w:val="18514798"/>
    <w:rsid w:val="188AD2EA"/>
    <w:rsid w:val="188E05DC"/>
    <w:rsid w:val="194CAAF2"/>
    <w:rsid w:val="19A51189"/>
    <w:rsid w:val="1B2CC045"/>
    <w:rsid w:val="1B508886"/>
    <w:rsid w:val="1C0F4A4B"/>
    <w:rsid w:val="1C30C984"/>
    <w:rsid w:val="1D260744"/>
    <w:rsid w:val="1E49F8C2"/>
    <w:rsid w:val="208E76D1"/>
    <w:rsid w:val="214ED938"/>
    <w:rsid w:val="21E9CAB8"/>
    <w:rsid w:val="224E81E0"/>
    <w:rsid w:val="2262932C"/>
    <w:rsid w:val="2266533C"/>
    <w:rsid w:val="22E561C7"/>
    <w:rsid w:val="24CA95D4"/>
    <w:rsid w:val="258B438A"/>
    <w:rsid w:val="25BA025B"/>
    <w:rsid w:val="25C9FD29"/>
    <w:rsid w:val="25DB54D6"/>
    <w:rsid w:val="26B16B66"/>
    <w:rsid w:val="2749564B"/>
    <w:rsid w:val="285118B6"/>
    <w:rsid w:val="287F9D8A"/>
    <w:rsid w:val="2882CB72"/>
    <w:rsid w:val="2ABA9EF1"/>
    <w:rsid w:val="2B941CE1"/>
    <w:rsid w:val="2ED1C6D1"/>
    <w:rsid w:val="2ED542EF"/>
    <w:rsid w:val="2F5D8D02"/>
    <w:rsid w:val="32B70AF6"/>
    <w:rsid w:val="3356971B"/>
    <w:rsid w:val="3441E2F8"/>
    <w:rsid w:val="356F4197"/>
    <w:rsid w:val="357AD080"/>
    <w:rsid w:val="36663A3F"/>
    <w:rsid w:val="36668295"/>
    <w:rsid w:val="36D3C7E1"/>
    <w:rsid w:val="374CD548"/>
    <w:rsid w:val="38E82430"/>
    <w:rsid w:val="38EB3C6C"/>
    <w:rsid w:val="394ADBC3"/>
    <w:rsid w:val="3970A1D3"/>
    <w:rsid w:val="398607D2"/>
    <w:rsid w:val="399B9AAC"/>
    <w:rsid w:val="39B6ADA9"/>
    <w:rsid w:val="39CF73C1"/>
    <w:rsid w:val="3B3C845A"/>
    <w:rsid w:val="3C83BA83"/>
    <w:rsid w:val="3D5469DD"/>
    <w:rsid w:val="3D58A4B3"/>
    <w:rsid w:val="3EBF2396"/>
    <w:rsid w:val="3F29326A"/>
    <w:rsid w:val="418F5D7D"/>
    <w:rsid w:val="41EFB788"/>
    <w:rsid w:val="4234CB27"/>
    <w:rsid w:val="4253C008"/>
    <w:rsid w:val="441168E5"/>
    <w:rsid w:val="44821AC4"/>
    <w:rsid w:val="44C492CC"/>
    <w:rsid w:val="45C75B29"/>
    <w:rsid w:val="45C8087C"/>
    <w:rsid w:val="46CB49EB"/>
    <w:rsid w:val="48169EFF"/>
    <w:rsid w:val="483271BE"/>
    <w:rsid w:val="48C2EB8E"/>
    <w:rsid w:val="49D08225"/>
    <w:rsid w:val="4A14200A"/>
    <w:rsid w:val="4A6EAAF7"/>
    <w:rsid w:val="4B1F00BD"/>
    <w:rsid w:val="4B990406"/>
    <w:rsid w:val="4E18A16F"/>
    <w:rsid w:val="4E2F62E6"/>
    <w:rsid w:val="4EB3F2FB"/>
    <w:rsid w:val="4EC1900E"/>
    <w:rsid w:val="4ED351A9"/>
    <w:rsid w:val="50A28333"/>
    <w:rsid w:val="50CEC0C1"/>
    <w:rsid w:val="518F08B4"/>
    <w:rsid w:val="51A9933D"/>
    <w:rsid w:val="52591035"/>
    <w:rsid w:val="52EDCF6D"/>
    <w:rsid w:val="53128314"/>
    <w:rsid w:val="54FC3A54"/>
    <w:rsid w:val="5604F447"/>
    <w:rsid w:val="561CBD6C"/>
    <w:rsid w:val="572EAD00"/>
    <w:rsid w:val="58579ACB"/>
    <w:rsid w:val="586E56A0"/>
    <w:rsid w:val="59922C12"/>
    <w:rsid w:val="59EF58B5"/>
    <w:rsid w:val="5A967847"/>
    <w:rsid w:val="5CBBF2F8"/>
    <w:rsid w:val="5D92315F"/>
    <w:rsid w:val="5D9DE780"/>
    <w:rsid w:val="5DE49A97"/>
    <w:rsid w:val="5EECEC10"/>
    <w:rsid w:val="5FFB36FB"/>
    <w:rsid w:val="608505B0"/>
    <w:rsid w:val="627718FB"/>
    <w:rsid w:val="632F9882"/>
    <w:rsid w:val="64AAD302"/>
    <w:rsid w:val="64BD0261"/>
    <w:rsid w:val="666AD357"/>
    <w:rsid w:val="66C99DC7"/>
    <w:rsid w:val="67B4ACC3"/>
    <w:rsid w:val="687635B1"/>
    <w:rsid w:val="68E2EB17"/>
    <w:rsid w:val="691426B7"/>
    <w:rsid w:val="694450FD"/>
    <w:rsid w:val="6B64F19A"/>
    <w:rsid w:val="6D4B33E1"/>
    <w:rsid w:val="6EAF13AF"/>
    <w:rsid w:val="6FB27933"/>
    <w:rsid w:val="73482E93"/>
    <w:rsid w:val="73CF0151"/>
    <w:rsid w:val="740654EB"/>
    <w:rsid w:val="7522D957"/>
    <w:rsid w:val="75B3F0A4"/>
    <w:rsid w:val="76BDA785"/>
    <w:rsid w:val="76E00FD5"/>
    <w:rsid w:val="770C6D50"/>
    <w:rsid w:val="78263003"/>
    <w:rsid w:val="7837C81A"/>
    <w:rsid w:val="79108FBD"/>
    <w:rsid w:val="79C044DF"/>
    <w:rsid w:val="79D2DA4B"/>
    <w:rsid w:val="79EDECDC"/>
    <w:rsid w:val="7A4DA64C"/>
    <w:rsid w:val="7ACB382E"/>
    <w:rsid w:val="7CE252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542EF"/>
  <w15:chartTrackingRefBased/>
  <w15:docId w15:val="{AC4DB95B-F791-4A64-84D7-11ADB32BCC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C83BA83"/>
    <w:pPr>
      <w:spacing/>
      <w:ind w:left="720"/>
      <w:contextualSpacing/>
    </w:pPr>
  </w:style>
  <w:style w:type="character" w:styleId="Hyperlink">
    <w:uiPriority w:val="99"/>
    <w:name w:val="Hyperlink"/>
    <w:basedOn w:val="DefaultParagraphFont"/>
    <w:unhideWhenUsed/>
    <w:rsid w:val="3C83BA83"/>
    <w:rPr>
      <w:color w:val="467886"/>
      <w:u w:val="single"/>
    </w:rPr>
  </w:style>
  <w:style w:type="paragraph" w:styleId="Header">
    <w:uiPriority w:val="99"/>
    <w:name w:val="header"/>
    <w:basedOn w:val="Normal"/>
    <w:unhideWhenUsed/>
    <w:rsid w:val="3C83BA83"/>
    <w:pPr>
      <w:tabs>
        <w:tab w:val="center" w:leader="none" w:pos="4680"/>
        <w:tab w:val="right" w:leader="none" w:pos="9360"/>
      </w:tabs>
      <w:spacing w:after="0" w:line="240" w:lineRule="auto"/>
    </w:pPr>
  </w:style>
  <w:style w:type="paragraph" w:styleId="Footer">
    <w:uiPriority w:val="99"/>
    <w:name w:val="footer"/>
    <w:basedOn w:val="Normal"/>
    <w:unhideWhenUsed/>
    <w:rsid w:val="3C83BA8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pohwer.net/who-we-are?utm" TargetMode="External" Id="Rd739b9f35c6a418e" /><Relationship Type="http://schemas.openxmlformats.org/officeDocument/2006/relationships/hyperlink" Target="https://mylife.enfield.gov.uk/directory/providerdetails/215969?utm" TargetMode="External" Id="R789a99d657d443bb" /><Relationship Type="http://schemas.openxmlformats.org/officeDocument/2006/relationships/hyperlink" Target="https://livewell.bathnes.gov.uk/supporting-adults-live-independent-lives/find-help-make-important-de" TargetMode="External" Id="R68faf64755e943cc" /><Relationship Type="http://schemas.openxmlformats.org/officeDocument/2006/relationships/hyperlink" Target="https://www.intertek.com/performance-testing/qpm/" TargetMode="External" Id="R5340931815ad4b36" /><Relationship Type="http://schemas.openxmlformats.org/officeDocument/2006/relationships/hyperlink" Target="https://jamanetwork.com/journals/jamainternalmedicine/fullarticle/2598094" TargetMode="External" Id="R3b880adddbb8453c" /><Relationship Type="http://schemas.openxmlformats.org/officeDocument/2006/relationships/hyperlink" Target="https://qualityadvocacy.org.uk/home/introducing-the-advocacy-quality-performance-mark" TargetMode="External" Id="Re73420f13bf941bf" /><Relationship Type="http://schemas.openxmlformats.org/officeDocument/2006/relationships/hyperlink" Target="https://www.cityandguilds.com/qualifications-and-apprenticeships/health-and-social-care" TargetMode="External" Id="R9613725a00d44fd2" /><Relationship Type="http://schemas.openxmlformats.org/officeDocument/2006/relationships/hyperlink" Target="https://www.ombudsman.org.uk/our-work/statutory-advocacy" TargetMode="External" Id="R3674714b0b47423e" /><Relationship Type="http://schemas.openxmlformats.org/officeDocument/2006/relationships/hyperlink" Target="https://www.lco-cdo.org/wp-content/uploads/2010/11/disabilities-commissioned-paper-bach-kerzner.pdf" TargetMode="External" Id="R81ec0b71ba224b6d" /><Relationship Type="http://schemas.openxmlformats.org/officeDocument/2006/relationships/hyperlink" Target="https://www.bloomsburycollections.com/monograph?docid=b-9781350482302" TargetMode="External" Id="Rc49009e5bae24e88" /><Relationship Type="http://schemas.openxmlformats.org/officeDocument/2006/relationships/hyperlink" Target="https://ebrary.net/162471/sociology/advocacy_context_social_work" TargetMode="External" Id="Rae976665d6bf4405" /><Relationship Type="http://schemas.openxmlformats.org/officeDocument/2006/relationships/hyperlink" Target="https://www.scie.org.uk/mca/dols/at-a-glance/" TargetMode="External" Id="R8e28a92c98b5416b" /><Relationship Type="http://schemas.openxmlformats.org/officeDocument/2006/relationships/hyperlink" Target="https://jme.bmj.com/content/29/1/36" TargetMode="External" Id="R54153f00c13043c4" /><Relationship Type="http://schemas.openxmlformats.org/officeDocument/2006/relationships/hyperlink" Target="https://www.britishjournalofnursing.com/content/regulars/a-matter-of-confidentiality" TargetMode="External" Id="R5fb6b2938e41436f" /><Relationship Type="http://schemas.openxmlformats.org/officeDocument/2006/relationships/hyperlink" Target="https://www.lco-cdo.org/wp-content/uploads/2010/11/disabilities-commissioned-paper-bach-kerzner.pdf" TargetMode="External" Id="R513f90c8a7b240bd" /><Relationship Type="http://schemas.openxmlformats.org/officeDocument/2006/relationships/hyperlink" Target="https://www.ndti.org.uk/assets/files/Different-types-of-advocacy-and-people.pdf" TargetMode="External" Id="R28ec6c8bd7434af3" /><Relationship Type="http://schemas.openxmlformats.org/officeDocument/2006/relationships/header" Target="header.xml" Id="R5fffb118af6f4abe" /><Relationship Type="http://schemas.openxmlformats.org/officeDocument/2006/relationships/footer" Target="footer.xml" Id="R2d372999dee6409b" /><Relationship Type="http://schemas.openxmlformats.org/officeDocument/2006/relationships/numbering" Target="numbering.xml" Id="Rc2158e19e4b045e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2025-02-01T14:05:50.7147384Z</dcterms:created>
  <dcterms:modified xsi:type="dcterms:W3CDTF">2025-02-09T13:41:43.2240503Z</dcterms:modified>
  <dc:creator>Usha Krishna Raj (2022598)</dc:creator>
  <lastModifiedBy>Usha Krishna Raj (2022598)</lastModifiedBy>
</coreProperties>
</file>