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E9A7F" w14:textId="77777777" w:rsidR="00F735D4" w:rsidRPr="00A85BFE" w:rsidRDefault="00F735D4" w:rsidP="00F735D4">
      <w:pPr>
        <w:pStyle w:val="Header"/>
        <w:tabs>
          <w:tab w:val="clear" w:pos="4153"/>
          <w:tab w:val="clear" w:pos="8306"/>
        </w:tabs>
        <w:jc w:val="right"/>
        <w:rPr>
          <w:rFonts w:ascii="Arial" w:hAnsi="Arial" w:cs="Arial"/>
          <w:b/>
          <w:bCs/>
          <w:sz w:val="28"/>
          <w:szCs w:val="28"/>
        </w:rPr>
      </w:pPr>
      <w:bookmarkStart w:id="0" w:name="_Hlk530470670"/>
      <w:bookmarkStart w:id="1" w:name="_GoBack"/>
      <w:bookmarkEnd w:id="1"/>
      <w:r w:rsidRPr="00A406E5">
        <w:rPr>
          <w:rFonts w:ascii="Arial" w:hAnsi="Arial" w:cs="Arial"/>
          <w:noProof/>
        </w:rPr>
        <w:drawing>
          <wp:anchor distT="0" distB="0" distL="114300" distR="114300" simplePos="0" relativeHeight="251659264" behindDoc="0" locked="0" layoutInCell="1" allowOverlap="1" wp14:anchorId="40CFE415" wp14:editId="026DC68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489F4CB"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3D8ABA46" w14:textId="77777777" w:rsidTr="00303A63">
        <w:tc>
          <w:tcPr>
            <w:tcW w:w="9922" w:type="dxa"/>
            <w:shd w:val="clear" w:color="auto" w:fill="C0C0C0"/>
          </w:tcPr>
          <w:p w14:paraId="1B80F6DA"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0E18E84C"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1A6F301A" w14:textId="77777777" w:rsidTr="623C9303">
        <w:tc>
          <w:tcPr>
            <w:tcW w:w="2093" w:type="dxa"/>
            <w:shd w:val="clear" w:color="auto" w:fill="auto"/>
          </w:tcPr>
          <w:p w14:paraId="6C946F6B"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5834479" w14:textId="77777777" w:rsidR="00F735D4" w:rsidRPr="00A406E5" w:rsidRDefault="008E062E" w:rsidP="00303A63">
            <w:pPr>
              <w:spacing w:before="120" w:after="120"/>
              <w:jc w:val="both"/>
              <w:rPr>
                <w:rFonts w:ascii="Arial" w:hAnsi="Arial" w:cs="Arial"/>
                <w:b/>
                <w:sz w:val="22"/>
                <w:szCs w:val="22"/>
              </w:rPr>
            </w:pPr>
            <w:r>
              <w:rPr>
                <w:rFonts w:ascii="Arial" w:hAnsi="Arial" w:cs="Arial"/>
                <w:b/>
                <w:sz w:val="22"/>
                <w:szCs w:val="22"/>
              </w:rPr>
              <w:t>Nicola Jones</w:t>
            </w:r>
          </w:p>
        </w:tc>
        <w:tc>
          <w:tcPr>
            <w:tcW w:w="2268" w:type="dxa"/>
            <w:shd w:val="clear" w:color="auto" w:fill="D9D9D9" w:themeFill="background1" w:themeFillShade="D9"/>
          </w:tcPr>
          <w:p w14:paraId="67E69F4F"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157A933C" w14:textId="77777777" w:rsidR="00F735D4" w:rsidRPr="00A406E5" w:rsidRDefault="008E062E" w:rsidP="00303A63">
            <w:pPr>
              <w:spacing w:before="120" w:after="120"/>
              <w:jc w:val="both"/>
              <w:rPr>
                <w:rFonts w:ascii="Arial" w:hAnsi="Arial" w:cs="Arial"/>
                <w:b/>
                <w:sz w:val="22"/>
                <w:szCs w:val="22"/>
              </w:rPr>
            </w:pPr>
            <w:r>
              <w:rPr>
                <w:rFonts w:ascii="Arial" w:hAnsi="Arial" w:cs="Arial"/>
                <w:b/>
                <w:sz w:val="22"/>
                <w:szCs w:val="22"/>
              </w:rPr>
              <w:t>1804445</w:t>
            </w:r>
          </w:p>
        </w:tc>
      </w:tr>
      <w:tr w:rsidR="00F735D4" w:rsidRPr="00A406E5" w14:paraId="07CD0573" w14:textId="77777777" w:rsidTr="623C9303">
        <w:tc>
          <w:tcPr>
            <w:tcW w:w="2093" w:type="dxa"/>
            <w:shd w:val="clear" w:color="auto" w:fill="auto"/>
          </w:tcPr>
          <w:p w14:paraId="36951DF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1ABD312"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4C89F833" w14:textId="77777777" w:rsidTr="623C9303">
        <w:tc>
          <w:tcPr>
            <w:tcW w:w="2093" w:type="dxa"/>
            <w:shd w:val="clear" w:color="auto" w:fill="auto"/>
          </w:tcPr>
          <w:p w14:paraId="5F56D12F"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0A3F20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3EB8AA6F" w14:textId="77777777" w:rsidTr="623C9303">
        <w:tc>
          <w:tcPr>
            <w:tcW w:w="2093" w:type="dxa"/>
            <w:shd w:val="clear" w:color="auto" w:fill="auto"/>
          </w:tcPr>
          <w:p w14:paraId="640392B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81F8C2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6D50BE09"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D974180"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3B04B030" w14:textId="77777777" w:rsidTr="623C9303">
        <w:tc>
          <w:tcPr>
            <w:tcW w:w="2093" w:type="dxa"/>
            <w:shd w:val="clear" w:color="auto" w:fill="auto"/>
          </w:tcPr>
          <w:p w14:paraId="4D6F437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407CB9B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0BEEBC17"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0B280D1" w14:textId="77777777" w:rsidR="00F735D4" w:rsidRPr="00A406E5" w:rsidRDefault="00F735D4" w:rsidP="00303A63">
            <w:pPr>
              <w:spacing w:before="120" w:after="120"/>
              <w:jc w:val="both"/>
              <w:rPr>
                <w:rFonts w:ascii="Arial" w:hAnsi="Arial" w:cs="Arial"/>
                <w:b/>
                <w:sz w:val="22"/>
                <w:szCs w:val="22"/>
              </w:rPr>
            </w:pPr>
          </w:p>
        </w:tc>
      </w:tr>
      <w:tr w:rsidR="00F735D4" w:rsidRPr="00A406E5" w14:paraId="05735794" w14:textId="77777777" w:rsidTr="623C9303">
        <w:tc>
          <w:tcPr>
            <w:tcW w:w="2093" w:type="dxa"/>
            <w:shd w:val="clear" w:color="auto" w:fill="auto"/>
          </w:tcPr>
          <w:p w14:paraId="3DE7E83F"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4C58551" w14:textId="77777777" w:rsidR="00F735D4" w:rsidRPr="00A406E5" w:rsidRDefault="623C9303" w:rsidP="623C9303">
            <w:pPr>
              <w:spacing w:before="120" w:after="120"/>
              <w:jc w:val="both"/>
              <w:rPr>
                <w:rFonts w:ascii="Arial" w:hAnsi="Arial" w:cs="Arial"/>
                <w:b/>
                <w:bCs/>
                <w:sz w:val="22"/>
                <w:szCs w:val="22"/>
              </w:rPr>
            </w:pPr>
            <w:r w:rsidRPr="623C9303">
              <w:rPr>
                <w:rFonts w:ascii="Arial" w:hAnsi="Arial" w:cs="Arial"/>
                <w:b/>
                <w:bCs/>
                <w:sz w:val="22"/>
                <w:szCs w:val="22"/>
              </w:rPr>
              <w:t xml:space="preserve">Part B, (i) and (ii) </w:t>
            </w:r>
          </w:p>
        </w:tc>
        <w:tc>
          <w:tcPr>
            <w:tcW w:w="2268" w:type="dxa"/>
            <w:shd w:val="clear" w:color="auto" w:fill="auto"/>
          </w:tcPr>
          <w:p w14:paraId="28983265"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71D2087B" w14:textId="77777777"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219C54F1" w14:textId="77777777"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14:paraId="4AEF730C" w14:textId="77777777" w:rsidTr="623C9303">
        <w:tc>
          <w:tcPr>
            <w:tcW w:w="2093" w:type="dxa"/>
            <w:shd w:val="clear" w:color="auto" w:fill="auto"/>
          </w:tcPr>
          <w:p w14:paraId="34F37AD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BBB8AA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64C303A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86F251C"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3ACA223A" w14:textId="77777777" w:rsidTr="623C9303">
        <w:tc>
          <w:tcPr>
            <w:tcW w:w="2093" w:type="dxa"/>
            <w:shd w:val="clear" w:color="auto" w:fill="auto"/>
          </w:tcPr>
          <w:p w14:paraId="5F1D5EF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4D0E7C6"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5859B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175AF1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4AEA8846" w14:textId="77777777" w:rsidTr="623C9303">
        <w:tc>
          <w:tcPr>
            <w:tcW w:w="2093" w:type="dxa"/>
            <w:shd w:val="clear" w:color="auto" w:fill="auto"/>
          </w:tcPr>
          <w:p w14:paraId="778FD8FE"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648484E1"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27ACBC9" w14:textId="77777777" w:rsidR="00F735D4" w:rsidRPr="00A406E5" w:rsidRDefault="00F735D4" w:rsidP="00F735D4">
      <w:pPr>
        <w:rPr>
          <w:rFonts w:ascii="Arial" w:hAnsi="Arial" w:cs="Arial"/>
          <w:sz w:val="32"/>
        </w:rPr>
      </w:pPr>
    </w:p>
    <w:bookmarkEnd w:id="0"/>
    <w:p w14:paraId="5BE89624" w14:textId="77777777" w:rsidR="00F735D4" w:rsidRPr="00A406E5" w:rsidRDefault="00F735D4" w:rsidP="00F735D4">
      <w:pPr>
        <w:rPr>
          <w:rFonts w:ascii="Arial" w:hAnsi="Arial" w:cs="Arial"/>
          <w:sz w:val="32"/>
        </w:rPr>
      </w:pPr>
    </w:p>
    <w:p w14:paraId="04D4BECB" w14:textId="77777777" w:rsidR="00F735D4" w:rsidRPr="00A406E5" w:rsidRDefault="00F735D4" w:rsidP="00F735D4">
      <w:pPr>
        <w:rPr>
          <w:rFonts w:ascii="Arial" w:hAnsi="Arial" w:cs="Arial"/>
          <w:sz w:val="32"/>
        </w:rPr>
      </w:pPr>
    </w:p>
    <w:p w14:paraId="70A831CF" w14:textId="77777777" w:rsidR="00F735D4" w:rsidRPr="00A406E5" w:rsidRDefault="00F735D4" w:rsidP="00F735D4">
      <w:pPr>
        <w:rPr>
          <w:rFonts w:ascii="Arial" w:hAnsi="Arial" w:cs="Arial"/>
          <w:sz w:val="32"/>
        </w:rPr>
      </w:pPr>
    </w:p>
    <w:p w14:paraId="7F8BB7A6" w14:textId="77777777" w:rsidR="008E062E" w:rsidRDefault="008E062E">
      <w:pPr>
        <w:spacing w:after="160" w:line="259" w:lineRule="auto"/>
        <w:rPr>
          <w:rFonts w:ascii="Arial" w:hAnsi="Arial" w:cs="Arial"/>
          <w:sz w:val="32"/>
        </w:rPr>
      </w:pPr>
      <w:r>
        <w:rPr>
          <w:rFonts w:ascii="Arial" w:hAnsi="Arial" w:cs="Arial"/>
          <w:sz w:val="32"/>
        </w:rPr>
        <w:br w:type="page"/>
      </w:r>
    </w:p>
    <w:p w14:paraId="2E115969" w14:textId="3A9E1474" w:rsidR="008E062E" w:rsidRDefault="008E062E" w:rsidP="30D73F05">
      <w:pPr>
        <w:pStyle w:val="paragraph"/>
        <w:spacing w:before="0" w:beforeAutospacing="0" w:after="0" w:afterAutospacing="0" w:line="480" w:lineRule="auto"/>
        <w:textAlignment w:val="baseline"/>
        <w:rPr>
          <w:rStyle w:val="eop"/>
          <w:rFonts w:ascii="Arial" w:hAnsi="Arial" w:cs="Arial"/>
        </w:rPr>
      </w:pPr>
    </w:p>
    <w:p w14:paraId="5D760DFD" w14:textId="4C4DC07F" w:rsidR="30D73F05" w:rsidRDefault="30D73F05" w:rsidP="30D73F05">
      <w:pPr>
        <w:pStyle w:val="paragraph"/>
        <w:spacing w:before="0" w:beforeAutospacing="0" w:after="0" w:afterAutospacing="0" w:line="480" w:lineRule="auto"/>
        <w:rPr>
          <w:rStyle w:val="normaltextrun"/>
          <w:rFonts w:ascii="Arial" w:hAnsi="Arial" w:cs="Arial"/>
        </w:rPr>
      </w:pPr>
      <w:r w:rsidRPr="30D73F05">
        <w:rPr>
          <w:rStyle w:val="normaltextrun"/>
          <w:rFonts w:ascii="Arial" w:hAnsi="Arial" w:cs="Arial"/>
        </w:rPr>
        <w:t>Part B (I)</w:t>
      </w:r>
    </w:p>
    <w:p w14:paraId="6A9FDF98" w14:textId="77777777" w:rsidR="008E062E" w:rsidRDefault="30D73F05" w:rsidP="30D73F05">
      <w:pPr>
        <w:pStyle w:val="paragraph"/>
        <w:spacing w:before="0" w:beforeAutospacing="0" w:after="0" w:afterAutospacing="0" w:line="480" w:lineRule="auto"/>
        <w:textAlignment w:val="baseline"/>
        <w:rPr>
          <w:rFonts w:ascii="Segoe UI" w:hAnsi="Segoe UI" w:cs="Segoe UI"/>
          <w:sz w:val="18"/>
          <w:szCs w:val="18"/>
        </w:rPr>
      </w:pPr>
      <w:r w:rsidRPr="30D73F05">
        <w:rPr>
          <w:rStyle w:val="normaltextrun"/>
          <w:rFonts w:ascii="Arial" w:hAnsi="Arial" w:cs="Arial"/>
        </w:rPr>
        <w:t>According to </w:t>
      </w:r>
      <w:r w:rsidRPr="30D73F05">
        <w:rPr>
          <w:rStyle w:val="spellingerror"/>
          <w:rFonts w:ascii="Arial" w:hAnsi="Arial" w:cs="Arial"/>
        </w:rPr>
        <w:t>Biesta</w:t>
      </w:r>
      <w:r w:rsidRPr="30D73F05">
        <w:rPr>
          <w:rStyle w:val="normaltextrun"/>
          <w:rFonts w:ascii="Arial" w:hAnsi="Arial" w:cs="Arial"/>
        </w:rPr>
        <w:t> (2012), whenever you plan your lesson, there should always be a purpose to </w:t>
      </w:r>
      <w:r w:rsidRPr="30D73F05">
        <w:rPr>
          <w:rStyle w:val="advancedproofingissue"/>
          <w:rFonts w:ascii="Arial" w:hAnsi="Arial" w:cs="Arial"/>
        </w:rPr>
        <w:t>each and every</w:t>
      </w:r>
      <w:r w:rsidRPr="30D73F05">
        <w:rPr>
          <w:rStyle w:val="normaltextrun"/>
          <w:rFonts w:ascii="Arial" w:hAnsi="Arial" w:cs="Arial"/>
        </w:rPr>
        <w:t> lesson (</w:t>
      </w:r>
      <w:r w:rsidRPr="30D73F05">
        <w:rPr>
          <w:rStyle w:val="spellingerror"/>
          <w:rFonts w:ascii="Arial" w:hAnsi="Arial" w:cs="Arial"/>
        </w:rPr>
        <w:t>Biesta</w:t>
      </w:r>
      <w:r w:rsidRPr="30D73F05">
        <w:rPr>
          <w:rStyle w:val="normaltextrun"/>
          <w:rFonts w:ascii="Arial" w:hAnsi="Arial" w:cs="Arial"/>
        </w:rPr>
        <w:t>, 2012). While planning my lesson, I kept in mind the pedagogy in what makes a good lesson. How am I going to instruct my students in a way in which they learn the skills and strategies to complete the task set?  I considered many areas including, pedagogical content knowledge, quality of instruction, classroom management and Allison &amp; </w:t>
      </w:r>
      <w:r w:rsidRPr="30D73F05">
        <w:rPr>
          <w:rStyle w:val="spellingerror"/>
          <w:rFonts w:ascii="Arial" w:hAnsi="Arial" w:cs="Arial"/>
        </w:rPr>
        <w:t>Tharby</w:t>
      </w:r>
      <w:r w:rsidRPr="30D73F05">
        <w:rPr>
          <w:rStyle w:val="normaltextrun"/>
          <w:rFonts w:ascii="Arial" w:hAnsi="Arial" w:cs="Arial"/>
        </w:rPr>
        <w:t>’ six principles, ‘Challenge, explanation, modelling, deliberate practice, feedback and questioning’ from </w:t>
      </w:r>
      <w:r w:rsidRPr="30D73F05">
        <w:rPr>
          <w:rStyle w:val="normaltextrun"/>
          <w:rFonts w:ascii="Arial" w:hAnsi="Arial" w:cs="Arial"/>
          <w:i/>
          <w:iCs/>
        </w:rPr>
        <w:t>Making Every Lesson Count’ </w:t>
      </w:r>
      <w:r w:rsidRPr="30D73F05">
        <w:rPr>
          <w:rStyle w:val="normaltextrun"/>
          <w:rFonts w:ascii="Arial" w:hAnsi="Arial" w:cs="Arial"/>
        </w:rPr>
        <w:t>(Allison &amp; </w:t>
      </w:r>
      <w:r w:rsidRPr="30D73F05">
        <w:rPr>
          <w:rStyle w:val="spellingerror"/>
          <w:rFonts w:ascii="Arial" w:hAnsi="Arial" w:cs="Arial"/>
        </w:rPr>
        <w:t>Tharby</w:t>
      </w:r>
      <w:r w:rsidRPr="30D73F05">
        <w:rPr>
          <w:rStyle w:val="normaltextrun"/>
          <w:rFonts w:ascii="Arial" w:hAnsi="Arial" w:cs="Arial"/>
        </w:rPr>
        <w:t>. 2014).</w:t>
      </w:r>
      <w:r w:rsidRPr="30D73F05">
        <w:rPr>
          <w:rStyle w:val="eop"/>
          <w:rFonts w:ascii="Arial" w:hAnsi="Arial" w:cs="Arial"/>
        </w:rPr>
        <w:t> </w:t>
      </w:r>
    </w:p>
    <w:p w14:paraId="738EECB8" w14:textId="4AA5D516" w:rsidR="30D73F05" w:rsidRDefault="30D73F05" w:rsidP="30D73F05">
      <w:pPr>
        <w:pStyle w:val="paragraph"/>
        <w:spacing w:before="0" w:beforeAutospacing="0" w:after="0" w:afterAutospacing="0" w:line="480" w:lineRule="auto"/>
        <w:rPr>
          <w:rStyle w:val="eop"/>
          <w:rFonts w:ascii="Arial" w:hAnsi="Arial" w:cs="Arial"/>
        </w:rPr>
      </w:pPr>
    </w:p>
    <w:p w14:paraId="1251AAE1" w14:textId="08BEB432"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 Pedagogical content knowledge was applied as the lesson taught was the second lesson in a set of four.  I used my knowledge to create a power point to explain and instruct on how to infer and deduct information, first, from a photo and then from an extract by the Welsh Author Jenny Nemmo.  The lesson objective was made clear to the students, that they were to learn the skills of inference and deduction and to be able to answer the question, ‘How does the </w:t>
      </w:r>
      <w:r w:rsidRPr="623C9303">
        <w:rPr>
          <w:rStyle w:val="contextualspellingandgrammarerror"/>
          <w:rFonts w:ascii="Arial" w:hAnsi="Arial" w:cs="Arial"/>
        </w:rPr>
        <w:t>writer....?</w:t>
      </w:r>
      <w:r w:rsidRPr="623C9303">
        <w:rPr>
          <w:rStyle w:val="normaltextrun"/>
          <w:rFonts w:ascii="Arial" w:hAnsi="Arial" w:cs="Arial"/>
        </w:rPr>
        <w:t>’  effectively to increase their National Curriculum levels to a level 5.  A level 5 states that pupils competently select, ‘Essential points and using inference and deduction where appropriate,’ (National Curriculum for Wales, 2016. P.30) (LNF, KS3, 2014) </w:t>
      </w:r>
    </w:p>
    <w:p w14:paraId="6215395A"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634613B3" w14:textId="39C2C6DA"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I began the lesson by using a constructivist view, according to </w:t>
      </w:r>
      <w:r>
        <w:rPr>
          <w:rStyle w:val="spellingerror"/>
          <w:rFonts w:ascii="Arial" w:hAnsi="Arial" w:cs="Arial"/>
        </w:rPr>
        <w:t>Crooze</w:t>
      </w:r>
      <w:r>
        <w:rPr>
          <w:rStyle w:val="normaltextrun"/>
          <w:rFonts w:ascii="Arial" w:hAnsi="Arial" w:cs="Arial"/>
        </w:rPr>
        <w:t> (2018) The constructivist paradigm is that, ‘learners are actively involved in learning process’ (</w:t>
      </w:r>
      <w:r>
        <w:rPr>
          <w:rStyle w:val="spellingerror"/>
          <w:rFonts w:ascii="Arial" w:hAnsi="Arial" w:cs="Arial"/>
        </w:rPr>
        <w:t>Crooze</w:t>
      </w:r>
      <w:r>
        <w:rPr>
          <w:rStyle w:val="normaltextrun"/>
          <w:rFonts w:ascii="Arial" w:hAnsi="Arial" w:cs="Arial"/>
        </w:rPr>
        <w:t xml:space="preserve">, 2018), by showing a simple power point to recap what the difference was between inference and deduction and to build on their zone of proximal </w:t>
      </w:r>
      <w:r>
        <w:rPr>
          <w:rStyle w:val="normaltextrun"/>
          <w:rFonts w:ascii="Arial" w:hAnsi="Arial" w:cs="Arial"/>
        </w:rPr>
        <w:lastRenderedPageBreak/>
        <w:t>development, whereby students use prior knowledge and scaffold on this to build the skills needed to complete this task effectively.  This strategy is favoured by Vygotsky whereby he believes that we should be aware of what the pupil is already capable of and with further instruction build on the skills already known to enhance that knowledge, (Vygotsky, 1998:202), (Vygotsky, 2001:200) (</w:t>
      </w:r>
      <w:r>
        <w:rPr>
          <w:rStyle w:val="spellingerror"/>
          <w:rFonts w:ascii="Arial" w:hAnsi="Arial" w:cs="Arial"/>
        </w:rPr>
        <w:t>Guseva</w:t>
      </w:r>
      <w:r>
        <w:rPr>
          <w:rStyle w:val="normaltextrun"/>
          <w:rFonts w:ascii="Arial" w:hAnsi="Arial" w:cs="Arial"/>
        </w:rPr>
        <w:t> &amp; </w:t>
      </w:r>
      <w:r>
        <w:rPr>
          <w:rStyle w:val="spellingerror"/>
          <w:rFonts w:ascii="Arial" w:hAnsi="Arial" w:cs="Arial"/>
        </w:rPr>
        <w:t>Solomonovich</w:t>
      </w:r>
      <w:r>
        <w:rPr>
          <w:rStyle w:val="normaltextrun"/>
          <w:rFonts w:ascii="Arial" w:hAnsi="Arial" w:cs="Arial"/>
        </w:rPr>
        <w:t>, 2017). This could also be argued that it is linked to behaviourism, in that the pupils repeatedly complete the task and by reapplying the strategies shown by myself will eventually be able to complete the task automatically ‘They view the learning process as a passive activity and believe that knowledge is given and absolute’ (</w:t>
      </w:r>
      <w:r>
        <w:rPr>
          <w:rStyle w:val="spellingerror"/>
          <w:rFonts w:ascii="Arial" w:hAnsi="Arial" w:cs="Arial"/>
        </w:rPr>
        <w:t>Marton</w:t>
      </w:r>
      <w:r>
        <w:rPr>
          <w:rStyle w:val="normaltextrun"/>
          <w:rFonts w:ascii="Arial" w:hAnsi="Arial" w:cs="Arial"/>
        </w:rPr>
        <w:t> &amp; Booth, 1997) (</w:t>
      </w:r>
      <w:r>
        <w:rPr>
          <w:rStyle w:val="spellingerror"/>
          <w:rFonts w:ascii="Arial" w:hAnsi="Arial" w:cs="Arial"/>
        </w:rPr>
        <w:t>Nagowah</w:t>
      </w:r>
      <w:r>
        <w:rPr>
          <w:rStyle w:val="normaltextrun"/>
          <w:rFonts w:ascii="Arial" w:hAnsi="Arial" w:cs="Arial"/>
        </w:rPr>
        <w:t> &amp; </w:t>
      </w:r>
      <w:r>
        <w:rPr>
          <w:rStyle w:val="spellingerror"/>
          <w:rFonts w:ascii="Arial" w:hAnsi="Arial" w:cs="Arial"/>
        </w:rPr>
        <w:t>Nagowah</w:t>
      </w:r>
      <w:r>
        <w:rPr>
          <w:rStyle w:val="normaltextrun"/>
          <w:rFonts w:ascii="Arial" w:hAnsi="Arial" w:cs="Arial"/>
        </w:rPr>
        <w:t>, 2009).  I engaged the students in their own learning as in </w:t>
      </w:r>
      <w:r>
        <w:rPr>
          <w:rStyle w:val="spellingerror"/>
          <w:rFonts w:ascii="Arial" w:hAnsi="Arial" w:cs="Arial"/>
        </w:rPr>
        <w:t>Biesta</w:t>
      </w:r>
      <w:r>
        <w:rPr>
          <w:rStyle w:val="normaltextrun"/>
          <w:rFonts w:ascii="Arial" w:hAnsi="Arial" w:cs="Arial"/>
        </w:rPr>
        <w:t> ‘s (2012) beliefs, but </w:t>
      </w:r>
      <w:r>
        <w:rPr>
          <w:rStyle w:val="spellingerror"/>
          <w:rFonts w:ascii="Arial" w:hAnsi="Arial" w:cs="Arial"/>
        </w:rPr>
        <w:t>Biesta</w:t>
      </w:r>
      <w:r>
        <w:rPr>
          <w:rStyle w:val="normaltextrun"/>
          <w:rFonts w:ascii="Arial" w:hAnsi="Arial" w:cs="Arial"/>
        </w:rPr>
        <w:t xml:space="preserve"> argues </w:t>
      </w:r>
      <w:r w:rsidR="00F67FC5">
        <w:rPr>
          <w:rStyle w:val="normaltextrun"/>
          <w:rFonts w:ascii="Arial" w:hAnsi="Arial" w:cs="Arial"/>
        </w:rPr>
        <w:t>that </w:t>
      </w:r>
      <w:r w:rsidR="00F67FC5">
        <w:rPr>
          <w:rStyle w:val="normaltextrun"/>
          <w:rFonts w:ascii="Arial" w:hAnsi="Arial" w:cs="Arial"/>
          <w:lang w:val="en-US"/>
        </w:rPr>
        <w:t>constructivism</w:t>
      </w:r>
      <w:r>
        <w:rPr>
          <w:rStyle w:val="normaltextrun"/>
          <w:rFonts w:ascii="Arial" w:hAnsi="Arial" w:cs="Arial"/>
          <w:lang w:val="en-US"/>
        </w:rPr>
        <w:t>, ‘Has led to the belief that the teacher, and even the school as an institution, are superfluous’ (</w:t>
      </w:r>
      <w:r>
        <w:rPr>
          <w:rStyle w:val="spellingerror"/>
          <w:rFonts w:ascii="Arial" w:hAnsi="Arial" w:cs="Arial"/>
          <w:lang w:val="en-US"/>
        </w:rPr>
        <w:t>Biesta</w:t>
      </w:r>
      <w:r>
        <w:rPr>
          <w:rStyle w:val="normaltextrun"/>
          <w:rFonts w:ascii="Arial" w:hAnsi="Arial" w:cs="Arial"/>
          <w:lang w:val="en-US"/>
        </w:rPr>
        <w:t>, 2012, p.37) (Cox, 2018)</w:t>
      </w:r>
      <w:r>
        <w:rPr>
          <w:rStyle w:val="normaltextrun"/>
          <w:rFonts w:ascii="Arial" w:hAnsi="Arial" w:cs="Arial"/>
        </w:rPr>
        <w:t>. I believe that the students require some instruction and answers modelled by a teacher, so that they are aware of correct and incorrect answers in order to facilitate their own learning. </w:t>
      </w:r>
      <w:r>
        <w:rPr>
          <w:rStyle w:val="eop"/>
          <w:rFonts w:ascii="Arial" w:hAnsi="Arial" w:cs="Arial"/>
        </w:rPr>
        <w:t> </w:t>
      </w:r>
    </w:p>
    <w:p w14:paraId="126EAA59"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3A89D686" w14:textId="7FAE073A"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 I began the lesson with a picture, so that the students were visually able to make connections as to what was going on within the picture, such as the soldier smoking.  Students were questioned ‘Why do people smoke?’ The connection made was that they smoke in times of stress, it is proven that, ‘Those connections form knowledge structures’ (Eberley Centre, 2016), but I also believe  Bruner’s view to be important in that the subject teacher needs to be a specialist to be able to pass on the knowledge and engage the student in a way so that they want to learn (Walker, 2014). When this knowledge is organised accurately then students are able to apply this information skilfully.  By providing an explanation and questioning the students, again using he six principles, they were able to infer what was going on in the picture of the soldier. Delivering the lesson in this </w:t>
      </w:r>
      <w:r w:rsidRPr="623C9303">
        <w:rPr>
          <w:rStyle w:val="advancedproofingissue"/>
          <w:rFonts w:ascii="Arial" w:hAnsi="Arial" w:cs="Arial"/>
        </w:rPr>
        <w:t>particular way</w:t>
      </w:r>
      <w:r w:rsidRPr="623C9303">
        <w:rPr>
          <w:rStyle w:val="normaltextrun"/>
          <w:rFonts w:ascii="Arial" w:hAnsi="Arial" w:cs="Arial"/>
        </w:rPr>
        <w:t> allowed me to introduce assessment for learning into my lesson by the way of questioning. This is one of the, ‘Four types of actions’ (Black et al, 2003, p.30).  Nonetheless, according to Cooper and Cowie (2009) a critical feature of assessment for learning and one of ‘The four actions’ stated by Black et al (2003) is feedback, it determines, ‘The quality of learning activity’ (Cooper &amp; </w:t>
      </w:r>
      <w:r w:rsidRPr="623C9303">
        <w:rPr>
          <w:rStyle w:val="spellingerror"/>
          <w:rFonts w:ascii="Arial" w:hAnsi="Arial" w:cs="Arial"/>
        </w:rPr>
        <w:t>Crowie</w:t>
      </w:r>
      <w:r w:rsidRPr="623C9303">
        <w:rPr>
          <w:rStyle w:val="normaltextrun"/>
          <w:rFonts w:ascii="Arial" w:hAnsi="Arial" w:cs="Arial"/>
        </w:rPr>
        <w:t>, 2009).   Once this has been established, I then moved on to deduction again using explanation and the picture to consolidate the learning, by scaffolding on what they had just learned and introducing suggested vocabulary to form their deduction from the information obtained in the pictures.  I modelled an answer, so the students were aware of what I expected them to do, and then challenged them in the, ‘Struggle Zone’ (Allison &amp; </w:t>
      </w:r>
      <w:r w:rsidRPr="623C9303">
        <w:rPr>
          <w:rStyle w:val="spellingerror"/>
          <w:rFonts w:ascii="Arial" w:hAnsi="Arial" w:cs="Arial"/>
        </w:rPr>
        <w:t>Tharby</w:t>
      </w:r>
      <w:r w:rsidRPr="623C9303">
        <w:rPr>
          <w:rStyle w:val="normaltextrun"/>
          <w:rFonts w:ascii="Arial" w:hAnsi="Arial" w:cs="Arial"/>
        </w:rPr>
        <w:t>, 2014), which consists of, “High challenge.  Low Stress. Thinking required. Effective learning” (Allison &amp; </w:t>
      </w:r>
      <w:r w:rsidRPr="623C9303">
        <w:rPr>
          <w:rStyle w:val="spellingerror"/>
          <w:rFonts w:ascii="Arial" w:hAnsi="Arial" w:cs="Arial"/>
        </w:rPr>
        <w:t>Tharby</w:t>
      </w:r>
      <w:r w:rsidRPr="623C9303">
        <w:rPr>
          <w:rStyle w:val="normaltextrun"/>
          <w:rFonts w:ascii="Arial" w:hAnsi="Arial" w:cs="Arial"/>
        </w:rPr>
        <w:t>, 2014.)  Also, according to Allison &amp; </w:t>
      </w:r>
      <w:r w:rsidRPr="623C9303">
        <w:rPr>
          <w:rStyle w:val="spellingerror"/>
          <w:rFonts w:ascii="Arial" w:hAnsi="Arial" w:cs="Arial"/>
        </w:rPr>
        <w:t>Tharby</w:t>
      </w:r>
      <w:r w:rsidRPr="623C9303">
        <w:rPr>
          <w:rStyle w:val="normaltextrun"/>
          <w:rFonts w:ascii="Arial" w:hAnsi="Arial" w:cs="Arial"/>
        </w:rPr>
        <w:t> (2014) it is believed that pupils are more likely to learn when they are stretched just outside their comfort zone. This is what is classed as ‘High challenge’ (Allison &amp; </w:t>
      </w:r>
      <w:r w:rsidRPr="623C9303">
        <w:rPr>
          <w:rStyle w:val="spellingerror"/>
          <w:rFonts w:ascii="Arial" w:hAnsi="Arial" w:cs="Arial"/>
        </w:rPr>
        <w:t>Tharby</w:t>
      </w:r>
      <w:r w:rsidRPr="623C9303">
        <w:rPr>
          <w:rStyle w:val="normaltextrun"/>
          <w:rFonts w:ascii="Arial" w:hAnsi="Arial" w:cs="Arial"/>
        </w:rPr>
        <w:t>, 2014).    I asked questions so that individual students could have attempt at modelling a sentence themselves, using the vocabulary provided.   </w:t>
      </w:r>
    </w:p>
    <w:p w14:paraId="54F7A360"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3B438BC4" w14:textId="27EE93E4"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Once this skill had been learned, I introduced a written extract.  I provided an extract by a Welsh Author so that I could include Y </w:t>
      </w:r>
      <w:r w:rsidRPr="623C9303">
        <w:rPr>
          <w:rStyle w:val="spellingerror"/>
          <w:rFonts w:ascii="Arial" w:hAnsi="Arial" w:cs="Arial"/>
        </w:rPr>
        <w:t>Cwricwlwm</w:t>
      </w:r>
      <w:r w:rsidRPr="623C9303">
        <w:rPr>
          <w:rStyle w:val="normaltextrun"/>
          <w:rFonts w:ascii="Arial" w:hAnsi="Arial" w:cs="Arial"/>
        </w:rPr>
        <w:t> </w:t>
      </w:r>
      <w:r w:rsidRPr="623C9303">
        <w:rPr>
          <w:rStyle w:val="spellingerror"/>
          <w:rFonts w:ascii="Arial" w:hAnsi="Arial" w:cs="Arial"/>
        </w:rPr>
        <w:t>Cymreig</w:t>
      </w:r>
      <w:r w:rsidRPr="623C9303">
        <w:rPr>
          <w:rStyle w:val="normaltextrun"/>
          <w:rFonts w:ascii="Arial" w:hAnsi="Arial" w:cs="Arial"/>
        </w:rPr>
        <w:t> within my Scheme of Work.  The extract was taken from the </w:t>
      </w:r>
      <w:r w:rsidRPr="623C9303">
        <w:rPr>
          <w:rStyle w:val="normaltextrun"/>
          <w:rFonts w:ascii="Arial" w:hAnsi="Arial" w:cs="Arial"/>
          <w:i/>
          <w:iCs/>
        </w:rPr>
        <w:t>Snow Spider b</w:t>
      </w:r>
      <w:r w:rsidRPr="623C9303">
        <w:rPr>
          <w:rStyle w:val="normaltextrun"/>
          <w:rFonts w:ascii="Arial" w:hAnsi="Arial" w:cs="Arial"/>
        </w:rPr>
        <w:t>y Jenny Nimmo.  I read through the extract with the pupils and asked them to analyse a </w:t>
      </w:r>
      <w:r w:rsidRPr="623C9303">
        <w:rPr>
          <w:rStyle w:val="advancedproofingissue"/>
          <w:rFonts w:ascii="Arial" w:hAnsi="Arial" w:cs="Arial"/>
        </w:rPr>
        <w:t>particular character</w:t>
      </w:r>
      <w:r w:rsidRPr="623C9303">
        <w:rPr>
          <w:rStyle w:val="normaltextrun"/>
          <w:rFonts w:ascii="Arial" w:hAnsi="Arial" w:cs="Arial"/>
        </w:rPr>
        <w:t>.  They were to use the same skills just applied to the picture but this time through an extract.  I asked them to look for words which told us how the character was acting; from what he was wearing could be tell anything about him.  Again, using several of the six principles I used direct questioning, explanation, challenge and deliberate practice and asked the students to supply some information that they could see in the text and explain, why they had chosen that </w:t>
      </w:r>
      <w:r w:rsidRPr="623C9303">
        <w:rPr>
          <w:rStyle w:val="advancedproofingissue"/>
          <w:rFonts w:ascii="Arial" w:hAnsi="Arial" w:cs="Arial"/>
        </w:rPr>
        <w:t>particular word</w:t>
      </w:r>
      <w:r w:rsidRPr="623C9303">
        <w:rPr>
          <w:rStyle w:val="normaltextrun"/>
          <w:rFonts w:ascii="Arial" w:hAnsi="Arial" w:cs="Arial"/>
        </w:rPr>
        <w:t> or phrase. What have they inferred from the text and what is their deduction?  </w:t>
      </w:r>
    </w:p>
    <w:p w14:paraId="2955BBA4"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This clearly was underpinned by constructivism theories, assessment for learning and Allison &amp; </w:t>
      </w:r>
      <w:r>
        <w:rPr>
          <w:rStyle w:val="spellingerror"/>
          <w:rFonts w:ascii="Arial" w:hAnsi="Arial" w:cs="Arial"/>
        </w:rPr>
        <w:t>Tharby</w:t>
      </w:r>
      <w:r>
        <w:rPr>
          <w:rStyle w:val="normaltextrun"/>
          <w:rFonts w:ascii="Arial" w:hAnsi="Arial" w:cs="Arial"/>
        </w:rPr>
        <w:t>, (2014),    This annotation of the extract met strands in the Literacy and Numeracy Framework for reading strategies  and the National Curriculum level 5 reading, where the students used, ‘A range of strategies, e.g. speed reading, close reading, annotation, prediction, to skim texts for gist, key ideas and themes’ (LNF, 2014) (National Curriculum for Wales, 2014) and also using their newly acquired inference and deduction skills met the comprehension strand of the framework. The problem with questioning is that it does not always work, unless you can direct a question to every student in the class, there is no clear way of knowing if everyone understands.  The other problem with this is that not everyone will put their hand up and volunteer information.   Once students had practised the skill of inference and deduction they were then asked to complete an inference square noting down the information from the annotated extract to help them infer and deduce the information. I created a challenge in this task for those who were more able and asked them not only to complete the inner and middle square but also to extend their thoughts and analysis to the outer square again ensuring that the students were challenge but were within the ‘struggle zone’ (Allison &amp; </w:t>
      </w:r>
      <w:r>
        <w:rPr>
          <w:rStyle w:val="spellingerror"/>
          <w:rFonts w:ascii="Arial" w:hAnsi="Arial" w:cs="Arial"/>
        </w:rPr>
        <w:t>Tharby</w:t>
      </w:r>
      <w:r>
        <w:rPr>
          <w:rStyle w:val="normaltextrun"/>
          <w:rFonts w:ascii="Arial" w:hAnsi="Arial" w:cs="Arial"/>
        </w:rPr>
        <w:t>, 2014).  This ensured that the students were gaining independence and creating their own high order questions to the information deducted in the extract. Whilst students were working on the inference square, I worked the classroom table to table, to ensure understanding and provide detailed feedback on the work completed (Hattie, 2011) (Allison &amp; </w:t>
      </w:r>
      <w:r>
        <w:rPr>
          <w:rStyle w:val="spellingerror"/>
          <w:rFonts w:ascii="Arial" w:hAnsi="Arial" w:cs="Arial"/>
        </w:rPr>
        <w:t>Tharby</w:t>
      </w:r>
      <w:r>
        <w:rPr>
          <w:rStyle w:val="normaltextrun"/>
          <w:rFonts w:ascii="Arial" w:hAnsi="Arial" w:cs="Arial"/>
        </w:rPr>
        <w:t>, 2014). </w:t>
      </w:r>
      <w:r>
        <w:rPr>
          <w:rStyle w:val="eop"/>
          <w:rFonts w:ascii="Arial" w:hAnsi="Arial" w:cs="Arial"/>
        </w:rPr>
        <w:t> </w:t>
      </w:r>
    </w:p>
    <w:p w14:paraId="590C4976"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476B0743" w14:textId="28952B8F"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 xml:space="preserve">I also ensured that I had differentiated work for a student with English as an additional language (EAL) student within the class.  Her level of English Acquisition was B - early acquisition.  I looked closely at the Welsh Assembly Governments Reading Strand for B </w:t>
      </w:r>
      <w:r w:rsidR="00F67FC5">
        <w:rPr>
          <w:rStyle w:val="normaltextrun"/>
          <w:rFonts w:ascii="Arial" w:hAnsi="Arial" w:cs="Arial"/>
        </w:rPr>
        <w:t>Acquisition</w:t>
      </w:r>
      <w:r>
        <w:rPr>
          <w:rStyle w:val="normaltextrun"/>
          <w:rFonts w:ascii="Arial" w:hAnsi="Arial" w:cs="Arial"/>
        </w:rPr>
        <w:t xml:space="preserve"> and ensured that I included within my lesson suggested strategies provided by the document, such as, ‘To begin to find simple information using a range of devices e.g. picture dictionaries, Google images and search engines to establish meaning.’ (Appendix A, 2018) (LNF, 2014) and not only did I ensure that they met the Welsh Assembly Government (WAG) reading stage but also the Literacy and Numeracy Framework (LNF) comprehension strand for KS3 whereby the student with increasing independence applied reading strategies to match the visual aid of flash cards showing faces with expression to sentences on how a person was feeling. </w:t>
      </w:r>
      <w:r>
        <w:rPr>
          <w:rStyle w:val="eop"/>
          <w:rFonts w:ascii="Arial" w:hAnsi="Arial" w:cs="Arial"/>
        </w:rPr>
        <w:t> </w:t>
      </w:r>
    </w:p>
    <w:p w14:paraId="7002758C"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29645E64"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rPr>
        <w:t>Overall, I feel that my lesson included a wide range of theorist practices as I feel that as a teacher that you cannot rely on just one view point as these strategies will not always work with all students.  Students are individuals with individual needs and all have a different way of learning, so therefore there is a need to have a variety and differentiation within the classroom to ensure effective learning, but with a clear focus on the learning objective and links not only to the National Curriculum but to the LNF strands as well. </w:t>
      </w:r>
      <w:r>
        <w:rPr>
          <w:rStyle w:val="eop"/>
          <w:rFonts w:ascii="Arial" w:hAnsi="Arial" w:cs="Arial"/>
        </w:rPr>
        <w:t> </w:t>
      </w:r>
    </w:p>
    <w:p w14:paraId="0A85F6C7" w14:textId="00D5E53B"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b/>
          <w:bCs/>
          <w:u w:val="single"/>
        </w:rPr>
        <w:t>Word Count 1510</w:t>
      </w:r>
      <w:r w:rsidRPr="623C9303">
        <w:rPr>
          <w:rStyle w:val="eop"/>
          <w:rFonts w:ascii="Arial" w:hAnsi="Arial" w:cs="Arial"/>
        </w:rPr>
        <w:t> </w:t>
      </w:r>
    </w:p>
    <w:p w14:paraId="5058D89B"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rPr>
        <w:t> </w:t>
      </w:r>
      <w:r>
        <w:rPr>
          <w:rStyle w:val="eop"/>
          <w:rFonts w:ascii="Arial" w:hAnsi="Arial" w:cs="Arial"/>
        </w:rPr>
        <w:t> </w:t>
      </w:r>
    </w:p>
    <w:p w14:paraId="7B7A8181" w14:textId="02B869E8" w:rsidR="008E062E" w:rsidRDefault="008E062E" w:rsidP="30D73F05">
      <w:pPr>
        <w:pStyle w:val="paragraph"/>
        <w:spacing w:before="0" w:beforeAutospacing="0" w:after="0" w:afterAutospacing="0" w:line="480" w:lineRule="auto"/>
        <w:textAlignment w:val="baseline"/>
        <w:rPr>
          <w:rStyle w:val="eop"/>
          <w:rFonts w:ascii="Arial" w:hAnsi="Arial" w:cs="Arial"/>
        </w:rPr>
      </w:pPr>
    </w:p>
    <w:p w14:paraId="55A2461F" w14:textId="0FF52788" w:rsidR="30D73F05" w:rsidRDefault="30D73F05" w:rsidP="30D73F05">
      <w:pPr>
        <w:pStyle w:val="paragraph"/>
        <w:spacing w:before="0" w:beforeAutospacing="0" w:after="0" w:afterAutospacing="0" w:line="480" w:lineRule="auto"/>
        <w:rPr>
          <w:rStyle w:val="eop"/>
          <w:rFonts w:ascii="Arial" w:hAnsi="Arial" w:cs="Arial"/>
        </w:rPr>
      </w:pPr>
    </w:p>
    <w:p w14:paraId="000FAF7A" w14:textId="32398F5A" w:rsidR="30D73F05" w:rsidRDefault="30D73F05" w:rsidP="30D73F05">
      <w:pPr>
        <w:pStyle w:val="paragraph"/>
        <w:spacing w:before="0" w:beforeAutospacing="0" w:after="0" w:afterAutospacing="0" w:line="480" w:lineRule="auto"/>
        <w:rPr>
          <w:rStyle w:val="normaltextrun"/>
          <w:rFonts w:ascii="Arial" w:hAnsi="Arial" w:cs="Arial"/>
        </w:rPr>
      </w:pPr>
      <w:r w:rsidRPr="30D73F05">
        <w:rPr>
          <w:rStyle w:val="normaltextrun"/>
          <w:rFonts w:ascii="Arial" w:hAnsi="Arial" w:cs="Arial"/>
        </w:rPr>
        <w:t>Part B (ii)</w:t>
      </w:r>
    </w:p>
    <w:p w14:paraId="65CFE83C" w14:textId="1FCF4F91" w:rsidR="008E062E" w:rsidRDefault="623C9303" w:rsidP="623C9303">
      <w:pPr>
        <w:pStyle w:val="paragraph"/>
        <w:spacing w:before="0" w:beforeAutospacing="0" w:after="0" w:afterAutospacing="0" w:line="480" w:lineRule="auto"/>
        <w:textAlignment w:val="baseline"/>
        <w:rPr>
          <w:rStyle w:val="eop"/>
          <w:rFonts w:ascii="Arial" w:hAnsi="Arial" w:cs="Arial"/>
          <w:sz w:val="23"/>
          <w:szCs w:val="23"/>
        </w:rPr>
      </w:pPr>
      <w:r w:rsidRPr="623C9303">
        <w:rPr>
          <w:rStyle w:val="normaltextrun"/>
          <w:rFonts w:ascii="Arial" w:hAnsi="Arial" w:cs="Arial"/>
        </w:rPr>
        <w:t>I initially felt that my micro-teach went very well, but there were a few areas, which I felt I could have delivered better, but in light of my recent teaching experience, there are quite a few things I feel I could have delivered differently.  My lesson was designed to be aimed at a class of Year 9 pupils with the levels at mainly 4.  My teaching practice was to instruct pupils how to succeed and raise their learning to a level 5 improving on their inference and deduction skills.  According to the National Curriculum in Wales for English (2016) at a</w:t>
      </w:r>
      <w:r w:rsidR="00F67FC5">
        <w:rPr>
          <w:rStyle w:val="normaltextrun"/>
          <w:rFonts w:ascii="Arial" w:hAnsi="Arial" w:cs="Arial"/>
        </w:rPr>
        <w:t xml:space="preserve"> level 5, pupils all need to be</w:t>
      </w:r>
      <w:r w:rsidRPr="623C9303">
        <w:rPr>
          <w:rStyle w:val="normaltextrun"/>
          <w:rFonts w:ascii="Arial" w:hAnsi="Arial" w:cs="Arial"/>
        </w:rPr>
        <w:t> able to select, ‘Essential points and using inference and deduction where appropriate’ (WAG, 2016). This also linked to the Literacy and Numeracy Framework (2014) reading strand within the element ‘Responding to what has been read’ (LNF, 2014) in the Aspect of ‘Comprehension’ (LNF, 2014) where pupils, ‘Gain a full understanding of texts using inference, deduction and analysi</w:t>
      </w:r>
      <w:r w:rsidRPr="623C9303">
        <w:rPr>
          <w:rStyle w:val="normaltextrun"/>
          <w:rFonts w:ascii="Arial" w:hAnsi="Arial" w:cs="Arial"/>
          <w:color w:val="2D2D2D"/>
        </w:rPr>
        <w:t>s.</w:t>
      </w:r>
      <w:r w:rsidRPr="623C9303">
        <w:rPr>
          <w:rStyle w:val="normaltextrun"/>
          <w:rFonts w:ascii="Arial" w:hAnsi="Arial" w:cs="Arial"/>
        </w:rPr>
        <w:t>’ (LNF, 2014). This links with the QTS Standards S2.2 ‘National Curriculum Aims and Guidelines’ (QTS, 2017)</w:t>
      </w:r>
      <w:r w:rsidRPr="623C9303">
        <w:rPr>
          <w:rStyle w:val="normaltextrun"/>
          <w:rFonts w:ascii="Arial" w:hAnsi="Arial" w:cs="Arial"/>
          <w:color w:val="2D2D2D"/>
        </w:rPr>
        <w:t>. </w:t>
      </w:r>
      <w:r w:rsidRPr="623C9303">
        <w:rPr>
          <w:rStyle w:val="normaltextrun"/>
          <w:rFonts w:ascii="Arial" w:hAnsi="Arial" w:cs="Arial"/>
          <w:color w:val="2D2D2D"/>
          <w:sz w:val="23"/>
          <w:szCs w:val="23"/>
        </w:rPr>
        <w:t> </w:t>
      </w:r>
      <w:r w:rsidRPr="623C9303">
        <w:rPr>
          <w:rStyle w:val="eop"/>
          <w:rFonts w:ascii="Arial" w:hAnsi="Arial" w:cs="Arial"/>
          <w:sz w:val="23"/>
          <w:szCs w:val="23"/>
        </w:rPr>
        <w:t> </w:t>
      </w:r>
    </w:p>
    <w:p w14:paraId="740D2B8C"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p>
    <w:p w14:paraId="384C8D53" w14:textId="48896CA8" w:rsidR="008E062E" w:rsidRDefault="623C9303" w:rsidP="623C9303">
      <w:pPr>
        <w:pStyle w:val="paragraph"/>
        <w:spacing w:before="0" w:beforeAutospacing="0" w:after="0" w:afterAutospacing="0" w:line="480" w:lineRule="auto"/>
        <w:textAlignment w:val="baseline"/>
        <w:rPr>
          <w:rStyle w:val="eop"/>
          <w:rFonts w:ascii="Arial" w:hAnsi="Arial" w:cs="Arial"/>
        </w:rPr>
      </w:pPr>
      <w:r w:rsidRPr="623C9303">
        <w:rPr>
          <w:rStyle w:val="normaltextrun"/>
          <w:rFonts w:ascii="Arial" w:hAnsi="Arial" w:cs="Arial"/>
        </w:rPr>
        <w:t>I began my lesson using incidental Welsh.  I could have furthered this by putting the date and classwork on the board in Welsh.   I realise now how important it is to put the Learning Objective on the board so that pupils can visually see what the main objective of the lesson is and not just to be told it from the front of the class.  They need to see it and even write it down so that they remain focused on what is expected of them and what the final outcome of the lesson is. This links with QTS Standard S3.3.3 ‘Delivery Effective Lessons’ (QTS, 2017). </w:t>
      </w:r>
    </w:p>
    <w:p w14:paraId="6BD67F8B"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p>
    <w:p w14:paraId="1EE7E1E6" w14:textId="0C64994A" w:rsidR="008E062E" w:rsidRDefault="623C9303" w:rsidP="623C9303">
      <w:pPr>
        <w:pStyle w:val="paragraph"/>
        <w:spacing w:before="0" w:beforeAutospacing="0" w:after="0" w:afterAutospacing="0" w:line="480" w:lineRule="auto"/>
        <w:textAlignment w:val="baseline"/>
        <w:rPr>
          <w:rStyle w:val="eop"/>
          <w:rFonts w:ascii="Arial" w:hAnsi="Arial" w:cs="Arial"/>
        </w:rPr>
      </w:pPr>
      <w:r w:rsidRPr="623C9303">
        <w:rPr>
          <w:rStyle w:val="normaltextrun"/>
          <w:rFonts w:ascii="Arial" w:hAnsi="Arial" w:cs="Arial"/>
        </w:rPr>
        <w:t>The first part of the lesson I feel went well.  I explained clearly what Inference is and engaged the pupils well, questioning them what was happening in the power point presentation and showing just a picture.  In light of my feedback and my first teaching experience, I need to focus my questioning and not generally ask the class.  I feel if I were to redeliver the lesson, I would use </w:t>
      </w:r>
      <w:r w:rsidRPr="623C9303">
        <w:rPr>
          <w:rStyle w:val="spellingerror"/>
          <w:rFonts w:ascii="Arial" w:hAnsi="Arial" w:cs="Arial"/>
        </w:rPr>
        <w:t>Lemov’s</w:t>
      </w:r>
      <w:r w:rsidRPr="623C9303">
        <w:rPr>
          <w:rStyle w:val="normaltextrun"/>
          <w:rFonts w:ascii="Arial" w:hAnsi="Arial" w:cs="Arial"/>
        </w:rPr>
        <w:t>  ‘No opt out’ (Lemov, 2015 , p. 90) questioning to ensure participation of all pupils even those reluctant to offer information, this technique ensures, ‘That all students, especially reluctant ones, take responsibility for learning’ (Lemov, 2015)  This technique, which I now use within my teaching practice is also extremely helpful to those who really do not know the answer, by another pupil answering and they then model the answer reinforces the information, helping them process the information and enhance their own learning.  If I were to reteach my micro teach session, I would also include Lemov’s,  ‘Cold Call’ (</w:t>
      </w:r>
      <w:r w:rsidRPr="623C9303">
        <w:rPr>
          <w:rStyle w:val="spellingerror"/>
          <w:rFonts w:ascii="Arial" w:hAnsi="Arial" w:cs="Arial"/>
        </w:rPr>
        <w:t>Lemov</w:t>
      </w:r>
      <w:r w:rsidRPr="623C9303">
        <w:rPr>
          <w:rStyle w:val="normaltextrun"/>
          <w:rFonts w:ascii="Arial" w:hAnsi="Arial" w:cs="Arial"/>
        </w:rPr>
        <w:t>, 2015 p. 249), by choosing the pupils to answer rather than waiting for those who are confident to put their hand up, ensures that I have an understanding of who has learned from the lesson and those who have failed to understand.  This technique does not only help the pupil but myself as a teacher as well, as it confirms whether or not the topic taught has been fully understood.  This links to the QTS standard S2.1 c ‘Subject Knowledge – KS3' (QTS, 2017).  This would have been a much better way to check understanding from learners as not all learners will put their hands up and volunteer information.  I felt that the initial explanation of inference and deduction went very well and I was clear on my instructions.   </w:t>
      </w:r>
    </w:p>
    <w:p w14:paraId="40D1E555"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p>
    <w:p w14:paraId="4F57D13C" w14:textId="2E88B24B"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When I moved on to the next task and had to hand out worksheets, I felt that this wasted some time and Firstly, I should have had the extract photocopied back to back to save time handing out so there would have been one sheet instead of two.  Since my first teaching experience, I realise the importance of being organised and that the problem with worksheets are if they are not glued into their books in the same lesson, can end up with a book full of loose sheets or even the sheets becoming lost before the next lesson.  After the initial reading of the extract I realised that the extract was far too long and should have cut it down to the relevant paragraph with the most inference and deduction present.  Since my first professional teaching experience, I have realised the importance of timings and that an extract, which is too long can also lose the pupils interest and is not effective.  A lot of the time was wasted on parts of the extract, which was not really relevant to the learning objective, as pupils learn effectively over a period of time by gaining the knowledge and understanding, so therefore if the task is not completed or rushed then, ‘Their learning may be incomplete’ (Capet et al, 1995, p.30).  I over complicated the lesson and now realise it is better to have a shorter extract which contains more information and directly links to the learning objective.  I found it is easy to wander off the main learning objective and this can confuse the pupils. This links with the QTS Standard S3.3.7 ‘Time Management’ (QTS, 2017).  I also realised that I could have improved my micro teach session by having the relevant paragraph on my power point on the board and modelled the first couple of answers and used the white board to write out the sentences using the language modelled earlier in the power point, this would have helped those unsure of what they had to do or those not so confident. By providing a demonstration and modelling the answers this invokes discussion with the students and, ‘Are examples of cognitive support’ (Rosenshine, 2012) Cognitive support is important for the pupil’s progression. </w:t>
      </w:r>
    </w:p>
    <w:p w14:paraId="7702BF17" w14:textId="77777777" w:rsidR="008E062E" w:rsidRDefault="008E062E" w:rsidP="008E062E">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 </w:t>
      </w:r>
    </w:p>
    <w:p w14:paraId="3F69BC75" w14:textId="30B5F7B6"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I noticed after I gave the instructions there were several questions from the pupils, so I do not think I made myself clear on what I expected from them, In light of my first teaching experience I realise the importance of effective communication.  It is not just important to communicate clearly on appropriate content by, ‘Also on the way it is presented’ (Capel et al. 1995, P87).  By modelling answers on the board, this would have helped with effective communication and clearly defining the task, this would have eliminated the queries from the pupils from not fully understanding the task. Again, the inference and deduction square did not work as fully as I would have liked.  Since my first teaching experience I have realised that I cannot take for granted that pupils are aware of what I want them to do, unless I actually specifically instruct them on the task.  This again is down to using effective communication to explain what I am expecting from them.  According to Rosenshine (2012), practicing new materials is important for students learning and questions asked by the teacher and the feedback received from the students, ‘Are a major way of providing the necessary practice.’ (Rosenshine, 2012).  By using effective communication and clear instruction on what I expect from the pupils, this I feel would help create, ‘Ambitious, capable learners’ (Donaldson, 2015).  Through this I feel that effective communication will impact and aid in the pupils building their knowledge and, 'Have the skills to connect and apply that knowledge in different contexts.’ (Donaldson, 2015). </w:t>
      </w:r>
    </w:p>
    <w:p w14:paraId="566FABF2" w14:textId="77777777" w:rsidR="008E062E" w:rsidRDefault="008E062E" w:rsidP="008E062E">
      <w:pPr>
        <w:pStyle w:val="paragraph"/>
        <w:spacing w:before="0" w:beforeAutospacing="0" w:after="0" w:afterAutospacing="0" w:line="480" w:lineRule="auto"/>
        <w:textAlignment w:val="baseline"/>
        <w:rPr>
          <w:rStyle w:val="normaltextrun"/>
          <w:rFonts w:ascii="Arial" w:hAnsi="Arial" w:cs="Arial"/>
        </w:rPr>
      </w:pPr>
    </w:p>
    <w:p w14:paraId="15243BC8" w14:textId="695CCD17" w:rsidR="008E062E" w:rsidRDefault="623C9303" w:rsidP="623C9303">
      <w:pPr>
        <w:pStyle w:val="paragraph"/>
        <w:spacing w:before="0" w:beforeAutospacing="0" w:after="0" w:afterAutospacing="0" w:line="480" w:lineRule="auto"/>
        <w:textAlignment w:val="baseline"/>
        <w:rPr>
          <w:rStyle w:val="eop"/>
          <w:rFonts w:ascii="Arial" w:hAnsi="Arial" w:cs="Arial"/>
        </w:rPr>
      </w:pPr>
      <w:r w:rsidRPr="623C9303">
        <w:rPr>
          <w:rStyle w:val="normaltextrun"/>
          <w:rFonts w:ascii="Arial" w:hAnsi="Arial" w:cs="Arial"/>
        </w:rPr>
        <w:t>I worked the class well ensuring all pupils were participating and answering any questions that the pupils had, but I should have used high ordering questions to establish deeper understanding to some of the pupils and to challenge others. I realised that also I ran over on my time which did not leave enough time to establish the outcome of the task with the pupils, I felt that this was rushed and because my timings were out it only allowed me to have one example from each table instead one from each pupil.  I realise since my first teaching experience that timings sometimes need to be adapted but time must be left to consolidate the learning of the lesson at the end. </w:t>
      </w:r>
    </w:p>
    <w:p w14:paraId="2A162B78"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p>
    <w:p w14:paraId="2F8E5CD5" w14:textId="51D8A389" w:rsidR="008E062E" w:rsidRDefault="623C9303" w:rsidP="623C9303">
      <w:pPr>
        <w:pStyle w:val="paragraph"/>
        <w:spacing w:before="0" w:beforeAutospacing="0" w:after="0" w:afterAutospacing="0" w:line="480" w:lineRule="auto"/>
        <w:textAlignment w:val="baseline"/>
        <w:rPr>
          <w:rStyle w:val="normaltextrun"/>
          <w:rFonts w:ascii="Arial" w:hAnsi="Arial" w:cs="Arial"/>
        </w:rPr>
      </w:pPr>
      <w:r w:rsidRPr="623C9303">
        <w:rPr>
          <w:rStyle w:val="normaltextrun"/>
          <w:rFonts w:ascii="Arial" w:hAnsi="Arial" w:cs="Arial"/>
        </w:rPr>
        <w:t xml:space="preserve">In relation to my English as an Additional Language (EAL) pupil, I felt that I differentiated the work appropriately as QTS Standard S3.2.5 ‘English or Welsh as an Additional Language’, S3.3.4 ‘Differentiating Teaching’ and S3.3.5  </w:t>
      </w:r>
      <w:r w:rsidRPr="623C9303">
        <w:rPr>
          <w:rStyle w:val="normaltextrun"/>
          <w:rFonts w:ascii="Arial" w:eastAsia="Arial" w:hAnsi="Arial" w:cs="Arial"/>
        </w:rPr>
        <w:t>‘</w:t>
      </w:r>
      <w:r w:rsidRPr="623C9303">
        <w:rPr>
          <w:rFonts w:ascii="Arial" w:eastAsia="Arial" w:hAnsi="Arial" w:cs="Arial"/>
          <w:lang w:val="en-US"/>
        </w:rPr>
        <w:t>Supporting English or Welsh as an additional language’</w:t>
      </w:r>
      <w:r w:rsidRPr="623C9303">
        <w:rPr>
          <w:rStyle w:val="normaltextrun"/>
          <w:rFonts w:ascii="Arial" w:hAnsi="Arial" w:cs="Arial"/>
        </w:rPr>
        <w:t xml:space="preserve"> (QTS, 2017) and ensured that she understood what she had to do.  When working the classroom, I visited her desk several times to see what she had completed and that it was a successful task.  I noticed in her answers that her sentences lacked some articles and prepositions, which I had to further instruct her on.  I do not feel that I would have changed anything if I had to reteach the session for my EAL pupil.  I would change the work for the pupil who was more able and talented.  I feel that the work was not sufficiently challenging.  I feel that it was just an extension of the task which the rest of the class was undertaking.  Next time I would ensure that I had a different worksheet at a higher level and even introduce High Order questions to challenge the pupil within the correct struggle zone. This would have linked in to QTS standard S2.6 ‘Special Educational Needs’ (QTS, 2017). </w:t>
      </w:r>
    </w:p>
    <w:p w14:paraId="038C20BD" w14:textId="77777777" w:rsidR="008E062E" w:rsidRDefault="008E062E" w:rsidP="008E062E">
      <w:pPr>
        <w:pStyle w:val="paragraph"/>
        <w:spacing w:before="0" w:beforeAutospacing="0" w:after="0" w:afterAutospacing="0" w:line="480" w:lineRule="auto"/>
        <w:textAlignment w:val="baseline"/>
        <w:rPr>
          <w:rStyle w:val="normaltextrun"/>
          <w:rFonts w:ascii="Arial" w:hAnsi="Arial" w:cs="Arial"/>
        </w:rPr>
      </w:pPr>
    </w:p>
    <w:p w14:paraId="31D09F78" w14:textId="5F9D3D8A" w:rsidR="008E062E" w:rsidRPr="008E062E" w:rsidRDefault="623C9303" w:rsidP="623C9303">
      <w:pPr>
        <w:pStyle w:val="paragraph"/>
        <w:spacing w:before="0" w:beforeAutospacing="0" w:after="0" w:afterAutospacing="0" w:line="480" w:lineRule="auto"/>
        <w:textAlignment w:val="baseline"/>
        <w:rPr>
          <w:rStyle w:val="normaltextrun"/>
          <w:rFonts w:ascii="Segoe UI" w:hAnsi="Segoe UI" w:cs="Segoe UI"/>
          <w:sz w:val="18"/>
          <w:szCs w:val="18"/>
        </w:rPr>
      </w:pPr>
      <w:r w:rsidRPr="623C9303">
        <w:rPr>
          <w:rStyle w:val="normaltextrun"/>
          <w:rFonts w:ascii="Arial" w:hAnsi="Arial" w:cs="Arial"/>
        </w:rPr>
        <w:t>There were no behaviour issues within the classroom and therefore there was no need for behaviour management.  In light of my recent teaching experience, If there was any behaviour observed then I would have dealt with it, firstly by quietly reminding the pupil of what I expected of them.  If this had continued, I would have moved the pupil to another position within the classroom where they would have been less impact on those pupils willing to learn.  I have also learned from my recent teaching experience that if the behaviour had continued, I would have spoken to the pupil outside the classroom, reminding them of the class rules and the behaviour policy and sanctioned the pupil in accordance to the behaviour policy and QTS Standard S2.7 ‘Promoting Good Behaviour’ and S3.3.9 ‘Managing Behaviour’ (QTS, 2017). </w:t>
      </w:r>
    </w:p>
    <w:p w14:paraId="2B8289E6" w14:textId="77777777" w:rsidR="008E062E" w:rsidRDefault="008E062E" w:rsidP="008E062E">
      <w:pPr>
        <w:pStyle w:val="paragraph"/>
        <w:spacing w:before="0" w:beforeAutospacing="0" w:after="0" w:afterAutospacing="0" w:line="480" w:lineRule="auto"/>
        <w:textAlignment w:val="baseline"/>
        <w:rPr>
          <w:rStyle w:val="normaltextrun"/>
          <w:rFonts w:ascii="Arial" w:hAnsi="Arial" w:cs="Arial"/>
        </w:rPr>
      </w:pPr>
    </w:p>
    <w:p w14:paraId="49F10516" w14:textId="0667DFF9" w:rsidR="008E062E" w:rsidRDefault="623C9303" w:rsidP="623C9303">
      <w:pPr>
        <w:pStyle w:val="paragraph"/>
        <w:spacing w:before="0" w:beforeAutospacing="0" w:after="0" w:afterAutospacing="0" w:line="480" w:lineRule="auto"/>
        <w:textAlignment w:val="baseline"/>
        <w:rPr>
          <w:rFonts w:ascii="Segoe UI" w:hAnsi="Segoe UI" w:cs="Segoe UI"/>
          <w:sz w:val="18"/>
          <w:szCs w:val="18"/>
        </w:rPr>
      </w:pPr>
      <w:r w:rsidRPr="623C9303">
        <w:rPr>
          <w:rStyle w:val="normaltextrun"/>
          <w:rFonts w:ascii="Arial" w:hAnsi="Arial" w:cs="Arial"/>
        </w:rPr>
        <w:t>Over all the session was quite successful in light of it being my first taste of teaching practice.  In hindsight after my first professional teaching experience at my placement, there were several areas, which I would have changed.  First to ensure the understanding and learning for the pupils.  To ensure that the lesson flowed more naturally so that the learning process was not forced, this would be to ensure in future my timings were altered to allow consolidation of learning at the end of the lesson.  I need to ensure that my resources are linked to the learning objective and are not too long and appropriate.  This was noted in that my extract was too long and needed to be cut to make it more relevant to the learning objective of inference and deduction. I need to challenge pupils more, especially those who are more able and introduce high order questioning within the appropriate struggle zone.   It has also become apparent the need for effective communication, from myself and the pupils to facilitate a good positive learning environment to make full use of the cognitive approach to learning.  I have learned that it is important not to rely on general hands up from pupils, as the same pupils will offer information most of the time.  I need to ensure that I consistently use Lemov’s (2015) ‘No opt out’ and ‘Cold Call’ (</w:t>
      </w:r>
      <w:r w:rsidRPr="623C9303">
        <w:rPr>
          <w:rStyle w:val="spellingerror"/>
          <w:rFonts w:ascii="Arial" w:hAnsi="Arial" w:cs="Arial"/>
        </w:rPr>
        <w:t>Lemov</w:t>
      </w:r>
      <w:r w:rsidRPr="623C9303">
        <w:rPr>
          <w:rStyle w:val="normaltextrun"/>
          <w:rFonts w:ascii="Arial" w:hAnsi="Arial" w:cs="Arial"/>
        </w:rPr>
        <w:t>. 2015) to confirm understanding of all pupils not just a select few.  Although it was note that there were no behaviour issues.  I need to ensure that there are strategies in place in case there are behavioural issues and that pupils are dealt with appropriately in accordance to any behaviour policies.  All these points if implemented would have succeeded in a much better lesson which flowed and challenged all pupils, in turn succeeding in teaching inference and deduction skills to a level 5.  </w:t>
      </w:r>
    </w:p>
    <w:p w14:paraId="3E5CF03D" w14:textId="77777777" w:rsidR="008E062E" w:rsidRDefault="008E062E" w:rsidP="008E062E">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0E79266F" w14:textId="7D20B5AB" w:rsidR="008E062E" w:rsidRDefault="623C9303" w:rsidP="623C9303">
      <w:pPr>
        <w:pStyle w:val="paragraph"/>
        <w:spacing w:before="0" w:beforeAutospacing="0" w:after="0" w:afterAutospacing="0"/>
        <w:textAlignment w:val="baseline"/>
        <w:rPr>
          <w:rFonts w:ascii="Segoe UI" w:hAnsi="Segoe UI" w:cs="Segoe UI"/>
          <w:sz w:val="18"/>
          <w:szCs w:val="18"/>
        </w:rPr>
      </w:pPr>
      <w:r w:rsidRPr="623C9303">
        <w:rPr>
          <w:rStyle w:val="normaltextrun"/>
          <w:rFonts w:ascii="Arial" w:hAnsi="Arial" w:cs="Arial"/>
          <w:b/>
          <w:bCs/>
          <w:u w:val="single"/>
        </w:rPr>
        <w:t>1996 words</w:t>
      </w:r>
      <w:r w:rsidRPr="623C9303">
        <w:rPr>
          <w:rStyle w:val="eop"/>
          <w:rFonts w:ascii="Arial" w:hAnsi="Arial" w:cs="Arial"/>
        </w:rPr>
        <w:t> </w:t>
      </w:r>
    </w:p>
    <w:p w14:paraId="240E010D" w14:textId="48FF1E28" w:rsidR="30D73F05" w:rsidRDefault="30D73F05" w:rsidP="30D73F05">
      <w:pPr>
        <w:pStyle w:val="paragraph"/>
        <w:spacing w:before="0" w:beforeAutospacing="0" w:after="0" w:afterAutospacing="0"/>
        <w:rPr>
          <w:rStyle w:val="eop"/>
          <w:rFonts w:ascii="Arial" w:hAnsi="Arial" w:cs="Arial"/>
        </w:rPr>
      </w:pPr>
    </w:p>
    <w:p w14:paraId="0AB74DCA" w14:textId="77A201D4" w:rsidR="30D73F05" w:rsidRDefault="30D73F05" w:rsidP="30D73F05">
      <w:pPr>
        <w:pStyle w:val="paragraph"/>
        <w:spacing w:before="0" w:beforeAutospacing="0" w:after="0" w:afterAutospacing="0"/>
        <w:rPr>
          <w:rStyle w:val="eop"/>
          <w:rFonts w:ascii="Arial" w:hAnsi="Arial" w:cs="Arial"/>
        </w:rPr>
      </w:pPr>
    </w:p>
    <w:p w14:paraId="1D2D1DF4" w14:textId="66E2CE77" w:rsidR="00BD2C1D" w:rsidRDefault="00BD2C1D" w:rsidP="30D73F05">
      <w:pPr>
        <w:pStyle w:val="paragraph"/>
        <w:spacing w:before="0" w:beforeAutospacing="0" w:after="0" w:afterAutospacing="0"/>
        <w:rPr>
          <w:rStyle w:val="eop"/>
          <w:rFonts w:ascii="Arial" w:hAnsi="Arial" w:cs="Arial"/>
        </w:rPr>
      </w:pPr>
    </w:p>
    <w:p w14:paraId="2617873F" w14:textId="6FAC3175" w:rsidR="00BD2C1D" w:rsidRDefault="00BD2C1D" w:rsidP="30D73F05">
      <w:pPr>
        <w:pStyle w:val="paragraph"/>
        <w:spacing w:before="0" w:beforeAutospacing="0" w:after="0" w:afterAutospacing="0"/>
        <w:rPr>
          <w:rStyle w:val="eop"/>
          <w:rFonts w:ascii="Arial" w:hAnsi="Arial" w:cs="Arial"/>
        </w:rPr>
      </w:pPr>
    </w:p>
    <w:p w14:paraId="3BF250D6" w14:textId="5A13FAFB" w:rsidR="00BD2C1D" w:rsidRDefault="00BD2C1D">
      <w:pPr>
        <w:spacing w:after="160" w:line="259" w:lineRule="auto"/>
        <w:rPr>
          <w:rStyle w:val="eop"/>
          <w:rFonts w:ascii="Arial" w:hAnsi="Arial" w:cs="Arial"/>
          <w:sz w:val="24"/>
          <w:szCs w:val="24"/>
        </w:rPr>
      </w:pPr>
      <w:r>
        <w:rPr>
          <w:rStyle w:val="eop"/>
          <w:rFonts w:ascii="Arial" w:hAnsi="Arial" w:cs="Arial"/>
        </w:rPr>
        <w:br w:type="page"/>
      </w:r>
    </w:p>
    <w:p w14:paraId="73F2ACED" w14:textId="1BC50871" w:rsidR="30D73F05" w:rsidRDefault="30D73F05" w:rsidP="30D73F05">
      <w:pPr>
        <w:pStyle w:val="paragraph"/>
        <w:spacing w:before="0" w:beforeAutospacing="0" w:after="0" w:afterAutospacing="0"/>
        <w:rPr>
          <w:rStyle w:val="eop"/>
          <w:rFonts w:ascii="Arial" w:hAnsi="Arial" w:cs="Arial"/>
        </w:rPr>
      </w:pPr>
    </w:p>
    <w:p w14:paraId="58C434BC"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References </w:t>
      </w:r>
      <w:r>
        <w:rPr>
          <w:rStyle w:val="eop"/>
          <w:rFonts w:ascii="Arial" w:hAnsi="Arial" w:cs="Arial"/>
        </w:rPr>
        <w:t> </w:t>
      </w:r>
    </w:p>
    <w:p w14:paraId="7A27E3EA"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Allison, S. &amp; Tharby, A. (2015) ‘</w:t>
      </w:r>
      <w:r>
        <w:rPr>
          <w:rStyle w:val="normaltextrun"/>
          <w:rFonts w:ascii="Arial" w:hAnsi="Arial" w:cs="Arial"/>
          <w:i/>
          <w:iCs/>
        </w:rPr>
        <w:t>Making every lesson count’ </w:t>
      </w:r>
      <w:r>
        <w:rPr>
          <w:rStyle w:val="normaltextrun"/>
          <w:rFonts w:ascii="Arial" w:hAnsi="Arial" w:cs="Arial"/>
        </w:rPr>
        <w:t>Crown House Publishing Limited, Bancyfelin, Carmarthanshire</w:t>
      </w:r>
      <w:r>
        <w:rPr>
          <w:rStyle w:val="eop"/>
          <w:rFonts w:ascii="Arial" w:hAnsi="Arial" w:cs="Arial"/>
        </w:rPr>
        <w:t> </w:t>
      </w:r>
    </w:p>
    <w:p w14:paraId="675F7D1E"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4FE481" w14:textId="77777777" w:rsidR="008E062E" w:rsidRDefault="6EC3C872" w:rsidP="6EC3C872">
      <w:pPr>
        <w:pStyle w:val="paragraph"/>
        <w:spacing w:before="0" w:beforeAutospacing="0" w:after="0" w:afterAutospacing="0"/>
        <w:textAlignment w:val="baseline"/>
        <w:rPr>
          <w:rFonts w:ascii="Segoe UI" w:hAnsi="Segoe UI" w:cs="Segoe UI"/>
          <w:sz w:val="18"/>
          <w:szCs w:val="18"/>
        </w:rPr>
      </w:pPr>
      <w:r w:rsidRPr="6EC3C872">
        <w:rPr>
          <w:rStyle w:val="normaltextrun"/>
          <w:rFonts w:ascii="Arial" w:hAnsi="Arial" w:cs="Arial"/>
        </w:rPr>
        <w:t>Biesta G.J.J. (2012), ‘Giving Teaching Back to Education: Responding to the Disappearance of the Teacher’ in </w:t>
      </w:r>
      <w:r w:rsidRPr="6EC3C872">
        <w:rPr>
          <w:rStyle w:val="normaltextrun"/>
          <w:rFonts w:ascii="Arial" w:hAnsi="Arial" w:cs="Arial"/>
          <w:i/>
          <w:iCs/>
        </w:rPr>
        <w:t>Phenomenology &amp; Practice, </w:t>
      </w:r>
      <w:r w:rsidRPr="6EC3C872">
        <w:rPr>
          <w:rStyle w:val="normaltextrun"/>
          <w:rFonts w:ascii="Arial" w:hAnsi="Arial" w:cs="Arial"/>
        </w:rPr>
        <w:t>Volume 6 (2012), No.2, pp 35 – 49.</w:t>
      </w:r>
      <w:r w:rsidRPr="6EC3C872">
        <w:rPr>
          <w:rStyle w:val="eop"/>
          <w:rFonts w:ascii="Arial" w:hAnsi="Arial" w:cs="Arial"/>
        </w:rPr>
        <w:t> </w:t>
      </w:r>
    </w:p>
    <w:p w14:paraId="1A1E93D9" w14:textId="61B82FD0" w:rsidR="6EC3C872" w:rsidRDefault="6EC3C872" w:rsidP="6EC3C872">
      <w:pPr>
        <w:pStyle w:val="paragraph"/>
        <w:spacing w:before="0" w:beforeAutospacing="0" w:after="0" w:afterAutospacing="0"/>
        <w:rPr>
          <w:rStyle w:val="eop"/>
          <w:rFonts w:ascii="Arial" w:hAnsi="Arial" w:cs="Arial"/>
        </w:rPr>
      </w:pPr>
    </w:p>
    <w:p w14:paraId="74FE0552"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Black, P., Harrison, C., Lee, C., Marshall, B., and Wiliam, D. (2003) </w:t>
      </w:r>
      <w:r>
        <w:rPr>
          <w:rStyle w:val="normaltextrun"/>
          <w:rFonts w:ascii="Arial" w:hAnsi="Arial" w:cs="Arial"/>
          <w:i/>
          <w:iCs/>
        </w:rPr>
        <w:t>Assessment for Learning,</w:t>
      </w:r>
      <w:r>
        <w:rPr>
          <w:rStyle w:val="normaltextrun"/>
          <w:rFonts w:ascii="Arial" w:hAnsi="Arial" w:cs="Arial"/>
        </w:rPr>
        <w:t> Maidenhead, Berkshire, Open University Press p.30 available at </w:t>
      </w:r>
      <w:hyperlink r:id="rId7" w:tgtFrame="_blank" w:history="1">
        <w:r>
          <w:rPr>
            <w:rStyle w:val="normaltextrun"/>
            <w:rFonts w:ascii="Arial" w:hAnsi="Arial" w:cs="Arial"/>
            <w:color w:val="0563C1"/>
            <w:u w:val="single"/>
          </w:rPr>
          <w:t>https://www-dawsonera-com.ezproxy.uwtsd.ac.uk/readonline/9780335224296</w:t>
        </w:r>
      </w:hyperlink>
      <w:r>
        <w:rPr>
          <w:rStyle w:val="eop"/>
          <w:rFonts w:ascii="Arial" w:hAnsi="Arial" w:cs="Arial"/>
          <w:sz w:val="22"/>
          <w:szCs w:val="22"/>
        </w:rPr>
        <w:t> </w:t>
      </w:r>
    </w:p>
    <w:p w14:paraId="501F2089"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on 31 October 2018)</w:t>
      </w:r>
      <w:r>
        <w:rPr>
          <w:rStyle w:val="eop"/>
          <w:rFonts w:ascii="Arial" w:hAnsi="Arial" w:cs="Arial"/>
        </w:rPr>
        <w:t> </w:t>
      </w:r>
    </w:p>
    <w:p w14:paraId="55300A73"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F0DC016"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Capel, S., Leaskand, M., Turner, T. (1995) ‘</w:t>
      </w:r>
      <w:r w:rsidRPr="5A5A026C">
        <w:rPr>
          <w:rStyle w:val="normaltextrun"/>
          <w:rFonts w:ascii="Arial" w:hAnsi="Arial" w:cs="Arial"/>
          <w:i/>
          <w:iCs/>
        </w:rPr>
        <w:t>Learning to Teach in the Secondary School – A companion to School Experience’</w:t>
      </w:r>
      <w:r w:rsidRPr="5A5A026C">
        <w:rPr>
          <w:rStyle w:val="normaltextrun"/>
          <w:rFonts w:ascii="Arial" w:hAnsi="Arial" w:cs="Arial"/>
        </w:rPr>
        <w:t> Routledge, Abingdon, Oxon.  (p. 87).</w:t>
      </w:r>
      <w:r w:rsidRPr="5A5A026C">
        <w:rPr>
          <w:rStyle w:val="eop"/>
          <w:rFonts w:ascii="Arial" w:hAnsi="Arial" w:cs="Arial"/>
        </w:rPr>
        <w:t> </w:t>
      </w:r>
    </w:p>
    <w:p w14:paraId="042A1991" w14:textId="09C63EA9" w:rsidR="5A5A026C" w:rsidRDefault="5A5A026C" w:rsidP="5A5A026C">
      <w:pPr>
        <w:pStyle w:val="paragraph"/>
        <w:spacing w:before="0" w:beforeAutospacing="0" w:after="0" w:afterAutospacing="0"/>
        <w:rPr>
          <w:rStyle w:val="eop"/>
          <w:rFonts w:ascii="Arial" w:hAnsi="Arial" w:cs="Arial"/>
        </w:rPr>
      </w:pPr>
    </w:p>
    <w:p w14:paraId="3D8ECB75"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Carnagie Mellon University,  Eberly centre, (2016),  ‘Learning Principles’ available at </w:t>
      </w:r>
      <w:hyperlink r:id="rId8">
        <w:r w:rsidRPr="5A5A026C">
          <w:rPr>
            <w:rStyle w:val="normaltextrun"/>
            <w:rFonts w:ascii="Arial" w:hAnsi="Arial" w:cs="Arial"/>
            <w:color w:val="0563C1"/>
            <w:u w:val="single"/>
          </w:rPr>
          <w:t>https://www.cmu.edu/teaching/principles/learning.html</w:t>
        </w:r>
      </w:hyperlink>
      <w:r w:rsidRPr="5A5A026C">
        <w:rPr>
          <w:rStyle w:val="normaltextrun"/>
          <w:rFonts w:ascii="Arial" w:hAnsi="Arial" w:cs="Arial"/>
        </w:rPr>
        <w:t>  (accessed online 29 October 2018</w:t>
      </w:r>
      <w:r w:rsidRPr="5A5A026C">
        <w:rPr>
          <w:rStyle w:val="eop"/>
          <w:rFonts w:ascii="Arial" w:hAnsi="Arial" w:cs="Arial"/>
        </w:rPr>
        <w:t> </w:t>
      </w:r>
    </w:p>
    <w:p w14:paraId="32C525B7" w14:textId="4CC2AD24" w:rsidR="5A5A026C" w:rsidRDefault="5A5A026C" w:rsidP="5A5A026C">
      <w:pPr>
        <w:pStyle w:val="paragraph"/>
        <w:spacing w:before="0" w:beforeAutospacing="0" w:after="0" w:afterAutospacing="0"/>
        <w:rPr>
          <w:rStyle w:val="eop"/>
          <w:rFonts w:ascii="Arial" w:hAnsi="Arial" w:cs="Arial"/>
        </w:rPr>
      </w:pPr>
    </w:p>
    <w:p w14:paraId="2A201B93" w14:textId="77777777" w:rsidR="008E062E" w:rsidRDefault="008E062E" w:rsidP="008E062E">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Cooper, B. &amp; Cowie, B. (2009), “</w:t>
      </w:r>
      <w:r>
        <w:rPr>
          <w:rStyle w:val="normaltextrun"/>
          <w:rFonts w:ascii="Arial" w:hAnsi="Arial" w:cs="Arial"/>
          <w:i/>
          <w:iCs/>
        </w:rPr>
        <w:t>Collaborative research for assessment for learning</w:t>
      </w:r>
      <w:r>
        <w:rPr>
          <w:rStyle w:val="normaltextrun"/>
          <w:rFonts w:ascii="Arial" w:hAnsi="Arial" w:cs="Arial"/>
        </w:rPr>
        <w:t>”</w:t>
      </w:r>
      <w:r>
        <w:rPr>
          <w:rStyle w:val="eop"/>
          <w:rFonts w:ascii="Arial" w:hAnsi="Arial" w:cs="Arial"/>
          <w:color w:val="2F5496"/>
        </w:rPr>
        <w:t> </w:t>
      </w:r>
    </w:p>
    <w:p w14:paraId="2CCEA89A"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School of Education, University of Waikato, Private Bag 3105, Hamilton, New Zealand  available at </w:t>
      </w:r>
      <w:hyperlink r:id="rId9">
        <w:r w:rsidRPr="5A5A026C">
          <w:rPr>
            <w:rStyle w:val="normaltextrun"/>
            <w:rFonts w:ascii="Arial" w:hAnsi="Arial" w:cs="Arial"/>
            <w:color w:val="0563C1"/>
            <w:u w:val="single"/>
          </w:rPr>
          <w:t>https://www-sciencedirect-com.ezproxy.uwtsd.ac.uk/science/article/pii/S0742051X09002388</w:t>
        </w:r>
      </w:hyperlink>
      <w:r w:rsidRPr="5A5A026C">
        <w:rPr>
          <w:rStyle w:val="normaltextrun"/>
          <w:rFonts w:ascii="Arial" w:hAnsi="Arial" w:cs="Arial"/>
        </w:rPr>
        <w:t>  (accessed on 31 October 2018)</w:t>
      </w:r>
      <w:r w:rsidRPr="5A5A026C">
        <w:rPr>
          <w:rStyle w:val="eop"/>
          <w:rFonts w:ascii="Arial" w:hAnsi="Arial" w:cs="Arial"/>
        </w:rPr>
        <w:t> </w:t>
      </w:r>
    </w:p>
    <w:p w14:paraId="058CCD35" w14:textId="6FB1E3BA" w:rsidR="5A5A026C" w:rsidRDefault="5A5A026C" w:rsidP="5A5A026C">
      <w:pPr>
        <w:pStyle w:val="paragraph"/>
        <w:spacing w:before="0" w:beforeAutospacing="0" w:after="0" w:afterAutospacing="0"/>
        <w:rPr>
          <w:rStyle w:val="eop"/>
          <w:rFonts w:ascii="Arial" w:hAnsi="Arial" w:cs="Arial"/>
        </w:rPr>
      </w:pPr>
    </w:p>
    <w:p w14:paraId="0F26D964"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Cooze, A. (2018) “Learning theories an introduction” PGCE Secondary English, UWTSD, Swansea.</w:t>
      </w:r>
      <w:r w:rsidRPr="5A5A026C">
        <w:rPr>
          <w:rStyle w:val="eop"/>
          <w:rFonts w:ascii="Arial" w:hAnsi="Arial" w:cs="Arial"/>
        </w:rPr>
        <w:t> </w:t>
      </w:r>
    </w:p>
    <w:p w14:paraId="5EB3A0D6" w14:textId="35154A4A" w:rsidR="5A5A026C" w:rsidRDefault="5A5A026C" w:rsidP="5A5A026C">
      <w:pPr>
        <w:pStyle w:val="paragraph"/>
        <w:spacing w:before="0" w:beforeAutospacing="0" w:after="0" w:afterAutospacing="0"/>
        <w:rPr>
          <w:rStyle w:val="eop"/>
          <w:rFonts w:ascii="Arial" w:hAnsi="Arial" w:cs="Arial"/>
        </w:rPr>
      </w:pPr>
    </w:p>
    <w:p w14:paraId="606E82B4"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Cox. A. (2018) “Gert Biesta – an introduction” PGCE Secondary, UWTSD, Swansea. </w:t>
      </w:r>
      <w:r w:rsidRPr="5A5A026C">
        <w:rPr>
          <w:rStyle w:val="eop"/>
          <w:rFonts w:ascii="Arial" w:hAnsi="Arial" w:cs="Arial"/>
        </w:rPr>
        <w:t> </w:t>
      </w:r>
    </w:p>
    <w:p w14:paraId="1753EAEE" w14:textId="19103403" w:rsidR="5A5A026C" w:rsidRDefault="5A5A026C" w:rsidP="5A5A026C">
      <w:pPr>
        <w:pStyle w:val="paragraph"/>
        <w:spacing w:before="0" w:beforeAutospacing="0" w:after="0" w:afterAutospacing="0"/>
        <w:rPr>
          <w:rStyle w:val="eop"/>
          <w:rFonts w:ascii="Arial" w:hAnsi="Arial" w:cs="Arial"/>
        </w:rPr>
      </w:pPr>
    </w:p>
    <w:p w14:paraId="0A992822"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Donaldson, G. (2015) ‘A Curriculum for Wales – A Curriculum for life’ available at </w:t>
      </w:r>
      <w:hyperlink r:id="rId10">
        <w:r w:rsidRPr="5A5A026C">
          <w:rPr>
            <w:rStyle w:val="normaltextrun"/>
            <w:rFonts w:ascii="Arial" w:hAnsi="Arial" w:cs="Arial"/>
            <w:color w:val="0563C1"/>
            <w:u w:val="single"/>
          </w:rPr>
          <w:t>http://dera.ioe.ac.uk/24680/1/151021-a-curriculum-for-wales-a-curriculum-for-life-en_Redacted.pdf</w:t>
        </w:r>
      </w:hyperlink>
      <w:r w:rsidRPr="5A5A026C">
        <w:rPr>
          <w:rStyle w:val="normaltextrun"/>
          <w:rFonts w:ascii="Arial" w:hAnsi="Arial" w:cs="Arial"/>
        </w:rPr>
        <w:t>  (accessed on 17 November 2018)</w:t>
      </w:r>
      <w:r w:rsidRPr="5A5A026C">
        <w:rPr>
          <w:rStyle w:val="eop"/>
          <w:rFonts w:ascii="Arial" w:hAnsi="Arial" w:cs="Arial"/>
        </w:rPr>
        <w:t> </w:t>
      </w:r>
    </w:p>
    <w:p w14:paraId="2D43CE08" w14:textId="67492FB9" w:rsidR="5A5A026C" w:rsidRDefault="5A5A026C" w:rsidP="5A5A026C">
      <w:pPr>
        <w:pStyle w:val="paragraph"/>
        <w:spacing w:before="0" w:beforeAutospacing="0" w:after="0" w:afterAutospacing="0"/>
        <w:rPr>
          <w:rStyle w:val="eop"/>
          <w:rFonts w:ascii="Arial" w:hAnsi="Arial" w:cs="Arial"/>
        </w:rPr>
      </w:pPr>
    </w:p>
    <w:p w14:paraId="30A553AE"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Guseva, L.G.  &amp; Solomonovich, M., (2017), “</w:t>
      </w:r>
      <w:r w:rsidRPr="5A5A026C">
        <w:rPr>
          <w:rStyle w:val="normaltextrun"/>
          <w:rFonts w:ascii="Arial" w:hAnsi="Arial" w:cs="Arial"/>
          <w:i/>
          <w:iCs/>
        </w:rPr>
        <w:t>Implementing the Zone of Proximal Development: From the Pedagogical Experiment to the Developmental Education System of Leonid Zankov</w:t>
      </w:r>
      <w:r w:rsidRPr="5A5A026C">
        <w:rPr>
          <w:rStyle w:val="normaltextrun"/>
          <w:rFonts w:ascii="Arial" w:hAnsi="Arial" w:cs="Arial"/>
        </w:rPr>
        <w:t>” International Electronic Journal of Elementary Education, 9(4), 775-786, June 2017 available at </w:t>
      </w:r>
      <w:hyperlink r:id="rId11">
        <w:r w:rsidRPr="5A5A026C">
          <w:rPr>
            <w:rStyle w:val="normaltextrun"/>
            <w:rFonts w:ascii="Arial" w:hAnsi="Arial" w:cs="Arial"/>
            <w:color w:val="0563C1"/>
            <w:u w:val="single"/>
          </w:rPr>
          <w:t>https://web-a-ebscohost-com.ezproxy.uwtsd.ac.uk/ehost/pdfviewer/pdfviewer?vid=1&amp;sid=2a0e02ea-4ad2-4674-82e5-979e709c8473%40sdc-v-sessmgr03</w:t>
        </w:r>
      </w:hyperlink>
      <w:r w:rsidRPr="5A5A026C">
        <w:rPr>
          <w:rStyle w:val="normaltextrun"/>
          <w:rFonts w:ascii="Arial" w:hAnsi="Arial" w:cs="Arial"/>
        </w:rPr>
        <w:t> (accessed on 31 October 2018)</w:t>
      </w:r>
      <w:r w:rsidRPr="5A5A026C">
        <w:rPr>
          <w:rStyle w:val="eop"/>
          <w:rFonts w:ascii="Arial" w:hAnsi="Arial" w:cs="Arial"/>
        </w:rPr>
        <w:t> </w:t>
      </w:r>
    </w:p>
    <w:p w14:paraId="1264CB1E" w14:textId="23891718" w:rsidR="5A5A026C" w:rsidRDefault="5A5A026C" w:rsidP="5A5A026C">
      <w:pPr>
        <w:pStyle w:val="paragraph"/>
        <w:spacing w:before="0" w:beforeAutospacing="0" w:after="0" w:afterAutospacing="0"/>
        <w:rPr>
          <w:rStyle w:val="eop"/>
          <w:rFonts w:ascii="Arial" w:hAnsi="Arial" w:cs="Arial"/>
        </w:rPr>
      </w:pPr>
    </w:p>
    <w:p w14:paraId="5187FDF2"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Hattie, J. (2011) ‘</w:t>
      </w:r>
      <w:r w:rsidRPr="5A5A026C">
        <w:rPr>
          <w:rStyle w:val="normaltextrun"/>
          <w:rFonts w:ascii="Arial" w:hAnsi="Arial" w:cs="Arial"/>
          <w:i/>
          <w:iCs/>
        </w:rPr>
        <w:t>Visible Learning for Teachers’ </w:t>
      </w:r>
      <w:r w:rsidRPr="5A5A026C">
        <w:rPr>
          <w:rStyle w:val="normaltextrun"/>
          <w:rFonts w:ascii="Arial" w:hAnsi="Arial" w:cs="Arial"/>
        </w:rPr>
        <w:t>Taylor and Francis Ltd, Routledge, Abingdon</w:t>
      </w:r>
      <w:r w:rsidRPr="5A5A026C">
        <w:rPr>
          <w:rStyle w:val="eop"/>
          <w:rFonts w:ascii="Arial" w:hAnsi="Arial" w:cs="Arial"/>
        </w:rPr>
        <w:t> </w:t>
      </w:r>
    </w:p>
    <w:p w14:paraId="45FC4F11" w14:textId="6A41F3FB" w:rsidR="5A5A026C" w:rsidRDefault="5A5A026C" w:rsidP="5A5A026C">
      <w:pPr>
        <w:pStyle w:val="paragraph"/>
        <w:spacing w:before="0" w:beforeAutospacing="0" w:after="0" w:afterAutospacing="0"/>
        <w:rPr>
          <w:rStyle w:val="eop"/>
          <w:rFonts w:ascii="Arial" w:hAnsi="Arial" w:cs="Arial"/>
        </w:rPr>
      </w:pPr>
    </w:p>
    <w:p w14:paraId="69260E8B" w14:textId="214C54BD" w:rsidR="008E062E" w:rsidRDefault="0E456ED7" w:rsidP="0E456ED7">
      <w:pPr>
        <w:pStyle w:val="paragraph"/>
        <w:spacing w:before="0" w:beforeAutospacing="0" w:after="0" w:afterAutospacing="0"/>
        <w:textAlignment w:val="baseline"/>
        <w:rPr>
          <w:rFonts w:ascii="Segoe UI" w:hAnsi="Segoe UI" w:cs="Segoe UI"/>
          <w:sz w:val="18"/>
          <w:szCs w:val="18"/>
        </w:rPr>
      </w:pPr>
      <w:r w:rsidRPr="0E456ED7">
        <w:rPr>
          <w:rStyle w:val="normaltextrun"/>
          <w:rFonts w:ascii="Arial" w:hAnsi="Arial" w:cs="Arial"/>
        </w:rPr>
        <w:t>Jones, N. (2018), “Appendix A, - WAG Stage B – Reading" in </w:t>
      </w:r>
      <w:r w:rsidRPr="0E456ED7">
        <w:rPr>
          <w:rStyle w:val="normaltextrun"/>
          <w:rFonts w:ascii="Arial" w:hAnsi="Arial" w:cs="Arial"/>
          <w:i/>
          <w:iCs/>
        </w:rPr>
        <w:t>BCBC Language Acquisition Record</w:t>
      </w:r>
      <w:r w:rsidRPr="0E456ED7">
        <w:rPr>
          <w:rStyle w:val="normaltextrun"/>
          <w:rFonts w:ascii="Arial" w:hAnsi="Arial" w:cs="Arial"/>
        </w:rPr>
        <w:t> amended for Maesteg Comprehensive School, Access and Inclusion. </w:t>
      </w:r>
    </w:p>
    <w:p w14:paraId="02BB951E" w14:textId="1EF0E608" w:rsidR="5A5A026C" w:rsidRDefault="5A5A026C" w:rsidP="5A5A026C">
      <w:pPr>
        <w:pStyle w:val="paragraph"/>
        <w:spacing w:before="0" w:beforeAutospacing="0" w:after="0" w:afterAutospacing="0"/>
        <w:rPr>
          <w:rStyle w:val="normaltextrun"/>
          <w:rFonts w:ascii="Arial" w:hAnsi="Arial" w:cs="Arial"/>
        </w:rPr>
      </w:pPr>
    </w:p>
    <w:p w14:paraId="7408DE55" w14:textId="77777777" w:rsidR="008E062E" w:rsidRDefault="008E062E" w:rsidP="008E062E">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Lemov. D. (2015) </w:t>
      </w:r>
      <w:r>
        <w:rPr>
          <w:rStyle w:val="normaltextrun"/>
          <w:rFonts w:ascii="Arial" w:hAnsi="Arial" w:cs="Arial"/>
          <w:i/>
          <w:iCs/>
        </w:rPr>
        <w:t>‘Teach Like a Champion 2:0</w:t>
      </w:r>
      <w:r>
        <w:rPr>
          <w:rStyle w:val="normaltextrun"/>
          <w:rFonts w:ascii="Arial" w:hAnsi="Arial" w:cs="Arial"/>
          <w:i/>
          <w:iCs/>
          <w:color w:val="2F5496"/>
        </w:rPr>
        <w:t> </w:t>
      </w:r>
      <w:r>
        <w:rPr>
          <w:rStyle w:val="normaltextrun"/>
          <w:rFonts w:ascii="Calibri" w:hAnsi="Calibri" w:cs="Calibri"/>
          <w:i/>
          <w:iCs/>
          <w:sz w:val="28"/>
          <w:szCs w:val="28"/>
        </w:rPr>
        <w:t>62 Techniques that Put Students on the Path to College</w:t>
      </w:r>
      <w:r>
        <w:rPr>
          <w:rStyle w:val="normaltextrun"/>
          <w:rFonts w:ascii="Calibri" w:hAnsi="Calibri" w:cs="Calibri"/>
          <w:sz w:val="28"/>
          <w:szCs w:val="28"/>
        </w:rPr>
        <w:t>’ Jossey-Bass, San Francisco. (Pp. 90 – 249)</w:t>
      </w:r>
      <w:r>
        <w:rPr>
          <w:rStyle w:val="eop"/>
          <w:rFonts w:ascii="Calibri" w:hAnsi="Calibri" w:cs="Calibri"/>
          <w:color w:val="2F5496"/>
          <w:sz w:val="28"/>
          <w:szCs w:val="28"/>
        </w:rPr>
        <w:t> </w:t>
      </w:r>
    </w:p>
    <w:p w14:paraId="13465C0A"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D45BA89"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Marton F. &amp; Booth S., 1997. “Learning and Awareness”, Mahwah, NJ: Lawrence Erlbaum Associates, London</w:t>
      </w:r>
      <w:r w:rsidRPr="5A5A026C">
        <w:rPr>
          <w:rStyle w:val="eop"/>
          <w:rFonts w:ascii="Arial" w:hAnsi="Arial" w:cs="Arial"/>
        </w:rPr>
        <w:t> </w:t>
      </w:r>
    </w:p>
    <w:p w14:paraId="5E50F381" w14:textId="18903823" w:rsidR="5A5A026C" w:rsidRDefault="5A5A026C" w:rsidP="5A5A026C">
      <w:pPr>
        <w:pStyle w:val="paragraph"/>
        <w:spacing w:before="0" w:beforeAutospacing="0" w:after="0" w:afterAutospacing="0"/>
        <w:rPr>
          <w:rStyle w:val="eop"/>
          <w:rFonts w:ascii="Arial" w:hAnsi="Arial" w:cs="Arial"/>
        </w:rPr>
      </w:pPr>
    </w:p>
    <w:p w14:paraId="4711D783"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Nagowah, L. &amp; Nagowah, S. (2009), “A Reflection on the Dominant Learning Theories: Behaviourism, Cognitivism and Constructivism.” International Journal of Learning; 2009, Vol. 16 Issue 2, p279-285, 7p. Available at </w:t>
      </w:r>
      <w:hyperlink r:id="rId12" w:tgtFrame="_blank" w:history="1">
        <w:r>
          <w:rPr>
            <w:rStyle w:val="normaltextrun"/>
            <w:rFonts w:ascii="Arial" w:hAnsi="Arial" w:cs="Arial"/>
            <w:color w:val="0563C1"/>
            <w:u w:val="single"/>
          </w:rPr>
          <w:t>https://web-a-ebscohost-com.ezproxy.uwtsd.ac.uk/ehost/pdfviewer/pdfviewer?vid=1&amp;sid=59c5f1fd-ac3e-448b-8a1e-2fb81ae77d55%40sessionmgr4010</w:t>
        </w:r>
      </w:hyperlink>
      <w:r>
        <w:rPr>
          <w:rStyle w:val="normaltextrun"/>
          <w:rFonts w:ascii="Arial" w:hAnsi="Arial" w:cs="Arial"/>
        </w:rPr>
        <w:t> (accessed on 31 October 2018)</w:t>
      </w:r>
      <w:r>
        <w:rPr>
          <w:rStyle w:val="eop"/>
          <w:rFonts w:ascii="Arial" w:hAnsi="Arial" w:cs="Arial"/>
        </w:rPr>
        <w:t> </w:t>
      </w:r>
    </w:p>
    <w:p w14:paraId="128589D8"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805E15C"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Rosenshine. B. (2012) ‘</w:t>
      </w:r>
      <w:r>
        <w:rPr>
          <w:rStyle w:val="normaltextrun"/>
          <w:rFonts w:ascii="Arial" w:hAnsi="Arial" w:cs="Arial"/>
          <w:i/>
          <w:iCs/>
        </w:rPr>
        <w:t>Principles of instruction - </w:t>
      </w:r>
      <w:r>
        <w:rPr>
          <w:rStyle w:val="normaltextrun"/>
          <w:rFonts w:ascii="Arial" w:hAnsi="Arial" w:cs="Arial"/>
        </w:rPr>
        <w:t> Reasearch-Based Strategies That all Teachers Should Know’ in American Educator (Spring 2012 ed.)</w:t>
      </w:r>
      <w:r>
        <w:rPr>
          <w:rStyle w:val="eop"/>
          <w:rFonts w:ascii="Arial" w:hAnsi="Arial" w:cs="Arial"/>
        </w:rPr>
        <w:t> </w:t>
      </w:r>
    </w:p>
    <w:p w14:paraId="04A3619D"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E479B0"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Vygotsky, L.S. (2001). Korotaeva, G.S. (ed.). The lectures on pedology. Izhevsk: Udmurtsky universitet (in Russian).</w:t>
      </w:r>
      <w:r w:rsidRPr="5A5A026C">
        <w:rPr>
          <w:rStyle w:val="eop"/>
          <w:rFonts w:ascii="Arial" w:hAnsi="Arial" w:cs="Arial"/>
        </w:rPr>
        <w:t> </w:t>
      </w:r>
    </w:p>
    <w:p w14:paraId="028D3361" w14:textId="50CC38C3" w:rsidR="5A5A026C" w:rsidRDefault="5A5A026C" w:rsidP="5A5A026C">
      <w:pPr>
        <w:pStyle w:val="paragraph"/>
        <w:spacing w:before="0" w:beforeAutospacing="0" w:after="0" w:afterAutospacing="0"/>
        <w:rPr>
          <w:rStyle w:val="eop"/>
          <w:rFonts w:ascii="Arial" w:hAnsi="Arial" w:cs="Arial"/>
        </w:rPr>
      </w:pPr>
    </w:p>
    <w:p w14:paraId="7A1D0A82"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Vygotsky, L.S. (1998). The collected works of L.S. Vygotsky. Vol. 5. Child psychology. New York, NY: Springer Science+Business Media LLC.</w:t>
      </w:r>
      <w:r w:rsidRPr="5A5A026C">
        <w:rPr>
          <w:rStyle w:val="eop"/>
          <w:rFonts w:ascii="Arial" w:hAnsi="Arial" w:cs="Arial"/>
        </w:rPr>
        <w:t> </w:t>
      </w:r>
    </w:p>
    <w:p w14:paraId="2E51B298" w14:textId="566BB169" w:rsidR="5A5A026C" w:rsidRDefault="5A5A026C" w:rsidP="5A5A026C">
      <w:pPr>
        <w:pStyle w:val="paragraph"/>
        <w:spacing w:before="0" w:beforeAutospacing="0" w:after="0" w:afterAutospacing="0"/>
        <w:rPr>
          <w:rStyle w:val="eop"/>
          <w:rFonts w:ascii="Arial" w:hAnsi="Arial" w:cs="Arial"/>
        </w:rPr>
      </w:pPr>
    </w:p>
    <w:p w14:paraId="4729188F"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Walker, G. (2014), ‘</w:t>
      </w:r>
      <w:r w:rsidRPr="5A5A026C">
        <w:rPr>
          <w:rStyle w:val="normaltextrun"/>
          <w:rFonts w:ascii="Arial" w:hAnsi="Arial" w:cs="Arial"/>
          <w:i/>
          <w:iCs/>
        </w:rPr>
        <w:t>The significance of Jerome Bruner’ </w:t>
      </w:r>
      <w:r w:rsidRPr="5A5A026C">
        <w:rPr>
          <w:rStyle w:val="normaltextrun"/>
          <w:rFonts w:ascii="Arial" w:hAnsi="Arial" w:cs="Arial"/>
        </w:rPr>
        <w:t>International Schools Journal; Apr2014, Vol. 33 Issue 2, p8-15, 8p available at  </w:t>
      </w:r>
      <w:hyperlink r:id="rId13">
        <w:r w:rsidRPr="5A5A026C">
          <w:rPr>
            <w:rStyle w:val="normaltextrun"/>
            <w:rFonts w:ascii="Arial" w:hAnsi="Arial" w:cs="Arial"/>
            <w:u w:val="single"/>
          </w:rPr>
          <w:t>https://web-a-ebscohost-com.ezproxy.uwtsd.ac.uk/ehost/pdfviewer/pdfviewer?vid=1&amp;sid=e5b32de8-f5a7-4ede-af24-e8cc868e9fa0%40sdc-v-sessmgr03</w:t>
        </w:r>
      </w:hyperlink>
      <w:r w:rsidRPr="5A5A026C">
        <w:rPr>
          <w:rStyle w:val="normaltextrun"/>
          <w:rFonts w:ascii="Arial" w:hAnsi="Arial" w:cs="Arial"/>
        </w:rPr>
        <w:t> (accessed on 31 October 2018)</w:t>
      </w:r>
      <w:r w:rsidRPr="5A5A026C">
        <w:rPr>
          <w:rStyle w:val="eop"/>
          <w:rFonts w:ascii="Arial" w:hAnsi="Arial" w:cs="Arial"/>
        </w:rPr>
        <w:t> </w:t>
      </w:r>
    </w:p>
    <w:p w14:paraId="3F7C9AD6" w14:textId="6698C83F" w:rsidR="5A5A026C" w:rsidRDefault="5A5A026C" w:rsidP="5A5A026C">
      <w:pPr>
        <w:pStyle w:val="paragraph"/>
        <w:spacing w:before="0" w:beforeAutospacing="0" w:after="0" w:afterAutospacing="0"/>
        <w:rPr>
          <w:rStyle w:val="eop"/>
          <w:rFonts w:ascii="Arial" w:hAnsi="Arial" w:cs="Arial"/>
        </w:rPr>
      </w:pPr>
    </w:p>
    <w:p w14:paraId="0E9FFF31"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Welsh Assembly Government (2014), ‘</w:t>
      </w:r>
      <w:r w:rsidRPr="5A5A026C">
        <w:rPr>
          <w:rStyle w:val="normaltextrun"/>
          <w:rFonts w:ascii="Arial" w:hAnsi="Arial" w:cs="Arial"/>
          <w:sz w:val="22"/>
          <w:szCs w:val="22"/>
        </w:rPr>
        <w:t>English Programme of Study - Key Stages 2-4' in Literacy and Numeracy Framework. Available at   </w:t>
      </w:r>
      <w:hyperlink r:id="rId14">
        <w:r w:rsidRPr="5A5A026C">
          <w:rPr>
            <w:rStyle w:val="normaltextrun"/>
            <w:rFonts w:ascii="Arial" w:hAnsi="Arial" w:cs="Arial"/>
            <w:color w:val="0563C1"/>
            <w:u w:val="single"/>
          </w:rPr>
          <w:t>http://learning.gov.wales/docs/learningwales/publications/170601-reading-across-the-curriculum.pdf</w:t>
        </w:r>
      </w:hyperlink>
      <w:r w:rsidRPr="5A5A026C">
        <w:rPr>
          <w:rStyle w:val="normaltextrun"/>
          <w:rFonts w:ascii="Arial" w:hAnsi="Arial" w:cs="Arial"/>
        </w:rPr>
        <w:t>  (accessed on 29 October 2018)</w:t>
      </w:r>
      <w:r w:rsidRPr="5A5A026C">
        <w:rPr>
          <w:rStyle w:val="eop"/>
          <w:rFonts w:ascii="Arial" w:hAnsi="Arial" w:cs="Arial"/>
        </w:rPr>
        <w:t> </w:t>
      </w:r>
    </w:p>
    <w:p w14:paraId="3B8A93EF" w14:textId="1B8B0F94" w:rsidR="5A5A026C" w:rsidRDefault="5A5A026C" w:rsidP="5A5A026C">
      <w:pPr>
        <w:pStyle w:val="paragraph"/>
        <w:spacing w:before="0" w:beforeAutospacing="0" w:after="0" w:afterAutospacing="0"/>
        <w:rPr>
          <w:rStyle w:val="eop"/>
          <w:rFonts w:ascii="Arial" w:hAnsi="Arial" w:cs="Arial"/>
        </w:rPr>
      </w:pPr>
    </w:p>
    <w:p w14:paraId="2B0DBB17" w14:textId="77777777" w:rsidR="008E062E" w:rsidRDefault="5A5A026C" w:rsidP="5A5A026C">
      <w:pPr>
        <w:pStyle w:val="paragraph"/>
        <w:spacing w:before="0" w:beforeAutospacing="0" w:after="0" w:afterAutospacing="0"/>
        <w:textAlignment w:val="baseline"/>
        <w:rPr>
          <w:rFonts w:ascii="Segoe UI" w:hAnsi="Segoe UI" w:cs="Segoe UI"/>
          <w:sz w:val="18"/>
          <w:szCs w:val="18"/>
        </w:rPr>
      </w:pPr>
      <w:r w:rsidRPr="5A5A026C">
        <w:rPr>
          <w:rStyle w:val="normaltextrun"/>
          <w:rFonts w:ascii="Arial" w:hAnsi="Arial" w:cs="Arial"/>
        </w:rPr>
        <w:t>Welsh Assembly Government (2014) “Literacy and Numeracy Framework – KS3 Reading, Comprehension” available at </w:t>
      </w:r>
      <w:hyperlink r:id="rId15">
        <w:r w:rsidRPr="5A5A026C">
          <w:rPr>
            <w:rStyle w:val="normaltextrun"/>
            <w:rFonts w:ascii="Arial" w:hAnsi="Arial" w:cs="Arial"/>
            <w:color w:val="0563C1"/>
            <w:u w:val="single"/>
          </w:rPr>
          <w:t>http://learning.gov.wales/resources/browse-all/nlnf/framework?lang=en</w:t>
        </w:r>
      </w:hyperlink>
      <w:r w:rsidRPr="5A5A026C">
        <w:rPr>
          <w:rStyle w:val="normaltextrun"/>
          <w:rFonts w:ascii="Arial" w:hAnsi="Arial" w:cs="Arial"/>
        </w:rPr>
        <w:t> (accessed on 31 October 2018) </w:t>
      </w:r>
      <w:r w:rsidRPr="5A5A026C">
        <w:rPr>
          <w:rStyle w:val="eop"/>
          <w:rFonts w:ascii="Arial" w:hAnsi="Arial" w:cs="Arial"/>
        </w:rPr>
        <w:t> </w:t>
      </w:r>
    </w:p>
    <w:p w14:paraId="63418135" w14:textId="524F34E3" w:rsidR="5A5A026C" w:rsidRDefault="5A5A026C" w:rsidP="5A5A026C">
      <w:pPr>
        <w:pStyle w:val="paragraph"/>
        <w:spacing w:before="0" w:beforeAutospacing="0" w:after="0" w:afterAutospacing="0"/>
        <w:rPr>
          <w:rStyle w:val="eop"/>
          <w:rFonts w:ascii="Arial" w:hAnsi="Arial" w:cs="Arial"/>
        </w:rPr>
      </w:pPr>
    </w:p>
    <w:p w14:paraId="48CF355A"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(2017) ‘Qualified Teacher Status Standards’ Available  online  at PDP Nicola Jones, University of Wales Trinity Saint David.</w:t>
      </w:r>
      <w:r>
        <w:rPr>
          <w:rStyle w:val="eop"/>
          <w:rFonts w:ascii="Arial" w:hAnsi="Arial" w:cs="Arial"/>
        </w:rPr>
        <w:t> </w:t>
      </w:r>
    </w:p>
    <w:p w14:paraId="503E88EC" w14:textId="77777777" w:rsidR="008E062E" w:rsidRDefault="008E062E" w:rsidP="008E062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3821797" w14:textId="73AA55D9" w:rsidR="00D10389" w:rsidRPr="00F735D4" w:rsidRDefault="008E062E" w:rsidP="00BD2C1D">
      <w:pPr>
        <w:pStyle w:val="paragraph"/>
        <w:spacing w:before="0" w:beforeAutospacing="0" w:after="0" w:afterAutospacing="0"/>
        <w:textAlignment w:val="baseline"/>
        <w:rPr>
          <w:rFonts w:ascii="Arial" w:hAnsi="Arial" w:cs="Arial"/>
          <w:sz w:val="32"/>
          <w:szCs w:val="32"/>
        </w:rPr>
      </w:pPr>
      <w:r>
        <w:rPr>
          <w:rStyle w:val="eop"/>
          <w:rFonts w:ascii="Arial" w:hAnsi="Arial" w:cs="Arial"/>
        </w:rPr>
        <w:t> </w:t>
      </w:r>
    </w:p>
    <w:p w14:paraId="1FD496D7" w14:textId="30B62F76" w:rsidR="6C39B78B" w:rsidRDefault="6C39B78B" w:rsidP="6C39B78B">
      <w:pPr>
        <w:rPr>
          <w:rFonts w:ascii="Arial" w:hAnsi="Arial" w:cs="Arial"/>
          <w:sz w:val="32"/>
          <w:szCs w:val="32"/>
        </w:rPr>
      </w:pPr>
    </w:p>
    <w:sectPr w:rsidR="6C39B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5D9A"/>
    <w:rsid w:val="008D6CE2"/>
    <w:rsid w:val="008E062E"/>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2C1D"/>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67FC5"/>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 w:val="0E456ED7"/>
    <w:rsid w:val="1AC79B19"/>
    <w:rsid w:val="30D73F05"/>
    <w:rsid w:val="5A5A026C"/>
    <w:rsid w:val="623C9303"/>
    <w:rsid w:val="6C39B78B"/>
    <w:rsid w:val="6EC3C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FE06F"/>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paragraph" w:customStyle="1" w:styleId="paragraph">
    <w:name w:val="paragraph"/>
    <w:basedOn w:val="Normal"/>
    <w:rsid w:val="008E062E"/>
    <w:pPr>
      <w:spacing w:before="100" w:beforeAutospacing="1" w:after="100" w:afterAutospacing="1"/>
    </w:pPr>
    <w:rPr>
      <w:sz w:val="24"/>
      <w:szCs w:val="24"/>
    </w:rPr>
  </w:style>
  <w:style w:type="character" w:customStyle="1" w:styleId="normaltextrun">
    <w:name w:val="normaltextrun"/>
    <w:basedOn w:val="DefaultParagraphFont"/>
    <w:rsid w:val="008E062E"/>
  </w:style>
  <w:style w:type="character" w:customStyle="1" w:styleId="eop">
    <w:name w:val="eop"/>
    <w:basedOn w:val="DefaultParagraphFont"/>
    <w:rsid w:val="008E062E"/>
  </w:style>
  <w:style w:type="character" w:customStyle="1" w:styleId="spellingerror">
    <w:name w:val="spellingerror"/>
    <w:basedOn w:val="DefaultParagraphFont"/>
    <w:rsid w:val="008E062E"/>
  </w:style>
  <w:style w:type="character" w:customStyle="1" w:styleId="advancedproofingissue">
    <w:name w:val="advancedproofingissue"/>
    <w:basedOn w:val="DefaultParagraphFont"/>
    <w:rsid w:val="008E062E"/>
  </w:style>
  <w:style w:type="character" w:customStyle="1" w:styleId="contextualspellingandgrammarerror">
    <w:name w:val="contextualspellingandgrammarerror"/>
    <w:basedOn w:val="DefaultParagraphFont"/>
    <w:rsid w:val="008E0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5580062">
      <w:bodyDiv w:val="1"/>
      <w:marLeft w:val="0"/>
      <w:marRight w:val="0"/>
      <w:marTop w:val="0"/>
      <w:marBottom w:val="0"/>
      <w:divBdr>
        <w:top w:val="none" w:sz="0" w:space="0" w:color="auto"/>
        <w:left w:val="none" w:sz="0" w:space="0" w:color="auto"/>
        <w:bottom w:val="none" w:sz="0" w:space="0" w:color="auto"/>
        <w:right w:val="none" w:sz="0" w:space="0" w:color="auto"/>
      </w:divBdr>
      <w:divsChild>
        <w:div w:id="2105572399">
          <w:marLeft w:val="0"/>
          <w:marRight w:val="0"/>
          <w:marTop w:val="0"/>
          <w:marBottom w:val="0"/>
          <w:divBdr>
            <w:top w:val="none" w:sz="0" w:space="0" w:color="auto"/>
            <w:left w:val="none" w:sz="0" w:space="0" w:color="auto"/>
            <w:bottom w:val="none" w:sz="0" w:space="0" w:color="auto"/>
            <w:right w:val="none" w:sz="0" w:space="0" w:color="auto"/>
          </w:divBdr>
        </w:div>
        <w:div w:id="1184519131">
          <w:marLeft w:val="0"/>
          <w:marRight w:val="0"/>
          <w:marTop w:val="0"/>
          <w:marBottom w:val="0"/>
          <w:divBdr>
            <w:top w:val="none" w:sz="0" w:space="0" w:color="auto"/>
            <w:left w:val="none" w:sz="0" w:space="0" w:color="auto"/>
            <w:bottom w:val="none" w:sz="0" w:space="0" w:color="auto"/>
            <w:right w:val="none" w:sz="0" w:space="0" w:color="auto"/>
          </w:divBdr>
        </w:div>
        <w:div w:id="153617207">
          <w:marLeft w:val="0"/>
          <w:marRight w:val="0"/>
          <w:marTop w:val="0"/>
          <w:marBottom w:val="0"/>
          <w:divBdr>
            <w:top w:val="none" w:sz="0" w:space="0" w:color="auto"/>
            <w:left w:val="none" w:sz="0" w:space="0" w:color="auto"/>
            <w:bottom w:val="none" w:sz="0" w:space="0" w:color="auto"/>
            <w:right w:val="none" w:sz="0" w:space="0" w:color="auto"/>
          </w:divBdr>
        </w:div>
        <w:div w:id="1302422913">
          <w:marLeft w:val="0"/>
          <w:marRight w:val="0"/>
          <w:marTop w:val="0"/>
          <w:marBottom w:val="0"/>
          <w:divBdr>
            <w:top w:val="none" w:sz="0" w:space="0" w:color="auto"/>
            <w:left w:val="none" w:sz="0" w:space="0" w:color="auto"/>
            <w:bottom w:val="none" w:sz="0" w:space="0" w:color="auto"/>
            <w:right w:val="none" w:sz="0" w:space="0" w:color="auto"/>
          </w:divBdr>
        </w:div>
        <w:div w:id="793910376">
          <w:marLeft w:val="0"/>
          <w:marRight w:val="0"/>
          <w:marTop w:val="0"/>
          <w:marBottom w:val="0"/>
          <w:divBdr>
            <w:top w:val="none" w:sz="0" w:space="0" w:color="auto"/>
            <w:left w:val="none" w:sz="0" w:space="0" w:color="auto"/>
            <w:bottom w:val="none" w:sz="0" w:space="0" w:color="auto"/>
            <w:right w:val="none" w:sz="0" w:space="0" w:color="auto"/>
          </w:divBdr>
        </w:div>
        <w:div w:id="1555435116">
          <w:marLeft w:val="0"/>
          <w:marRight w:val="0"/>
          <w:marTop w:val="0"/>
          <w:marBottom w:val="0"/>
          <w:divBdr>
            <w:top w:val="none" w:sz="0" w:space="0" w:color="auto"/>
            <w:left w:val="none" w:sz="0" w:space="0" w:color="auto"/>
            <w:bottom w:val="none" w:sz="0" w:space="0" w:color="auto"/>
            <w:right w:val="none" w:sz="0" w:space="0" w:color="auto"/>
          </w:divBdr>
        </w:div>
        <w:div w:id="1250458080">
          <w:marLeft w:val="0"/>
          <w:marRight w:val="0"/>
          <w:marTop w:val="0"/>
          <w:marBottom w:val="0"/>
          <w:divBdr>
            <w:top w:val="none" w:sz="0" w:space="0" w:color="auto"/>
            <w:left w:val="none" w:sz="0" w:space="0" w:color="auto"/>
            <w:bottom w:val="none" w:sz="0" w:space="0" w:color="auto"/>
            <w:right w:val="none" w:sz="0" w:space="0" w:color="auto"/>
          </w:divBdr>
        </w:div>
        <w:div w:id="848563677">
          <w:marLeft w:val="0"/>
          <w:marRight w:val="0"/>
          <w:marTop w:val="0"/>
          <w:marBottom w:val="0"/>
          <w:divBdr>
            <w:top w:val="none" w:sz="0" w:space="0" w:color="auto"/>
            <w:left w:val="none" w:sz="0" w:space="0" w:color="auto"/>
            <w:bottom w:val="none" w:sz="0" w:space="0" w:color="auto"/>
            <w:right w:val="none" w:sz="0" w:space="0" w:color="auto"/>
          </w:divBdr>
        </w:div>
        <w:div w:id="1468280582">
          <w:marLeft w:val="0"/>
          <w:marRight w:val="0"/>
          <w:marTop w:val="0"/>
          <w:marBottom w:val="0"/>
          <w:divBdr>
            <w:top w:val="none" w:sz="0" w:space="0" w:color="auto"/>
            <w:left w:val="none" w:sz="0" w:space="0" w:color="auto"/>
            <w:bottom w:val="none" w:sz="0" w:space="0" w:color="auto"/>
            <w:right w:val="none" w:sz="0" w:space="0" w:color="auto"/>
          </w:divBdr>
        </w:div>
        <w:div w:id="317727288">
          <w:marLeft w:val="0"/>
          <w:marRight w:val="0"/>
          <w:marTop w:val="0"/>
          <w:marBottom w:val="0"/>
          <w:divBdr>
            <w:top w:val="none" w:sz="0" w:space="0" w:color="auto"/>
            <w:left w:val="none" w:sz="0" w:space="0" w:color="auto"/>
            <w:bottom w:val="none" w:sz="0" w:space="0" w:color="auto"/>
            <w:right w:val="none" w:sz="0" w:space="0" w:color="auto"/>
          </w:divBdr>
        </w:div>
        <w:div w:id="1032074983">
          <w:marLeft w:val="0"/>
          <w:marRight w:val="0"/>
          <w:marTop w:val="0"/>
          <w:marBottom w:val="0"/>
          <w:divBdr>
            <w:top w:val="none" w:sz="0" w:space="0" w:color="auto"/>
            <w:left w:val="none" w:sz="0" w:space="0" w:color="auto"/>
            <w:bottom w:val="none" w:sz="0" w:space="0" w:color="auto"/>
            <w:right w:val="none" w:sz="0" w:space="0" w:color="auto"/>
          </w:divBdr>
        </w:div>
        <w:div w:id="1128549803">
          <w:marLeft w:val="0"/>
          <w:marRight w:val="0"/>
          <w:marTop w:val="0"/>
          <w:marBottom w:val="0"/>
          <w:divBdr>
            <w:top w:val="none" w:sz="0" w:space="0" w:color="auto"/>
            <w:left w:val="none" w:sz="0" w:space="0" w:color="auto"/>
            <w:bottom w:val="none" w:sz="0" w:space="0" w:color="auto"/>
            <w:right w:val="none" w:sz="0" w:space="0" w:color="auto"/>
          </w:divBdr>
        </w:div>
        <w:div w:id="699934704">
          <w:marLeft w:val="0"/>
          <w:marRight w:val="0"/>
          <w:marTop w:val="0"/>
          <w:marBottom w:val="0"/>
          <w:divBdr>
            <w:top w:val="none" w:sz="0" w:space="0" w:color="auto"/>
            <w:left w:val="none" w:sz="0" w:space="0" w:color="auto"/>
            <w:bottom w:val="none" w:sz="0" w:space="0" w:color="auto"/>
            <w:right w:val="none" w:sz="0" w:space="0" w:color="auto"/>
          </w:divBdr>
        </w:div>
        <w:div w:id="1223370383">
          <w:marLeft w:val="0"/>
          <w:marRight w:val="0"/>
          <w:marTop w:val="0"/>
          <w:marBottom w:val="0"/>
          <w:divBdr>
            <w:top w:val="none" w:sz="0" w:space="0" w:color="auto"/>
            <w:left w:val="none" w:sz="0" w:space="0" w:color="auto"/>
            <w:bottom w:val="none" w:sz="0" w:space="0" w:color="auto"/>
            <w:right w:val="none" w:sz="0" w:space="0" w:color="auto"/>
          </w:divBdr>
        </w:div>
        <w:div w:id="1154642898">
          <w:marLeft w:val="0"/>
          <w:marRight w:val="0"/>
          <w:marTop w:val="0"/>
          <w:marBottom w:val="0"/>
          <w:divBdr>
            <w:top w:val="none" w:sz="0" w:space="0" w:color="auto"/>
            <w:left w:val="none" w:sz="0" w:space="0" w:color="auto"/>
            <w:bottom w:val="none" w:sz="0" w:space="0" w:color="auto"/>
            <w:right w:val="none" w:sz="0" w:space="0" w:color="auto"/>
          </w:divBdr>
        </w:div>
        <w:div w:id="2010332346">
          <w:marLeft w:val="0"/>
          <w:marRight w:val="0"/>
          <w:marTop w:val="0"/>
          <w:marBottom w:val="0"/>
          <w:divBdr>
            <w:top w:val="none" w:sz="0" w:space="0" w:color="auto"/>
            <w:left w:val="none" w:sz="0" w:space="0" w:color="auto"/>
            <w:bottom w:val="none" w:sz="0" w:space="0" w:color="auto"/>
            <w:right w:val="none" w:sz="0" w:space="0" w:color="auto"/>
          </w:divBdr>
        </w:div>
        <w:div w:id="982351461">
          <w:marLeft w:val="0"/>
          <w:marRight w:val="0"/>
          <w:marTop w:val="0"/>
          <w:marBottom w:val="0"/>
          <w:divBdr>
            <w:top w:val="none" w:sz="0" w:space="0" w:color="auto"/>
            <w:left w:val="none" w:sz="0" w:space="0" w:color="auto"/>
            <w:bottom w:val="none" w:sz="0" w:space="0" w:color="auto"/>
            <w:right w:val="none" w:sz="0" w:space="0" w:color="auto"/>
          </w:divBdr>
        </w:div>
        <w:div w:id="238714398">
          <w:marLeft w:val="0"/>
          <w:marRight w:val="0"/>
          <w:marTop w:val="0"/>
          <w:marBottom w:val="0"/>
          <w:divBdr>
            <w:top w:val="none" w:sz="0" w:space="0" w:color="auto"/>
            <w:left w:val="none" w:sz="0" w:space="0" w:color="auto"/>
            <w:bottom w:val="none" w:sz="0" w:space="0" w:color="auto"/>
            <w:right w:val="none" w:sz="0" w:space="0" w:color="auto"/>
          </w:divBdr>
        </w:div>
        <w:div w:id="1630430955">
          <w:marLeft w:val="0"/>
          <w:marRight w:val="0"/>
          <w:marTop w:val="0"/>
          <w:marBottom w:val="0"/>
          <w:divBdr>
            <w:top w:val="none" w:sz="0" w:space="0" w:color="auto"/>
            <w:left w:val="none" w:sz="0" w:space="0" w:color="auto"/>
            <w:bottom w:val="none" w:sz="0" w:space="0" w:color="auto"/>
            <w:right w:val="none" w:sz="0" w:space="0" w:color="auto"/>
          </w:divBdr>
        </w:div>
        <w:div w:id="1876772090">
          <w:marLeft w:val="0"/>
          <w:marRight w:val="0"/>
          <w:marTop w:val="0"/>
          <w:marBottom w:val="0"/>
          <w:divBdr>
            <w:top w:val="none" w:sz="0" w:space="0" w:color="auto"/>
            <w:left w:val="none" w:sz="0" w:space="0" w:color="auto"/>
            <w:bottom w:val="none" w:sz="0" w:space="0" w:color="auto"/>
            <w:right w:val="none" w:sz="0" w:space="0" w:color="auto"/>
          </w:divBdr>
        </w:div>
        <w:div w:id="1384600659">
          <w:marLeft w:val="0"/>
          <w:marRight w:val="0"/>
          <w:marTop w:val="0"/>
          <w:marBottom w:val="0"/>
          <w:divBdr>
            <w:top w:val="none" w:sz="0" w:space="0" w:color="auto"/>
            <w:left w:val="none" w:sz="0" w:space="0" w:color="auto"/>
            <w:bottom w:val="none" w:sz="0" w:space="0" w:color="auto"/>
            <w:right w:val="none" w:sz="0" w:space="0" w:color="auto"/>
          </w:divBdr>
        </w:div>
        <w:div w:id="118761473">
          <w:marLeft w:val="0"/>
          <w:marRight w:val="0"/>
          <w:marTop w:val="0"/>
          <w:marBottom w:val="0"/>
          <w:divBdr>
            <w:top w:val="none" w:sz="0" w:space="0" w:color="auto"/>
            <w:left w:val="none" w:sz="0" w:space="0" w:color="auto"/>
            <w:bottom w:val="none" w:sz="0" w:space="0" w:color="auto"/>
            <w:right w:val="none" w:sz="0" w:space="0" w:color="auto"/>
          </w:divBdr>
        </w:div>
        <w:div w:id="1271666717">
          <w:marLeft w:val="0"/>
          <w:marRight w:val="0"/>
          <w:marTop w:val="0"/>
          <w:marBottom w:val="0"/>
          <w:divBdr>
            <w:top w:val="none" w:sz="0" w:space="0" w:color="auto"/>
            <w:left w:val="none" w:sz="0" w:space="0" w:color="auto"/>
            <w:bottom w:val="none" w:sz="0" w:space="0" w:color="auto"/>
            <w:right w:val="none" w:sz="0" w:space="0" w:color="auto"/>
          </w:divBdr>
        </w:div>
        <w:div w:id="749423585">
          <w:marLeft w:val="0"/>
          <w:marRight w:val="0"/>
          <w:marTop w:val="0"/>
          <w:marBottom w:val="0"/>
          <w:divBdr>
            <w:top w:val="none" w:sz="0" w:space="0" w:color="auto"/>
            <w:left w:val="none" w:sz="0" w:space="0" w:color="auto"/>
            <w:bottom w:val="none" w:sz="0" w:space="0" w:color="auto"/>
            <w:right w:val="none" w:sz="0" w:space="0" w:color="auto"/>
          </w:divBdr>
        </w:div>
        <w:div w:id="672028756">
          <w:marLeft w:val="0"/>
          <w:marRight w:val="0"/>
          <w:marTop w:val="0"/>
          <w:marBottom w:val="0"/>
          <w:divBdr>
            <w:top w:val="none" w:sz="0" w:space="0" w:color="auto"/>
            <w:left w:val="none" w:sz="0" w:space="0" w:color="auto"/>
            <w:bottom w:val="none" w:sz="0" w:space="0" w:color="auto"/>
            <w:right w:val="none" w:sz="0" w:space="0" w:color="auto"/>
          </w:divBdr>
        </w:div>
        <w:div w:id="646665514">
          <w:marLeft w:val="0"/>
          <w:marRight w:val="0"/>
          <w:marTop w:val="0"/>
          <w:marBottom w:val="0"/>
          <w:divBdr>
            <w:top w:val="none" w:sz="0" w:space="0" w:color="auto"/>
            <w:left w:val="none" w:sz="0" w:space="0" w:color="auto"/>
            <w:bottom w:val="none" w:sz="0" w:space="0" w:color="auto"/>
            <w:right w:val="none" w:sz="0" w:space="0" w:color="auto"/>
          </w:divBdr>
        </w:div>
        <w:div w:id="1177429060">
          <w:marLeft w:val="0"/>
          <w:marRight w:val="0"/>
          <w:marTop w:val="0"/>
          <w:marBottom w:val="0"/>
          <w:divBdr>
            <w:top w:val="none" w:sz="0" w:space="0" w:color="auto"/>
            <w:left w:val="none" w:sz="0" w:space="0" w:color="auto"/>
            <w:bottom w:val="none" w:sz="0" w:space="0" w:color="auto"/>
            <w:right w:val="none" w:sz="0" w:space="0" w:color="auto"/>
          </w:divBdr>
        </w:div>
        <w:div w:id="1750153205">
          <w:marLeft w:val="0"/>
          <w:marRight w:val="0"/>
          <w:marTop w:val="0"/>
          <w:marBottom w:val="0"/>
          <w:divBdr>
            <w:top w:val="none" w:sz="0" w:space="0" w:color="auto"/>
            <w:left w:val="none" w:sz="0" w:space="0" w:color="auto"/>
            <w:bottom w:val="none" w:sz="0" w:space="0" w:color="auto"/>
            <w:right w:val="none" w:sz="0" w:space="0" w:color="auto"/>
          </w:divBdr>
        </w:div>
        <w:div w:id="1295910586">
          <w:marLeft w:val="0"/>
          <w:marRight w:val="0"/>
          <w:marTop w:val="0"/>
          <w:marBottom w:val="0"/>
          <w:divBdr>
            <w:top w:val="none" w:sz="0" w:space="0" w:color="auto"/>
            <w:left w:val="none" w:sz="0" w:space="0" w:color="auto"/>
            <w:bottom w:val="none" w:sz="0" w:space="0" w:color="auto"/>
            <w:right w:val="none" w:sz="0" w:space="0" w:color="auto"/>
          </w:divBdr>
        </w:div>
        <w:div w:id="493959394">
          <w:marLeft w:val="0"/>
          <w:marRight w:val="0"/>
          <w:marTop w:val="0"/>
          <w:marBottom w:val="0"/>
          <w:divBdr>
            <w:top w:val="none" w:sz="0" w:space="0" w:color="auto"/>
            <w:left w:val="none" w:sz="0" w:space="0" w:color="auto"/>
            <w:bottom w:val="none" w:sz="0" w:space="0" w:color="auto"/>
            <w:right w:val="none" w:sz="0" w:space="0" w:color="auto"/>
          </w:divBdr>
        </w:div>
        <w:div w:id="1497652239">
          <w:marLeft w:val="0"/>
          <w:marRight w:val="0"/>
          <w:marTop w:val="0"/>
          <w:marBottom w:val="0"/>
          <w:divBdr>
            <w:top w:val="none" w:sz="0" w:space="0" w:color="auto"/>
            <w:left w:val="none" w:sz="0" w:space="0" w:color="auto"/>
            <w:bottom w:val="none" w:sz="0" w:space="0" w:color="auto"/>
            <w:right w:val="none" w:sz="0" w:space="0" w:color="auto"/>
          </w:divBdr>
        </w:div>
        <w:div w:id="1377388251">
          <w:marLeft w:val="0"/>
          <w:marRight w:val="0"/>
          <w:marTop w:val="0"/>
          <w:marBottom w:val="0"/>
          <w:divBdr>
            <w:top w:val="none" w:sz="0" w:space="0" w:color="auto"/>
            <w:left w:val="none" w:sz="0" w:space="0" w:color="auto"/>
            <w:bottom w:val="none" w:sz="0" w:space="0" w:color="auto"/>
            <w:right w:val="none" w:sz="0" w:space="0" w:color="auto"/>
          </w:divBdr>
        </w:div>
        <w:div w:id="1243829001">
          <w:marLeft w:val="0"/>
          <w:marRight w:val="0"/>
          <w:marTop w:val="0"/>
          <w:marBottom w:val="0"/>
          <w:divBdr>
            <w:top w:val="none" w:sz="0" w:space="0" w:color="auto"/>
            <w:left w:val="none" w:sz="0" w:space="0" w:color="auto"/>
            <w:bottom w:val="none" w:sz="0" w:space="0" w:color="auto"/>
            <w:right w:val="none" w:sz="0" w:space="0" w:color="auto"/>
          </w:divBdr>
        </w:div>
        <w:div w:id="354232388">
          <w:marLeft w:val="0"/>
          <w:marRight w:val="0"/>
          <w:marTop w:val="0"/>
          <w:marBottom w:val="0"/>
          <w:divBdr>
            <w:top w:val="none" w:sz="0" w:space="0" w:color="auto"/>
            <w:left w:val="none" w:sz="0" w:space="0" w:color="auto"/>
            <w:bottom w:val="none" w:sz="0" w:space="0" w:color="auto"/>
            <w:right w:val="none" w:sz="0" w:space="0" w:color="auto"/>
          </w:divBdr>
        </w:div>
        <w:div w:id="1298299816">
          <w:marLeft w:val="0"/>
          <w:marRight w:val="0"/>
          <w:marTop w:val="0"/>
          <w:marBottom w:val="0"/>
          <w:divBdr>
            <w:top w:val="none" w:sz="0" w:space="0" w:color="auto"/>
            <w:left w:val="none" w:sz="0" w:space="0" w:color="auto"/>
            <w:bottom w:val="none" w:sz="0" w:space="0" w:color="auto"/>
            <w:right w:val="none" w:sz="0" w:space="0" w:color="auto"/>
          </w:divBdr>
        </w:div>
        <w:div w:id="134563812">
          <w:marLeft w:val="0"/>
          <w:marRight w:val="0"/>
          <w:marTop w:val="0"/>
          <w:marBottom w:val="0"/>
          <w:divBdr>
            <w:top w:val="none" w:sz="0" w:space="0" w:color="auto"/>
            <w:left w:val="none" w:sz="0" w:space="0" w:color="auto"/>
            <w:bottom w:val="none" w:sz="0" w:space="0" w:color="auto"/>
            <w:right w:val="none" w:sz="0" w:space="0" w:color="auto"/>
          </w:divBdr>
        </w:div>
        <w:div w:id="586574872">
          <w:marLeft w:val="0"/>
          <w:marRight w:val="0"/>
          <w:marTop w:val="0"/>
          <w:marBottom w:val="0"/>
          <w:divBdr>
            <w:top w:val="none" w:sz="0" w:space="0" w:color="auto"/>
            <w:left w:val="none" w:sz="0" w:space="0" w:color="auto"/>
            <w:bottom w:val="none" w:sz="0" w:space="0" w:color="auto"/>
            <w:right w:val="none" w:sz="0" w:space="0" w:color="auto"/>
          </w:divBdr>
        </w:div>
        <w:div w:id="1843230715">
          <w:marLeft w:val="0"/>
          <w:marRight w:val="0"/>
          <w:marTop w:val="0"/>
          <w:marBottom w:val="0"/>
          <w:divBdr>
            <w:top w:val="none" w:sz="0" w:space="0" w:color="auto"/>
            <w:left w:val="none" w:sz="0" w:space="0" w:color="auto"/>
            <w:bottom w:val="none" w:sz="0" w:space="0" w:color="auto"/>
            <w:right w:val="none" w:sz="0" w:space="0" w:color="auto"/>
          </w:divBdr>
        </w:div>
        <w:div w:id="1984693572">
          <w:marLeft w:val="0"/>
          <w:marRight w:val="0"/>
          <w:marTop w:val="0"/>
          <w:marBottom w:val="0"/>
          <w:divBdr>
            <w:top w:val="none" w:sz="0" w:space="0" w:color="auto"/>
            <w:left w:val="none" w:sz="0" w:space="0" w:color="auto"/>
            <w:bottom w:val="none" w:sz="0" w:space="0" w:color="auto"/>
            <w:right w:val="none" w:sz="0" w:space="0" w:color="auto"/>
          </w:divBdr>
        </w:div>
        <w:div w:id="2054499480">
          <w:marLeft w:val="0"/>
          <w:marRight w:val="0"/>
          <w:marTop w:val="0"/>
          <w:marBottom w:val="0"/>
          <w:divBdr>
            <w:top w:val="none" w:sz="0" w:space="0" w:color="auto"/>
            <w:left w:val="none" w:sz="0" w:space="0" w:color="auto"/>
            <w:bottom w:val="none" w:sz="0" w:space="0" w:color="auto"/>
            <w:right w:val="none" w:sz="0" w:space="0" w:color="auto"/>
          </w:divBdr>
        </w:div>
        <w:div w:id="1501391842">
          <w:marLeft w:val="0"/>
          <w:marRight w:val="0"/>
          <w:marTop w:val="0"/>
          <w:marBottom w:val="0"/>
          <w:divBdr>
            <w:top w:val="none" w:sz="0" w:space="0" w:color="auto"/>
            <w:left w:val="none" w:sz="0" w:space="0" w:color="auto"/>
            <w:bottom w:val="none" w:sz="0" w:space="0" w:color="auto"/>
            <w:right w:val="none" w:sz="0" w:space="0" w:color="auto"/>
          </w:divBdr>
        </w:div>
        <w:div w:id="1692996894">
          <w:marLeft w:val="0"/>
          <w:marRight w:val="0"/>
          <w:marTop w:val="0"/>
          <w:marBottom w:val="0"/>
          <w:divBdr>
            <w:top w:val="none" w:sz="0" w:space="0" w:color="auto"/>
            <w:left w:val="none" w:sz="0" w:space="0" w:color="auto"/>
            <w:bottom w:val="none" w:sz="0" w:space="0" w:color="auto"/>
            <w:right w:val="none" w:sz="0" w:space="0" w:color="auto"/>
          </w:divBdr>
        </w:div>
        <w:div w:id="724525358">
          <w:marLeft w:val="0"/>
          <w:marRight w:val="0"/>
          <w:marTop w:val="0"/>
          <w:marBottom w:val="0"/>
          <w:divBdr>
            <w:top w:val="none" w:sz="0" w:space="0" w:color="auto"/>
            <w:left w:val="none" w:sz="0" w:space="0" w:color="auto"/>
            <w:bottom w:val="none" w:sz="0" w:space="0" w:color="auto"/>
            <w:right w:val="none" w:sz="0" w:space="0" w:color="auto"/>
          </w:divBdr>
        </w:div>
        <w:div w:id="1239943102">
          <w:marLeft w:val="0"/>
          <w:marRight w:val="0"/>
          <w:marTop w:val="0"/>
          <w:marBottom w:val="0"/>
          <w:divBdr>
            <w:top w:val="none" w:sz="0" w:space="0" w:color="auto"/>
            <w:left w:val="none" w:sz="0" w:space="0" w:color="auto"/>
            <w:bottom w:val="none" w:sz="0" w:space="0" w:color="auto"/>
            <w:right w:val="none" w:sz="0" w:space="0" w:color="auto"/>
          </w:divBdr>
        </w:div>
        <w:div w:id="309290355">
          <w:marLeft w:val="0"/>
          <w:marRight w:val="0"/>
          <w:marTop w:val="0"/>
          <w:marBottom w:val="0"/>
          <w:divBdr>
            <w:top w:val="none" w:sz="0" w:space="0" w:color="auto"/>
            <w:left w:val="none" w:sz="0" w:space="0" w:color="auto"/>
            <w:bottom w:val="none" w:sz="0" w:space="0" w:color="auto"/>
            <w:right w:val="none" w:sz="0" w:space="0" w:color="auto"/>
          </w:divBdr>
        </w:div>
        <w:div w:id="102773121">
          <w:marLeft w:val="0"/>
          <w:marRight w:val="0"/>
          <w:marTop w:val="0"/>
          <w:marBottom w:val="0"/>
          <w:divBdr>
            <w:top w:val="none" w:sz="0" w:space="0" w:color="auto"/>
            <w:left w:val="none" w:sz="0" w:space="0" w:color="auto"/>
            <w:bottom w:val="none" w:sz="0" w:space="0" w:color="auto"/>
            <w:right w:val="none" w:sz="0" w:space="0" w:color="auto"/>
          </w:divBdr>
        </w:div>
        <w:div w:id="1005745833">
          <w:marLeft w:val="0"/>
          <w:marRight w:val="0"/>
          <w:marTop w:val="0"/>
          <w:marBottom w:val="0"/>
          <w:divBdr>
            <w:top w:val="none" w:sz="0" w:space="0" w:color="auto"/>
            <w:left w:val="none" w:sz="0" w:space="0" w:color="auto"/>
            <w:bottom w:val="none" w:sz="0" w:space="0" w:color="auto"/>
            <w:right w:val="none" w:sz="0" w:space="0" w:color="auto"/>
          </w:divBdr>
        </w:div>
        <w:div w:id="1735423053">
          <w:marLeft w:val="0"/>
          <w:marRight w:val="0"/>
          <w:marTop w:val="0"/>
          <w:marBottom w:val="0"/>
          <w:divBdr>
            <w:top w:val="none" w:sz="0" w:space="0" w:color="auto"/>
            <w:left w:val="none" w:sz="0" w:space="0" w:color="auto"/>
            <w:bottom w:val="none" w:sz="0" w:space="0" w:color="auto"/>
            <w:right w:val="none" w:sz="0" w:space="0" w:color="auto"/>
          </w:divBdr>
        </w:div>
        <w:div w:id="1174149369">
          <w:marLeft w:val="0"/>
          <w:marRight w:val="0"/>
          <w:marTop w:val="0"/>
          <w:marBottom w:val="0"/>
          <w:divBdr>
            <w:top w:val="none" w:sz="0" w:space="0" w:color="auto"/>
            <w:left w:val="none" w:sz="0" w:space="0" w:color="auto"/>
            <w:bottom w:val="none" w:sz="0" w:space="0" w:color="auto"/>
            <w:right w:val="none" w:sz="0" w:space="0" w:color="auto"/>
          </w:divBdr>
        </w:div>
        <w:div w:id="403526804">
          <w:marLeft w:val="0"/>
          <w:marRight w:val="0"/>
          <w:marTop w:val="0"/>
          <w:marBottom w:val="0"/>
          <w:divBdr>
            <w:top w:val="none" w:sz="0" w:space="0" w:color="auto"/>
            <w:left w:val="none" w:sz="0" w:space="0" w:color="auto"/>
            <w:bottom w:val="none" w:sz="0" w:space="0" w:color="auto"/>
            <w:right w:val="none" w:sz="0" w:space="0" w:color="auto"/>
          </w:divBdr>
        </w:div>
        <w:div w:id="1234701588">
          <w:marLeft w:val="0"/>
          <w:marRight w:val="0"/>
          <w:marTop w:val="0"/>
          <w:marBottom w:val="0"/>
          <w:divBdr>
            <w:top w:val="none" w:sz="0" w:space="0" w:color="auto"/>
            <w:left w:val="none" w:sz="0" w:space="0" w:color="auto"/>
            <w:bottom w:val="none" w:sz="0" w:space="0" w:color="auto"/>
            <w:right w:val="none" w:sz="0" w:space="0" w:color="auto"/>
          </w:divBdr>
        </w:div>
        <w:div w:id="904216958">
          <w:marLeft w:val="0"/>
          <w:marRight w:val="0"/>
          <w:marTop w:val="0"/>
          <w:marBottom w:val="0"/>
          <w:divBdr>
            <w:top w:val="none" w:sz="0" w:space="0" w:color="auto"/>
            <w:left w:val="none" w:sz="0" w:space="0" w:color="auto"/>
            <w:bottom w:val="none" w:sz="0" w:space="0" w:color="auto"/>
            <w:right w:val="none" w:sz="0" w:space="0" w:color="auto"/>
          </w:divBdr>
        </w:div>
        <w:div w:id="448427697">
          <w:marLeft w:val="0"/>
          <w:marRight w:val="0"/>
          <w:marTop w:val="0"/>
          <w:marBottom w:val="0"/>
          <w:divBdr>
            <w:top w:val="none" w:sz="0" w:space="0" w:color="auto"/>
            <w:left w:val="none" w:sz="0" w:space="0" w:color="auto"/>
            <w:bottom w:val="none" w:sz="0" w:space="0" w:color="auto"/>
            <w:right w:val="none" w:sz="0" w:space="0" w:color="auto"/>
          </w:divBdr>
        </w:div>
        <w:div w:id="201403858">
          <w:marLeft w:val="0"/>
          <w:marRight w:val="0"/>
          <w:marTop w:val="0"/>
          <w:marBottom w:val="0"/>
          <w:divBdr>
            <w:top w:val="none" w:sz="0" w:space="0" w:color="auto"/>
            <w:left w:val="none" w:sz="0" w:space="0" w:color="auto"/>
            <w:bottom w:val="none" w:sz="0" w:space="0" w:color="auto"/>
            <w:right w:val="none" w:sz="0" w:space="0" w:color="auto"/>
          </w:divBdr>
        </w:div>
        <w:div w:id="1818565995">
          <w:marLeft w:val="0"/>
          <w:marRight w:val="0"/>
          <w:marTop w:val="0"/>
          <w:marBottom w:val="0"/>
          <w:divBdr>
            <w:top w:val="none" w:sz="0" w:space="0" w:color="auto"/>
            <w:left w:val="none" w:sz="0" w:space="0" w:color="auto"/>
            <w:bottom w:val="none" w:sz="0" w:space="0" w:color="auto"/>
            <w:right w:val="none" w:sz="0" w:space="0" w:color="auto"/>
          </w:divBdr>
        </w:div>
        <w:div w:id="733620488">
          <w:marLeft w:val="0"/>
          <w:marRight w:val="0"/>
          <w:marTop w:val="0"/>
          <w:marBottom w:val="0"/>
          <w:divBdr>
            <w:top w:val="none" w:sz="0" w:space="0" w:color="auto"/>
            <w:left w:val="none" w:sz="0" w:space="0" w:color="auto"/>
            <w:bottom w:val="none" w:sz="0" w:space="0" w:color="auto"/>
            <w:right w:val="none" w:sz="0" w:space="0" w:color="auto"/>
          </w:divBdr>
        </w:div>
        <w:div w:id="741685215">
          <w:marLeft w:val="0"/>
          <w:marRight w:val="0"/>
          <w:marTop w:val="0"/>
          <w:marBottom w:val="0"/>
          <w:divBdr>
            <w:top w:val="none" w:sz="0" w:space="0" w:color="auto"/>
            <w:left w:val="none" w:sz="0" w:space="0" w:color="auto"/>
            <w:bottom w:val="none" w:sz="0" w:space="0" w:color="auto"/>
            <w:right w:val="none" w:sz="0" w:space="0" w:color="auto"/>
          </w:divBdr>
        </w:div>
        <w:div w:id="1838838992">
          <w:marLeft w:val="0"/>
          <w:marRight w:val="0"/>
          <w:marTop w:val="0"/>
          <w:marBottom w:val="0"/>
          <w:divBdr>
            <w:top w:val="none" w:sz="0" w:space="0" w:color="auto"/>
            <w:left w:val="none" w:sz="0" w:space="0" w:color="auto"/>
            <w:bottom w:val="none" w:sz="0" w:space="0" w:color="auto"/>
            <w:right w:val="none" w:sz="0" w:space="0" w:color="auto"/>
          </w:divBdr>
        </w:div>
        <w:div w:id="127169550">
          <w:marLeft w:val="0"/>
          <w:marRight w:val="0"/>
          <w:marTop w:val="0"/>
          <w:marBottom w:val="0"/>
          <w:divBdr>
            <w:top w:val="none" w:sz="0" w:space="0" w:color="auto"/>
            <w:left w:val="none" w:sz="0" w:space="0" w:color="auto"/>
            <w:bottom w:val="none" w:sz="0" w:space="0" w:color="auto"/>
            <w:right w:val="none" w:sz="0" w:space="0" w:color="auto"/>
          </w:divBdr>
        </w:div>
        <w:div w:id="1419063766">
          <w:marLeft w:val="0"/>
          <w:marRight w:val="0"/>
          <w:marTop w:val="0"/>
          <w:marBottom w:val="0"/>
          <w:divBdr>
            <w:top w:val="none" w:sz="0" w:space="0" w:color="auto"/>
            <w:left w:val="none" w:sz="0" w:space="0" w:color="auto"/>
            <w:bottom w:val="none" w:sz="0" w:space="0" w:color="auto"/>
            <w:right w:val="none" w:sz="0" w:space="0" w:color="auto"/>
          </w:divBdr>
        </w:div>
        <w:div w:id="1769962794">
          <w:marLeft w:val="0"/>
          <w:marRight w:val="0"/>
          <w:marTop w:val="0"/>
          <w:marBottom w:val="0"/>
          <w:divBdr>
            <w:top w:val="none" w:sz="0" w:space="0" w:color="auto"/>
            <w:left w:val="none" w:sz="0" w:space="0" w:color="auto"/>
            <w:bottom w:val="none" w:sz="0" w:space="0" w:color="auto"/>
            <w:right w:val="none" w:sz="0" w:space="0" w:color="auto"/>
          </w:divBdr>
        </w:div>
        <w:div w:id="1785418687">
          <w:marLeft w:val="0"/>
          <w:marRight w:val="0"/>
          <w:marTop w:val="0"/>
          <w:marBottom w:val="0"/>
          <w:divBdr>
            <w:top w:val="none" w:sz="0" w:space="0" w:color="auto"/>
            <w:left w:val="none" w:sz="0" w:space="0" w:color="auto"/>
            <w:bottom w:val="none" w:sz="0" w:space="0" w:color="auto"/>
            <w:right w:val="none" w:sz="0" w:space="0" w:color="auto"/>
          </w:divBdr>
        </w:div>
        <w:div w:id="1968467627">
          <w:marLeft w:val="0"/>
          <w:marRight w:val="0"/>
          <w:marTop w:val="0"/>
          <w:marBottom w:val="0"/>
          <w:divBdr>
            <w:top w:val="none" w:sz="0" w:space="0" w:color="auto"/>
            <w:left w:val="none" w:sz="0" w:space="0" w:color="auto"/>
            <w:bottom w:val="none" w:sz="0" w:space="0" w:color="auto"/>
            <w:right w:val="none" w:sz="0" w:space="0" w:color="auto"/>
          </w:divBdr>
        </w:div>
        <w:div w:id="9958858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mu.edu/teaching/principles/learning.html" TargetMode="External"/><Relationship Id="rId13" Type="http://schemas.openxmlformats.org/officeDocument/2006/relationships/hyperlink" Target="https://web-a-ebscohost-com.ezproxy.uwtsd.ac.uk/ehost/pdfviewer/pdfviewer?vid=1&amp;sid=e5b32de8-f5a7-4ede-af24-e8cc868e9fa0%40sdc-v-sessmgr03" TargetMode="External"/><Relationship Id="rId3" Type="http://schemas.openxmlformats.org/officeDocument/2006/relationships/settings" Target="settings.xml"/><Relationship Id="rId7" Type="http://schemas.openxmlformats.org/officeDocument/2006/relationships/hyperlink" Target="https://www-dawsonera-com.ezproxy.uwtsd.ac.uk/readonline/9780335224296" TargetMode="External"/><Relationship Id="rId12" Type="http://schemas.openxmlformats.org/officeDocument/2006/relationships/hyperlink" Target="https://web-a-ebscohost-com.ezproxy.uwtsd.ac.uk/ehost/pdfviewer/pdfviewer?vid=1&amp;sid=59c5f1fd-ac3e-448b-8a1e-2fb81ae77d55%40sessionmgr401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eb-a-ebscohost-com.ezproxy.uwtsd.ac.uk/ehost/pdfviewer/pdfviewer?vid=1&amp;sid=2a0e02ea-4ad2-4674-82e5-979e709c8473%40sdc-v-sessmgr03" TargetMode="External"/><Relationship Id="rId5" Type="http://schemas.openxmlformats.org/officeDocument/2006/relationships/image" Target="media/image1.png"/><Relationship Id="rId15" Type="http://schemas.openxmlformats.org/officeDocument/2006/relationships/hyperlink" Target="http://learning.gov.wales/resources/browse-all/nlnf/framework?lang=en" TargetMode="External"/><Relationship Id="rId10" Type="http://schemas.openxmlformats.org/officeDocument/2006/relationships/hyperlink" Target="http://dera.ioe.ac.uk/24680/1/151021-a-curriculum-for-wales-a-curriculum-for-life-en_Redacted.pdf"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article/pii/S0742051X09002388" TargetMode="External"/><Relationship Id="rId14" Type="http://schemas.openxmlformats.org/officeDocument/2006/relationships/hyperlink" Target="http://learning.gov.wales/docs/learningwales/publications/170601-reading-across-the-curricul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4151</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nicola jones</cp:lastModifiedBy>
  <cp:revision>2</cp:revision>
  <dcterms:created xsi:type="dcterms:W3CDTF">2018-11-24T08:03:00Z</dcterms:created>
  <dcterms:modified xsi:type="dcterms:W3CDTF">2018-11-24T08:03:00Z</dcterms:modified>
</cp:coreProperties>
</file>